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D7D2D6">
      <w:pPr>
        <w:keepNext w:val="0"/>
        <w:keepLines w:val="0"/>
        <w:pageBreakBefore w:val="0"/>
        <w:widowControl w:val="0"/>
        <w:wordWrap/>
        <w:topLinePunct w:val="0"/>
        <w:bidi w:val="0"/>
        <w:spacing w:line="1000" w:lineRule="exact"/>
        <w:jc w:val="center"/>
        <w:rPr>
          <w:rFonts w:hint="eastAsia" w:ascii="宋体" w:hAnsi="宋体" w:cs="宋体"/>
          <w:b/>
          <w:bCs/>
          <w:color w:val="auto"/>
          <w:sz w:val="56"/>
          <w:szCs w:val="22"/>
          <w:highlight w:val="none"/>
          <w:lang w:eastAsia="zh-CN"/>
        </w:rPr>
      </w:pPr>
    </w:p>
    <w:p w14:paraId="18B886F9">
      <w:pPr>
        <w:keepNext w:val="0"/>
        <w:keepLines w:val="0"/>
        <w:pageBreakBefore w:val="0"/>
        <w:widowControl w:val="0"/>
        <w:wordWrap/>
        <w:topLinePunct w:val="0"/>
        <w:bidi w:val="0"/>
        <w:spacing w:line="1000" w:lineRule="exact"/>
        <w:jc w:val="center"/>
        <w:rPr>
          <w:rFonts w:hint="eastAsia" w:ascii="宋体" w:hAnsi="宋体" w:eastAsia="宋体" w:cs="宋体"/>
          <w:b/>
          <w:bCs/>
          <w:color w:val="auto"/>
          <w:sz w:val="72"/>
          <w:highlight w:val="none"/>
        </w:rPr>
      </w:pPr>
      <w:r>
        <w:rPr>
          <w:rFonts w:hint="eastAsia" w:ascii="宋体" w:hAnsi="宋体" w:cs="宋体"/>
          <w:b/>
          <w:bCs/>
          <w:color w:val="auto"/>
          <w:sz w:val="56"/>
          <w:szCs w:val="22"/>
          <w:highlight w:val="none"/>
          <w:u w:val="thick"/>
          <w:lang w:eastAsia="zh-CN"/>
        </w:rPr>
        <w:t>广西北部湾宏亚建设管理有限公司</w:t>
      </w:r>
      <w:r>
        <w:rPr>
          <w:rFonts w:hint="eastAsia" w:ascii="宋体" w:hAnsi="宋体" w:eastAsia="宋体" w:cs="宋体"/>
          <w:b/>
          <w:bCs/>
          <w:color w:val="auto"/>
          <w:sz w:val="72"/>
          <w:highlight w:val="none"/>
        </w:rPr>
        <w:cr/>
      </w:r>
    </w:p>
    <w:p w14:paraId="5FFE3ACA">
      <w:pPr>
        <w:keepNext w:val="0"/>
        <w:keepLines w:val="0"/>
        <w:pageBreakBefore w:val="0"/>
        <w:widowControl w:val="0"/>
        <w:wordWrap/>
        <w:topLinePunct w:val="0"/>
        <w:bidi w:val="0"/>
        <w:spacing w:line="1000" w:lineRule="exact"/>
        <w:jc w:val="center"/>
        <w:rPr>
          <w:rFonts w:hint="eastAsia" w:ascii="宋体" w:hAnsi="宋体" w:eastAsia="宋体" w:cs="宋体"/>
          <w:b/>
          <w:bCs/>
          <w:color w:val="auto"/>
          <w:sz w:val="72"/>
          <w:highlight w:val="none"/>
        </w:rPr>
      </w:pPr>
    </w:p>
    <w:p w14:paraId="616A3651">
      <w:pPr>
        <w:keepNext w:val="0"/>
        <w:keepLines w:val="0"/>
        <w:pageBreakBefore w:val="0"/>
        <w:widowControl w:val="0"/>
        <w:wordWrap/>
        <w:topLinePunct w:val="0"/>
        <w:bidi w:val="0"/>
        <w:spacing w:line="1000" w:lineRule="exact"/>
        <w:jc w:val="center"/>
        <w:rPr>
          <w:rFonts w:hint="eastAsia" w:ascii="宋体" w:hAnsi="宋体" w:eastAsia="宋体" w:cs="宋体"/>
          <w:b/>
          <w:color w:val="auto"/>
          <w:sz w:val="84"/>
          <w:szCs w:val="84"/>
          <w:highlight w:val="none"/>
        </w:rPr>
      </w:pPr>
      <w:r>
        <w:rPr>
          <w:rFonts w:hint="eastAsia" w:ascii="宋体" w:hAnsi="宋体" w:eastAsia="宋体" w:cs="宋体"/>
          <w:b/>
          <w:color w:val="auto"/>
          <w:sz w:val="84"/>
          <w:szCs w:val="84"/>
          <w:highlight w:val="none"/>
        </w:rPr>
        <w:t>竞争性磋商文件</w:t>
      </w:r>
      <w:r>
        <w:rPr>
          <w:rFonts w:hint="eastAsia" w:ascii="宋体" w:hAnsi="宋体" w:eastAsia="宋体" w:cs="宋体"/>
          <w:b/>
          <w:color w:val="auto"/>
          <w:sz w:val="84"/>
          <w:szCs w:val="84"/>
          <w:highlight w:val="none"/>
        </w:rPr>
        <w:cr/>
      </w:r>
      <w:r>
        <w:rPr>
          <w:rFonts w:hint="eastAsia" w:ascii="宋体" w:hAnsi="宋体" w:eastAsia="宋体" w:cs="宋体"/>
          <w:b/>
          <w:color w:val="auto"/>
          <w:sz w:val="84"/>
          <w:szCs w:val="84"/>
          <w:highlight w:val="none"/>
        </w:rPr>
        <w:cr/>
      </w:r>
    </w:p>
    <w:p w14:paraId="32667819">
      <w:pPr>
        <w:pStyle w:val="12"/>
        <w:keepNext w:val="0"/>
        <w:keepLines w:val="0"/>
        <w:pageBreakBefore w:val="0"/>
        <w:widowControl w:val="0"/>
        <w:wordWrap/>
        <w:topLinePunct w:val="0"/>
        <w:bidi w:val="0"/>
        <w:ind w:firstLine="3990" w:firstLineChars="1900"/>
        <w:rPr>
          <w:rFonts w:hint="eastAsia" w:ascii="宋体" w:hAnsi="宋体" w:eastAsia="宋体" w:cs="宋体"/>
          <w:color w:val="auto"/>
          <w:highlight w:val="none"/>
        </w:rPr>
      </w:pPr>
    </w:p>
    <w:p w14:paraId="3C67622F">
      <w:pPr>
        <w:keepNext w:val="0"/>
        <w:keepLines w:val="0"/>
        <w:pageBreakBefore w:val="0"/>
        <w:widowControl w:val="0"/>
        <w:wordWrap/>
        <w:topLinePunct w:val="0"/>
        <w:bidi w:val="0"/>
        <w:ind w:left="2080" w:leftChars="504" w:hanging="1022" w:hangingChars="283"/>
        <w:rPr>
          <w:rFonts w:hint="eastAsia" w:ascii="宋体" w:hAnsi="宋体" w:eastAsia="宋体" w:cs="宋体"/>
          <w:b/>
          <w:bCs/>
          <w:color w:val="auto"/>
          <w:spacing w:val="40"/>
          <w:sz w:val="28"/>
          <w:szCs w:val="22"/>
          <w:highlight w:val="none"/>
          <w:lang w:eastAsia="zh-CN"/>
        </w:rPr>
      </w:pPr>
      <w:r>
        <w:rPr>
          <w:rFonts w:hint="eastAsia" w:ascii="宋体" w:hAnsi="宋体" w:eastAsia="宋体" w:cs="宋体"/>
          <w:b/>
          <w:bCs/>
          <w:color w:val="auto"/>
          <w:spacing w:val="40"/>
          <w:sz w:val="28"/>
          <w:szCs w:val="22"/>
          <w:highlight w:val="none"/>
        </w:rPr>
        <w:t>项目名称：</w:t>
      </w:r>
      <w:r>
        <w:rPr>
          <w:rFonts w:hint="eastAsia" w:ascii="宋体" w:hAnsi="宋体" w:cs="宋体"/>
          <w:b/>
          <w:bCs/>
          <w:color w:val="auto"/>
          <w:spacing w:val="40"/>
          <w:sz w:val="28"/>
          <w:szCs w:val="22"/>
          <w:highlight w:val="none"/>
          <w:lang w:eastAsia="zh-CN"/>
        </w:rPr>
        <w:t>灌阳县公安局城关派出所改造提升项目</w:t>
      </w:r>
    </w:p>
    <w:p w14:paraId="2C26D234">
      <w:pPr>
        <w:keepNext w:val="0"/>
        <w:keepLines w:val="0"/>
        <w:pageBreakBefore w:val="0"/>
        <w:widowControl w:val="0"/>
        <w:wordWrap/>
        <w:topLinePunct w:val="0"/>
        <w:bidi w:val="0"/>
        <w:ind w:left="2080" w:leftChars="504" w:hanging="1022" w:hangingChars="283"/>
        <w:rPr>
          <w:rFonts w:hint="eastAsia" w:ascii="宋体" w:hAnsi="宋体" w:eastAsia="宋体" w:cs="宋体"/>
          <w:b/>
          <w:bCs/>
          <w:color w:val="auto"/>
          <w:spacing w:val="40"/>
          <w:sz w:val="28"/>
          <w:szCs w:val="22"/>
          <w:highlight w:val="none"/>
        </w:rPr>
      </w:pPr>
    </w:p>
    <w:p w14:paraId="1DE3F8ED">
      <w:pPr>
        <w:keepNext w:val="0"/>
        <w:keepLines w:val="0"/>
        <w:pageBreakBefore w:val="0"/>
        <w:widowControl w:val="0"/>
        <w:wordWrap/>
        <w:topLinePunct w:val="0"/>
        <w:bidi w:val="0"/>
        <w:ind w:left="2080" w:leftChars="504" w:hanging="1022" w:hangingChars="283"/>
        <w:rPr>
          <w:rFonts w:hint="eastAsia" w:ascii="宋体" w:hAnsi="宋体" w:eastAsia="宋体" w:cs="宋体"/>
          <w:color w:val="auto"/>
          <w:highlight w:val="none"/>
        </w:rPr>
      </w:pPr>
      <w:r>
        <w:rPr>
          <w:rFonts w:hint="eastAsia" w:ascii="宋体" w:hAnsi="宋体" w:eastAsia="宋体" w:cs="宋体"/>
          <w:b/>
          <w:bCs/>
          <w:color w:val="auto"/>
          <w:spacing w:val="40"/>
          <w:sz w:val="28"/>
          <w:szCs w:val="22"/>
          <w:highlight w:val="none"/>
        </w:rPr>
        <w:t>项目编号</w:t>
      </w:r>
      <w:r>
        <w:rPr>
          <w:rFonts w:hint="eastAsia" w:ascii="宋体" w:hAnsi="宋体" w:eastAsia="宋体" w:cs="宋体"/>
          <w:b/>
          <w:bCs/>
          <w:color w:val="auto"/>
          <w:spacing w:val="40"/>
          <w:sz w:val="28"/>
          <w:szCs w:val="22"/>
          <w:highlight w:val="none"/>
          <w:lang w:eastAsia="zh-CN"/>
        </w:rPr>
        <w:t>：</w:t>
      </w:r>
      <w:r>
        <w:rPr>
          <w:rFonts w:hint="eastAsia" w:ascii="宋体" w:hAnsi="宋体" w:cs="宋体"/>
          <w:b/>
          <w:bCs/>
          <w:color w:val="auto"/>
          <w:spacing w:val="40"/>
          <w:sz w:val="28"/>
          <w:szCs w:val="22"/>
          <w:highlight w:val="none"/>
          <w:lang w:eastAsia="zh-CN"/>
        </w:rPr>
        <w:t>GLZC2026-C2-270033-BBWH</w:t>
      </w:r>
    </w:p>
    <w:p w14:paraId="68CCBB5D">
      <w:pPr>
        <w:keepNext w:val="0"/>
        <w:keepLines w:val="0"/>
        <w:pageBreakBefore w:val="0"/>
        <w:widowControl w:val="0"/>
        <w:wordWrap/>
        <w:topLinePunct w:val="0"/>
        <w:bidi w:val="0"/>
        <w:ind w:firstLine="643" w:firstLineChars="200"/>
        <w:jc w:val="center"/>
        <w:rPr>
          <w:rFonts w:hint="eastAsia" w:ascii="宋体" w:hAnsi="宋体" w:eastAsia="宋体" w:cs="宋体"/>
          <w:b/>
          <w:bCs/>
          <w:color w:val="auto"/>
          <w:sz w:val="32"/>
          <w:highlight w:val="none"/>
        </w:rPr>
      </w:pPr>
    </w:p>
    <w:p w14:paraId="3B203BF3">
      <w:pPr>
        <w:keepNext w:val="0"/>
        <w:keepLines w:val="0"/>
        <w:pageBreakBefore w:val="0"/>
        <w:widowControl w:val="0"/>
        <w:wordWrap/>
        <w:topLinePunct w:val="0"/>
        <w:bidi w:val="0"/>
        <w:ind w:firstLine="643" w:firstLineChars="200"/>
        <w:jc w:val="center"/>
        <w:rPr>
          <w:rFonts w:hint="eastAsia" w:ascii="宋体" w:hAnsi="宋体" w:eastAsia="宋体" w:cs="宋体"/>
          <w:b/>
          <w:bCs/>
          <w:color w:val="auto"/>
          <w:sz w:val="32"/>
          <w:highlight w:val="none"/>
        </w:rPr>
      </w:pPr>
    </w:p>
    <w:p w14:paraId="02201316">
      <w:pPr>
        <w:keepNext w:val="0"/>
        <w:keepLines w:val="0"/>
        <w:pageBreakBefore w:val="0"/>
        <w:widowControl w:val="0"/>
        <w:wordWrap/>
        <w:topLinePunct w:val="0"/>
        <w:bidi w:val="0"/>
        <w:ind w:firstLine="643" w:firstLineChars="200"/>
        <w:jc w:val="center"/>
        <w:rPr>
          <w:rFonts w:hint="eastAsia" w:ascii="宋体" w:hAnsi="宋体" w:eastAsia="宋体" w:cs="宋体"/>
          <w:b/>
          <w:bCs/>
          <w:color w:val="auto"/>
          <w:sz w:val="32"/>
          <w:highlight w:val="none"/>
        </w:rPr>
      </w:pPr>
    </w:p>
    <w:p w14:paraId="03383562">
      <w:pPr>
        <w:keepNext w:val="0"/>
        <w:keepLines w:val="0"/>
        <w:pageBreakBefore w:val="0"/>
        <w:widowControl w:val="0"/>
        <w:wordWrap/>
        <w:topLinePunct w:val="0"/>
        <w:bidi w:val="0"/>
        <w:ind w:firstLine="643" w:firstLineChars="200"/>
        <w:jc w:val="center"/>
        <w:rPr>
          <w:rFonts w:hint="eastAsia" w:ascii="宋体" w:hAnsi="宋体" w:eastAsia="宋体" w:cs="宋体"/>
          <w:b/>
          <w:bCs/>
          <w:color w:val="auto"/>
          <w:sz w:val="32"/>
          <w:highlight w:val="none"/>
        </w:rPr>
      </w:pPr>
    </w:p>
    <w:p w14:paraId="0ACE8A90">
      <w:pPr>
        <w:keepNext w:val="0"/>
        <w:keepLines w:val="0"/>
        <w:pageBreakBefore w:val="0"/>
        <w:widowControl w:val="0"/>
        <w:wordWrap/>
        <w:topLinePunct w:val="0"/>
        <w:bidi w:val="0"/>
        <w:ind w:firstLine="643" w:firstLineChars="200"/>
        <w:jc w:val="center"/>
        <w:rPr>
          <w:rFonts w:hint="eastAsia" w:ascii="宋体" w:hAnsi="宋体" w:cs="宋体"/>
          <w:b/>
          <w:bCs/>
          <w:color w:val="auto"/>
          <w:sz w:val="32"/>
          <w:highlight w:val="none"/>
          <w:lang w:eastAsia="zh-CN"/>
        </w:rPr>
      </w:pPr>
      <w:r>
        <w:rPr>
          <w:rFonts w:hint="eastAsia" w:ascii="宋体" w:hAnsi="宋体" w:eastAsia="宋体" w:cs="宋体"/>
          <w:b/>
          <w:bCs/>
          <w:color w:val="auto"/>
          <w:sz w:val="32"/>
          <w:highlight w:val="none"/>
        </w:rPr>
        <w:t>采购代理机构：</w:t>
      </w:r>
      <w:r>
        <w:rPr>
          <w:rFonts w:hint="eastAsia" w:ascii="宋体" w:hAnsi="宋体" w:cs="宋体"/>
          <w:b/>
          <w:bCs/>
          <w:color w:val="auto"/>
          <w:sz w:val="32"/>
          <w:highlight w:val="none"/>
          <w:lang w:eastAsia="zh-CN"/>
        </w:rPr>
        <w:t>广西北部湾宏亚建设管理有限公司</w:t>
      </w:r>
    </w:p>
    <w:p w14:paraId="6A3394BF">
      <w:pPr>
        <w:keepNext w:val="0"/>
        <w:keepLines w:val="0"/>
        <w:pageBreakBefore w:val="0"/>
        <w:widowControl w:val="0"/>
        <w:wordWrap/>
        <w:topLinePunct w:val="0"/>
        <w:bidi w:val="0"/>
        <w:ind w:firstLine="3694" w:firstLineChars="1150"/>
        <w:rPr>
          <w:rFonts w:hint="eastAsia" w:ascii="宋体" w:hAnsi="宋体" w:eastAsia="宋体" w:cs="宋体"/>
          <w:color w:val="auto"/>
          <w:sz w:val="32"/>
          <w:highlight w:val="none"/>
        </w:rPr>
      </w:pPr>
      <w:r>
        <w:rPr>
          <w:rFonts w:hint="eastAsia" w:ascii="宋体" w:hAnsi="宋体" w:cs="宋体"/>
          <w:b/>
          <w:bCs/>
          <w:color w:val="auto"/>
          <w:sz w:val="32"/>
          <w:highlight w:val="none"/>
          <w:lang w:val="en-US" w:eastAsia="zh-CN"/>
        </w:rPr>
        <w:t>2026年8月</w:t>
      </w:r>
    </w:p>
    <w:p w14:paraId="7B0AC085">
      <w:pPr>
        <w:pStyle w:val="15"/>
        <w:keepNext w:val="0"/>
        <w:keepLines w:val="0"/>
        <w:pageBreakBefore w:val="0"/>
        <w:widowControl w:val="0"/>
        <w:tabs>
          <w:tab w:val="right" w:leader="dot" w:pos="9660"/>
        </w:tabs>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spacing w:val="-6"/>
          <w:kern w:val="0"/>
          <w:sz w:val="30"/>
          <w:szCs w:val="30"/>
          <w:highlight w:val="none"/>
          <w:lang w:eastAsia="zh-CN"/>
        </w:rPr>
      </w:pPr>
    </w:p>
    <w:p w14:paraId="4ABE2F42">
      <w:pPr>
        <w:pStyle w:val="15"/>
        <w:keepNext w:val="0"/>
        <w:keepLines w:val="0"/>
        <w:pageBreakBefore w:val="0"/>
        <w:widowControl w:val="0"/>
        <w:tabs>
          <w:tab w:val="right" w:leader="dot" w:pos="9660"/>
        </w:tabs>
        <w:kinsoku/>
        <w:wordWrap/>
        <w:overflowPunct/>
        <w:topLinePunct w:val="0"/>
        <w:autoSpaceDE/>
        <w:autoSpaceDN/>
        <w:bidi w:val="0"/>
        <w:adjustRightInd/>
        <w:snapToGrid/>
        <w:spacing w:line="360" w:lineRule="auto"/>
        <w:jc w:val="both"/>
        <w:textAlignment w:val="auto"/>
        <w:rPr>
          <w:rFonts w:hint="eastAsia" w:ascii="宋体" w:hAnsi="宋体" w:eastAsia="宋体" w:cs="宋体"/>
          <w:b/>
          <w:color w:val="auto"/>
          <w:spacing w:val="-6"/>
          <w:kern w:val="0"/>
          <w:sz w:val="30"/>
          <w:szCs w:val="30"/>
          <w:highlight w:val="none"/>
          <w:lang w:eastAsia="zh-CN"/>
        </w:rPr>
        <w:sectPr>
          <w:pgSz w:w="11906" w:h="16838"/>
          <w:pgMar w:top="1418" w:right="1191" w:bottom="1304" w:left="1304" w:header="851" w:footer="992" w:gutter="0"/>
          <w:pgNumType w:fmt="decimal" w:start="1"/>
          <w:cols w:space="720" w:num="1"/>
          <w:titlePg/>
          <w:docGrid w:type="lines" w:linePitch="312" w:charSpace="0"/>
        </w:sectPr>
      </w:pPr>
    </w:p>
    <w:p w14:paraId="589AC3CA">
      <w:pPr>
        <w:keepNext w:val="0"/>
        <w:keepLines w:val="0"/>
        <w:pageBreakBefore w:val="0"/>
        <w:widowControl w:val="0"/>
        <w:wordWrap/>
        <w:topLinePunct w:val="0"/>
        <w:bidi w:val="0"/>
        <w:rPr>
          <w:rFonts w:hint="eastAsia"/>
          <w:color w:val="auto"/>
          <w:highlight w:val="none"/>
          <w:lang w:eastAsia="zh-CN"/>
        </w:rPr>
      </w:pPr>
    </w:p>
    <w:p w14:paraId="7511FAFD">
      <w:pPr>
        <w:pStyle w:val="15"/>
        <w:keepNext w:val="0"/>
        <w:keepLines w:val="0"/>
        <w:pageBreakBefore w:val="0"/>
        <w:widowControl w:val="0"/>
        <w:tabs>
          <w:tab w:val="right" w:leader="dot" w:pos="9660"/>
        </w:tabs>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color w:val="auto"/>
          <w:spacing w:val="-6"/>
          <w:kern w:val="0"/>
          <w:sz w:val="48"/>
          <w:szCs w:val="48"/>
          <w:highlight w:val="none"/>
          <w:lang w:eastAsia="zh-CN"/>
        </w:rPr>
      </w:pPr>
      <w:bookmarkStart w:id="0" w:name="_Toc22866"/>
      <w:r>
        <w:rPr>
          <w:rFonts w:hint="eastAsia" w:ascii="宋体" w:hAnsi="宋体" w:eastAsia="宋体" w:cs="宋体"/>
          <w:b/>
          <w:color w:val="auto"/>
          <w:spacing w:val="-6"/>
          <w:kern w:val="0"/>
          <w:sz w:val="48"/>
          <w:szCs w:val="48"/>
          <w:highlight w:val="none"/>
          <w:lang w:eastAsia="zh-CN"/>
        </w:rPr>
        <w:t>目</w:t>
      </w:r>
      <w:r>
        <w:rPr>
          <w:rFonts w:hint="eastAsia" w:ascii="宋体" w:hAnsi="宋体" w:eastAsia="宋体" w:cs="宋体"/>
          <w:b/>
          <w:color w:val="auto"/>
          <w:spacing w:val="-6"/>
          <w:kern w:val="0"/>
          <w:sz w:val="48"/>
          <w:szCs w:val="48"/>
          <w:highlight w:val="none"/>
          <w:lang w:val="en-US" w:eastAsia="zh-CN"/>
        </w:rPr>
        <w:t xml:space="preserve">  </w:t>
      </w:r>
      <w:r>
        <w:rPr>
          <w:rFonts w:hint="eastAsia" w:ascii="宋体" w:hAnsi="宋体" w:eastAsia="宋体" w:cs="宋体"/>
          <w:b/>
          <w:color w:val="auto"/>
          <w:spacing w:val="-6"/>
          <w:kern w:val="0"/>
          <w:sz w:val="48"/>
          <w:szCs w:val="48"/>
          <w:highlight w:val="none"/>
          <w:lang w:eastAsia="zh-CN"/>
        </w:rPr>
        <w:t>录</w:t>
      </w:r>
      <w:bookmarkEnd w:id="0"/>
    </w:p>
    <w:p w14:paraId="4182647D">
      <w:pPr>
        <w:keepNext w:val="0"/>
        <w:keepLines w:val="0"/>
        <w:pageBreakBefore w:val="0"/>
        <w:widowControl w:val="0"/>
        <w:wordWrap/>
        <w:topLinePunct w:val="0"/>
        <w:bidi w:val="0"/>
        <w:rPr>
          <w:rFonts w:hint="eastAsia"/>
          <w:color w:val="auto"/>
          <w:highlight w:val="none"/>
          <w:lang w:eastAsia="zh-CN"/>
        </w:rPr>
      </w:pPr>
    </w:p>
    <w:p w14:paraId="41428466">
      <w:pPr>
        <w:pStyle w:val="15"/>
        <w:tabs>
          <w:tab w:val="right" w:leader="dot" w:pos="9072"/>
        </w:tabs>
        <w:rPr>
          <w:color w:val="auto"/>
        </w:rPr>
      </w:pPr>
      <w:r>
        <w:rPr>
          <w:rFonts w:hint="eastAsia" w:ascii="宋体" w:hAnsi="宋体" w:eastAsia="宋体" w:cs="宋体"/>
          <w:b/>
          <w:color w:val="auto"/>
          <w:spacing w:val="-6"/>
          <w:kern w:val="0"/>
          <w:sz w:val="36"/>
          <w:szCs w:val="36"/>
          <w:highlight w:val="none"/>
        </w:rPr>
        <w:fldChar w:fldCharType="begin"/>
      </w:r>
      <w:r>
        <w:rPr>
          <w:rFonts w:hint="eastAsia" w:ascii="宋体" w:hAnsi="宋体" w:eastAsia="宋体" w:cs="宋体"/>
          <w:b/>
          <w:color w:val="auto"/>
          <w:spacing w:val="-6"/>
          <w:kern w:val="0"/>
          <w:sz w:val="36"/>
          <w:szCs w:val="36"/>
          <w:highlight w:val="none"/>
        </w:rPr>
        <w:instrText xml:space="preserve">TOC \o "1-2" \h \u </w:instrText>
      </w:r>
      <w:r>
        <w:rPr>
          <w:rFonts w:hint="eastAsia" w:ascii="宋体" w:hAnsi="宋体" w:eastAsia="宋体" w:cs="宋体"/>
          <w:b/>
          <w:color w:val="auto"/>
          <w:spacing w:val="-6"/>
          <w:kern w:val="0"/>
          <w:sz w:val="36"/>
          <w:szCs w:val="36"/>
          <w:highlight w:val="none"/>
        </w:rPr>
        <w:fldChar w:fldCharType="separate"/>
      </w:r>
    </w:p>
    <w:p w14:paraId="1257A2B5">
      <w:pPr>
        <w:pStyle w:val="15"/>
        <w:keepNext w:val="0"/>
        <w:keepLines w:val="0"/>
        <w:pageBreakBefore w:val="0"/>
        <w:widowControl w:val="0"/>
        <w:tabs>
          <w:tab w:val="right" w:leader="dot" w:pos="8820"/>
        </w:tabs>
        <w:kinsoku/>
        <w:wordWrap/>
        <w:overflowPunct/>
        <w:topLinePunct w:val="0"/>
        <w:autoSpaceDE/>
        <w:autoSpaceDN/>
        <w:bidi w:val="0"/>
        <w:adjustRightInd/>
        <w:snapToGrid/>
        <w:spacing w:line="720" w:lineRule="auto"/>
        <w:ind w:left="0" w:leftChars="0" w:firstLine="418" w:firstLineChars="156"/>
        <w:textAlignment w:val="auto"/>
        <w:rPr>
          <w:color w:val="auto"/>
          <w:sz w:val="28"/>
          <w:szCs w:val="28"/>
        </w:rPr>
      </w:pPr>
      <w:r>
        <w:rPr>
          <w:rFonts w:hint="eastAsia" w:ascii="宋体" w:hAnsi="宋体" w:eastAsia="宋体" w:cs="宋体"/>
          <w:color w:val="auto"/>
          <w:spacing w:val="-6"/>
          <w:kern w:val="0"/>
          <w:sz w:val="28"/>
          <w:szCs w:val="28"/>
          <w:highlight w:val="none"/>
        </w:rPr>
        <w:fldChar w:fldCharType="begin"/>
      </w:r>
      <w:r>
        <w:rPr>
          <w:rFonts w:hint="eastAsia" w:ascii="宋体" w:hAnsi="宋体" w:eastAsia="宋体" w:cs="宋体"/>
          <w:color w:val="auto"/>
          <w:spacing w:val="-6"/>
          <w:kern w:val="0"/>
          <w:sz w:val="28"/>
          <w:szCs w:val="28"/>
          <w:highlight w:val="none"/>
        </w:rPr>
        <w:instrText xml:space="preserve"> HYPERLINK \l _Toc17218 </w:instrText>
      </w:r>
      <w:r>
        <w:rPr>
          <w:rFonts w:hint="eastAsia" w:ascii="宋体" w:hAnsi="宋体" w:eastAsia="宋体" w:cs="宋体"/>
          <w:color w:val="auto"/>
          <w:spacing w:val="-6"/>
          <w:kern w:val="0"/>
          <w:sz w:val="28"/>
          <w:szCs w:val="28"/>
          <w:highlight w:val="none"/>
        </w:rPr>
        <w:fldChar w:fldCharType="separate"/>
      </w:r>
      <w:r>
        <w:rPr>
          <w:rFonts w:hint="eastAsia" w:ascii="宋体" w:hAnsi="宋体" w:eastAsia="宋体" w:cs="宋体"/>
          <w:color w:val="auto"/>
          <w:sz w:val="28"/>
          <w:szCs w:val="28"/>
          <w:highlight w:val="none"/>
          <w:lang w:eastAsia="zh-CN"/>
        </w:rPr>
        <w:t>第一章</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竞争性磋商公告</w:t>
      </w:r>
      <w:r>
        <w:rPr>
          <w:color w:val="auto"/>
          <w:sz w:val="28"/>
          <w:szCs w:val="28"/>
        </w:rPr>
        <w:tab/>
      </w:r>
      <w:r>
        <w:rPr>
          <w:color w:val="auto"/>
          <w:sz w:val="28"/>
          <w:szCs w:val="28"/>
        </w:rPr>
        <w:fldChar w:fldCharType="begin"/>
      </w:r>
      <w:r>
        <w:rPr>
          <w:color w:val="auto"/>
          <w:sz w:val="28"/>
          <w:szCs w:val="28"/>
        </w:rPr>
        <w:instrText xml:space="preserve"> PAGEREF _Toc17218 \h </w:instrText>
      </w:r>
      <w:r>
        <w:rPr>
          <w:color w:val="auto"/>
          <w:sz w:val="28"/>
          <w:szCs w:val="28"/>
        </w:rPr>
        <w:fldChar w:fldCharType="separate"/>
      </w:r>
      <w:r>
        <w:rPr>
          <w:color w:val="auto"/>
          <w:sz w:val="28"/>
          <w:szCs w:val="28"/>
        </w:rPr>
        <w:t>2</w:t>
      </w:r>
      <w:r>
        <w:rPr>
          <w:color w:val="auto"/>
          <w:sz w:val="28"/>
          <w:szCs w:val="28"/>
        </w:rPr>
        <w:fldChar w:fldCharType="end"/>
      </w:r>
      <w:r>
        <w:rPr>
          <w:rFonts w:hint="eastAsia" w:ascii="宋体" w:hAnsi="宋体" w:eastAsia="宋体" w:cs="宋体"/>
          <w:color w:val="auto"/>
          <w:spacing w:val="-6"/>
          <w:kern w:val="0"/>
          <w:sz w:val="28"/>
          <w:szCs w:val="28"/>
          <w:highlight w:val="none"/>
        </w:rPr>
        <w:fldChar w:fldCharType="end"/>
      </w:r>
    </w:p>
    <w:p w14:paraId="570BA967">
      <w:pPr>
        <w:pStyle w:val="15"/>
        <w:keepNext w:val="0"/>
        <w:keepLines w:val="0"/>
        <w:pageBreakBefore w:val="0"/>
        <w:widowControl w:val="0"/>
        <w:tabs>
          <w:tab w:val="right" w:leader="dot" w:pos="8820"/>
        </w:tabs>
        <w:kinsoku/>
        <w:wordWrap/>
        <w:overflowPunct/>
        <w:topLinePunct w:val="0"/>
        <w:autoSpaceDE/>
        <w:autoSpaceDN/>
        <w:bidi w:val="0"/>
        <w:adjustRightInd/>
        <w:snapToGrid/>
        <w:spacing w:line="720" w:lineRule="auto"/>
        <w:ind w:left="0" w:leftChars="0" w:firstLine="418" w:firstLineChars="156"/>
        <w:textAlignment w:val="auto"/>
        <w:rPr>
          <w:color w:val="auto"/>
          <w:sz w:val="28"/>
          <w:szCs w:val="28"/>
        </w:rPr>
      </w:pPr>
      <w:r>
        <w:rPr>
          <w:rFonts w:hint="eastAsia" w:ascii="宋体" w:hAnsi="宋体" w:eastAsia="宋体" w:cs="宋体"/>
          <w:color w:val="auto"/>
          <w:spacing w:val="-6"/>
          <w:kern w:val="0"/>
          <w:sz w:val="28"/>
          <w:szCs w:val="28"/>
          <w:highlight w:val="none"/>
        </w:rPr>
        <w:fldChar w:fldCharType="begin"/>
      </w:r>
      <w:r>
        <w:rPr>
          <w:rFonts w:hint="eastAsia" w:ascii="宋体" w:hAnsi="宋体" w:eastAsia="宋体" w:cs="宋体"/>
          <w:color w:val="auto"/>
          <w:spacing w:val="-6"/>
          <w:kern w:val="0"/>
          <w:sz w:val="28"/>
          <w:szCs w:val="28"/>
          <w:highlight w:val="none"/>
        </w:rPr>
        <w:instrText xml:space="preserve"> HYPERLINK \l _Toc30987 </w:instrText>
      </w:r>
      <w:r>
        <w:rPr>
          <w:rFonts w:hint="eastAsia" w:ascii="宋体" w:hAnsi="宋体" w:eastAsia="宋体" w:cs="宋体"/>
          <w:color w:val="auto"/>
          <w:spacing w:val="-6"/>
          <w:kern w:val="0"/>
          <w:sz w:val="28"/>
          <w:szCs w:val="28"/>
          <w:highlight w:val="none"/>
        </w:rPr>
        <w:fldChar w:fldCharType="separate"/>
      </w:r>
      <w:r>
        <w:rPr>
          <w:rFonts w:hint="eastAsia" w:ascii="宋体" w:hAnsi="宋体" w:eastAsia="宋体" w:cs="宋体"/>
          <w:color w:val="auto"/>
          <w:sz w:val="28"/>
          <w:szCs w:val="28"/>
          <w:highlight w:val="none"/>
          <w:lang w:eastAsia="zh-CN"/>
        </w:rPr>
        <w:t>第二章</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供应商须知</w:t>
      </w:r>
      <w:r>
        <w:rPr>
          <w:color w:val="auto"/>
          <w:sz w:val="28"/>
          <w:szCs w:val="28"/>
        </w:rPr>
        <w:tab/>
      </w:r>
      <w:r>
        <w:rPr>
          <w:color w:val="auto"/>
          <w:sz w:val="28"/>
          <w:szCs w:val="28"/>
        </w:rPr>
        <w:fldChar w:fldCharType="begin"/>
      </w:r>
      <w:r>
        <w:rPr>
          <w:color w:val="auto"/>
          <w:sz w:val="28"/>
          <w:szCs w:val="28"/>
        </w:rPr>
        <w:instrText xml:space="preserve"> PAGEREF _Toc30987 \h </w:instrText>
      </w:r>
      <w:r>
        <w:rPr>
          <w:color w:val="auto"/>
          <w:sz w:val="28"/>
          <w:szCs w:val="28"/>
        </w:rPr>
        <w:fldChar w:fldCharType="separate"/>
      </w:r>
      <w:r>
        <w:rPr>
          <w:color w:val="auto"/>
          <w:sz w:val="28"/>
          <w:szCs w:val="28"/>
        </w:rPr>
        <w:t>5</w:t>
      </w:r>
      <w:r>
        <w:rPr>
          <w:color w:val="auto"/>
          <w:sz w:val="28"/>
          <w:szCs w:val="28"/>
        </w:rPr>
        <w:fldChar w:fldCharType="end"/>
      </w:r>
      <w:r>
        <w:rPr>
          <w:rFonts w:hint="eastAsia" w:ascii="宋体" w:hAnsi="宋体" w:eastAsia="宋体" w:cs="宋体"/>
          <w:color w:val="auto"/>
          <w:spacing w:val="-6"/>
          <w:kern w:val="0"/>
          <w:sz w:val="28"/>
          <w:szCs w:val="28"/>
          <w:highlight w:val="none"/>
        </w:rPr>
        <w:fldChar w:fldCharType="end"/>
      </w:r>
    </w:p>
    <w:p w14:paraId="193EEB17">
      <w:pPr>
        <w:pStyle w:val="15"/>
        <w:keepNext w:val="0"/>
        <w:keepLines w:val="0"/>
        <w:pageBreakBefore w:val="0"/>
        <w:widowControl w:val="0"/>
        <w:tabs>
          <w:tab w:val="right" w:leader="dot" w:pos="8820"/>
        </w:tabs>
        <w:kinsoku/>
        <w:wordWrap/>
        <w:overflowPunct/>
        <w:topLinePunct w:val="0"/>
        <w:autoSpaceDE/>
        <w:autoSpaceDN/>
        <w:bidi w:val="0"/>
        <w:adjustRightInd/>
        <w:snapToGrid/>
        <w:spacing w:line="720" w:lineRule="auto"/>
        <w:ind w:left="0" w:leftChars="0" w:firstLine="418" w:firstLineChars="156"/>
        <w:textAlignment w:val="auto"/>
        <w:rPr>
          <w:color w:val="auto"/>
          <w:sz w:val="28"/>
          <w:szCs w:val="28"/>
        </w:rPr>
      </w:pPr>
      <w:r>
        <w:rPr>
          <w:rFonts w:hint="eastAsia" w:ascii="宋体" w:hAnsi="宋体" w:eastAsia="宋体" w:cs="宋体"/>
          <w:color w:val="auto"/>
          <w:spacing w:val="-6"/>
          <w:kern w:val="0"/>
          <w:sz w:val="28"/>
          <w:szCs w:val="28"/>
          <w:highlight w:val="none"/>
        </w:rPr>
        <w:fldChar w:fldCharType="begin"/>
      </w:r>
      <w:r>
        <w:rPr>
          <w:rFonts w:hint="eastAsia" w:ascii="宋体" w:hAnsi="宋体" w:eastAsia="宋体" w:cs="宋体"/>
          <w:color w:val="auto"/>
          <w:spacing w:val="-6"/>
          <w:kern w:val="0"/>
          <w:sz w:val="28"/>
          <w:szCs w:val="28"/>
          <w:highlight w:val="none"/>
        </w:rPr>
        <w:instrText xml:space="preserve"> HYPERLINK \l _Toc5924 </w:instrText>
      </w:r>
      <w:r>
        <w:rPr>
          <w:rFonts w:hint="eastAsia" w:ascii="宋体" w:hAnsi="宋体" w:eastAsia="宋体" w:cs="宋体"/>
          <w:color w:val="auto"/>
          <w:spacing w:val="-6"/>
          <w:kern w:val="0"/>
          <w:sz w:val="28"/>
          <w:szCs w:val="28"/>
          <w:highlight w:val="none"/>
        </w:rPr>
        <w:fldChar w:fldCharType="separate"/>
      </w:r>
      <w:r>
        <w:rPr>
          <w:rFonts w:hint="eastAsia"/>
          <w:color w:val="auto"/>
          <w:sz w:val="28"/>
          <w:szCs w:val="28"/>
          <w:highlight w:val="none"/>
        </w:rPr>
        <w:t xml:space="preserve">第三章 </w:t>
      </w:r>
      <w:r>
        <w:rPr>
          <w:rFonts w:hint="eastAsia"/>
          <w:color w:val="auto"/>
          <w:sz w:val="28"/>
          <w:szCs w:val="28"/>
          <w:highlight w:val="none"/>
          <w:lang w:eastAsia="zh-CN"/>
        </w:rPr>
        <w:t>工程量清单</w:t>
      </w:r>
      <w:r>
        <w:rPr>
          <w:color w:val="auto"/>
          <w:sz w:val="28"/>
          <w:szCs w:val="28"/>
        </w:rPr>
        <w:tab/>
      </w:r>
      <w:r>
        <w:rPr>
          <w:color w:val="auto"/>
          <w:sz w:val="28"/>
          <w:szCs w:val="28"/>
        </w:rPr>
        <w:fldChar w:fldCharType="begin"/>
      </w:r>
      <w:r>
        <w:rPr>
          <w:color w:val="auto"/>
          <w:sz w:val="28"/>
          <w:szCs w:val="28"/>
        </w:rPr>
        <w:instrText xml:space="preserve"> PAGEREF _Toc5924 \h </w:instrText>
      </w:r>
      <w:r>
        <w:rPr>
          <w:color w:val="auto"/>
          <w:sz w:val="28"/>
          <w:szCs w:val="28"/>
        </w:rPr>
        <w:fldChar w:fldCharType="separate"/>
      </w:r>
      <w:r>
        <w:rPr>
          <w:color w:val="auto"/>
          <w:sz w:val="28"/>
          <w:szCs w:val="28"/>
        </w:rPr>
        <w:t>28</w:t>
      </w:r>
      <w:r>
        <w:rPr>
          <w:color w:val="auto"/>
          <w:sz w:val="28"/>
          <w:szCs w:val="28"/>
        </w:rPr>
        <w:fldChar w:fldCharType="end"/>
      </w:r>
      <w:r>
        <w:rPr>
          <w:rFonts w:hint="eastAsia" w:ascii="宋体" w:hAnsi="宋体" w:eastAsia="宋体" w:cs="宋体"/>
          <w:color w:val="auto"/>
          <w:spacing w:val="-6"/>
          <w:kern w:val="0"/>
          <w:sz w:val="28"/>
          <w:szCs w:val="28"/>
          <w:highlight w:val="none"/>
        </w:rPr>
        <w:fldChar w:fldCharType="end"/>
      </w:r>
    </w:p>
    <w:p w14:paraId="2AB9AD15">
      <w:pPr>
        <w:pStyle w:val="15"/>
        <w:keepNext w:val="0"/>
        <w:keepLines w:val="0"/>
        <w:pageBreakBefore w:val="0"/>
        <w:widowControl w:val="0"/>
        <w:tabs>
          <w:tab w:val="right" w:leader="dot" w:pos="8820"/>
        </w:tabs>
        <w:kinsoku/>
        <w:wordWrap/>
        <w:overflowPunct/>
        <w:topLinePunct w:val="0"/>
        <w:autoSpaceDE/>
        <w:autoSpaceDN/>
        <w:bidi w:val="0"/>
        <w:adjustRightInd/>
        <w:snapToGrid/>
        <w:spacing w:line="720" w:lineRule="auto"/>
        <w:ind w:left="0" w:leftChars="0" w:firstLine="418" w:firstLineChars="156"/>
        <w:textAlignment w:val="auto"/>
        <w:rPr>
          <w:color w:val="auto"/>
          <w:sz w:val="28"/>
          <w:szCs w:val="28"/>
        </w:rPr>
      </w:pPr>
      <w:r>
        <w:rPr>
          <w:rFonts w:hint="eastAsia" w:ascii="宋体" w:hAnsi="宋体" w:eastAsia="宋体" w:cs="宋体"/>
          <w:color w:val="auto"/>
          <w:spacing w:val="-6"/>
          <w:kern w:val="0"/>
          <w:sz w:val="28"/>
          <w:szCs w:val="28"/>
          <w:highlight w:val="none"/>
        </w:rPr>
        <w:fldChar w:fldCharType="begin"/>
      </w:r>
      <w:r>
        <w:rPr>
          <w:rFonts w:hint="eastAsia" w:ascii="宋体" w:hAnsi="宋体" w:eastAsia="宋体" w:cs="宋体"/>
          <w:color w:val="auto"/>
          <w:spacing w:val="-6"/>
          <w:kern w:val="0"/>
          <w:sz w:val="28"/>
          <w:szCs w:val="28"/>
          <w:highlight w:val="none"/>
        </w:rPr>
        <w:instrText xml:space="preserve"> HYPERLINK \l _Toc3036 </w:instrText>
      </w:r>
      <w:r>
        <w:rPr>
          <w:rFonts w:hint="eastAsia" w:ascii="宋体" w:hAnsi="宋体" w:eastAsia="宋体" w:cs="宋体"/>
          <w:color w:val="auto"/>
          <w:spacing w:val="-6"/>
          <w:kern w:val="0"/>
          <w:sz w:val="28"/>
          <w:szCs w:val="28"/>
          <w:highlight w:val="none"/>
        </w:rPr>
        <w:fldChar w:fldCharType="separate"/>
      </w:r>
      <w:r>
        <w:rPr>
          <w:rFonts w:hint="eastAsia" w:ascii="宋体" w:hAnsi="宋体" w:eastAsia="宋体" w:cs="宋体"/>
          <w:color w:val="auto"/>
          <w:sz w:val="28"/>
          <w:szCs w:val="28"/>
          <w:highlight w:val="none"/>
          <w:lang w:eastAsia="zh-CN"/>
        </w:rPr>
        <w:t>第四章</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评审办法</w:t>
      </w:r>
      <w:bookmarkStart w:id="1995" w:name="_GoBack"/>
      <w:bookmarkEnd w:id="1995"/>
      <w:r>
        <w:rPr>
          <w:color w:val="auto"/>
          <w:sz w:val="28"/>
          <w:szCs w:val="28"/>
        </w:rPr>
        <w:tab/>
      </w:r>
      <w:r>
        <w:rPr>
          <w:color w:val="auto"/>
          <w:sz w:val="28"/>
          <w:szCs w:val="28"/>
        </w:rPr>
        <w:fldChar w:fldCharType="begin"/>
      </w:r>
      <w:r>
        <w:rPr>
          <w:color w:val="auto"/>
          <w:sz w:val="28"/>
          <w:szCs w:val="28"/>
        </w:rPr>
        <w:instrText xml:space="preserve"> PAGEREF _Toc3036 \h </w:instrText>
      </w:r>
      <w:r>
        <w:rPr>
          <w:color w:val="auto"/>
          <w:sz w:val="28"/>
          <w:szCs w:val="28"/>
        </w:rPr>
        <w:fldChar w:fldCharType="separate"/>
      </w:r>
      <w:r>
        <w:rPr>
          <w:color w:val="auto"/>
          <w:sz w:val="28"/>
          <w:szCs w:val="28"/>
        </w:rPr>
        <w:t>30</w:t>
      </w:r>
      <w:r>
        <w:rPr>
          <w:color w:val="auto"/>
          <w:sz w:val="28"/>
          <w:szCs w:val="28"/>
        </w:rPr>
        <w:fldChar w:fldCharType="end"/>
      </w:r>
      <w:r>
        <w:rPr>
          <w:rFonts w:hint="eastAsia" w:ascii="宋体" w:hAnsi="宋体" w:eastAsia="宋体" w:cs="宋体"/>
          <w:color w:val="auto"/>
          <w:spacing w:val="-6"/>
          <w:kern w:val="0"/>
          <w:sz w:val="28"/>
          <w:szCs w:val="28"/>
          <w:highlight w:val="none"/>
        </w:rPr>
        <w:fldChar w:fldCharType="end"/>
      </w:r>
    </w:p>
    <w:p w14:paraId="3B8581A5">
      <w:pPr>
        <w:pStyle w:val="15"/>
        <w:keepNext w:val="0"/>
        <w:keepLines w:val="0"/>
        <w:pageBreakBefore w:val="0"/>
        <w:widowControl w:val="0"/>
        <w:tabs>
          <w:tab w:val="right" w:leader="dot" w:pos="8820"/>
        </w:tabs>
        <w:kinsoku/>
        <w:wordWrap/>
        <w:overflowPunct/>
        <w:topLinePunct w:val="0"/>
        <w:autoSpaceDE/>
        <w:autoSpaceDN/>
        <w:bidi w:val="0"/>
        <w:adjustRightInd/>
        <w:snapToGrid/>
        <w:spacing w:line="720" w:lineRule="auto"/>
        <w:ind w:left="0" w:leftChars="0" w:firstLine="418" w:firstLineChars="156"/>
        <w:textAlignment w:val="auto"/>
        <w:rPr>
          <w:color w:val="auto"/>
          <w:sz w:val="28"/>
          <w:szCs w:val="28"/>
        </w:rPr>
      </w:pPr>
      <w:r>
        <w:rPr>
          <w:rFonts w:hint="eastAsia" w:ascii="宋体" w:hAnsi="宋体" w:eastAsia="宋体" w:cs="宋体"/>
          <w:color w:val="auto"/>
          <w:spacing w:val="-6"/>
          <w:kern w:val="0"/>
          <w:sz w:val="28"/>
          <w:szCs w:val="28"/>
          <w:highlight w:val="none"/>
        </w:rPr>
        <w:fldChar w:fldCharType="begin"/>
      </w:r>
      <w:r>
        <w:rPr>
          <w:rFonts w:hint="eastAsia" w:ascii="宋体" w:hAnsi="宋体" w:eastAsia="宋体" w:cs="宋体"/>
          <w:color w:val="auto"/>
          <w:spacing w:val="-6"/>
          <w:kern w:val="0"/>
          <w:sz w:val="28"/>
          <w:szCs w:val="28"/>
          <w:highlight w:val="none"/>
        </w:rPr>
        <w:instrText xml:space="preserve"> HYPERLINK \l _Toc31422 </w:instrText>
      </w:r>
      <w:r>
        <w:rPr>
          <w:rFonts w:hint="eastAsia" w:ascii="宋体" w:hAnsi="宋体" w:eastAsia="宋体" w:cs="宋体"/>
          <w:color w:val="auto"/>
          <w:spacing w:val="-6"/>
          <w:kern w:val="0"/>
          <w:sz w:val="28"/>
          <w:szCs w:val="28"/>
          <w:highlight w:val="none"/>
        </w:rPr>
        <w:fldChar w:fldCharType="separate"/>
      </w:r>
      <w:r>
        <w:rPr>
          <w:rFonts w:hint="eastAsia" w:ascii="宋体" w:hAnsi="宋体" w:eastAsia="宋体" w:cs="宋体"/>
          <w:color w:val="auto"/>
          <w:sz w:val="28"/>
          <w:szCs w:val="28"/>
          <w:highlight w:val="none"/>
          <w:lang w:eastAsia="zh-CN"/>
        </w:rPr>
        <w:t>第五章</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采购合同（合同主要条款及格式）</w:t>
      </w:r>
      <w:r>
        <w:rPr>
          <w:color w:val="auto"/>
          <w:sz w:val="28"/>
          <w:szCs w:val="28"/>
        </w:rPr>
        <w:tab/>
      </w:r>
      <w:r>
        <w:rPr>
          <w:color w:val="auto"/>
          <w:sz w:val="28"/>
          <w:szCs w:val="28"/>
        </w:rPr>
        <w:fldChar w:fldCharType="begin"/>
      </w:r>
      <w:r>
        <w:rPr>
          <w:color w:val="auto"/>
          <w:sz w:val="28"/>
          <w:szCs w:val="28"/>
        </w:rPr>
        <w:instrText xml:space="preserve"> PAGEREF _Toc31422 \h </w:instrText>
      </w:r>
      <w:r>
        <w:rPr>
          <w:color w:val="auto"/>
          <w:sz w:val="28"/>
          <w:szCs w:val="28"/>
        </w:rPr>
        <w:fldChar w:fldCharType="separate"/>
      </w:r>
      <w:r>
        <w:rPr>
          <w:color w:val="auto"/>
          <w:sz w:val="28"/>
          <w:szCs w:val="28"/>
        </w:rPr>
        <w:t>34</w:t>
      </w:r>
      <w:r>
        <w:rPr>
          <w:color w:val="auto"/>
          <w:sz w:val="28"/>
          <w:szCs w:val="28"/>
        </w:rPr>
        <w:fldChar w:fldCharType="end"/>
      </w:r>
      <w:r>
        <w:rPr>
          <w:rFonts w:hint="eastAsia" w:ascii="宋体" w:hAnsi="宋体" w:eastAsia="宋体" w:cs="宋体"/>
          <w:color w:val="auto"/>
          <w:spacing w:val="-6"/>
          <w:kern w:val="0"/>
          <w:sz w:val="28"/>
          <w:szCs w:val="28"/>
          <w:highlight w:val="none"/>
        </w:rPr>
        <w:fldChar w:fldCharType="end"/>
      </w:r>
    </w:p>
    <w:p w14:paraId="39D3517D">
      <w:pPr>
        <w:pStyle w:val="15"/>
        <w:keepNext w:val="0"/>
        <w:keepLines w:val="0"/>
        <w:pageBreakBefore w:val="0"/>
        <w:widowControl w:val="0"/>
        <w:tabs>
          <w:tab w:val="right" w:leader="dot" w:pos="8820"/>
        </w:tabs>
        <w:kinsoku/>
        <w:wordWrap/>
        <w:overflowPunct/>
        <w:topLinePunct w:val="0"/>
        <w:autoSpaceDE/>
        <w:autoSpaceDN/>
        <w:bidi w:val="0"/>
        <w:adjustRightInd/>
        <w:snapToGrid/>
        <w:spacing w:line="720" w:lineRule="auto"/>
        <w:ind w:left="0" w:leftChars="0" w:firstLine="418" w:firstLineChars="156"/>
        <w:textAlignment w:val="auto"/>
        <w:rPr>
          <w:color w:val="auto"/>
          <w:sz w:val="28"/>
          <w:szCs w:val="28"/>
        </w:rPr>
      </w:pPr>
      <w:r>
        <w:rPr>
          <w:rFonts w:hint="eastAsia" w:ascii="宋体" w:hAnsi="宋体" w:eastAsia="宋体" w:cs="宋体"/>
          <w:color w:val="auto"/>
          <w:spacing w:val="-6"/>
          <w:kern w:val="0"/>
          <w:sz w:val="28"/>
          <w:szCs w:val="28"/>
          <w:highlight w:val="none"/>
        </w:rPr>
        <w:fldChar w:fldCharType="begin"/>
      </w:r>
      <w:r>
        <w:rPr>
          <w:rFonts w:hint="eastAsia" w:ascii="宋体" w:hAnsi="宋体" w:eastAsia="宋体" w:cs="宋体"/>
          <w:color w:val="auto"/>
          <w:spacing w:val="-6"/>
          <w:kern w:val="0"/>
          <w:sz w:val="28"/>
          <w:szCs w:val="28"/>
          <w:highlight w:val="none"/>
        </w:rPr>
        <w:instrText xml:space="preserve"> HYPERLINK \l _Toc24304 </w:instrText>
      </w:r>
      <w:r>
        <w:rPr>
          <w:rFonts w:hint="eastAsia" w:ascii="宋体" w:hAnsi="宋体" w:eastAsia="宋体" w:cs="宋体"/>
          <w:color w:val="auto"/>
          <w:spacing w:val="-6"/>
          <w:kern w:val="0"/>
          <w:sz w:val="28"/>
          <w:szCs w:val="28"/>
          <w:highlight w:val="none"/>
        </w:rPr>
        <w:fldChar w:fldCharType="separate"/>
      </w:r>
      <w:r>
        <w:rPr>
          <w:rFonts w:hint="eastAsia" w:ascii="宋体" w:hAnsi="宋体" w:eastAsia="宋体" w:cs="宋体"/>
          <w:bCs/>
          <w:color w:val="auto"/>
          <w:kern w:val="44"/>
          <w:sz w:val="28"/>
          <w:szCs w:val="28"/>
          <w:highlight w:val="none"/>
        </w:rPr>
        <w:t xml:space="preserve">第六章 </w:t>
      </w:r>
      <w:r>
        <w:rPr>
          <w:rFonts w:hint="eastAsia" w:ascii="宋体" w:hAnsi="宋体" w:eastAsia="宋体" w:cs="宋体"/>
          <w:bCs/>
          <w:color w:val="auto"/>
          <w:sz w:val="28"/>
          <w:szCs w:val="28"/>
          <w:highlight w:val="none"/>
        </w:rPr>
        <w:t>响应文件（格式）</w:t>
      </w:r>
      <w:r>
        <w:rPr>
          <w:color w:val="auto"/>
          <w:sz w:val="28"/>
          <w:szCs w:val="28"/>
        </w:rPr>
        <w:tab/>
      </w:r>
      <w:r>
        <w:rPr>
          <w:color w:val="auto"/>
          <w:sz w:val="28"/>
          <w:szCs w:val="28"/>
        </w:rPr>
        <w:fldChar w:fldCharType="begin"/>
      </w:r>
      <w:r>
        <w:rPr>
          <w:color w:val="auto"/>
          <w:sz w:val="28"/>
          <w:szCs w:val="28"/>
        </w:rPr>
        <w:instrText xml:space="preserve"> PAGEREF _Toc24304 \h </w:instrText>
      </w:r>
      <w:r>
        <w:rPr>
          <w:color w:val="auto"/>
          <w:sz w:val="28"/>
          <w:szCs w:val="28"/>
        </w:rPr>
        <w:fldChar w:fldCharType="separate"/>
      </w:r>
      <w:r>
        <w:rPr>
          <w:color w:val="auto"/>
          <w:sz w:val="28"/>
          <w:szCs w:val="28"/>
        </w:rPr>
        <w:t>75</w:t>
      </w:r>
      <w:r>
        <w:rPr>
          <w:color w:val="auto"/>
          <w:sz w:val="28"/>
          <w:szCs w:val="28"/>
        </w:rPr>
        <w:fldChar w:fldCharType="end"/>
      </w:r>
      <w:r>
        <w:rPr>
          <w:rFonts w:hint="eastAsia" w:ascii="宋体" w:hAnsi="宋体" w:eastAsia="宋体" w:cs="宋体"/>
          <w:color w:val="auto"/>
          <w:spacing w:val="-6"/>
          <w:kern w:val="0"/>
          <w:sz w:val="28"/>
          <w:szCs w:val="28"/>
          <w:highlight w:val="none"/>
        </w:rPr>
        <w:fldChar w:fldCharType="end"/>
      </w:r>
    </w:p>
    <w:p w14:paraId="3B9B6C65">
      <w:pPr>
        <w:pStyle w:val="15"/>
        <w:keepNext w:val="0"/>
        <w:keepLines w:val="0"/>
        <w:pageBreakBefore w:val="0"/>
        <w:widowControl w:val="0"/>
        <w:tabs>
          <w:tab w:val="right" w:leader="dot" w:pos="8820"/>
        </w:tabs>
        <w:kinsoku/>
        <w:wordWrap/>
        <w:overflowPunct/>
        <w:topLinePunct w:val="0"/>
        <w:autoSpaceDE/>
        <w:autoSpaceDN/>
        <w:bidi w:val="0"/>
        <w:adjustRightInd/>
        <w:snapToGrid/>
        <w:spacing w:line="720" w:lineRule="auto"/>
        <w:ind w:left="0" w:leftChars="0" w:firstLine="418" w:firstLineChars="156"/>
        <w:textAlignment w:val="auto"/>
        <w:rPr>
          <w:color w:val="auto"/>
        </w:rPr>
      </w:pPr>
      <w:r>
        <w:rPr>
          <w:rFonts w:hint="eastAsia" w:ascii="宋体" w:hAnsi="宋体" w:eastAsia="宋体" w:cs="宋体"/>
          <w:color w:val="auto"/>
          <w:spacing w:val="-6"/>
          <w:kern w:val="0"/>
          <w:sz w:val="28"/>
          <w:szCs w:val="28"/>
          <w:highlight w:val="none"/>
        </w:rPr>
        <w:fldChar w:fldCharType="begin"/>
      </w:r>
      <w:r>
        <w:rPr>
          <w:rFonts w:hint="eastAsia" w:ascii="宋体" w:hAnsi="宋体" w:eastAsia="宋体" w:cs="宋体"/>
          <w:color w:val="auto"/>
          <w:spacing w:val="-6"/>
          <w:kern w:val="0"/>
          <w:sz w:val="28"/>
          <w:szCs w:val="28"/>
          <w:highlight w:val="none"/>
        </w:rPr>
        <w:instrText xml:space="preserve"> HYPERLINK \l _Toc25736 </w:instrText>
      </w:r>
      <w:r>
        <w:rPr>
          <w:rFonts w:hint="eastAsia" w:ascii="宋体" w:hAnsi="宋体" w:eastAsia="宋体" w:cs="宋体"/>
          <w:color w:val="auto"/>
          <w:spacing w:val="-6"/>
          <w:kern w:val="0"/>
          <w:sz w:val="28"/>
          <w:szCs w:val="28"/>
          <w:highlight w:val="none"/>
        </w:rPr>
        <w:fldChar w:fldCharType="separate"/>
      </w:r>
      <w:r>
        <w:rPr>
          <w:rFonts w:hint="eastAsia"/>
          <w:color w:val="auto"/>
          <w:sz w:val="28"/>
          <w:szCs w:val="28"/>
          <w:highlight w:val="none"/>
        </w:rPr>
        <w:t>第七章</w:t>
      </w:r>
      <w:r>
        <w:rPr>
          <w:rFonts w:hint="eastAsia"/>
          <w:color w:val="auto"/>
          <w:sz w:val="28"/>
          <w:szCs w:val="28"/>
          <w:highlight w:val="none"/>
          <w:lang w:val="en-US" w:eastAsia="zh-CN"/>
        </w:rPr>
        <w:t xml:space="preserve"> </w:t>
      </w:r>
      <w:r>
        <w:rPr>
          <w:rFonts w:hint="eastAsia"/>
          <w:color w:val="auto"/>
          <w:sz w:val="28"/>
          <w:szCs w:val="28"/>
          <w:highlight w:val="none"/>
        </w:rPr>
        <w:t>图纸</w:t>
      </w:r>
      <w:r>
        <w:rPr>
          <w:color w:val="auto"/>
          <w:sz w:val="28"/>
          <w:szCs w:val="28"/>
        </w:rPr>
        <w:tab/>
      </w:r>
      <w:r>
        <w:rPr>
          <w:color w:val="auto"/>
          <w:sz w:val="28"/>
          <w:szCs w:val="28"/>
        </w:rPr>
        <w:fldChar w:fldCharType="begin"/>
      </w:r>
      <w:r>
        <w:rPr>
          <w:color w:val="auto"/>
          <w:sz w:val="28"/>
          <w:szCs w:val="28"/>
        </w:rPr>
        <w:instrText xml:space="preserve"> PAGEREF _Toc25736 \h </w:instrText>
      </w:r>
      <w:r>
        <w:rPr>
          <w:color w:val="auto"/>
          <w:sz w:val="28"/>
          <w:szCs w:val="28"/>
        </w:rPr>
        <w:fldChar w:fldCharType="separate"/>
      </w:r>
      <w:r>
        <w:rPr>
          <w:color w:val="auto"/>
          <w:sz w:val="28"/>
          <w:szCs w:val="28"/>
        </w:rPr>
        <w:t>96</w:t>
      </w:r>
      <w:r>
        <w:rPr>
          <w:color w:val="auto"/>
          <w:sz w:val="28"/>
          <w:szCs w:val="28"/>
        </w:rPr>
        <w:fldChar w:fldCharType="end"/>
      </w:r>
      <w:r>
        <w:rPr>
          <w:rFonts w:hint="eastAsia" w:ascii="宋体" w:hAnsi="宋体" w:eastAsia="宋体" w:cs="宋体"/>
          <w:color w:val="auto"/>
          <w:spacing w:val="-6"/>
          <w:kern w:val="0"/>
          <w:sz w:val="28"/>
          <w:szCs w:val="28"/>
          <w:highlight w:val="none"/>
        </w:rPr>
        <w:fldChar w:fldCharType="end"/>
      </w:r>
    </w:p>
    <w:p w14:paraId="6D485830">
      <w:pPr>
        <w:keepNext w:val="0"/>
        <w:keepLines w:val="0"/>
        <w:pageBreakBefore w:val="0"/>
        <w:widowControl w:val="0"/>
        <w:kinsoku/>
        <w:wordWrap/>
        <w:overflowPunct/>
        <w:topLinePunct w:val="0"/>
        <w:autoSpaceDE/>
        <w:autoSpaceDN/>
        <w:bidi w:val="0"/>
        <w:adjustRightInd/>
        <w:snapToGrid/>
        <w:spacing w:line="720" w:lineRule="auto"/>
        <w:jc w:val="center"/>
        <w:textAlignment w:val="auto"/>
        <w:outlineLvl w:val="9"/>
        <w:rPr>
          <w:rFonts w:hint="eastAsia" w:ascii="宋体" w:hAnsi="宋体" w:eastAsia="宋体" w:cs="宋体"/>
          <w:color w:val="auto"/>
          <w:spacing w:val="-6"/>
          <w:kern w:val="0"/>
          <w:sz w:val="36"/>
          <w:szCs w:val="36"/>
          <w:highlight w:val="none"/>
        </w:rPr>
      </w:pPr>
      <w:r>
        <w:rPr>
          <w:rFonts w:hint="eastAsia" w:ascii="宋体" w:hAnsi="宋体" w:eastAsia="宋体" w:cs="宋体"/>
          <w:color w:val="auto"/>
          <w:spacing w:val="-6"/>
          <w:kern w:val="0"/>
          <w:szCs w:val="36"/>
          <w:highlight w:val="none"/>
        </w:rPr>
        <w:fldChar w:fldCharType="end"/>
      </w:r>
    </w:p>
    <w:p w14:paraId="6D22AD3F">
      <w:pPr>
        <w:keepNext w:val="0"/>
        <w:keepLines w:val="0"/>
        <w:pageBreakBefore w:val="0"/>
        <w:widowControl w:val="0"/>
        <w:wordWrap/>
        <w:topLinePunct w:val="0"/>
        <w:bidi w:val="0"/>
        <w:outlineLvl w:val="9"/>
        <w:rPr>
          <w:rFonts w:hint="eastAsia" w:ascii="宋体" w:hAnsi="宋体" w:eastAsia="宋体" w:cs="宋体"/>
          <w:color w:val="auto"/>
          <w:spacing w:val="-6"/>
          <w:kern w:val="0"/>
          <w:sz w:val="24"/>
          <w:szCs w:val="24"/>
          <w:highlight w:val="none"/>
        </w:rPr>
      </w:pPr>
    </w:p>
    <w:p w14:paraId="039F91AA">
      <w:pPr>
        <w:keepNext w:val="0"/>
        <w:keepLines w:val="0"/>
        <w:pageBreakBefore w:val="0"/>
        <w:widowControl w:val="0"/>
        <w:wordWrap/>
        <w:topLinePunct w:val="0"/>
        <w:bidi w:val="0"/>
        <w:rPr>
          <w:color w:val="auto"/>
          <w:highlight w:val="none"/>
        </w:rPr>
      </w:pPr>
    </w:p>
    <w:p w14:paraId="4FE3C042">
      <w:pPr>
        <w:pStyle w:val="2"/>
        <w:keepNext w:val="0"/>
        <w:keepLines w:val="0"/>
        <w:pageBreakBefore w:val="0"/>
        <w:widowControl w:val="0"/>
        <w:numPr>
          <w:ilvl w:val="0"/>
          <w:numId w:val="1"/>
        </w:numPr>
        <w:tabs>
          <w:tab w:val="left" w:pos="0"/>
        </w:tabs>
        <w:wordWrap/>
        <w:topLinePunct w:val="0"/>
        <w:autoSpaceDE w:val="0"/>
        <w:autoSpaceDN w:val="0"/>
        <w:bidi w:val="0"/>
        <w:adjustRightInd w:val="0"/>
        <w:spacing w:before="0" w:after="0" w:line="360" w:lineRule="auto"/>
        <w:ind w:firstLine="425"/>
        <w:jc w:val="center"/>
        <w:rPr>
          <w:rFonts w:hint="eastAsia" w:ascii="宋体" w:hAnsi="宋体" w:eastAsia="宋体" w:cs="宋体"/>
          <w:color w:val="auto"/>
          <w:sz w:val="32"/>
          <w:szCs w:val="32"/>
          <w:highlight w:val="none"/>
        </w:rPr>
        <w:sectPr>
          <w:footerReference r:id="rId4" w:type="first"/>
          <w:footerReference r:id="rId3" w:type="default"/>
          <w:pgSz w:w="11906" w:h="16838"/>
          <w:pgMar w:top="1418" w:right="1417" w:bottom="1418" w:left="1417" w:header="851" w:footer="992" w:gutter="0"/>
          <w:pgNumType w:fmt="decimal" w:start="1"/>
          <w:cols w:space="720" w:num="1"/>
          <w:titlePg/>
          <w:docGrid w:type="lines" w:linePitch="312" w:charSpace="0"/>
        </w:sectPr>
      </w:pPr>
      <w:bookmarkStart w:id="1" w:name="_Toc28359011"/>
      <w:bookmarkStart w:id="2" w:name="_Toc30170"/>
      <w:bookmarkStart w:id="3" w:name="_Toc35393797"/>
      <w:bookmarkStart w:id="4" w:name="_Toc26809"/>
      <w:bookmarkStart w:id="5" w:name="_Toc21930"/>
    </w:p>
    <w:p w14:paraId="5A5FBDE9">
      <w:pPr>
        <w:pStyle w:val="2"/>
        <w:keepNext w:val="0"/>
        <w:keepLines w:val="0"/>
        <w:pageBreakBefore w:val="0"/>
        <w:widowControl w:val="0"/>
        <w:numPr>
          <w:ilvl w:val="0"/>
          <w:numId w:val="0"/>
        </w:numPr>
        <w:tabs>
          <w:tab w:val="left" w:pos="0"/>
        </w:tabs>
        <w:wordWrap/>
        <w:topLinePunct w:val="0"/>
        <w:autoSpaceDE w:val="0"/>
        <w:autoSpaceDN w:val="0"/>
        <w:bidi w:val="0"/>
        <w:adjustRightInd w:val="0"/>
        <w:spacing w:before="0" w:after="0" w:line="360" w:lineRule="auto"/>
        <w:ind w:left="425" w:leftChars="0"/>
        <w:jc w:val="center"/>
        <w:rPr>
          <w:rFonts w:hint="eastAsia" w:ascii="宋体" w:hAnsi="宋体" w:eastAsia="宋体" w:cs="宋体"/>
          <w:color w:val="auto"/>
          <w:sz w:val="32"/>
          <w:szCs w:val="32"/>
          <w:highlight w:val="none"/>
        </w:rPr>
      </w:pPr>
      <w:bookmarkStart w:id="6" w:name="_Toc17218"/>
      <w:r>
        <w:rPr>
          <w:rFonts w:hint="eastAsia" w:ascii="宋体" w:hAnsi="宋体" w:eastAsia="宋体" w:cs="宋体"/>
          <w:color w:val="auto"/>
          <w:sz w:val="32"/>
          <w:szCs w:val="32"/>
          <w:highlight w:val="none"/>
          <w:lang w:eastAsia="zh-CN"/>
        </w:rPr>
        <w:t>第一章</w:t>
      </w:r>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rPr>
        <w:t>竞争性磋商公告</w:t>
      </w:r>
      <w:bookmarkEnd w:id="1"/>
      <w:bookmarkEnd w:id="2"/>
      <w:bookmarkEnd w:id="3"/>
      <w:bookmarkEnd w:id="4"/>
      <w:bookmarkEnd w:id="5"/>
      <w:bookmarkEnd w:id="6"/>
    </w:p>
    <w:tbl>
      <w:tblPr>
        <w:tblStyle w:val="28"/>
        <w:tblpPr w:leftFromText="180" w:rightFromText="180" w:vertAnchor="text" w:tblpX="38" w:tblpY="134"/>
        <w:tblOverlap w:val="never"/>
        <w:tblW w:w="93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0"/>
      </w:tblGrid>
      <w:tr w14:paraId="7C4E6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0" w:hRule="atLeast"/>
        </w:trPr>
        <w:tc>
          <w:tcPr>
            <w:tcW w:w="9320" w:type="dxa"/>
            <w:noWrap w:val="0"/>
            <w:vAlign w:val="top"/>
          </w:tcPr>
          <w:p w14:paraId="75D55C9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项目概况</w:t>
            </w:r>
          </w:p>
          <w:p w14:paraId="078AD93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b w:val="0"/>
                <w:bCs w:val="0"/>
                <w:color w:val="auto"/>
                <w:kern w:val="2"/>
                <w:sz w:val="21"/>
                <w:szCs w:val="24"/>
                <w:highlight w:val="none"/>
                <w:lang w:val="en-US" w:eastAsia="zh-CN" w:bidi="ar-SA"/>
              </w:rPr>
              <w:t>灌阳县公安局城关派出所改造提升项目</w:t>
            </w:r>
            <w:r>
              <w:rPr>
                <w:rFonts w:hint="eastAsia" w:ascii="宋体" w:hAnsi="宋体" w:eastAsia="宋体" w:cs="宋体"/>
                <w:b w:val="0"/>
                <w:bCs w:val="0"/>
                <w:color w:val="auto"/>
                <w:kern w:val="2"/>
                <w:sz w:val="21"/>
                <w:szCs w:val="24"/>
                <w:highlight w:val="none"/>
                <w:lang w:val="en-US" w:eastAsia="zh-CN" w:bidi="ar-SA"/>
              </w:rPr>
              <w:t>的潜在供应商应在广西政府采购云平台（https：//www.gcy.zfcg.gxzf.gov.cn/）线上获取。获取采购文件，并于2026年0</w:t>
            </w:r>
            <w:r>
              <w:rPr>
                <w:rFonts w:hint="eastAsia" w:ascii="宋体" w:hAnsi="宋体" w:cs="宋体"/>
                <w:b w:val="0"/>
                <w:bCs w:val="0"/>
                <w:color w:val="auto"/>
                <w:kern w:val="2"/>
                <w:sz w:val="21"/>
                <w:szCs w:val="24"/>
                <w:highlight w:val="none"/>
                <w:lang w:val="en-US" w:eastAsia="zh-CN" w:bidi="ar-SA"/>
              </w:rPr>
              <w:t>9</w:t>
            </w:r>
            <w:r>
              <w:rPr>
                <w:rFonts w:hint="eastAsia" w:ascii="宋体" w:hAnsi="宋体" w:eastAsia="宋体" w:cs="宋体"/>
                <w:b w:val="0"/>
                <w:bCs w:val="0"/>
                <w:color w:val="auto"/>
                <w:kern w:val="2"/>
                <w:sz w:val="21"/>
                <w:szCs w:val="24"/>
                <w:highlight w:val="none"/>
                <w:lang w:val="en-US" w:eastAsia="zh-CN" w:bidi="ar-SA"/>
              </w:rPr>
              <w:t>月</w:t>
            </w:r>
            <w:r>
              <w:rPr>
                <w:rFonts w:hint="eastAsia" w:ascii="宋体" w:hAnsi="宋体" w:cs="宋体"/>
                <w:b w:val="0"/>
                <w:bCs w:val="0"/>
                <w:color w:val="auto"/>
                <w:kern w:val="2"/>
                <w:sz w:val="21"/>
                <w:szCs w:val="24"/>
                <w:highlight w:val="none"/>
                <w:lang w:val="en-US" w:eastAsia="zh-CN" w:bidi="ar-SA"/>
              </w:rPr>
              <w:t>0</w:t>
            </w:r>
            <w:r>
              <w:rPr>
                <w:rFonts w:hint="eastAsia" w:ascii="宋体" w:hAnsi="宋体" w:eastAsia="宋体" w:cs="宋体"/>
                <w:b w:val="0"/>
                <w:bCs w:val="0"/>
                <w:color w:val="auto"/>
                <w:kern w:val="2"/>
                <w:sz w:val="21"/>
                <w:szCs w:val="24"/>
                <w:highlight w:val="none"/>
                <w:lang w:val="en-US" w:eastAsia="zh-CN" w:bidi="ar-SA"/>
              </w:rPr>
              <w:t xml:space="preserve">1日 09:30（北京时间）前提交响应文件。 </w:t>
            </w:r>
          </w:p>
        </w:tc>
      </w:tr>
    </w:tbl>
    <w:p w14:paraId="054AD54A">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hint="eastAsia" w:ascii="宋体" w:hAnsi="宋体" w:eastAsia="宋体" w:cs="宋体"/>
          <w:color w:val="auto"/>
          <w:sz w:val="21"/>
          <w:szCs w:val="21"/>
          <w:highlight w:val="none"/>
        </w:rPr>
      </w:pPr>
      <w:bookmarkStart w:id="7" w:name="_Toc28359089"/>
      <w:bookmarkStart w:id="8" w:name="_Toc35393798"/>
      <w:bookmarkStart w:id="9" w:name="_Toc28359012"/>
      <w:bookmarkStart w:id="10" w:name="_Toc35393629"/>
      <w:r>
        <w:rPr>
          <w:rFonts w:hint="eastAsia" w:ascii="宋体" w:hAnsi="宋体" w:eastAsia="宋体" w:cs="宋体"/>
          <w:b/>
          <w:bCs/>
          <w:color w:val="auto"/>
          <w:sz w:val="21"/>
          <w:szCs w:val="21"/>
          <w:highlight w:val="none"/>
        </w:rPr>
        <w:t>一、项目基本情况</w:t>
      </w:r>
      <w:bookmarkEnd w:id="7"/>
      <w:bookmarkEnd w:id="8"/>
      <w:bookmarkEnd w:id="9"/>
      <w:bookmarkEnd w:id="10"/>
    </w:p>
    <w:p w14:paraId="0C183AEB">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bookmarkStart w:id="11" w:name="_Toc35393799"/>
      <w:bookmarkStart w:id="12" w:name="_Toc28359013"/>
      <w:bookmarkStart w:id="13" w:name="_Toc28359090"/>
      <w:bookmarkStart w:id="14" w:name="_Toc35393630"/>
      <w:r>
        <w:rPr>
          <w:rFonts w:hint="eastAsia" w:ascii="宋体" w:hAnsi="宋体" w:eastAsia="宋体" w:cs="宋体"/>
          <w:bCs/>
          <w:color w:val="auto"/>
          <w:sz w:val="21"/>
          <w:szCs w:val="21"/>
          <w:highlight w:val="none"/>
          <w:lang w:val="en-US" w:eastAsia="zh-CN"/>
        </w:rPr>
        <w:t>项目编号：</w:t>
      </w:r>
      <w:r>
        <w:rPr>
          <w:rFonts w:hint="eastAsia" w:ascii="宋体" w:hAnsi="宋体" w:cs="宋体"/>
          <w:bCs/>
          <w:color w:val="auto"/>
          <w:sz w:val="21"/>
          <w:szCs w:val="21"/>
          <w:highlight w:val="none"/>
          <w:lang w:val="en-US" w:eastAsia="zh-CN"/>
        </w:rPr>
        <w:t>GLZC2026-C2-270033-BBWH</w:t>
      </w:r>
    </w:p>
    <w:p w14:paraId="6E81707C">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项目名称：</w:t>
      </w:r>
      <w:r>
        <w:rPr>
          <w:rFonts w:hint="eastAsia" w:ascii="宋体" w:hAnsi="宋体" w:cs="宋体"/>
          <w:bCs/>
          <w:color w:val="auto"/>
          <w:sz w:val="21"/>
          <w:szCs w:val="21"/>
          <w:highlight w:val="none"/>
          <w:lang w:val="en-US" w:eastAsia="zh-CN"/>
        </w:rPr>
        <w:t>灌阳县公安局城关派出所改造提升项目</w:t>
      </w:r>
    </w:p>
    <w:p w14:paraId="1AC22EB3">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采购方式：竞争性磋商</w:t>
      </w:r>
    </w:p>
    <w:p w14:paraId="332B11E3">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预算总金额（元）：</w:t>
      </w:r>
      <w:r>
        <w:rPr>
          <w:rFonts w:hint="eastAsia" w:ascii="宋体" w:hAnsi="宋体" w:cs="宋体"/>
          <w:bCs/>
          <w:color w:val="auto"/>
          <w:sz w:val="21"/>
          <w:szCs w:val="21"/>
          <w:highlight w:val="none"/>
          <w:lang w:val="en-US" w:eastAsia="zh-CN"/>
        </w:rPr>
        <w:t>2,383,369.52</w:t>
      </w:r>
    </w:p>
    <w:p w14:paraId="27761075">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采购需求：</w:t>
      </w:r>
    </w:p>
    <w:p w14:paraId="589488A7">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标项名称：</w:t>
      </w:r>
      <w:r>
        <w:rPr>
          <w:rFonts w:hint="eastAsia" w:ascii="宋体" w:hAnsi="宋体" w:cs="宋体"/>
          <w:bCs/>
          <w:color w:val="auto"/>
          <w:sz w:val="21"/>
          <w:szCs w:val="21"/>
          <w:highlight w:val="none"/>
          <w:lang w:val="en-US" w:eastAsia="zh-CN"/>
        </w:rPr>
        <w:t>灌阳县公安局城关派出所改造提升项目</w:t>
      </w:r>
    </w:p>
    <w:p w14:paraId="18BF8D41">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数量</w:t>
      </w:r>
      <w:r>
        <w:rPr>
          <w:rFonts w:hint="eastAsia" w:ascii="宋体" w:hAnsi="宋体" w:cs="宋体"/>
          <w:bCs/>
          <w:color w:val="auto"/>
          <w:sz w:val="21"/>
          <w:szCs w:val="21"/>
          <w:highlight w:val="none"/>
          <w:lang w:val="en-US" w:eastAsia="zh-CN"/>
        </w:rPr>
        <w:t>：</w:t>
      </w:r>
      <w:r>
        <w:rPr>
          <w:rFonts w:hint="eastAsia" w:ascii="宋体" w:hAnsi="宋体" w:eastAsia="宋体" w:cs="宋体"/>
          <w:bCs/>
          <w:color w:val="auto"/>
          <w:sz w:val="21"/>
          <w:szCs w:val="21"/>
          <w:highlight w:val="none"/>
          <w:lang w:val="en-US" w:eastAsia="zh-CN"/>
        </w:rPr>
        <w:t>不限</w:t>
      </w:r>
    </w:p>
    <w:p w14:paraId="55671AF7">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预算金额（元）：</w:t>
      </w:r>
      <w:r>
        <w:rPr>
          <w:rFonts w:hint="eastAsia" w:ascii="宋体" w:hAnsi="宋体" w:cs="宋体"/>
          <w:bCs/>
          <w:color w:val="auto"/>
          <w:sz w:val="21"/>
          <w:szCs w:val="21"/>
          <w:highlight w:val="none"/>
          <w:lang w:val="en-US" w:eastAsia="zh-CN"/>
        </w:rPr>
        <w:t>2,383,369.52</w:t>
      </w:r>
    </w:p>
    <w:p w14:paraId="16C3DFBB">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简要规格描述或项目基本概况介绍、用途：本工程改造两栋楼分别为业务用房和备勤楼，改造面积分别为1224.79m²和630.13m，改造总面积为1854.92m²。改造内容包括室内改造、外立面改造和扩建业务用房顶层备勤室</w:t>
      </w:r>
      <w:r>
        <w:rPr>
          <w:rFonts w:hint="eastAsia" w:ascii="宋体" w:hAnsi="宋体" w:cs="宋体"/>
          <w:bCs/>
          <w:color w:val="auto"/>
          <w:sz w:val="21"/>
          <w:szCs w:val="21"/>
          <w:highlight w:val="none"/>
          <w:lang w:val="en-US" w:eastAsia="zh-CN"/>
        </w:rPr>
        <w:t>；</w:t>
      </w:r>
      <w:r>
        <w:rPr>
          <w:rFonts w:hint="eastAsia" w:ascii="宋体" w:hAnsi="宋体" w:eastAsia="宋体" w:cs="宋体"/>
          <w:bCs/>
          <w:color w:val="auto"/>
          <w:sz w:val="21"/>
          <w:szCs w:val="21"/>
          <w:highlight w:val="none"/>
          <w:lang w:val="en-US" w:eastAsia="zh-CN"/>
        </w:rPr>
        <w:t>具体详见施工图纸及工程量清单。</w:t>
      </w:r>
    </w:p>
    <w:p w14:paraId="79F2A2F3">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最高限价（如有）：</w:t>
      </w:r>
      <w:r>
        <w:rPr>
          <w:rFonts w:hint="eastAsia" w:ascii="宋体" w:hAnsi="宋体" w:cs="宋体"/>
          <w:bCs/>
          <w:color w:val="auto"/>
          <w:sz w:val="21"/>
          <w:szCs w:val="21"/>
          <w:highlight w:val="none"/>
          <w:lang w:val="en-US" w:eastAsia="zh-CN"/>
        </w:rPr>
        <w:t>2,383,369.52</w:t>
      </w:r>
    </w:p>
    <w:p w14:paraId="4E92C6B8">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合同履约期限：</w:t>
      </w:r>
      <w:r>
        <w:rPr>
          <w:rFonts w:hint="eastAsia" w:ascii="宋体" w:hAnsi="宋体" w:cs="宋体"/>
          <w:bCs/>
          <w:color w:val="auto"/>
          <w:sz w:val="21"/>
          <w:szCs w:val="21"/>
          <w:highlight w:val="none"/>
          <w:lang w:val="en-US" w:eastAsia="zh-CN"/>
        </w:rPr>
        <w:t>自合同签订之日起120个日历天内完工</w:t>
      </w:r>
    </w:p>
    <w:p w14:paraId="5A7E4B30">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本标项（否）接受联合体投标</w:t>
      </w:r>
    </w:p>
    <w:p w14:paraId="3549FFB0">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备注：无</w:t>
      </w:r>
    </w:p>
    <w:p w14:paraId="22811360">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二、申请人的资格要求：</w:t>
      </w:r>
      <w:bookmarkEnd w:id="11"/>
      <w:bookmarkEnd w:id="12"/>
      <w:bookmarkEnd w:id="13"/>
      <w:bookmarkEnd w:id="14"/>
    </w:p>
    <w:p w14:paraId="4C255FC2">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1、满足《中华人民共和国政府采购法》第二十二条规定；</w:t>
      </w:r>
    </w:p>
    <w:p w14:paraId="28A07E17">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bookmarkStart w:id="15" w:name="_Toc28359091"/>
      <w:bookmarkStart w:id="16" w:name="_Toc28359014"/>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lang w:eastAsia="zh-CN"/>
        </w:rPr>
        <w:t>落实政府采购政策需满足的资格要求：本项目为专门面向小微企业采购的项目（供应商应为小微企业、监狱企业、残疾人福利性单位)；</w:t>
      </w:r>
    </w:p>
    <w:p w14:paraId="5CCEB0FA">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lang w:eastAsia="zh-CN"/>
        </w:rPr>
        <w:t>本项目的特定资格要求：</w:t>
      </w:r>
      <w:bookmarkStart w:id="17" w:name="_Toc35393800"/>
      <w:bookmarkStart w:id="18" w:name="_Toc35393631"/>
      <w:r>
        <w:rPr>
          <w:rFonts w:hint="eastAsia" w:ascii="宋体" w:hAnsi="宋体" w:eastAsia="宋体" w:cs="宋体"/>
          <w:bCs/>
          <w:color w:val="auto"/>
          <w:sz w:val="21"/>
          <w:szCs w:val="21"/>
          <w:highlight w:val="none"/>
          <w:lang w:eastAsia="zh-CN"/>
        </w:rPr>
        <w:t>分标1具备建筑工程施工总承包三级（含三级）以上资质，同时具有有效的安全生产许可证，并在人员、设备、资金等方面具备相应的施工能力；项目负责人须具备建筑工程贰级以上（含贰级）注册建造师执业资格资格，具有安全生产考核B证,且未担任其他在施建设工程项目的项目经理（符合《广西壮族自治区建筑市场诚信卡管理暂行办法》第十六条第一款及桂建管﹝2016﹞70号、桂建管〔2019〕26号和桂建管〔2020〕11号文除外）。</w:t>
      </w:r>
    </w:p>
    <w:bookmarkEnd w:id="15"/>
    <w:bookmarkEnd w:id="16"/>
    <w:bookmarkEnd w:id="17"/>
    <w:bookmarkEnd w:id="18"/>
    <w:p w14:paraId="7633D257">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hint="eastAsia" w:ascii="宋体" w:hAnsi="宋体" w:eastAsia="宋体" w:cs="宋体"/>
          <w:b/>
          <w:bCs/>
          <w:color w:val="auto"/>
          <w:sz w:val="21"/>
          <w:szCs w:val="21"/>
          <w:highlight w:val="none"/>
          <w:lang w:eastAsia="zh-CN"/>
        </w:rPr>
      </w:pPr>
      <w:bookmarkStart w:id="19" w:name="_Toc35393623"/>
      <w:bookmarkStart w:id="20" w:name="_Toc35393792"/>
      <w:bookmarkStart w:id="21" w:name="_Toc28359095"/>
      <w:bookmarkStart w:id="22" w:name="_Toc35393636"/>
      <w:bookmarkStart w:id="23" w:name="_Toc28359018"/>
      <w:bookmarkStart w:id="24" w:name="_Toc35393805"/>
      <w:r>
        <w:rPr>
          <w:rFonts w:hint="eastAsia" w:ascii="宋体" w:hAnsi="宋体" w:eastAsia="宋体" w:cs="宋体"/>
          <w:b/>
          <w:bCs/>
          <w:color w:val="auto"/>
          <w:sz w:val="21"/>
          <w:szCs w:val="21"/>
          <w:highlight w:val="none"/>
        </w:rPr>
        <w:t>三、获取</w:t>
      </w:r>
      <w:r>
        <w:rPr>
          <w:rFonts w:hint="eastAsia" w:ascii="宋体" w:hAnsi="宋体" w:eastAsia="宋体" w:cs="宋体"/>
          <w:b/>
          <w:bCs/>
          <w:color w:val="auto"/>
          <w:sz w:val="21"/>
          <w:szCs w:val="21"/>
          <w:highlight w:val="none"/>
          <w:lang w:eastAsia="zh-CN"/>
        </w:rPr>
        <w:t>采购</w:t>
      </w:r>
      <w:r>
        <w:rPr>
          <w:rFonts w:hint="eastAsia" w:ascii="宋体" w:hAnsi="宋体" w:eastAsia="宋体" w:cs="宋体"/>
          <w:b/>
          <w:bCs/>
          <w:color w:val="auto"/>
          <w:sz w:val="21"/>
          <w:szCs w:val="21"/>
          <w:highlight w:val="none"/>
        </w:rPr>
        <w:t>文件</w:t>
      </w:r>
      <w:bookmarkEnd w:id="19"/>
      <w:bookmarkEnd w:id="20"/>
      <w:r>
        <w:rPr>
          <w:rFonts w:hint="eastAsia" w:ascii="宋体" w:hAnsi="宋体" w:eastAsia="宋体" w:cs="宋体"/>
          <w:b/>
          <w:bCs/>
          <w:color w:val="auto"/>
          <w:sz w:val="21"/>
          <w:szCs w:val="21"/>
          <w:highlight w:val="none"/>
          <w:lang w:eastAsia="zh-CN"/>
        </w:rPr>
        <w:t>：</w:t>
      </w:r>
    </w:p>
    <w:p w14:paraId="031272DE">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eastAsia="zh-CN"/>
        </w:rPr>
      </w:pPr>
      <w:bookmarkStart w:id="25" w:name="_Toc28359005"/>
      <w:bookmarkStart w:id="26" w:name="_Toc28359082"/>
      <w:bookmarkStart w:id="27" w:name="_Toc35393793"/>
      <w:bookmarkStart w:id="28" w:name="_Toc35393624"/>
      <w:r>
        <w:rPr>
          <w:rFonts w:hint="eastAsia" w:ascii="宋体" w:hAnsi="宋体" w:eastAsia="宋体" w:cs="宋体"/>
          <w:bCs/>
          <w:color w:val="auto"/>
          <w:sz w:val="21"/>
          <w:szCs w:val="21"/>
          <w:highlight w:val="none"/>
          <w:lang w:eastAsia="zh-CN"/>
        </w:rPr>
        <w:t>时间：2026年08月</w:t>
      </w:r>
      <w:r>
        <w:rPr>
          <w:rFonts w:hint="eastAsia" w:ascii="宋体" w:hAnsi="宋体" w:cs="宋体"/>
          <w:bCs/>
          <w:color w:val="auto"/>
          <w:sz w:val="21"/>
          <w:szCs w:val="21"/>
          <w:highlight w:val="none"/>
          <w:lang w:val="en-US" w:eastAsia="zh-CN"/>
        </w:rPr>
        <w:t>20</w:t>
      </w:r>
      <w:r>
        <w:rPr>
          <w:rFonts w:hint="eastAsia" w:ascii="宋体" w:hAnsi="宋体" w:eastAsia="宋体" w:cs="宋体"/>
          <w:bCs/>
          <w:color w:val="auto"/>
          <w:sz w:val="21"/>
          <w:szCs w:val="21"/>
          <w:highlight w:val="none"/>
          <w:lang w:eastAsia="zh-CN"/>
        </w:rPr>
        <w:t>日至2026年0</w:t>
      </w:r>
      <w:r>
        <w:rPr>
          <w:rFonts w:hint="eastAsia" w:ascii="宋体" w:hAnsi="宋体" w:cs="宋体"/>
          <w:bCs/>
          <w:color w:val="auto"/>
          <w:sz w:val="21"/>
          <w:szCs w:val="21"/>
          <w:highlight w:val="none"/>
          <w:lang w:val="en-US" w:eastAsia="zh-CN"/>
        </w:rPr>
        <w:t>9</w:t>
      </w:r>
      <w:r>
        <w:rPr>
          <w:rFonts w:hint="eastAsia" w:ascii="宋体" w:hAnsi="宋体" w:eastAsia="宋体" w:cs="宋体"/>
          <w:bCs/>
          <w:color w:val="auto"/>
          <w:sz w:val="21"/>
          <w:szCs w:val="21"/>
          <w:highlight w:val="none"/>
          <w:lang w:eastAsia="zh-CN"/>
        </w:rPr>
        <w:t>月</w:t>
      </w:r>
      <w:r>
        <w:rPr>
          <w:rFonts w:hint="eastAsia" w:ascii="宋体" w:hAnsi="宋体" w:cs="宋体"/>
          <w:bCs/>
          <w:color w:val="auto"/>
          <w:sz w:val="21"/>
          <w:szCs w:val="21"/>
          <w:highlight w:val="none"/>
          <w:lang w:val="en-US" w:eastAsia="zh-CN"/>
        </w:rPr>
        <w:t>0</w:t>
      </w:r>
      <w:r>
        <w:rPr>
          <w:rFonts w:hint="eastAsia" w:ascii="宋体" w:hAnsi="宋体" w:eastAsia="宋体" w:cs="宋体"/>
          <w:bCs/>
          <w:color w:val="auto"/>
          <w:sz w:val="21"/>
          <w:szCs w:val="21"/>
          <w:highlight w:val="none"/>
          <w:lang w:eastAsia="zh-CN"/>
        </w:rPr>
        <w:t>1日，每天上午00:00:00至12:00:00，下午12:00:00至23:59:59（北京时间，法定节假日除外）</w:t>
      </w:r>
      <w:r>
        <w:rPr>
          <w:rFonts w:hint="eastAsia" w:ascii="宋体" w:hAnsi="宋体" w:cs="宋体"/>
          <w:bCs/>
          <w:color w:val="auto"/>
          <w:sz w:val="21"/>
          <w:szCs w:val="21"/>
          <w:highlight w:val="none"/>
          <w:lang w:eastAsia="zh-CN"/>
        </w:rPr>
        <w:t>。</w:t>
      </w:r>
    </w:p>
    <w:p w14:paraId="6A5F2235">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地点（网址）：广西政府采购云平台（https</w:t>
      </w:r>
      <w:r>
        <w:rPr>
          <w:rFonts w:hint="eastAsia" w:ascii="宋体" w:hAnsi="宋体" w:cs="宋体"/>
          <w:bCs/>
          <w:color w:val="auto"/>
          <w:sz w:val="21"/>
          <w:szCs w:val="21"/>
          <w:highlight w:val="none"/>
          <w:lang w:eastAsia="zh-CN"/>
        </w:rPr>
        <w:t>：</w:t>
      </w:r>
      <w:r>
        <w:rPr>
          <w:rFonts w:hint="eastAsia" w:ascii="宋体" w:hAnsi="宋体" w:eastAsia="宋体" w:cs="宋体"/>
          <w:bCs/>
          <w:color w:val="auto"/>
          <w:sz w:val="21"/>
          <w:szCs w:val="21"/>
          <w:highlight w:val="none"/>
          <w:lang w:eastAsia="zh-CN"/>
        </w:rPr>
        <w:t>//www.gcy.zfcg.gxzf.gov.cn/）线上获取</w:t>
      </w:r>
      <w:r>
        <w:rPr>
          <w:rFonts w:hint="eastAsia" w:ascii="宋体" w:hAnsi="宋体" w:cs="宋体"/>
          <w:bCs/>
          <w:color w:val="auto"/>
          <w:sz w:val="21"/>
          <w:szCs w:val="21"/>
          <w:highlight w:val="none"/>
          <w:lang w:eastAsia="zh-CN"/>
        </w:rPr>
        <w:t>。</w:t>
      </w:r>
    </w:p>
    <w:p w14:paraId="1F08F066">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方式：</w:t>
      </w:r>
      <w:r>
        <w:rPr>
          <w:rFonts w:hint="eastAsia" w:ascii="宋体" w:hAnsi="宋体" w:eastAsia="宋体" w:cs="宋体"/>
          <w:bCs/>
          <w:color w:val="auto"/>
          <w:sz w:val="21"/>
          <w:szCs w:val="21"/>
          <w:highlight w:val="none"/>
          <w:lang w:val="en-US" w:eastAsia="zh-CN"/>
        </w:rPr>
        <w:t>供应商登录广西政府采购云平台https://www.gcy.zfcg.gxzf.gov.cn/在线申请获取采购文件（进入“项目采购”应用，在获取采购文件菜单中选择项目，申请获取采购文件）</w:t>
      </w:r>
      <w:r>
        <w:rPr>
          <w:rFonts w:hint="eastAsia" w:ascii="宋体" w:hAnsi="宋体" w:cs="宋体"/>
          <w:bCs/>
          <w:color w:val="auto"/>
          <w:sz w:val="21"/>
          <w:szCs w:val="21"/>
          <w:highlight w:val="none"/>
          <w:lang w:val="en-US" w:eastAsia="zh-CN"/>
        </w:rPr>
        <w:t>。</w:t>
      </w:r>
    </w:p>
    <w:p w14:paraId="0B957963">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售价（元）：0。</w:t>
      </w:r>
    </w:p>
    <w:p w14:paraId="6007C1C5">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四、</w:t>
      </w:r>
      <w:r>
        <w:rPr>
          <w:rFonts w:hint="eastAsia" w:ascii="宋体" w:hAnsi="宋体" w:eastAsia="宋体" w:cs="宋体"/>
          <w:b/>
          <w:bCs/>
          <w:color w:val="auto"/>
          <w:sz w:val="21"/>
          <w:szCs w:val="21"/>
          <w:highlight w:val="none"/>
          <w:lang w:eastAsia="zh-CN"/>
        </w:rPr>
        <w:t>响应</w:t>
      </w:r>
      <w:r>
        <w:rPr>
          <w:rFonts w:hint="eastAsia" w:ascii="宋体" w:hAnsi="宋体" w:eastAsia="宋体" w:cs="宋体"/>
          <w:b/>
          <w:bCs/>
          <w:color w:val="auto"/>
          <w:sz w:val="21"/>
          <w:szCs w:val="21"/>
          <w:highlight w:val="none"/>
        </w:rPr>
        <w:t>文件</w:t>
      </w:r>
      <w:bookmarkEnd w:id="25"/>
      <w:bookmarkEnd w:id="26"/>
      <w:r>
        <w:rPr>
          <w:rFonts w:hint="eastAsia" w:ascii="宋体" w:hAnsi="宋体" w:eastAsia="宋体" w:cs="宋体"/>
          <w:b/>
          <w:bCs/>
          <w:color w:val="auto"/>
          <w:sz w:val="21"/>
          <w:szCs w:val="21"/>
          <w:highlight w:val="none"/>
          <w:lang w:eastAsia="zh-CN"/>
        </w:rPr>
        <w:t>提交</w:t>
      </w:r>
      <w:r>
        <w:rPr>
          <w:rFonts w:hint="eastAsia" w:ascii="宋体" w:hAnsi="宋体" w:eastAsia="宋体" w:cs="宋体"/>
          <w:b/>
          <w:bCs/>
          <w:color w:val="auto"/>
          <w:sz w:val="21"/>
          <w:szCs w:val="21"/>
          <w:highlight w:val="none"/>
        </w:rPr>
        <w:t>时间和地点</w:t>
      </w:r>
      <w:bookmarkEnd w:id="27"/>
      <w:bookmarkEnd w:id="28"/>
    </w:p>
    <w:p w14:paraId="36E36438">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截止时间：</w:t>
      </w:r>
      <w:r>
        <w:rPr>
          <w:rFonts w:hint="eastAsia" w:ascii="宋体" w:hAnsi="宋体" w:cs="宋体"/>
          <w:bCs/>
          <w:color w:val="auto"/>
          <w:sz w:val="21"/>
          <w:szCs w:val="21"/>
          <w:highlight w:val="none"/>
          <w:lang w:eastAsia="zh-CN"/>
        </w:rPr>
        <w:t>2026年09月01日</w:t>
      </w:r>
      <w:r>
        <w:rPr>
          <w:rFonts w:hint="eastAsia" w:ascii="宋体" w:hAnsi="宋体" w:eastAsia="宋体" w:cs="宋体"/>
          <w:bCs/>
          <w:color w:val="auto"/>
          <w:sz w:val="21"/>
          <w:szCs w:val="21"/>
          <w:highlight w:val="none"/>
          <w:lang w:val="en-US" w:eastAsia="zh-CN"/>
        </w:rPr>
        <w:t>9时30分</w:t>
      </w:r>
      <w:r>
        <w:rPr>
          <w:rFonts w:hint="eastAsia" w:ascii="宋体" w:hAnsi="宋体" w:eastAsia="宋体" w:cs="宋体"/>
          <w:bCs/>
          <w:color w:val="auto"/>
          <w:sz w:val="21"/>
          <w:szCs w:val="21"/>
          <w:highlight w:val="none"/>
          <w:lang w:eastAsia="zh-CN"/>
        </w:rPr>
        <w:t>（北京时间）。</w:t>
      </w:r>
    </w:p>
    <w:p w14:paraId="030BC2F6">
      <w:pPr>
        <w:keepNext w:val="0"/>
        <w:keepLines w:val="0"/>
        <w:pageBreakBefore w:val="0"/>
        <w:widowControl w:val="0"/>
        <w:wordWrap/>
        <w:topLinePunct w:val="0"/>
        <w:bidi w:val="0"/>
        <w:spacing w:line="380" w:lineRule="exact"/>
        <w:ind w:firstLine="540"/>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eastAsia="zh-CN"/>
        </w:rPr>
        <w:t>地</w:t>
      </w:r>
      <w:r>
        <w:rPr>
          <w:rFonts w:hint="eastAsia" w:ascii="宋体" w:hAnsi="宋体" w:eastAsia="宋体" w:cs="宋体"/>
          <w:bCs/>
          <w:color w:val="auto"/>
          <w:sz w:val="21"/>
          <w:szCs w:val="21"/>
          <w:highlight w:val="none"/>
          <w:lang w:val="en-US" w:eastAsia="zh-CN"/>
        </w:rPr>
        <w:t xml:space="preserve">    </w:t>
      </w:r>
      <w:r>
        <w:rPr>
          <w:rFonts w:hint="eastAsia" w:ascii="宋体" w:hAnsi="宋体" w:eastAsia="宋体" w:cs="宋体"/>
          <w:bCs/>
          <w:color w:val="auto"/>
          <w:sz w:val="21"/>
          <w:szCs w:val="21"/>
          <w:highlight w:val="none"/>
          <w:lang w:eastAsia="zh-CN"/>
        </w:rPr>
        <w:t>点：请登录广西政府采购云平台投标客户端投标</w:t>
      </w:r>
      <w:r>
        <w:rPr>
          <w:rFonts w:hint="eastAsia" w:ascii="宋体" w:hAnsi="宋体" w:cs="Times New Roman"/>
          <w:color w:val="auto"/>
          <w:szCs w:val="21"/>
          <w:highlight w:val="none"/>
          <w:lang w:eastAsia="zh-CN"/>
        </w:rPr>
        <w:t>。</w:t>
      </w:r>
    </w:p>
    <w:p w14:paraId="1CF57271">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五、开启</w:t>
      </w:r>
    </w:p>
    <w:p w14:paraId="6A6989A3">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时间：</w:t>
      </w:r>
      <w:r>
        <w:rPr>
          <w:rFonts w:hint="eastAsia" w:ascii="宋体" w:hAnsi="宋体" w:cs="宋体"/>
          <w:bCs/>
          <w:color w:val="auto"/>
          <w:sz w:val="21"/>
          <w:szCs w:val="21"/>
          <w:highlight w:val="none"/>
          <w:lang w:eastAsia="zh-CN"/>
        </w:rPr>
        <w:t>2026年09月01日</w:t>
      </w:r>
      <w:r>
        <w:rPr>
          <w:rFonts w:hint="eastAsia" w:ascii="宋体" w:hAnsi="宋体" w:eastAsia="宋体" w:cs="宋体"/>
          <w:bCs/>
          <w:color w:val="auto"/>
          <w:sz w:val="21"/>
          <w:szCs w:val="21"/>
          <w:highlight w:val="none"/>
          <w:lang w:val="en-US" w:eastAsia="zh-CN"/>
        </w:rPr>
        <w:t>9时30分</w:t>
      </w:r>
      <w:r>
        <w:rPr>
          <w:rFonts w:hint="eastAsia" w:ascii="宋体" w:hAnsi="宋体" w:eastAsia="宋体" w:cs="宋体"/>
          <w:bCs/>
          <w:color w:val="auto"/>
          <w:sz w:val="21"/>
          <w:szCs w:val="21"/>
          <w:highlight w:val="none"/>
          <w:lang w:eastAsia="zh-CN"/>
        </w:rPr>
        <w:t>（北京时间）截标后。</w:t>
      </w:r>
    </w:p>
    <w:p w14:paraId="0A457B8F">
      <w:pPr>
        <w:keepNext w:val="0"/>
        <w:keepLines w:val="0"/>
        <w:pageBreakBefore w:val="0"/>
        <w:widowControl w:val="0"/>
        <w:wordWrap/>
        <w:topLinePunct w:val="0"/>
        <w:bidi w:val="0"/>
        <w:spacing w:line="380" w:lineRule="exact"/>
        <w:ind w:firstLine="54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lang w:eastAsia="zh-CN"/>
        </w:rPr>
        <w:t>地</w:t>
      </w:r>
      <w:r>
        <w:rPr>
          <w:rFonts w:hint="eastAsia" w:ascii="宋体" w:hAnsi="宋体" w:eastAsia="宋体" w:cs="宋体"/>
          <w:bCs/>
          <w:color w:val="auto"/>
          <w:kern w:val="0"/>
          <w:szCs w:val="21"/>
          <w:highlight w:val="none"/>
        </w:rPr>
        <w:t>点</w:t>
      </w:r>
      <w:r>
        <w:rPr>
          <w:rFonts w:hint="eastAsia" w:ascii="宋体" w:hAnsi="宋体" w:eastAsia="宋体" w:cs="宋体"/>
          <w:color w:val="auto"/>
          <w:sz w:val="21"/>
          <w:szCs w:val="21"/>
          <w:highlight w:val="none"/>
        </w:rPr>
        <w:t>：通过广西政府采购云平台（https：//www.gcy.zfcg.gxzf.gov.cn/）实行在线响应。</w:t>
      </w:r>
    </w:p>
    <w:p w14:paraId="6305FF05">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hint="eastAsia" w:ascii="宋体" w:hAnsi="宋体" w:eastAsia="宋体" w:cs="宋体"/>
          <w:b/>
          <w:bCs/>
          <w:color w:val="auto"/>
          <w:sz w:val="21"/>
          <w:szCs w:val="21"/>
          <w:highlight w:val="none"/>
        </w:rPr>
      </w:pPr>
      <w:bookmarkStart w:id="29" w:name="_Toc28359007"/>
      <w:bookmarkStart w:id="30" w:name="_Toc28359084"/>
      <w:bookmarkStart w:id="31" w:name="_Toc35393794"/>
      <w:bookmarkStart w:id="32" w:name="_Toc35393625"/>
      <w:r>
        <w:rPr>
          <w:rFonts w:hint="eastAsia" w:ascii="宋体" w:hAnsi="宋体" w:eastAsia="宋体" w:cs="宋体"/>
          <w:b/>
          <w:bCs/>
          <w:color w:val="auto"/>
          <w:sz w:val="21"/>
          <w:szCs w:val="21"/>
          <w:highlight w:val="none"/>
          <w:lang w:eastAsia="zh-CN"/>
        </w:rPr>
        <w:t>六</w:t>
      </w:r>
      <w:r>
        <w:rPr>
          <w:rFonts w:hint="eastAsia" w:ascii="宋体" w:hAnsi="宋体" w:eastAsia="宋体" w:cs="宋体"/>
          <w:b/>
          <w:bCs/>
          <w:color w:val="auto"/>
          <w:sz w:val="21"/>
          <w:szCs w:val="21"/>
          <w:highlight w:val="none"/>
        </w:rPr>
        <w:t>、公告期限</w:t>
      </w:r>
      <w:bookmarkEnd w:id="29"/>
      <w:bookmarkEnd w:id="30"/>
      <w:bookmarkEnd w:id="31"/>
      <w:bookmarkEnd w:id="32"/>
    </w:p>
    <w:p w14:paraId="067A1743">
      <w:pPr>
        <w:keepNext w:val="0"/>
        <w:keepLines w:val="0"/>
        <w:pageBreakBefore w:val="0"/>
        <w:widowControl w:val="0"/>
        <w:wordWrap/>
        <w:topLinePunct w:val="0"/>
        <w:bidi w:val="0"/>
        <w:spacing w:line="380" w:lineRule="exact"/>
        <w:ind w:firstLine="54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自本公告发布之日起</w:t>
      </w:r>
      <w:r>
        <w:rPr>
          <w:rFonts w:hint="eastAsia" w:ascii="宋体" w:hAnsi="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个工作日。</w:t>
      </w:r>
    </w:p>
    <w:p w14:paraId="2C937362">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hint="eastAsia" w:ascii="宋体" w:hAnsi="宋体" w:eastAsia="宋体" w:cs="宋体"/>
          <w:b/>
          <w:bCs/>
          <w:color w:val="auto"/>
          <w:sz w:val="21"/>
          <w:szCs w:val="21"/>
          <w:highlight w:val="none"/>
        </w:rPr>
      </w:pPr>
      <w:bookmarkStart w:id="33" w:name="_Toc35393795"/>
      <w:bookmarkStart w:id="34" w:name="_Toc35393626"/>
      <w:r>
        <w:rPr>
          <w:rFonts w:hint="eastAsia" w:ascii="宋体" w:hAnsi="宋体" w:eastAsia="宋体" w:cs="宋体"/>
          <w:b/>
          <w:bCs/>
          <w:color w:val="auto"/>
          <w:sz w:val="21"/>
          <w:szCs w:val="21"/>
          <w:highlight w:val="none"/>
          <w:lang w:eastAsia="zh-CN"/>
        </w:rPr>
        <w:t>七</w:t>
      </w:r>
      <w:r>
        <w:rPr>
          <w:rFonts w:hint="eastAsia" w:ascii="宋体" w:hAnsi="宋体" w:eastAsia="宋体" w:cs="宋体"/>
          <w:b/>
          <w:bCs/>
          <w:color w:val="auto"/>
          <w:sz w:val="21"/>
          <w:szCs w:val="21"/>
          <w:highlight w:val="none"/>
        </w:rPr>
        <w:t>、其他补充事宜</w:t>
      </w:r>
      <w:bookmarkEnd w:id="33"/>
      <w:bookmarkEnd w:id="34"/>
    </w:p>
    <w:p w14:paraId="2D05550C">
      <w:pPr>
        <w:keepNext w:val="0"/>
        <w:keepLines w:val="0"/>
        <w:pageBreakBefore w:val="0"/>
        <w:widowControl w:val="0"/>
        <w:wordWrap/>
        <w:topLinePunct w:val="0"/>
        <w:bidi w:val="0"/>
        <w:spacing w:line="380" w:lineRule="exact"/>
        <w:ind w:firstLine="540"/>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w:t>
      </w:r>
      <w:r>
        <w:rPr>
          <w:rFonts w:hint="eastAsia" w:ascii="宋体" w:hAnsi="宋体" w:eastAsia="宋体" w:cs="宋体"/>
          <w:b/>
          <w:bCs w:val="0"/>
          <w:color w:val="auto"/>
          <w:sz w:val="21"/>
          <w:szCs w:val="21"/>
          <w:highlight w:val="none"/>
          <w:lang w:val="en-US" w:eastAsia="zh-CN"/>
        </w:rPr>
        <w:t>、本项目无需缴纳磋商保证金。</w:t>
      </w:r>
    </w:p>
    <w:p w14:paraId="53D2BA2E">
      <w:pPr>
        <w:keepNext w:val="0"/>
        <w:keepLines w:val="0"/>
        <w:pageBreakBefore w:val="0"/>
        <w:widowControl w:val="0"/>
        <w:wordWrap/>
        <w:topLinePunct w:val="0"/>
        <w:bidi w:val="0"/>
        <w:spacing w:line="380" w:lineRule="exact"/>
        <w:ind w:firstLine="540"/>
        <w:rPr>
          <w:rFonts w:hint="eastAsia" w:ascii="宋体" w:hAnsi="宋体"/>
          <w:color w:val="auto"/>
          <w:szCs w:val="21"/>
          <w:lang w:val="en-US" w:eastAsia="zh-CN"/>
        </w:rPr>
      </w:pPr>
      <w:r>
        <w:rPr>
          <w:rFonts w:hint="eastAsia" w:ascii="宋体" w:hAnsi="宋体" w:eastAsia="宋体" w:cs="宋体"/>
          <w:b/>
          <w:bCs w:val="0"/>
          <w:color w:val="auto"/>
          <w:sz w:val="21"/>
          <w:szCs w:val="21"/>
          <w:highlight w:val="none"/>
          <w:lang w:val="en-US" w:eastAsia="zh-CN"/>
        </w:rPr>
        <w:t>2、本项目专门面向中小企业采购；中小企业划分标准所属行业为：建筑业</w:t>
      </w:r>
      <w:r>
        <w:rPr>
          <w:rFonts w:hint="eastAsia" w:ascii="宋体" w:hAnsi="宋体" w:eastAsia="宋体" w:cs="宋体"/>
          <w:bCs/>
          <w:color w:val="auto"/>
          <w:sz w:val="21"/>
          <w:szCs w:val="21"/>
          <w:highlight w:val="none"/>
          <w:lang w:val="en-US" w:eastAsia="zh-CN"/>
        </w:rPr>
        <w:t>。</w:t>
      </w:r>
    </w:p>
    <w:p w14:paraId="0548F6E0">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lang w:eastAsia="zh-CN"/>
        </w:rPr>
        <w:t>本项目信息发布媒体：中国政府采购网（www.ccgp.gov.cn）；广西壮族自治区政府采购网（www.ccgp-guangxi.gov.cn）；桂林市政府采购网（zfcg.czj.guilin.gov.cn）。</w:t>
      </w:r>
    </w:p>
    <w:p w14:paraId="28710BFA">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4、本项目需要落实的政府采购政策：</w:t>
      </w:r>
    </w:p>
    <w:p w14:paraId="0B7DFB28">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（1）政府采购促进中小企业发展。</w:t>
      </w:r>
    </w:p>
    <w:p w14:paraId="0E9624A2">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（2）政府采购促进残疾人就业政策。</w:t>
      </w:r>
    </w:p>
    <w:p w14:paraId="01861E80">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（3）政府采购支持监狱企业发展。</w:t>
      </w:r>
    </w:p>
    <w:p w14:paraId="4BB98313">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5、资格要求特别说明：</w:t>
      </w:r>
    </w:p>
    <w:p w14:paraId="18221CCF">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7DE76FC4">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71F225D3">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00B17057">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6、“广西政府采购云平台”平台电子磋商相关事宜：</w:t>
      </w:r>
    </w:p>
    <w:p w14:paraId="124782F5">
      <w:pPr>
        <w:keepNext w:val="0"/>
        <w:keepLines w:val="0"/>
        <w:pageBreakBefore w:val="0"/>
        <w:widowControl w:val="0"/>
        <w:wordWrap/>
        <w:topLinePunct w:val="0"/>
        <w:bidi w:val="0"/>
        <w:spacing w:line="380" w:lineRule="exact"/>
        <w:ind w:firstLine="540"/>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w:t>
      </w:r>
      <w:r>
        <w:rPr>
          <w:rFonts w:hint="default" w:ascii="宋体" w:hAnsi="宋体" w:eastAsia="宋体" w:cs="宋体"/>
          <w:bCs/>
          <w:color w:val="auto"/>
          <w:sz w:val="21"/>
          <w:szCs w:val="21"/>
          <w:highlight w:val="none"/>
          <w:lang w:val="en-US" w:eastAsia="zh-CN"/>
        </w:rPr>
        <w:t>1）本项目实行全流程电子化采购，</w:t>
      </w:r>
      <w:r>
        <w:rPr>
          <w:rFonts w:hint="eastAsia" w:ascii="宋体" w:hAnsi="宋体" w:eastAsia="宋体" w:cs="宋体"/>
          <w:bCs/>
          <w:color w:val="auto"/>
          <w:sz w:val="21"/>
          <w:szCs w:val="21"/>
          <w:highlight w:val="none"/>
          <w:lang w:val="en-US" w:eastAsia="zh-CN"/>
        </w:rPr>
        <w:t>磋商供应商</w:t>
      </w:r>
      <w:r>
        <w:rPr>
          <w:rFonts w:hint="default" w:ascii="宋体" w:hAnsi="宋体" w:eastAsia="宋体" w:cs="宋体"/>
          <w:bCs/>
          <w:color w:val="auto"/>
          <w:sz w:val="21"/>
          <w:szCs w:val="21"/>
          <w:highlight w:val="none"/>
          <w:lang w:val="en-US" w:eastAsia="zh-CN"/>
        </w:rPr>
        <w:t>通过“</w:t>
      </w:r>
      <w:r>
        <w:rPr>
          <w:rFonts w:hint="eastAsia" w:ascii="宋体" w:hAnsi="宋体" w:eastAsia="宋体" w:cs="宋体"/>
          <w:bCs/>
          <w:color w:val="auto"/>
          <w:sz w:val="21"/>
          <w:szCs w:val="21"/>
          <w:highlight w:val="none"/>
          <w:lang w:val="en-US" w:eastAsia="zh-CN"/>
        </w:rPr>
        <w:t>广西政府采购云平台</w:t>
      </w:r>
      <w:r>
        <w:rPr>
          <w:rFonts w:hint="default" w:ascii="宋体" w:hAnsi="宋体" w:eastAsia="宋体" w:cs="宋体"/>
          <w:bCs/>
          <w:color w:val="auto"/>
          <w:sz w:val="21"/>
          <w:szCs w:val="21"/>
          <w:highlight w:val="none"/>
          <w:lang w:val="en-US" w:eastAsia="zh-CN"/>
        </w:rPr>
        <w:t>”平台参与电子</w:t>
      </w:r>
      <w:r>
        <w:rPr>
          <w:rFonts w:hint="eastAsia" w:ascii="宋体" w:hAnsi="宋体" w:eastAsia="宋体" w:cs="宋体"/>
          <w:bCs/>
          <w:color w:val="auto"/>
          <w:sz w:val="21"/>
          <w:szCs w:val="21"/>
          <w:highlight w:val="none"/>
          <w:lang w:val="en-US" w:eastAsia="zh-CN"/>
        </w:rPr>
        <w:t>磋商</w:t>
      </w:r>
      <w:r>
        <w:rPr>
          <w:rFonts w:hint="default" w:ascii="宋体" w:hAnsi="宋体" w:eastAsia="宋体" w:cs="宋体"/>
          <w:bCs/>
          <w:color w:val="auto"/>
          <w:sz w:val="21"/>
          <w:szCs w:val="21"/>
          <w:highlight w:val="none"/>
          <w:lang w:val="en-US" w:eastAsia="zh-CN"/>
        </w:rPr>
        <w:t>，并应做好以下相关准备工作：①在“</w:t>
      </w:r>
      <w:r>
        <w:rPr>
          <w:rFonts w:hint="eastAsia" w:ascii="宋体" w:hAnsi="宋体" w:eastAsia="宋体" w:cs="宋体"/>
          <w:bCs/>
          <w:color w:val="auto"/>
          <w:sz w:val="21"/>
          <w:szCs w:val="21"/>
          <w:highlight w:val="none"/>
          <w:lang w:val="en-US" w:eastAsia="zh-CN"/>
        </w:rPr>
        <w:t>广西政府采购云平台</w:t>
      </w:r>
      <w:r>
        <w:rPr>
          <w:rFonts w:hint="default" w:ascii="宋体" w:hAnsi="宋体" w:eastAsia="宋体" w:cs="宋体"/>
          <w:bCs/>
          <w:color w:val="auto"/>
          <w:sz w:val="21"/>
          <w:szCs w:val="21"/>
          <w:highlight w:val="none"/>
          <w:lang w:val="en-US" w:eastAsia="zh-CN"/>
        </w:rPr>
        <w:t>”平台注册成为正式供应商（操作方法详见广西壮族自治区政府采购网—办事服务—办事指南）；②完成CA认证证书申领和绑定（费用由</w:t>
      </w:r>
      <w:r>
        <w:rPr>
          <w:rFonts w:hint="eastAsia" w:ascii="宋体" w:hAnsi="宋体" w:eastAsia="宋体" w:cs="宋体"/>
          <w:bCs/>
          <w:color w:val="auto"/>
          <w:sz w:val="21"/>
          <w:szCs w:val="21"/>
          <w:highlight w:val="none"/>
          <w:lang w:val="en-US" w:eastAsia="zh-CN"/>
        </w:rPr>
        <w:t>磋商供应商</w:t>
      </w:r>
      <w:r>
        <w:rPr>
          <w:rFonts w:hint="default" w:ascii="宋体" w:hAnsi="宋体" w:eastAsia="宋体" w:cs="宋体"/>
          <w:bCs/>
          <w:color w:val="auto"/>
          <w:sz w:val="21"/>
          <w:szCs w:val="21"/>
          <w:highlight w:val="none"/>
          <w:lang w:val="en-US" w:eastAsia="zh-CN"/>
        </w:rPr>
        <w:t>自行承担，办理流程详见广西壮族自治区政府采购网—办事服务—下载专区，完成CA认证证书办理预计一周左右，建议供应商尽快办理）；③下载“广西壮族自治区全流程电子招投标项目管理系统--供应商客户端”（操作方法详见广西壮族自治区政府采购网—办事服务—下载专区，以下称“</w:t>
      </w:r>
      <w:r>
        <w:rPr>
          <w:rFonts w:hint="eastAsia" w:ascii="宋体" w:hAnsi="宋体" w:eastAsia="宋体" w:cs="宋体"/>
          <w:bCs/>
          <w:color w:val="auto"/>
          <w:sz w:val="21"/>
          <w:szCs w:val="21"/>
          <w:highlight w:val="none"/>
          <w:lang w:val="en-US" w:eastAsia="zh-CN"/>
        </w:rPr>
        <w:t>广西政府采购云平台</w:t>
      </w:r>
      <w:r>
        <w:rPr>
          <w:rFonts w:hint="default" w:ascii="宋体" w:hAnsi="宋体" w:eastAsia="宋体" w:cs="宋体"/>
          <w:bCs/>
          <w:color w:val="auto"/>
          <w:sz w:val="21"/>
          <w:szCs w:val="21"/>
          <w:highlight w:val="none"/>
          <w:lang w:val="en-US" w:eastAsia="zh-CN"/>
        </w:rPr>
        <w:t>电子投标客户端”）并安装成功，</w:t>
      </w:r>
      <w:r>
        <w:rPr>
          <w:rFonts w:hint="eastAsia" w:ascii="宋体" w:hAnsi="宋体" w:eastAsia="宋体" w:cs="宋体"/>
          <w:bCs/>
          <w:color w:val="auto"/>
          <w:sz w:val="21"/>
          <w:szCs w:val="21"/>
          <w:highlight w:val="none"/>
          <w:lang w:val="en-US" w:eastAsia="zh-CN"/>
        </w:rPr>
        <w:t>磋商供应商</w:t>
      </w:r>
      <w:r>
        <w:rPr>
          <w:rFonts w:hint="default" w:ascii="宋体" w:hAnsi="宋体" w:eastAsia="宋体" w:cs="宋体"/>
          <w:bCs/>
          <w:color w:val="auto"/>
          <w:sz w:val="21"/>
          <w:szCs w:val="21"/>
          <w:highlight w:val="none"/>
          <w:lang w:val="en-US" w:eastAsia="zh-CN"/>
        </w:rPr>
        <w:t>应当在</w:t>
      </w:r>
      <w:r>
        <w:rPr>
          <w:rFonts w:hint="eastAsia" w:ascii="宋体" w:hAnsi="宋体" w:eastAsia="宋体" w:cs="宋体"/>
          <w:bCs/>
          <w:color w:val="auto"/>
          <w:sz w:val="21"/>
          <w:szCs w:val="21"/>
          <w:highlight w:val="none"/>
          <w:lang w:val="en-US" w:eastAsia="zh-CN"/>
        </w:rPr>
        <w:t>响应</w:t>
      </w:r>
      <w:r>
        <w:rPr>
          <w:rFonts w:hint="default" w:ascii="宋体" w:hAnsi="宋体" w:eastAsia="宋体" w:cs="宋体"/>
          <w:bCs/>
          <w:color w:val="auto"/>
          <w:sz w:val="21"/>
          <w:szCs w:val="21"/>
          <w:highlight w:val="none"/>
          <w:lang w:val="en-US" w:eastAsia="zh-CN"/>
        </w:rPr>
        <w:t>文件提交截止时间前在“</w:t>
      </w:r>
      <w:r>
        <w:rPr>
          <w:rFonts w:hint="eastAsia" w:ascii="宋体" w:hAnsi="宋体" w:eastAsia="宋体" w:cs="宋体"/>
          <w:bCs/>
          <w:color w:val="auto"/>
          <w:sz w:val="21"/>
          <w:szCs w:val="21"/>
          <w:highlight w:val="none"/>
          <w:lang w:val="en-US" w:eastAsia="zh-CN"/>
        </w:rPr>
        <w:t>广西政府采购云平台</w:t>
      </w:r>
      <w:r>
        <w:rPr>
          <w:rFonts w:hint="default" w:ascii="宋体" w:hAnsi="宋体" w:eastAsia="宋体" w:cs="宋体"/>
          <w:bCs/>
          <w:color w:val="auto"/>
          <w:sz w:val="21"/>
          <w:szCs w:val="21"/>
          <w:highlight w:val="none"/>
          <w:lang w:val="en-US" w:eastAsia="zh-CN"/>
        </w:rPr>
        <w:t>”平台完成的身份认证，确保能够对相关数据电文进行加密和使用电子签章；④自备计算机和网络设备并确保能接入互联网（费用由</w:t>
      </w:r>
      <w:r>
        <w:rPr>
          <w:rFonts w:hint="eastAsia" w:ascii="宋体" w:hAnsi="宋体" w:eastAsia="宋体" w:cs="宋体"/>
          <w:bCs/>
          <w:color w:val="auto"/>
          <w:sz w:val="21"/>
          <w:szCs w:val="21"/>
          <w:highlight w:val="none"/>
          <w:lang w:val="en-US" w:eastAsia="zh-CN"/>
        </w:rPr>
        <w:t>磋商供应商</w:t>
      </w:r>
      <w:r>
        <w:rPr>
          <w:rFonts w:hint="default" w:ascii="宋体" w:hAnsi="宋体" w:eastAsia="宋体" w:cs="宋体"/>
          <w:bCs/>
          <w:color w:val="auto"/>
          <w:sz w:val="21"/>
          <w:szCs w:val="21"/>
          <w:highlight w:val="none"/>
          <w:lang w:val="en-US" w:eastAsia="zh-CN"/>
        </w:rPr>
        <w:t>自行承担，设备确保可进行视频通话和读取</w:t>
      </w:r>
      <w:r>
        <w:rPr>
          <w:rFonts w:hint="eastAsia" w:ascii="宋体" w:hAnsi="宋体" w:eastAsia="宋体" w:cs="宋体"/>
          <w:bCs/>
          <w:color w:val="auto"/>
          <w:sz w:val="21"/>
          <w:szCs w:val="21"/>
          <w:highlight w:val="none"/>
          <w:lang w:val="en-US" w:eastAsia="zh-CN"/>
        </w:rPr>
        <w:t>广西政府采购云平台</w:t>
      </w:r>
      <w:r>
        <w:rPr>
          <w:rFonts w:hint="default" w:ascii="宋体" w:hAnsi="宋体" w:eastAsia="宋体" w:cs="宋体"/>
          <w:bCs/>
          <w:color w:val="auto"/>
          <w:sz w:val="21"/>
          <w:szCs w:val="21"/>
          <w:highlight w:val="none"/>
          <w:lang w:val="en-US" w:eastAsia="zh-CN"/>
        </w:rPr>
        <w:t>CA认证证书）。因</w:t>
      </w:r>
      <w:r>
        <w:rPr>
          <w:rFonts w:hint="eastAsia" w:ascii="宋体" w:hAnsi="宋体" w:eastAsia="宋体" w:cs="宋体"/>
          <w:bCs/>
          <w:color w:val="auto"/>
          <w:sz w:val="21"/>
          <w:szCs w:val="21"/>
          <w:highlight w:val="none"/>
          <w:lang w:val="en-US" w:eastAsia="zh-CN"/>
        </w:rPr>
        <w:t>磋商供应商</w:t>
      </w:r>
      <w:r>
        <w:rPr>
          <w:rFonts w:hint="default" w:ascii="宋体" w:hAnsi="宋体" w:eastAsia="宋体" w:cs="宋体"/>
          <w:bCs/>
          <w:color w:val="auto"/>
          <w:sz w:val="21"/>
          <w:szCs w:val="21"/>
          <w:highlight w:val="none"/>
          <w:lang w:val="en-US" w:eastAsia="zh-CN"/>
        </w:rPr>
        <w:t>未做好相关准备工作等自身原因导致无法参加本项目电子</w:t>
      </w:r>
      <w:r>
        <w:rPr>
          <w:rFonts w:hint="eastAsia" w:ascii="宋体" w:hAnsi="宋体" w:eastAsia="宋体" w:cs="宋体"/>
          <w:bCs/>
          <w:color w:val="auto"/>
          <w:sz w:val="21"/>
          <w:szCs w:val="21"/>
          <w:highlight w:val="none"/>
          <w:lang w:val="en-US" w:eastAsia="zh-CN"/>
        </w:rPr>
        <w:t>磋商</w:t>
      </w:r>
      <w:r>
        <w:rPr>
          <w:rFonts w:hint="default" w:ascii="宋体" w:hAnsi="宋体" w:eastAsia="宋体" w:cs="宋体"/>
          <w:bCs/>
          <w:color w:val="auto"/>
          <w:sz w:val="21"/>
          <w:szCs w:val="21"/>
          <w:highlight w:val="none"/>
          <w:lang w:val="en-US" w:eastAsia="zh-CN"/>
        </w:rPr>
        <w:t>或</w:t>
      </w:r>
      <w:r>
        <w:rPr>
          <w:rFonts w:hint="eastAsia" w:ascii="宋体" w:hAnsi="宋体" w:eastAsia="宋体" w:cs="宋体"/>
          <w:bCs/>
          <w:color w:val="auto"/>
          <w:sz w:val="21"/>
          <w:szCs w:val="21"/>
          <w:highlight w:val="none"/>
          <w:lang w:val="en-US" w:eastAsia="zh-CN"/>
        </w:rPr>
        <w:t>磋商</w:t>
      </w:r>
      <w:r>
        <w:rPr>
          <w:rFonts w:hint="default" w:ascii="宋体" w:hAnsi="宋体" w:eastAsia="宋体" w:cs="宋体"/>
          <w:bCs/>
          <w:color w:val="auto"/>
          <w:sz w:val="21"/>
          <w:szCs w:val="21"/>
          <w:highlight w:val="none"/>
          <w:lang w:val="en-US" w:eastAsia="zh-CN"/>
        </w:rPr>
        <w:t>失败的，造成的一切后果，由</w:t>
      </w:r>
      <w:r>
        <w:rPr>
          <w:rFonts w:hint="eastAsia" w:ascii="宋体" w:hAnsi="宋体" w:eastAsia="宋体" w:cs="宋体"/>
          <w:bCs/>
          <w:color w:val="auto"/>
          <w:sz w:val="21"/>
          <w:szCs w:val="21"/>
          <w:highlight w:val="none"/>
          <w:lang w:val="en-US" w:eastAsia="zh-CN"/>
        </w:rPr>
        <w:t>磋商供应商</w:t>
      </w:r>
      <w:r>
        <w:rPr>
          <w:rFonts w:hint="default" w:ascii="宋体" w:hAnsi="宋体" w:eastAsia="宋体" w:cs="宋体"/>
          <w:bCs/>
          <w:color w:val="auto"/>
          <w:sz w:val="21"/>
          <w:szCs w:val="21"/>
          <w:highlight w:val="none"/>
          <w:lang w:val="en-US" w:eastAsia="zh-CN"/>
        </w:rPr>
        <w:t>自行承担。</w:t>
      </w:r>
    </w:p>
    <w:p w14:paraId="24267349">
      <w:pPr>
        <w:keepNext w:val="0"/>
        <w:keepLines w:val="0"/>
        <w:pageBreakBefore w:val="0"/>
        <w:widowControl w:val="0"/>
        <w:wordWrap/>
        <w:topLinePunct w:val="0"/>
        <w:bidi w:val="0"/>
        <w:spacing w:line="380" w:lineRule="exact"/>
        <w:ind w:firstLine="540"/>
        <w:rPr>
          <w:rFonts w:hint="default" w:ascii="宋体" w:hAnsi="宋体" w:eastAsia="宋体" w:cs="宋体"/>
          <w:bCs/>
          <w:color w:val="auto"/>
          <w:sz w:val="21"/>
          <w:szCs w:val="21"/>
          <w:highlight w:val="none"/>
          <w:lang w:val="en-US" w:eastAsia="zh-CN"/>
        </w:rPr>
      </w:pPr>
      <w:r>
        <w:rPr>
          <w:rFonts w:hint="default" w:ascii="宋体" w:hAnsi="宋体" w:eastAsia="宋体" w:cs="宋体"/>
          <w:bCs/>
          <w:color w:val="auto"/>
          <w:sz w:val="21"/>
          <w:szCs w:val="21"/>
          <w:highlight w:val="none"/>
          <w:lang w:val="en-US" w:eastAsia="zh-CN"/>
        </w:rPr>
        <w:t>（2）电子</w:t>
      </w:r>
      <w:r>
        <w:rPr>
          <w:rFonts w:hint="eastAsia" w:ascii="宋体" w:hAnsi="宋体" w:eastAsia="宋体" w:cs="宋体"/>
          <w:bCs/>
          <w:color w:val="auto"/>
          <w:sz w:val="21"/>
          <w:szCs w:val="21"/>
          <w:highlight w:val="none"/>
          <w:lang w:val="en-US" w:eastAsia="zh-CN"/>
        </w:rPr>
        <w:t>磋商</w:t>
      </w:r>
      <w:r>
        <w:rPr>
          <w:rFonts w:hint="default" w:ascii="宋体" w:hAnsi="宋体" w:eastAsia="宋体" w:cs="宋体"/>
          <w:bCs/>
          <w:color w:val="auto"/>
          <w:sz w:val="21"/>
          <w:szCs w:val="21"/>
          <w:highlight w:val="none"/>
          <w:lang w:val="en-US" w:eastAsia="zh-CN"/>
        </w:rPr>
        <w:t>具体操作流程参考《政府采购项目电子交易管理操作指南-供应商》（详见桂林市政府采购网—采购资讯—重要通知）；如遇平台技术问题详询95763。</w:t>
      </w:r>
    </w:p>
    <w:p w14:paraId="67978972">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r>
        <w:rPr>
          <w:rFonts w:hint="default" w:ascii="宋体" w:hAnsi="宋体" w:eastAsia="宋体" w:cs="宋体"/>
          <w:bCs/>
          <w:color w:val="auto"/>
          <w:sz w:val="21"/>
          <w:szCs w:val="21"/>
          <w:highlight w:val="none"/>
          <w:lang w:val="en-US" w:eastAsia="zh-CN"/>
        </w:rPr>
        <w:t>（3）电子</w:t>
      </w:r>
      <w:r>
        <w:rPr>
          <w:rFonts w:hint="eastAsia" w:ascii="宋体" w:hAnsi="宋体" w:eastAsia="宋体" w:cs="宋体"/>
          <w:bCs/>
          <w:color w:val="auto"/>
          <w:sz w:val="21"/>
          <w:szCs w:val="21"/>
          <w:highlight w:val="none"/>
          <w:lang w:val="en-US" w:eastAsia="zh-CN"/>
        </w:rPr>
        <w:t>响应</w:t>
      </w:r>
      <w:r>
        <w:rPr>
          <w:rFonts w:hint="default" w:ascii="宋体" w:hAnsi="宋体" w:eastAsia="宋体" w:cs="宋体"/>
          <w:bCs/>
          <w:color w:val="auto"/>
          <w:sz w:val="21"/>
          <w:szCs w:val="21"/>
          <w:highlight w:val="none"/>
          <w:lang w:val="en-US" w:eastAsia="zh-CN"/>
        </w:rPr>
        <w:t>文件的制作、加密、提交、解密等相关事宜详见第二章 “</w:t>
      </w:r>
      <w:r>
        <w:rPr>
          <w:rFonts w:hint="eastAsia" w:ascii="宋体" w:hAnsi="宋体" w:eastAsia="宋体" w:cs="宋体"/>
          <w:bCs/>
          <w:color w:val="auto"/>
          <w:sz w:val="21"/>
          <w:szCs w:val="21"/>
          <w:highlight w:val="none"/>
          <w:lang w:val="en-US" w:eastAsia="zh-CN"/>
        </w:rPr>
        <w:t>磋商供应商</w:t>
      </w:r>
      <w:r>
        <w:rPr>
          <w:rFonts w:hint="default" w:ascii="宋体" w:hAnsi="宋体" w:eastAsia="宋体" w:cs="宋体"/>
          <w:bCs/>
          <w:color w:val="auto"/>
          <w:sz w:val="21"/>
          <w:szCs w:val="21"/>
          <w:highlight w:val="none"/>
          <w:lang w:val="en-US" w:eastAsia="zh-CN"/>
        </w:rPr>
        <w:t>须知”。</w:t>
      </w:r>
    </w:p>
    <w:p w14:paraId="0F50C46A">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r>
        <w:rPr>
          <w:rFonts w:hint="default" w:ascii="宋体" w:hAnsi="宋体" w:eastAsia="宋体" w:cs="宋体"/>
          <w:bCs/>
          <w:color w:val="auto"/>
          <w:sz w:val="21"/>
          <w:szCs w:val="21"/>
          <w:highlight w:val="none"/>
          <w:lang w:val="en-US" w:eastAsia="zh-CN"/>
        </w:rPr>
        <w:t>（</w:t>
      </w:r>
      <w:r>
        <w:rPr>
          <w:rFonts w:hint="eastAsia" w:ascii="宋体" w:hAnsi="宋体" w:eastAsia="宋体" w:cs="宋体"/>
          <w:bCs/>
          <w:color w:val="auto"/>
          <w:sz w:val="21"/>
          <w:szCs w:val="21"/>
          <w:highlight w:val="none"/>
          <w:lang w:val="en-US" w:eastAsia="zh-CN"/>
        </w:rPr>
        <w:t>4</w:t>
      </w:r>
      <w:r>
        <w:rPr>
          <w:rFonts w:hint="default" w:ascii="宋体" w:hAnsi="宋体" w:eastAsia="宋体" w:cs="宋体"/>
          <w:bCs/>
          <w:color w:val="auto"/>
          <w:sz w:val="21"/>
          <w:szCs w:val="21"/>
          <w:highlight w:val="none"/>
          <w:lang w:val="en-US" w:eastAsia="zh-CN"/>
        </w:rPr>
        <w:t>）</w:t>
      </w:r>
      <w:r>
        <w:rPr>
          <w:rFonts w:hint="eastAsia" w:ascii="宋体" w:hAnsi="宋体" w:eastAsia="宋体" w:cs="宋体"/>
          <w:color w:val="auto"/>
          <w:szCs w:val="21"/>
          <w:highlight w:val="none"/>
        </w:rPr>
        <w:t>磋商响应文件解密时间</w:t>
      </w:r>
      <w:r>
        <w:rPr>
          <w:rFonts w:hint="eastAsia" w:ascii="宋体" w:hAnsi="宋体" w:eastAsia="宋体" w:cs="宋体"/>
          <w:b w:val="0"/>
          <w:bCs w:val="0"/>
          <w:color w:val="auto"/>
          <w:kern w:val="2"/>
          <w:highlight w:val="none"/>
          <w:lang w:eastAsia="zh-CN"/>
        </w:rPr>
        <w:t>：截标时间后</w:t>
      </w:r>
      <w:r>
        <w:rPr>
          <w:rFonts w:hint="eastAsia" w:ascii="宋体" w:hAnsi="宋体" w:eastAsia="宋体" w:cs="宋体"/>
          <w:b w:val="0"/>
          <w:bCs w:val="0"/>
          <w:color w:val="auto"/>
          <w:kern w:val="2"/>
          <w:highlight w:val="none"/>
          <w:u w:val="single"/>
          <w:lang w:eastAsia="zh-CN"/>
        </w:rPr>
        <w:t>30</w:t>
      </w:r>
      <w:r>
        <w:rPr>
          <w:rFonts w:hint="eastAsia" w:ascii="宋体" w:hAnsi="宋体" w:eastAsia="宋体" w:cs="宋体"/>
          <w:b w:val="0"/>
          <w:bCs w:val="0"/>
          <w:color w:val="auto"/>
          <w:kern w:val="2"/>
          <w:highlight w:val="none"/>
          <w:lang w:eastAsia="zh-CN"/>
        </w:rPr>
        <w:t>分钟内（</w:t>
      </w:r>
      <w:r>
        <w:rPr>
          <w:rFonts w:hint="eastAsia" w:ascii="宋体" w:hAnsi="宋体" w:cs="宋体"/>
          <w:b w:val="0"/>
          <w:bCs w:val="0"/>
          <w:color w:val="auto"/>
          <w:kern w:val="2"/>
          <w:highlight w:val="none"/>
          <w:lang w:eastAsia="zh-CN"/>
        </w:rPr>
        <w:t>2026年09月01日</w:t>
      </w:r>
      <w:r>
        <w:rPr>
          <w:rFonts w:hint="eastAsia" w:ascii="宋体" w:hAnsi="宋体" w:eastAsia="宋体" w:cs="宋体"/>
          <w:b w:val="0"/>
          <w:bCs w:val="0"/>
          <w:color w:val="auto"/>
          <w:kern w:val="2"/>
          <w:highlight w:val="none"/>
          <w:lang w:eastAsia="zh-CN"/>
        </w:rPr>
        <w:t>9时30分至10时00分)磋商供应商可以登录</w:t>
      </w:r>
      <w:r>
        <w:rPr>
          <w:rFonts w:hint="eastAsia" w:ascii="宋体" w:hAnsi="宋体" w:cs="宋体"/>
          <w:b w:val="0"/>
          <w:bCs w:val="0"/>
          <w:color w:val="auto"/>
          <w:kern w:val="2"/>
          <w:highlight w:val="none"/>
          <w:lang w:eastAsia="zh-CN"/>
        </w:rPr>
        <w:t>广西政府采购云平台</w:t>
      </w:r>
      <w:r>
        <w:rPr>
          <w:rFonts w:hint="eastAsia" w:ascii="宋体" w:hAnsi="宋体" w:eastAsia="宋体" w:cs="宋体"/>
          <w:b w:val="0"/>
          <w:bCs w:val="0"/>
          <w:color w:val="auto"/>
          <w:kern w:val="2"/>
          <w:highlight w:val="none"/>
          <w:lang w:eastAsia="zh-CN"/>
        </w:rPr>
        <w:t>，用“项目采购-开标评标”功能进行解密</w:t>
      </w:r>
      <w:r>
        <w:rPr>
          <w:rFonts w:hint="eastAsia" w:ascii="宋体" w:hAnsi="宋体" w:eastAsia="宋体" w:cs="宋体"/>
          <w:color w:val="auto"/>
          <w:highlight w:val="none"/>
          <w:lang w:eastAsia="zh-CN"/>
        </w:rPr>
        <w:t>磋商响应文件</w:t>
      </w:r>
      <w:r>
        <w:rPr>
          <w:rFonts w:hint="eastAsia" w:ascii="宋体" w:hAnsi="宋体" w:eastAsia="宋体" w:cs="宋体"/>
          <w:b w:val="0"/>
          <w:bCs w:val="0"/>
          <w:color w:val="auto"/>
          <w:kern w:val="2"/>
          <w:highlight w:val="none"/>
          <w:lang w:eastAsia="zh-CN"/>
        </w:rPr>
        <w:t>。若</w:t>
      </w:r>
      <w:r>
        <w:rPr>
          <w:rFonts w:hint="eastAsia" w:ascii="宋体" w:hAnsi="宋体" w:eastAsia="宋体" w:cs="宋体"/>
          <w:color w:val="auto"/>
          <w:highlight w:val="none"/>
          <w:lang w:eastAsia="zh-CN"/>
        </w:rPr>
        <w:t>磋商供应商</w:t>
      </w:r>
      <w:r>
        <w:rPr>
          <w:rFonts w:hint="eastAsia" w:ascii="宋体" w:hAnsi="宋体" w:eastAsia="宋体" w:cs="宋体"/>
          <w:b w:val="0"/>
          <w:bCs w:val="0"/>
          <w:color w:val="auto"/>
          <w:kern w:val="2"/>
          <w:highlight w:val="none"/>
          <w:lang w:eastAsia="zh-CN"/>
        </w:rPr>
        <w:t>在规定时间内无法解密或解密失败，可以以电子备份</w:t>
      </w:r>
      <w:r>
        <w:rPr>
          <w:rFonts w:hint="eastAsia" w:ascii="宋体" w:hAnsi="宋体" w:eastAsia="宋体" w:cs="宋体"/>
          <w:color w:val="auto"/>
          <w:highlight w:val="none"/>
          <w:lang w:eastAsia="zh-CN"/>
        </w:rPr>
        <w:t>磋商响应文件</w:t>
      </w:r>
      <w:r>
        <w:rPr>
          <w:rFonts w:hint="eastAsia" w:ascii="宋体" w:hAnsi="宋体" w:eastAsia="宋体" w:cs="宋体"/>
          <w:b w:val="0"/>
          <w:bCs w:val="0"/>
          <w:color w:val="auto"/>
          <w:kern w:val="2"/>
          <w:highlight w:val="none"/>
          <w:lang w:eastAsia="zh-CN"/>
        </w:rPr>
        <w:t>作为依据</w:t>
      </w:r>
      <w:r>
        <w:rPr>
          <w:rFonts w:hint="eastAsia" w:ascii="宋体" w:hAnsi="宋体" w:eastAsia="宋体" w:cs="宋体"/>
          <w:b/>
          <w:bCs/>
          <w:color w:val="auto"/>
          <w:kern w:val="2"/>
          <w:highlight w:val="none"/>
          <w:lang w:eastAsia="zh-CN"/>
        </w:rPr>
        <w:t>【在接到无法解密或解密失败的通知后，磋商供应商可根据自身实际情况按通知时要求的时间到桂林市公共资源交易中心开标室现场提交或以电子邮件的形式（以通知时所告知的电子邮箱地址为准）提交电子备份磋商响应文件】</w:t>
      </w:r>
      <w:r>
        <w:rPr>
          <w:rFonts w:hint="eastAsia" w:ascii="宋体" w:hAnsi="宋体" w:eastAsia="宋体" w:cs="宋体"/>
          <w:b w:val="0"/>
          <w:bCs w:val="0"/>
          <w:color w:val="auto"/>
          <w:kern w:val="2"/>
          <w:highlight w:val="none"/>
          <w:lang w:eastAsia="zh-CN"/>
        </w:rPr>
        <w:t>，若磋商供应商在规定时间内无法解密或解密失败且未提供电子备份磋商响应文件的(包含提供的电子备份文件无效或无法解密的情况)，视为无效响应。</w:t>
      </w:r>
    </w:p>
    <w:p w14:paraId="673D9DEB">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（5）磋商响应文件的最后报价：本项目需要磋商供应商代表在截标当天截标后，按磋商小组要求及时登陆“广西政府采购云”平台等候在线磋商及提交最后报价。</w:t>
      </w:r>
    </w:p>
    <w:p w14:paraId="14D18DFD">
      <w:pPr>
        <w:keepNext w:val="0"/>
        <w:keepLines w:val="0"/>
        <w:pageBreakBefore w:val="0"/>
        <w:widowControl w:val="0"/>
        <w:wordWrap/>
        <w:topLinePunct w:val="0"/>
        <w:bidi w:val="0"/>
        <w:spacing w:line="380" w:lineRule="exact"/>
        <w:ind w:firstLine="540"/>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本采购项目为广西政府采购云全流程电子化操作，参与磋商的供应商需自备计算机和网络设备（设备需可视频通话和读取广西政府采购云CA数字证书），确保磋商过程顺利进行；因供应商自身设备或网络原因造成的一切后果，由供应商自行承担。</w:t>
      </w:r>
    </w:p>
    <w:p w14:paraId="13D0284A">
      <w:pPr>
        <w:keepNext w:val="0"/>
        <w:keepLines w:val="0"/>
        <w:pageBreakBefore w:val="0"/>
        <w:widowControl w:val="0"/>
        <w:wordWrap/>
        <w:topLinePunct w:val="0"/>
        <w:bidi w:val="0"/>
        <w:spacing w:line="380" w:lineRule="exact"/>
        <w:ind w:firstLine="54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7、监督管理部门：灌阳县财政局；电话：0773-4250206。</w:t>
      </w:r>
    </w:p>
    <w:p w14:paraId="6F855E64">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八、凡对本次采购提出询问，请按以下方式联系。</w:t>
      </w:r>
      <w:bookmarkEnd w:id="21"/>
      <w:bookmarkEnd w:id="22"/>
      <w:bookmarkEnd w:id="23"/>
      <w:bookmarkEnd w:id="24"/>
    </w:p>
    <w:p w14:paraId="0734EB83">
      <w:pPr>
        <w:keepNext w:val="0"/>
        <w:keepLines w:val="0"/>
        <w:pageBreakBefore w:val="0"/>
        <w:widowControl w:val="0"/>
        <w:wordWrap/>
        <w:topLinePunct w:val="0"/>
        <w:bidi w:val="0"/>
        <w:spacing w:line="380" w:lineRule="exact"/>
        <w:ind w:firstLine="5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采购人信息</w:t>
      </w:r>
    </w:p>
    <w:p w14:paraId="4AE9E4EC">
      <w:pPr>
        <w:keepNext w:val="0"/>
        <w:keepLines w:val="0"/>
        <w:pageBreakBefore w:val="0"/>
        <w:widowControl w:val="0"/>
        <w:kinsoku/>
        <w:wordWrap/>
        <w:overflowPunct/>
        <w:topLinePunct w:val="0"/>
        <w:autoSpaceDE/>
        <w:autoSpaceDN/>
        <w:bidi w:val="0"/>
        <w:adjustRightInd/>
        <w:snapToGrid/>
        <w:spacing w:line="420" w:lineRule="exact"/>
        <w:ind w:firstLine="630" w:firstLineChars="3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名称：灌阳县公安局</w:t>
      </w:r>
    </w:p>
    <w:p w14:paraId="55BB86E3">
      <w:pPr>
        <w:keepNext w:val="0"/>
        <w:keepLines w:val="0"/>
        <w:pageBreakBefore w:val="0"/>
        <w:widowControl w:val="0"/>
        <w:kinsoku/>
        <w:wordWrap/>
        <w:overflowPunct/>
        <w:topLinePunct w:val="0"/>
        <w:autoSpaceDE/>
        <w:autoSpaceDN/>
        <w:bidi w:val="0"/>
        <w:adjustRightInd/>
        <w:snapToGrid/>
        <w:spacing w:line="420" w:lineRule="exact"/>
        <w:ind w:firstLine="630" w:firstLineChars="3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地址：灌阳县灌阳镇创业路16号</w:t>
      </w:r>
    </w:p>
    <w:p w14:paraId="5E3B716B">
      <w:pPr>
        <w:keepNext w:val="0"/>
        <w:keepLines w:val="0"/>
        <w:pageBreakBefore w:val="0"/>
        <w:widowControl w:val="0"/>
        <w:kinsoku/>
        <w:wordWrap/>
        <w:overflowPunct/>
        <w:topLinePunct w:val="0"/>
        <w:autoSpaceDE/>
        <w:autoSpaceDN/>
        <w:bidi w:val="0"/>
        <w:adjustRightInd/>
        <w:snapToGrid/>
        <w:spacing w:line="420" w:lineRule="exact"/>
        <w:ind w:firstLine="630" w:firstLineChars="3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联系人：唐桂明    联系电话：18878303539</w:t>
      </w:r>
    </w:p>
    <w:p w14:paraId="286FDD4A">
      <w:pPr>
        <w:keepNext w:val="0"/>
        <w:keepLines w:val="0"/>
        <w:pageBreakBefore w:val="0"/>
        <w:widowControl w:val="0"/>
        <w:wordWrap/>
        <w:topLinePunct w:val="0"/>
        <w:bidi w:val="0"/>
        <w:spacing w:line="380" w:lineRule="exact"/>
        <w:ind w:firstLine="5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采购代理机构信息</w:t>
      </w:r>
    </w:p>
    <w:p w14:paraId="76A3BE27">
      <w:pPr>
        <w:keepNext w:val="0"/>
        <w:keepLines w:val="0"/>
        <w:pageBreakBefore w:val="0"/>
        <w:widowControl w:val="0"/>
        <w:kinsoku/>
        <w:wordWrap/>
        <w:overflowPunct/>
        <w:topLinePunct w:val="0"/>
        <w:autoSpaceDE/>
        <w:autoSpaceDN/>
        <w:bidi w:val="0"/>
        <w:adjustRightInd/>
        <w:snapToGrid/>
        <w:spacing w:line="420" w:lineRule="exact"/>
        <w:ind w:firstLine="630" w:firstLineChars="3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名称：</w:t>
      </w:r>
      <w:r>
        <w:rPr>
          <w:rFonts w:hint="eastAsia" w:ascii="宋体" w:hAnsi="宋体" w:cs="宋体"/>
          <w:color w:val="auto"/>
          <w:sz w:val="21"/>
          <w:szCs w:val="21"/>
          <w:highlight w:val="none"/>
          <w:lang w:eastAsia="zh-CN"/>
        </w:rPr>
        <w:t>广西北部湾宏亚建设管理有限公司</w:t>
      </w:r>
    </w:p>
    <w:p w14:paraId="5AF92072">
      <w:pPr>
        <w:keepNext w:val="0"/>
        <w:keepLines w:val="0"/>
        <w:pageBreakBefore w:val="0"/>
        <w:widowControl w:val="0"/>
        <w:kinsoku/>
        <w:wordWrap/>
        <w:overflowPunct/>
        <w:topLinePunct w:val="0"/>
        <w:autoSpaceDE/>
        <w:autoSpaceDN/>
        <w:bidi w:val="0"/>
        <w:adjustRightInd/>
        <w:snapToGrid/>
        <w:spacing w:line="420" w:lineRule="exact"/>
        <w:ind w:firstLine="630" w:firstLineChars="300"/>
        <w:textAlignment w:val="auto"/>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地址：</w:t>
      </w:r>
      <w:r>
        <w:rPr>
          <w:rFonts w:hint="eastAsia" w:ascii="宋体" w:hAnsi="宋体" w:cs="宋体"/>
          <w:color w:val="auto"/>
          <w:sz w:val="21"/>
          <w:szCs w:val="21"/>
          <w:highlight w:val="none"/>
          <w:lang w:eastAsia="zh-CN"/>
        </w:rPr>
        <w:t>桂林市中山中路4号1-5-8#</w:t>
      </w:r>
    </w:p>
    <w:p w14:paraId="620BD6AA">
      <w:pPr>
        <w:keepNext w:val="0"/>
        <w:keepLines w:val="0"/>
        <w:pageBreakBefore w:val="0"/>
        <w:widowControl w:val="0"/>
        <w:kinsoku/>
        <w:wordWrap/>
        <w:overflowPunct/>
        <w:topLinePunct w:val="0"/>
        <w:autoSpaceDE/>
        <w:autoSpaceDN/>
        <w:bidi w:val="0"/>
        <w:adjustRightInd/>
        <w:snapToGrid/>
        <w:spacing w:line="420" w:lineRule="exact"/>
        <w:ind w:firstLine="630" w:firstLineChars="300"/>
        <w:textAlignment w:val="auto"/>
        <w:rPr>
          <w:rFonts w:hint="default" w:ascii="宋体" w:hAnsi="宋体" w:eastAsia="宋体" w:cs="宋体"/>
          <w:color w:val="auto"/>
          <w:highlight w:val="none"/>
          <w:lang w:val="en-US" w:eastAsia="zh-CN"/>
        </w:rPr>
      </w:pPr>
      <w:r>
        <w:rPr>
          <w:rFonts w:hint="eastAsia" w:ascii="宋体" w:hAnsi="宋体" w:eastAsia="宋体" w:cs="宋体"/>
          <w:color w:val="auto"/>
          <w:sz w:val="21"/>
          <w:szCs w:val="21"/>
          <w:highlight w:val="none"/>
        </w:rPr>
        <w:t>项目联系人：</w:t>
      </w:r>
      <w:r>
        <w:rPr>
          <w:rFonts w:hint="eastAsia" w:ascii="宋体" w:hAnsi="宋体" w:cs="宋体"/>
          <w:color w:val="auto"/>
          <w:sz w:val="21"/>
          <w:szCs w:val="21"/>
          <w:highlight w:val="none"/>
          <w:lang w:val="en-US" w:eastAsia="zh-CN"/>
        </w:rPr>
        <w:t>周润强</w:t>
      </w:r>
      <w:r>
        <w:rPr>
          <w:rFonts w:hint="eastAsia" w:ascii="宋体" w:hAnsi="宋体" w:eastAsia="宋体" w:cs="宋体"/>
          <w:color w:val="auto"/>
          <w:sz w:val="21"/>
          <w:szCs w:val="21"/>
          <w:highlight w:val="none"/>
        </w:rPr>
        <w:t xml:space="preserve">    联系电话</w:t>
      </w:r>
      <w:r>
        <w:rPr>
          <w:rFonts w:hint="eastAsia" w:ascii="宋体" w:hAnsi="宋体" w:eastAsia="宋体" w:cs="宋体"/>
          <w:color w:val="auto"/>
          <w:sz w:val="21"/>
          <w:szCs w:val="21"/>
          <w:highlight w:val="none"/>
          <w:lang w:eastAsia="zh-CN"/>
        </w:rPr>
        <w:t>：</w:t>
      </w:r>
      <w:r>
        <w:rPr>
          <w:rFonts w:hint="eastAsia" w:cs="宋体" w:asciiTheme="minorEastAsia" w:hAnsiTheme="minorEastAsia" w:eastAsiaTheme="minorEastAsia"/>
          <w:color w:val="auto"/>
          <w:kern w:val="0"/>
          <w:szCs w:val="21"/>
          <w:lang w:eastAsia="zh-CN"/>
        </w:rPr>
        <w:t>19178348505</w:t>
      </w:r>
    </w:p>
    <w:p w14:paraId="50B827AE">
      <w:pPr>
        <w:keepNext w:val="0"/>
        <w:keepLines w:val="0"/>
        <w:pageBreakBefore w:val="0"/>
        <w:widowControl w:val="0"/>
        <w:wordWrap/>
        <w:topLinePunct w:val="0"/>
        <w:bidi w:val="0"/>
        <w:spacing w:line="380" w:lineRule="exact"/>
        <w:ind w:firstLine="54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                                       </w:t>
      </w:r>
    </w:p>
    <w:p w14:paraId="52C12733">
      <w:pPr>
        <w:keepNext w:val="0"/>
        <w:keepLines w:val="0"/>
        <w:pageBreakBefore w:val="0"/>
        <w:widowControl w:val="0"/>
        <w:kinsoku/>
        <w:wordWrap/>
        <w:overflowPunct/>
        <w:topLinePunct w:val="0"/>
        <w:autoSpaceDE/>
        <w:autoSpaceDN/>
        <w:bidi w:val="0"/>
        <w:adjustRightInd/>
        <w:snapToGrid/>
        <w:spacing w:line="360" w:lineRule="auto"/>
        <w:ind w:firstLine="525" w:firstLineChars="250"/>
        <w:jc w:val="center"/>
        <w:textAlignment w:val="auto"/>
        <w:rPr>
          <w:rFonts w:hint="eastAsia" w:ascii="宋体" w:hAnsi="宋体" w:eastAsia="宋体"/>
          <w:color w:val="auto"/>
          <w:szCs w:val="21"/>
          <w:highlight w:val="none"/>
          <w:lang w:eastAsia="zh-CN"/>
        </w:rPr>
      </w:pPr>
      <w:r>
        <w:rPr>
          <w:rFonts w:hint="eastAsia" w:ascii="宋体" w:hAnsi="宋体" w:cs="宋体"/>
          <w:color w:val="auto"/>
          <w:highlight w:val="none"/>
          <w:lang w:val="en-US" w:eastAsia="zh-CN"/>
        </w:rPr>
        <w:t xml:space="preserve">                                           </w:t>
      </w:r>
      <w:r>
        <w:rPr>
          <w:rFonts w:hint="eastAsia" w:ascii="宋体" w:hAnsi="宋体" w:eastAsia="宋体" w:cs="宋体"/>
          <w:color w:val="auto"/>
          <w:highlight w:val="none"/>
          <w:lang w:val="en-US" w:eastAsia="zh-CN"/>
        </w:rPr>
        <w:t xml:space="preserve">  </w:t>
      </w:r>
      <w:r>
        <w:rPr>
          <w:rFonts w:hint="eastAsia" w:ascii="宋体" w:hAnsi="宋体"/>
          <w:color w:val="auto"/>
          <w:szCs w:val="21"/>
          <w:highlight w:val="none"/>
          <w:lang w:eastAsia="zh-CN"/>
        </w:rPr>
        <w:t>广西北部湾宏亚建设管理有限公司</w:t>
      </w:r>
    </w:p>
    <w:p w14:paraId="5E109FB0">
      <w:pPr>
        <w:keepNext w:val="0"/>
        <w:keepLines w:val="0"/>
        <w:pageBreakBefore w:val="0"/>
        <w:widowControl w:val="0"/>
        <w:kinsoku/>
        <w:wordWrap/>
        <w:overflowPunct/>
        <w:topLinePunct w:val="0"/>
        <w:autoSpaceDE/>
        <w:autoSpaceDN/>
        <w:bidi w:val="0"/>
        <w:adjustRightInd/>
        <w:snapToGrid/>
        <w:spacing w:line="360" w:lineRule="auto"/>
        <w:ind w:firstLine="6720" w:firstLineChars="3200"/>
        <w:textAlignment w:val="auto"/>
        <w:rPr>
          <w:rFonts w:hint="eastAsia" w:ascii="宋体" w:hAnsi="宋体"/>
          <w:color w:val="auto"/>
          <w:szCs w:val="21"/>
          <w:highlight w:val="none"/>
        </w:rPr>
      </w:pPr>
      <w:bookmarkStart w:id="35" w:name="_Toc26924"/>
      <w:r>
        <w:rPr>
          <w:rFonts w:hint="eastAsia" w:ascii="宋体" w:hAnsi="宋体"/>
          <w:color w:val="auto"/>
          <w:szCs w:val="21"/>
          <w:highlight w:val="none"/>
          <w:lang w:eastAsia="zh-CN"/>
        </w:rPr>
        <w:t>2026年08月20日</w:t>
      </w:r>
    </w:p>
    <w:p w14:paraId="3B7918D6">
      <w:pPr>
        <w:keepNext w:val="0"/>
        <w:keepLines w:val="0"/>
        <w:pageBreakBefore w:val="0"/>
        <w:widowControl w:val="0"/>
        <w:wordWrap/>
        <w:topLinePunct w:val="0"/>
        <w:bidi w:val="0"/>
        <w:rPr>
          <w:rFonts w:hint="eastAsia" w:ascii="宋体" w:hAnsi="宋体" w:eastAsia="宋体" w:cs="宋体"/>
          <w:color w:val="auto"/>
          <w:sz w:val="32"/>
          <w:szCs w:val="32"/>
          <w:highlight w:val="none"/>
          <w:lang w:eastAsia="zh-CN"/>
        </w:rPr>
      </w:pPr>
    </w:p>
    <w:p w14:paraId="040E1926">
      <w:pPr>
        <w:rPr>
          <w:rFonts w:hint="eastAsia" w:ascii="宋体" w:hAnsi="宋体" w:eastAsia="宋体" w:cs="宋体"/>
          <w:color w:val="auto"/>
          <w:sz w:val="32"/>
          <w:szCs w:val="32"/>
          <w:highlight w:val="none"/>
          <w:lang w:eastAsia="zh-CN"/>
        </w:rPr>
      </w:pPr>
      <w:bookmarkStart w:id="36" w:name="_Toc30987"/>
      <w:r>
        <w:rPr>
          <w:rFonts w:hint="eastAsia" w:ascii="宋体" w:hAnsi="宋体" w:eastAsia="宋体" w:cs="宋体"/>
          <w:color w:val="auto"/>
          <w:sz w:val="32"/>
          <w:szCs w:val="32"/>
          <w:highlight w:val="none"/>
          <w:lang w:eastAsia="zh-CN"/>
        </w:rPr>
        <w:br w:type="page"/>
      </w:r>
    </w:p>
    <w:p w14:paraId="49504976">
      <w:pPr>
        <w:pStyle w:val="2"/>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lang w:eastAsia="zh-CN"/>
        </w:rPr>
        <w:t>第二章</w:t>
      </w:r>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rPr>
        <w:t>供应商须知</w:t>
      </w:r>
      <w:bookmarkEnd w:id="36"/>
    </w:p>
    <w:p w14:paraId="7993215F">
      <w:pPr>
        <w:pStyle w:val="3"/>
        <w:keepNext w:val="0"/>
        <w:keepLines w:val="0"/>
        <w:pageBreakBefore w:val="0"/>
        <w:widowControl w:val="0"/>
        <w:tabs>
          <w:tab w:val="left" w:pos="567"/>
        </w:tabs>
        <w:kinsoku/>
        <w:wordWrap/>
        <w:overflowPunct/>
        <w:topLinePunct w:val="0"/>
        <w:autoSpaceDE/>
        <w:autoSpaceDN/>
        <w:bidi w:val="0"/>
        <w:adjustRightInd/>
        <w:snapToGrid/>
        <w:spacing w:line="400" w:lineRule="exact"/>
        <w:jc w:val="center"/>
        <w:textAlignment w:val="auto"/>
        <w:rPr>
          <w:rFonts w:hint="eastAsia"/>
          <w:color w:val="auto"/>
          <w:highlight w:val="none"/>
          <w:lang w:eastAsia="zh-CN"/>
        </w:rPr>
      </w:pPr>
      <w:bookmarkStart w:id="37" w:name="_Toc21622"/>
      <w:bookmarkStart w:id="38" w:name="_Toc10399"/>
      <w:bookmarkStart w:id="39" w:name="_Toc25063"/>
      <w:bookmarkStart w:id="40" w:name="_Toc13547"/>
      <w:bookmarkStart w:id="41" w:name="_Toc1585"/>
      <w:bookmarkStart w:id="42" w:name="_Toc9508"/>
      <w:r>
        <w:rPr>
          <w:rFonts w:hint="eastAsia" w:ascii="宋体" w:hAnsi="宋体" w:eastAsia="宋体" w:cs="宋体"/>
          <w:b/>
          <w:bCs w:val="0"/>
          <w:color w:val="auto"/>
          <w:sz w:val="24"/>
          <w:szCs w:val="24"/>
          <w:highlight w:val="none"/>
        </w:rPr>
        <w:t>供 应 商 须 知 前 附 表</w:t>
      </w:r>
      <w:bookmarkEnd w:id="37"/>
      <w:bookmarkEnd w:id="38"/>
      <w:bookmarkEnd w:id="39"/>
      <w:bookmarkEnd w:id="40"/>
      <w:bookmarkEnd w:id="41"/>
      <w:bookmarkEnd w:id="42"/>
    </w:p>
    <w:bookmarkEnd w:id="35"/>
    <w:tbl>
      <w:tblPr>
        <w:tblStyle w:val="27"/>
        <w:tblW w:w="102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9"/>
        <w:gridCol w:w="933"/>
        <w:gridCol w:w="1720"/>
        <w:gridCol w:w="7069"/>
      </w:tblGrid>
      <w:tr w14:paraId="266ED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9" w:type="dxa"/>
            <w:noWrap w:val="0"/>
            <w:vAlign w:val="center"/>
          </w:tcPr>
          <w:p w14:paraId="230D85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933" w:type="dxa"/>
            <w:noWrap w:val="0"/>
            <w:vAlign w:val="center"/>
          </w:tcPr>
          <w:p w14:paraId="553659A8">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条款号</w:t>
            </w:r>
          </w:p>
        </w:tc>
        <w:tc>
          <w:tcPr>
            <w:tcW w:w="1720" w:type="dxa"/>
            <w:noWrap w:val="0"/>
            <w:vAlign w:val="center"/>
          </w:tcPr>
          <w:p w14:paraId="17E8339B">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条款名称</w:t>
            </w:r>
          </w:p>
        </w:tc>
        <w:tc>
          <w:tcPr>
            <w:tcW w:w="7069" w:type="dxa"/>
            <w:noWrap w:val="0"/>
            <w:vAlign w:val="center"/>
          </w:tcPr>
          <w:p w14:paraId="17E5189B">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内容、要求</w:t>
            </w:r>
          </w:p>
        </w:tc>
      </w:tr>
      <w:tr w14:paraId="3D333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569" w:type="dxa"/>
            <w:noWrap w:val="0"/>
            <w:vAlign w:val="center"/>
          </w:tcPr>
          <w:p w14:paraId="71EA33B1">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933" w:type="dxa"/>
            <w:noWrap w:val="0"/>
            <w:vAlign w:val="center"/>
          </w:tcPr>
          <w:p w14:paraId="457C56E4">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w:t>
            </w:r>
          </w:p>
        </w:tc>
        <w:tc>
          <w:tcPr>
            <w:tcW w:w="1720" w:type="dxa"/>
            <w:noWrap w:val="0"/>
            <w:vAlign w:val="center"/>
          </w:tcPr>
          <w:p w14:paraId="4DDE3D70">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项目名称及项目编号</w:t>
            </w:r>
          </w:p>
        </w:tc>
        <w:tc>
          <w:tcPr>
            <w:tcW w:w="7069" w:type="dxa"/>
            <w:noWrap w:val="0"/>
            <w:vAlign w:val="center"/>
          </w:tcPr>
          <w:p w14:paraId="34DF7210">
            <w:pPr>
              <w:keepNext w:val="0"/>
              <w:keepLines w:val="0"/>
              <w:pageBreakBefore w:val="0"/>
              <w:widowControl w:val="0"/>
              <w:kinsoku/>
              <w:wordWrap/>
              <w:overflowPunct/>
              <w:topLinePunct w:val="0"/>
              <w:autoSpaceDE/>
              <w:autoSpaceDN/>
              <w:bidi w:val="0"/>
              <w:adjustRightInd/>
              <w:spacing w:line="440" w:lineRule="exact"/>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项目名称：</w:t>
            </w:r>
            <w:r>
              <w:rPr>
                <w:rFonts w:hint="eastAsia" w:ascii="宋体" w:hAnsi="宋体" w:cs="宋体"/>
                <w:color w:val="auto"/>
                <w:sz w:val="21"/>
                <w:szCs w:val="21"/>
                <w:highlight w:val="none"/>
                <w:lang w:eastAsia="zh-CN"/>
              </w:rPr>
              <w:t>灌阳县公安局城关派出所改造提升项目</w:t>
            </w:r>
          </w:p>
          <w:p w14:paraId="416D246F">
            <w:pPr>
              <w:keepNext w:val="0"/>
              <w:keepLines w:val="0"/>
              <w:pageBreakBefore w:val="0"/>
              <w:widowControl w:val="0"/>
              <w:kinsoku/>
              <w:wordWrap/>
              <w:overflowPunct/>
              <w:topLinePunct w:val="0"/>
              <w:autoSpaceDE/>
              <w:autoSpaceDN/>
              <w:bidi w:val="0"/>
              <w:adjustRightInd/>
              <w:spacing w:line="440" w:lineRule="exact"/>
              <w:jc w:val="both"/>
              <w:textAlignment w:val="auto"/>
              <w:rPr>
                <w:rFonts w:hint="eastAsia" w:ascii="宋体" w:hAnsi="宋体" w:eastAsia="宋体" w:cs="宋体"/>
                <w:color w:val="auto"/>
                <w:highlight w:val="none"/>
                <w:lang w:eastAsia="zh-CN"/>
              </w:rPr>
            </w:pPr>
            <w:r>
              <w:rPr>
                <w:rFonts w:hint="eastAsia" w:ascii="宋体" w:hAnsi="宋体" w:eastAsia="宋体" w:cs="宋体"/>
                <w:color w:val="auto"/>
                <w:sz w:val="21"/>
                <w:szCs w:val="21"/>
                <w:highlight w:val="none"/>
                <w:lang w:eastAsia="zh-CN"/>
              </w:rPr>
              <w:t>项目编号：</w:t>
            </w:r>
            <w:r>
              <w:rPr>
                <w:rFonts w:hint="eastAsia" w:ascii="宋体" w:hAnsi="宋体" w:cs="宋体"/>
                <w:color w:val="auto"/>
                <w:sz w:val="21"/>
                <w:szCs w:val="21"/>
                <w:highlight w:val="none"/>
                <w:lang w:eastAsia="zh-CN"/>
              </w:rPr>
              <w:t>GLZC2026-C2-270033-BBWH</w:t>
            </w:r>
          </w:p>
        </w:tc>
      </w:tr>
      <w:tr w14:paraId="45A2A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69" w:type="dxa"/>
            <w:noWrap w:val="0"/>
            <w:vAlign w:val="center"/>
          </w:tcPr>
          <w:p w14:paraId="2F0D6EE6">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933" w:type="dxa"/>
            <w:noWrap w:val="0"/>
            <w:vAlign w:val="center"/>
          </w:tcPr>
          <w:p w14:paraId="325DA8A3">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1720" w:type="dxa"/>
            <w:noWrap w:val="0"/>
            <w:vAlign w:val="center"/>
          </w:tcPr>
          <w:p w14:paraId="467415ED">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供应商资格</w:t>
            </w:r>
          </w:p>
        </w:tc>
        <w:tc>
          <w:tcPr>
            <w:tcW w:w="7069" w:type="dxa"/>
            <w:noWrap w:val="0"/>
            <w:vAlign w:val="center"/>
          </w:tcPr>
          <w:p w14:paraId="345B0EA5">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1、满足《中华人民共和国政府采购法》第二十二条规定；</w:t>
            </w:r>
          </w:p>
          <w:p w14:paraId="16BC85FE">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2、落实政府采购政策需满足的资格要求：</w:t>
            </w:r>
            <w:r>
              <w:rPr>
                <w:rFonts w:hint="eastAsia" w:ascii="宋体" w:hAnsi="宋体" w:eastAsia="宋体" w:cs="宋体"/>
                <w:bCs/>
                <w:color w:val="auto"/>
                <w:sz w:val="21"/>
                <w:szCs w:val="21"/>
                <w:highlight w:val="none"/>
                <w:lang w:eastAsia="zh-CN"/>
              </w:rPr>
              <w:t>本项目为专门面向小微企业采购的项目（供应商应为小微企业、监狱企业、残疾人福利性单位)</w:t>
            </w:r>
            <w:r>
              <w:rPr>
                <w:rFonts w:hint="eastAsia" w:ascii="宋体" w:hAnsi="宋体" w:eastAsia="宋体" w:cs="宋体"/>
                <w:color w:val="auto"/>
                <w:highlight w:val="none"/>
                <w:lang w:val="en-US" w:eastAsia="zh-CN"/>
              </w:rPr>
              <w:t>；</w:t>
            </w:r>
          </w:p>
          <w:p w14:paraId="7A8CE7BB">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3、本项目的特定资格要求：具备</w:t>
            </w:r>
            <w:r>
              <w:rPr>
                <w:rFonts w:hint="eastAsia" w:ascii="宋体" w:hAnsi="宋体" w:cs="宋体"/>
                <w:color w:val="auto"/>
                <w:highlight w:val="none"/>
                <w:u w:val="single"/>
                <w:lang w:val="en-US" w:eastAsia="zh-CN"/>
              </w:rPr>
              <w:t>建筑工程施工总承包三级（含三级）以上</w:t>
            </w:r>
            <w:r>
              <w:rPr>
                <w:rFonts w:hint="eastAsia" w:ascii="宋体" w:hAnsi="宋体" w:eastAsia="宋体" w:cs="宋体"/>
                <w:color w:val="auto"/>
                <w:highlight w:val="none"/>
                <w:lang w:val="en-US" w:eastAsia="zh-CN"/>
              </w:rPr>
              <w:t>资质，并在人员、设备、资金等方面具备相应的施工能力。</w:t>
            </w:r>
            <w:r>
              <w:rPr>
                <w:rFonts w:hint="eastAsia" w:ascii="宋体" w:hAnsi="宋体" w:eastAsia="宋体" w:cs="宋体"/>
                <w:bCs/>
                <w:color w:val="auto"/>
                <w:sz w:val="21"/>
                <w:szCs w:val="21"/>
                <w:highlight w:val="none"/>
                <w:lang w:eastAsia="zh-CN"/>
              </w:rPr>
              <w:t>项目负责人须具备</w:t>
            </w:r>
            <w:r>
              <w:rPr>
                <w:rFonts w:hint="eastAsia" w:ascii="宋体" w:hAnsi="宋体" w:cs="宋体"/>
                <w:bCs/>
                <w:color w:val="auto"/>
                <w:sz w:val="21"/>
                <w:szCs w:val="21"/>
                <w:highlight w:val="none"/>
                <w:u w:val="single"/>
                <w:lang w:val="en-US" w:eastAsia="zh-CN"/>
              </w:rPr>
              <w:t>建筑工程贰级以上</w:t>
            </w:r>
            <w:r>
              <w:rPr>
                <w:rFonts w:hint="eastAsia" w:ascii="宋体" w:hAnsi="宋体" w:eastAsia="宋体" w:cs="宋体"/>
                <w:bCs/>
                <w:color w:val="auto"/>
                <w:sz w:val="21"/>
                <w:szCs w:val="21"/>
                <w:highlight w:val="none"/>
                <w:u w:val="single"/>
                <w:lang w:eastAsia="zh-CN"/>
              </w:rPr>
              <w:t>（含贰级）</w:t>
            </w:r>
            <w:r>
              <w:rPr>
                <w:rFonts w:hint="eastAsia" w:ascii="宋体" w:hAnsi="宋体" w:eastAsia="宋体" w:cs="宋体"/>
                <w:bCs/>
                <w:color w:val="auto"/>
                <w:sz w:val="21"/>
                <w:szCs w:val="21"/>
                <w:highlight w:val="none"/>
                <w:u w:val="none"/>
                <w:lang w:eastAsia="zh-CN"/>
              </w:rPr>
              <w:t>注册建造师执业资格</w:t>
            </w:r>
            <w:r>
              <w:rPr>
                <w:rFonts w:hint="eastAsia" w:ascii="宋体" w:hAnsi="宋体" w:eastAsia="宋体" w:cs="宋体"/>
                <w:bCs/>
                <w:color w:val="auto"/>
                <w:sz w:val="21"/>
                <w:szCs w:val="21"/>
                <w:highlight w:val="none"/>
                <w:lang w:eastAsia="zh-CN"/>
              </w:rPr>
              <w:t>资格</w:t>
            </w:r>
            <w:r>
              <w:rPr>
                <w:rFonts w:hint="eastAsia" w:ascii="宋体" w:hAnsi="宋体" w:eastAsia="宋体" w:cs="宋体"/>
                <w:color w:val="auto"/>
                <w:highlight w:val="none"/>
                <w:lang w:val="en-US" w:eastAsia="zh-CN"/>
              </w:rPr>
              <w:t>，具有安全生产考核B证,且未担任其他在施建设工程项目的项目经理（符合《广西壮族自治区建筑市场诚信卡管理暂行办法》第十六条第一款及桂建管﹝2016﹞70号、桂建管〔2019〕26号和桂建管〔2020〕11号文除外）。</w:t>
            </w:r>
          </w:p>
        </w:tc>
      </w:tr>
      <w:tr w14:paraId="73FBD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569" w:type="dxa"/>
            <w:noWrap w:val="0"/>
            <w:vAlign w:val="center"/>
          </w:tcPr>
          <w:p w14:paraId="41483950">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933" w:type="dxa"/>
            <w:noWrap w:val="0"/>
            <w:vAlign w:val="center"/>
          </w:tcPr>
          <w:p w14:paraId="3CA98F97">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1720" w:type="dxa"/>
            <w:noWrap w:val="0"/>
            <w:vAlign w:val="center"/>
          </w:tcPr>
          <w:p w14:paraId="1A3D7DFA">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参与电子</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的准备工作</w:t>
            </w:r>
          </w:p>
        </w:tc>
        <w:tc>
          <w:tcPr>
            <w:tcW w:w="7069" w:type="dxa"/>
            <w:noWrap w:val="0"/>
            <w:vAlign w:val="center"/>
          </w:tcPr>
          <w:p w14:paraId="7F6A2F5D">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4.1本项目实行全流程电子化采购，磋商供应商通过“广西政府采购云平台”平台参与电子磋商，并应做好以下相关准备工作：①在“广西政府采购云平台”平台注册成为正式供应商（操作方法详见广西壮族自治区政府采购网—办事服务—办事指南）；②完成CA认证证书申领和绑定（费用由磋商供应商自行承担，办理流程详见广西壮族自治区政府采购网—办事服务—下载专区，完成CA认证证书办理预计一周左右，建议供应商尽快办理）；③下载“广西壮族自治区全流程电子招投标项目管理系统--供应商客户端”（操作方法详见广西壮族自治区政府采购网—办事服务—下载专区，以下称“广西政府采购云平台电子投标客户端”）并安装成功，磋商供应商应当在响应文件提交截止时间前在“广西政府采购云平台”平台完成的身份认证，确保能够对相关数据电文进行加密和使用电子签章；④自备计算机和网络设备并确保能接入互联网（费用由磋商供应商自行承担，设备确保可进行视频通话和读取广西政府采购云平台CA认证证书）。因磋商供应商未做好相关准备工作等自身原因导致无法参加本项目电子磋商或磋商失败的，造成的一切后果，由磋商供应商自行承担。</w:t>
            </w:r>
          </w:p>
          <w:p w14:paraId="200C0C2F">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4.2电子磋商具体操作流程参考《政府采购项目电子交易管理操作指南-供应商》（详见桂林市政府采购网—采购资讯—重要通知）；如遇平台技术问题详询95763。</w:t>
            </w:r>
          </w:p>
          <w:p w14:paraId="7077DC15">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4.3不论磋商结果如何，磋商供应商均应自行承担所有与磋商有关的全部费用。</w:t>
            </w:r>
          </w:p>
        </w:tc>
      </w:tr>
      <w:tr w14:paraId="637D5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569" w:type="dxa"/>
            <w:noWrap w:val="0"/>
            <w:vAlign w:val="center"/>
          </w:tcPr>
          <w:p w14:paraId="0D3EE42E">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4</w:t>
            </w:r>
          </w:p>
        </w:tc>
        <w:tc>
          <w:tcPr>
            <w:tcW w:w="933" w:type="dxa"/>
            <w:noWrap w:val="0"/>
            <w:vAlign w:val="center"/>
          </w:tcPr>
          <w:p w14:paraId="4C416A52">
            <w:pPr>
              <w:keepNext w:val="0"/>
              <w:keepLines w:val="0"/>
              <w:pageBreakBefore w:val="0"/>
              <w:widowControl w:val="0"/>
              <w:kinsoku/>
              <w:wordWrap/>
              <w:overflowPunct/>
              <w:topLinePunct w:val="0"/>
              <w:autoSpaceDE/>
              <w:autoSpaceDN/>
              <w:bidi w:val="0"/>
              <w:adjustRightInd/>
              <w:spacing w:line="360" w:lineRule="exact"/>
              <w:ind w:left="0" w:left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p>
        </w:tc>
        <w:tc>
          <w:tcPr>
            <w:tcW w:w="1720" w:type="dxa"/>
            <w:noWrap w:val="0"/>
            <w:vAlign w:val="center"/>
          </w:tcPr>
          <w:p w14:paraId="2D2A7DED">
            <w:pPr>
              <w:keepNext w:val="0"/>
              <w:keepLines w:val="0"/>
              <w:pageBreakBefore w:val="0"/>
              <w:widowControl w:val="0"/>
              <w:kinsoku/>
              <w:wordWrap/>
              <w:overflowPunct/>
              <w:topLinePunct w:val="0"/>
              <w:autoSpaceDE/>
              <w:autoSpaceDN/>
              <w:bidi w:val="0"/>
              <w:adjustRightInd/>
              <w:spacing w:line="360" w:lineRule="exact"/>
              <w:ind w:left="0" w:left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磋商费用</w:t>
            </w:r>
          </w:p>
        </w:tc>
        <w:tc>
          <w:tcPr>
            <w:tcW w:w="7069" w:type="dxa"/>
            <w:noWrap w:val="0"/>
            <w:vAlign w:val="center"/>
          </w:tcPr>
          <w:p w14:paraId="4863A479">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不论磋商结果如何，供应商均应自行承担所有与磋商有关的全部费用。 </w:t>
            </w:r>
          </w:p>
        </w:tc>
      </w:tr>
      <w:tr w14:paraId="7D016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69" w:type="dxa"/>
            <w:noWrap w:val="0"/>
            <w:vAlign w:val="center"/>
          </w:tcPr>
          <w:p w14:paraId="6CCA7C70">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5</w:t>
            </w:r>
          </w:p>
        </w:tc>
        <w:tc>
          <w:tcPr>
            <w:tcW w:w="933" w:type="dxa"/>
            <w:noWrap w:val="0"/>
            <w:vAlign w:val="center"/>
          </w:tcPr>
          <w:p w14:paraId="22D0B971">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default" w:ascii="宋体" w:hAnsi="宋体" w:eastAsia="宋体" w:cs="宋体"/>
                <w:color w:val="auto"/>
                <w:position w:val="-2"/>
                <w:szCs w:val="21"/>
                <w:highlight w:val="none"/>
                <w:lang w:val="en-US" w:eastAsia="zh-CN"/>
              </w:rPr>
            </w:pPr>
            <w:r>
              <w:rPr>
                <w:rFonts w:hint="eastAsia" w:ascii="宋体" w:hAnsi="宋体" w:cs="宋体"/>
                <w:color w:val="auto"/>
                <w:position w:val="-2"/>
                <w:szCs w:val="21"/>
                <w:highlight w:val="none"/>
                <w:lang w:val="en-US" w:eastAsia="zh-CN"/>
              </w:rPr>
              <w:t>14.3</w:t>
            </w:r>
          </w:p>
        </w:tc>
        <w:tc>
          <w:tcPr>
            <w:tcW w:w="1720" w:type="dxa"/>
            <w:noWrap w:val="0"/>
            <w:vAlign w:val="center"/>
          </w:tcPr>
          <w:p w14:paraId="0678DEE3">
            <w:pPr>
              <w:keepNext w:val="0"/>
              <w:keepLines w:val="0"/>
              <w:pageBreakBefore w:val="0"/>
              <w:widowControl w:val="0"/>
              <w:kinsoku/>
              <w:wordWrap/>
              <w:overflowPunct/>
              <w:topLinePunct w:val="0"/>
              <w:autoSpaceDE/>
              <w:autoSpaceDN/>
              <w:bidi w:val="0"/>
              <w:adjustRightInd/>
              <w:spacing w:line="360" w:lineRule="exact"/>
              <w:ind w:left="0" w:leftChars="0"/>
              <w:jc w:val="center"/>
              <w:textAlignment w:val="auto"/>
              <w:rPr>
                <w:rFonts w:hint="eastAsia" w:ascii="宋体" w:hAnsi="宋体" w:eastAsia="宋体" w:cs="宋体"/>
                <w:color w:val="auto"/>
                <w:position w:val="-2"/>
                <w:szCs w:val="21"/>
                <w:highlight w:val="none"/>
              </w:rPr>
            </w:pPr>
            <w:r>
              <w:rPr>
                <w:rFonts w:hint="eastAsia" w:ascii="宋体" w:hAnsi="宋体" w:eastAsia="宋体" w:cs="宋体"/>
                <w:color w:val="auto"/>
                <w:sz w:val="21"/>
                <w:szCs w:val="21"/>
                <w:highlight w:val="none"/>
              </w:rPr>
              <w:t>磋商报价及</w:t>
            </w:r>
            <w:r>
              <w:rPr>
                <w:rFonts w:hint="eastAsia" w:ascii="宋体" w:hAnsi="宋体" w:eastAsia="宋体" w:cs="宋体"/>
                <w:color w:val="auto"/>
                <w:sz w:val="21"/>
                <w:szCs w:val="21"/>
                <w:highlight w:val="none"/>
                <w:lang w:val="en-US" w:eastAsia="zh-CN"/>
              </w:rPr>
              <w:t>预算</w:t>
            </w:r>
            <w:r>
              <w:rPr>
                <w:rFonts w:hint="eastAsia" w:ascii="宋体" w:hAnsi="宋体" w:eastAsia="宋体" w:cs="宋体"/>
                <w:color w:val="auto"/>
                <w:sz w:val="21"/>
                <w:szCs w:val="21"/>
                <w:highlight w:val="none"/>
              </w:rPr>
              <w:t>控制价</w:t>
            </w:r>
          </w:p>
        </w:tc>
        <w:tc>
          <w:tcPr>
            <w:tcW w:w="7069" w:type="dxa"/>
            <w:noWrap w:val="0"/>
            <w:vAlign w:val="center"/>
          </w:tcPr>
          <w:p w14:paraId="7B3309F2">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宋体" w:hAnsi="宋体" w:eastAsia="宋体" w:cs="宋体"/>
                <w:color w:val="auto"/>
                <w:kern w:val="0"/>
                <w:szCs w:val="21"/>
                <w:lang w:val="en-US" w:eastAsia="zh-CN"/>
              </w:rPr>
            </w:pPr>
            <w:r>
              <w:rPr>
                <w:rFonts w:hint="eastAsia" w:ascii="宋体" w:hAnsi="宋体" w:cs="宋体"/>
                <w:color w:val="auto"/>
                <w:kern w:val="0"/>
                <w:szCs w:val="21"/>
              </w:rPr>
              <w:t>本项目</w:t>
            </w:r>
            <w:r>
              <w:rPr>
                <w:rFonts w:hint="eastAsia" w:ascii="宋体" w:hAnsi="宋体" w:cs="宋体"/>
                <w:color w:val="auto"/>
                <w:kern w:val="0"/>
                <w:szCs w:val="21"/>
                <w:lang w:val="en-US" w:eastAsia="zh-CN"/>
              </w:rPr>
              <w:t>审定</w:t>
            </w:r>
            <w:r>
              <w:rPr>
                <w:rFonts w:hint="eastAsia" w:ascii="宋体" w:hAnsi="宋体" w:cs="宋体"/>
                <w:color w:val="auto"/>
                <w:kern w:val="0"/>
                <w:szCs w:val="21"/>
              </w:rPr>
              <w:t>预算总金额为</w:t>
            </w:r>
            <w:r>
              <w:rPr>
                <w:rFonts w:hint="eastAsia" w:ascii="宋体" w:hAnsi="宋体" w:cs="宋体"/>
                <w:color w:val="auto"/>
                <w:kern w:val="0"/>
                <w:szCs w:val="21"/>
                <w:u w:val="single"/>
              </w:rPr>
              <w:t xml:space="preserve"> </w:t>
            </w:r>
            <w:r>
              <w:rPr>
                <w:rFonts w:hint="eastAsia" w:ascii="宋体" w:hAnsi="宋体" w:cs="宋体"/>
                <w:color w:val="auto"/>
                <w:kern w:val="0"/>
                <w:szCs w:val="21"/>
                <w:u w:val="single"/>
                <w:lang w:eastAsia="zh-CN"/>
              </w:rPr>
              <w:t>2,383,369.52</w:t>
            </w:r>
            <w:r>
              <w:rPr>
                <w:rFonts w:hint="eastAsia" w:ascii="宋体" w:hAnsi="宋体" w:cs="宋体"/>
                <w:color w:val="auto"/>
                <w:kern w:val="0"/>
                <w:szCs w:val="21"/>
                <w:u w:val="single"/>
              </w:rPr>
              <w:t xml:space="preserve"> </w:t>
            </w:r>
            <w:r>
              <w:rPr>
                <w:rFonts w:hint="eastAsia" w:ascii="宋体" w:hAnsi="宋体" w:cs="宋体"/>
                <w:color w:val="auto"/>
                <w:kern w:val="0"/>
                <w:szCs w:val="21"/>
              </w:rPr>
              <w:t>元。</w:t>
            </w:r>
            <w:r>
              <w:rPr>
                <w:rFonts w:hint="eastAsia" w:ascii="宋体" w:hAnsi="宋体" w:eastAsia="宋体" w:cs="宋体"/>
                <w:color w:val="auto"/>
                <w:kern w:val="0"/>
                <w:szCs w:val="21"/>
                <w:lang w:val="en-US" w:eastAsia="zh-CN"/>
              </w:rPr>
              <w:t>本项目预算控制价（最高限价）为</w:t>
            </w:r>
            <w:r>
              <w:rPr>
                <w:rFonts w:hint="eastAsia" w:ascii="宋体" w:hAnsi="宋体" w:eastAsia="宋体" w:cs="宋体"/>
                <w:bCs/>
                <w:color w:val="auto"/>
                <w:sz w:val="21"/>
                <w:szCs w:val="21"/>
                <w:highlight w:val="none"/>
                <w:u w:val="single"/>
                <w:lang w:val="en-US" w:eastAsia="zh-CN"/>
              </w:rPr>
              <w:t xml:space="preserve"> </w:t>
            </w:r>
            <w:r>
              <w:rPr>
                <w:rFonts w:hint="eastAsia" w:ascii="宋体" w:hAnsi="宋体" w:cs="宋体"/>
                <w:bCs/>
                <w:color w:val="auto"/>
                <w:sz w:val="21"/>
                <w:szCs w:val="21"/>
                <w:highlight w:val="none"/>
                <w:u w:val="single"/>
                <w:lang w:val="en-US" w:eastAsia="zh-CN"/>
              </w:rPr>
              <w:t>2,383,369.52</w:t>
            </w:r>
            <w:r>
              <w:rPr>
                <w:rFonts w:hint="eastAsia" w:ascii="宋体" w:hAnsi="宋体" w:eastAsia="宋体" w:cs="宋体"/>
                <w:bCs/>
                <w:color w:val="auto"/>
                <w:sz w:val="21"/>
                <w:szCs w:val="21"/>
                <w:highlight w:val="none"/>
                <w:u w:val="single"/>
                <w:lang w:val="en-US" w:eastAsia="zh-CN"/>
              </w:rPr>
              <w:t xml:space="preserve"> </w:t>
            </w:r>
            <w:r>
              <w:rPr>
                <w:rFonts w:hint="eastAsia" w:ascii="宋体" w:hAnsi="宋体" w:eastAsia="宋体" w:cs="宋体"/>
                <w:color w:val="auto"/>
                <w:kern w:val="0"/>
                <w:szCs w:val="21"/>
                <w:lang w:val="en-US" w:eastAsia="zh-CN"/>
              </w:rPr>
              <w:t>元。</w:t>
            </w:r>
          </w:p>
          <w:p w14:paraId="1B5F2FDE">
            <w:pPr>
              <w:keepNext w:val="0"/>
              <w:keepLines w:val="0"/>
              <w:pageBreakBefore w:val="0"/>
              <w:widowControl w:val="0"/>
              <w:kinsoku/>
              <w:wordWrap/>
              <w:overflowPunct/>
              <w:topLinePunct w:val="0"/>
              <w:autoSpaceDE/>
              <w:autoSpaceDN/>
              <w:bidi w:val="0"/>
              <w:adjustRightInd/>
              <w:spacing w:line="440" w:lineRule="exact"/>
              <w:textAlignment w:val="auto"/>
              <w:rPr>
                <w:rFonts w:hint="eastAsia"/>
                <w:color w:val="auto"/>
                <w:lang w:eastAsia="zh-CN"/>
              </w:rPr>
            </w:pPr>
            <w:r>
              <w:rPr>
                <w:rFonts w:hint="eastAsia" w:ascii="宋体" w:hAnsi="宋体" w:cs="宋体"/>
                <w:b/>
                <w:color w:val="auto"/>
                <w:szCs w:val="21"/>
                <w:highlight w:val="none"/>
              </w:rPr>
              <w:t>供应商的磋商工程总报价如高于预算控制价（最高限价）则作无效标处理。</w:t>
            </w:r>
          </w:p>
        </w:tc>
      </w:tr>
      <w:tr w14:paraId="2A0DF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69" w:type="dxa"/>
            <w:noWrap w:val="0"/>
            <w:vAlign w:val="center"/>
          </w:tcPr>
          <w:p w14:paraId="10A407A9">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6</w:t>
            </w:r>
          </w:p>
        </w:tc>
        <w:tc>
          <w:tcPr>
            <w:tcW w:w="933" w:type="dxa"/>
            <w:noWrap w:val="0"/>
            <w:vAlign w:val="center"/>
          </w:tcPr>
          <w:p w14:paraId="3B0F50FA">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position w:val="-2"/>
                <w:szCs w:val="21"/>
                <w:highlight w:val="none"/>
              </w:rPr>
            </w:pPr>
            <w:r>
              <w:rPr>
                <w:rFonts w:hint="eastAsia" w:ascii="宋体" w:hAnsi="宋体" w:cs="宋体"/>
                <w:color w:val="auto"/>
                <w:position w:val="-2"/>
                <w:szCs w:val="21"/>
                <w:highlight w:val="none"/>
                <w:lang w:val="en-US" w:eastAsia="zh-CN"/>
              </w:rPr>
              <w:t>15</w:t>
            </w:r>
            <w:r>
              <w:rPr>
                <w:rFonts w:hint="eastAsia" w:ascii="宋体" w:hAnsi="宋体" w:eastAsia="宋体" w:cs="宋体"/>
                <w:color w:val="auto"/>
                <w:position w:val="-2"/>
                <w:szCs w:val="21"/>
                <w:highlight w:val="none"/>
              </w:rPr>
              <w:t>.1</w:t>
            </w:r>
          </w:p>
        </w:tc>
        <w:tc>
          <w:tcPr>
            <w:tcW w:w="1720" w:type="dxa"/>
            <w:noWrap w:val="0"/>
            <w:vAlign w:val="center"/>
          </w:tcPr>
          <w:p w14:paraId="6BB19DE0">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position w:val="-2"/>
                <w:szCs w:val="21"/>
                <w:highlight w:val="none"/>
              </w:rPr>
            </w:pPr>
            <w:r>
              <w:rPr>
                <w:rFonts w:hint="eastAsia" w:ascii="宋体" w:hAnsi="宋体" w:eastAsia="宋体" w:cs="宋体"/>
                <w:color w:val="auto"/>
                <w:position w:val="-2"/>
                <w:szCs w:val="21"/>
                <w:highlight w:val="none"/>
              </w:rPr>
              <w:t>响应文件有效期</w:t>
            </w:r>
          </w:p>
        </w:tc>
        <w:tc>
          <w:tcPr>
            <w:tcW w:w="7069" w:type="dxa"/>
            <w:noWrap w:val="0"/>
            <w:vAlign w:val="top"/>
          </w:tcPr>
          <w:p w14:paraId="5A70808A">
            <w:pPr>
              <w:keepNext w:val="0"/>
              <w:keepLines w:val="0"/>
              <w:pageBreakBefore w:val="0"/>
              <w:widowControl w:val="0"/>
              <w:tabs>
                <w:tab w:val="left" w:pos="1305"/>
              </w:tabs>
              <w:kinsoku/>
              <w:wordWrap/>
              <w:overflowPunct/>
              <w:topLinePunct w:val="0"/>
              <w:autoSpaceDE/>
              <w:autoSpaceDN/>
              <w:bidi w:val="0"/>
              <w:adjustRightInd/>
              <w:spacing w:line="44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响应文件递交截止时间之日起90天，有效期不足的响应文件将被拒绝。</w:t>
            </w:r>
          </w:p>
        </w:tc>
      </w:tr>
      <w:tr w14:paraId="0C160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69" w:type="dxa"/>
            <w:noWrap w:val="0"/>
            <w:vAlign w:val="center"/>
          </w:tcPr>
          <w:p w14:paraId="4474A250">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7</w:t>
            </w:r>
          </w:p>
        </w:tc>
        <w:tc>
          <w:tcPr>
            <w:tcW w:w="933" w:type="dxa"/>
            <w:noWrap w:val="0"/>
            <w:vAlign w:val="center"/>
          </w:tcPr>
          <w:p w14:paraId="54562721">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default" w:ascii="宋体" w:hAnsi="宋体" w:eastAsia="宋体" w:cs="宋体"/>
                <w:color w:val="auto"/>
                <w:position w:val="-2"/>
                <w:szCs w:val="21"/>
                <w:highlight w:val="none"/>
                <w:lang w:val="en-US" w:eastAsia="zh-CN"/>
              </w:rPr>
            </w:pPr>
            <w:r>
              <w:rPr>
                <w:rFonts w:hint="eastAsia" w:ascii="宋体" w:hAnsi="宋体" w:cs="宋体"/>
                <w:color w:val="auto"/>
                <w:position w:val="-2"/>
                <w:szCs w:val="21"/>
                <w:highlight w:val="none"/>
                <w:lang w:val="en-US" w:eastAsia="zh-CN"/>
              </w:rPr>
              <w:t>16</w:t>
            </w:r>
          </w:p>
        </w:tc>
        <w:tc>
          <w:tcPr>
            <w:tcW w:w="1720" w:type="dxa"/>
            <w:noWrap w:val="0"/>
            <w:vAlign w:val="center"/>
          </w:tcPr>
          <w:p w14:paraId="0E512869">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position w:val="-2"/>
                <w:szCs w:val="21"/>
                <w:highlight w:val="none"/>
              </w:rPr>
            </w:pPr>
            <w:r>
              <w:rPr>
                <w:rFonts w:hint="eastAsia" w:ascii="宋体" w:hAnsi="宋体" w:eastAsia="宋体" w:cs="宋体"/>
                <w:color w:val="auto"/>
                <w:position w:val="-2"/>
                <w:szCs w:val="21"/>
                <w:highlight w:val="none"/>
              </w:rPr>
              <w:t>保证金</w:t>
            </w:r>
          </w:p>
        </w:tc>
        <w:tc>
          <w:tcPr>
            <w:tcW w:w="7069" w:type="dxa"/>
            <w:noWrap w:val="0"/>
            <w:vAlign w:val="top"/>
          </w:tcPr>
          <w:p w14:paraId="53A39EEC">
            <w:pPr>
              <w:keepNext w:val="0"/>
              <w:keepLines w:val="0"/>
              <w:pageBreakBefore w:val="0"/>
              <w:widowControl w:val="0"/>
              <w:tabs>
                <w:tab w:val="left" w:pos="1305"/>
              </w:tabs>
              <w:kinsoku/>
              <w:wordWrap/>
              <w:overflowPunct/>
              <w:topLinePunct w:val="0"/>
              <w:autoSpaceDE/>
              <w:autoSpaceDN/>
              <w:bidi w:val="0"/>
              <w:adjustRightInd/>
              <w:spacing w:line="44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本项目无需缴纳磋商保证金</w:t>
            </w:r>
          </w:p>
        </w:tc>
      </w:tr>
      <w:tr w14:paraId="7583C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69" w:type="dxa"/>
            <w:noWrap w:val="0"/>
            <w:vAlign w:val="center"/>
          </w:tcPr>
          <w:p w14:paraId="52080EBF">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8</w:t>
            </w:r>
          </w:p>
        </w:tc>
        <w:tc>
          <w:tcPr>
            <w:tcW w:w="933" w:type="dxa"/>
            <w:noWrap w:val="0"/>
            <w:vAlign w:val="center"/>
          </w:tcPr>
          <w:p w14:paraId="6841B92F">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17</w:t>
            </w:r>
          </w:p>
        </w:tc>
        <w:tc>
          <w:tcPr>
            <w:tcW w:w="1720" w:type="dxa"/>
            <w:noWrap w:val="0"/>
            <w:vAlign w:val="center"/>
          </w:tcPr>
          <w:p w14:paraId="1E7E020E">
            <w:pPr>
              <w:pStyle w:val="4"/>
              <w:keepNext w:val="0"/>
              <w:keepLines w:val="0"/>
              <w:pageBreakBefore w:val="0"/>
              <w:widowControl w:val="0"/>
              <w:kinsoku/>
              <w:wordWrap/>
              <w:overflowPunct/>
              <w:topLinePunct w:val="0"/>
              <w:autoSpaceDE/>
              <w:autoSpaceDN/>
              <w:bidi w:val="0"/>
              <w:adjustRightInd/>
              <w:spacing w:before="0" w:after="0" w:line="440" w:lineRule="exact"/>
              <w:jc w:val="center"/>
              <w:textAlignment w:val="auto"/>
              <w:rPr>
                <w:rFonts w:hint="eastAsia" w:ascii="宋体" w:hAnsi="宋体" w:eastAsia="宋体" w:cs="宋体"/>
                <w:b w:val="0"/>
                <w:bCs/>
                <w:color w:val="auto"/>
                <w:sz w:val="21"/>
                <w:szCs w:val="21"/>
                <w:highlight w:val="none"/>
                <w:lang w:eastAsia="zh-CN"/>
              </w:rPr>
            </w:pPr>
            <w:bookmarkStart w:id="43" w:name="_Toc27452"/>
            <w:bookmarkStart w:id="44" w:name="_Toc19911"/>
            <w:bookmarkStart w:id="45" w:name="_Toc19954"/>
            <w:r>
              <w:rPr>
                <w:rFonts w:hint="eastAsia" w:ascii="宋体" w:hAnsi="宋体" w:eastAsia="宋体" w:cs="宋体"/>
                <w:b w:val="0"/>
                <w:bCs/>
                <w:color w:val="auto"/>
                <w:sz w:val="21"/>
                <w:szCs w:val="21"/>
                <w:highlight w:val="none"/>
              </w:rPr>
              <w:t>竞争性</w:t>
            </w:r>
            <w:r>
              <w:rPr>
                <w:rFonts w:hint="eastAsia" w:ascii="宋体" w:hAnsi="宋体" w:eastAsia="宋体" w:cs="宋体"/>
                <w:b w:val="0"/>
                <w:bCs/>
                <w:color w:val="auto"/>
                <w:sz w:val="21"/>
                <w:szCs w:val="21"/>
                <w:highlight w:val="none"/>
                <w:lang w:eastAsia="zh-CN"/>
              </w:rPr>
              <w:t>磋商</w:t>
            </w:r>
            <w:r>
              <w:rPr>
                <w:rFonts w:hint="eastAsia" w:ascii="宋体" w:hAnsi="宋体" w:eastAsia="宋体" w:cs="宋体"/>
                <w:b w:val="0"/>
                <w:bCs/>
                <w:color w:val="auto"/>
                <w:sz w:val="21"/>
                <w:szCs w:val="21"/>
                <w:highlight w:val="none"/>
              </w:rPr>
              <w:t>响应文件的</w:t>
            </w:r>
            <w:r>
              <w:rPr>
                <w:rFonts w:hint="eastAsia" w:ascii="宋体" w:hAnsi="宋体" w:eastAsia="宋体" w:cs="宋体"/>
                <w:b w:val="0"/>
                <w:bCs/>
                <w:color w:val="auto"/>
                <w:sz w:val="21"/>
                <w:szCs w:val="21"/>
                <w:highlight w:val="none"/>
                <w:lang w:eastAsia="zh-CN"/>
              </w:rPr>
              <w:t>制作</w:t>
            </w:r>
            <w:bookmarkEnd w:id="43"/>
            <w:bookmarkEnd w:id="44"/>
            <w:bookmarkEnd w:id="45"/>
          </w:p>
          <w:p w14:paraId="0F3743AC">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lang w:eastAsia="zh-CN"/>
              </w:rPr>
            </w:pPr>
          </w:p>
        </w:tc>
        <w:tc>
          <w:tcPr>
            <w:tcW w:w="7069" w:type="dxa"/>
            <w:noWrap w:val="0"/>
            <w:vAlign w:val="center"/>
          </w:tcPr>
          <w:p w14:paraId="582BC66A">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17</w:t>
            </w:r>
            <w:r>
              <w:rPr>
                <w:rFonts w:hint="eastAsia" w:ascii="宋体" w:hAnsi="宋体" w:eastAsia="宋体" w:cs="宋体"/>
                <w:color w:val="auto"/>
                <w:szCs w:val="21"/>
                <w:highlight w:val="none"/>
              </w:rPr>
              <w:t>.1 电子</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响应文件中须加盖供应商公章部分均采用</w:t>
            </w:r>
            <w:r>
              <w:rPr>
                <w:rFonts w:hint="eastAsia" w:ascii="宋体" w:hAnsi="宋体" w:eastAsia="宋体" w:cs="宋体"/>
                <w:color w:val="auto"/>
                <w:szCs w:val="21"/>
                <w:highlight w:val="none"/>
                <w:lang w:val="en-US" w:eastAsia="zh-CN"/>
              </w:rPr>
              <w:t>数字证书（CA认证）</w:t>
            </w:r>
            <w:r>
              <w:rPr>
                <w:rFonts w:hint="eastAsia" w:ascii="宋体" w:hAnsi="宋体" w:eastAsia="宋体" w:cs="宋体"/>
                <w:color w:val="auto"/>
                <w:szCs w:val="21"/>
                <w:highlight w:val="none"/>
              </w:rPr>
              <w:t>签章，并根据“政府采购项目电子交易管理操作指南-供应商”及本</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文件规定的格式和顺序编制电子</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响应文件并进行关联定位，以便</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小组在评</w:t>
            </w:r>
            <w:r>
              <w:rPr>
                <w:rFonts w:hint="eastAsia" w:ascii="宋体" w:hAnsi="宋体" w:eastAsia="宋体" w:cs="宋体"/>
                <w:color w:val="auto"/>
                <w:szCs w:val="21"/>
                <w:highlight w:val="none"/>
                <w:lang w:val="en-US" w:eastAsia="zh-CN"/>
              </w:rPr>
              <w:t>审</w:t>
            </w:r>
            <w:r>
              <w:rPr>
                <w:rFonts w:hint="eastAsia" w:ascii="宋体" w:hAnsi="宋体" w:eastAsia="宋体" w:cs="宋体"/>
                <w:color w:val="auto"/>
                <w:szCs w:val="21"/>
                <w:highlight w:val="none"/>
              </w:rPr>
              <w:t>时，点击评分项可直接定位到该评分项内容。如对</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文件的某项要求，供应商的电子</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响应文件未能关联定位提供相应的内容与其对应，则</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小组在评审时如做出对供应商不利的评审由供应商自行承担。电子</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响应文件如内容不完整、编排混乱导致</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响应文件被误读、 漏读，或者在按采购文件规定的部位查找不到相关内容的，由供应商自行承担。</w:t>
            </w:r>
          </w:p>
          <w:p w14:paraId="2BA3F7C7">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17</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供应商法人（负责人）或授权代表持有个人</w:t>
            </w:r>
            <w:r>
              <w:rPr>
                <w:rFonts w:hint="eastAsia" w:ascii="宋体" w:hAnsi="宋体" w:cs="宋体"/>
                <w:color w:val="auto"/>
                <w:szCs w:val="21"/>
                <w:highlight w:val="none"/>
                <w:lang w:eastAsia="zh-CN"/>
              </w:rPr>
              <w:t>数字证书（CA认证）</w:t>
            </w:r>
            <w:r>
              <w:rPr>
                <w:rFonts w:hint="eastAsia" w:ascii="宋体" w:hAnsi="宋体" w:eastAsia="宋体" w:cs="宋体"/>
                <w:color w:val="auto"/>
                <w:szCs w:val="21"/>
                <w:highlight w:val="none"/>
              </w:rPr>
              <w:t>签章的，应在</w:t>
            </w:r>
            <w:r>
              <w:rPr>
                <w:rFonts w:hint="eastAsia" w:ascii="宋体" w:hAnsi="宋体" w:eastAsia="宋体" w:cs="宋体"/>
                <w:color w:val="auto"/>
                <w:szCs w:val="21"/>
                <w:highlight w:val="none"/>
                <w:lang w:eastAsia="zh-CN"/>
              </w:rPr>
              <w:t>响应</w:t>
            </w:r>
            <w:r>
              <w:rPr>
                <w:rFonts w:hint="eastAsia" w:ascii="宋体" w:hAnsi="宋体" w:eastAsia="宋体" w:cs="宋体"/>
                <w:color w:val="auto"/>
                <w:szCs w:val="21"/>
                <w:highlight w:val="none"/>
              </w:rPr>
              <w:t>文件中涉及到签字的位置使用个人</w:t>
            </w:r>
            <w:r>
              <w:rPr>
                <w:rFonts w:hint="eastAsia" w:ascii="宋体" w:hAnsi="宋体" w:cs="宋体"/>
                <w:color w:val="auto"/>
                <w:szCs w:val="21"/>
                <w:highlight w:val="none"/>
                <w:lang w:eastAsia="zh-CN"/>
              </w:rPr>
              <w:t>数字证书（CA认证）</w:t>
            </w:r>
            <w:r>
              <w:rPr>
                <w:rFonts w:hint="eastAsia" w:ascii="宋体" w:hAnsi="宋体" w:eastAsia="宋体" w:cs="宋体"/>
                <w:color w:val="auto"/>
                <w:szCs w:val="21"/>
                <w:highlight w:val="none"/>
              </w:rPr>
              <w:t>签章，没有办理个人</w:t>
            </w:r>
            <w:r>
              <w:rPr>
                <w:rFonts w:hint="eastAsia" w:ascii="宋体" w:hAnsi="宋体" w:cs="宋体"/>
                <w:color w:val="auto"/>
                <w:szCs w:val="21"/>
                <w:highlight w:val="none"/>
                <w:lang w:eastAsia="zh-CN"/>
              </w:rPr>
              <w:t>数字证书（CA认证）</w:t>
            </w:r>
            <w:r>
              <w:rPr>
                <w:rFonts w:hint="eastAsia" w:ascii="宋体" w:hAnsi="宋体" w:eastAsia="宋体" w:cs="宋体"/>
                <w:color w:val="auto"/>
                <w:szCs w:val="21"/>
                <w:highlight w:val="none"/>
              </w:rPr>
              <w:t>签章的可在</w:t>
            </w:r>
            <w:r>
              <w:rPr>
                <w:rFonts w:hint="eastAsia" w:ascii="宋体" w:hAnsi="宋体" w:eastAsia="宋体" w:cs="宋体"/>
                <w:color w:val="auto"/>
                <w:szCs w:val="21"/>
                <w:highlight w:val="none"/>
                <w:lang w:eastAsia="zh-CN"/>
              </w:rPr>
              <w:t>响应</w:t>
            </w:r>
            <w:r>
              <w:rPr>
                <w:rFonts w:hint="eastAsia" w:ascii="宋体" w:hAnsi="宋体" w:eastAsia="宋体" w:cs="宋体"/>
                <w:color w:val="auto"/>
                <w:szCs w:val="21"/>
                <w:highlight w:val="none"/>
              </w:rPr>
              <w:t>文件中涉及到签字的位置手写签字后扫描或者拍照做成 PDF 的格式上传即可。</w:t>
            </w:r>
          </w:p>
          <w:p w14:paraId="22CFD104">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17</w:t>
            </w:r>
            <w:r>
              <w:rPr>
                <w:rFonts w:hint="eastAsia" w:ascii="宋体" w:hAnsi="宋体" w:eastAsia="宋体" w:cs="宋体"/>
                <w:color w:val="auto"/>
                <w:szCs w:val="21"/>
                <w:highlight w:val="none"/>
              </w:rPr>
              <w:t xml:space="preserve">.3 </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响应文件不得涂改，若有修改错漏处，须法定代表人（负责人）或授权委托人签字</w:t>
            </w:r>
            <w:r>
              <w:rPr>
                <w:rFonts w:hint="eastAsia" w:ascii="宋体" w:hAnsi="宋体" w:eastAsia="宋体" w:cs="宋体"/>
                <w:color w:val="auto"/>
                <w:szCs w:val="21"/>
                <w:highlight w:val="none"/>
                <w:lang w:eastAsia="zh-CN"/>
              </w:rPr>
              <w:t>（或个人</w:t>
            </w:r>
            <w:r>
              <w:rPr>
                <w:rFonts w:hint="eastAsia" w:ascii="宋体" w:hAnsi="宋体" w:cs="宋体"/>
                <w:color w:val="auto"/>
                <w:szCs w:val="21"/>
                <w:highlight w:val="none"/>
                <w:lang w:val="en-US" w:eastAsia="zh-CN"/>
              </w:rPr>
              <w:t>数字证书（CA认证）</w:t>
            </w:r>
            <w:r>
              <w:rPr>
                <w:rFonts w:hint="eastAsia" w:ascii="宋体" w:hAnsi="宋体" w:eastAsia="宋体" w:cs="宋体"/>
                <w:color w:val="auto"/>
                <w:szCs w:val="21"/>
                <w:highlight w:val="none"/>
                <w:lang w:val="en-US" w:eastAsia="zh-CN"/>
              </w:rPr>
              <w:t>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响应文件因字迹潦草或表达不清所引起的后果由供应商负责。</w:t>
            </w:r>
          </w:p>
          <w:p w14:paraId="756C5167">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17</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 xml:space="preserve">磋商前准备 </w:t>
            </w:r>
          </w:p>
          <w:p w14:paraId="4328D664">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17</w:t>
            </w:r>
            <w:r>
              <w:rPr>
                <w:rFonts w:hint="eastAsia" w:ascii="宋体" w:hAnsi="宋体" w:eastAsia="宋体" w:cs="宋体"/>
                <w:color w:val="auto"/>
                <w:szCs w:val="21"/>
                <w:highlight w:val="none"/>
                <w:lang w:val="en-US" w:eastAsia="zh-CN"/>
              </w:rPr>
              <w:t>.4.1</w:t>
            </w:r>
            <w:r>
              <w:rPr>
                <w:rFonts w:hint="eastAsia" w:ascii="宋体" w:hAnsi="宋体" w:eastAsia="宋体" w:cs="宋体"/>
                <w:color w:val="auto"/>
                <w:szCs w:val="21"/>
                <w:highlight w:val="none"/>
                <w:lang w:eastAsia="zh-CN"/>
              </w:rPr>
              <w:t xml:space="preserve">本项目实行在线磋商，采用电子磋商响应文件。若供应商参与磋商，自行承担磋商一切费用。 </w:t>
            </w:r>
          </w:p>
          <w:p w14:paraId="7F963556">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17</w:t>
            </w:r>
            <w:r>
              <w:rPr>
                <w:rFonts w:hint="eastAsia" w:ascii="宋体" w:hAnsi="宋体" w:eastAsia="宋体" w:cs="宋体"/>
                <w:color w:val="auto"/>
                <w:szCs w:val="21"/>
                <w:highlight w:val="none"/>
                <w:lang w:val="en-US" w:eastAsia="zh-CN"/>
              </w:rPr>
              <w:t>.4.2</w:t>
            </w:r>
            <w:r>
              <w:rPr>
                <w:rFonts w:hint="eastAsia" w:ascii="宋体" w:hAnsi="宋体" w:eastAsia="宋体" w:cs="宋体"/>
                <w:color w:val="auto"/>
                <w:szCs w:val="21"/>
                <w:highlight w:val="none"/>
                <w:lang w:eastAsia="zh-CN"/>
              </w:rPr>
              <w:t>各供应商应在截标前应确保成为</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lang w:eastAsia="zh-CN"/>
              </w:rPr>
              <w:t>正式注册入库供应商，并完成</w:t>
            </w:r>
            <w:r>
              <w:rPr>
                <w:rFonts w:hint="eastAsia" w:ascii="宋体" w:hAnsi="宋体" w:cs="宋体"/>
                <w:color w:val="auto"/>
                <w:szCs w:val="21"/>
                <w:highlight w:val="none"/>
                <w:lang w:eastAsia="zh-CN"/>
              </w:rPr>
              <w:t>数字证书（CA认证）</w:t>
            </w:r>
            <w:r>
              <w:rPr>
                <w:rFonts w:hint="eastAsia" w:ascii="宋体" w:hAnsi="宋体" w:eastAsia="宋体" w:cs="宋体"/>
                <w:color w:val="auto"/>
                <w:szCs w:val="21"/>
                <w:highlight w:val="none"/>
                <w:lang w:eastAsia="zh-CN"/>
              </w:rPr>
              <w:t>申领。因未注册入库、未办理</w:t>
            </w:r>
            <w:r>
              <w:rPr>
                <w:rFonts w:hint="eastAsia" w:ascii="宋体" w:hAnsi="宋体" w:cs="宋体"/>
                <w:color w:val="auto"/>
                <w:szCs w:val="21"/>
                <w:highlight w:val="none"/>
                <w:lang w:eastAsia="zh-CN"/>
              </w:rPr>
              <w:t>数字证书（CA认证）</w:t>
            </w:r>
            <w:r>
              <w:rPr>
                <w:rFonts w:hint="eastAsia" w:ascii="宋体" w:hAnsi="宋体" w:eastAsia="宋体" w:cs="宋体"/>
                <w:color w:val="auto"/>
                <w:szCs w:val="21"/>
                <w:highlight w:val="none"/>
                <w:lang w:eastAsia="zh-CN"/>
              </w:rPr>
              <w:t xml:space="preserve">等原因造成无法磋商或磋商失败等后果由供应商自行承担。 </w:t>
            </w:r>
          </w:p>
          <w:p w14:paraId="76B78422">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17</w:t>
            </w:r>
            <w:r>
              <w:rPr>
                <w:rFonts w:hint="eastAsia" w:ascii="宋体" w:hAnsi="宋体" w:eastAsia="宋体" w:cs="宋体"/>
                <w:color w:val="auto"/>
                <w:szCs w:val="21"/>
                <w:highlight w:val="none"/>
                <w:lang w:val="en-US" w:eastAsia="zh-CN"/>
              </w:rPr>
              <w:t>.4.3</w:t>
            </w:r>
            <w:r>
              <w:rPr>
                <w:rFonts w:hint="eastAsia" w:ascii="宋体" w:hAnsi="宋体" w:eastAsia="宋体" w:cs="宋体"/>
                <w:color w:val="auto"/>
                <w:szCs w:val="21"/>
                <w:highlight w:val="none"/>
                <w:lang w:eastAsia="zh-CN"/>
              </w:rPr>
              <w:t>供应商将</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lang w:eastAsia="zh-CN"/>
              </w:rPr>
              <w:t>电子交易客户端下载、安装完成后，可通过账号密码或</w:t>
            </w:r>
            <w:r>
              <w:rPr>
                <w:rFonts w:hint="eastAsia" w:ascii="宋体" w:hAnsi="宋体" w:cs="宋体"/>
                <w:color w:val="auto"/>
                <w:szCs w:val="21"/>
                <w:highlight w:val="none"/>
                <w:lang w:eastAsia="zh-CN"/>
              </w:rPr>
              <w:t>数字证书（CA认证）</w:t>
            </w:r>
            <w:r>
              <w:rPr>
                <w:rFonts w:hint="eastAsia" w:ascii="宋体" w:hAnsi="宋体" w:eastAsia="宋体" w:cs="宋体"/>
                <w:color w:val="auto"/>
                <w:szCs w:val="21"/>
                <w:highlight w:val="none"/>
                <w:lang w:eastAsia="zh-CN"/>
              </w:rPr>
              <w:t>登录客户端进行响应文件制作。客户端请至网站下载专区查看，如有问题可拨打</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lang w:eastAsia="zh-CN"/>
              </w:rPr>
              <w:t xml:space="preserve">客户服务热线 </w:t>
            </w:r>
            <w:r>
              <w:rPr>
                <w:rFonts w:hint="eastAsia" w:ascii="宋体" w:hAnsi="宋体" w:cs="宋体"/>
                <w:color w:val="auto"/>
                <w:szCs w:val="21"/>
                <w:highlight w:val="none"/>
                <w:lang w:eastAsia="zh-CN"/>
              </w:rPr>
              <w:t>95763</w:t>
            </w:r>
            <w:r>
              <w:rPr>
                <w:rFonts w:hint="eastAsia" w:ascii="宋体" w:hAnsi="宋体" w:eastAsia="宋体" w:cs="宋体"/>
                <w:color w:val="auto"/>
                <w:szCs w:val="21"/>
                <w:highlight w:val="none"/>
                <w:lang w:eastAsia="zh-CN"/>
              </w:rPr>
              <w:t xml:space="preserve"> 进行咨询。</w:t>
            </w:r>
          </w:p>
        </w:tc>
      </w:tr>
      <w:tr w14:paraId="305BC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569" w:type="dxa"/>
            <w:noWrap w:val="0"/>
            <w:vAlign w:val="center"/>
          </w:tcPr>
          <w:p w14:paraId="5A25641C">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position w:val="-2"/>
                <w:sz w:val="21"/>
                <w:szCs w:val="21"/>
                <w:highlight w:val="none"/>
                <w:lang w:val="en-US" w:eastAsia="zh-CN" w:bidi="ar-SA"/>
              </w:rPr>
            </w:pPr>
            <w:r>
              <w:rPr>
                <w:rFonts w:hint="eastAsia" w:ascii="宋体" w:hAnsi="宋体" w:eastAsia="宋体" w:cs="宋体"/>
                <w:color w:val="auto"/>
                <w:position w:val="-2"/>
                <w:szCs w:val="21"/>
                <w:highlight w:val="none"/>
                <w:lang w:val="en-US" w:eastAsia="zh-CN"/>
              </w:rPr>
              <w:t>9</w:t>
            </w:r>
          </w:p>
        </w:tc>
        <w:tc>
          <w:tcPr>
            <w:tcW w:w="933" w:type="dxa"/>
            <w:noWrap w:val="0"/>
            <w:vAlign w:val="center"/>
          </w:tcPr>
          <w:p w14:paraId="5B9FF41C">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19</w:t>
            </w:r>
            <w:r>
              <w:rPr>
                <w:rFonts w:hint="eastAsia" w:ascii="宋体" w:hAnsi="宋体" w:eastAsia="宋体" w:cs="宋体"/>
                <w:color w:val="auto"/>
                <w:szCs w:val="21"/>
                <w:highlight w:val="none"/>
              </w:rPr>
              <w:t>.1</w:t>
            </w:r>
          </w:p>
        </w:tc>
        <w:tc>
          <w:tcPr>
            <w:tcW w:w="1720" w:type="dxa"/>
            <w:noWrap w:val="0"/>
            <w:vAlign w:val="center"/>
          </w:tcPr>
          <w:p w14:paraId="1EAC12E9">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响应文件递交截止时间</w:t>
            </w:r>
          </w:p>
        </w:tc>
        <w:tc>
          <w:tcPr>
            <w:tcW w:w="7069" w:type="dxa"/>
            <w:noWrap w:val="0"/>
            <w:vAlign w:val="center"/>
          </w:tcPr>
          <w:p w14:paraId="4838B421">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lang w:eastAsia="zh-CN"/>
              </w:rPr>
              <w:t>于</w:t>
            </w:r>
            <w:r>
              <w:rPr>
                <w:rFonts w:hint="eastAsia" w:ascii="宋体" w:hAnsi="宋体" w:cs="宋体"/>
                <w:color w:val="auto"/>
                <w:sz w:val="21"/>
                <w:szCs w:val="21"/>
                <w:highlight w:val="none"/>
                <w:u w:val="single"/>
                <w:lang w:eastAsia="zh-CN"/>
              </w:rPr>
              <w:t>2026年09月01日</w:t>
            </w:r>
            <w:r>
              <w:rPr>
                <w:rFonts w:hint="eastAsia" w:ascii="宋体" w:hAnsi="宋体" w:cs="宋体"/>
                <w:color w:val="auto"/>
                <w:sz w:val="21"/>
                <w:szCs w:val="21"/>
                <w:highlight w:val="none"/>
                <w:u w:val="single"/>
                <w:lang w:val="en-US" w:eastAsia="zh-CN"/>
              </w:rPr>
              <w:t>9时30分</w:t>
            </w:r>
            <w:r>
              <w:rPr>
                <w:rFonts w:hint="eastAsia" w:ascii="宋体" w:hAnsi="宋体" w:eastAsia="宋体" w:cs="宋体"/>
                <w:color w:val="auto"/>
                <w:szCs w:val="21"/>
                <w:highlight w:val="none"/>
              </w:rPr>
              <w:t>之前将电子磋商响应文件上传到</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。应按照本项目磋商文件和</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的要求编制、加密传输磋商响应文件。供应商在使用系统进行</w:t>
            </w:r>
            <w:r>
              <w:rPr>
                <w:rFonts w:hint="eastAsia" w:ascii="宋体" w:hAnsi="宋体" w:cs="宋体"/>
                <w:color w:val="auto"/>
                <w:szCs w:val="21"/>
                <w:highlight w:val="none"/>
                <w:lang w:eastAsia="zh-CN"/>
              </w:rPr>
              <w:t>响应</w:t>
            </w:r>
            <w:r>
              <w:rPr>
                <w:rFonts w:hint="eastAsia" w:ascii="宋体" w:hAnsi="宋体" w:eastAsia="宋体" w:cs="宋体"/>
                <w:color w:val="auto"/>
                <w:szCs w:val="21"/>
                <w:highlight w:val="none"/>
              </w:rPr>
              <w:t>的过程中遇到涉及平台使用的任何问题，可致电</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技术支持热线咨询，联系方式：</w:t>
            </w:r>
            <w:r>
              <w:rPr>
                <w:rFonts w:hint="eastAsia" w:ascii="宋体" w:hAnsi="宋体" w:cs="宋体"/>
                <w:color w:val="auto"/>
                <w:szCs w:val="21"/>
                <w:highlight w:val="none"/>
                <w:lang w:eastAsia="zh-CN"/>
              </w:rPr>
              <w:t>95763</w:t>
            </w:r>
            <w:r>
              <w:rPr>
                <w:rFonts w:hint="eastAsia" w:ascii="宋体" w:hAnsi="宋体" w:eastAsia="宋体" w:cs="宋体"/>
                <w:color w:val="auto"/>
                <w:szCs w:val="21"/>
                <w:highlight w:val="none"/>
              </w:rPr>
              <w:t>。</w:t>
            </w:r>
          </w:p>
        </w:tc>
      </w:tr>
      <w:tr w14:paraId="14BCE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569" w:type="dxa"/>
            <w:noWrap w:val="0"/>
            <w:vAlign w:val="center"/>
          </w:tcPr>
          <w:p w14:paraId="20E10639">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10</w:t>
            </w:r>
          </w:p>
        </w:tc>
        <w:tc>
          <w:tcPr>
            <w:tcW w:w="933" w:type="dxa"/>
            <w:noWrap w:val="0"/>
            <w:vAlign w:val="center"/>
          </w:tcPr>
          <w:p w14:paraId="49C86939">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position w:val="-2"/>
                <w:szCs w:val="21"/>
                <w:highlight w:val="none"/>
              </w:rPr>
            </w:pPr>
            <w:r>
              <w:rPr>
                <w:rFonts w:hint="eastAsia" w:ascii="宋体" w:hAnsi="宋体" w:cs="宋体"/>
                <w:color w:val="auto"/>
                <w:position w:val="-2"/>
                <w:szCs w:val="21"/>
                <w:highlight w:val="none"/>
                <w:lang w:val="en-US" w:eastAsia="zh-CN"/>
              </w:rPr>
              <w:t>19</w:t>
            </w:r>
            <w:r>
              <w:rPr>
                <w:rFonts w:hint="eastAsia" w:ascii="宋体" w:hAnsi="宋体" w:eastAsia="宋体" w:cs="宋体"/>
                <w:color w:val="auto"/>
                <w:position w:val="-2"/>
                <w:szCs w:val="21"/>
                <w:highlight w:val="none"/>
              </w:rPr>
              <w:t>.2</w:t>
            </w:r>
          </w:p>
        </w:tc>
        <w:tc>
          <w:tcPr>
            <w:tcW w:w="1720" w:type="dxa"/>
            <w:noWrap w:val="0"/>
            <w:vAlign w:val="center"/>
          </w:tcPr>
          <w:p w14:paraId="70D6DCD6">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position w:val="-2"/>
                <w:szCs w:val="21"/>
                <w:highlight w:val="none"/>
              </w:rPr>
            </w:pPr>
            <w:r>
              <w:rPr>
                <w:rFonts w:hint="eastAsia" w:ascii="宋体" w:hAnsi="宋体" w:eastAsia="宋体" w:cs="宋体"/>
                <w:color w:val="auto"/>
                <w:szCs w:val="21"/>
                <w:highlight w:val="none"/>
                <w:lang w:eastAsia="zh-CN"/>
              </w:rPr>
              <w:t>磋商响应文件解密时间</w:t>
            </w:r>
          </w:p>
        </w:tc>
        <w:tc>
          <w:tcPr>
            <w:tcW w:w="7069" w:type="dxa"/>
            <w:noWrap w:val="0"/>
            <w:vAlign w:val="center"/>
          </w:tcPr>
          <w:p w14:paraId="6EA1A4EA">
            <w:pPr>
              <w:pStyle w:val="8"/>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磋商响应文件解密时间</w:t>
            </w:r>
            <w:r>
              <w:rPr>
                <w:rFonts w:hint="eastAsia" w:ascii="宋体" w:hAnsi="宋体" w:eastAsia="宋体" w:cs="宋体"/>
                <w:b w:val="0"/>
                <w:bCs w:val="0"/>
                <w:color w:val="auto"/>
                <w:kern w:val="2"/>
                <w:highlight w:val="none"/>
                <w:lang w:eastAsia="zh-CN"/>
              </w:rPr>
              <w:t>：截标时间后</w:t>
            </w:r>
            <w:r>
              <w:rPr>
                <w:rFonts w:hint="eastAsia" w:ascii="宋体" w:hAnsi="宋体" w:eastAsia="宋体" w:cs="宋体"/>
                <w:b w:val="0"/>
                <w:bCs w:val="0"/>
                <w:color w:val="auto"/>
                <w:kern w:val="2"/>
                <w:highlight w:val="none"/>
                <w:u w:val="single"/>
                <w:lang w:eastAsia="zh-CN"/>
              </w:rPr>
              <w:t>30</w:t>
            </w:r>
            <w:r>
              <w:rPr>
                <w:rFonts w:hint="eastAsia" w:ascii="宋体" w:hAnsi="宋体" w:eastAsia="宋体" w:cs="宋体"/>
                <w:b w:val="0"/>
                <w:bCs w:val="0"/>
                <w:color w:val="auto"/>
                <w:kern w:val="2"/>
                <w:highlight w:val="none"/>
                <w:lang w:eastAsia="zh-CN"/>
              </w:rPr>
              <w:t>分钟内（</w:t>
            </w:r>
            <w:r>
              <w:rPr>
                <w:rFonts w:hint="eastAsia" w:ascii="宋体" w:hAnsi="宋体" w:cs="宋体"/>
                <w:b w:val="0"/>
                <w:bCs w:val="0"/>
                <w:color w:val="auto"/>
                <w:kern w:val="2"/>
                <w:highlight w:val="none"/>
                <w:lang w:eastAsia="zh-CN"/>
              </w:rPr>
              <w:t>2026年09月01日</w:t>
            </w:r>
            <w:r>
              <w:rPr>
                <w:rFonts w:hint="eastAsia" w:ascii="宋体" w:hAnsi="宋体" w:eastAsia="宋体" w:cs="宋体"/>
                <w:b w:val="0"/>
                <w:bCs w:val="0"/>
                <w:color w:val="auto"/>
                <w:kern w:val="2"/>
                <w:highlight w:val="none"/>
                <w:lang w:eastAsia="zh-CN"/>
              </w:rPr>
              <w:t>9时30分至10时00分)磋商供应商可以登录</w:t>
            </w:r>
            <w:r>
              <w:rPr>
                <w:rFonts w:hint="eastAsia" w:ascii="宋体" w:hAnsi="宋体" w:cs="宋体"/>
                <w:b w:val="0"/>
                <w:bCs w:val="0"/>
                <w:color w:val="auto"/>
                <w:kern w:val="2"/>
                <w:highlight w:val="none"/>
                <w:lang w:eastAsia="zh-CN"/>
              </w:rPr>
              <w:t>广西政府采购云平台</w:t>
            </w:r>
            <w:r>
              <w:rPr>
                <w:rFonts w:hint="eastAsia" w:ascii="宋体" w:hAnsi="宋体" w:eastAsia="宋体" w:cs="宋体"/>
                <w:b w:val="0"/>
                <w:bCs w:val="0"/>
                <w:color w:val="auto"/>
                <w:kern w:val="2"/>
                <w:highlight w:val="none"/>
                <w:lang w:eastAsia="zh-CN"/>
              </w:rPr>
              <w:t>，用“项目采购-开标评标”功能进行解密</w:t>
            </w:r>
            <w:r>
              <w:rPr>
                <w:rFonts w:hint="eastAsia" w:ascii="宋体" w:hAnsi="宋体" w:eastAsia="宋体" w:cs="宋体"/>
                <w:color w:val="auto"/>
                <w:highlight w:val="none"/>
                <w:lang w:eastAsia="zh-CN"/>
              </w:rPr>
              <w:t>磋商响应文件</w:t>
            </w:r>
            <w:r>
              <w:rPr>
                <w:rFonts w:hint="eastAsia" w:ascii="宋体" w:hAnsi="宋体" w:eastAsia="宋体" w:cs="宋体"/>
                <w:b w:val="0"/>
                <w:bCs w:val="0"/>
                <w:color w:val="auto"/>
                <w:kern w:val="2"/>
                <w:highlight w:val="none"/>
                <w:lang w:eastAsia="zh-CN"/>
              </w:rPr>
              <w:t>。若</w:t>
            </w:r>
            <w:r>
              <w:rPr>
                <w:rFonts w:hint="eastAsia" w:ascii="宋体" w:hAnsi="宋体" w:eastAsia="宋体" w:cs="宋体"/>
                <w:color w:val="auto"/>
                <w:highlight w:val="none"/>
                <w:lang w:eastAsia="zh-CN"/>
              </w:rPr>
              <w:t>磋商供应商</w:t>
            </w:r>
            <w:r>
              <w:rPr>
                <w:rFonts w:hint="eastAsia" w:ascii="宋体" w:hAnsi="宋体" w:eastAsia="宋体" w:cs="宋体"/>
                <w:b w:val="0"/>
                <w:bCs w:val="0"/>
                <w:color w:val="auto"/>
                <w:kern w:val="2"/>
                <w:highlight w:val="none"/>
                <w:lang w:eastAsia="zh-CN"/>
              </w:rPr>
              <w:t>在规定时间内无法解密或解密失败，可以以电子备份</w:t>
            </w:r>
            <w:r>
              <w:rPr>
                <w:rFonts w:hint="eastAsia" w:ascii="宋体" w:hAnsi="宋体" w:eastAsia="宋体" w:cs="宋体"/>
                <w:color w:val="auto"/>
                <w:highlight w:val="none"/>
                <w:lang w:eastAsia="zh-CN"/>
              </w:rPr>
              <w:t>磋商响应文件</w:t>
            </w:r>
            <w:r>
              <w:rPr>
                <w:rFonts w:hint="eastAsia" w:ascii="宋体" w:hAnsi="宋体" w:eastAsia="宋体" w:cs="宋体"/>
                <w:b w:val="0"/>
                <w:bCs w:val="0"/>
                <w:color w:val="auto"/>
                <w:kern w:val="2"/>
                <w:highlight w:val="none"/>
                <w:lang w:eastAsia="zh-CN"/>
              </w:rPr>
              <w:t>作为依据</w:t>
            </w:r>
            <w:r>
              <w:rPr>
                <w:rFonts w:hint="eastAsia" w:ascii="宋体" w:hAnsi="宋体" w:eastAsia="宋体" w:cs="宋体"/>
                <w:b/>
                <w:bCs/>
                <w:color w:val="auto"/>
                <w:kern w:val="2"/>
                <w:highlight w:val="none"/>
                <w:lang w:eastAsia="zh-CN"/>
              </w:rPr>
              <w:t>【在接到无法解密或解密失败的通知后，磋商供应商可根据自身实际情况按通知时要求的时间到桂林市公共资源交易中心开标室现场提交或以电子邮件的形式（以通知时所告知的电子邮箱地址为准）提交电子备份磋商响应文件】</w:t>
            </w:r>
            <w:r>
              <w:rPr>
                <w:rFonts w:hint="eastAsia" w:ascii="宋体" w:hAnsi="宋体" w:eastAsia="宋体" w:cs="宋体"/>
                <w:b w:val="0"/>
                <w:bCs w:val="0"/>
                <w:color w:val="auto"/>
                <w:kern w:val="2"/>
                <w:highlight w:val="none"/>
                <w:lang w:eastAsia="zh-CN"/>
              </w:rPr>
              <w:t>，若磋商供应商在规定时间内无法解密或解密失败且未提供电子备份磋商响应文件的(包含提供的电子备份文件无效或无法解密的情况)，视为无效响应。</w:t>
            </w:r>
          </w:p>
        </w:tc>
      </w:tr>
      <w:tr w14:paraId="7E52F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569" w:type="dxa"/>
            <w:noWrap w:val="0"/>
            <w:vAlign w:val="center"/>
          </w:tcPr>
          <w:p w14:paraId="75A439B9">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11</w:t>
            </w:r>
          </w:p>
        </w:tc>
        <w:tc>
          <w:tcPr>
            <w:tcW w:w="933" w:type="dxa"/>
            <w:noWrap w:val="0"/>
            <w:vAlign w:val="center"/>
          </w:tcPr>
          <w:p w14:paraId="0226769E">
            <w:pPr>
              <w:keepNext w:val="0"/>
              <w:keepLines w:val="0"/>
              <w:pageBreakBefore w:val="0"/>
              <w:widowControl w:val="0"/>
              <w:kinsoku/>
              <w:wordWrap/>
              <w:overflowPunct/>
              <w:topLinePunct w:val="0"/>
              <w:autoSpaceDE/>
              <w:autoSpaceDN/>
              <w:bidi w:val="0"/>
              <w:adjustRightInd/>
              <w:spacing w:line="440" w:lineRule="exact"/>
              <w:ind w:firstLine="105" w:firstLineChars="50"/>
              <w:jc w:val="center"/>
              <w:textAlignment w:val="auto"/>
              <w:rPr>
                <w:rFonts w:hint="eastAsia" w:ascii="宋体" w:hAnsi="宋体" w:eastAsia="宋体" w:cs="宋体"/>
                <w:color w:val="auto"/>
                <w:position w:val="-2"/>
                <w:szCs w:val="21"/>
                <w:highlight w:val="none"/>
              </w:rPr>
            </w:pPr>
            <w:r>
              <w:rPr>
                <w:rFonts w:hint="eastAsia" w:ascii="宋体" w:hAnsi="宋体" w:cs="宋体"/>
                <w:color w:val="auto"/>
                <w:position w:val="-2"/>
                <w:szCs w:val="21"/>
                <w:highlight w:val="none"/>
                <w:lang w:val="en-US" w:eastAsia="zh-CN"/>
              </w:rPr>
              <w:t>20</w:t>
            </w:r>
            <w:r>
              <w:rPr>
                <w:rFonts w:hint="eastAsia" w:ascii="宋体" w:hAnsi="宋体" w:eastAsia="宋体" w:cs="宋体"/>
                <w:color w:val="auto"/>
                <w:position w:val="-2"/>
                <w:szCs w:val="21"/>
                <w:highlight w:val="none"/>
              </w:rPr>
              <w:t>.1</w:t>
            </w:r>
          </w:p>
        </w:tc>
        <w:tc>
          <w:tcPr>
            <w:tcW w:w="1720" w:type="dxa"/>
            <w:noWrap w:val="0"/>
            <w:vAlign w:val="center"/>
          </w:tcPr>
          <w:p w14:paraId="4E558B22">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磋商小组组成</w:t>
            </w:r>
          </w:p>
        </w:tc>
        <w:tc>
          <w:tcPr>
            <w:tcW w:w="7069" w:type="dxa"/>
            <w:noWrap w:val="0"/>
            <w:vAlign w:val="center"/>
          </w:tcPr>
          <w:p w14:paraId="1FF1D0CC">
            <w:pPr>
              <w:keepNext w:val="0"/>
              <w:keepLines w:val="0"/>
              <w:pageBreakBefore w:val="0"/>
              <w:widowControl w:val="0"/>
              <w:kinsoku/>
              <w:wordWrap/>
              <w:overflowPunct/>
              <w:topLinePunct w:val="0"/>
              <w:autoSpaceDE/>
              <w:autoSpaceDN/>
              <w:bidi w:val="0"/>
              <w:adjustRightInd/>
              <w:spacing w:line="440" w:lineRule="exact"/>
              <w:ind w:left="15" w:hanging="14" w:hangingChars="7"/>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磋商及评审工作由采购代理机构负责组织，具体磋商、评审工作由依法组建的磋商小组负责，磋商小组由采购人代表和有关方面的专家组成。磋商小组的构成：</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3 </w:t>
            </w:r>
            <w:r>
              <w:rPr>
                <w:rFonts w:hint="eastAsia" w:ascii="宋体" w:hAnsi="宋体" w:eastAsia="宋体" w:cs="宋体"/>
                <w:color w:val="auto"/>
                <w:szCs w:val="21"/>
                <w:highlight w:val="none"/>
              </w:rPr>
              <w:t>人，其中采购人代表</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1 </w:t>
            </w:r>
            <w:r>
              <w:rPr>
                <w:rFonts w:hint="eastAsia" w:ascii="宋体" w:hAnsi="宋体" w:eastAsia="宋体" w:cs="宋体"/>
                <w:color w:val="auto"/>
                <w:szCs w:val="21"/>
                <w:highlight w:val="none"/>
              </w:rPr>
              <w:t>人，专家</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2 </w:t>
            </w:r>
            <w:r>
              <w:rPr>
                <w:rFonts w:hint="eastAsia" w:ascii="宋体" w:hAnsi="宋体" w:eastAsia="宋体" w:cs="宋体"/>
                <w:color w:val="auto"/>
                <w:szCs w:val="21"/>
                <w:highlight w:val="none"/>
              </w:rPr>
              <w:t>人。</w:t>
            </w:r>
          </w:p>
        </w:tc>
      </w:tr>
      <w:tr w14:paraId="274A3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569" w:type="dxa"/>
            <w:noWrap w:val="0"/>
            <w:vAlign w:val="center"/>
          </w:tcPr>
          <w:p w14:paraId="5EC13602">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Cs w:val="21"/>
                <w:highlight w:val="none"/>
                <w:lang w:val="en-US" w:eastAsia="zh-CN"/>
              </w:rPr>
              <w:t>12</w:t>
            </w:r>
          </w:p>
        </w:tc>
        <w:tc>
          <w:tcPr>
            <w:tcW w:w="933" w:type="dxa"/>
            <w:noWrap w:val="0"/>
            <w:vAlign w:val="center"/>
          </w:tcPr>
          <w:p w14:paraId="43C4B344">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20</w:t>
            </w:r>
            <w:r>
              <w:rPr>
                <w:rFonts w:hint="eastAsia" w:ascii="宋体" w:hAnsi="宋体" w:eastAsia="宋体" w:cs="宋体"/>
                <w:color w:val="auto"/>
                <w:szCs w:val="21"/>
                <w:highlight w:val="none"/>
              </w:rPr>
              <w:t>.2</w:t>
            </w:r>
          </w:p>
        </w:tc>
        <w:tc>
          <w:tcPr>
            <w:tcW w:w="1720" w:type="dxa"/>
            <w:noWrap w:val="0"/>
            <w:vAlign w:val="center"/>
          </w:tcPr>
          <w:p w14:paraId="696A7392">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磋商时间、地点、人员</w:t>
            </w:r>
          </w:p>
        </w:tc>
        <w:tc>
          <w:tcPr>
            <w:tcW w:w="7069" w:type="dxa"/>
            <w:noWrap w:val="0"/>
            <w:vAlign w:val="top"/>
          </w:tcPr>
          <w:p w14:paraId="3D6EA6C7">
            <w:pPr>
              <w:keepNext w:val="0"/>
              <w:keepLines w:val="0"/>
              <w:pageBreakBefore w:val="0"/>
              <w:widowControl w:val="0"/>
              <w:kinsoku/>
              <w:wordWrap/>
              <w:overflowPunct/>
              <w:topLinePunct w:val="0"/>
              <w:autoSpaceDE/>
              <w:autoSpaceDN/>
              <w:bidi w:val="0"/>
              <w:adjustRightInd/>
              <w:spacing w:line="440" w:lineRule="exact"/>
              <w:ind w:left="315" w:hanging="315" w:hangingChars="150"/>
              <w:jc w:val="lef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20</w:t>
            </w:r>
            <w:r>
              <w:rPr>
                <w:rFonts w:hint="eastAsia" w:ascii="宋体" w:hAnsi="宋体" w:eastAsia="宋体" w:cs="宋体"/>
                <w:color w:val="auto"/>
                <w:szCs w:val="21"/>
                <w:highlight w:val="none"/>
              </w:rPr>
              <w:t>.2.1磋商时间：响应文件递交截止时间后。</w:t>
            </w:r>
          </w:p>
          <w:p w14:paraId="2E6D4269">
            <w:pPr>
              <w:keepNext w:val="0"/>
              <w:keepLines w:val="0"/>
              <w:pageBreakBefore w:val="0"/>
              <w:widowControl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20</w:t>
            </w:r>
            <w:r>
              <w:rPr>
                <w:rFonts w:hint="eastAsia" w:ascii="宋体" w:hAnsi="宋体" w:eastAsia="宋体" w:cs="宋体"/>
                <w:color w:val="auto"/>
                <w:szCs w:val="21"/>
                <w:highlight w:val="none"/>
              </w:rPr>
              <w:t>.2.2磋商地点：本项目需要磋商供应商代表在截标当天截标后，按磋商小组要求及时登陆</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等候在线磋商</w:t>
            </w:r>
            <w:r>
              <w:rPr>
                <w:rFonts w:hint="eastAsia" w:ascii="宋体" w:hAnsi="宋体" w:eastAsia="宋体" w:cs="宋体"/>
                <w:color w:val="auto"/>
                <w:szCs w:val="21"/>
                <w:highlight w:val="none"/>
                <w:lang w:eastAsia="zh-CN"/>
              </w:rPr>
              <w:t>。</w:t>
            </w:r>
          </w:p>
          <w:p w14:paraId="07B4EC45">
            <w:pPr>
              <w:keepNext w:val="0"/>
              <w:keepLines w:val="0"/>
              <w:pageBreakBefore w:val="0"/>
              <w:widowControl w:val="0"/>
              <w:kinsoku/>
              <w:wordWrap/>
              <w:overflowPunct/>
              <w:topLinePunct w:val="0"/>
              <w:autoSpaceDE/>
              <w:autoSpaceDN/>
              <w:bidi w:val="0"/>
              <w:adjustRightInd/>
              <w:spacing w:line="440" w:lineRule="exact"/>
              <w:ind w:left="15" w:hanging="14" w:hangingChars="7"/>
              <w:jc w:val="lef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20</w:t>
            </w:r>
            <w:r>
              <w:rPr>
                <w:rFonts w:hint="eastAsia" w:ascii="宋体" w:hAnsi="宋体" w:eastAsia="宋体" w:cs="宋体"/>
                <w:color w:val="auto"/>
                <w:szCs w:val="21"/>
                <w:highlight w:val="none"/>
              </w:rPr>
              <w:t>.2.3磋商参加人员：供应商法定代表人、负责人、自然人或相应的委托代</w:t>
            </w:r>
            <w:r>
              <w:rPr>
                <w:rFonts w:hint="eastAsia" w:ascii="宋体" w:hAnsi="宋体" w:eastAsia="宋体" w:cs="宋体"/>
                <w:color w:val="auto"/>
                <w:szCs w:val="21"/>
                <w:highlight w:val="none"/>
                <w:u w:val="none"/>
              </w:rPr>
              <w:t>理人持有效身份证</w:t>
            </w:r>
            <w:r>
              <w:rPr>
                <w:rFonts w:hint="eastAsia" w:ascii="宋体" w:hAnsi="宋体" w:eastAsia="宋体" w:cs="宋体"/>
                <w:color w:val="auto"/>
                <w:szCs w:val="21"/>
                <w:highlight w:val="none"/>
                <w:u w:val="none"/>
                <w:lang w:eastAsia="zh-CN"/>
              </w:rPr>
              <w:t>和供应商</w:t>
            </w:r>
            <w:r>
              <w:rPr>
                <w:rFonts w:hint="eastAsia" w:ascii="宋体" w:hAnsi="宋体" w:cs="宋体"/>
                <w:color w:val="auto"/>
                <w:szCs w:val="21"/>
                <w:highlight w:val="none"/>
                <w:u w:val="none"/>
                <w:lang w:eastAsia="zh-CN"/>
              </w:rPr>
              <w:t>广西政府采购云平台</w:t>
            </w:r>
            <w:r>
              <w:rPr>
                <w:rFonts w:hint="eastAsia" w:ascii="宋体" w:hAnsi="宋体" w:eastAsia="宋体" w:cs="宋体"/>
                <w:color w:val="auto"/>
                <w:szCs w:val="21"/>
                <w:highlight w:val="none"/>
                <w:u w:val="none"/>
                <w:lang w:val="en-US" w:eastAsia="zh-CN"/>
              </w:rPr>
              <w:t>CA数字证书</w:t>
            </w:r>
            <w:r>
              <w:rPr>
                <w:rFonts w:hint="eastAsia" w:ascii="宋体" w:hAnsi="宋体" w:eastAsia="宋体" w:cs="宋体"/>
                <w:color w:val="auto"/>
                <w:szCs w:val="21"/>
                <w:highlight w:val="none"/>
              </w:rPr>
              <w:t>参加磋商。请供应商按时等候磋商。</w:t>
            </w:r>
          </w:p>
          <w:p w14:paraId="527DFFB9">
            <w:pPr>
              <w:keepNext w:val="0"/>
              <w:keepLines w:val="0"/>
              <w:pageBreakBefore w:val="0"/>
              <w:widowControl w:val="0"/>
              <w:tabs>
                <w:tab w:val="left" w:pos="1140"/>
              </w:tabs>
              <w:kinsoku/>
              <w:wordWrap/>
              <w:overflowPunct/>
              <w:topLinePunct w:val="0"/>
              <w:autoSpaceDE/>
              <w:autoSpaceDN/>
              <w:bidi w:val="0"/>
              <w:adjustRightInd/>
              <w:spacing w:line="440" w:lineRule="exact"/>
              <w:jc w:val="lef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20</w:t>
            </w:r>
            <w:r>
              <w:rPr>
                <w:rFonts w:hint="eastAsia" w:ascii="宋体" w:hAnsi="宋体" w:eastAsia="宋体" w:cs="宋体"/>
                <w:color w:val="auto"/>
                <w:szCs w:val="21"/>
                <w:highlight w:val="none"/>
              </w:rPr>
              <w:t>.2.4响应文件递交截止时间后，由磋商小组在评标室内</w:t>
            </w:r>
            <w:r>
              <w:rPr>
                <w:rFonts w:hint="eastAsia" w:ascii="宋体" w:hAnsi="宋体" w:eastAsia="宋体" w:cs="宋体"/>
                <w:color w:val="auto"/>
                <w:szCs w:val="21"/>
                <w:highlight w:val="none"/>
                <w:lang w:eastAsia="zh-CN"/>
              </w:rPr>
              <w:t>线上</w:t>
            </w:r>
            <w:r>
              <w:rPr>
                <w:rFonts w:hint="eastAsia" w:ascii="宋体" w:hAnsi="宋体" w:eastAsia="宋体" w:cs="宋体"/>
                <w:color w:val="auto"/>
                <w:szCs w:val="21"/>
                <w:highlight w:val="none"/>
              </w:rPr>
              <w:t>开启响应文件。</w:t>
            </w:r>
          </w:p>
        </w:tc>
      </w:tr>
      <w:tr w14:paraId="62BD2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9" w:type="dxa"/>
            <w:noWrap w:val="0"/>
            <w:vAlign w:val="center"/>
          </w:tcPr>
          <w:p w14:paraId="57FFF40C">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13</w:t>
            </w:r>
          </w:p>
        </w:tc>
        <w:tc>
          <w:tcPr>
            <w:tcW w:w="933" w:type="dxa"/>
            <w:noWrap w:val="0"/>
            <w:vAlign w:val="center"/>
          </w:tcPr>
          <w:p w14:paraId="3A717975">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21</w:t>
            </w:r>
            <w:r>
              <w:rPr>
                <w:rFonts w:hint="eastAsia" w:ascii="宋体" w:hAnsi="宋体" w:eastAsia="宋体" w:cs="宋体"/>
                <w:color w:val="auto"/>
                <w:szCs w:val="21"/>
                <w:highlight w:val="none"/>
              </w:rPr>
              <w:t>.2</w:t>
            </w:r>
          </w:p>
        </w:tc>
        <w:tc>
          <w:tcPr>
            <w:tcW w:w="1720" w:type="dxa"/>
            <w:noWrap w:val="0"/>
            <w:vAlign w:val="center"/>
          </w:tcPr>
          <w:p w14:paraId="27359043">
            <w:pPr>
              <w:pStyle w:val="12"/>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评审办法</w:t>
            </w:r>
          </w:p>
        </w:tc>
        <w:tc>
          <w:tcPr>
            <w:tcW w:w="7069" w:type="dxa"/>
            <w:noWrap w:val="0"/>
            <w:vAlign w:val="center"/>
          </w:tcPr>
          <w:p w14:paraId="3010A1C9">
            <w:pPr>
              <w:keepNext w:val="0"/>
              <w:keepLines w:val="0"/>
              <w:pageBreakBefore w:val="0"/>
              <w:widowControl w:val="0"/>
              <w:tabs>
                <w:tab w:val="left" w:pos="1140"/>
              </w:tabs>
              <w:kinsoku/>
              <w:wordWrap/>
              <w:overflowPunct/>
              <w:topLinePunct w:val="0"/>
              <w:autoSpaceDE/>
              <w:autoSpaceDN/>
              <w:bidi w:val="0"/>
              <w:adjustRightInd/>
              <w:spacing w:line="44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具体详见第四章评审办法。</w:t>
            </w:r>
          </w:p>
        </w:tc>
      </w:tr>
      <w:tr w14:paraId="7178E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569" w:type="dxa"/>
            <w:noWrap w:val="0"/>
            <w:vAlign w:val="center"/>
          </w:tcPr>
          <w:p w14:paraId="47A2551A">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14</w:t>
            </w:r>
          </w:p>
        </w:tc>
        <w:tc>
          <w:tcPr>
            <w:tcW w:w="933" w:type="dxa"/>
            <w:noWrap w:val="0"/>
            <w:vAlign w:val="center"/>
          </w:tcPr>
          <w:p w14:paraId="58A4A373">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27</w:t>
            </w:r>
          </w:p>
        </w:tc>
        <w:tc>
          <w:tcPr>
            <w:tcW w:w="1720" w:type="dxa"/>
            <w:noWrap w:val="0"/>
            <w:vAlign w:val="center"/>
          </w:tcPr>
          <w:p w14:paraId="169896BC">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信用查询</w:t>
            </w:r>
          </w:p>
        </w:tc>
        <w:tc>
          <w:tcPr>
            <w:tcW w:w="7069" w:type="dxa"/>
            <w:noWrap w:val="0"/>
            <w:vAlign w:val="center"/>
          </w:tcPr>
          <w:p w14:paraId="52ED9EB3">
            <w:pPr>
              <w:keepNext w:val="0"/>
              <w:keepLines w:val="0"/>
              <w:pageBreakBefore w:val="0"/>
              <w:widowControl w:val="0"/>
              <w:kinsoku/>
              <w:wordWrap/>
              <w:overflowPunct/>
              <w:topLinePunct w:val="0"/>
              <w:autoSpaceDE/>
              <w:autoSpaceDN/>
              <w:bidi w:val="0"/>
              <w:adjustRightInd/>
              <w:spacing w:line="440" w:lineRule="exact"/>
              <w:ind w:left="15" w:hanging="14" w:hangingChars="7"/>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根据《关于做好政府采购有关信用主体标识码登记及在政府采购活动中查询使用信用记录有关问题的通知》（桂财采〔2016〕37），由采购代理机构对第一成交候选人进行信用查询：</w:t>
            </w:r>
          </w:p>
          <w:p w14:paraId="0CE126F2">
            <w:pPr>
              <w:keepNext w:val="0"/>
              <w:keepLines w:val="0"/>
              <w:pageBreakBefore w:val="0"/>
              <w:widowControl w:val="0"/>
              <w:kinsoku/>
              <w:wordWrap/>
              <w:overflowPunct/>
              <w:topLinePunct w:val="0"/>
              <w:autoSpaceDE/>
              <w:autoSpaceDN/>
              <w:bidi w:val="0"/>
              <w:adjustRightInd/>
              <w:spacing w:line="440" w:lineRule="exact"/>
              <w:ind w:left="15" w:hanging="14" w:hangingChars="7"/>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⑴查询渠道：“信用中国”网站(www.creditchina.gov.cn)、中国政府采购网(www.ccgp.gov.cn)等；</w:t>
            </w:r>
          </w:p>
          <w:p w14:paraId="6F73E908">
            <w:pPr>
              <w:keepNext w:val="0"/>
              <w:keepLines w:val="0"/>
              <w:pageBreakBefore w:val="0"/>
              <w:widowControl w:val="0"/>
              <w:kinsoku/>
              <w:wordWrap/>
              <w:overflowPunct/>
              <w:topLinePunct w:val="0"/>
              <w:autoSpaceDE/>
              <w:autoSpaceDN/>
              <w:bidi w:val="0"/>
              <w:adjustRightInd/>
              <w:spacing w:line="440" w:lineRule="exact"/>
              <w:ind w:left="315" w:hanging="315" w:hangingChars="15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⑵查询时间：成交通知书发出前；</w:t>
            </w:r>
          </w:p>
          <w:p w14:paraId="3E7C9B05">
            <w:pPr>
              <w:keepNext w:val="0"/>
              <w:keepLines w:val="0"/>
              <w:pageBreakBefore w:val="0"/>
              <w:widowControl w:val="0"/>
              <w:kinsoku/>
              <w:wordWrap/>
              <w:overflowPunct/>
              <w:topLinePunct w:val="0"/>
              <w:autoSpaceDE/>
              <w:autoSpaceDN/>
              <w:bidi w:val="0"/>
              <w:adjustRightInd/>
              <w:spacing w:line="440" w:lineRule="exact"/>
              <w:ind w:left="15" w:hanging="14" w:hangingChars="7"/>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⑶信用信息查询记录和证据留存方式：在查询网站中直接打印查询记录，打印材料作为采购活动资料保存；</w:t>
            </w:r>
          </w:p>
          <w:p w14:paraId="6B4DA663">
            <w:pPr>
              <w:keepNext w:val="0"/>
              <w:keepLines w:val="0"/>
              <w:pageBreakBefore w:val="0"/>
              <w:widowControl w:val="0"/>
              <w:kinsoku/>
              <w:wordWrap/>
              <w:overflowPunct/>
              <w:topLinePunct w:val="0"/>
              <w:autoSpaceDE/>
              <w:autoSpaceDN/>
              <w:bidi w:val="0"/>
              <w:adjustRightInd/>
              <w:spacing w:line="440" w:lineRule="exact"/>
              <w:ind w:left="15" w:hanging="14" w:hangingChars="7"/>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⑷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取消其成交候选人资格。采购人依法按照评审报告中磋商小组推荐成交候选人排序表确定排名第二的成交候选人为成交供应商或者重新组织采购。</w:t>
            </w:r>
          </w:p>
        </w:tc>
      </w:tr>
      <w:tr w14:paraId="02720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569" w:type="dxa"/>
            <w:noWrap w:val="0"/>
            <w:vAlign w:val="center"/>
          </w:tcPr>
          <w:p w14:paraId="6D9FE0A2">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15</w:t>
            </w:r>
          </w:p>
        </w:tc>
        <w:tc>
          <w:tcPr>
            <w:tcW w:w="933" w:type="dxa"/>
            <w:noWrap w:val="0"/>
            <w:vAlign w:val="center"/>
          </w:tcPr>
          <w:p w14:paraId="7B65A19F">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28</w:t>
            </w:r>
          </w:p>
        </w:tc>
        <w:tc>
          <w:tcPr>
            <w:tcW w:w="1720" w:type="dxa"/>
            <w:noWrap w:val="0"/>
            <w:vAlign w:val="center"/>
          </w:tcPr>
          <w:p w14:paraId="52F2F2D5">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成交结果公告</w:t>
            </w:r>
          </w:p>
          <w:p w14:paraId="18C1B66E">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及成交通知书</w:t>
            </w:r>
          </w:p>
        </w:tc>
        <w:tc>
          <w:tcPr>
            <w:tcW w:w="7069" w:type="dxa"/>
            <w:noWrap w:val="0"/>
            <w:vAlign w:val="top"/>
          </w:tcPr>
          <w:p w14:paraId="468537A4">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28</w:t>
            </w:r>
            <w:r>
              <w:rPr>
                <w:rFonts w:hint="eastAsia" w:ascii="宋体" w:hAnsi="宋体" w:eastAsia="宋体" w:cs="宋体"/>
                <w:color w:val="auto"/>
                <w:szCs w:val="21"/>
                <w:highlight w:val="none"/>
              </w:rPr>
              <w:t>.1采购代理机构于磋商结束后两个工作日内将评审报告送交采购人，采购人应当自收到评审报告五个工作日内在评审报告推荐的成交候选人中按顺序确定成交供应商，采购代理机构在成交供应商确定之日起两个工作日内发出成交通知书，并在指定媒体上公告成交信息。</w:t>
            </w:r>
          </w:p>
          <w:p w14:paraId="547674D1">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28</w:t>
            </w:r>
            <w:r>
              <w:rPr>
                <w:rFonts w:hint="eastAsia" w:ascii="宋体" w:hAnsi="宋体" w:eastAsia="宋体" w:cs="宋体"/>
                <w:color w:val="auto"/>
                <w:szCs w:val="21"/>
                <w:highlight w:val="none"/>
              </w:rPr>
              <w:t>.2在发布成交公告的同时，采购代理机构向成交供应商发出成交通知书。成交供应商自接到通知之日起七个工作日内，办理成交通知书领取手续。</w:t>
            </w:r>
          </w:p>
        </w:tc>
      </w:tr>
      <w:tr w14:paraId="487AB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569" w:type="dxa"/>
            <w:noWrap w:val="0"/>
            <w:vAlign w:val="center"/>
          </w:tcPr>
          <w:p w14:paraId="00D883B8">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16</w:t>
            </w:r>
          </w:p>
        </w:tc>
        <w:tc>
          <w:tcPr>
            <w:tcW w:w="933" w:type="dxa"/>
            <w:noWrap w:val="0"/>
            <w:vAlign w:val="center"/>
          </w:tcPr>
          <w:p w14:paraId="375077AB">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29</w:t>
            </w:r>
          </w:p>
        </w:tc>
        <w:tc>
          <w:tcPr>
            <w:tcW w:w="1720" w:type="dxa"/>
            <w:noWrap w:val="0"/>
            <w:vAlign w:val="center"/>
          </w:tcPr>
          <w:p w14:paraId="1B263D34">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w:t>
            </w:r>
          </w:p>
        </w:tc>
        <w:tc>
          <w:tcPr>
            <w:tcW w:w="7069" w:type="dxa"/>
            <w:noWrap w:val="0"/>
            <w:vAlign w:val="center"/>
          </w:tcPr>
          <w:p w14:paraId="531459F6">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宋体" w:hAnsi="宋体" w:eastAsia="宋体" w:cs="宋体"/>
                <w:color w:val="auto"/>
                <w:szCs w:val="21"/>
                <w:highlight w:val="none"/>
                <w:lang w:val="en-US" w:eastAsia="zh-CN"/>
              </w:rPr>
            </w:pPr>
            <w:r>
              <w:rPr>
                <w:rFonts w:hint="eastAsia" w:hAnsi="宋体"/>
                <w:color w:val="auto"/>
                <w:szCs w:val="21"/>
                <w:highlight w:val="none"/>
                <w:lang w:eastAsia="zh-CN"/>
              </w:rPr>
              <w:t>本项目不收取履约保证金。</w:t>
            </w:r>
          </w:p>
        </w:tc>
      </w:tr>
      <w:tr w14:paraId="148B4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69" w:type="dxa"/>
            <w:noWrap w:val="0"/>
            <w:vAlign w:val="center"/>
          </w:tcPr>
          <w:p w14:paraId="746FF9EC">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17</w:t>
            </w:r>
          </w:p>
        </w:tc>
        <w:tc>
          <w:tcPr>
            <w:tcW w:w="933" w:type="dxa"/>
            <w:noWrap w:val="0"/>
            <w:vAlign w:val="center"/>
          </w:tcPr>
          <w:p w14:paraId="4D01AC34">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30</w:t>
            </w:r>
            <w:r>
              <w:rPr>
                <w:rFonts w:hint="eastAsia" w:ascii="宋体" w:hAnsi="宋体" w:eastAsia="宋体" w:cs="宋体"/>
                <w:color w:val="auto"/>
                <w:szCs w:val="21"/>
                <w:highlight w:val="none"/>
              </w:rPr>
              <w:t>.1</w:t>
            </w:r>
          </w:p>
        </w:tc>
        <w:tc>
          <w:tcPr>
            <w:tcW w:w="1720" w:type="dxa"/>
            <w:noWrap w:val="0"/>
            <w:vAlign w:val="center"/>
          </w:tcPr>
          <w:p w14:paraId="74F53D93">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签订合同时间</w:t>
            </w:r>
          </w:p>
        </w:tc>
        <w:tc>
          <w:tcPr>
            <w:tcW w:w="7069" w:type="dxa"/>
            <w:noWrap w:val="0"/>
            <w:vAlign w:val="top"/>
          </w:tcPr>
          <w:p w14:paraId="2D165A3F">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宋体" w:hAnsi="宋体" w:eastAsia="宋体" w:cs="宋体"/>
                <w:color w:val="auto"/>
                <w:szCs w:val="21"/>
                <w:highlight w:val="none"/>
              </w:rPr>
            </w:pPr>
            <w:r>
              <w:rPr>
                <w:rFonts w:hint="eastAsia" w:ascii="宋体" w:hAnsi="宋体" w:eastAsia="宋体" w:cs="宋体"/>
                <w:bCs/>
                <w:color w:val="auto"/>
                <w:kern w:val="0"/>
                <w:szCs w:val="21"/>
                <w:highlight w:val="none"/>
                <w:lang w:eastAsia="zh-CN"/>
              </w:rPr>
              <w:t>成交通知书</w:t>
            </w:r>
            <w:r>
              <w:rPr>
                <w:rFonts w:hint="eastAsia" w:ascii="宋体" w:hAnsi="宋体" w:eastAsia="宋体" w:cs="宋体"/>
                <w:bCs/>
                <w:color w:val="auto"/>
                <w:kern w:val="0"/>
                <w:szCs w:val="21"/>
                <w:highlight w:val="none"/>
              </w:rPr>
              <w:t>发出之日起</w:t>
            </w:r>
            <w:r>
              <w:rPr>
                <w:rFonts w:hint="eastAsia" w:ascii="宋体" w:hAnsi="宋体" w:cs="宋体"/>
                <w:bCs/>
                <w:color w:val="auto"/>
                <w:kern w:val="0"/>
                <w:szCs w:val="21"/>
                <w:highlight w:val="none"/>
                <w:lang w:val="en-US" w:eastAsia="zh-CN"/>
              </w:rPr>
              <w:t>8个工作日</w:t>
            </w:r>
            <w:r>
              <w:rPr>
                <w:rFonts w:hint="eastAsia" w:ascii="宋体" w:hAnsi="宋体" w:eastAsia="宋体" w:cs="宋体"/>
                <w:bCs/>
                <w:color w:val="auto"/>
                <w:kern w:val="0"/>
                <w:szCs w:val="21"/>
                <w:highlight w:val="none"/>
              </w:rPr>
              <w:t>内签订合同</w:t>
            </w:r>
            <w:r>
              <w:rPr>
                <w:rFonts w:hint="eastAsia" w:ascii="宋体" w:hAnsi="宋体" w:eastAsia="宋体" w:cs="宋体"/>
                <w:color w:val="auto"/>
                <w:highlight w:val="none"/>
              </w:rPr>
              <w:t>。</w:t>
            </w:r>
            <w:r>
              <w:rPr>
                <w:rFonts w:hint="eastAsia" w:ascii="宋体" w:hAnsi="宋体" w:eastAsia="宋体" w:cs="宋体"/>
                <w:color w:val="auto"/>
                <w:szCs w:val="21"/>
                <w:highlight w:val="none"/>
              </w:rPr>
              <w:t>成交供应商领取成交通知书后，应按规定与采购人签订合同。</w:t>
            </w:r>
          </w:p>
        </w:tc>
      </w:tr>
      <w:tr w14:paraId="77523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69" w:type="dxa"/>
            <w:noWrap w:val="0"/>
            <w:vAlign w:val="center"/>
          </w:tcPr>
          <w:p w14:paraId="7EF93839">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18</w:t>
            </w:r>
          </w:p>
        </w:tc>
        <w:tc>
          <w:tcPr>
            <w:tcW w:w="933" w:type="dxa"/>
            <w:noWrap w:val="0"/>
            <w:vAlign w:val="center"/>
          </w:tcPr>
          <w:p w14:paraId="7BC0594D">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30</w:t>
            </w:r>
            <w:r>
              <w:rPr>
                <w:rFonts w:hint="eastAsia" w:ascii="宋体" w:hAnsi="宋体" w:eastAsia="宋体" w:cs="宋体"/>
                <w:color w:val="auto"/>
                <w:szCs w:val="21"/>
                <w:highlight w:val="none"/>
              </w:rPr>
              <w:t>.3</w:t>
            </w:r>
          </w:p>
        </w:tc>
        <w:tc>
          <w:tcPr>
            <w:tcW w:w="1720" w:type="dxa"/>
            <w:noWrap w:val="0"/>
            <w:vAlign w:val="center"/>
          </w:tcPr>
          <w:p w14:paraId="764FD21F">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合同备案存档</w:t>
            </w:r>
          </w:p>
        </w:tc>
        <w:tc>
          <w:tcPr>
            <w:tcW w:w="7069" w:type="dxa"/>
            <w:noWrap w:val="0"/>
            <w:vAlign w:val="center"/>
          </w:tcPr>
          <w:p w14:paraId="793A237E">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宋体" w:hAnsi="宋体" w:eastAsia="宋体" w:cs="宋体"/>
                <w:color w:val="auto"/>
                <w:szCs w:val="21"/>
                <w:highlight w:val="none"/>
              </w:rPr>
            </w:pPr>
            <w:r>
              <w:rPr>
                <w:rFonts w:hint="eastAsia" w:ascii="宋体" w:hAnsi="宋体" w:eastAsia="宋体" w:cs="宋体"/>
                <w:color w:val="auto"/>
                <w:highlight w:val="none"/>
              </w:rPr>
              <w:t>政府采购合同双方自签订之日起一个工作日内将合同原件一份交采购代理机构，采购代理机构将政府采购合同在省级以上人民政府财政部门指定媒体上公告。采购人于合同签订之日起七个工作日内将一份合同原件送本级财政部门备案，一份由</w:t>
            </w:r>
            <w:r>
              <w:rPr>
                <w:rFonts w:hint="eastAsia" w:ascii="宋体" w:hAnsi="宋体" w:cs="宋体"/>
                <w:color w:val="auto"/>
                <w:highlight w:val="none"/>
                <w:lang w:eastAsia="zh-CN"/>
              </w:rPr>
              <w:t>广西北部湾宏亚建设管理有限公司</w:t>
            </w:r>
            <w:r>
              <w:rPr>
                <w:rFonts w:hint="eastAsia" w:ascii="宋体" w:hAnsi="宋体" w:eastAsia="宋体" w:cs="宋体"/>
                <w:color w:val="auto"/>
                <w:highlight w:val="none"/>
              </w:rPr>
              <w:t>存档。</w:t>
            </w:r>
          </w:p>
        </w:tc>
      </w:tr>
      <w:tr w14:paraId="7DD34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69" w:type="dxa"/>
            <w:noWrap w:val="0"/>
            <w:vAlign w:val="center"/>
          </w:tcPr>
          <w:p w14:paraId="2253F367">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19</w:t>
            </w:r>
          </w:p>
        </w:tc>
        <w:tc>
          <w:tcPr>
            <w:tcW w:w="933" w:type="dxa"/>
            <w:noWrap w:val="0"/>
            <w:vAlign w:val="center"/>
          </w:tcPr>
          <w:p w14:paraId="103C6EA2">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31</w:t>
            </w:r>
          </w:p>
        </w:tc>
        <w:tc>
          <w:tcPr>
            <w:tcW w:w="1720" w:type="dxa"/>
            <w:noWrap w:val="0"/>
            <w:vAlign w:val="center"/>
          </w:tcPr>
          <w:p w14:paraId="1DB2A1CE">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采购代理服务费</w:t>
            </w:r>
          </w:p>
        </w:tc>
        <w:tc>
          <w:tcPr>
            <w:tcW w:w="7069" w:type="dxa"/>
            <w:noWrap w:val="0"/>
            <w:vAlign w:val="top"/>
          </w:tcPr>
          <w:p w14:paraId="42F55906">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人领取</w:t>
            </w: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通知书前，向</w:t>
            </w:r>
            <w:r>
              <w:rPr>
                <w:rFonts w:hint="eastAsia" w:ascii="宋体" w:hAnsi="宋体" w:eastAsia="宋体" w:cs="宋体"/>
                <w:color w:val="auto"/>
                <w:sz w:val="21"/>
                <w:szCs w:val="21"/>
                <w:highlight w:val="none"/>
                <w:lang w:eastAsia="zh-CN"/>
              </w:rPr>
              <w:t>采购</w:t>
            </w:r>
            <w:r>
              <w:rPr>
                <w:rFonts w:hint="eastAsia" w:ascii="宋体" w:hAnsi="宋体" w:eastAsia="宋体" w:cs="宋体"/>
                <w:color w:val="auto"/>
                <w:sz w:val="21"/>
                <w:szCs w:val="21"/>
                <w:highlight w:val="none"/>
              </w:rPr>
              <w:t>代理机构一次性付清</w:t>
            </w:r>
            <w:r>
              <w:rPr>
                <w:rFonts w:hint="eastAsia" w:ascii="宋体" w:hAnsi="宋体" w:eastAsia="宋体" w:cs="宋体"/>
                <w:color w:val="auto"/>
                <w:sz w:val="21"/>
                <w:szCs w:val="21"/>
                <w:highlight w:val="none"/>
                <w:lang w:eastAsia="zh-CN"/>
              </w:rPr>
              <w:t>采购</w:t>
            </w:r>
            <w:r>
              <w:rPr>
                <w:rFonts w:hint="eastAsia" w:ascii="宋体" w:hAnsi="宋体" w:eastAsia="宋体" w:cs="宋体"/>
                <w:color w:val="auto"/>
                <w:sz w:val="21"/>
                <w:szCs w:val="21"/>
                <w:highlight w:val="none"/>
              </w:rPr>
              <w:t>代理服务费，本项目</w:t>
            </w:r>
            <w:r>
              <w:rPr>
                <w:rFonts w:hint="eastAsia" w:ascii="宋体" w:hAnsi="宋体" w:eastAsia="宋体" w:cs="宋体"/>
                <w:color w:val="auto"/>
                <w:sz w:val="21"/>
                <w:szCs w:val="21"/>
                <w:highlight w:val="none"/>
                <w:lang w:eastAsia="zh-CN"/>
              </w:rPr>
              <w:t>采购</w:t>
            </w:r>
            <w:r>
              <w:rPr>
                <w:rFonts w:hint="eastAsia" w:ascii="宋体" w:hAnsi="宋体" w:eastAsia="宋体" w:cs="宋体"/>
                <w:color w:val="auto"/>
                <w:sz w:val="21"/>
                <w:szCs w:val="21"/>
                <w:highlight w:val="none"/>
              </w:rPr>
              <w:t>代理服务收费标准参照计价格[2002]1980号《招标代理服务收费管理暂行办法》</w:t>
            </w:r>
            <w:r>
              <w:rPr>
                <w:rFonts w:hint="eastAsia" w:ascii="宋体" w:hAnsi="宋体" w:cs="宋体"/>
                <w:color w:val="auto"/>
                <w:sz w:val="21"/>
                <w:szCs w:val="21"/>
                <w:highlight w:val="none"/>
                <w:lang w:eastAsia="zh-CN"/>
              </w:rPr>
              <w:t>工程类收费标准向成交供应商收取</w:t>
            </w:r>
            <w:r>
              <w:rPr>
                <w:rFonts w:hint="eastAsia" w:ascii="宋体" w:hAnsi="宋体" w:eastAsia="宋体" w:cs="宋体"/>
                <w:color w:val="auto"/>
                <w:sz w:val="21"/>
                <w:szCs w:val="21"/>
                <w:highlight w:val="none"/>
              </w:rPr>
              <w:t>。</w:t>
            </w:r>
          </w:p>
        </w:tc>
      </w:tr>
      <w:tr w14:paraId="2CB43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569" w:type="dxa"/>
            <w:noWrap w:val="0"/>
            <w:vAlign w:val="center"/>
          </w:tcPr>
          <w:p w14:paraId="5BF28F11">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20</w:t>
            </w:r>
          </w:p>
        </w:tc>
        <w:tc>
          <w:tcPr>
            <w:tcW w:w="933" w:type="dxa"/>
            <w:noWrap w:val="0"/>
            <w:vAlign w:val="center"/>
          </w:tcPr>
          <w:p w14:paraId="4FD80FAD">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32</w:t>
            </w:r>
          </w:p>
        </w:tc>
        <w:tc>
          <w:tcPr>
            <w:tcW w:w="1720" w:type="dxa"/>
            <w:noWrap w:val="0"/>
            <w:vAlign w:val="center"/>
          </w:tcPr>
          <w:p w14:paraId="0620B36E">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解释权</w:t>
            </w:r>
          </w:p>
        </w:tc>
        <w:tc>
          <w:tcPr>
            <w:tcW w:w="7069" w:type="dxa"/>
            <w:noWrap w:val="0"/>
            <w:vAlign w:val="top"/>
          </w:tcPr>
          <w:p w14:paraId="3293DC69">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宋体" w:hAnsi="宋体" w:eastAsia="宋体" w:cs="宋体"/>
                <w:color w:val="auto"/>
                <w:szCs w:val="21"/>
                <w:highlight w:val="none"/>
              </w:rPr>
            </w:pPr>
            <w:r>
              <w:rPr>
                <w:rFonts w:hint="eastAsia" w:ascii="宋体" w:hAnsi="宋体" w:eastAsia="宋体" w:cs="宋体"/>
                <w:color w:val="auto"/>
                <w:highlight w:val="none"/>
              </w:rPr>
              <w:t>本竞争性磋商文件是根据《中华人民共和国政府采购法》《中华人民共和国政府采购法实施条例》《政府采购竞争性磋商采购方式管理暂行办法》和政府采购管理有关规定编制，本竞争性磋商文件的解释权属于采购代理机构。</w:t>
            </w:r>
          </w:p>
        </w:tc>
      </w:tr>
      <w:tr w14:paraId="04F2A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569" w:type="dxa"/>
            <w:noWrap w:val="0"/>
            <w:vAlign w:val="center"/>
          </w:tcPr>
          <w:p w14:paraId="10BADB57">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21</w:t>
            </w:r>
          </w:p>
        </w:tc>
        <w:tc>
          <w:tcPr>
            <w:tcW w:w="933" w:type="dxa"/>
            <w:noWrap w:val="0"/>
            <w:vAlign w:val="center"/>
          </w:tcPr>
          <w:p w14:paraId="50EE3CC7">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33</w:t>
            </w:r>
          </w:p>
        </w:tc>
        <w:tc>
          <w:tcPr>
            <w:tcW w:w="1720" w:type="dxa"/>
            <w:noWrap w:val="0"/>
            <w:vAlign w:val="center"/>
          </w:tcPr>
          <w:p w14:paraId="001C608B">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监督管理部门</w:t>
            </w:r>
          </w:p>
        </w:tc>
        <w:tc>
          <w:tcPr>
            <w:tcW w:w="7069" w:type="dxa"/>
            <w:noWrap w:val="0"/>
            <w:vAlign w:val="center"/>
          </w:tcPr>
          <w:p w14:paraId="313C270C">
            <w:pPr>
              <w:keepNext w:val="0"/>
              <w:keepLines w:val="0"/>
              <w:pageBreakBefore w:val="0"/>
              <w:widowControl w:val="0"/>
              <w:wordWrap/>
              <w:topLinePunct w:val="0"/>
              <w:bidi w:val="0"/>
              <w:spacing w:line="36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灌阳县财政局</w:t>
            </w:r>
            <w:r>
              <w:rPr>
                <w:rFonts w:hint="eastAsia" w:ascii="宋体" w:hAnsi="宋体" w:cs="宋体"/>
                <w:color w:val="auto"/>
                <w:szCs w:val="21"/>
                <w:highlight w:val="none"/>
              </w:rPr>
              <w:t xml:space="preserve">     电话：0773-</w:t>
            </w:r>
            <w:r>
              <w:rPr>
                <w:rFonts w:hint="eastAsia" w:ascii="宋体" w:hAnsi="宋体" w:cs="宋体"/>
                <w:color w:val="auto"/>
                <w:szCs w:val="21"/>
                <w:highlight w:val="none"/>
                <w:lang w:eastAsia="zh-CN"/>
              </w:rPr>
              <w:t>4250206</w:t>
            </w:r>
          </w:p>
        </w:tc>
      </w:tr>
    </w:tbl>
    <w:p w14:paraId="4201B677">
      <w:pPr>
        <w:keepNext w:val="0"/>
        <w:keepLines w:val="0"/>
        <w:pageBreakBefore w:val="0"/>
        <w:widowControl w:val="0"/>
        <w:tabs>
          <w:tab w:val="left" w:pos="567"/>
        </w:tabs>
        <w:wordWrap/>
        <w:topLinePunct w:val="0"/>
        <w:bidi w:val="0"/>
        <w:outlineLvl w:val="9"/>
        <w:rPr>
          <w:rFonts w:hint="eastAsia" w:ascii="宋体" w:hAnsi="宋体" w:eastAsia="宋体" w:cs="宋体"/>
          <w:b/>
          <w:bCs w:val="0"/>
          <w:color w:val="auto"/>
          <w:szCs w:val="28"/>
          <w:highlight w:val="none"/>
        </w:rPr>
      </w:pPr>
    </w:p>
    <w:p w14:paraId="5F2E127B">
      <w:pPr>
        <w:pStyle w:val="3"/>
        <w:keepNext w:val="0"/>
        <w:keepLines w:val="0"/>
        <w:pageBreakBefore w:val="0"/>
        <w:widowControl w:val="0"/>
        <w:tabs>
          <w:tab w:val="left" w:pos="567"/>
        </w:tabs>
        <w:kinsoku/>
        <w:wordWrap/>
        <w:overflowPunct/>
        <w:topLinePunct w:val="0"/>
        <w:bidi w:val="0"/>
        <w:spacing w:line="440" w:lineRule="exact"/>
        <w:jc w:val="both"/>
        <w:textAlignment w:val="auto"/>
        <w:rPr>
          <w:rFonts w:hint="eastAsia" w:ascii="宋体" w:hAnsi="宋体" w:eastAsia="宋体" w:cs="宋体"/>
          <w:b/>
          <w:bCs w:val="0"/>
          <w:color w:val="auto"/>
          <w:szCs w:val="28"/>
          <w:highlight w:val="none"/>
        </w:rPr>
        <w:sectPr>
          <w:footerReference r:id="rId6" w:type="first"/>
          <w:footerReference r:id="rId5" w:type="default"/>
          <w:pgSz w:w="11906" w:h="16838"/>
          <w:pgMar w:top="1304" w:right="1134" w:bottom="1191" w:left="1247" w:header="851" w:footer="992" w:gutter="0"/>
          <w:pgNumType w:fmt="decimal"/>
          <w:cols w:space="720" w:num="1"/>
          <w:titlePg/>
          <w:docGrid w:type="lines" w:linePitch="312" w:charSpace="0"/>
        </w:sectPr>
      </w:pPr>
      <w:bookmarkStart w:id="46" w:name="_Toc22792"/>
      <w:bookmarkStart w:id="47" w:name="_Toc27120"/>
    </w:p>
    <w:p w14:paraId="55DAFB43">
      <w:pPr>
        <w:pStyle w:val="3"/>
        <w:keepNext w:val="0"/>
        <w:keepLines w:val="0"/>
        <w:pageBreakBefore w:val="0"/>
        <w:widowControl w:val="0"/>
        <w:tabs>
          <w:tab w:val="left" w:pos="567"/>
        </w:tabs>
        <w:kinsoku/>
        <w:wordWrap/>
        <w:overflowPunct/>
        <w:topLinePunct w:val="0"/>
        <w:bidi w:val="0"/>
        <w:spacing w:line="440" w:lineRule="exact"/>
        <w:jc w:val="center"/>
        <w:textAlignment w:val="auto"/>
        <w:rPr>
          <w:rFonts w:hint="eastAsia" w:ascii="宋体" w:hAnsi="宋体" w:eastAsia="宋体" w:cs="宋体"/>
          <w:b/>
          <w:bCs w:val="0"/>
          <w:color w:val="auto"/>
          <w:szCs w:val="28"/>
          <w:highlight w:val="none"/>
        </w:rPr>
      </w:pPr>
      <w:bookmarkStart w:id="48" w:name="_Toc22096"/>
      <w:bookmarkStart w:id="49" w:name="_Toc23687"/>
      <w:r>
        <w:rPr>
          <w:rFonts w:hint="eastAsia" w:ascii="宋体" w:hAnsi="宋体" w:eastAsia="宋体" w:cs="宋体"/>
          <w:b/>
          <w:bCs w:val="0"/>
          <w:color w:val="auto"/>
          <w:szCs w:val="28"/>
          <w:highlight w:val="none"/>
        </w:rPr>
        <w:t>一、总则</w:t>
      </w:r>
      <w:bookmarkEnd w:id="46"/>
      <w:bookmarkEnd w:id="47"/>
      <w:bookmarkEnd w:id="48"/>
      <w:bookmarkEnd w:id="49"/>
    </w:p>
    <w:p w14:paraId="50182CB8">
      <w:pPr>
        <w:pStyle w:val="4"/>
        <w:keepNext w:val="0"/>
        <w:keepLines w:val="0"/>
        <w:pageBreakBefore w:val="0"/>
        <w:widowControl w:val="0"/>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rPr>
      </w:pPr>
      <w:bookmarkStart w:id="50" w:name="_Toc3367"/>
      <w:bookmarkStart w:id="51" w:name="_Toc6626"/>
      <w:r>
        <w:rPr>
          <w:rFonts w:hint="eastAsia" w:ascii="宋体" w:hAnsi="宋体" w:eastAsia="宋体" w:cs="宋体"/>
          <w:color w:val="auto"/>
          <w:sz w:val="21"/>
          <w:szCs w:val="21"/>
          <w:highlight w:val="none"/>
        </w:rPr>
        <w:t>1. 适应范围</w:t>
      </w:r>
      <w:bookmarkEnd w:id="50"/>
      <w:bookmarkEnd w:id="51"/>
    </w:p>
    <w:p w14:paraId="652D5479">
      <w:pPr>
        <w:keepNext w:val="0"/>
        <w:keepLines w:val="0"/>
        <w:pageBreakBefore w:val="0"/>
        <w:widowControl w:val="0"/>
        <w:kinsoku/>
        <w:wordWrap/>
        <w:overflowPunct/>
        <w:topLinePunct w:val="0"/>
        <w:bidi w:val="0"/>
        <w:spacing w:line="44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  项目名称及项目编号</w:t>
      </w:r>
    </w:p>
    <w:p w14:paraId="2DAA4194">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项目名称：</w:t>
      </w:r>
      <w:r>
        <w:rPr>
          <w:rFonts w:hint="eastAsia" w:ascii="宋体" w:hAnsi="宋体" w:cs="宋体"/>
          <w:color w:val="auto"/>
          <w:szCs w:val="21"/>
          <w:highlight w:val="none"/>
          <w:lang w:eastAsia="zh-CN"/>
        </w:rPr>
        <w:t>灌阳县公安局城关派出所改造提升项目</w:t>
      </w:r>
      <w:r>
        <w:rPr>
          <w:rFonts w:hint="eastAsia" w:ascii="宋体" w:hAnsi="宋体" w:eastAsia="宋体" w:cs="宋体"/>
          <w:color w:val="auto"/>
          <w:szCs w:val="21"/>
          <w:highlight w:val="none"/>
        </w:rPr>
        <w:t xml:space="preserve">  </w:t>
      </w:r>
    </w:p>
    <w:p w14:paraId="4165C089">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项目编号：</w:t>
      </w:r>
      <w:r>
        <w:rPr>
          <w:rFonts w:hint="eastAsia" w:ascii="宋体" w:hAnsi="宋体" w:cs="宋体"/>
          <w:color w:val="auto"/>
          <w:sz w:val="21"/>
          <w:szCs w:val="21"/>
          <w:highlight w:val="none"/>
          <w:lang w:eastAsia="zh-CN"/>
        </w:rPr>
        <w:t>GLZC2026-C2-270033-BBWH</w:t>
      </w:r>
    </w:p>
    <w:p w14:paraId="0D0BB73E">
      <w:pPr>
        <w:keepNext w:val="0"/>
        <w:keepLines w:val="0"/>
        <w:pageBreakBefore w:val="0"/>
        <w:widowControl w:val="0"/>
        <w:kinsoku/>
        <w:wordWrap/>
        <w:overflowPunct/>
        <w:topLinePunct w:val="0"/>
        <w:bidi w:val="0"/>
        <w:spacing w:line="440" w:lineRule="exact"/>
        <w:ind w:firstLine="411" w:firstLineChars="196"/>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1.2本竞争性磋商文件（以下简称磋商文件）适用于本磋商项目的磋商、评审、合同履约、验收、付款等行为（法律、法规另有规定的，从其规定）。</w:t>
      </w:r>
    </w:p>
    <w:p w14:paraId="276C10B0">
      <w:pPr>
        <w:pStyle w:val="4"/>
        <w:keepNext w:val="0"/>
        <w:keepLines w:val="0"/>
        <w:pageBreakBefore w:val="0"/>
        <w:widowControl w:val="0"/>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rPr>
      </w:pPr>
      <w:bookmarkStart w:id="52" w:name="_Toc2845"/>
      <w:bookmarkStart w:id="53" w:name="_Toc28336"/>
      <w:r>
        <w:rPr>
          <w:rFonts w:hint="eastAsia" w:ascii="宋体" w:hAnsi="宋体" w:eastAsia="宋体" w:cs="宋体"/>
          <w:color w:val="auto"/>
          <w:sz w:val="21"/>
          <w:szCs w:val="21"/>
          <w:highlight w:val="none"/>
        </w:rPr>
        <w:t>2. 定义</w:t>
      </w:r>
      <w:bookmarkEnd w:id="52"/>
      <w:bookmarkEnd w:id="53"/>
    </w:p>
    <w:p w14:paraId="427E531A">
      <w:pPr>
        <w:keepNext w:val="0"/>
        <w:keepLines w:val="0"/>
        <w:pageBreakBefore w:val="0"/>
        <w:widowControl w:val="0"/>
        <w:kinsoku/>
        <w:wordWrap/>
        <w:overflowPunct/>
        <w:topLinePunct w:val="0"/>
        <w:bidi w:val="0"/>
        <w:spacing w:line="44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2.1“供应商”是指符合本次采购项目的供应商资格并提交响应文件、参加磋商的供应商。如果该供应商在本次磋商中成交，即成为“成交供应商”。</w:t>
      </w:r>
    </w:p>
    <w:p w14:paraId="2972F0E0">
      <w:pPr>
        <w:keepNext w:val="0"/>
        <w:keepLines w:val="0"/>
        <w:pageBreakBefore w:val="0"/>
        <w:widowControl w:val="0"/>
        <w:kinsoku/>
        <w:wordWrap/>
        <w:overflowPunct/>
        <w:topLinePunct w:val="0"/>
        <w:bidi w:val="0"/>
        <w:spacing w:line="44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2.2“货物”系指按磋商文件规定，供应商须向采购人提供的一切设备、保险、税金、备品备件、工具、手册及其它有关技术资料和材料。</w:t>
      </w:r>
    </w:p>
    <w:p w14:paraId="5C4B5307">
      <w:pPr>
        <w:keepNext w:val="0"/>
        <w:keepLines w:val="0"/>
        <w:pageBreakBefore w:val="0"/>
        <w:widowControl w:val="0"/>
        <w:kinsoku/>
        <w:wordWrap/>
        <w:overflowPunct/>
        <w:topLinePunct w:val="0"/>
        <w:bidi w:val="0"/>
        <w:spacing w:line="44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2.3“服务”系指按磋商文件规定，供应商须承担的安装、调试、技术协助、校准、培训、技术指导以及其他类似的义务。</w:t>
      </w:r>
    </w:p>
    <w:p w14:paraId="06E054D1">
      <w:pPr>
        <w:keepNext w:val="0"/>
        <w:keepLines w:val="0"/>
        <w:pageBreakBefore w:val="0"/>
        <w:widowControl w:val="0"/>
        <w:kinsoku/>
        <w:wordWrap/>
        <w:overflowPunct/>
        <w:topLinePunct w:val="0"/>
        <w:bidi w:val="0"/>
        <w:spacing w:line="44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2.4“项目”系指供应商按磋商文件规定向采购人提供的货物和服务。</w:t>
      </w:r>
    </w:p>
    <w:p w14:paraId="1BF73CF9">
      <w:pPr>
        <w:keepNext w:val="0"/>
        <w:keepLines w:val="0"/>
        <w:pageBreakBefore w:val="0"/>
        <w:widowControl w:val="0"/>
        <w:kinsoku/>
        <w:wordWrap/>
        <w:overflowPunct/>
        <w:topLinePunct w:val="0"/>
        <w:bidi w:val="0"/>
        <w:spacing w:line="44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2.5“书面形式”包括信函、传真、电报等。</w:t>
      </w:r>
    </w:p>
    <w:p w14:paraId="46654EE1">
      <w:pPr>
        <w:keepNext w:val="0"/>
        <w:keepLines w:val="0"/>
        <w:pageBreakBefore w:val="0"/>
        <w:widowControl w:val="0"/>
        <w:kinsoku/>
        <w:wordWrap/>
        <w:overflowPunct/>
        <w:topLinePunct w:val="0"/>
        <w:bidi w:val="0"/>
        <w:spacing w:line="440" w:lineRule="exact"/>
        <w:ind w:firstLine="435"/>
        <w:textAlignment w:val="auto"/>
        <w:rPr>
          <w:rFonts w:hint="eastAsia" w:ascii="宋体" w:hAnsi="宋体" w:eastAsia="宋体" w:cs="宋体"/>
          <w:color w:val="auto"/>
          <w:szCs w:val="21"/>
          <w:highlight w:val="none"/>
        </w:rPr>
      </w:pPr>
      <w:bookmarkStart w:id="54" w:name="_Toc25441"/>
      <w:bookmarkStart w:id="55" w:name="_Toc13017"/>
      <w:r>
        <w:rPr>
          <w:rFonts w:hint="eastAsia" w:ascii="宋体" w:hAnsi="宋体" w:eastAsia="宋体" w:cs="宋体"/>
          <w:color w:val="auto"/>
          <w:szCs w:val="21"/>
          <w:highlight w:val="none"/>
          <w:lang w:val="en-US" w:eastAsia="zh-CN"/>
        </w:rPr>
        <w:t>2.6“响应文件”：本项目实行全流程电子化招标，磋商供应商通过“广西政府采购云平台”平台参与电子磋商。响应文件特指磋商供应商按本采购文件规定提交的电子响应文件（包括因特殊情况无法解密或解密失败提交的电子备份响应文件）。</w:t>
      </w:r>
    </w:p>
    <w:p w14:paraId="2A77367D">
      <w:pPr>
        <w:pStyle w:val="4"/>
        <w:keepNext w:val="0"/>
        <w:keepLines w:val="0"/>
        <w:pageBreakBefore w:val="0"/>
        <w:widowControl w:val="0"/>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供应商资格</w:t>
      </w:r>
      <w:bookmarkEnd w:id="54"/>
      <w:bookmarkEnd w:id="55"/>
    </w:p>
    <w:p w14:paraId="6E6F78F8">
      <w:pPr>
        <w:keepNext w:val="0"/>
        <w:keepLines w:val="0"/>
        <w:pageBreakBefore w:val="0"/>
        <w:widowControl w:val="0"/>
        <w:kinsoku/>
        <w:wordWrap/>
        <w:overflowPunct/>
        <w:topLinePunct w:val="0"/>
        <w:bidi w:val="0"/>
        <w:spacing w:line="440" w:lineRule="exact"/>
        <w:ind w:firstLine="435"/>
        <w:textAlignment w:val="auto"/>
        <w:rPr>
          <w:rFonts w:hint="eastAsia" w:ascii="宋体" w:hAnsi="宋体" w:eastAsia="宋体" w:cs="宋体"/>
          <w:color w:val="auto"/>
          <w:szCs w:val="21"/>
          <w:highlight w:val="none"/>
          <w:lang w:val="en-US" w:eastAsia="zh-CN"/>
        </w:rPr>
      </w:pPr>
      <w:bookmarkStart w:id="56" w:name="_Toc9216"/>
      <w:bookmarkStart w:id="57" w:name="_Toc16496"/>
      <w:r>
        <w:rPr>
          <w:rFonts w:hint="eastAsia" w:ascii="宋体" w:hAnsi="宋体" w:eastAsia="宋体" w:cs="宋体"/>
          <w:color w:val="auto"/>
          <w:szCs w:val="21"/>
          <w:highlight w:val="none"/>
          <w:lang w:val="en-US" w:eastAsia="zh-CN"/>
        </w:rPr>
        <w:t>3.1满足《中华人民共和国政府采购法》第二十二条规定；</w:t>
      </w:r>
    </w:p>
    <w:p w14:paraId="7907707D">
      <w:pPr>
        <w:keepNext w:val="0"/>
        <w:keepLines w:val="0"/>
        <w:pageBreakBefore w:val="0"/>
        <w:widowControl w:val="0"/>
        <w:kinsoku/>
        <w:wordWrap/>
        <w:overflowPunct/>
        <w:topLinePunct w:val="0"/>
        <w:bidi w:val="0"/>
        <w:spacing w:line="440" w:lineRule="exact"/>
        <w:ind w:firstLine="435"/>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3.2落实政府采购政策需满足的资格要求：</w:t>
      </w:r>
      <w:r>
        <w:rPr>
          <w:rFonts w:hint="eastAsia" w:ascii="宋体" w:hAnsi="宋体" w:eastAsia="宋体" w:cs="宋体"/>
          <w:bCs/>
          <w:color w:val="auto"/>
          <w:sz w:val="21"/>
          <w:szCs w:val="21"/>
          <w:highlight w:val="none"/>
          <w:lang w:eastAsia="zh-CN"/>
        </w:rPr>
        <w:t>本项目为专门面向小微企业采购的项目（供应商应为小微企业、监狱企业、残疾人福利性单位)</w:t>
      </w:r>
      <w:r>
        <w:rPr>
          <w:rFonts w:hint="eastAsia" w:ascii="宋体" w:hAnsi="宋体" w:eastAsia="宋体" w:cs="宋体"/>
          <w:color w:val="auto"/>
          <w:szCs w:val="21"/>
          <w:highlight w:val="none"/>
          <w:lang w:val="en-US" w:eastAsia="zh-CN"/>
        </w:rPr>
        <w:t>；</w:t>
      </w:r>
    </w:p>
    <w:p w14:paraId="6A0156CF">
      <w:pPr>
        <w:keepNext w:val="0"/>
        <w:keepLines w:val="0"/>
        <w:pageBreakBefore w:val="0"/>
        <w:widowControl w:val="0"/>
        <w:kinsoku/>
        <w:wordWrap/>
        <w:overflowPunct/>
        <w:topLinePunct w:val="0"/>
        <w:bidi w:val="0"/>
        <w:spacing w:line="440" w:lineRule="exact"/>
        <w:ind w:firstLine="435"/>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3.3本项目的特定资格要求：具备</w:t>
      </w:r>
      <w:r>
        <w:rPr>
          <w:rFonts w:hint="eastAsia" w:ascii="宋体" w:hAnsi="宋体" w:cs="宋体"/>
          <w:color w:val="auto"/>
          <w:szCs w:val="21"/>
          <w:highlight w:val="none"/>
          <w:u w:val="single"/>
          <w:lang w:val="en-US" w:eastAsia="zh-CN"/>
        </w:rPr>
        <w:t>建筑工程施工总承包三级（含三级）以上</w:t>
      </w:r>
      <w:r>
        <w:rPr>
          <w:rFonts w:hint="eastAsia" w:ascii="宋体" w:hAnsi="宋体" w:eastAsia="宋体" w:cs="宋体"/>
          <w:color w:val="auto"/>
          <w:szCs w:val="21"/>
          <w:highlight w:val="none"/>
          <w:lang w:val="en-US" w:eastAsia="zh-CN"/>
        </w:rPr>
        <w:t>资质，并在人员、设备、资金等方面具备相应的施工能力。</w:t>
      </w:r>
      <w:r>
        <w:rPr>
          <w:rFonts w:hint="eastAsia" w:ascii="宋体" w:hAnsi="宋体" w:eastAsia="宋体" w:cs="宋体"/>
          <w:bCs/>
          <w:color w:val="auto"/>
          <w:sz w:val="21"/>
          <w:szCs w:val="21"/>
          <w:highlight w:val="none"/>
          <w:lang w:eastAsia="zh-CN"/>
        </w:rPr>
        <w:t>项目负责人须具备</w:t>
      </w:r>
      <w:r>
        <w:rPr>
          <w:rFonts w:hint="eastAsia" w:ascii="宋体" w:hAnsi="宋体" w:cs="宋体"/>
          <w:bCs/>
          <w:color w:val="auto"/>
          <w:sz w:val="21"/>
          <w:szCs w:val="21"/>
          <w:highlight w:val="none"/>
          <w:u w:val="single"/>
          <w:lang w:val="en-US" w:eastAsia="zh-CN"/>
        </w:rPr>
        <w:t>建筑工程贰级以上</w:t>
      </w:r>
      <w:r>
        <w:rPr>
          <w:rFonts w:hint="eastAsia" w:ascii="宋体" w:hAnsi="宋体" w:eastAsia="宋体" w:cs="宋体"/>
          <w:bCs/>
          <w:color w:val="auto"/>
          <w:sz w:val="21"/>
          <w:szCs w:val="21"/>
          <w:highlight w:val="none"/>
          <w:u w:val="single"/>
          <w:lang w:eastAsia="zh-CN"/>
        </w:rPr>
        <w:t>（含贰级）</w:t>
      </w:r>
      <w:r>
        <w:rPr>
          <w:rFonts w:hint="eastAsia" w:ascii="宋体" w:hAnsi="宋体" w:eastAsia="宋体" w:cs="宋体"/>
          <w:bCs/>
          <w:color w:val="auto"/>
          <w:sz w:val="21"/>
          <w:szCs w:val="21"/>
          <w:highlight w:val="none"/>
          <w:u w:val="none"/>
          <w:lang w:eastAsia="zh-CN"/>
        </w:rPr>
        <w:t>注册建造师执业资格</w:t>
      </w:r>
      <w:r>
        <w:rPr>
          <w:rFonts w:hint="eastAsia" w:ascii="宋体" w:hAnsi="宋体" w:eastAsia="宋体" w:cs="宋体"/>
          <w:bCs/>
          <w:color w:val="auto"/>
          <w:sz w:val="21"/>
          <w:szCs w:val="21"/>
          <w:highlight w:val="none"/>
          <w:lang w:eastAsia="zh-CN"/>
        </w:rPr>
        <w:t>资格</w:t>
      </w:r>
      <w:r>
        <w:rPr>
          <w:rFonts w:hint="eastAsia" w:ascii="宋体" w:hAnsi="宋体" w:eastAsia="宋体" w:cs="宋体"/>
          <w:color w:val="auto"/>
          <w:szCs w:val="21"/>
          <w:highlight w:val="none"/>
          <w:lang w:val="en-US" w:eastAsia="zh-CN"/>
        </w:rPr>
        <w:t>，具有安全生产考核B证,且未担任其他在施建设工程项目的项目经理（符合《广西壮族自治区建筑市场诚信卡管理暂行办法》第十六条第一款及桂建管﹝2016﹞70号、桂建管〔2019〕26号和桂建管〔2020〕11号文除外）。</w:t>
      </w:r>
    </w:p>
    <w:p w14:paraId="2BB9F891">
      <w:pPr>
        <w:pStyle w:val="4"/>
        <w:keepNext w:val="0"/>
        <w:keepLines w:val="0"/>
        <w:pageBreakBefore w:val="0"/>
        <w:widowControl w:val="0"/>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 xml:space="preserve">4. </w:t>
      </w:r>
      <w:bookmarkEnd w:id="56"/>
      <w:bookmarkEnd w:id="57"/>
      <w:r>
        <w:rPr>
          <w:rFonts w:hint="eastAsia" w:ascii="宋体" w:hAnsi="宋体" w:eastAsia="宋体" w:cs="宋体"/>
          <w:color w:val="auto"/>
          <w:sz w:val="21"/>
          <w:szCs w:val="21"/>
          <w:highlight w:val="none"/>
          <w:lang w:val="en-US" w:eastAsia="zh-CN"/>
        </w:rPr>
        <w:t>参与电子磋商的准备工作</w:t>
      </w:r>
    </w:p>
    <w:p w14:paraId="670CED6E">
      <w:pPr>
        <w:keepNext w:val="0"/>
        <w:keepLines w:val="0"/>
        <w:pageBreakBefore w:val="0"/>
        <w:widowControl w:val="0"/>
        <w:kinsoku/>
        <w:wordWrap/>
        <w:overflowPunct/>
        <w:topLinePunct w:val="0"/>
        <w:bidi w:val="0"/>
        <w:spacing w:line="440" w:lineRule="exact"/>
        <w:ind w:firstLine="435"/>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4.1本项目实行全流程电子化采购，磋商供应商通过“广西政府采购云平台”平台参与电子磋商，并应做好以下相关准备工作：①在“广西政府采购云平台”平台注册成为正式供应商（操作方法详见广西壮族自治区政府采购网—办事服务—办事指南）；②完成CA认证证书申领和绑定（费用由磋商供应商自行承担，办理流程详见广西壮族自治区政府采购网—办事服务—下载专区，完成CA认证证书办理预计一周左右，建议供应商尽快办理）；③下载“广西壮族自治区全流程电子招投标项目管理系统--供应商客户端”（操作方法详见广西壮族自治区政府采购网—办事服务—下载专区，以下称“广西政府采购云平台电子投标客户端”）并安装成功，磋商供应商应当在响应文件提交截止时间前在“广西政府采购云平台”平台完成的身份认证，确保能够对相关数据电文进行加密和使用电子签章；④自备计算机和网络设备并确保能接入互联网（费用由磋商供应商自行承担，设备确保可进行视频通话和读取广西政府采购云平台CA认证证书）。因磋商供应商未做好相关准备工作等自身原因导致无法参加本项目电子磋商或磋商失败的，造成的一切后果，由磋商供应商自行承担。</w:t>
      </w:r>
    </w:p>
    <w:p w14:paraId="707AB0D7">
      <w:pPr>
        <w:keepNext w:val="0"/>
        <w:keepLines w:val="0"/>
        <w:pageBreakBefore w:val="0"/>
        <w:widowControl w:val="0"/>
        <w:kinsoku/>
        <w:wordWrap/>
        <w:overflowPunct/>
        <w:topLinePunct w:val="0"/>
        <w:bidi w:val="0"/>
        <w:spacing w:line="440" w:lineRule="exact"/>
        <w:ind w:firstLine="435"/>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4.2电子磋商具体操作流程参考《政府采购项目电子交易管理操作指南-供应商》（详见桂林市政府采购网—采购资讯—重要通知）；如遇平台技术问题详询95763。</w:t>
      </w:r>
    </w:p>
    <w:p w14:paraId="41F5E304">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rPr>
      </w:pPr>
      <w:bookmarkStart w:id="58" w:name="_Toc22877"/>
      <w:bookmarkStart w:id="59" w:name="_Toc31376"/>
      <w:r>
        <w:rPr>
          <w:rFonts w:hint="eastAsia" w:ascii="宋体" w:hAnsi="宋体" w:eastAsia="宋体" w:cs="宋体"/>
          <w:color w:val="auto"/>
          <w:sz w:val="21"/>
          <w:szCs w:val="21"/>
          <w:highlight w:val="none"/>
        </w:rPr>
        <w:t>磋商费用</w:t>
      </w:r>
    </w:p>
    <w:p w14:paraId="0D237F06">
      <w:pPr>
        <w:keepNext w:val="0"/>
        <w:keepLines w:val="0"/>
        <w:pageBreakBefore w:val="0"/>
        <w:widowControl w:val="0"/>
        <w:kinsoku/>
        <w:wordWrap/>
        <w:overflowPunct/>
        <w:topLinePunct w:val="0"/>
        <w:bidi w:val="0"/>
        <w:spacing w:line="440" w:lineRule="exact"/>
        <w:ind w:firstLine="435"/>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不论磋商结果如何，供应商均应自行承担所有与磋商有关的全部费用。</w:t>
      </w:r>
    </w:p>
    <w:p w14:paraId="1E4D7C36">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联合体要求</w:t>
      </w:r>
      <w:bookmarkEnd w:id="58"/>
      <w:bookmarkEnd w:id="59"/>
    </w:p>
    <w:p w14:paraId="7C4D59B9">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本项目不接受联合体参与磋商</w:t>
      </w:r>
    </w:p>
    <w:p w14:paraId="6AC53E53">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rPr>
      </w:pPr>
      <w:bookmarkStart w:id="60" w:name="_Toc18940"/>
      <w:bookmarkStart w:id="61" w:name="_Toc4152"/>
      <w:r>
        <w:rPr>
          <w:rFonts w:hint="eastAsia" w:ascii="宋体" w:hAnsi="宋体" w:eastAsia="宋体" w:cs="宋体"/>
          <w:color w:val="auto"/>
          <w:sz w:val="21"/>
          <w:szCs w:val="21"/>
          <w:highlight w:val="none"/>
        </w:rPr>
        <w:t>质疑和投诉</w:t>
      </w:r>
      <w:bookmarkEnd w:id="60"/>
      <w:bookmarkEnd w:id="61"/>
      <w:r>
        <w:rPr>
          <w:rFonts w:hint="eastAsia" w:ascii="宋体" w:hAnsi="宋体" w:eastAsia="宋体" w:cs="宋体"/>
          <w:color w:val="auto"/>
          <w:sz w:val="21"/>
          <w:szCs w:val="21"/>
          <w:highlight w:val="none"/>
        </w:rPr>
        <w:tab/>
      </w:r>
    </w:p>
    <w:p w14:paraId="22B57618">
      <w:pPr>
        <w:keepNext w:val="0"/>
        <w:keepLines w:val="0"/>
        <w:pageBreakBefore w:val="0"/>
        <w:widowControl w:val="0"/>
        <w:tabs>
          <w:tab w:val="left" w:pos="2190"/>
        </w:tabs>
        <w:kinsoku/>
        <w:wordWrap/>
        <w:overflowPunct/>
        <w:topLinePunct w:val="0"/>
        <w:bidi w:val="0"/>
        <w:spacing w:line="440" w:lineRule="exact"/>
        <w:ind w:firstLine="435"/>
        <w:textAlignment w:val="auto"/>
        <w:rPr>
          <w:rFonts w:hint="eastAsia" w:ascii="宋体" w:hAnsi="宋体" w:eastAsia="宋体" w:cs="宋体"/>
          <w:color w:val="auto"/>
          <w:szCs w:val="21"/>
          <w:highlight w:val="none"/>
          <w:u w:val="none"/>
        </w:rPr>
      </w:pPr>
      <w:bookmarkStart w:id="62" w:name="_Toc26087"/>
      <w:bookmarkStart w:id="63" w:name="_Toc8195"/>
      <w:r>
        <w:rPr>
          <w:rFonts w:hint="eastAsia" w:ascii="宋体" w:hAnsi="宋体" w:cs="宋体"/>
          <w:color w:val="auto"/>
          <w:szCs w:val="21"/>
          <w:highlight w:val="none"/>
          <w:u w:val="none"/>
          <w:lang w:eastAsia="zh-CN"/>
        </w:rPr>
        <w:t>7.</w:t>
      </w:r>
      <w:r>
        <w:rPr>
          <w:rFonts w:hint="eastAsia" w:ascii="宋体" w:hAnsi="宋体" w:eastAsia="宋体" w:cs="宋体"/>
          <w:color w:val="auto"/>
          <w:szCs w:val="21"/>
          <w:highlight w:val="none"/>
          <w:u w:val="none"/>
        </w:rPr>
        <w:t>1供应对政府采购活动事项有疑问的，可以向采购人提出询问。</w:t>
      </w:r>
    </w:p>
    <w:p w14:paraId="49DD33AB">
      <w:pPr>
        <w:keepNext w:val="0"/>
        <w:keepLines w:val="0"/>
        <w:pageBreakBefore w:val="0"/>
        <w:widowControl w:val="0"/>
        <w:tabs>
          <w:tab w:val="left" w:pos="2190"/>
        </w:tabs>
        <w:kinsoku/>
        <w:wordWrap/>
        <w:overflowPunct/>
        <w:topLinePunct w:val="0"/>
        <w:bidi w:val="0"/>
        <w:spacing w:line="440" w:lineRule="exact"/>
        <w:ind w:firstLine="435"/>
        <w:textAlignment w:val="auto"/>
        <w:rPr>
          <w:rFonts w:hint="eastAsia" w:ascii="宋体" w:hAnsi="宋体" w:eastAsia="宋体" w:cs="宋体"/>
          <w:color w:val="auto"/>
          <w:szCs w:val="21"/>
          <w:highlight w:val="none"/>
          <w:u w:val="none"/>
        </w:rPr>
      </w:pPr>
      <w:r>
        <w:rPr>
          <w:rFonts w:hint="eastAsia" w:ascii="宋体" w:hAnsi="宋体" w:cs="宋体"/>
          <w:color w:val="auto"/>
          <w:szCs w:val="21"/>
          <w:highlight w:val="none"/>
          <w:u w:val="none"/>
          <w:lang w:eastAsia="zh-CN"/>
        </w:rPr>
        <w:t>7.</w:t>
      </w:r>
      <w:r>
        <w:rPr>
          <w:rFonts w:hint="eastAsia" w:ascii="宋体" w:hAnsi="宋体" w:eastAsia="宋体" w:cs="宋体"/>
          <w:color w:val="auto"/>
          <w:szCs w:val="21"/>
          <w:highlight w:val="none"/>
          <w:u w:val="none"/>
        </w:rPr>
        <w:t>2供应商认为磋商文件使自己的合法权益受到损害的，应当在竞争性磋商公告期限届满之日起七个工作日内，以书面形式向采购代理机构提出质疑（“质疑函”格式见附表1）。供应商认为采购过程或成交结果使自己的合法权益受到损害的，应当在各采购程序环节结束之日起七个工作日内，以书面形式向采购代理机构提出质疑。采购代理机构应认真做好质疑处理工作。</w:t>
      </w:r>
    </w:p>
    <w:p w14:paraId="41E89B9D">
      <w:pPr>
        <w:keepNext w:val="0"/>
        <w:keepLines w:val="0"/>
        <w:pageBreakBefore w:val="0"/>
        <w:widowControl w:val="0"/>
        <w:tabs>
          <w:tab w:val="left" w:pos="2190"/>
        </w:tabs>
        <w:kinsoku/>
        <w:wordWrap/>
        <w:overflowPunct/>
        <w:topLinePunct w:val="0"/>
        <w:bidi w:val="0"/>
        <w:spacing w:line="440" w:lineRule="exact"/>
        <w:ind w:firstLine="435"/>
        <w:textAlignment w:val="auto"/>
        <w:rPr>
          <w:rFonts w:hint="eastAsia" w:ascii="宋体" w:hAnsi="宋体" w:eastAsia="宋体" w:cs="宋体"/>
          <w:color w:val="auto"/>
          <w:szCs w:val="21"/>
          <w:highlight w:val="none"/>
          <w:u w:val="none"/>
        </w:rPr>
      </w:pPr>
      <w:r>
        <w:rPr>
          <w:rFonts w:hint="eastAsia" w:ascii="宋体" w:hAnsi="宋体" w:cs="宋体"/>
          <w:color w:val="auto"/>
          <w:szCs w:val="21"/>
          <w:highlight w:val="none"/>
          <w:u w:val="none"/>
          <w:lang w:eastAsia="zh-CN"/>
        </w:rPr>
        <w:t>7.</w:t>
      </w:r>
      <w:r>
        <w:rPr>
          <w:rFonts w:hint="eastAsia" w:ascii="宋体" w:hAnsi="宋体" w:eastAsia="宋体" w:cs="宋体"/>
          <w:color w:val="auto"/>
          <w:szCs w:val="21"/>
          <w:highlight w:val="none"/>
          <w:u w:val="none"/>
        </w:rPr>
        <w:t>3供应商对采购代理机构的质疑答复不满意或者采购代理机构未在规定的时间内作出答复的，可以在答复期满后十五个工作日内向本级财政部门投诉（“投诉书”格式见附表2）。</w:t>
      </w:r>
    </w:p>
    <w:p w14:paraId="7726EDB7">
      <w:pPr>
        <w:keepNext w:val="0"/>
        <w:keepLines w:val="0"/>
        <w:pageBreakBefore w:val="0"/>
        <w:widowControl w:val="0"/>
        <w:tabs>
          <w:tab w:val="left" w:pos="2190"/>
        </w:tabs>
        <w:kinsoku/>
        <w:wordWrap/>
        <w:overflowPunct/>
        <w:topLinePunct w:val="0"/>
        <w:bidi w:val="0"/>
        <w:spacing w:line="440" w:lineRule="exact"/>
        <w:ind w:firstLine="435"/>
        <w:textAlignment w:val="auto"/>
        <w:rPr>
          <w:rFonts w:hint="eastAsia" w:ascii="宋体" w:hAnsi="宋体" w:eastAsia="宋体" w:cs="宋体"/>
          <w:color w:val="auto"/>
          <w:szCs w:val="21"/>
          <w:highlight w:val="none"/>
          <w:u w:val="none"/>
        </w:rPr>
      </w:pPr>
      <w:r>
        <w:rPr>
          <w:rFonts w:hint="eastAsia" w:ascii="宋体" w:hAnsi="宋体" w:cs="宋体"/>
          <w:color w:val="auto"/>
          <w:szCs w:val="21"/>
          <w:highlight w:val="none"/>
          <w:u w:val="none"/>
          <w:lang w:eastAsia="zh-CN"/>
        </w:rPr>
        <w:t>7.</w:t>
      </w:r>
      <w:r>
        <w:rPr>
          <w:rFonts w:hint="eastAsia" w:ascii="宋体" w:hAnsi="宋体" w:eastAsia="宋体" w:cs="宋体"/>
          <w:color w:val="auto"/>
          <w:szCs w:val="21"/>
          <w:highlight w:val="none"/>
          <w:u w:val="none"/>
        </w:rPr>
        <w:t>4质疑、投诉应当采用书面形式，质疑书、投诉书实行实名制，均应明确阐述磋商文件、采购过程或成交结果中使自己合法权益受到损害的实质性内容，提供相关事实、明确的请求，并提供必要的证明材料。</w:t>
      </w:r>
    </w:p>
    <w:p w14:paraId="5B50E2AF">
      <w:pPr>
        <w:keepNext w:val="0"/>
        <w:keepLines w:val="0"/>
        <w:pageBreakBefore w:val="0"/>
        <w:widowControl w:val="0"/>
        <w:tabs>
          <w:tab w:val="left" w:pos="2190"/>
        </w:tabs>
        <w:kinsoku/>
        <w:wordWrap/>
        <w:overflowPunct/>
        <w:topLinePunct w:val="0"/>
        <w:bidi w:val="0"/>
        <w:spacing w:line="440" w:lineRule="exact"/>
        <w:ind w:firstLine="435"/>
        <w:textAlignment w:val="auto"/>
        <w:rPr>
          <w:rFonts w:hint="eastAsia" w:ascii="宋体" w:hAnsi="宋体" w:eastAsia="宋体" w:cs="宋体"/>
          <w:color w:val="auto"/>
          <w:szCs w:val="21"/>
          <w:highlight w:val="none"/>
          <w:u w:val="none"/>
        </w:rPr>
      </w:pPr>
      <w:r>
        <w:rPr>
          <w:rFonts w:hint="eastAsia" w:ascii="宋体" w:hAnsi="宋体" w:cs="宋体"/>
          <w:color w:val="auto"/>
          <w:szCs w:val="21"/>
          <w:highlight w:val="none"/>
          <w:u w:val="none"/>
          <w:lang w:eastAsia="zh-CN"/>
        </w:rPr>
        <w:t>7.</w:t>
      </w:r>
      <w:r>
        <w:rPr>
          <w:rFonts w:hint="eastAsia" w:ascii="宋体" w:hAnsi="宋体" w:eastAsia="宋体" w:cs="宋体"/>
          <w:color w:val="auto"/>
          <w:szCs w:val="21"/>
          <w:highlight w:val="none"/>
          <w:u w:val="none"/>
        </w:rPr>
        <w:t>5质疑联系</w:t>
      </w:r>
      <w:bookmarkEnd w:id="62"/>
      <w:bookmarkEnd w:id="63"/>
      <w:r>
        <w:rPr>
          <w:rFonts w:hint="eastAsia" w:ascii="宋体" w:hAnsi="宋体" w:eastAsia="宋体" w:cs="宋体"/>
          <w:color w:val="auto"/>
          <w:szCs w:val="21"/>
          <w:highlight w:val="none"/>
          <w:u w:val="none"/>
          <w:lang w:eastAsia="zh-CN"/>
        </w:rPr>
        <w:t>方式，详见磋商公告。</w:t>
      </w:r>
    </w:p>
    <w:p w14:paraId="0E0CD38E">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rPr>
      </w:pPr>
      <w:bookmarkStart w:id="64" w:name="_Toc6998"/>
      <w:bookmarkStart w:id="65" w:name="_Toc5032"/>
      <w:r>
        <w:rPr>
          <w:rFonts w:hint="eastAsia" w:ascii="宋体" w:hAnsi="宋体" w:eastAsia="宋体" w:cs="宋体"/>
          <w:color w:val="auto"/>
          <w:sz w:val="21"/>
          <w:szCs w:val="21"/>
          <w:highlight w:val="none"/>
        </w:rPr>
        <w:t>转包与分包</w:t>
      </w:r>
      <w:bookmarkEnd w:id="64"/>
      <w:bookmarkEnd w:id="65"/>
    </w:p>
    <w:p w14:paraId="30BE514C">
      <w:pPr>
        <w:keepNext w:val="0"/>
        <w:keepLines w:val="0"/>
        <w:pageBreakBefore w:val="0"/>
        <w:widowControl w:val="0"/>
        <w:tabs>
          <w:tab w:val="left" w:pos="2190"/>
        </w:tabs>
        <w:kinsoku/>
        <w:wordWrap/>
        <w:overflowPunct/>
        <w:topLinePunct w:val="0"/>
        <w:bidi w:val="0"/>
        <w:spacing w:line="440" w:lineRule="exact"/>
        <w:ind w:firstLine="420" w:firstLineChars="200"/>
        <w:textAlignment w:val="auto"/>
        <w:rPr>
          <w:rFonts w:hint="eastAsia" w:ascii="宋体" w:hAnsi="宋体" w:eastAsia="宋体" w:cs="宋体"/>
          <w:color w:val="auto"/>
          <w:kern w:val="0"/>
          <w:szCs w:val="21"/>
          <w:highlight w:val="none"/>
          <w:shd w:val="clear" w:color="auto" w:fill="FFFFFF"/>
        </w:rPr>
      </w:pPr>
      <w:r>
        <w:rPr>
          <w:rFonts w:hint="eastAsia" w:ascii="宋体" w:hAnsi="宋体" w:cs="宋体"/>
          <w:color w:val="auto"/>
          <w:szCs w:val="21"/>
          <w:highlight w:val="none"/>
          <w:lang w:eastAsia="zh-CN"/>
        </w:rPr>
        <w:t>8.</w:t>
      </w:r>
      <w:r>
        <w:rPr>
          <w:rFonts w:hint="eastAsia" w:ascii="宋体" w:hAnsi="宋体" w:eastAsia="宋体" w:cs="宋体"/>
          <w:color w:val="auto"/>
          <w:kern w:val="0"/>
          <w:szCs w:val="21"/>
          <w:highlight w:val="none"/>
          <w:shd w:val="clear" w:color="auto" w:fill="FFFFFF"/>
        </w:rPr>
        <w:t>1 本项目不允许转包。</w:t>
      </w:r>
    </w:p>
    <w:p w14:paraId="2ABD6D4E">
      <w:pPr>
        <w:keepNext w:val="0"/>
        <w:keepLines w:val="0"/>
        <w:pageBreakBefore w:val="0"/>
        <w:widowControl w:val="0"/>
        <w:tabs>
          <w:tab w:val="left" w:pos="2190"/>
        </w:tabs>
        <w:kinsoku/>
        <w:wordWrap/>
        <w:overflowPunct/>
        <w:topLinePunct w:val="0"/>
        <w:bidi w:val="0"/>
        <w:spacing w:line="440" w:lineRule="exact"/>
        <w:ind w:firstLine="420" w:firstLineChars="200"/>
        <w:textAlignment w:val="auto"/>
        <w:rPr>
          <w:rFonts w:hint="eastAsia" w:ascii="宋体" w:hAnsi="宋体" w:eastAsia="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lang w:eastAsia="zh-CN"/>
        </w:rPr>
        <w:t>8.</w:t>
      </w:r>
      <w:r>
        <w:rPr>
          <w:rFonts w:hint="eastAsia" w:ascii="宋体" w:hAnsi="宋体" w:eastAsia="宋体" w:cs="宋体"/>
          <w:color w:val="auto"/>
          <w:kern w:val="0"/>
          <w:szCs w:val="21"/>
          <w:highlight w:val="none"/>
          <w:shd w:val="clear" w:color="auto" w:fill="FFFFFF"/>
        </w:rPr>
        <w:t>2 本项目不可以分包。</w:t>
      </w:r>
    </w:p>
    <w:p w14:paraId="65C4E7BA">
      <w:pPr>
        <w:keepNext w:val="0"/>
        <w:keepLines w:val="0"/>
        <w:pageBreakBefore w:val="0"/>
        <w:widowControl w:val="0"/>
        <w:tabs>
          <w:tab w:val="left" w:pos="2190"/>
        </w:tabs>
        <w:kinsoku/>
        <w:wordWrap/>
        <w:overflowPunct/>
        <w:topLinePunct w:val="0"/>
        <w:bidi w:val="0"/>
        <w:spacing w:line="440" w:lineRule="exact"/>
        <w:ind w:firstLine="420" w:firstLineChars="200"/>
        <w:textAlignment w:val="auto"/>
        <w:rPr>
          <w:rFonts w:hint="eastAsia" w:ascii="宋体" w:hAnsi="宋体" w:eastAsia="宋体" w:cs="宋体"/>
          <w:color w:val="auto"/>
          <w:kern w:val="0"/>
          <w:szCs w:val="21"/>
          <w:highlight w:val="none"/>
          <w:shd w:val="clear" w:color="auto" w:fill="FFFFFF"/>
          <w:lang w:val="en-US" w:eastAsia="zh-CN"/>
        </w:rPr>
      </w:pPr>
      <w:r>
        <w:rPr>
          <w:rFonts w:hint="eastAsia" w:ascii="宋体" w:hAnsi="宋体" w:cs="宋体"/>
          <w:color w:val="auto"/>
          <w:kern w:val="0"/>
          <w:szCs w:val="21"/>
          <w:highlight w:val="none"/>
          <w:shd w:val="clear" w:color="auto" w:fill="FFFFFF"/>
          <w:lang w:val="en-US" w:eastAsia="zh-CN"/>
        </w:rPr>
        <w:t>8.</w:t>
      </w:r>
      <w:r>
        <w:rPr>
          <w:rFonts w:hint="eastAsia" w:ascii="宋体" w:hAnsi="宋体" w:eastAsia="宋体" w:cs="宋体"/>
          <w:color w:val="auto"/>
          <w:kern w:val="0"/>
          <w:szCs w:val="21"/>
          <w:highlight w:val="none"/>
          <w:shd w:val="clear" w:color="auto" w:fill="FFFFFF"/>
          <w:lang w:val="en-US" w:eastAsia="zh-CN"/>
        </w:rPr>
        <w:t>3本项目不允许挂靠。</w:t>
      </w:r>
    </w:p>
    <w:p w14:paraId="394395FB">
      <w:pPr>
        <w:keepNext w:val="0"/>
        <w:keepLines w:val="0"/>
        <w:pageBreakBefore w:val="0"/>
        <w:widowControl w:val="0"/>
        <w:tabs>
          <w:tab w:val="left" w:pos="2190"/>
        </w:tabs>
        <w:kinsoku/>
        <w:wordWrap/>
        <w:overflowPunct/>
        <w:topLinePunct w:val="0"/>
        <w:bidi w:val="0"/>
        <w:spacing w:line="440" w:lineRule="exact"/>
        <w:ind w:firstLine="420" w:firstLineChars="200"/>
        <w:textAlignment w:val="auto"/>
        <w:rPr>
          <w:rFonts w:hint="default" w:ascii="宋体" w:hAnsi="宋体" w:eastAsia="宋体" w:cs="宋体"/>
          <w:color w:val="auto"/>
          <w:kern w:val="0"/>
          <w:szCs w:val="21"/>
          <w:highlight w:val="none"/>
          <w:shd w:val="clear" w:color="auto" w:fill="FFFFFF"/>
          <w:lang w:val="en-US" w:eastAsia="zh-CN"/>
        </w:rPr>
      </w:pPr>
      <w:r>
        <w:rPr>
          <w:rFonts w:hint="eastAsia" w:ascii="宋体" w:hAnsi="宋体" w:cs="宋体"/>
          <w:color w:val="auto"/>
          <w:kern w:val="0"/>
          <w:szCs w:val="21"/>
          <w:highlight w:val="none"/>
          <w:shd w:val="clear" w:color="auto" w:fill="FFFFFF"/>
          <w:lang w:val="en-US" w:eastAsia="zh-CN"/>
        </w:rPr>
        <w:t>8.</w:t>
      </w:r>
      <w:r>
        <w:rPr>
          <w:rFonts w:hint="eastAsia" w:ascii="宋体" w:hAnsi="宋体" w:eastAsia="宋体" w:cs="宋体"/>
          <w:color w:val="auto"/>
          <w:kern w:val="0"/>
          <w:szCs w:val="21"/>
          <w:highlight w:val="none"/>
          <w:shd w:val="clear" w:color="auto" w:fill="FFFFFF"/>
          <w:lang w:val="en-US" w:eastAsia="zh-CN"/>
        </w:rPr>
        <w:t>4如发现有以上行为，采购人有权终止合同，所有损失由成交供应商承担。</w:t>
      </w:r>
    </w:p>
    <w:p w14:paraId="133017A0">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rPr>
      </w:pPr>
      <w:bookmarkStart w:id="66" w:name="_Toc15097"/>
      <w:bookmarkStart w:id="67" w:name="_Toc3368"/>
      <w:r>
        <w:rPr>
          <w:rFonts w:hint="eastAsia" w:ascii="宋体" w:hAnsi="宋体" w:eastAsia="宋体" w:cs="宋体"/>
          <w:color w:val="auto"/>
          <w:sz w:val="21"/>
          <w:szCs w:val="21"/>
          <w:highlight w:val="none"/>
        </w:rPr>
        <w:t>特别说明</w:t>
      </w:r>
      <w:bookmarkEnd w:id="66"/>
      <w:bookmarkEnd w:id="67"/>
    </w:p>
    <w:p w14:paraId="29D66A3B">
      <w:pPr>
        <w:keepNext w:val="0"/>
        <w:keepLines w:val="0"/>
        <w:pageBreakBefore w:val="0"/>
        <w:widowControl w:val="0"/>
        <w:tabs>
          <w:tab w:val="left" w:pos="1635"/>
        </w:tabs>
        <w:kinsoku/>
        <w:wordWrap/>
        <w:overflowPunct/>
        <w:topLinePunct w:val="0"/>
        <w:bidi w:val="0"/>
        <w:spacing w:line="440" w:lineRule="exact"/>
        <w:ind w:firstLine="422" w:firstLineChars="200"/>
        <w:textAlignment w:val="auto"/>
        <w:rPr>
          <w:rFonts w:hint="eastAsia" w:ascii="宋体" w:hAnsi="宋体" w:eastAsia="宋体" w:cs="宋体"/>
          <w:b/>
          <w:color w:val="auto"/>
          <w:szCs w:val="21"/>
          <w:highlight w:val="none"/>
        </w:rPr>
      </w:pPr>
      <w:r>
        <w:rPr>
          <w:rFonts w:hint="eastAsia" w:ascii="宋体" w:hAnsi="宋体" w:cs="宋体"/>
          <w:b/>
          <w:color w:val="auto"/>
          <w:szCs w:val="21"/>
          <w:highlight w:val="none"/>
          <w:lang w:eastAsia="zh-CN"/>
        </w:rPr>
        <w:t>9.</w:t>
      </w:r>
      <w:r>
        <w:rPr>
          <w:rFonts w:hint="eastAsia" w:ascii="宋体" w:hAnsi="宋体" w:eastAsia="宋体" w:cs="宋体"/>
          <w:b/>
          <w:color w:val="auto"/>
          <w:szCs w:val="21"/>
          <w:highlight w:val="none"/>
        </w:rPr>
        <w:t>1关联供应商不得参加同一合同项下政府采购活动，否则响应文件将被视为无效：</w:t>
      </w:r>
    </w:p>
    <w:p w14:paraId="55334FB7">
      <w:pPr>
        <w:keepNext w:val="0"/>
        <w:keepLines w:val="0"/>
        <w:pageBreakBefore w:val="0"/>
        <w:widowControl w:val="0"/>
        <w:tabs>
          <w:tab w:val="left" w:pos="1635"/>
        </w:tabs>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（1）单位负责人为同一人或者存在直接控股、管理关系的，不得参加同一合同项下的政府采购活动。</w:t>
      </w:r>
    </w:p>
    <w:p w14:paraId="1FF697D3">
      <w:pPr>
        <w:keepNext w:val="0"/>
        <w:keepLines w:val="0"/>
        <w:pageBreakBefore w:val="0"/>
        <w:widowControl w:val="0"/>
        <w:tabs>
          <w:tab w:val="left" w:pos="1635"/>
        </w:tabs>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）为本采购项目提供整体设计、规范编制或者项目管理、监理、检测等服务的供应商，不得再参加本次采购活动。</w:t>
      </w:r>
    </w:p>
    <w:p w14:paraId="40A61ECB">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highlight w:val="none"/>
        </w:rPr>
      </w:pPr>
    </w:p>
    <w:p w14:paraId="23897837">
      <w:pPr>
        <w:pStyle w:val="3"/>
        <w:keepNext w:val="0"/>
        <w:keepLines w:val="0"/>
        <w:pageBreakBefore w:val="0"/>
        <w:widowControl w:val="0"/>
        <w:tabs>
          <w:tab w:val="left" w:pos="567"/>
        </w:tabs>
        <w:kinsoku/>
        <w:wordWrap/>
        <w:overflowPunct/>
        <w:topLinePunct w:val="0"/>
        <w:bidi w:val="0"/>
        <w:spacing w:line="440" w:lineRule="exact"/>
        <w:jc w:val="center"/>
        <w:textAlignment w:val="auto"/>
        <w:rPr>
          <w:rFonts w:hint="eastAsia" w:ascii="宋体" w:hAnsi="宋体" w:eastAsia="宋体" w:cs="宋体"/>
          <w:b/>
          <w:bCs w:val="0"/>
          <w:color w:val="auto"/>
          <w:szCs w:val="28"/>
          <w:highlight w:val="none"/>
        </w:rPr>
      </w:pPr>
      <w:bookmarkStart w:id="68" w:name="_Toc2062"/>
      <w:bookmarkStart w:id="69" w:name="_Toc22498"/>
      <w:bookmarkStart w:id="70" w:name="_Toc6291"/>
      <w:bookmarkStart w:id="71" w:name="_Toc29496"/>
      <w:r>
        <w:rPr>
          <w:rFonts w:hint="eastAsia" w:ascii="宋体" w:hAnsi="宋体" w:eastAsia="宋体" w:cs="宋体"/>
          <w:b/>
          <w:bCs w:val="0"/>
          <w:color w:val="auto"/>
          <w:szCs w:val="28"/>
          <w:highlight w:val="none"/>
        </w:rPr>
        <w:t>二、磋商文件</w:t>
      </w:r>
      <w:bookmarkEnd w:id="68"/>
      <w:bookmarkEnd w:id="69"/>
      <w:bookmarkEnd w:id="70"/>
      <w:bookmarkEnd w:id="71"/>
    </w:p>
    <w:p w14:paraId="59034907">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lang w:val="pt-BR"/>
        </w:rPr>
      </w:pPr>
      <w:bookmarkStart w:id="72" w:name="_Toc20057"/>
      <w:bookmarkStart w:id="73" w:name="_Toc18964"/>
      <w:r>
        <w:rPr>
          <w:rFonts w:hint="eastAsia" w:ascii="宋体" w:hAnsi="宋体" w:eastAsia="宋体" w:cs="宋体"/>
          <w:color w:val="auto"/>
          <w:sz w:val="21"/>
          <w:szCs w:val="21"/>
          <w:highlight w:val="none"/>
        </w:rPr>
        <w:t>磋商文件的构成</w:t>
      </w:r>
      <w:bookmarkEnd w:id="72"/>
      <w:bookmarkEnd w:id="73"/>
    </w:p>
    <w:p w14:paraId="75FFFD32">
      <w:pPr>
        <w:keepNext w:val="0"/>
        <w:keepLines w:val="0"/>
        <w:pageBreakBefore w:val="0"/>
        <w:widowControl w:val="0"/>
        <w:tabs>
          <w:tab w:val="left" w:pos="1635"/>
        </w:tabs>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（1）竞争性磋商公告；</w:t>
      </w:r>
    </w:p>
    <w:p w14:paraId="4B44CE61">
      <w:pPr>
        <w:keepNext w:val="0"/>
        <w:keepLines w:val="0"/>
        <w:pageBreakBefore w:val="0"/>
        <w:widowControl w:val="0"/>
        <w:tabs>
          <w:tab w:val="left" w:pos="1635"/>
        </w:tabs>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（2）供应商须知；</w:t>
      </w:r>
    </w:p>
    <w:p w14:paraId="5F2D14D7">
      <w:pPr>
        <w:keepNext w:val="0"/>
        <w:keepLines w:val="0"/>
        <w:pageBreakBefore w:val="0"/>
        <w:widowControl w:val="0"/>
        <w:tabs>
          <w:tab w:val="left" w:pos="1635"/>
        </w:tabs>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（3）工程量清单；</w:t>
      </w:r>
    </w:p>
    <w:p w14:paraId="1D231D36">
      <w:pPr>
        <w:keepNext w:val="0"/>
        <w:keepLines w:val="0"/>
        <w:pageBreakBefore w:val="0"/>
        <w:widowControl w:val="0"/>
        <w:tabs>
          <w:tab w:val="left" w:pos="1635"/>
        </w:tabs>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（4）评审办法；</w:t>
      </w:r>
    </w:p>
    <w:p w14:paraId="231DFAB6">
      <w:pPr>
        <w:keepNext w:val="0"/>
        <w:keepLines w:val="0"/>
        <w:pageBreakBefore w:val="0"/>
        <w:widowControl w:val="0"/>
        <w:tabs>
          <w:tab w:val="left" w:pos="1635"/>
        </w:tabs>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（5）采购合同（合同主要条款及格式）；</w:t>
      </w:r>
    </w:p>
    <w:p w14:paraId="64069202">
      <w:pPr>
        <w:keepNext w:val="0"/>
        <w:keepLines w:val="0"/>
        <w:pageBreakBefore w:val="0"/>
        <w:widowControl w:val="0"/>
        <w:tabs>
          <w:tab w:val="left" w:pos="1635"/>
        </w:tabs>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（6）响应文件（格式）</w:t>
      </w:r>
      <w:r>
        <w:rPr>
          <w:rFonts w:hint="eastAsia" w:ascii="宋体" w:hAnsi="宋体" w:eastAsia="宋体" w:cs="宋体"/>
          <w:color w:val="auto"/>
          <w:szCs w:val="21"/>
          <w:highlight w:val="none"/>
          <w:lang w:eastAsia="zh-CN"/>
        </w:rPr>
        <w:t>；</w:t>
      </w:r>
    </w:p>
    <w:p w14:paraId="55634BBF">
      <w:pPr>
        <w:keepNext w:val="0"/>
        <w:keepLines w:val="0"/>
        <w:pageBreakBefore w:val="0"/>
        <w:widowControl w:val="0"/>
        <w:tabs>
          <w:tab w:val="left" w:pos="1635"/>
        </w:tabs>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lang w:eastAsia="zh-CN"/>
        </w:rPr>
      </w:pPr>
      <w:bookmarkStart w:id="74" w:name="_Toc9103"/>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图纸。</w:t>
      </w:r>
    </w:p>
    <w:p w14:paraId="09C147B0">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rPr>
      </w:pPr>
      <w:bookmarkStart w:id="75" w:name="_Toc17932"/>
      <w:r>
        <w:rPr>
          <w:rFonts w:hint="eastAsia" w:ascii="宋体" w:hAnsi="宋体" w:eastAsia="宋体" w:cs="宋体"/>
          <w:color w:val="auto"/>
          <w:sz w:val="21"/>
          <w:szCs w:val="21"/>
          <w:highlight w:val="none"/>
        </w:rPr>
        <w:t>磋商文件的澄清与修改</w:t>
      </w:r>
      <w:bookmarkEnd w:id="74"/>
      <w:bookmarkEnd w:id="75"/>
    </w:p>
    <w:p w14:paraId="15F7C798">
      <w:pPr>
        <w:keepNext w:val="0"/>
        <w:keepLines w:val="0"/>
        <w:pageBreakBefore w:val="0"/>
        <w:widowControl w:val="0"/>
        <w:tabs>
          <w:tab w:val="left" w:pos="1635"/>
        </w:tabs>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11.</w:t>
      </w:r>
      <w:r>
        <w:rPr>
          <w:rFonts w:hint="eastAsia" w:ascii="宋体" w:hAnsi="宋体" w:eastAsia="宋体" w:cs="宋体"/>
          <w:color w:val="auto"/>
          <w:szCs w:val="21"/>
          <w:highlight w:val="none"/>
        </w:rPr>
        <w:t>1 提交首次响应文件截止之日前，采购代理机构可以对已发出的磋商文件进行必要澄清、答复、修改或补充，澄清或者修改的内容可能影响响应文件编制的，澄清或者修改的内容作为磋商文件的组成部分。采购代理机构应当在提交首次响应文件递交截止时间</w:t>
      </w:r>
      <w:r>
        <w:rPr>
          <w:rFonts w:hint="eastAsia" w:ascii="宋体" w:hAnsi="宋体" w:eastAsia="宋体" w:cs="宋体"/>
          <w:b/>
          <w:bCs/>
          <w:color w:val="auto"/>
          <w:szCs w:val="21"/>
          <w:highlight w:val="none"/>
        </w:rPr>
        <w:t>五日</w:t>
      </w:r>
      <w:r>
        <w:rPr>
          <w:rFonts w:hint="eastAsia" w:ascii="宋体" w:hAnsi="宋体" w:eastAsia="宋体" w:cs="宋体"/>
          <w:color w:val="auto"/>
          <w:szCs w:val="21"/>
          <w:highlight w:val="none"/>
        </w:rPr>
        <w:t>前在本项目竞争性磋商公告发布的同一媒体上发布更正公告，不足</w:t>
      </w:r>
      <w:r>
        <w:rPr>
          <w:rFonts w:hint="eastAsia" w:ascii="宋体" w:hAnsi="宋体" w:eastAsia="宋体" w:cs="宋体"/>
          <w:b/>
          <w:bCs/>
          <w:color w:val="auto"/>
          <w:szCs w:val="21"/>
          <w:highlight w:val="none"/>
        </w:rPr>
        <w:t>五日</w:t>
      </w:r>
      <w:r>
        <w:rPr>
          <w:rFonts w:hint="eastAsia" w:ascii="宋体" w:hAnsi="宋体" w:eastAsia="宋体" w:cs="宋体"/>
          <w:color w:val="auto"/>
          <w:szCs w:val="21"/>
          <w:highlight w:val="none"/>
        </w:rPr>
        <w:t>的，应当顺延首次响应文件递交截止时间。</w:t>
      </w:r>
    </w:p>
    <w:p w14:paraId="714E66C4">
      <w:pPr>
        <w:keepNext w:val="0"/>
        <w:keepLines w:val="0"/>
        <w:pageBreakBefore w:val="0"/>
        <w:widowControl w:val="0"/>
        <w:tabs>
          <w:tab w:val="left" w:pos="1635"/>
        </w:tabs>
        <w:kinsoku/>
        <w:wordWrap/>
        <w:overflowPunct/>
        <w:topLinePunct w:val="0"/>
        <w:bidi w:val="0"/>
        <w:spacing w:line="440" w:lineRule="exact"/>
        <w:ind w:firstLine="420" w:firstLineChars="200"/>
        <w:textAlignment w:val="auto"/>
        <w:rPr>
          <w:rFonts w:hint="eastAsia" w:ascii="宋体" w:hAnsi="宋体" w:eastAsia="宋体" w:cs="宋体"/>
          <w:b/>
          <w:bCs/>
          <w:color w:val="auto"/>
          <w:szCs w:val="21"/>
          <w:highlight w:val="none"/>
        </w:rPr>
      </w:pPr>
      <w:r>
        <w:rPr>
          <w:rFonts w:hint="eastAsia" w:ascii="宋体" w:hAnsi="宋体" w:cs="宋体"/>
          <w:color w:val="auto"/>
          <w:szCs w:val="21"/>
          <w:highlight w:val="none"/>
          <w:lang w:eastAsia="zh-CN"/>
        </w:rPr>
        <w:t>11.</w:t>
      </w:r>
      <w:r>
        <w:rPr>
          <w:rFonts w:hint="eastAsia" w:ascii="宋体" w:hAnsi="宋体" w:eastAsia="宋体" w:cs="宋体"/>
          <w:color w:val="auto"/>
          <w:szCs w:val="21"/>
          <w:highlight w:val="none"/>
        </w:rPr>
        <w:t>2</w:t>
      </w:r>
      <w:r>
        <w:rPr>
          <w:rFonts w:hint="eastAsia" w:ascii="宋体" w:hAnsi="宋体" w:eastAsia="宋体" w:cs="宋体"/>
          <w:b/>
          <w:bCs/>
          <w:color w:val="auto"/>
          <w:szCs w:val="21"/>
          <w:highlight w:val="none"/>
        </w:rPr>
        <w:t>供应商应实时关注本项目信息公告发布媒体相关网站了解澄清、修改等与项目有关的内容，</w:t>
      </w:r>
    </w:p>
    <w:p w14:paraId="6B84927B">
      <w:pPr>
        <w:keepNext w:val="0"/>
        <w:keepLines w:val="0"/>
        <w:pageBreakBefore w:val="0"/>
        <w:widowControl w:val="0"/>
        <w:kinsoku/>
        <w:wordWrap/>
        <w:overflowPunct/>
        <w:topLinePunct w:val="0"/>
        <w:bidi w:val="0"/>
        <w:spacing w:line="440" w:lineRule="exact"/>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如因供应商未及时登录相关网站了解澄清、修改等与项目有关的内容，从而导致响应文件无效的，由供应商自行承担责任。</w:t>
      </w:r>
    </w:p>
    <w:p w14:paraId="6E83B761">
      <w:pPr>
        <w:keepNext w:val="0"/>
        <w:keepLines w:val="0"/>
        <w:pageBreakBefore w:val="0"/>
        <w:widowControl w:val="0"/>
        <w:tabs>
          <w:tab w:val="left" w:pos="1635"/>
        </w:tabs>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11.</w:t>
      </w:r>
      <w:r>
        <w:rPr>
          <w:rFonts w:hint="eastAsia" w:ascii="宋体" w:hAnsi="宋体" w:eastAsia="宋体" w:cs="宋体"/>
          <w:color w:val="auto"/>
          <w:szCs w:val="21"/>
          <w:highlight w:val="none"/>
        </w:rPr>
        <w:t>3澄清或者修改的内容为磋商文件的组成部分。当澄清或者修改通知就同一内容的表述不一致时，以最后发出的文件为准。</w:t>
      </w:r>
    </w:p>
    <w:p w14:paraId="60FE4ACF">
      <w:pPr>
        <w:keepNext w:val="0"/>
        <w:keepLines w:val="0"/>
        <w:pageBreakBefore w:val="0"/>
        <w:widowControl w:val="0"/>
        <w:tabs>
          <w:tab w:val="left" w:pos="1635"/>
        </w:tabs>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11.</w:t>
      </w:r>
      <w:r>
        <w:rPr>
          <w:rFonts w:hint="eastAsia" w:ascii="宋体" w:hAnsi="宋体" w:eastAsia="宋体" w:cs="宋体"/>
          <w:color w:val="auto"/>
          <w:szCs w:val="21"/>
          <w:highlight w:val="none"/>
        </w:rPr>
        <w:t>4 磋商文件的澄清或者修改都应该通过本项目采购代理机构以法定形式发布，采购人非通过本机构，不得擅自澄清或者修改磋商文件。</w:t>
      </w:r>
    </w:p>
    <w:p w14:paraId="34240C1A">
      <w:pPr>
        <w:keepNext w:val="0"/>
        <w:keepLines w:val="0"/>
        <w:pageBreakBefore w:val="0"/>
        <w:widowControl w:val="0"/>
        <w:tabs>
          <w:tab w:val="left" w:pos="1635"/>
        </w:tabs>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11.</w:t>
      </w:r>
      <w:r>
        <w:rPr>
          <w:rFonts w:hint="eastAsia" w:ascii="宋体" w:hAnsi="宋体" w:eastAsia="宋体" w:cs="宋体"/>
          <w:color w:val="auto"/>
          <w:szCs w:val="21"/>
          <w:highlight w:val="none"/>
        </w:rPr>
        <w:t>5采购单位可以视采购具体情况，延长响应文件截止时间和磋商时间，在本项目竞争性磋商公告发布的同一媒体上发布变更公告。</w:t>
      </w:r>
    </w:p>
    <w:p w14:paraId="4562E601">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highlight w:val="none"/>
        </w:rPr>
      </w:pPr>
    </w:p>
    <w:p w14:paraId="2F38C340">
      <w:pPr>
        <w:pStyle w:val="3"/>
        <w:keepNext w:val="0"/>
        <w:keepLines w:val="0"/>
        <w:pageBreakBefore w:val="0"/>
        <w:widowControl w:val="0"/>
        <w:tabs>
          <w:tab w:val="left" w:pos="567"/>
        </w:tabs>
        <w:kinsoku/>
        <w:wordWrap/>
        <w:overflowPunct/>
        <w:topLinePunct w:val="0"/>
        <w:bidi w:val="0"/>
        <w:spacing w:line="440" w:lineRule="exact"/>
        <w:jc w:val="center"/>
        <w:textAlignment w:val="auto"/>
        <w:rPr>
          <w:rFonts w:hint="eastAsia" w:ascii="宋体" w:hAnsi="宋体" w:eastAsia="宋体" w:cs="宋体"/>
          <w:b/>
          <w:bCs w:val="0"/>
          <w:color w:val="auto"/>
          <w:szCs w:val="28"/>
          <w:highlight w:val="none"/>
        </w:rPr>
      </w:pPr>
      <w:bookmarkStart w:id="76" w:name="_Toc20830"/>
      <w:bookmarkStart w:id="77" w:name="_Toc17820"/>
      <w:bookmarkStart w:id="78" w:name="_Toc23267"/>
      <w:bookmarkStart w:id="79" w:name="_Toc15892"/>
      <w:r>
        <w:rPr>
          <w:rFonts w:hint="eastAsia" w:ascii="宋体" w:hAnsi="宋体" w:eastAsia="宋体" w:cs="宋体"/>
          <w:b/>
          <w:bCs w:val="0"/>
          <w:color w:val="auto"/>
          <w:szCs w:val="28"/>
          <w:highlight w:val="none"/>
        </w:rPr>
        <w:t>三、竞争性磋商响应文件的编制</w:t>
      </w:r>
      <w:bookmarkEnd w:id="76"/>
      <w:bookmarkEnd w:id="77"/>
      <w:bookmarkEnd w:id="78"/>
      <w:bookmarkEnd w:id="79"/>
    </w:p>
    <w:p w14:paraId="4BA53953">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b/>
          <w:color w:val="auto"/>
          <w:sz w:val="21"/>
          <w:szCs w:val="21"/>
          <w:highlight w:val="none"/>
          <w:lang w:val="en-US" w:eastAsia="zh-CN"/>
        </w:rPr>
      </w:pPr>
      <w:bookmarkStart w:id="80" w:name="_Toc19747"/>
      <w:r>
        <w:rPr>
          <w:rFonts w:hint="eastAsia" w:ascii="宋体" w:hAnsi="宋体" w:eastAsia="宋体" w:cs="宋体"/>
          <w:b/>
          <w:color w:val="auto"/>
          <w:sz w:val="21"/>
          <w:szCs w:val="21"/>
          <w:highlight w:val="none"/>
          <w:lang w:val="en-US" w:eastAsia="zh-CN"/>
        </w:rPr>
        <w:t>竞争性磋商响应文件编制基本要求</w:t>
      </w:r>
      <w:bookmarkEnd w:id="80"/>
    </w:p>
    <w:p w14:paraId="3FC12A2D">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Cs w:val="21"/>
          <w:highlight w:val="none"/>
          <w:lang w:val="en-US" w:eastAsia="zh-CN"/>
        </w:rPr>
      </w:pPr>
      <w:r>
        <w:rPr>
          <w:rFonts w:hint="eastAsia" w:ascii="宋体" w:hAnsi="宋体" w:cs="宋体"/>
          <w:b/>
          <w:bCs/>
          <w:color w:val="auto"/>
          <w:szCs w:val="21"/>
          <w:highlight w:val="none"/>
          <w:lang w:val="en-US" w:eastAsia="zh-CN"/>
        </w:rPr>
        <w:t>12.</w:t>
      </w:r>
      <w:r>
        <w:rPr>
          <w:rFonts w:hint="eastAsia" w:ascii="宋体" w:hAnsi="宋体" w:eastAsia="宋体" w:cs="宋体"/>
          <w:b/>
          <w:bCs/>
          <w:color w:val="auto"/>
          <w:szCs w:val="21"/>
          <w:highlight w:val="none"/>
          <w:lang w:val="en-US" w:eastAsia="zh-CN"/>
        </w:rPr>
        <w:t>1 本项目实行电子</w:t>
      </w:r>
      <w:r>
        <w:rPr>
          <w:rFonts w:hint="eastAsia" w:ascii="宋体" w:hAnsi="宋体" w:cs="宋体"/>
          <w:b/>
          <w:bCs/>
          <w:color w:val="auto"/>
          <w:szCs w:val="21"/>
          <w:highlight w:val="none"/>
          <w:lang w:val="en-US" w:eastAsia="zh-CN"/>
        </w:rPr>
        <w:t>响应</w:t>
      </w:r>
      <w:r>
        <w:rPr>
          <w:rFonts w:hint="eastAsia" w:ascii="宋体" w:hAnsi="宋体" w:eastAsia="宋体" w:cs="宋体"/>
          <w:b/>
          <w:bCs/>
          <w:color w:val="auto"/>
          <w:szCs w:val="21"/>
          <w:highlight w:val="none"/>
          <w:lang w:val="en-US" w:eastAsia="zh-CN"/>
        </w:rPr>
        <w:t>，供应商应准备电子磋商响应文件：</w:t>
      </w:r>
    </w:p>
    <w:p w14:paraId="768BD346">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Cs w:val="21"/>
          <w:highlight w:val="none"/>
          <w:lang w:val="en-US" w:eastAsia="zh-CN"/>
        </w:rPr>
      </w:pPr>
      <w:r>
        <w:rPr>
          <w:rFonts w:hint="eastAsia" w:ascii="宋体" w:hAnsi="宋体" w:cs="宋体"/>
          <w:b/>
          <w:bCs/>
          <w:color w:val="auto"/>
          <w:szCs w:val="21"/>
          <w:highlight w:val="none"/>
          <w:lang w:val="en-US" w:eastAsia="zh-CN"/>
        </w:rPr>
        <w:t>12.</w:t>
      </w:r>
      <w:r>
        <w:rPr>
          <w:rFonts w:hint="eastAsia" w:ascii="宋体" w:hAnsi="宋体" w:eastAsia="宋体" w:cs="宋体"/>
          <w:b/>
          <w:bCs/>
          <w:color w:val="auto"/>
          <w:szCs w:val="21"/>
          <w:highlight w:val="none"/>
          <w:lang w:val="en-US" w:eastAsia="zh-CN"/>
        </w:rPr>
        <w:t>1.1 电子响应文件按</w:t>
      </w:r>
      <w:r>
        <w:rPr>
          <w:rFonts w:hint="eastAsia" w:ascii="宋体" w:hAnsi="宋体" w:cs="宋体"/>
          <w:b/>
          <w:bCs/>
          <w:color w:val="auto"/>
          <w:szCs w:val="21"/>
          <w:highlight w:val="none"/>
          <w:lang w:val="en-US" w:eastAsia="zh-CN"/>
        </w:rPr>
        <w:t>广西政府采购云平台</w:t>
      </w:r>
      <w:r>
        <w:rPr>
          <w:rFonts w:hint="eastAsia" w:ascii="宋体" w:hAnsi="宋体" w:eastAsia="宋体" w:cs="宋体"/>
          <w:b/>
          <w:bCs/>
          <w:color w:val="auto"/>
          <w:szCs w:val="21"/>
          <w:highlight w:val="none"/>
          <w:lang w:val="en-US" w:eastAsia="zh-CN"/>
        </w:rPr>
        <w:t>要求及本磋商文件要求制作、加密并递交。具体操作流程可参考《政府采购项目电子交易管理操作指南-供应商》，指南可在 “http</w:t>
      </w:r>
      <w:r>
        <w:rPr>
          <w:rFonts w:hint="eastAsia" w:ascii="宋体" w:hAnsi="宋体" w:cs="宋体"/>
          <w:b/>
          <w:bCs/>
          <w:color w:val="auto"/>
          <w:szCs w:val="21"/>
          <w:highlight w:val="none"/>
          <w:lang w:val="en-US" w:eastAsia="zh-CN"/>
        </w:rPr>
        <w:t>：</w:t>
      </w:r>
      <w:r>
        <w:rPr>
          <w:rFonts w:hint="eastAsia" w:ascii="宋体" w:hAnsi="宋体" w:eastAsia="宋体" w:cs="宋体"/>
          <w:b/>
          <w:bCs/>
          <w:color w:val="auto"/>
          <w:szCs w:val="21"/>
          <w:highlight w:val="none"/>
          <w:lang w:val="en-US" w:eastAsia="zh-CN"/>
        </w:rPr>
        <w:t xml:space="preserve">//www.ccgp-guangxi.gov.cn/PurchaseAdvisory/ImportantNotice/2866753.html”下载。 </w:t>
      </w:r>
    </w:p>
    <w:p w14:paraId="17E70323">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cs="宋体"/>
          <w:b/>
          <w:bCs/>
          <w:color w:val="auto"/>
          <w:szCs w:val="21"/>
          <w:highlight w:val="none"/>
          <w:lang w:eastAsia="zh-CN"/>
        </w:rPr>
        <w:t>12.</w:t>
      </w:r>
      <w:r>
        <w:rPr>
          <w:rFonts w:hint="eastAsia" w:ascii="宋体" w:hAnsi="宋体" w:eastAsia="宋体" w:cs="宋体"/>
          <w:b/>
          <w:bCs/>
          <w:color w:val="auto"/>
          <w:szCs w:val="21"/>
          <w:highlight w:val="none"/>
          <w:lang w:val="en-US" w:eastAsia="zh-CN"/>
        </w:rPr>
        <w:t>2</w:t>
      </w:r>
      <w:r>
        <w:rPr>
          <w:rFonts w:hint="eastAsia" w:ascii="宋体" w:hAnsi="宋体" w:eastAsia="宋体" w:cs="宋体"/>
          <w:b/>
          <w:bCs/>
          <w:color w:val="auto"/>
          <w:szCs w:val="21"/>
          <w:highlight w:val="none"/>
        </w:rPr>
        <w:t>竞争性磋商响应文件（以下简称响应文件）的组成及要求</w:t>
      </w:r>
    </w:p>
    <w:p w14:paraId="060FD1CE">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cs="宋体"/>
          <w:b/>
          <w:bCs/>
          <w:color w:val="auto"/>
          <w:szCs w:val="21"/>
          <w:highlight w:val="none"/>
          <w:lang w:eastAsia="zh-CN"/>
        </w:rPr>
        <w:t>12.</w:t>
      </w:r>
      <w:r>
        <w:rPr>
          <w:rFonts w:hint="eastAsia" w:ascii="宋体" w:hAnsi="宋体" w:eastAsia="宋体" w:cs="宋体"/>
          <w:b/>
          <w:bCs/>
          <w:color w:val="auto"/>
          <w:szCs w:val="21"/>
          <w:highlight w:val="none"/>
          <w:lang w:val="en-US" w:eastAsia="zh-CN"/>
        </w:rPr>
        <w:t>2.1</w:t>
      </w:r>
      <w:r>
        <w:rPr>
          <w:rFonts w:hint="eastAsia" w:ascii="宋体" w:hAnsi="宋体" w:eastAsia="宋体" w:cs="宋体"/>
          <w:b/>
          <w:bCs/>
          <w:color w:val="auto"/>
          <w:szCs w:val="21"/>
          <w:highlight w:val="none"/>
        </w:rPr>
        <w:t>响应文件组成【格式见第六章“响应文件（格式）”】</w:t>
      </w:r>
    </w:p>
    <w:p w14:paraId="796231B0">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color w:val="auto"/>
          <w:szCs w:val="21"/>
          <w:highlight w:val="none"/>
        </w:rPr>
      </w:pPr>
      <w:r>
        <w:rPr>
          <w:rFonts w:hint="eastAsia" w:ascii="宋体" w:hAnsi="宋体" w:cs="宋体"/>
          <w:b/>
          <w:bCs/>
          <w:color w:val="auto"/>
          <w:szCs w:val="21"/>
          <w:highlight w:val="none"/>
          <w:lang w:eastAsia="zh-CN"/>
        </w:rPr>
        <w:t>12.</w:t>
      </w:r>
      <w:r>
        <w:rPr>
          <w:rFonts w:hint="eastAsia" w:ascii="宋体" w:hAnsi="宋体" w:eastAsia="宋体" w:cs="宋体"/>
          <w:b/>
          <w:bCs/>
          <w:color w:val="auto"/>
          <w:szCs w:val="21"/>
          <w:highlight w:val="none"/>
          <w:lang w:val="en-US" w:eastAsia="zh-CN"/>
        </w:rPr>
        <w:t>2</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1.1</w:t>
      </w:r>
      <w:r>
        <w:rPr>
          <w:rFonts w:hint="eastAsia" w:ascii="宋体" w:hAnsi="宋体" w:eastAsia="宋体" w:cs="宋体"/>
          <w:b/>
          <w:bCs/>
          <w:color w:val="auto"/>
          <w:szCs w:val="21"/>
          <w:highlight w:val="none"/>
        </w:rPr>
        <w:t>资格性响应证明材料：</w:t>
      </w:r>
    </w:p>
    <w:p w14:paraId="0C4D27E2">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（1）供应商相应的法定代表人、负责人、自然人身份证正反两面复印件</w:t>
      </w:r>
      <w:r>
        <w:rPr>
          <w:rFonts w:hint="eastAsia" w:ascii="宋体" w:hAnsi="宋体" w:eastAsia="宋体" w:cs="宋体"/>
          <w:b/>
          <w:bCs/>
          <w:color w:val="auto"/>
          <w:szCs w:val="21"/>
          <w:highlight w:val="none"/>
        </w:rPr>
        <w:t>（必须提供）</w:t>
      </w:r>
      <w:r>
        <w:rPr>
          <w:rFonts w:hint="eastAsia" w:ascii="宋体" w:hAnsi="宋体" w:eastAsia="宋体" w:cs="宋体"/>
          <w:color w:val="auto"/>
          <w:szCs w:val="21"/>
          <w:highlight w:val="none"/>
        </w:rPr>
        <w:t>；</w:t>
      </w:r>
    </w:p>
    <w:p w14:paraId="6671C11A">
      <w:pPr>
        <w:keepNext w:val="0"/>
        <w:keepLines w:val="0"/>
        <w:pageBreakBefore w:val="0"/>
        <w:widowControl w:val="0"/>
        <w:tabs>
          <w:tab w:val="left" w:pos="1635"/>
        </w:tabs>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（2）供应商的授权委托书原件、委托代理人身份证正反面复印件以及由县级以上（含县级）社会养老保险经办机构出具的供应商为委托代理人交纳的响应文件递交截止时间前</w:t>
      </w:r>
      <w:r>
        <w:rPr>
          <w:rFonts w:hint="eastAsia" w:ascii="宋体" w:hAnsi="宋体" w:cs="宋体"/>
          <w:color w:val="auto"/>
          <w:szCs w:val="21"/>
          <w:highlight w:val="none"/>
          <w:lang w:eastAsia="zh-CN"/>
        </w:rPr>
        <w:t>半年内任意一个月</w:t>
      </w:r>
      <w:r>
        <w:rPr>
          <w:rFonts w:hint="eastAsia" w:ascii="宋体" w:hAnsi="宋体" w:eastAsia="宋体" w:cs="宋体"/>
          <w:color w:val="auto"/>
          <w:szCs w:val="21"/>
          <w:highlight w:val="none"/>
        </w:rPr>
        <w:t>社保证明复印件</w:t>
      </w:r>
      <w:r>
        <w:rPr>
          <w:rFonts w:hint="eastAsia" w:ascii="宋体" w:hAnsi="宋体" w:eastAsia="宋体" w:cs="宋体"/>
          <w:color w:val="auto"/>
          <w:szCs w:val="21"/>
          <w:highlight w:val="none"/>
          <w:lang w:eastAsia="zh-CN"/>
        </w:rPr>
        <w:t>；</w:t>
      </w:r>
      <w:r>
        <w:rPr>
          <w:rFonts w:hint="eastAsia" w:ascii="宋体" w:hAnsi="宋体" w:eastAsia="宋体" w:cs="宋体"/>
          <w:b/>
          <w:bCs/>
          <w:color w:val="auto"/>
          <w:szCs w:val="21"/>
          <w:highlight w:val="none"/>
        </w:rPr>
        <w:t>（委托代理时必须提供）</w:t>
      </w:r>
      <w:r>
        <w:rPr>
          <w:rFonts w:hint="eastAsia" w:ascii="宋体" w:hAnsi="宋体" w:eastAsia="宋体" w:cs="宋体"/>
          <w:b/>
          <w:bCs/>
          <w:color w:val="auto"/>
          <w:szCs w:val="21"/>
          <w:highlight w:val="none"/>
          <w:lang w:eastAsia="zh-CN"/>
        </w:rPr>
        <w:t>。</w:t>
      </w:r>
      <w:r>
        <w:rPr>
          <w:rFonts w:hint="eastAsia" w:ascii="宋体" w:hAnsi="宋体" w:eastAsia="宋体" w:cs="宋体"/>
          <w:color w:val="auto"/>
          <w:szCs w:val="21"/>
          <w:highlight w:val="none"/>
        </w:rPr>
        <w:t>除供应商为以下三种情形的：</w:t>
      </w:r>
    </w:p>
    <w:p w14:paraId="2B0B371A">
      <w:pPr>
        <w:keepNext w:val="0"/>
        <w:keepLines w:val="0"/>
        <w:pageBreakBefore w:val="0"/>
        <w:widowControl w:val="0"/>
        <w:kinsoku/>
        <w:wordWrap/>
        <w:overflowPunct/>
        <w:topLinePunct w:val="0"/>
        <w:bidi w:val="0"/>
        <w:spacing w:line="440" w:lineRule="exact"/>
        <w:ind w:firstLine="630" w:firstLineChars="3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①如供应商为截标时间前60日以内成立的公司，可以提供供应商与委托代理人签订的劳动合同复印件代替社保证明复印件；</w:t>
      </w:r>
    </w:p>
    <w:p w14:paraId="67949BE1">
      <w:pPr>
        <w:keepNext w:val="0"/>
        <w:keepLines w:val="0"/>
        <w:pageBreakBefore w:val="0"/>
        <w:widowControl w:val="0"/>
        <w:kinsoku/>
        <w:wordWrap/>
        <w:overflowPunct/>
        <w:topLinePunct w:val="0"/>
        <w:bidi w:val="0"/>
        <w:spacing w:line="440" w:lineRule="exact"/>
        <w:ind w:firstLine="630" w:firstLineChars="3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②如供应商为事业单位，可以提供事业单位机构编制管理证复印件或事业单位机构为其发放工资的工资条复印件代替社保证明复印件；</w:t>
      </w:r>
    </w:p>
    <w:p w14:paraId="35773D01">
      <w:pPr>
        <w:keepNext w:val="0"/>
        <w:keepLines w:val="0"/>
        <w:pageBreakBefore w:val="0"/>
        <w:widowControl w:val="0"/>
        <w:kinsoku/>
        <w:wordWrap/>
        <w:overflowPunct/>
        <w:topLinePunct w:val="0"/>
        <w:bidi w:val="0"/>
        <w:spacing w:line="440" w:lineRule="exact"/>
        <w:ind w:firstLine="630" w:firstLineChars="3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③如委托代理人为免缴纳社保人员，提供免缴纳社保的证明材料复印件及供应商与委托代理人签订的劳动合同复印件代替社保证明复印件。</w:t>
      </w:r>
    </w:p>
    <w:p w14:paraId="2C7FA01B">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【属自然人的应提供由县级以上（含县级）社会养老保险经办机构出具的自然人本人及委托代理人所交纳的响应文件递交截止时间前</w:t>
      </w:r>
      <w:r>
        <w:rPr>
          <w:rFonts w:hint="eastAsia" w:ascii="宋体" w:hAnsi="宋体" w:cs="宋体"/>
          <w:b/>
          <w:bCs/>
          <w:color w:val="auto"/>
          <w:szCs w:val="21"/>
          <w:highlight w:val="none"/>
          <w:lang w:eastAsia="zh-CN"/>
        </w:rPr>
        <w:t>半年内任意一个月</w:t>
      </w:r>
      <w:r>
        <w:rPr>
          <w:rFonts w:hint="eastAsia" w:ascii="宋体" w:hAnsi="宋体" w:eastAsia="宋体" w:cs="宋体"/>
          <w:b/>
          <w:bCs/>
          <w:color w:val="auto"/>
          <w:szCs w:val="21"/>
          <w:highlight w:val="none"/>
        </w:rPr>
        <w:t>社保证明复印件</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（委托代理时必须提供）</w:t>
      </w:r>
    </w:p>
    <w:p w14:paraId="6CCD5D83">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（3）供应商参加政府采购活动前3年内在经营活动中没有重大违法记录及有关信用信息的书面声明</w:t>
      </w:r>
      <w:r>
        <w:rPr>
          <w:rFonts w:hint="eastAsia" w:ascii="宋体" w:hAnsi="宋体" w:eastAsia="宋体" w:cs="宋体"/>
          <w:b/>
          <w:bCs/>
          <w:color w:val="auto"/>
          <w:szCs w:val="21"/>
          <w:highlight w:val="none"/>
        </w:rPr>
        <w:t>（必须提供）；</w:t>
      </w:r>
    </w:p>
    <w:p w14:paraId="2D3F67F0">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供应商的法人或者其他组织营业执照等证明文件复印件</w:t>
      </w:r>
      <w:r>
        <w:rPr>
          <w:rFonts w:hint="eastAsia" w:ascii="宋体" w:hAnsi="宋体" w:eastAsia="宋体" w:cs="宋体"/>
          <w:b/>
          <w:bCs/>
          <w:color w:val="auto"/>
          <w:szCs w:val="21"/>
          <w:highlight w:val="none"/>
        </w:rPr>
        <w:t>（必须提供，自然人除外）；</w:t>
      </w:r>
    </w:p>
    <w:p w14:paraId="6956B52E">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注：①法人包括企业法人、机关法人、事业单位法人和社会团体法人；其他组织主要包括合伙企业、非企业专业服务机构、个体工商户、农村承包经营户。②如供应商为企业（包括合伙企业），应提供工商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731B6F43">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lang w:val="en-US" w:eastAsia="zh-CN"/>
        </w:rPr>
        <w:t>（5）</w:t>
      </w:r>
      <w:r>
        <w:rPr>
          <w:rFonts w:hint="eastAsia" w:ascii="宋体" w:hAnsi="宋体" w:eastAsia="宋体" w:cs="宋体"/>
          <w:bCs/>
          <w:color w:val="auto"/>
          <w:kern w:val="0"/>
          <w:szCs w:val="21"/>
          <w:highlight w:val="none"/>
          <w:lang w:val="en-US" w:eastAsia="zh-CN"/>
        </w:rPr>
        <w:t>供应商有效的资质证书复印件及供应商有效的安全生产许可证书复印件</w:t>
      </w:r>
      <w:r>
        <w:rPr>
          <w:rFonts w:hint="eastAsia" w:ascii="宋体" w:hAnsi="宋体" w:eastAsia="宋体" w:cs="宋体"/>
          <w:b/>
          <w:bCs w:val="0"/>
          <w:color w:val="auto"/>
          <w:kern w:val="0"/>
          <w:szCs w:val="21"/>
          <w:highlight w:val="none"/>
          <w:lang w:val="en-US" w:eastAsia="zh-CN"/>
        </w:rPr>
        <w:t>（必须提供）；</w:t>
      </w:r>
    </w:p>
    <w:p w14:paraId="3FAEF45E">
      <w:pPr>
        <w:keepNext w:val="0"/>
        <w:keepLines w:val="0"/>
        <w:pageBreakBefore w:val="0"/>
        <w:widowControl w:val="0"/>
        <w:kinsoku/>
        <w:wordWrap/>
        <w:overflowPunct/>
        <w:topLinePunct w:val="0"/>
        <w:bidi w:val="0"/>
        <w:spacing w:line="440" w:lineRule="exact"/>
        <w:ind w:firstLine="420" w:firstLineChars="200"/>
        <w:textAlignment w:val="auto"/>
        <w:rPr>
          <w:rFonts w:hint="default" w:ascii="宋体" w:hAnsi="宋体" w:cs="宋体"/>
          <w:bCs/>
          <w:color w:val="auto"/>
          <w:kern w:val="0"/>
          <w:sz w:val="21"/>
          <w:szCs w:val="21"/>
          <w:highlight w:val="none"/>
          <w:lang w:val="en-US" w:eastAsia="zh-CN" w:bidi="ar-SA"/>
        </w:rPr>
      </w:pPr>
      <w:r>
        <w:rPr>
          <w:rFonts w:hint="eastAsia" w:ascii="宋体" w:hAnsi="宋体" w:cs="宋体"/>
          <w:bCs/>
          <w:color w:val="auto"/>
          <w:kern w:val="0"/>
          <w:sz w:val="21"/>
          <w:szCs w:val="21"/>
          <w:highlight w:val="none"/>
          <w:lang w:val="en-US" w:eastAsia="zh-CN" w:bidi="ar-SA"/>
        </w:rPr>
        <w:t>（6）</w:t>
      </w:r>
      <w:r>
        <w:rPr>
          <w:rFonts w:hint="eastAsia" w:ascii="宋体" w:hAnsi="宋体" w:cs="宋体"/>
          <w:bCs/>
          <w:color w:val="auto"/>
          <w:sz w:val="21"/>
          <w:szCs w:val="21"/>
          <w:highlight w:val="none"/>
          <w:lang w:eastAsia="zh-CN"/>
        </w:rPr>
        <w:t>拟派项目负责人的注册二级建造师证书复印件、安全生产考核B证证书复印件及项目经理无在建工程承诺书</w:t>
      </w:r>
      <w:r>
        <w:rPr>
          <w:rFonts w:hint="eastAsia" w:ascii="宋体" w:hAnsi="宋体" w:cs="宋体"/>
          <w:bCs/>
          <w:color w:val="auto"/>
          <w:kern w:val="0"/>
          <w:szCs w:val="21"/>
          <w:highlight w:val="none"/>
          <w:lang w:val="en-US" w:eastAsia="zh-CN"/>
        </w:rPr>
        <w:t>（格式自拟）</w:t>
      </w:r>
      <w:r>
        <w:rPr>
          <w:rFonts w:hint="eastAsia" w:ascii="宋体" w:hAnsi="宋体" w:eastAsia="宋体" w:cs="宋体"/>
          <w:b/>
          <w:bCs w:val="0"/>
          <w:color w:val="auto"/>
          <w:kern w:val="0"/>
          <w:szCs w:val="21"/>
          <w:highlight w:val="none"/>
          <w:lang w:val="en-US" w:eastAsia="zh-CN"/>
        </w:rPr>
        <w:t>（必须提供）</w:t>
      </w:r>
      <w:r>
        <w:rPr>
          <w:rFonts w:hint="eastAsia" w:ascii="宋体" w:hAnsi="宋体" w:cs="宋体"/>
          <w:b/>
          <w:bCs w:val="0"/>
          <w:color w:val="auto"/>
          <w:kern w:val="0"/>
          <w:szCs w:val="21"/>
          <w:highlight w:val="none"/>
          <w:lang w:val="en-US" w:eastAsia="zh-CN"/>
        </w:rPr>
        <w:t>；</w:t>
      </w:r>
    </w:p>
    <w:p w14:paraId="5E1DDC86">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lang w:val="en-US" w:eastAsia="zh-CN"/>
        </w:rPr>
        <w:t>7</w:t>
      </w:r>
      <w:r>
        <w:rPr>
          <w:rFonts w:hint="eastAsia" w:ascii="宋体" w:hAnsi="宋体" w:cs="宋体"/>
          <w:bCs/>
          <w:color w:val="auto"/>
          <w:kern w:val="0"/>
          <w:szCs w:val="21"/>
          <w:highlight w:val="none"/>
          <w:lang w:eastAsia="zh-CN"/>
        </w:rPr>
        <w:t>）供应商2025年度财务状况报告</w:t>
      </w:r>
      <w:r>
        <w:rPr>
          <w:rFonts w:hint="eastAsia" w:ascii="宋体" w:hAnsi="宋体" w:eastAsia="宋体" w:cs="宋体"/>
          <w:b/>
          <w:bCs/>
          <w:color w:val="auto"/>
          <w:sz w:val="21"/>
          <w:szCs w:val="21"/>
          <w:highlight w:val="none"/>
          <w:lang w:val="en-US" w:eastAsia="zh-CN"/>
        </w:rPr>
        <w:t>（必须提供</w:t>
      </w:r>
      <w:r>
        <w:rPr>
          <w:rFonts w:hint="eastAsia" w:ascii="宋体" w:hAnsi="宋体" w:cs="宋体"/>
          <w:b/>
          <w:bCs/>
          <w:color w:val="auto"/>
          <w:szCs w:val="21"/>
          <w:highlight w:val="none"/>
          <w:lang w:eastAsia="zh-CN"/>
        </w:rPr>
        <w:t>，</w:t>
      </w:r>
      <w:r>
        <w:rPr>
          <w:rFonts w:ascii="宋体" w:hAnsi="宋体" w:cs="宋体"/>
          <w:b/>
          <w:bCs/>
          <w:color w:val="auto"/>
          <w:szCs w:val="21"/>
          <w:highlight w:val="none"/>
        </w:rPr>
        <w:t>可</w:t>
      </w:r>
      <w:r>
        <w:rPr>
          <w:rFonts w:hint="eastAsia" w:ascii="宋体" w:hAnsi="宋体" w:cs="宋体"/>
          <w:b/>
          <w:bCs/>
          <w:color w:val="auto"/>
          <w:szCs w:val="21"/>
          <w:highlight w:val="none"/>
          <w:lang w:eastAsia="zh-CN"/>
        </w:rPr>
        <w:t>以是磋商供应商</w:t>
      </w:r>
      <w:r>
        <w:rPr>
          <w:rFonts w:ascii="宋体" w:hAnsi="宋体" w:cs="宋体"/>
          <w:b/>
          <w:bCs/>
          <w:color w:val="auto"/>
          <w:szCs w:val="21"/>
          <w:highlight w:val="none"/>
        </w:rPr>
        <w:t>自行编制也可</w:t>
      </w:r>
      <w:r>
        <w:rPr>
          <w:rFonts w:hint="eastAsia" w:ascii="宋体" w:hAnsi="宋体" w:cs="宋体"/>
          <w:b/>
          <w:bCs/>
          <w:color w:val="auto"/>
          <w:szCs w:val="21"/>
          <w:highlight w:val="none"/>
          <w:lang w:eastAsia="zh-CN"/>
        </w:rPr>
        <w:t>是</w:t>
      </w:r>
      <w:r>
        <w:rPr>
          <w:rFonts w:ascii="宋体" w:hAnsi="宋体" w:cs="宋体"/>
          <w:b/>
          <w:bCs/>
          <w:color w:val="auto"/>
          <w:szCs w:val="21"/>
          <w:highlight w:val="none"/>
        </w:rPr>
        <w:t>通过</w:t>
      </w:r>
      <w:r>
        <w:rPr>
          <w:rFonts w:hint="eastAsia" w:ascii="宋体" w:hAnsi="宋体" w:cs="宋体"/>
          <w:b/>
          <w:bCs/>
          <w:color w:val="auto"/>
          <w:szCs w:val="21"/>
          <w:highlight w:val="none"/>
          <w:lang w:eastAsia="zh-CN"/>
        </w:rPr>
        <w:t>第三方</w:t>
      </w:r>
      <w:r>
        <w:rPr>
          <w:rFonts w:ascii="宋体" w:hAnsi="宋体" w:cs="宋体"/>
          <w:b/>
          <w:bCs/>
          <w:color w:val="auto"/>
          <w:szCs w:val="21"/>
          <w:highlight w:val="none"/>
        </w:rPr>
        <w:t>审计公司编制，如为自行编制至少须提供现金流量表、负债表及利润表</w:t>
      </w:r>
      <w:r>
        <w:rPr>
          <w:rFonts w:hint="eastAsia" w:ascii="宋体" w:hAnsi="宋体" w:eastAsia="宋体" w:cs="宋体"/>
          <w:b/>
          <w:bCs/>
          <w:color w:val="auto"/>
          <w:sz w:val="21"/>
          <w:szCs w:val="21"/>
          <w:highlight w:val="none"/>
          <w:lang w:val="en-US" w:eastAsia="zh-CN"/>
        </w:rPr>
        <w:t>）</w:t>
      </w:r>
      <w:r>
        <w:rPr>
          <w:rFonts w:hint="eastAsia" w:ascii="宋体" w:hAnsi="宋体" w:eastAsia="宋体" w:cs="宋体"/>
          <w:b/>
          <w:bCs w:val="0"/>
          <w:color w:val="auto"/>
          <w:kern w:val="0"/>
          <w:szCs w:val="21"/>
          <w:highlight w:val="none"/>
          <w:lang w:val="en-US" w:eastAsia="zh-CN"/>
        </w:rPr>
        <w:t>；</w:t>
      </w:r>
    </w:p>
    <w:p w14:paraId="6906433C">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lang w:val="en-US" w:eastAsia="zh-CN"/>
        </w:rPr>
        <w:t>8</w:t>
      </w:r>
      <w:r>
        <w:rPr>
          <w:rFonts w:hint="eastAsia" w:ascii="宋体" w:hAnsi="宋体" w:cs="宋体"/>
          <w:bCs/>
          <w:color w:val="auto"/>
          <w:kern w:val="0"/>
          <w:szCs w:val="21"/>
          <w:highlight w:val="none"/>
          <w:lang w:eastAsia="zh-CN"/>
        </w:rPr>
        <w:t>）</w:t>
      </w:r>
      <w:r>
        <w:rPr>
          <w:rFonts w:hint="eastAsia" w:ascii="宋体" w:hAnsi="宋体" w:cs="宋体"/>
          <w:color w:val="auto"/>
          <w:szCs w:val="21"/>
          <w:highlight w:val="none"/>
          <w:lang w:eastAsia="zh-CN"/>
        </w:rPr>
        <w:t>供应商近半年内任意一个月依法缴纳税收的证明材料[增值税缴纳发票(税收完税证明)或企业所得税完税证明或税务部门出具的免税证明]复印件</w:t>
      </w:r>
      <w:r>
        <w:rPr>
          <w:rFonts w:hint="eastAsia" w:ascii="宋体" w:hAnsi="宋体" w:eastAsia="宋体" w:cs="宋体"/>
          <w:color w:val="auto"/>
          <w:szCs w:val="21"/>
          <w:highlight w:val="none"/>
        </w:rPr>
        <w:t>(税收完税证明)或企业所得税完税证明或税务部门出具的免税证明</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复印件</w:t>
      </w:r>
      <w:r>
        <w:rPr>
          <w:rFonts w:hint="eastAsia" w:ascii="宋体" w:hAnsi="宋体" w:eastAsia="宋体" w:cs="宋体"/>
          <w:b/>
          <w:bCs/>
          <w:color w:val="auto"/>
          <w:szCs w:val="21"/>
          <w:highlight w:val="none"/>
        </w:rPr>
        <w:t>（必须提供）</w:t>
      </w:r>
      <w:r>
        <w:rPr>
          <w:rFonts w:hint="eastAsia" w:ascii="宋体" w:hAnsi="宋体" w:eastAsia="宋体" w:cs="宋体"/>
          <w:color w:val="auto"/>
          <w:szCs w:val="21"/>
          <w:highlight w:val="none"/>
        </w:rPr>
        <w:t>；</w:t>
      </w:r>
    </w:p>
    <w:p w14:paraId="36059CF3">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9</w:t>
      </w:r>
      <w:r>
        <w:rPr>
          <w:rFonts w:hint="eastAsia" w:ascii="宋体" w:hAnsi="宋体" w:cs="宋体"/>
          <w:bCs/>
          <w:color w:val="auto"/>
          <w:kern w:val="0"/>
          <w:szCs w:val="21"/>
          <w:highlight w:val="none"/>
          <w:lang w:eastAsia="zh-CN"/>
        </w:rPr>
        <w:t>）</w:t>
      </w:r>
      <w:r>
        <w:rPr>
          <w:rFonts w:hint="eastAsia" w:ascii="宋体" w:hAnsi="宋体" w:eastAsia="宋体" w:cs="宋体"/>
          <w:bCs/>
          <w:color w:val="auto"/>
          <w:kern w:val="0"/>
          <w:sz w:val="21"/>
          <w:szCs w:val="21"/>
          <w:highlight w:val="none"/>
          <w:lang w:val="en-US" w:eastAsia="zh-CN" w:bidi="ar-SA"/>
        </w:rPr>
        <w:t>《中小企业声明函》或《残疾人福利性单位声明函》或省级以上监狱管理局、戒毒管理局（含新疆生产建设兵团）出具的属于监狱企业的证明文件复印件</w:t>
      </w:r>
      <w:r>
        <w:rPr>
          <w:rFonts w:hint="eastAsia" w:ascii="宋体" w:hAnsi="宋体" w:eastAsia="宋体" w:cs="宋体"/>
          <w:b/>
          <w:bCs w:val="0"/>
          <w:color w:val="auto"/>
          <w:kern w:val="0"/>
          <w:sz w:val="21"/>
          <w:szCs w:val="21"/>
          <w:highlight w:val="none"/>
          <w:lang w:val="en-US" w:eastAsia="zh-CN" w:bidi="ar-SA"/>
        </w:rPr>
        <w:t>（必须提供其中一项）</w:t>
      </w:r>
      <w:r>
        <w:rPr>
          <w:rFonts w:hint="eastAsia" w:ascii="宋体" w:hAnsi="宋体" w:eastAsia="宋体" w:cs="宋体"/>
          <w:b/>
          <w:bCs/>
          <w:color w:val="auto"/>
          <w:szCs w:val="21"/>
          <w:highlight w:val="none"/>
        </w:rPr>
        <w:t>。</w:t>
      </w:r>
    </w:p>
    <w:p w14:paraId="2A17A3BE">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color w:val="auto"/>
          <w:highlight w:val="none"/>
        </w:rPr>
      </w:pPr>
      <w:r>
        <w:rPr>
          <w:rFonts w:hint="eastAsia" w:ascii="宋体" w:hAnsi="宋体" w:cs="宋体"/>
          <w:b/>
          <w:bCs/>
          <w:color w:val="auto"/>
          <w:szCs w:val="21"/>
          <w:highlight w:val="none"/>
          <w:lang w:eastAsia="zh-CN"/>
        </w:rPr>
        <w:t>12.</w:t>
      </w:r>
      <w:r>
        <w:rPr>
          <w:rFonts w:hint="eastAsia" w:ascii="宋体" w:hAnsi="宋体" w:eastAsia="宋体" w:cs="宋体"/>
          <w:b/>
          <w:bCs/>
          <w:color w:val="auto"/>
          <w:szCs w:val="21"/>
          <w:highlight w:val="none"/>
          <w:lang w:val="en-US" w:eastAsia="zh-CN"/>
        </w:rPr>
        <w:t>2</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1.2</w:t>
      </w:r>
      <w:r>
        <w:rPr>
          <w:rFonts w:hint="eastAsia" w:ascii="宋体" w:hAnsi="宋体" w:eastAsia="宋体" w:cs="宋体"/>
          <w:b/>
          <w:bCs/>
          <w:color w:val="auto"/>
          <w:szCs w:val="21"/>
          <w:highlight w:val="none"/>
        </w:rPr>
        <w:t>符合性响应证明材料：</w:t>
      </w:r>
    </w:p>
    <w:p w14:paraId="599B8BB1">
      <w:pPr>
        <w:keepNext w:val="0"/>
        <w:keepLines w:val="0"/>
        <w:pageBreakBefore w:val="0"/>
        <w:widowControl w:val="0"/>
        <w:kinsoku/>
        <w:wordWrap/>
        <w:overflowPunct/>
        <w:topLinePunct w:val="0"/>
        <w:bidi w:val="0"/>
        <w:spacing w:line="440" w:lineRule="exact"/>
        <w:ind w:firstLine="420" w:firstLineChars="200"/>
        <w:textAlignment w:val="auto"/>
        <w:rPr>
          <w:rFonts w:hint="default" w:ascii="宋体" w:hAnsi="宋体" w:eastAsia="宋体" w:cs="宋体"/>
          <w:color w:val="auto"/>
          <w:szCs w:val="21"/>
          <w:highlight w:val="none"/>
          <w:lang w:val="en-US" w:eastAsia="zh-CN"/>
        </w:rPr>
      </w:pPr>
      <w:bookmarkStart w:id="81" w:name="_Toc16312"/>
      <w:bookmarkStart w:id="82" w:name="_Toc2809"/>
      <w:bookmarkStart w:id="83" w:name="_Toc28932"/>
      <w:r>
        <w:rPr>
          <w:rFonts w:hint="eastAsia" w:ascii="宋体" w:hAnsi="宋体" w:cs="宋体"/>
          <w:color w:val="auto"/>
          <w:szCs w:val="21"/>
          <w:highlight w:val="none"/>
          <w:lang w:val="en-US" w:eastAsia="zh-CN"/>
        </w:rPr>
        <w:t>（一）报价文件</w:t>
      </w:r>
    </w:p>
    <w:p w14:paraId="72AAE525">
      <w:pPr>
        <w:keepNext w:val="0"/>
        <w:keepLines w:val="0"/>
        <w:pageBreakBefore w:val="0"/>
        <w:widowControl w:val="0"/>
        <w:kinsoku/>
        <w:wordWrap/>
        <w:overflowPunct/>
        <w:topLinePunct w:val="0"/>
        <w:bidi w:val="0"/>
        <w:spacing w:line="440" w:lineRule="exact"/>
        <w:ind w:firstLine="630" w:firstLineChars="3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rPr>
        <w:t>（1）响应函（格式见附件）</w:t>
      </w:r>
      <w:r>
        <w:rPr>
          <w:rFonts w:hint="eastAsia" w:ascii="宋体" w:hAnsi="宋体" w:eastAsia="宋体" w:cs="宋体"/>
          <w:b/>
          <w:bCs/>
          <w:color w:val="auto"/>
          <w:szCs w:val="21"/>
          <w:highlight w:val="none"/>
          <w:lang w:val="en-US"/>
        </w:rPr>
        <w:t>（必须提供）</w:t>
      </w:r>
      <w:bookmarkEnd w:id="81"/>
      <w:r>
        <w:rPr>
          <w:rFonts w:hint="eastAsia" w:ascii="宋体" w:hAnsi="宋体" w:eastAsia="宋体" w:cs="宋体"/>
          <w:color w:val="auto"/>
          <w:szCs w:val="21"/>
          <w:highlight w:val="none"/>
          <w:lang w:val="en-US" w:eastAsia="zh-CN"/>
        </w:rPr>
        <w:t>；</w:t>
      </w:r>
      <w:bookmarkEnd w:id="82"/>
      <w:bookmarkEnd w:id="83"/>
    </w:p>
    <w:p w14:paraId="371BD75E">
      <w:pPr>
        <w:keepNext w:val="0"/>
        <w:keepLines w:val="0"/>
        <w:pageBreakBefore w:val="0"/>
        <w:widowControl w:val="0"/>
        <w:kinsoku/>
        <w:wordWrap/>
        <w:overflowPunct/>
        <w:topLinePunct w:val="0"/>
        <w:bidi w:val="0"/>
        <w:spacing w:line="440" w:lineRule="exact"/>
        <w:ind w:firstLine="630" w:firstLineChars="3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w:t>
      </w:r>
      <w:r>
        <w:rPr>
          <w:rFonts w:hint="eastAsia" w:ascii="宋体" w:hAnsi="宋体" w:cs="宋体"/>
          <w:bCs/>
          <w:color w:val="auto"/>
          <w:kern w:val="0"/>
          <w:szCs w:val="21"/>
          <w:highlight w:val="none"/>
        </w:rPr>
        <w:t>工程报价汇总表</w:t>
      </w:r>
      <w:r>
        <w:rPr>
          <w:rFonts w:hint="eastAsia" w:ascii="宋体" w:hAnsi="宋体" w:eastAsia="宋体" w:cs="宋体"/>
          <w:color w:val="auto"/>
          <w:szCs w:val="21"/>
          <w:highlight w:val="none"/>
        </w:rPr>
        <w:t>（格式见附件）</w:t>
      </w:r>
      <w:r>
        <w:rPr>
          <w:rFonts w:hint="eastAsia" w:ascii="宋体" w:hAnsi="宋体" w:eastAsia="宋体" w:cs="宋体"/>
          <w:b/>
          <w:bCs/>
          <w:color w:val="auto"/>
          <w:szCs w:val="21"/>
          <w:highlight w:val="none"/>
        </w:rPr>
        <w:t>（必须提供）</w:t>
      </w:r>
      <w:r>
        <w:rPr>
          <w:rFonts w:hint="eastAsia" w:ascii="宋体" w:hAnsi="宋体" w:eastAsia="宋体" w:cs="宋体"/>
          <w:color w:val="auto"/>
          <w:szCs w:val="21"/>
          <w:highlight w:val="none"/>
        </w:rPr>
        <w:t>；</w:t>
      </w:r>
    </w:p>
    <w:p w14:paraId="036AABB2">
      <w:pPr>
        <w:keepNext w:val="0"/>
        <w:keepLines w:val="0"/>
        <w:pageBreakBefore w:val="0"/>
        <w:widowControl w:val="0"/>
        <w:kinsoku/>
        <w:wordWrap/>
        <w:overflowPunct/>
        <w:topLinePunct w:val="0"/>
        <w:bidi w:val="0"/>
        <w:spacing w:line="440" w:lineRule="exact"/>
        <w:ind w:firstLine="630" w:firstLineChars="300"/>
        <w:textAlignment w:val="auto"/>
        <w:rPr>
          <w:rFonts w:hint="eastAsia" w:ascii="宋体" w:hAnsi="宋体" w:eastAsia="宋体" w:cs="宋体"/>
          <w:bCs/>
          <w:color w:val="auto"/>
          <w:kern w:val="0"/>
          <w:szCs w:val="21"/>
          <w:highlight w:val="none"/>
          <w:lang w:eastAsia="zh-CN"/>
        </w:rPr>
      </w:pPr>
      <w:r>
        <w:rPr>
          <w:rFonts w:hint="eastAsia" w:ascii="宋体" w:hAnsi="宋体" w:eastAsia="宋体" w:cs="宋体"/>
          <w:bCs/>
          <w:color w:val="auto"/>
          <w:kern w:val="0"/>
          <w:szCs w:val="21"/>
          <w:highlight w:val="none"/>
          <w:lang w:eastAsia="zh-CN"/>
        </w:rPr>
        <w:t>（</w:t>
      </w:r>
      <w:r>
        <w:rPr>
          <w:rFonts w:hint="eastAsia" w:ascii="宋体" w:hAnsi="宋体" w:eastAsia="宋体" w:cs="宋体"/>
          <w:bCs/>
          <w:color w:val="auto"/>
          <w:kern w:val="0"/>
          <w:szCs w:val="21"/>
          <w:highlight w:val="none"/>
          <w:lang w:val="en-US" w:eastAsia="zh-CN"/>
        </w:rPr>
        <w:t>3</w:t>
      </w:r>
      <w:r>
        <w:rPr>
          <w:rFonts w:hint="eastAsia" w:ascii="宋体" w:hAnsi="宋体" w:eastAsia="宋体" w:cs="宋体"/>
          <w:bCs/>
          <w:color w:val="auto"/>
          <w:kern w:val="0"/>
          <w:szCs w:val="21"/>
          <w:highlight w:val="none"/>
          <w:lang w:eastAsia="zh-CN"/>
        </w:rPr>
        <w:t>）</w:t>
      </w:r>
      <w:r>
        <w:rPr>
          <w:rFonts w:hint="eastAsia" w:ascii="宋体" w:hAnsi="宋体" w:eastAsia="宋体" w:cs="宋体"/>
          <w:bCs/>
          <w:color w:val="auto"/>
          <w:kern w:val="0"/>
          <w:szCs w:val="21"/>
          <w:highlight w:val="none"/>
        </w:rPr>
        <w:t>已标价工程量清单</w:t>
      </w:r>
      <w:r>
        <w:rPr>
          <w:rFonts w:hint="eastAsia" w:ascii="宋体" w:hAnsi="宋体" w:eastAsia="宋体" w:cs="宋体"/>
          <w:b/>
          <w:bCs w:val="0"/>
          <w:color w:val="auto"/>
          <w:kern w:val="0"/>
          <w:szCs w:val="21"/>
          <w:highlight w:val="none"/>
        </w:rPr>
        <w:t>（必须提供）</w:t>
      </w:r>
      <w:r>
        <w:rPr>
          <w:rFonts w:hint="eastAsia" w:ascii="宋体" w:hAnsi="宋体" w:eastAsia="宋体" w:cs="宋体"/>
          <w:b w:val="0"/>
          <w:bCs/>
          <w:color w:val="auto"/>
          <w:kern w:val="0"/>
          <w:szCs w:val="21"/>
          <w:highlight w:val="none"/>
          <w:lang w:eastAsia="zh-CN"/>
        </w:rPr>
        <w:t>；</w:t>
      </w:r>
    </w:p>
    <w:p w14:paraId="7639E864">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（二）商务文件</w:t>
      </w:r>
    </w:p>
    <w:p w14:paraId="19C2D4B7">
      <w:pPr>
        <w:keepNext w:val="0"/>
        <w:keepLines w:val="0"/>
        <w:pageBreakBefore w:val="0"/>
        <w:widowControl w:val="0"/>
        <w:kinsoku/>
        <w:wordWrap/>
        <w:overflowPunct/>
        <w:topLinePunct w:val="0"/>
        <w:bidi w:val="0"/>
        <w:spacing w:line="440" w:lineRule="exact"/>
        <w:ind w:firstLine="630" w:firstLineChars="3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w:t>
      </w:r>
      <w:r>
        <w:rPr>
          <w:rFonts w:hint="eastAsia" w:ascii="宋体" w:hAnsi="宋体" w:cs="宋体"/>
          <w:color w:val="auto"/>
          <w:szCs w:val="21"/>
          <w:highlight w:val="none"/>
        </w:rPr>
        <w:t>拟投入本工程主要施工管理人员表</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必须提供)</w:t>
      </w:r>
      <w:r>
        <w:rPr>
          <w:rFonts w:hint="eastAsia" w:ascii="宋体" w:hAnsi="宋体" w:eastAsia="宋体" w:cs="宋体"/>
          <w:color w:val="auto"/>
          <w:szCs w:val="21"/>
          <w:highlight w:val="none"/>
        </w:rPr>
        <w:t>；</w:t>
      </w:r>
    </w:p>
    <w:p w14:paraId="7C9DB1C0">
      <w:pPr>
        <w:keepNext w:val="0"/>
        <w:keepLines w:val="0"/>
        <w:pageBreakBefore w:val="0"/>
        <w:widowControl w:val="0"/>
        <w:kinsoku/>
        <w:wordWrap/>
        <w:overflowPunct/>
        <w:topLinePunct w:val="0"/>
        <w:bidi w:val="0"/>
        <w:spacing w:line="440" w:lineRule="exact"/>
        <w:ind w:firstLine="843" w:firstLineChars="4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并一起提供由县级以上（含县级）社会养老保险经办机构出具的供应商为项目实施人员交纳的响应文件递交截止时间前</w:t>
      </w:r>
      <w:r>
        <w:rPr>
          <w:rFonts w:hint="eastAsia" w:ascii="宋体" w:hAnsi="宋体" w:cs="宋体"/>
          <w:b/>
          <w:bCs/>
          <w:color w:val="auto"/>
          <w:szCs w:val="21"/>
          <w:highlight w:val="none"/>
          <w:lang w:eastAsia="zh-CN"/>
        </w:rPr>
        <w:t>半年内任意一个月</w:t>
      </w:r>
      <w:r>
        <w:rPr>
          <w:rFonts w:hint="eastAsia" w:ascii="宋体" w:hAnsi="宋体" w:eastAsia="宋体" w:cs="宋体"/>
          <w:b/>
          <w:bCs/>
          <w:color w:val="auto"/>
          <w:szCs w:val="21"/>
          <w:highlight w:val="none"/>
        </w:rPr>
        <w:t>社保证明复印件</w:t>
      </w:r>
      <w:r>
        <w:rPr>
          <w:rFonts w:hint="eastAsia" w:ascii="宋体" w:hAnsi="宋体" w:eastAsia="宋体" w:cs="宋体"/>
          <w:color w:val="auto"/>
          <w:szCs w:val="21"/>
          <w:highlight w:val="none"/>
        </w:rPr>
        <w:t>。</w:t>
      </w:r>
    </w:p>
    <w:p w14:paraId="04509983">
      <w:pPr>
        <w:keepNext w:val="0"/>
        <w:keepLines w:val="0"/>
        <w:pageBreakBefore w:val="0"/>
        <w:widowControl w:val="0"/>
        <w:kinsoku/>
        <w:wordWrap/>
        <w:overflowPunct/>
        <w:topLinePunct w:val="0"/>
        <w:bidi w:val="0"/>
        <w:spacing w:line="440" w:lineRule="exact"/>
        <w:ind w:firstLine="630" w:firstLineChars="3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rPr>
        <w:t>担任</w:t>
      </w:r>
      <w:r>
        <w:rPr>
          <w:rFonts w:hint="eastAsia" w:ascii="宋体" w:hAnsi="宋体" w:cs="宋体"/>
          <w:bCs/>
          <w:color w:val="auto"/>
          <w:kern w:val="0"/>
          <w:szCs w:val="21"/>
          <w:highlight w:val="none"/>
        </w:rPr>
        <w:t>本工程的项目经理简历表（应附相关证书、身份证复印件）</w:t>
      </w:r>
      <w:r>
        <w:rPr>
          <w:rFonts w:hint="eastAsia" w:ascii="宋体" w:hAnsi="宋体" w:eastAsia="宋体" w:cs="宋体"/>
          <w:b/>
          <w:bCs/>
          <w:color w:val="auto"/>
          <w:szCs w:val="21"/>
          <w:highlight w:val="none"/>
        </w:rPr>
        <w:t>（必须提供）</w:t>
      </w:r>
      <w:r>
        <w:rPr>
          <w:rFonts w:hint="eastAsia" w:ascii="宋体" w:hAnsi="宋体" w:eastAsia="宋体" w:cs="宋体"/>
          <w:b w:val="0"/>
          <w:bCs w:val="0"/>
          <w:color w:val="auto"/>
          <w:szCs w:val="21"/>
          <w:highlight w:val="none"/>
        </w:rPr>
        <w:t>；</w:t>
      </w:r>
    </w:p>
    <w:p w14:paraId="36E747E9">
      <w:pPr>
        <w:keepNext w:val="0"/>
        <w:keepLines w:val="0"/>
        <w:pageBreakBefore w:val="0"/>
        <w:widowControl w:val="0"/>
        <w:kinsoku/>
        <w:wordWrap/>
        <w:overflowPunct/>
        <w:topLinePunct w:val="0"/>
        <w:bidi w:val="0"/>
        <w:spacing w:line="440" w:lineRule="exact"/>
        <w:ind w:firstLine="630" w:firstLineChars="300"/>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rPr>
        <w:t>施工</w:t>
      </w:r>
      <w:r>
        <w:rPr>
          <w:rFonts w:hint="eastAsia" w:ascii="宋体" w:hAnsi="宋体" w:cs="宋体"/>
          <w:bCs/>
          <w:color w:val="auto"/>
          <w:kern w:val="0"/>
          <w:szCs w:val="21"/>
          <w:highlight w:val="none"/>
        </w:rPr>
        <w:t>组织设计方案</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eastAsia="zh-CN"/>
        </w:rPr>
        <w:t>必须提供</w:t>
      </w:r>
      <w:r>
        <w:rPr>
          <w:rFonts w:hint="eastAsia" w:ascii="宋体" w:hAnsi="宋体" w:eastAsia="宋体" w:cs="宋体"/>
          <w:b/>
          <w:bCs/>
          <w:color w:val="auto"/>
          <w:sz w:val="21"/>
          <w:szCs w:val="21"/>
          <w:highlight w:val="none"/>
        </w:rPr>
        <w:t>）</w:t>
      </w:r>
      <w:r>
        <w:rPr>
          <w:rFonts w:hint="eastAsia" w:ascii="宋体" w:hAnsi="宋体" w:eastAsia="宋体" w:cs="宋体"/>
          <w:b w:val="0"/>
          <w:bCs w:val="0"/>
          <w:color w:val="auto"/>
          <w:sz w:val="21"/>
          <w:szCs w:val="21"/>
          <w:highlight w:val="none"/>
          <w:lang w:eastAsia="zh-CN"/>
        </w:rPr>
        <w:t>；</w:t>
      </w:r>
    </w:p>
    <w:p w14:paraId="32DEA278">
      <w:pPr>
        <w:keepNext w:val="0"/>
        <w:keepLines w:val="0"/>
        <w:pageBreakBefore w:val="0"/>
        <w:widowControl w:val="0"/>
        <w:kinsoku/>
        <w:wordWrap/>
        <w:overflowPunct/>
        <w:topLinePunct w:val="0"/>
        <w:bidi w:val="0"/>
        <w:spacing w:line="440" w:lineRule="exact"/>
        <w:ind w:firstLine="630" w:firstLineChars="3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建设</w:t>
      </w:r>
      <w:r>
        <w:rPr>
          <w:rFonts w:hint="eastAsia" w:ascii="宋体" w:hAnsi="宋体" w:eastAsia="宋体" w:cs="宋体"/>
          <w:bCs/>
          <w:color w:val="auto"/>
          <w:kern w:val="0"/>
          <w:szCs w:val="21"/>
          <w:highlight w:val="none"/>
          <w:lang w:eastAsia="zh-CN"/>
        </w:rPr>
        <w:t>工程项目管理承诺书</w:t>
      </w:r>
      <w:r>
        <w:rPr>
          <w:rFonts w:hint="eastAsia" w:ascii="宋体" w:hAnsi="宋体" w:eastAsia="宋体" w:cs="宋体"/>
          <w:b/>
          <w:bCs/>
          <w:color w:val="auto"/>
          <w:sz w:val="21"/>
          <w:szCs w:val="21"/>
          <w:highlight w:val="none"/>
          <w:lang w:eastAsia="zh-CN"/>
        </w:rPr>
        <w:t>（格式见附件，必须提供）</w:t>
      </w:r>
      <w:r>
        <w:rPr>
          <w:rFonts w:hint="eastAsia" w:ascii="宋体" w:hAnsi="宋体" w:eastAsia="宋体" w:cs="宋体"/>
          <w:color w:val="auto"/>
          <w:szCs w:val="21"/>
          <w:highlight w:val="none"/>
          <w:lang w:eastAsia="zh-CN"/>
        </w:rPr>
        <w:t>；</w:t>
      </w:r>
    </w:p>
    <w:p w14:paraId="2DA35FE3">
      <w:pPr>
        <w:keepNext w:val="0"/>
        <w:keepLines w:val="0"/>
        <w:pageBreakBefore w:val="0"/>
        <w:widowControl w:val="0"/>
        <w:kinsoku/>
        <w:wordWrap/>
        <w:overflowPunct/>
        <w:topLinePunct w:val="0"/>
        <w:bidi w:val="0"/>
        <w:spacing w:line="440" w:lineRule="exact"/>
        <w:ind w:firstLine="630" w:firstLineChars="300"/>
        <w:textAlignment w:val="auto"/>
        <w:rPr>
          <w:rFonts w:hint="eastAsia" w:ascii="宋体" w:hAnsi="宋体" w:eastAsia="宋体" w:cs="宋体"/>
          <w:bCs/>
          <w:color w:val="auto"/>
          <w:kern w:val="0"/>
          <w:szCs w:val="21"/>
          <w:highlight w:val="none"/>
          <w:lang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w:t>
      </w:r>
      <w:r>
        <w:rPr>
          <w:rFonts w:hint="eastAsia" w:ascii="宋体" w:hAnsi="宋体" w:cs="宋体"/>
          <w:bCs/>
          <w:color w:val="auto"/>
          <w:kern w:val="0"/>
          <w:szCs w:val="21"/>
          <w:highlight w:val="none"/>
          <w:lang w:eastAsia="zh-CN"/>
        </w:rPr>
        <w:t>渣土清运承诺书</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eastAsia="zh-CN"/>
        </w:rPr>
        <w:t>必须提供</w:t>
      </w:r>
      <w:r>
        <w:rPr>
          <w:rFonts w:hint="eastAsia" w:ascii="宋体" w:hAnsi="宋体" w:eastAsia="宋体" w:cs="宋体"/>
          <w:b/>
          <w:bCs/>
          <w:color w:val="auto"/>
          <w:sz w:val="21"/>
          <w:szCs w:val="21"/>
          <w:highlight w:val="none"/>
        </w:rPr>
        <w:t>）</w:t>
      </w:r>
      <w:r>
        <w:rPr>
          <w:rFonts w:hint="eastAsia" w:ascii="宋体" w:hAnsi="宋体" w:eastAsia="宋体" w:cs="宋体"/>
          <w:bCs/>
          <w:color w:val="auto"/>
          <w:kern w:val="0"/>
          <w:szCs w:val="21"/>
          <w:highlight w:val="none"/>
          <w:lang w:eastAsia="zh-CN"/>
        </w:rPr>
        <w:t>。</w:t>
      </w:r>
    </w:p>
    <w:p w14:paraId="2CE27ABD">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cs="宋体"/>
          <w:b/>
          <w:bCs/>
          <w:color w:val="auto"/>
          <w:szCs w:val="21"/>
          <w:highlight w:val="none"/>
          <w:lang w:eastAsia="zh-CN"/>
        </w:rPr>
        <w:t>12.</w:t>
      </w:r>
      <w:r>
        <w:rPr>
          <w:rFonts w:hint="eastAsia" w:ascii="宋体" w:hAnsi="宋体" w:eastAsia="宋体" w:cs="宋体"/>
          <w:b/>
          <w:bCs/>
          <w:color w:val="auto"/>
          <w:szCs w:val="21"/>
          <w:highlight w:val="none"/>
          <w:lang w:val="en-US" w:eastAsia="zh-CN"/>
        </w:rPr>
        <w:t>2</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1.3</w:t>
      </w:r>
      <w:r>
        <w:rPr>
          <w:rFonts w:hint="eastAsia" w:ascii="宋体" w:hAnsi="宋体" w:eastAsia="宋体" w:cs="宋体"/>
          <w:b/>
          <w:bCs/>
          <w:color w:val="auto"/>
          <w:szCs w:val="21"/>
          <w:highlight w:val="none"/>
        </w:rPr>
        <w:t>其他有效证明材料</w:t>
      </w:r>
    </w:p>
    <w:p w14:paraId="111875A5">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lang w:eastAsia="zh-CN"/>
        </w:rPr>
        <w:t>供应商</w:t>
      </w:r>
      <w:r>
        <w:rPr>
          <w:rFonts w:hint="eastAsia" w:ascii="宋体" w:hAnsi="宋体" w:cs="宋体"/>
          <w:color w:val="auto"/>
          <w:szCs w:val="21"/>
          <w:highlight w:val="none"/>
          <w:lang w:val="en-US" w:eastAsia="zh-CN"/>
        </w:rPr>
        <w:t>2023年1月1日</w:t>
      </w:r>
      <w:r>
        <w:rPr>
          <w:rFonts w:hint="eastAsia" w:ascii="宋体" w:hAnsi="宋体" w:eastAsia="宋体" w:cs="宋体"/>
          <w:color w:val="auto"/>
          <w:szCs w:val="21"/>
          <w:highlight w:val="none"/>
          <w:lang w:eastAsia="zh-CN"/>
        </w:rPr>
        <w:t>以来具有</w:t>
      </w:r>
      <w:r>
        <w:rPr>
          <w:rFonts w:hint="eastAsia" w:ascii="宋体" w:hAnsi="宋体" w:eastAsia="宋体" w:cs="宋体"/>
          <w:color w:val="auto"/>
          <w:szCs w:val="21"/>
          <w:highlight w:val="none"/>
          <w:lang w:val="en-US" w:eastAsia="zh-CN"/>
        </w:rPr>
        <w:t>类似工程</w:t>
      </w:r>
      <w:r>
        <w:rPr>
          <w:rFonts w:hint="eastAsia" w:ascii="宋体" w:hAnsi="宋体" w:eastAsia="宋体" w:cs="宋体"/>
          <w:color w:val="auto"/>
          <w:szCs w:val="21"/>
          <w:highlight w:val="none"/>
        </w:rPr>
        <w:t>业绩（无不良记录，以</w:t>
      </w:r>
      <w:r>
        <w:rPr>
          <w:rFonts w:hint="eastAsia" w:ascii="宋体" w:hAnsi="宋体" w:eastAsia="宋体" w:cs="宋体"/>
          <w:color w:val="auto"/>
          <w:szCs w:val="21"/>
          <w:highlight w:val="none"/>
          <w:lang w:eastAsia="zh-CN"/>
        </w:rPr>
        <w:t>中标（成交）通知书或签订的合同或竣工证明文件</w:t>
      </w:r>
      <w:r>
        <w:rPr>
          <w:rFonts w:hint="eastAsia" w:ascii="宋体" w:hAnsi="宋体" w:eastAsia="宋体" w:cs="宋体"/>
          <w:color w:val="auto"/>
          <w:szCs w:val="21"/>
          <w:highlight w:val="none"/>
        </w:rPr>
        <w:t>为准，并能清晰反映</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的名称、</w:t>
      </w:r>
      <w:r>
        <w:rPr>
          <w:rFonts w:hint="eastAsia" w:ascii="宋体" w:hAnsi="宋体" w:eastAsia="宋体" w:cs="宋体"/>
          <w:color w:val="auto"/>
          <w:szCs w:val="21"/>
          <w:highlight w:val="none"/>
          <w:lang w:eastAsia="zh-CN"/>
        </w:rPr>
        <w:t>采购内容</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采购</w:t>
      </w:r>
      <w:r>
        <w:rPr>
          <w:rFonts w:hint="eastAsia" w:ascii="宋体" w:hAnsi="宋体" w:eastAsia="宋体" w:cs="宋体"/>
          <w:color w:val="auto"/>
          <w:szCs w:val="21"/>
          <w:highlight w:val="none"/>
        </w:rPr>
        <w:t>金额</w:t>
      </w:r>
      <w:r>
        <w:rPr>
          <w:rFonts w:hint="eastAsia" w:ascii="宋体" w:hAnsi="宋体" w:eastAsia="宋体" w:cs="宋体"/>
          <w:color w:val="auto"/>
          <w:szCs w:val="21"/>
          <w:highlight w:val="none"/>
          <w:lang w:eastAsia="zh-CN"/>
        </w:rPr>
        <w:t>、采购时间</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如有</w:t>
      </w:r>
      <w:r>
        <w:rPr>
          <w:rFonts w:hint="eastAsia" w:ascii="宋体" w:hAnsi="宋体" w:cs="宋体"/>
          <w:b/>
          <w:bCs/>
          <w:color w:val="auto"/>
          <w:szCs w:val="21"/>
          <w:highlight w:val="none"/>
          <w:lang w:val="en-US" w:eastAsia="zh-CN"/>
        </w:rPr>
        <w:t>，请提供</w:t>
      </w:r>
      <w:r>
        <w:rPr>
          <w:rFonts w:hint="eastAsia" w:ascii="宋体" w:hAnsi="宋体" w:eastAsia="宋体" w:cs="宋体"/>
          <w:b/>
          <w:bCs/>
          <w:color w:val="auto"/>
          <w:szCs w:val="21"/>
          <w:highlight w:val="none"/>
        </w:rPr>
        <w:t>）；</w:t>
      </w:r>
    </w:p>
    <w:p w14:paraId="64D6E08C">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（2）供应商</w:t>
      </w:r>
      <w:r>
        <w:rPr>
          <w:rFonts w:hint="eastAsia" w:ascii="宋体" w:hAnsi="宋体" w:cs="宋体"/>
          <w:color w:val="auto"/>
          <w:szCs w:val="21"/>
          <w:highlight w:val="none"/>
          <w:lang w:val="en-US" w:eastAsia="zh-CN"/>
        </w:rPr>
        <w:t>2023年1月1日</w:t>
      </w:r>
      <w:r>
        <w:rPr>
          <w:rFonts w:hint="eastAsia" w:ascii="宋体" w:hAnsi="宋体" w:eastAsia="宋体" w:cs="宋体"/>
          <w:color w:val="auto"/>
          <w:szCs w:val="21"/>
          <w:highlight w:val="none"/>
          <w:lang w:val="en-US" w:eastAsia="zh-CN"/>
        </w:rPr>
        <w:t>以来获奖情况</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如有</w:t>
      </w:r>
      <w:r>
        <w:rPr>
          <w:rFonts w:hint="eastAsia" w:ascii="宋体" w:hAnsi="宋体" w:cs="宋体"/>
          <w:b/>
          <w:bCs/>
          <w:color w:val="auto"/>
          <w:szCs w:val="21"/>
          <w:highlight w:val="none"/>
          <w:lang w:val="en-US" w:eastAsia="zh-CN"/>
        </w:rPr>
        <w:t>，请提供</w:t>
      </w:r>
      <w:r>
        <w:rPr>
          <w:rFonts w:hint="eastAsia" w:ascii="宋体" w:hAnsi="宋体" w:eastAsia="宋体" w:cs="宋体"/>
          <w:b/>
          <w:bCs/>
          <w:color w:val="auto"/>
          <w:szCs w:val="21"/>
          <w:highlight w:val="none"/>
        </w:rPr>
        <w:t>）</w:t>
      </w:r>
      <w:r>
        <w:rPr>
          <w:rFonts w:hint="eastAsia" w:ascii="宋体" w:hAnsi="宋体" w:cs="宋体"/>
          <w:b/>
          <w:bCs/>
          <w:color w:val="auto"/>
          <w:szCs w:val="21"/>
          <w:highlight w:val="none"/>
          <w:lang w:eastAsia="zh-CN"/>
        </w:rPr>
        <w:t>；</w:t>
      </w:r>
    </w:p>
    <w:p w14:paraId="661370C5">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w:t>
      </w:r>
      <w:r>
        <w:rPr>
          <w:rFonts w:hint="eastAsia" w:ascii="宋体" w:hAnsi="宋体" w:eastAsia="宋体" w:cs="宋体"/>
          <w:color w:val="auto"/>
          <w:szCs w:val="21"/>
          <w:highlight w:val="none"/>
        </w:rPr>
        <w:t>供应商可结合本项目的评审办法视自身情况自行提交其它相关证明材料</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如有</w:t>
      </w:r>
      <w:r>
        <w:rPr>
          <w:rFonts w:hint="eastAsia" w:ascii="宋体" w:hAnsi="宋体" w:cs="宋体"/>
          <w:b/>
          <w:bCs/>
          <w:color w:val="auto"/>
          <w:szCs w:val="21"/>
          <w:highlight w:val="none"/>
          <w:lang w:val="en-US" w:eastAsia="zh-CN"/>
        </w:rPr>
        <w:t>，请提供</w:t>
      </w:r>
      <w:r>
        <w:rPr>
          <w:rFonts w:hint="eastAsia" w:ascii="宋体" w:hAnsi="宋体" w:eastAsia="宋体" w:cs="宋体"/>
          <w:b/>
          <w:bCs/>
          <w:color w:val="auto"/>
          <w:szCs w:val="21"/>
          <w:highlight w:val="none"/>
        </w:rPr>
        <w:t>）</w:t>
      </w:r>
      <w:r>
        <w:rPr>
          <w:rFonts w:hint="eastAsia" w:ascii="宋体" w:hAnsi="宋体" w:eastAsia="宋体" w:cs="宋体"/>
          <w:color w:val="auto"/>
          <w:szCs w:val="21"/>
          <w:highlight w:val="none"/>
        </w:rPr>
        <w:t>。</w:t>
      </w:r>
    </w:p>
    <w:p w14:paraId="6288ED50">
      <w:pPr>
        <w:keepNext w:val="0"/>
        <w:keepLines w:val="0"/>
        <w:pageBreakBefore w:val="0"/>
        <w:widowControl w:val="0"/>
        <w:kinsoku/>
        <w:wordWrap/>
        <w:overflowPunct/>
        <w:topLinePunct w:val="0"/>
        <w:bidi w:val="0"/>
        <w:spacing w:line="44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供应商</w:t>
      </w:r>
      <w:r>
        <w:rPr>
          <w:rFonts w:hint="eastAsia" w:ascii="宋体" w:hAnsi="宋体" w:eastAsia="宋体" w:cs="宋体"/>
          <w:b/>
          <w:bCs/>
          <w:color w:val="auto"/>
          <w:highlight w:val="none"/>
        </w:rPr>
        <w:t>提供的以上相关证明材料属于“必须提供”的文件应加盖</w:t>
      </w:r>
      <w:r>
        <w:rPr>
          <w:rFonts w:hint="eastAsia" w:ascii="宋体" w:hAnsi="宋体" w:eastAsia="宋体" w:cs="宋体"/>
          <w:b/>
          <w:bCs/>
          <w:color w:val="auto"/>
          <w:highlight w:val="none"/>
          <w:lang w:eastAsia="zh-CN"/>
        </w:rPr>
        <w:t>磋商供应商</w:t>
      </w:r>
      <w:r>
        <w:rPr>
          <w:rFonts w:hint="eastAsia" w:ascii="宋体" w:hAnsi="宋体" w:cs="宋体"/>
          <w:b/>
          <w:bCs/>
          <w:color w:val="auto"/>
          <w:highlight w:val="none"/>
          <w:lang w:eastAsia="zh-CN"/>
        </w:rPr>
        <w:t>数字证书（CA认证）</w:t>
      </w:r>
      <w:r>
        <w:rPr>
          <w:rFonts w:hint="eastAsia" w:ascii="宋体" w:hAnsi="宋体" w:eastAsia="宋体" w:cs="宋体"/>
          <w:b/>
          <w:bCs/>
          <w:color w:val="auto"/>
          <w:highlight w:val="none"/>
        </w:rPr>
        <w:t>签章，否则</w:t>
      </w:r>
      <w:r>
        <w:rPr>
          <w:rFonts w:hint="eastAsia" w:ascii="宋体" w:hAnsi="宋体" w:eastAsia="宋体" w:cs="宋体"/>
          <w:b/>
          <w:bCs/>
          <w:color w:val="auto"/>
          <w:highlight w:val="none"/>
          <w:lang w:val="en-US" w:eastAsia="zh-CN"/>
        </w:rPr>
        <w:t>响应</w:t>
      </w:r>
      <w:r>
        <w:rPr>
          <w:rFonts w:hint="eastAsia" w:ascii="宋体" w:hAnsi="宋体" w:eastAsia="宋体" w:cs="宋体"/>
          <w:b/>
          <w:bCs/>
          <w:color w:val="auto"/>
          <w:highlight w:val="none"/>
        </w:rPr>
        <w:t>无效。</w:t>
      </w:r>
    </w:p>
    <w:p w14:paraId="02CA887F">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12.</w:t>
      </w:r>
      <w:r>
        <w:rPr>
          <w:rFonts w:hint="eastAsia" w:ascii="宋体" w:hAnsi="宋体" w:eastAsia="宋体" w:cs="宋体"/>
          <w:color w:val="auto"/>
          <w:szCs w:val="21"/>
          <w:highlight w:val="none"/>
          <w:lang w:val="en-US" w:eastAsia="zh-CN"/>
        </w:rPr>
        <w:t xml:space="preserve">3 </w:t>
      </w:r>
      <w:r>
        <w:rPr>
          <w:rFonts w:hint="eastAsia" w:ascii="宋体" w:hAnsi="宋体" w:eastAsia="宋体" w:cs="宋体"/>
          <w:color w:val="auto"/>
          <w:szCs w:val="21"/>
          <w:highlight w:val="none"/>
        </w:rPr>
        <w:t>供应商应按竞争性磋商文件第六章“响应文件（格式）”编制响应文件。</w:t>
      </w:r>
    </w:p>
    <w:p w14:paraId="21128B5A">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特别说明：</w:t>
      </w:r>
    </w:p>
    <w:p w14:paraId="2313A430">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（1）响</w:t>
      </w:r>
      <w:r>
        <w:rPr>
          <w:rFonts w:hint="eastAsia" w:ascii="宋体" w:hAnsi="宋体" w:eastAsia="宋体" w:cs="宋体"/>
          <w:b/>
          <w:color w:val="auto"/>
          <w:szCs w:val="21"/>
          <w:highlight w:val="none"/>
        </w:rPr>
        <w:t>应文件（电子响应文件），其中电子响应文件中所须加盖公章部分均采用</w:t>
      </w:r>
      <w:r>
        <w:rPr>
          <w:rFonts w:hint="eastAsia" w:ascii="宋体" w:hAnsi="宋体" w:cs="宋体"/>
          <w:b/>
          <w:color w:val="auto"/>
          <w:szCs w:val="21"/>
          <w:highlight w:val="none"/>
          <w:lang w:eastAsia="zh-CN"/>
        </w:rPr>
        <w:t>数字证书（CA认证）</w:t>
      </w:r>
      <w:r>
        <w:rPr>
          <w:rFonts w:hint="eastAsia" w:ascii="宋体" w:hAnsi="宋体" w:eastAsia="宋体" w:cs="宋体"/>
          <w:b/>
          <w:color w:val="auto"/>
          <w:szCs w:val="21"/>
          <w:highlight w:val="none"/>
        </w:rPr>
        <w:t>签章。若磋商文件中有专门标注的某关联点，并要求供应商在电子</w:t>
      </w:r>
      <w:r>
        <w:rPr>
          <w:rFonts w:hint="eastAsia" w:ascii="宋体" w:hAnsi="宋体" w:cs="宋体"/>
          <w:b/>
          <w:color w:val="auto"/>
          <w:szCs w:val="21"/>
          <w:highlight w:val="none"/>
          <w:lang w:eastAsia="zh-CN"/>
        </w:rPr>
        <w:t>响应</w:t>
      </w:r>
      <w:r>
        <w:rPr>
          <w:rFonts w:hint="eastAsia" w:ascii="宋体" w:hAnsi="宋体" w:eastAsia="宋体" w:cs="宋体"/>
          <w:b/>
          <w:color w:val="auto"/>
          <w:szCs w:val="21"/>
          <w:highlight w:val="none"/>
        </w:rPr>
        <w:t>系统中作出磋商响应的，如供应商未对关联点进行响应或者在响应文件其它内容进行描述，造成电子评审不能查询的责任由供应商自行承担。</w:t>
      </w:r>
    </w:p>
    <w:p w14:paraId="6A6EFB2B">
      <w:pPr>
        <w:keepNext w:val="0"/>
        <w:keepLines w:val="0"/>
        <w:pageBreakBefore w:val="0"/>
        <w:widowControl w:val="0"/>
        <w:numPr>
          <w:ilvl w:val="0"/>
          <w:numId w:val="3"/>
        </w:numPr>
        <w:kinsoku/>
        <w:wordWrap/>
        <w:overflowPunct/>
        <w:topLinePunct w:val="0"/>
        <w:bidi w:val="0"/>
        <w:spacing w:line="440" w:lineRule="exact"/>
        <w:ind w:left="0" w:leftChars="0"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lang w:eastAsia="zh-CN"/>
        </w:rPr>
        <w:t>磋商文件</w:t>
      </w:r>
      <w:r>
        <w:rPr>
          <w:rFonts w:hint="eastAsia" w:ascii="宋体" w:hAnsi="宋体" w:eastAsia="宋体" w:cs="宋体"/>
          <w:b/>
          <w:bCs/>
          <w:color w:val="auto"/>
          <w:szCs w:val="21"/>
          <w:highlight w:val="none"/>
        </w:rPr>
        <w:t>要求法定代表人（负责人）或委托代理人签字的部分必须签字然后扫描或者拍照做成 pdf 格式上传</w:t>
      </w:r>
      <w:r>
        <w:rPr>
          <w:rFonts w:hint="eastAsia" w:ascii="宋体" w:hAnsi="宋体" w:eastAsia="宋体" w:cs="宋体"/>
          <w:b/>
          <w:bCs/>
          <w:color w:val="auto"/>
          <w:szCs w:val="21"/>
          <w:highlight w:val="none"/>
          <w:lang w:eastAsia="zh-CN"/>
        </w:rPr>
        <w:t>（或加盖个人</w:t>
      </w:r>
      <w:r>
        <w:rPr>
          <w:rFonts w:hint="eastAsia" w:ascii="宋体" w:hAnsi="宋体" w:cs="宋体"/>
          <w:b/>
          <w:bCs/>
          <w:color w:val="auto"/>
          <w:szCs w:val="21"/>
          <w:highlight w:val="none"/>
          <w:lang w:val="en-US" w:eastAsia="zh-CN"/>
        </w:rPr>
        <w:t>数字证书（CA认证）</w:t>
      </w:r>
      <w:r>
        <w:rPr>
          <w:rFonts w:hint="eastAsia" w:ascii="宋体" w:hAnsi="宋体" w:eastAsia="宋体" w:cs="宋体"/>
          <w:b/>
          <w:bCs/>
          <w:color w:val="auto"/>
          <w:szCs w:val="21"/>
          <w:highlight w:val="none"/>
          <w:lang w:val="en-US" w:eastAsia="zh-CN"/>
        </w:rPr>
        <w:t>签章</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，无签字的视为</w:t>
      </w:r>
      <w:r>
        <w:rPr>
          <w:rFonts w:hint="eastAsia" w:ascii="宋体" w:hAnsi="宋体" w:eastAsia="宋体" w:cs="宋体"/>
          <w:b/>
          <w:bCs/>
          <w:color w:val="auto"/>
          <w:szCs w:val="21"/>
          <w:highlight w:val="none"/>
          <w:lang w:val="en-US" w:eastAsia="zh-CN"/>
        </w:rPr>
        <w:t>响应</w:t>
      </w:r>
      <w:r>
        <w:rPr>
          <w:rFonts w:hint="eastAsia" w:ascii="宋体" w:hAnsi="宋体" w:eastAsia="宋体" w:cs="宋体"/>
          <w:b/>
          <w:bCs/>
          <w:color w:val="auto"/>
          <w:szCs w:val="21"/>
          <w:highlight w:val="none"/>
        </w:rPr>
        <w:t>无效。</w:t>
      </w:r>
    </w:p>
    <w:p w14:paraId="46DECD74">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rPr>
      </w:pPr>
      <w:bookmarkStart w:id="84" w:name="_Toc2180"/>
      <w:bookmarkStart w:id="85" w:name="_Toc13660"/>
      <w:r>
        <w:rPr>
          <w:rFonts w:hint="eastAsia" w:ascii="宋体" w:hAnsi="宋体" w:eastAsia="宋体" w:cs="宋体"/>
          <w:color w:val="auto"/>
          <w:sz w:val="21"/>
          <w:szCs w:val="21"/>
          <w:highlight w:val="none"/>
        </w:rPr>
        <w:t>响应文件的语言及计量</w:t>
      </w:r>
      <w:bookmarkEnd w:id="84"/>
      <w:bookmarkEnd w:id="85"/>
    </w:p>
    <w:p w14:paraId="7D31A598">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13</w:t>
      </w:r>
      <w:r>
        <w:rPr>
          <w:rFonts w:hint="eastAsia" w:ascii="宋体" w:hAnsi="宋体" w:eastAsia="宋体" w:cs="宋体"/>
          <w:color w:val="auto"/>
          <w:szCs w:val="21"/>
          <w:highlight w:val="none"/>
        </w:rPr>
        <w:t>.1 响应文件以及供应商与采购代理机构就有关磋商事宜的所有来往函电，均应以中文汉语书写。供应商提交的支持文件和印刷的文献可以使用别的语言，但其相应内容必须附有中文翻译文本，在解释响应文件时以中文翻译文本为主。</w:t>
      </w:r>
    </w:p>
    <w:p w14:paraId="70329E12">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13</w:t>
      </w:r>
      <w:r>
        <w:rPr>
          <w:rFonts w:hint="eastAsia" w:ascii="宋体" w:hAnsi="宋体" w:eastAsia="宋体" w:cs="宋体"/>
          <w:color w:val="auto"/>
          <w:szCs w:val="21"/>
          <w:highlight w:val="none"/>
        </w:rPr>
        <w:t>.2 磋商计量单位，磋商文件已有明确规定的，使用磋商文件规定的计量单位；磋商文件没有规定的，应采用中华人民共和国法定计量单位（货币单位：人民币元），否则视同未响应。</w:t>
      </w:r>
    </w:p>
    <w:p w14:paraId="23897B23">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rPr>
      </w:pPr>
      <w:bookmarkStart w:id="86" w:name="_Toc3058"/>
      <w:bookmarkStart w:id="87" w:name="_Toc10838"/>
      <w:r>
        <w:rPr>
          <w:rFonts w:hint="eastAsia" w:ascii="宋体" w:hAnsi="宋体" w:eastAsia="宋体" w:cs="宋体"/>
          <w:color w:val="auto"/>
          <w:sz w:val="21"/>
          <w:szCs w:val="21"/>
          <w:highlight w:val="none"/>
        </w:rPr>
        <w:t>磋商报价及采购预算金额</w:t>
      </w:r>
      <w:bookmarkEnd w:id="86"/>
      <w:bookmarkEnd w:id="87"/>
    </w:p>
    <w:p w14:paraId="65425FAA">
      <w:pPr>
        <w:keepNext w:val="0"/>
        <w:keepLines w:val="0"/>
        <w:pageBreakBefore w:val="0"/>
        <w:widowControl w:val="0"/>
        <w:wordWrap/>
        <w:topLinePunct w:val="0"/>
        <w:bidi w:val="0"/>
        <w:spacing w:line="360" w:lineRule="exact"/>
        <w:ind w:firstLine="420" w:firstLineChars="200"/>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val="en-US" w:eastAsia="zh-CN"/>
        </w:rPr>
        <w:t>14</w:t>
      </w:r>
      <w:r>
        <w:rPr>
          <w:rFonts w:hint="eastAsia" w:ascii="宋体" w:hAnsi="宋体" w:eastAsia="宋体" w:cs="宋体"/>
          <w:bCs/>
          <w:color w:val="auto"/>
          <w:sz w:val="21"/>
          <w:szCs w:val="21"/>
          <w:highlight w:val="none"/>
          <w:lang w:eastAsia="zh-CN"/>
        </w:rPr>
        <w:t>.1磋商总报价应按采购文件中相关附表格式填写。</w:t>
      </w:r>
    </w:p>
    <w:p w14:paraId="3215D0F2">
      <w:pPr>
        <w:keepNext w:val="0"/>
        <w:keepLines w:val="0"/>
        <w:pageBreakBefore w:val="0"/>
        <w:widowControl w:val="0"/>
        <w:kinsoku/>
        <w:wordWrap/>
        <w:overflowPunct/>
        <w:topLinePunct w:val="0"/>
        <w:autoSpaceDE/>
        <w:autoSpaceDN/>
        <w:bidi w:val="0"/>
        <w:adjustRightInd/>
        <w:snapToGrid/>
        <w:spacing w:line="440" w:lineRule="exact"/>
        <w:ind w:left="0" w:leftChars="0" w:right="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val="en-US" w:eastAsia="zh-CN"/>
        </w:rPr>
        <w:t>14</w:t>
      </w:r>
      <w:r>
        <w:rPr>
          <w:rFonts w:hint="eastAsia" w:ascii="宋体" w:hAnsi="宋体" w:eastAsia="宋体" w:cs="宋体"/>
          <w:bCs/>
          <w:color w:val="auto"/>
          <w:sz w:val="21"/>
          <w:szCs w:val="21"/>
          <w:highlight w:val="none"/>
          <w:lang w:eastAsia="zh-CN"/>
        </w:rPr>
        <w:t>.2磋商供应商必须就磋商文件所有内容作完整唯一报价，否则，其磋商将被拒绝。响应文件只允许有一个报价，有选择的或有条件的报价将不予接受。</w:t>
      </w:r>
    </w:p>
    <w:p w14:paraId="3647C486">
      <w:pPr>
        <w:keepNext w:val="0"/>
        <w:keepLines w:val="0"/>
        <w:pageBreakBefore w:val="0"/>
        <w:widowControl w:val="0"/>
        <w:wordWrap/>
        <w:topLinePunct w:val="0"/>
        <w:bidi w:val="0"/>
        <w:spacing w:line="360" w:lineRule="exact"/>
        <w:ind w:firstLine="420" w:firstLineChars="200"/>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val="en-US" w:eastAsia="zh-CN"/>
        </w:rPr>
        <w:t>14</w:t>
      </w:r>
      <w:r>
        <w:rPr>
          <w:rFonts w:hint="eastAsia" w:ascii="宋体" w:hAnsi="宋体" w:eastAsia="宋体" w:cs="宋体"/>
          <w:bCs/>
          <w:color w:val="auto"/>
          <w:sz w:val="21"/>
          <w:szCs w:val="21"/>
          <w:highlight w:val="none"/>
          <w:lang w:eastAsia="zh-CN"/>
        </w:rPr>
        <w:t>.3</w:t>
      </w:r>
      <w:r>
        <w:rPr>
          <w:rFonts w:hint="eastAsia" w:ascii="宋体" w:hAnsi="宋体" w:cs="宋体"/>
          <w:color w:val="auto"/>
          <w:kern w:val="0"/>
          <w:szCs w:val="21"/>
        </w:rPr>
        <w:t>本项目</w:t>
      </w:r>
      <w:r>
        <w:rPr>
          <w:rFonts w:hint="eastAsia" w:ascii="宋体" w:hAnsi="宋体" w:cs="宋体"/>
          <w:color w:val="auto"/>
          <w:kern w:val="0"/>
          <w:szCs w:val="21"/>
          <w:lang w:val="en-US" w:eastAsia="zh-CN"/>
        </w:rPr>
        <w:t>审定</w:t>
      </w:r>
      <w:r>
        <w:rPr>
          <w:rFonts w:hint="eastAsia" w:ascii="宋体" w:hAnsi="宋体" w:cs="宋体"/>
          <w:color w:val="auto"/>
          <w:kern w:val="0"/>
          <w:szCs w:val="21"/>
        </w:rPr>
        <w:t>预算总金额为</w:t>
      </w:r>
      <w:r>
        <w:rPr>
          <w:rFonts w:hint="eastAsia" w:ascii="宋体" w:hAnsi="宋体" w:cs="宋体"/>
          <w:color w:val="auto"/>
          <w:kern w:val="0"/>
          <w:szCs w:val="21"/>
          <w:u w:val="single"/>
        </w:rPr>
        <w:t xml:space="preserve"> </w:t>
      </w:r>
      <w:r>
        <w:rPr>
          <w:rFonts w:hint="eastAsia" w:ascii="宋体" w:hAnsi="宋体" w:cs="宋体"/>
          <w:color w:val="auto"/>
          <w:kern w:val="0"/>
          <w:szCs w:val="21"/>
          <w:u w:val="single"/>
          <w:lang w:eastAsia="zh-CN"/>
        </w:rPr>
        <w:t>2,383,369.52</w:t>
      </w:r>
      <w:r>
        <w:rPr>
          <w:rFonts w:hint="eastAsia" w:ascii="宋体" w:hAnsi="宋体" w:cs="宋体"/>
          <w:color w:val="auto"/>
          <w:kern w:val="0"/>
          <w:szCs w:val="21"/>
          <w:u w:val="single"/>
        </w:rPr>
        <w:t xml:space="preserve"> </w:t>
      </w:r>
      <w:r>
        <w:rPr>
          <w:rFonts w:hint="eastAsia" w:ascii="宋体" w:hAnsi="宋体" w:cs="宋体"/>
          <w:color w:val="auto"/>
          <w:kern w:val="0"/>
          <w:szCs w:val="21"/>
        </w:rPr>
        <w:t>元。</w:t>
      </w:r>
      <w:r>
        <w:rPr>
          <w:rFonts w:hint="eastAsia" w:ascii="宋体" w:hAnsi="宋体" w:eastAsia="宋体" w:cs="宋体"/>
          <w:color w:val="auto"/>
          <w:kern w:val="0"/>
          <w:szCs w:val="21"/>
          <w:lang w:val="en-US" w:eastAsia="zh-CN"/>
        </w:rPr>
        <w:t>本项目预算控制价（最高限价）为</w:t>
      </w:r>
      <w:r>
        <w:rPr>
          <w:rFonts w:hint="eastAsia" w:ascii="宋体" w:hAnsi="宋体" w:eastAsia="宋体" w:cs="宋体"/>
          <w:bCs/>
          <w:color w:val="auto"/>
          <w:sz w:val="21"/>
          <w:szCs w:val="21"/>
          <w:highlight w:val="none"/>
          <w:u w:val="single"/>
          <w:lang w:val="en-US" w:eastAsia="zh-CN"/>
        </w:rPr>
        <w:t xml:space="preserve"> </w:t>
      </w:r>
      <w:r>
        <w:rPr>
          <w:rFonts w:hint="eastAsia" w:ascii="宋体" w:hAnsi="宋体" w:cs="宋体"/>
          <w:bCs/>
          <w:color w:val="auto"/>
          <w:sz w:val="21"/>
          <w:szCs w:val="21"/>
          <w:highlight w:val="none"/>
          <w:u w:val="single"/>
          <w:lang w:val="en-US" w:eastAsia="zh-CN"/>
        </w:rPr>
        <w:t>2,383,369.52</w:t>
      </w:r>
      <w:r>
        <w:rPr>
          <w:rFonts w:hint="eastAsia" w:ascii="宋体" w:hAnsi="宋体" w:eastAsia="宋体" w:cs="宋体"/>
          <w:bCs/>
          <w:color w:val="auto"/>
          <w:sz w:val="21"/>
          <w:szCs w:val="21"/>
          <w:highlight w:val="none"/>
          <w:u w:val="single"/>
          <w:lang w:val="en-US" w:eastAsia="zh-CN"/>
        </w:rPr>
        <w:t xml:space="preserve"> </w:t>
      </w:r>
      <w:r>
        <w:rPr>
          <w:rFonts w:hint="eastAsia" w:ascii="宋体" w:hAnsi="宋体" w:eastAsia="宋体" w:cs="宋体"/>
          <w:color w:val="auto"/>
          <w:kern w:val="0"/>
          <w:szCs w:val="21"/>
          <w:lang w:val="en-US" w:eastAsia="zh-CN"/>
        </w:rPr>
        <w:t>元。</w:t>
      </w:r>
      <w:r>
        <w:rPr>
          <w:rFonts w:hint="eastAsia" w:ascii="宋体" w:hAnsi="宋体" w:eastAsia="宋体" w:cs="宋体"/>
          <w:bCs/>
          <w:color w:val="auto"/>
          <w:sz w:val="21"/>
          <w:szCs w:val="21"/>
          <w:highlight w:val="none"/>
          <w:lang w:eastAsia="zh-CN"/>
        </w:rPr>
        <w:t>磋商总报价包括本项目采购范围内一切服务价款的总和；供应商综合考虑在报价中。</w:t>
      </w:r>
    </w:p>
    <w:p w14:paraId="235EFAF6">
      <w:pPr>
        <w:keepNext w:val="0"/>
        <w:keepLines w:val="0"/>
        <w:pageBreakBefore w:val="0"/>
        <w:widowControl w:val="0"/>
        <w:kinsoku/>
        <w:wordWrap/>
        <w:overflowPunct/>
        <w:topLinePunct w:val="0"/>
        <w:autoSpaceDE/>
        <w:autoSpaceDN/>
        <w:bidi w:val="0"/>
        <w:adjustRightInd/>
        <w:snapToGrid/>
        <w:spacing w:line="440" w:lineRule="exact"/>
        <w:ind w:left="0" w:leftChars="0" w:right="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val="en-US" w:eastAsia="zh-CN"/>
        </w:rPr>
        <w:t>14</w:t>
      </w:r>
      <w:r>
        <w:rPr>
          <w:rFonts w:hint="eastAsia" w:ascii="宋体" w:hAnsi="宋体" w:eastAsia="宋体" w:cs="宋体"/>
          <w:bCs/>
          <w:color w:val="auto"/>
          <w:sz w:val="21"/>
          <w:szCs w:val="21"/>
          <w:highlight w:val="none"/>
          <w:lang w:eastAsia="zh-CN"/>
        </w:rPr>
        <w:t>.4供应商按照采购人提供的工程量清单填写本合同各工程子目的单价、合价和总额价。磋商小组将按照下述规定对磋商报价进行算术性错误修正及其他错误修正。</w:t>
      </w:r>
    </w:p>
    <w:p w14:paraId="65ED6A85">
      <w:pPr>
        <w:keepNext w:val="0"/>
        <w:keepLines w:val="0"/>
        <w:pageBreakBefore w:val="0"/>
        <w:widowControl w:val="0"/>
        <w:kinsoku/>
        <w:wordWrap/>
        <w:overflowPunct/>
        <w:topLinePunct w:val="0"/>
        <w:autoSpaceDE/>
        <w:autoSpaceDN/>
        <w:bidi w:val="0"/>
        <w:adjustRightInd/>
        <w:snapToGrid/>
        <w:spacing w:line="440" w:lineRule="exact"/>
        <w:ind w:left="0" w:leftChars="0" w:right="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val="en-US" w:eastAsia="zh-CN"/>
        </w:rPr>
        <w:t>14</w:t>
      </w:r>
      <w:r>
        <w:rPr>
          <w:rFonts w:hint="eastAsia" w:ascii="宋体" w:hAnsi="宋体" w:eastAsia="宋体" w:cs="宋体"/>
          <w:bCs/>
          <w:color w:val="auto"/>
          <w:sz w:val="21"/>
          <w:szCs w:val="21"/>
          <w:highlight w:val="none"/>
          <w:lang w:eastAsia="zh-CN"/>
        </w:rPr>
        <w:t>.4.1磋商报价有算术错误的，磋商小组按以下原则对磋商报价进行修正，修正的价格经供应商书面确认后具有约束力。供应商不接受修正价格的，磋商小组应否决其投标。</w:t>
      </w:r>
    </w:p>
    <w:p w14:paraId="1E90DAF1">
      <w:pPr>
        <w:keepNext w:val="0"/>
        <w:keepLines w:val="0"/>
        <w:pageBreakBefore w:val="0"/>
        <w:widowControl w:val="0"/>
        <w:kinsoku/>
        <w:wordWrap/>
        <w:overflowPunct/>
        <w:topLinePunct w:val="0"/>
        <w:autoSpaceDE/>
        <w:autoSpaceDN/>
        <w:bidi w:val="0"/>
        <w:adjustRightInd/>
        <w:snapToGrid/>
        <w:spacing w:line="440" w:lineRule="exact"/>
        <w:ind w:left="0" w:leftChars="0" w:right="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(1)响应文件中的大写金额与小写金额不一致的，以大写金额为准</w:t>
      </w:r>
      <w:r>
        <w:rPr>
          <w:rFonts w:hint="eastAsia" w:ascii="宋体" w:hAnsi="宋体" w:cs="宋体"/>
          <w:bCs/>
          <w:color w:val="auto"/>
          <w:sz w:val="21"/>
          <w:szCs w:val="21"/>
          <w:highlight w:val="none"/>
          <w:lang w:eastAsia="zh-CN"/>
        </w:rPr>
        <w:t>；</w:t>
      </w:r>
    </w:p>
    <w:p w14:paraId="0A05426C">
      <w:pPr>
        <w:keepNext w:val="0"/>
        <w:keepLines w:val="0"/>
        <w:pageBreakBefore w:val="0"/>
        <w:widowControl w:val="0"/>
        <w:kinsoku/>
        <w:wordWrap/>
        <w:overflowPunct/>
        <w:topLinePunct w:val="0"/>
        <w:autoSpaceDE/>
        <w:autoSpaceDN/>
        <w:bidi w:val="0"/>
        <w:adjustRightInd/>
        <w:snapToGrid/>
        <w:spacing w:line="440" w:lineRule="exact"/>
        <w:ind w:left="0" w:leftChars="0" w:right="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eastAsia="zh-CN"/>
        </w:rPr>
        <w:t>（</w:t>
      </w:r>
      <w:r>
        <w:rPr>
          <w:rFonts w:hint="eastAsia" w:ascii="宋体" w:hAnsi="宋体" w:cs="宋体"/>
          <w:bCs/>
          <w:color w:val="auto"/>
          <w:sz w:val="21"/>
          <w:szCs w:val="21"/>
          <w:highlight w:val="none"/>
          <w:lang w:val="en-US" w:eastAsia="zh-CN"/>
        </w:rPr>
        <w:t>2</w:t>
      </w:r>
      <w:r>
        <w:rPr>
          <w:rFonts w:hint="eastAsia" w:ascii="宋体" w:hAnsi="宋体" w:cs="宋体"/>
          <w:bCs/>
          <w:color w:val="auto"/>
          <w:sz w:val="21"/>
          <w:szCs w:val="21"/>
          <w:highlight w:val="none"/>
          <w:lang w:eastAsia="zh-CN"/>
        </w:rPr>
        <w:t>）</w:t>
      </w:r>
      <w:r>
        <w:rPr>
          <w:rFonts w:hint="eastAsia" w:ascii="宋体" w:hAnsi="宋体" w:eastAsia="宋体" w:cs="宋体"/>
          <w:bCs/>
          <w:color w:val="auto"/>
          <w:sz w:val="21"/>
          <w:szCs w:val="21"/>
          <w:highlight w:val="none"/>
          <w:lang w:eastAsia="zh-CN"/>
        </w:rPr>
        <w:t>总价金额与依据单价计算出的结果不一致的，以单价金额为准修正总价，但单价金额小数点有明显错误的除外</w:t>
      </w:r>
      <w:r>
        <w:rPr>
          <w:rFonts w:hint="eastAsia" w:ascii="宋体" w:hAnsi="宋体" w:cs="宋体"/>
          <w:bCs/>
          <w:color w:val="auto"/>
          <w:sz w:val="21"/>
          <w:szCs w:val="21"/>
          <w:highlight w:val="none"/>
          <w:lang w:eastAsia="zh-CN"/>
        </w:rPr>
        <w:t>；</w:t>
      </w:r>
    </w:p>
    <w:p w14:paraId="7660475C">
      <w:pPr>
        <w:keepNext w:val="0"/>
        <w:keepLines w:val="0"/>
        <w:pageBreakBefore w:val="0"/>
        <w:widowControl w:val="0"/>
        <w:kinsoku/>
        <w:wordWrap/>
        <w:overflowPunct/>
        <w:topLinePunct w:val="0"/>
        <w:autoSpaceDE/>
        <w:autoSpaceDN/>
        <w:bidi w:val="0"/>
        <w:adjustRightInd/>
        <w:snapToGrid/>
        <w:spacing w:line="440" w:lineRule="exact"/>
        <w:ind w:left="0" w:leftChars="0" w:right="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eastAsia="zh-CN"/>
        </w:rPr>
        <w:t>（</w:t>
      </w:r>
      <w:r>
        <w:rPr>
          <w:rFonts w:hint="eastAsia" w:ascii="宋体" w:hAnsi="宋体" w:cs="宋体"/>
          <w:bCs/>
          <w:color w:val="auto"/>
          <w:sz w:val="21"/>
          <w:szCs w:val="21"/>
          <w:highlight w:val="none"/>
          <w:lang w:val="en-US" w:eastAsia="zh-CN"/>
        </w:rPr>
        <w:t>3</w:t>
      </w:r>
      <w:r>
        <w:rPr>
          <w:rFonts w:hint="eastAsia" w:ascii="宋体" w:hAnsi="宋体" w:cs="宋体"/>
          <w:bCs/>
          <w:color w:val="auto"/>
          <w:sz w:val="21"/>
          <w:szCs w:val="21"/>
          <w:highlight w:val="none"/>
          <w:lang w:eastAsia="zh-CN"/>
        </w:rPr>
        <w:t>）</w:t>
      </w:r>
      <w:r>
        <w:rPr>
          <w:rFonts w:hint="eastAsia" w:ascii="宋体" w:hAnsi="宋体" w:eastAsia="宋体" w:cs="宋体"/>
          <w:bCs/>
          <w:color w:val="auto"/>
          <w:sz w:val="21"/>
          <w:szCs w:val="21"/>
          <w:highlight w:val="none"/>
          <w:lang w:eastAsia="zh-CN"/>
        </w:rPr>
        <w:t>当单价与数量相乘不等于合价时，以单价计算为准，如果单价有明显的小数点位置差错，应以标出的合价为准，同时对单价予以修正</w:t>
      </w:r>
      <w:r>
        <w:rPr>
          <w:rFonts w:hint="eastAsia" w:ascii="宋体" w:hAnsi="宋体" w:cs="宋体"/>
          <w:bCs/>
          <w:color w:val="auto"/>
          <w:sz w:val="21"/>
          <w:szCs w:val="21"/>
          <w:highlight w:val="none"/>
          <w:lang w:eastAsia="zh-CN"/>
        </w:rPr>
        <w:t>；</w:t>
      </w:r>
    </w:p>
    <w:p w14:paraId="20316531">
      <w:pPr>
        <w:keepNext w:val="0"/>
        <w:keepLines w:val="0"/>
        <w:pageBreakBefore w:val="0"/>
        <w:widowControl w:val="0"/>
        <w:kinsoku/>
        <w:wordWrap/>
        <w:overflowPunct/>
        <w:topLinePunct w:val="0"/>
        <w:autoSpaceDE/>
        <w:autoSpaceDN/>
        <w:bidi w:val="0"/>
        <w:adjustRightInd/>
        <w:snapToGrid/>
        <w:spacing w:line="440" w:lineRule="exact"/>
        <w:ind w:left="0" w:leftChars="0" w:right="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(4)当各子目的合价累计不等于总价时，应以各子目合价累计数为准，修正总价。</w:t>
      </w:r>
    </w:p>
    <w:p w14:paraId="5EEA4A40">
      <w:pPr>
        <w:keepNext w:val="0"/>
        <w:keepLines w:val="0"/>
        <w:pageBreakBefore w:val="0"/>
        <w:widowControl w:val="0"/>
        <w:kinsoku/>
        <w:wordWrap/>
        <w:overflowPunct/>
        <w:topLinePunct w:val="0"/>
        <w:autoSpaceDE/>
        <w:autoSpaceDN/>
        <w:bidi w:val="0"/>
        <w:adjustRightInd/>
        <w:snapToGrid/>
        <w:spacing w:line="440" w:lineRule="exact"/>
        <w:ind w:left="0" w:leftChars="0" w:right="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val="en-US" w:eastAsia="zh-CN"/>
        </w:rPr>
        <w:t>14</w:t>
      </w:r>
      <w:r>
        <w:rPr>
          <w:rFonts w:hint="eastAsia" w:ascii="宋体" w:hAnsi="宋体" w:eastAsia="宋体" w:cs="宋体"/>
          <w:bCs/>
          <w:color w:val="auto"/>
          <w:sz w:val="21"/>
          <w:szCs w:val="21"/>
          <w:highlight w:val="none"/>
          <w:lang w:eastAsia="zh-CN"/>
        </w:rPr>
        <w:t>.4.2工程量清单中的磋商报价有其他错误的，磋商小组按以下原则对磋商报价进行修正，修正的价格经供应商书面确认后具有约束力。供应商不接受修正价格的，磋商小组应否决其投标。</w:t>
      </w:r>
    </w:p>
    <w:p w14:paraId="68B5B54A">
      <w:pPr>
        <w:keepNext w:val="0"/>
        <w:keepLines w:val="0"/>
        <w:pageBreakBefore w:val="0"/>
        <w:widowControl w:val="0"/>
        <w:kinsoku/>
        <w:wordWrap/>
        <w:overflowPunct/>
        <w:topLinePunct w:val="0"/>
        <w:autoSpaceDE/>
        <w:autoSpaceDN/>
        <w:bidi w:val="0"/>
        <w:adjustRightInd/>
        <w:snapToGrid/>
        <w:spacing w:line="440" w:lineRule="exact"/>
        <w:ind w:left="0" w:leftChars="0" w:right="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eastAsia="zh-CN"/>
        </w:rPr>
        <w:t>（</w:t>
      </w:r>
      <w:r>
        <w:rPr>
          <w:rFonts w:hint="eastAsia" w:ascii="宋体" w:hAnsi="宋体" w:cs="宋体"/>
          <w:bCs/>
          <w:color w:val="auto"/>
          <w:sz w:val="21"/>
          <w:szCs w:val="21"/>
          <w:highlight w:val="none"/>
          <w:lang w:val="en-US" w:eastAsia="zh-CN"/>
        </w:rPr>
        <w:t>1</w:t>
      </w:r>
      <w:r>
        <w:rPr>
          <w:rFonts w:hint="eastAsia" w:ascii="宋体" w:hAnsi="宋体" w:cs="宋体"/>
          <w:bCs/>
          <w:color w:val="auto"/>
          <w:sz w:val="21"/>
          <w:szCs w:val="21"/>
          <w:highlight w:val="none"/>
          <w:lang w:eastAsia="zh-CN"/>
        </w:rPr>
        <w:t>）</w:t>
      </w:r>
      <w:r>
        <w:rPr>
          <w:rFonts w:hint="eastAsia" w:ascii="宋体" w:hAnsi="宋体" w:eastAsia="宋体" w:cs="宋体"/>
          <w:bCs/>
          <w:color w:val="auto"/>
          <w:sz w:val="21"/>
          <w:szCs w:val="21"/>
          <w:highlight w:val="none"/>
          <w:lang w:eastAsia="zh-CN"/>
        </w:rPr>
        <w:t>在采购人给定的工程量清单中漏报了某个工程子目的单价、合价或总额价，或所报单价、合价或总额价减少了报价范围，则漏报的工程子目单价、合价和总额价或单价、合价和总额价中减少的报价内容视为已含入其他工程子目的单价、合价和总额价之中。</w:t>
      </w:r>
    </w:p>
    <w:p w14:paraId="6E81BA72">
      <w:pPr>
        <w:keepNext w:val="0"/>
        <w:keepLines w:val="0"/>
        <w:pageBreakBefore w:val="0"/>
        <w:widowControl w:val="0"/>
        <w:kinsoku/>
        <w:wordWrap/>
        <w:overflowPunct/>
        <w:topLinePunct w:val="0"/>
        <w:autoSpaceDE/>
        <w:autoSpaceDN/>
        <w:bidi w:val="0"/>
        <w:adjustRightInd/>
        <w:snapToGrid/>
        <w:spacing w:line="440" w:lineRule="exact"/>
        <w:ind w:left="0" w:leftChars="0" w:right="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(2)在采购人给定的工程量清单中多报了某个工程子目的单价、合价或总额价，或所报单价、合价或总额价增加了报价范围，则从磋商报价中扣除多报的工程子目报价或工程子目报价中增加了报价范围的部分报价。</w:t>
      </w:r>
    </w:p>
    <w:p w14:paraId="2FBD2D06">
      <w:pPr>
        <w:keepNext w:val="0"/>
        <w:keepLines w:val="0"/>
        <w:pageBreakBefore w:val="0"/>
        <w:widowControl w:val="0"/>
        <w:kinsoku/>
        <w:wordWrap/>
        <w:overflowPunct/>
        <w:topLinePunct w:val="0"/>
        <w:autoSpaceDE/>
        <w:autoSpaceDN/>
        <w:bidi w:val="0"/>
        <w:adjustRightInd/>
        <w:snapToGrid/>
        <w:spacing w:line="440" w:lineRule="exact"/>
        <w:ind w:left="0" w:leftChars="0" w:right="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(3)当单价与数量的乘积与合价(金额)虽然一致，但供应商修改了该子目的工程数量，则其合价按采购人给定的工程数量乘以供应商所报单价予以修正。</w:t>
      </w:r>
    </w:p>
    <w:p w14:paraId="0B48C136">
      <w:pPr>
        <w:keepNext w:val="0"/>
        <w:keepLines w:val="0"/>
        <w:pageBreakBefore w:val="0"/>
        <w:widowControl w:val="0"/>
        <w:kinsoku/>
        <w:wordWrap/>
        <w:overflowPunct/>
        <w:topLinePunct w:val="0"/>
        <w:autoSpaceDE/>
        <w:autoSpaceDN/>
        <w:bidi w:val="0"/>
        <w:adjustRightInd/>
        <w:snapToGrid/>
        <w:spacing w:line="440" w:lineRule="exact"/>
        <w:ind w:left="0" w:leftChars="0" w:right="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val="en-US" w:eastAsia="zh-CN"/>
        </w:rPr>
        <w:t>14</w:t>
      </w:r>
      <w:r>
        <w:rPr>
          <w:rFonts w:hint="eastAsia" w:ascii="宋体" w:hAnsi="宋体" w:eastAsia="宋体" w:cs="宋体"/>
          <w:bCs/>
          <w:color w:val="auto"/>
          <w:sz w:val="21"/>
          <w:szCs w:val="21"/>
          <w:highlight w:val="none"/>
          <w:lang w:eastAsia="zh-CN"/>
        </w:rPr>
        <w:t>.5未书面退出磋商的供应商在规定时间内提交最后报价，其最后报价超出采购预算金额导致已通过评审的响应文件无效的，按供应商在提交响应文件截止时间后撤回响应文件处理。</w:t>
      </w:r>
    </w:p>
    <w:p w14:paraId="67D8AC0F">
      <w:pPr>
        <w:keepNext w:val="0"/>
        <w:keepLines w:val="0"/>
        <w:pageBreakBefore w:val="0"/>
        <w:widowControl w:val="0"/>
        <w:kinsoku/>
        <w:wordWrap/>
        <w:overflowPunct/>
        <w:topLinePunct w:val="0"/>
        <w:autoSpaceDE/>
        <w:autoSpaceDN/>
        <w:bidi w:val="0"/>
        <w:adjustRightInd/>
        <w:snapToGrid/>
        <w:spacing w:line="440" w:lineRule="exact"/>
        <w:ind w:left="0" w:leftChars="0" w:right="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val="en-US" w:eastAsia="zh-CN"/>
        </w:rPr>
        <w:t>14</w:t>
      </w:r>
      <w:r>
        <w:rPr>
          <w:rFonts w:hint="eastAsia" w:ascii="宋体" w:hAnsi="宋体" w:eastAsia="宋体" w:cs="宋体"/>
          <w:bCs/>
          <w:color w:val="auto"/>
          <w:sz w:val="21"/>
          <w:szCs w:val="21"/>
          <w:highlight w:val="none"/>
          <w:lang w:eastAsia="zh-CN"/>
        </w:rPr>
        <w:t>.6最后磋商总报价超出本项目采购预算总金额的将被视为无效磋商。</w:t>
      </w:r>
    </w:p>
    <w:p w14:paraId="71B57A95">
      <w:pPr>
        <w:keepNext w:val="0"/>
        <w:keepLines w:val="0"/>
        <w:pageBreakBefore w:val="0"/>
        <w:widowControl w:val="0"/>
        <w:kinsoku/>
        <w:wordWrap/>
        <w:overflowPunct/>
        <w:topLinePunct w:val="0"/>
        <w:autoSpaceDE/>
        <w:autoSpaceDN/>
        <w:bidi w:val="0"/>
        <w:adjustRightInd/>
        <w:snapToGrid/>
        <w:spacing w:line="440" w:lineRule="exact"/>
        <w:ind w:left="0" w:leftChars="0" w:right="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val="en-US" w:eastAsia="zh-CN"/>
        </w:rPr>
        <w:t>14</w:t>
      </w:r>
      <w:r>
        <w:rPr>
          <w:rFonts w:hint="eastAsia" w:ascii="宋体" w:hAnsi="宋体" w:eastAsia="宋体" w:cs="宋体"/>
          <w:bCs/>
          <w:color w:val="auto"/>
          <w:sz w:val="21"/>
          <w:szCs w:val="21"/>
          <w:highlight w:val="none"/>
          <w:lang w:eastAsia="zh-CN"/>
        </w:rPr>
        <w:t>.7磋商总报价应包括本次采购范围内提供的服务、技术费、人工费、保险、税金、培训、版权费等全部费用，磋商供应商综合考虑在报价中。</w:t>
      </w:r>
    </w:p>
    <w:p w14:paraId="4A582DF3">
      <w:pPr>
        <w:keepNext w:val="0"/>
        <w:keepLines w:val="0"/>
        <w:pageBreakBefore w:val="0"/>
        <w:widowControl w:val="0"/>
        <w:kinsoku/>
        <w:wordWrap/>
        <w:overflowPunct/>
        <w:topLinePunct w:val="0"/>
        <w:autoSpaceDE/>
        <w:autoSpaceDN/>
        <w:bidi w:val="0"/>
        <w:adjustRightInd/>
        <w:snapToGrid/>
        <w:spacing w:line="440" w:lineRule="exact"/>
        <w:ind w:left="0" w:leftChars="0" w:right="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val="en-US" w:eastAsia="zh-CN"/>
        </w:rPr>
        <w:t>14</w:t>
      </w:r>
      <w:r>
        <w:rPr>
          <w:rFonts w:hint="eastAsia" w:ascii="宋体" w:hAnsi="宋体" w:eastAsia="宋体" w:cs="宋体"/>
          <w:bCs/>
          <w:color w:val="auto"/>
          <w:sz w:val="21"/>
          <w:szCs w:val="21"/>
          <w:highlight w:val="none"/>
          <w:lang w:eastAsia="zh-CN"/>
        </w:rPr>
        <w:t>.8工程量清单报价表中所报的单价和合价，以及报价汇总表中的价格应包括施工设备（含脚手架）、主要材料、辅助材料、安装（如工程量清单中未列所安装设备则包含所安装设备的采购）、垃圾清运、劳务、管理、维护、保险、利润、增值税、政策性文件规定及合同包含的所有风险、责任等各项应有费用。</w:t>
      </w:r>
    </w:p>
    <w:p w14:paraId="530302DA">
      <w:pPr>
        <w:keepNext w:val="0"/>
        <w:keepLines w:val="0"/>
        <w:pageBreakBefore w:val="0"/>
        <w:widowControl w:val="0"/>
        <w:kinsoku/>
        <w:wordWrap/>
        <w:overflowPunct/>
        <w:topLinePunct w:val="0"/>
        <w:autoSpaceDE/>
        <w:autoSpaceDN/>
        <w:bidi w:val="0"/>
        <w:adjustRightInd/>
        <w:snapToGrid/>
        <w:spacing w:line="440" w:lineRule="exact"/>
        <w:ind w:left="0" w:leftChars="0" w:right="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val="en-US" w:eastAsia="zh-CN"/>
        </w:rPr>
        <w:t>14</w:t>
      </w:r>
      <w:r>
        <w:rPr>
          <w:rFonts w:hint="eastAsia" w:ascii="宋体" w:hAnsi="宋体" w:eastAsia="宋体" w:cs="宋体"/>
          <w:bCs/>
          <w:color w:val="auto"/>
          <w:sz w:val="21"/>
          <w:szCs w:val="21"/>
          <w:highlight w:val="none"/>
          <w:lang w:eastAsia="zh-CN"/>
        </w:rPr>
        <w:t>.9磋商供应商应按磋商文件提供的工程量清单计算工程项目的综合单价和合价。清单中的每一项均需计算填写综合单价和合价，磋商供应商没有填写综合单价和合价的项目将不予支付，并认为此项费用已包括在清单的其他综合单价和合价中。磋商供应商在清单中多报的细目或单价、合价或总额价发包人将不予支持。</w:t>
      </w:r>
    </w:p>
    <w:p w14:paraId="4C956482">
      <w:pPr>
        <w:keepNext w:val="0"/>
        <w:keepLines w:val="0"/>
        <w:pageBreakBefore w:val="0"/>
        <w:widowControl w:val="0"/>
        <w:kinsoku/>
        <w:wordWrap/>
        <w:overflowPunct/>
        <w:topLinePunct w:val="0"/>
        <w:autoSpaceDE/>
        <w:autoSpaceDN/>
        <w:bidi w:val="0"/>
        <w:adjustRightInd/>
        <w:snapToGrid/>
        <w:spacing w:line="440" w:lineRule="exact"/>
        <w:ind w:left="0" w:leftChars="0" w:right="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val="en-US" w:eastAsia="zh-CN"/>
        </w:rPr>
        <w:t>14</w:t>
      </w:r>
      <w:r>
        <w:rPr>
          <w:rFonts w:hint="eastAsia" w:ascii="宋体" w:hAnsi="宋体" w:eastAsia="宋体" w:cs="宋体"/>
          <w:bCs/>
          <w:color w:val="auto"/>
          <w:sz w:val="21"/>
          <w:szCs w:val="21"/>
          <w:highlight w:val="none"/>
          <w:lang w:eastAsia="zh-CN"/>
        </w:rPr>
        <w:t>.10磋商供应商应对磋商文件中清单所列的各项内容和要求作实质性响应。</w:t>
      </w:r>
    </w:p>
    <w:p w14:paraId="0093BFC5">
      <w:pPr>
        <w:keepNext w:val="0"/>
        <w:keepLines w:val="0"/>
        <w:pageBreakBefore w:val="0"/>
        <w:widowControl w:val="0"/>
        <w:kinsoku/>
        <w:wordWrap/>
        <w:overflowPunct/>
        <w:topLinePunct w:val="0"/>
        <w:autoSpaceDE/>
        <w:autoSpaceDN/>
        <w:bidi w:val="0"/>
        <w:adjustRightInd/>
        <w:snapToGrid/>
        <w:spacing w:line="440" w:lineRule="exact"/>
        <w:ind w:left="0" w:leftChars="0" w:right="0" w:firstLine="420" w:firstLineChars="200"/>
        <w:textAlignment w:val="auto"/>
        <w:rPr>
          <w:rFonts w:hint="eastAsia" w:ascii="宋体" w:hAnsi="宋体" w:eastAsia="宋体" w:cs="宋体"/>
          <w:bCs/>
          <w:color w:val="auto"/>
          <w:sz w:val="21"/>
          <w:szCs w:val="21"/>
          <w:highlight w:val="none"/>
        </w:rPr>
      </w:pPr>
      <w:r>
        <w:rPr>
          <w:rFonts w:hint="eastAsia" w:ascii="宋体" w:hAnsi="宋体" w:cs="宋体"/>
          <w:bCs/>
          <w:color w:val="auto"/>
          <w:sz w:val="21"/>
          <w:szCs w:val="21"/>
          <w:highlight w:val="none"/>
          <w:lang w:val="en-US" w:eastAsia="zh-CN"/>
        </w:rPr>
        <w:t>14</w:t>
      </w:r>
      <w:r>
        <w:rPr>
          <w:rFonts w:hint="eastAsia" w:ascii="宋体" w:hAnsi="宋体" w:eastAsia="宋体" w:cs="宋体"/>
          <w:bCs/>
          <w:color w:val="auto"/>
          <w:sz w:val="21"/>
          <w:szCs w:val="21"/>
          <w:highlight w:val="none"/>
          <w:lang w:eastAsia="zh-CN"/>
        </w:rPr>
        <w:t>.11磋商供应商应采用综合单价对工程量清单进行磋商，不得采用总价让利或以百分比让利等形式进行磋商。</w:t>
      </w:r>
    </w:p>
    <w:p w14:paraId="06E43952">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bCs/>
          <w:color w:val="auto"/>
          <w:szCs w:val="21"/>
          <w:highlight w:val="none"/>
        </w:rPr>
      </w:pPr>
      <w:r>
        <w:rPr>
          <w:rFonts w:hint="eastAsia" w:ascii="宋体" w:hAnsi="宋体" w:cs="宋体"/>
          <w:color w:val="auto"/>
          <w:szCs w:val="21"/>
          <w:highlight w:val="none"/>
          <w:lang w:val="en-US" w:eastAsia="zh-CN"/>
        </w:rPr>
        <w:t>14</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12</w:t>
      </w:r>
      <w:r>
        <w:rPr>
          <w:rFonts w:hint="eastAsia" w:ascii="宋体" w:hAnsi="宋体" w:eastAsia="宋体" w:cs="宋体"/>
          <w:color w:val="auto"/>
          <w:szCs w:val="21"/>
          <w:highlight w:val="none"/>
        </w:rPr>
        <w:t>供应商应在规定时间内在</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系统上提交最后报价，超出</w:t>
      </w:r>
      <w:r>
        <w:rPr>
          <w:rFonts w:hint="eastAsia" w:ascii="宋体" w:hAnsi="宋体" w:cs="宋体"/>
          <w:color w:val="auto"/>
          <w:szCs w:val="21"/>
          <w:highlight w:val="none"/>
          <w:lang w:eastAsia="zh-CN"/>
        </w:rPr>
        <w:t>磋商小组</w:t>
      </w:r>
      <w:r>
        <w:rPr>
          <w:rFonts w:hint="eastAsia" w:ascii="宋体" w:hAnsi="宋体" w:eastAsia="宋体" w:cs="宋体"/>
          <w:color w:val="auto"/>
          <w:szCs w:val="21"/>
          <w:highlight w:val="none"/>
        </w:rPr>
        <w:t>设定的最后报价时限或其最后报价超出采购预算导致已通过评审的响应文件无效的，按供应商在提交响应文件截止时间后撤回响应文件处理。</w:t>
      </w:r>
    </w:p>
    <w:p w14:paraId="6583F818">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rPr>
      </w:pPr>
      <w:bookmarkStart w:id="88" w:name="_Toc26881"/>
      <w:bookmarkStart w:id="89" w:name="_Toc30554"/>
      <w:r>
        <w:rPr>
          <w:rFonts w:hint="eastAsia" w:ascii="宋体" w:hAnsi="宋体" w:eastAsia="宋体" w:cs="宋体"/>
          <w:color w:val="auto"/>
          <w:sz w:val="21"/>
          <w:szCs w:val="21"/>
          <w:highlight w:val="none"/>
        </w:rPr>
        <w:t>响应文件有效期</w:t>
      </w:r>
      <w:bookmarkEnd w:id="88"/>
      <w:bookmarkEnd w:id="89"/>
    </w:p>
    <w:p w14:paraId="6D9FD9BB">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15</w:t>
      </w:r>
      <w:r>
        <w:rPr>
          <w:rFonts w:hint="eastAsia" w:ascii="宋体" w:hAnsi="宋体" w:eastAsia="宋体" w:cs="宋体"/>
          <w:color w:val="auto"/>
          <w:szCs w:val="21"/>
          <w:highlight w:val="none"/>
        </w:rPr>
        <w:t>.1 响应文件有效期：响应文件递交截止时间之日起90天，有效期不足的响应文件将被拒绝。</w:t>
      </w:r>
    </w:p>
    <w:p w14:paraId="57D9B4FD">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15</w:t>
      </w:r>
      <w:r>
        <w:rPr>
          <w:rFonts w:hint="eastAsia" w:ascii="宋体" w:hAnsi="宋体" w:eastAsia="宋体" w:cs="宋体"/>
          <w:color w:val="auto"/>
          <w:szCs w:val="21"/>
          <w:highlight w:val="none"/>
        </w:rPr>
        <w:t>.2 出现特殊情况下，需要延长响应文件有效期的，采购代理机构</w:t>
      </w:r>
      <w:r>
        <w:rPr>
          <w:rFonts w:hint="eastAsia" w:ascii="宋体" w:hAnsi="宋体" w:eastAsia="宋体" w:cs="宋体"/>
          <w:color w:val="auto"/>
          <w:szCs w:val="21"/>
          <w:highlight w:val="none"/>
          <w:lang w:eastAsia="zh-CN"/>
        </w:rPr>
        <w:t>书面</w:t>
      </w:r>
      <w:r>
        <w:rPr>
          <w:rFonts w:hint="eastAsia" w:ascii="宋体" w:hAnsi="宋体" w:eastAsia="宋体" w:cs="宋体"/>
          <w:color w:val="auto"/>
          <w:szCs w:val="21"/>
          <w:highlight w:val="none"/>
        </w:rPr>
        <w:t>通知供应商延长响应文件有效期。供应商同意延长的，但不能修改响应文件。供应商拒绝延长的，其响应文件无效。</w:t>
      </w:r>
    </w:p>
    <w:p w14:paraId="7001A65A">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rPr>
      </w:pPr>
      <w:bookmarkStart w:id="90" w:name="_Toc20698"/>
      <w:bookmarkStart w:id="91" w:name="_Toc22602"/>
      <w:r>
        <w:rPr>
          <w:rFonts w:hint="eastAsia" w:ascii="宋体" w:hAnsi="宋体" w:eastAsia="宋体" w:cs="宋体"/>
          <w:color w:val="auto"/>
          <w:sz w:val="21"/>
          <w:szCs w:val="21"/>
          <w:highlight w:val="none"/>
        </w:rPr>
        <w:t>保证金</w:t>
      </w:r>
      <w:bookmarkEnd w:id="90"/>
      <w:bookmarkEnd w:id="91"/>
    </w:p>
    <w:p w14:paraId="54FE4CE1">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本项目无需缴纳磋商保证金。</w:t>
      </w:r>
    </w:p>
    <w:p w14:paraId="52776D7B">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lang w:eastAsia="zh-CN"/>
        </w:rPr>
      </w:pPr>
      <w:bookmarkStart w:id="92" w:name="_Toc387"/>
      <w:bookmarkStart w:id="93" w:name="_Toc30118"/>
      <w:r>
        <w:rPr>
          <w:rFonts w:hint="eastAsia" w:ascii="宋体" w:hAnsi="宋体" w:eastAsia="宋体" w:cs="宋体"/>
          <w:color w:val="auto"/>
          <w:sz w:val="21"/>
          <w:szCs w:val="21"/>
          <w:highlight w:val="none"/>
        </w:rPr>
        <w:t>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响应文件的</w:t>
      </w:r>
      <w:bookmarkEnd w:id="92"/>
      <w:r>
        <w:rPr>
          <w:rFonts w:hint="eastAsia" w:ascii="宋体" w:hAnsi="宋体" w:eastAsia="宋体" w:cs="宋体"/>
          <w:color w:val="auto"/>
          <w:sz w:val="21"/>
          <w:szCs w:val="21"/>
          <w:highlight w:val="none"/>
          <w:lang w:eastAsia="zh-CN"/>
        </w:rPr>
        <w:t>制作</w:t>
      </w:r>
      <w:bookmarkEnd w:id="93"/>
    </w:p>
    <w:p w14:paraId="004CEE11">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17.</w:t>
      </w:r>
      <w:r>
        <w:rPr>
          <w:rFonts w:hint="eastAsia" w:ascii="宋体" w:hAnsi="宋体" w:eastAsia="宋体" w:cs="宋体"/>
          <w:color w:val="auto"/>
          <w:szCs w:val="21"/>
          <w:highlight w:val="none"/>
        </w:rPr>
        <w:t>1 电子</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响应文件中须加盖供应商公章部分均采用</w:t>
      </w:r>
      <w:r>
        <w:rPr>
          <w:rFonts w:hint="eastAsia" w:ascii="宋体" w:hAnsi="宋体" w:cs="宋体"/>
          <w:color w:val="auto"/>
          <w:szCs w:val="21"/>
          <w:highlight w:val="none"/>
          <w:lang w:eastAsia="zh-CN"/>
        </w:rPr>
        <w:t>数字证书（CA认证）</w:t>
      </w:r>
      <w:r>
        <w:rPr>
          <w:rFonts w:hint="eastAsia" w:ascii="宋体" w:hAnsi="宋体" w:eastAsia="宋体" w:cs="宋体"/>
          <w:color w:val="auto"/>
          <w:szCs w:val="21"/>
          <w:highlight w:val="none"/>
        </w:rPr>
        <w:t xml:space="preserve"> 签章，并根据“政府采购项目电子交易管理操作指南-供应商” 及本</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文件规定的格式和顺序编制电子</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响应文件并进行关联定位，以便</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小组在评</w:t>
      </w:r>
      <w:r>
        <w:rPr>
          <w:rFonts w:hint="eastAsia" w:ascii="宋体" w:hAnsi="宋体" w:eastAsia="宋体" w:cs="宋体"/>
          <w:color w:val="auto"/>
          <w:szCs w:val="21"/>
          <w:highlight w:val="none"/>
          <w:lang w:val="en-US" w:eastAsia="zh-CN"/>
        </w:rPr>
        <w:t>审</w:t>
      </w:r>
      <w:r>
        <w:rPr>
          <w:rFonts w:hint="eastAsia" w:ascii="宋体" w:hAnsi="宋体" w:eastAsia="宋体" w:cs="宋体"/>
          <w:color w:val="auto"/>
          <w:szCs w:val="21"/>
          <w:highlight w:val="none"/>
        </w:rPr>
        <w:t>时，点击评分项可直接定位到该评分项内容。如对</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文件的某项要求，供应商的电子</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响应文件未能关联定位提供相应的内容与其对应，则</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小组在评审时如做出对供应商不利的评审由供应商自行承担。电子</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响应文件如内容不完整、编排混乱导致</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响应文件被误读、 漏读，或者在按采购文件规定的部位查找不到相关内容的，由供应商自行承担。</w:t>
      </w:r>
    </w:p>
    <w:p w14:paraId="107D33F4">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17.</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供应商法人（负责人）或授权代表持有个人</w:t>
      </w:r>
      <w:r>
        <w:rPr>
          <w:rFonts w:hint="eastAsia" w:ascii="宋体" w:hAnsi="宋体" w:cs="宋体"/>
          <w:color w:val="auto"/>
          <w:szCs w:val="21"/>
          <w:highlight w:val="none"/>
          <w:lang w:eastAsia="zh-CN"/>
        </w:rPr>
        <w:t>数字证书（CA认证）</w:t>
      </w:r>
      <w:r>
        <w:rPr>
          <w:rFonts w:hint="eastAsia" w:ascii="宋体" w:hAnsi="宋体" w:eastAsia="宋体" w:cs="宋体"/>
          <w:color w:val="auto"/>
          <w:szCs w:val="21"/>
          <w:highlight w:val="none"/>
        </w:rPr>
        <w:t>签章的，应在</w:t>
      </w:r>
      <w:r>
        <w:rPr>
          <w:rFonts w:hint="eastAsia" w:ascii="宋体" w:hAnsi="宋体" w:eastAsia="宋体" w:cs="宋体"/>
          <w:color w:val="auto"/>
          <w:szCs w:val="21"/>
          <w:highlight w:val="none"/>
          <w:lang w:eastAsia="zh-CN"/>
        </w:rPr>
        <w:t>响应</w:t>
      </w:r>
      <w:r>
        <w:rPr>
          <w:rFonts w:hint="eastAsia" w:ascii="宋体" w:hAnsi="宋体" w:eastAsia="宋体" w:cs="宋体"/>
          <w:color w:val="auto"/>
          <w:szCs w:val="21"/>
          <w:highlight w:val="none"/>
        </w:rPr>
        <w:t>文件中涉及到签字的位置使用个人</w:t>
      </w:r>
      <w:r>
        <w:rPr>
          <w:rFonts w:hint="eastAsia" w:ascii="宋体" w:hAnsi="宋体" w:cs="宋体"/>
          <w:color w:val="auto"/>
          <w:szCs w:val="21"/>
          <w:highlight w:val="none"/>
          <w:lang w:eastAsia="zh-CN"/>
        </w:rPr>
        <w:t>数字证书（CA认证）</w:t>
      </w:r>
      <w:r>
        <w:rPr>
          <w:rFonts w:hint="eastAsia" w:ascii="宋体" w:hAnsi="宋体" w:eastAsia="宋体" w:cs="宋体"/>
          <w:color w:val="auto"/>
          <w:szCs w:val="21"/>
          <w:highlight w:val="none"/>
        </w:rPr>
        <w:t>签章，没有办理个人</w:t>
      </w:r>
      <w:r>
        <w:rPr>
          <w:rFonts w:hint="eastAsia" w:ascii="宋体" w:hAnsi="宋体" w:cs="宋体"/>
          <w:color w:val="auto"/>
          <w:szCs w:val="21"/>
          <w:highlight w:val="none"/>
          <w:lang w:eastAsia="zh-CN"/>
        </w:rPr>
        <w:t>数字证书（CA认证）</w:t>
      </w:r>
      <w:r>
        <w:rPr>
          <w:rFonts w:hint="eastAsia" w:ascii="宋体" w:hAnsi="宋体" w:eastAsia="宋体" w:cs="宋体"/>
          <w:color w:val="auto"/>
          <w:szCs w:val="21"/>
          <w:highlight w:val="none"/>
        </w:rPr>
        <w:t>签章的可在</w:t>
      </w:r>
      <w:r>
        <w:rPr>
          <w:rFonts w:hint="eastAsia" w:ascii="宋体" w:hAnsi="宋体" w:eastAsia="宋体" w:cs="宋体"/>
          <w:color w:val="auto"/>
          <w:szCs w:val="21"/>
          <w:highlight w:val="none"/>
          <w:lang w:eastAsia="zh-CN"/>
        </w:rPr>
        <w:t>响应</w:t>
      </w:r>
      <w:r>
        <w:rPr>
          <w:rFonts w:hint="eastAsia" w:ascii="宋体" w:hAnsi="宋体" w:eastAsia="宋体" w:cs="宋体"/>
          <w:color w:val="auto"/>
          <w:szCs w:val="21"/>
          <w:highlight w:val="none"/>
        </w:rPr>
        <w:t>文件中涉及到签字的位置手写签字后扫描或者拍照做成 PDF 的格式上传即可。</w:t>
      </w:r>
    </w:p>
    <w:p w14:paraId="4D5A91DA">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17.</w:t>
      </w:r>
      <w:r>
        <w:rPr>
          <w:rFonts w:hint="eastAsia" w:ascii="宋体" w:hAnsi="宋体" w:eastAsia="宋体" w:cs="宋体"/>
          <w:color w:val="auto"/>
          <w:szCs w:val="21"/>
          <w:highlight w:val="none"/>
        </w:rPr>
        <w:t xml:space="preserve">3 </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响应文件不得涂改，若有修改错漏处，须法定代表人（负责人）或授权委托人签字</w:t>
      </w:r>
      <w:r>
        <w:rPr>
          <w:rFonts w:hint="eastAsia" w:ascii="宋体" w:hAnsi="宋体" w:eastAsia="宋体" w:cs="宋体"/>
          <w:color w:val="auto"/>
          <w:szCs w:val="21"/>
          <w:highlight w:val="none"/>
          <w:lang w:eastAsia="zh-CN"/>
        </w:rPr>
        <w:t>（或个人</w:t>
      </w:r>
      <w:r>
        <w:rPr>
          <w:rFonts w:hint="eastAsia" w:ascii="宋体" w:hAnsi="宋体" w:cs="宋体"/>
          <w:color w:val="auto"/>
          <w:szCs w:val="21"/>
          <w:highlight w:val="none"/>
          <w:lang w:val="en-US" w:eastAsia="zh-CN"/>
        </w:rPr>
        <w:t>数字证书（CA认证）</w:t>
      </w:r>
      <w:r>
        <w:rPr>
          <w:rFonts w:hint="eastAsia" w:ascii="宋体" w:hAnsi="宋体" w:eastAsia="宋体" w:cs="宋体"/>
          <w:color w:val="auto"/>
          <w:szCs w:val="21"/>
          <w:highlight w:val="none"/>
          <w:lang w:val="en-US" w:eastAsia="zh-CN"/>
        </w:rPr>
        <w:t>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响应文件因字迹潦草或表达不清所引起的后果由供应商负责。</w:t>
      </w:r>
    </w:p>
    <w:p w14:paraId="1F7855BF">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17.</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 xml:space="preserve">磋商前准备 </w:t>
      </w:r>
    </w:p>
    <w:p w14:paraId="619C6C36">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17.</w:t>
      </w:r>
      <w:r>
        <w:rPr>
          <w:rFonts w:hint="eastAsia" w:ascii="宋体" w:hAnsi="宋体" w:eastAsia="宋体" w:cs="宋体"/>
          <w:color w:val="auto"/>
          <w:szCs w:val="21"/>
          <w:highlight w:val="none"/>
          <w:lang w:val="en-US" w:eastAsia="zh-CN"/>
        </w:rPr>
        <w:t>4.1</w:t>
      </w:r>
      <w:r>
        <w:rPr>
          <w:rFonts w:hint="eastAsia" w:ascii="宋体" w:hAnsi="宋体" w:eastAsia="宋体" w:cs="宋体"/>
          <w:color w:val="auto"/>
          <w:szCs w:val="21"/>
          <w:highlight w:val="none"/>
          <w:lang w:eastAsia="zh-CN"/>
        </w:rPr>
        <w:t xml:space="preserve">本项目实行在线磋商，采用电子磋商响应文件。若供应商参与磋商，自行承担磋商一切费用。 </w:t>
      </w:r>
    </w:p>
    <w:p w14:paraId="1006E918">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17.</w:t>
      </w:r>
      <w:r>
        <w:rPr>
          <w:rFonts w:hint="eastAsia" w:ascii="宋体" w:hAnsi="宋体" w:eastAsia="宋体" w:cs="宋体"/>
          <w:color w:val="auto"/>
          <w:szCs w:val="21"/>
          <w:highlight w:val="none"/>
          <w:lang w:val="en-US" w:eastAsia="zh-CN"/>
        </w:rPr>
        <w:t>4.2</w:t>
      </w:r>
      <w:r>
        <w:rPr>
          <w:rFonts w:hint="eastAsia" w:ascii="宋体" w:hAnsi="宋体" w:eastAsia="宋体" w:cs="宋体"/>
          <w:color w:val="auto"/>
          <w:szCs w:val="21"/>
          <w:highlight w:val="none"/>
          <w:lang w:eastAsia="zh-CN"/>
        </w:rPr>
        <w:t>各供应商应在截标前应确保成为</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lang w:eastAsia="zh-CN"/>
        </w:rPr>
        <w:t>正式注册入库供应商，并完成</w:t>
      </w:r>
      <w:r>
        <w:rPr>
          <w:rFonts w:hint="eastAsia" w:ascii="宋体" w:hAnsi="宋体" w:cs="宋体"/>
          <w:color w:val="auto"/>
          <w:szCs w:val="21"/>
          <w:highlight w:val="none"/>
          <w:lang w:eastAsia="zh-CN"/>
        </w:rPr>
        <w:t>数字证书（CA认证）</w:t>
      </w:r>
      <w:r>
        <w:rPr>
          <w:rFonts w:hint="eastAsia" w:ascii="宋体" w:hAnsi="宋体" w:eastAsia="宋体" w:cs="宋体"/>
          <w:color w:val="auto"/>
          <w:szCs w:val="21"/>
          <w:highlight w:val="none"/>
          <w:lang w:eastAsia="zh-CN"/>
        </w:rPr>
        <w:t xml:space="preserve"> 申领。因未注册入库、未办理</w:t>
      </w:r>
      <w:r>
        <w:rPr>
          <w:rFonts w:hint="eastAsia" w:ascii="宋体" w:hAnsi="宋体" w:cs="宋体"/>
          <w:color w:val="auto"/>
          <w:szCs w:val="21"/>
          <w:highlight w:val="none"/>
          <w:lang w:eastAsia="zh-CN"/>
        </w:rPr>
        <w:t>数字证书（CA认证）</w:t>
      </w:r>
      <w:r>
        <w:rPr>
          <w:rFonts w:hint="eastAsia" w:ascii="宋体" w:hAnsi="宋体" w:eastAsia="宋体" w:cs="宋体"/>
          <w:color w:val="auto"/>
          <w:szCs w:val="21"/>
          <w:highlight w:val="none"/>
          <w:lang w:eastAsia="zh-CN"/>
        </w:rPr>
        <w:t xml:space="preserve">等原因造成无法磋商或磋商失败等后果由供应商自行承担。 </w:t>
      </w:r>
    </w:p>
    <w:p w14:paraId="72E68780">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17.</w:t>
      </w:r>
      <w:r>
        <w:rPr>
          <w:rFonts w:hint="eastAsia" w:ascii="宋体" w:hAnsi="宋体" w:eastAsia="宋体" w:cs="宋体"/>
          <w:color w:val="auto"/>
          <w:szCs w:val="21"/>
          <w:highlight w:val="none"/>
          <w:lang w:val="en-US" w:eastAsia="zh-CN"/>
        </w:rPr>
        <w:t>4.3</w:t>
      </w:r>
      <w:r>
        <w:rPr>
          <w:rFonts w:hint="eastAsia" w:ascii="宋体" w:hAnsi="宋体" w:eastAsia="宋体" w:cs="宋体"/>
          <w:color w:val="auto"/>
          <w:szCs w:val="21"/>
          <w:highlight w:val="none"/>
          <w:lang w:eastAsia="zh-CN"/>
        </w:rPr>
        <w:t>供应商将</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lang w:eastAsia="zh-CN"/>
        </w:rPr>
        <w:t>电子交易客户端下载、安装完成后，可通过账号密码或</w:t>
      </w:r>
      <w:r>
        <w:rPr>
          <w:rFonts w:hint="eastAsia" w:ascii="宋体" w:hAnsi="宋体" w:cs="宋体"/>
          <w:color w:val="auto"/>
          <w:szCs w:val="21"/>
          <w:highlight w:val="none"/>
          <w:lang w:eastAsia="zh-CN"/>
        </w:rPr>
        <w:t>数字证书（CA认证）</w:t>
      </w:r>
      <w:r>
        <w:rPr>
          <w:rFonts w:hint="eastAsia" w:ascii="宋体" w:hAnsi="宋体" w:eastAsia="宋体" w:cs="宋体"/>
          <w:color w:val="auto"/>
          <w:szCs w:val="21"/>
          <w:highlight w:val="none"/>
          <w:lang w:eastAsia="zh-CN"/>
        </w:rPr>
        <w:t xml:space="preserve"> 登录客户端进行响应文件制作。客户端请至网站下载专区查看，如有问题可拨打</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lang w:eastAsia="zh-CN"/>
        </w:rPr>
        <w:t xml:space="preserve">客户服务热线 </w:t>
      </w:r>
      <w:r>
        <w:rPr>
          <w:rFonts w:hint="eastAsia" w:ascii="宋体" w:hAnsi="宋体" w:cs="宋体"/>
          <w:color w:val="auto"/>
          <w:szCs w:val="21"/>
          <w:highlight w:val="none"/>
          <w:lang w:eastAsia="zh-CN"/>
        </w:rPr>
        <w:t>95763</w:t>
      </w:r>
      <w:r>
        <w:rPr>
          <w:rFonts w:hint="eastAsia" w:ascii="宋体" w:hAnsi="宋体" w:eastAsia="宋体" w:cs="宋体"/>
          <w:color w:val="auto"/>
          <w:szCs w:val="21"/>
          <w:highlight w:val="none"/>
          <w:lang w:eastAsia="zh-CN"/>
        </w:rPr>
        <w:t xml:space="preserve"> 进行咨询。</w:t>
      </w:r>
    </w:p>
    <w:p w14:paraId="4E9A47D6">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rPr>
      </w:pPr>
      <w:bookmarkStart w:id="94" w:name="_Toc9738"/>
      <w:r>
        <w:rPr>
          <w:rFonts w:hint="eastAsia" w:ascii="宋体" w:hAnsi="宋体" w:eastAsia="宋体" w:cs="宋体"/>
          <w:color w:val="auto"/>
          <w:sz w:val="21"/>
          <w:szCs w:val="21"/>
          <w:highlight w:val="none"/>
        </w:rPr>
        <w:t>响应文件的修改和撤回</w:t>
      </w:r>
      <w:bookmarkEnd w:id="94"/>
    </w:p>
    <w:p w14:paraId="2941775C">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18</w:t>
      </w:r>
      <w:r>
        <w:rPr>
          <w:rFonts w:hint="eastAsia" w:ascii="宋体" w:hAnsi="宋体" w:eastAsia="宋体" w:cs="宋体"/>
          <w:color w:val="auto"/>
          <w:szCs w:val="21"/>
          <w:highlight w:val="none"/>
        </w:rPr>
        <w:t xml:space="preserve">.1 </w:t>
      </w:r>
      <w:r>
        <w:rPr>
          <w:rFonts w:hint="eastAsia" w:ascii="宋体" w:hAnsi="宋体" w:eastAsia="宋体" w:cs="宋体"/>
          <w:color w:val="auto"/>
          <w:szCs w:val="21"/>
          <w:highlight w:val="none"/>
          <w:lang w:eastAsia="zh-CN"/>
        </w:rPr>
        <w:t>响应文件递交截止时间前可以撤回电子磋商响应文件。补充或者修改电子磋商响应文件的，应当先行撤回原文件，补充、修改后重新传输递交，磋商响应文件递交截止时间前未完成传输的，视为撤回磋商响应文件。</w:t>
      </w:r>
    </w:p>
    <w:p w14:paraId="29C68274">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18</w:t>
      </w:r>
      <w:r>
        <w:rPr>
          <w:rFonts w:hint="eastAsia" w:ascii="宋体" w:hAnsi="宋体" w:eastAsia="宋体" w:cs="宋体"/>
          <w:color w:val="auto"/>
          <w:szCs w:val="21"/>
          <w:highlight w:val="none"/>
        </w:rPr>
        <w:t>.2 在响应文件递交截止时间后的响应文件有效期内，供应商不得撤回其响应文件。</w:t>
      </w:r>
    </w:p>
    <w:p w14:paraId="7A22F8A9">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lang w:eastAsia="zh-CN"/>
        </w:rPr>
      </w:pPr>
      <w:bookmarkStart w:id="95" w:name="_Toc30156"/>
      <w:bookmarkStart w:id="96" w:name="_Toc24690"/>
      <w:r>
        <w:rPr>
          <w:rFonts w:hint="eastAsia" w:ascii="宋体" w:hAnsi="宋体" w:eastAsia="宋体" w:cs="宋体"/>
          <w:color w:val="auto"/>
          <w:sz w:val="21"/>
          <w:szCs w:val="21"/>
          <w:highlight w:val="none"/>
        </w:rPr>
        <w:t>响应文件的递交</w:t>
      </w:r>
      <w:r>
        <w:rPr>
          <w:rFonts w:hint="eastAsia" w:ascii="宋体" w:hAnsi="宋体" w:eastAsia="宋体" w:cs="宋体"/>
          <w:color w:val="auto"/>
          <w:sz w:val="21"/>
          <w:szCs w:val="21"/>
          <w:highlight w:val="none"/>
          <w:lang w:eastAsia="zh-CN"/>
        </w:rPr>
        <w:t>和解密</w:t>
      </w:r>
      <w:bookmarkEnd w:id="95"/>
      <w:bookmarkEnd w:id="96"/>
    </w:p>
    <w:p w14:paraId="11DDCCB7">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19.</w:t>
      </w:r>
      <w:r>
        <w:rPr>
          <w:rFonts w:hint="eastAsia" w:ascii="宋体" w:hAnsi="宋体" w:eastAsia="宋体" w:cs="宋体"/>
          <w:color w:val="auto"/>
          <w:szCs w:val="21"/>
          <w:highlight w:val="none"/>
        </w:rPr>
        <w:t>1响应文件递交截止时间</w:t>
      </w:r>
      <w:r>
        <w:rPr>
          <w:rFonts w:hint="eastAsia" w:ascii="宋体" w:hAnsi="宋体" w:eastAsia="宋体" w:cs="宋体"/>
          <w:color w:val="auto"/>
          <w:szCs w:val="21"/>
          <w:highlight w:val="none"/>
          <w:lang w:eastAsia="zh-CN"/>
        </w:rPr>
        <w:t>：于</w:t>
      </w:r>
      <w:r>
        <w:rPr>
          <w:rFonts w:hint="eastAsia" w:ascii="宋体" w:hAnsi="宋体" w:cs="宋体"/>
          <w:color w:val="auto"/>
          <w:sz w:val="21"/>
          <w:szCs w:val="21"/>
          <w:highlight w:val="none"/>
          <w:u w:val="single"/>
          <w:lang w:eastAsia="zh-CN"/>
        </w:rPr>
        <w:t>2026年09月01日</w:t>
      </w:r>
      <w:r>
        <w:rPr>
          <w:rFonts w:hint="eastAsia" w:ascii="宋体" w:hAnsi="宋体" w:cs="宋体"/>
          <w:color w:val="auto"/>
          <w:sz w:val="21"/>
          <w:szCs w:val="21"/>
          <w:highlight w:val="none"/>
          <w:u w:val="single"/>
          <w:lang w:val="en-US" w:eastAsia="zh-CN"/>
        </w:rPr>
        <w:t>9时30分</w:t>
      </w:r>
      <w:r>
        <w:rPr>
          <w:rFonts w:hint="eastAsia" w:ascii="宋体" w:hAnsi="宋体" w:eastAsia="宋体" w:cs="宋体"/>
          <w:color w:val="auto"/>
          <w:szCs w:val="21"/>
          <w:highlight w:val="none"/>
        </w:rPr>
        <w:t>之前将电子磋商响应文件上传到</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。应按照本项目磋商文件和</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的要求编制、加密传输磋商响应文件。供应商在使用系统进行</w:t>
      </w:r>
      <w:r>
        <w:rPr>
          <w:rFonts w:hint="eastAsia" w:ascii="宋体" w:hAnsi="宋体" w:cs="宋体"/>
          <w:color w:val="auto"/>
          <w:szCs w:val="21"/>
          <w:highlight w:val="none"/>
          <w:lang w:eastAsia="zh-CN"/>
        </w:rPr>
        <w:t>响应</w:t>
      </w:r>
      <w:r>
        <w:rPr>
          <w:rFonts w:hint="eastAsia" w:ascii="宋体" w:hAnsi="宋体" w:eastAsia="宋体" w:cs="宋体"/>
          <w:color w:val="auto"/>
          <w:szCs w:val="21"/>
          <w:highlight w:val="none"/>
        </w:rPr>
        <w:t>的过程中遇到涉及平台使用的任何问题，可致电</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技术支持热线咨询，联系方式：</w:t>
      </w:r>
      <w:r>
        <w:rPr>
          <w:rFonts w:hint="eastAsia" w:ascii="宋体" w:hAnsi="宋体" w:cs="宋体"/>
          <w:color w:val="auto"/>
          <w:szCs w:val="21"/>
          <w:highlight w:val="none"/>
          <w:lang w:eastAsia="zh-CN"/>
        </w:rPr>
        <w:t>95763</w:t>
      </w:r>
      <w:r>
        <w:rPr>
          <w:rFonts w:hint="eastAsia" w:ascii="宋体" w:hAnsi="宋体" w:eastAsia="宋体" w:cs="宋体"/>
          <w:color w:val="auto"/>
          <w:szCs w:val="21"/>
          <w:highlight w:val="none"/>
        </w:rPr>
        <w:t>。</w:t>
      </w:r>
    </w:p>
    <w:p w14:paraId="6DA69799">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19.</w:t>
      </w:r>
      <w:r>
        <w:rPr>
          <w:rFonts w:hint="eastAsia" w:ascii="宋体" w:hAnsi="宋体" w:eastAsia="宋体" w:cs="宋体"/>
          <w:color w:val="auto"/>
          <w:szCs w:val="21"/>
          <w:highlight w:val="none"/>
        </w:rPr>
        <w:t>2磋商响应文件解密时间：截标时</w:t>
      </w:r>
      <w:r>
        <w:rPr>
          <w:rFonts w:hint="eastAsia" w:ascii="宋体" w:hAnsi="宋体" w:eastAsia="宋体" w:cs="宋体"/>
          <w:color w:val="auto"/>
          <w:szCs w:val="21"/>
          <w:highlight w:val="none"/>
          <w:u w:val="none"/>
        </w:rPr>
        <w:t>间后30分钟内（</w:t>
      </w:r>
      <w:r>
        <w:rPr>
          <w:rFonts w:hint="eastAsia" w:ascii="宋体" w:hAnsi="宋体" w:cs="宋体"/>
          <w:color w:val="auto"/>
          <w:szCs w:val="21"/>
          <w:highlight w:val="none"/>
          <w:u w:val="none"/>
          <w:lang w:eastAsia="zh-CN"/>
        </w:rPr>
        <w:t>2026年09月01日</w:t>
      </w:r>
      <w:r>
        <w:rPr>
          <w:rFonts w:hint="eastAsia" w:ascii="宋体" w:hAnsi="宋体" w:eastAsia="宋体" w:cs="宋体"/>
          <w:color w:val="auto"/>
          <w:szCs w:val="21"/>
          <w:highlight w:val="none"/>
          <w:u w:val="none"/>
        </w:rPr>
        <w:t>9时30分至10时00分)磋商</w:t>
      </w:r>
      <w:r>
        <w:rPr>
          <w:rFonts w:hint="eastAsia" w:ascii="宋体" w:hAnsi="宋体" w:eastAsia="宋体" w:cs="宋体"/>
          <w:color w:val="auto"/>
          <w:szCs w:val="21"/>
          <w:highlight w:val="none"/>
        </w:rPr>
        <w:t>供应商可以登录</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，用“项目采购-开标评标”功能进行解密磋商文件。若磋商供应商在规定时间内无法解密或解密失败，可以以电子备份磋商响应文件作为依据</w:t>
      </w:r>
      <w:r>
        <w:rPr>
          <w:rFonts w:hint="eastAsia" w:ascii="宋体" w:hAnsi="宋体" w:eastAsia="宋体" w:cs="宋体"/>
          <w:b/>
          <w:bCs/>
          <w:color w:val="auto"/>
          <w:szCs w:val="21"/>
          <w:highlight w:val="none"/>
        </w:rPr>
        <w:t>【在接到无法解密或解密失败的通知后，磋商供应商可根据自身实际情况按通知时要求的时间到桂林市公共资源交易中心开标室现场提交或以电子邮件的形式（以通知时所告知的电子邮箱地址为准）提交电子备份磋商响应文件】</w:t>
      </w:r>
      <w:r>
        <w:rPr>
          <w:rFonts w:hint="eastAsia" w:ascii="宋体" w:hAnsi="宋体" w:eastAsia="宋体" w:cs="宋体"/>
          <w:color w:val="auto"/>
          <w:szCs w:val="21"/>
          <w:highlight w:val="none"/>
        </w:rPr>
        <w:t>，若磋商供应商在规定时间内无法解密或解密失败且未提供电子备份磋商响应文件的(包含提供的电子备份文件无效或无法解密的情况)，视为响应文件撤回。</w:t>
      </w:r>
    </w:p>
    <w:p w14:paraId="27BE098B">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19.</w:t>
      </w:r>
      <w:r>
        <w:rPr>
          <w:rFonts w:hint="eastAsia" w:ascii="宋体" w:hAnsi="宋体" w:eastAsia="宋体" w:cs="宋体"/>
          <w:color w:val="auto"/>
          <w:szCs w:val="21"/>
          <w:highlight w:val="none"/>
        </w:rPr>
        <w:t>3 除竞争性磋商文件另有规定外，供应商所递交的响应文件不予退还。</w:t>
      </w:r>
    </w:p>
    <w:p w14:paraId="18189E68">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19.</w:t>
      </w:r>
      <w:r>
        <w:rPr>
          <w:rFonts w:hint="eastAsia" w:ascii="宋体" w:hAnsi="宋体" w:eastAsia="宋体" w:cs="宋体"/>
          <w:color w:val="auto"/>
          <w:szCs w:val="21"/>
          <w:highlight w:val="none"/>
          <w:lang w:val="en-US" w:eastAsia="zh-CN"/>
        </w:rPr>
        <w:t xml:space="preserve">4 </w:t>
      </w:r>
      <w:r>
        <w:rPr>
          <w:rFonts w:hint="eastAsia" w:ascii="宋体" w:hAnsi="宋体" w:eastAsia="宋体" w:cs="宋体"/>
          <w:color w:val="auto"/>
          <w:szCs w:val="21"/>
          <w:highlight w:val="none"/>
        </w:rPr>
        <w:t>电子响应文件的相关说明</w:t>
      </w:r>
    </w:p>
    <w:p w14:paraId="0E342FEF">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（1）供应商进行电子</w:t>
      </w:r>
      <w:r>
        <w:rPr>
          <w:rFonts w:hint="eastAsia" w:ascii="宋体" w:hAnsi="宋体" w:cs="宋体"/>
          <w:color w:val="auto"/>
          <w:szCs w:val="21"/>
          <w:highlight w:val="none"/>
          <w:lang w:eastAsia="zh-CN"/>
        </w:rPr>
        <w:t>响应</w:t>
      </w:r>
      <w:r>
        <w:rPr>
          <w:rFonts w:hint="eastAsia" w:ascii="宋体" w:hAnsi="宋体" w:eastAsia="宋体" w:cs="宋体"/>
          <w:color w:val="auto"/>
          <w:szCs w:val="21"/>
          <w:highlight w:val="none"/>
        </w:rPr>
        <w:t>应安装客户端软件，并按照采购文件和电子交易平台的要求编制并加密</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响应文件。供应商未按规定加密的</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响应文件，电子交易平台将拒收。供应商应当在</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截止时间前完成</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响应文件的传输递交，并可以补充、修改或者撤回</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响应文件。补充或者修改</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响应文件的，应当先行撤回原文件，补充、修改后重新传输递交。</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截止时间前未完成传输的，视为撤回</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截止时间后递交的</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 xml:space="preserve">响应文件，电子交易平台将拒收。 </w:t>
      </w:r>
    </w:p>
    <w:p w14:paraId="01FD0D78">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（2）如有特殊情况，采购代理机构延长截止时间和开标时间，采购代理机构和供应商的权利和义务将受到新的截止时间和开标时间的约束。</w:t>
      </w:r>
    </w:p>
    <w:p w14:paraId="03A5DF00">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val="0"/>
          <w:color w:val="auto"/>
          <w:szCs w:val="28"/>
          <w:highlight w:val="none"/>
        </w:rPr>
      </w:pPr>
      <w:bookmarkStart w:id="97" w:name="_Toc2433"/>
    </w:p>
    <w:p w14:paraId="033C46EA">
      <w:pPr>
        <w:pStyle w:val="3"/>
        <w:keepNext w:val="0"/>
        <w:keepLines w:val="0"/>
        <w:pageBreakBefore w:val="0"/>
        <w:widowControl w:val="0"/>
        <w:tabs>
          <w:tab w:val="left" w:pos="567"/>
        </w:tabs>
        <w:kinsoku/>
        <w:wordWrap/>
        <w:overflowPunct/>
        <w:topLinePunct w:val="0"/>
        <w:bidi w:val="0"/>
        <w:spacing w:line="440" w:lineRule="exact"/>
        <w:jc w:val="center"/>
        <w:textAlignment w:val="auto"/>
        <w:rPr>
          <w:rFonts w:hint="eastAsia" w:ascii="宋体" w:hAnsi="宋体" w:eastAsia="宋体" w:cs="宋体"/>
          <w:b/>
          <w:bCs w:val="0"/>
          <w:color w:val="auto"/>
          <w:szCs w:val="28"/>
          <w:highlight w:val="none"/>
        </w:rPr>
      </w:pPr>
      <w:bookmarkStart w:id="98" w:name="_Toc16485"/>
      <w:bookmarkStart w:id="99" w:name="_Toc5807"/>
      <w:bookmarkStart w:id="100" w:name="_Toc24017"/>
      <w:r>
        <w:rPr>
          <w:rFonts w:hint="eastAsia" w:ascii="宋体" w:hAnsi="宋体" w:eastAsia="宋体" w:cs="宋体"/>
          <w:b/>
          <w:bCs w:val="0"/>
          <w:color w:val="auto"/>
          <w:szCs w:val="28"/>
          <w:highlight w:val="none"/>
        </w:rPr>
        <w:t>四、竞争性磋商（简称磋商）与评审</w:t>
      </w:r>
      <w:bookmarkEnd w:id="97"/>
      <w:bookmarkEnd w:id="98"/>
      <w:bookmarkEnd w:id="99"/>
      <w:bookmarkEnd w:id="100"/>
    </w:p>
    <w:p w14:paraId="3B012A8C">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rPr>
      </w:pPr>
      <w:bookmarkStart w:id="101" w:name="_Toc11021"/>
      <w:bookmarkStart w:id="102" w:name="_Toc31588"/>
      <w:r>
        <w:rPr>
          <w:rFonts w:hint="eastAsia" w:ascii="宋体" w:hAnsi="宋体" w:eastAsia="宋体" w:cs="宋体"/>
          <w:color w:val="auto"/>
          <w:sz w:val="21"/>
          <w:szCs w:val="21"/>
          <w:highlight w:val="none"/>
        </w:rPr>
        <w:t>磋商小组组成及磋商时间、地点、人员</w:t>
      </w:r>
      <w:bookmarkEnd w:id="101"/>
      <w:bookmarkEnd w:id="102"/>
    </w:p>
    <w:p w14:paraId="51169DA9">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20.</w:t>
      </w:r>
      <w:r>
        <w:rPr>
          <w:rFonts w:hint="eastAsia" w:ascii="宋体" w:hAnsi="宋体" w:eastAsia="宋体" w:cs="宋体"/>
          <w:color w:val="auto"/>
          <w:szCs w:val="21"/>
          <w:highlight w:val="none"/>
        </w:rPr>
        <w:t>1 磋商小组组成：</w:t>
      </w:r>
    </w:p>
    <w:p w14:paraId="142997FB">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磋商及评审工作由采购代理机构负责组织，具体磋商、评审工作由依法组建的磋商小组负责，磋商小组由采购人代表和有关方面的专家组成。磋商小组的构成：</w:t>
      </w:r>
      <w:r>
        <w:rPr>
          <w:rFonts w:hint="eastAsia" w:ascii="宋体" w:hAnsi="宋体" w:eastAsia="宋体" w:cs="宋体"/>
          <w:color w:val="auto"/>
          <w:szCs w:val="21"/>
          <w:highlight w:val="none"/>
          <w:u w:val="single"/>
        </w:rPr>
        <w:t xml:space="preserve"> 3 </w:t>
      </w:r>
      <w:r>
        <w:rPr>
          <w:rFonts w:hint="eastAsia" w:ascii="宋体" w:hAnsi="宋体" w:eastAsia="宋体" w:cs="宋体"/>
          <w:color w:val="auto"/>
          <w:szCs w:val="21"/>
          <w:highlight w:val="none"/>
        </w:rPr>
        <w:t>人，其中采购人代表</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1 </w:t>
      </w:r>
      <w:r>
        <w:rPr>
          <w:rFonts w:hint="eastAsia" w:ascii="宋体" w:hAnsi="宋体" w:eastAsia="宋体" w:cs="宋体"/>
          <w:color w:val="auto"/>
          <w:szCs w:val="21"/>
          <w:highlight w:val="none"/>
        </w:rPr>
        <w:t>人， 专家</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2 </w:t>
      </w:r>
      <w:r>
        <w:rPr>
          <w:rFonts w:hint="eastAsia" w:ascii="宋体" w:hAnsi="宋体" w:eastAsia="宋体" w:cs="宋体"/>
          <w:color w:val="auto"/>
          <w:szCs w:val="21"/>
          <w:highlight w:val="none"/>
        </w:rPr>
        <w:t>人。</w:t>
      </w:r>
    </w:p>
    <w:p w14:paraId="558B9E91">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20.</w:t>
      </w:r>
      <w:r>
        <w:rPr>
          <w:rFonts w:hint="eastAsia" w:ascii="宋体" w:hAnsi="宋体" w:eastAsia="宋体" w:cs="宋体"/>
          <w:color w:val="auto"/>
          <w:szCs w:val="21"/>
          <w:highlight w:val="none"/>
        </w:rPr>
        <w:t>2 磋商时间、地点、人员：</w:t>
      </w:r>
    </w:p>
    <w:p w14:paraId="69AE17A5">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bookmarkStart w:id="103" w:name="_Toc9878"/>
      <w:r>
        <w:rPr>
          <w:rFonts w:hint="eastAsia" w:ascii="宋体" w:hAnsi="宋体" w:cs="宋体"/>
          <w:color w:val="auto"/>
          <w:szCs w:val="21"/>
          <w:highlight w:val="none"/>
          <w:lang w:eastAsia="zh-CN"/>
        </w:rPr>
        <w:t>20.</w:t>
      </w:r>
      <w:r>
        <w:rPr>
          <w:rFonts w:hint="eastAsia" w:ascii="宋体" w:hAnsi="宋体" w:eastAsia="宋体" w:cs="宋体"/>
          <w:color w:val="auto"/>
          <w:szCs w:val="21"/>
          <w:highlight w:val="none"/>
        </w:rPr>
        <w:t>2.1磋商时间：响应文件递交截止时间后。</w:t>
      </w:r>
      <w:bookmarkEnd w:id="103"/>
    </w:p>
    <w:p w14:paraId="014BA274">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lang w:eastAsia="zh-CN"/>
        </w:rPr>
      </w:pPr>
      <w:bookmarkStart w:id="104" w:name="_Toc29268"/>
      <w:r>
        <w:rPr>
          <w:rFonts w:hint="eastAsia" w:ascii="宋体" w:hAnsi="宋体" w:cs="宋体"/>
          <w:color w:val="auto"/>
          <w:szCs w:val="21"/>
          <w:highlight w:val="none"/>
          <w:lang w:val="en-US" w:eastAsia="zh-CN"/>
        </w:rPr>
        <w:t>20.</w:t>
      </w:r>
      <w:r>
        <w:rPr>
          <w:rFonts w:hint="eastAsia" w:ascii="宋体" w:hAnsi="宋体" w:eastAsia="宋体" w:cs="宋体"/>
          <w:color w:val="auto"/>
          <w:szCs w:val="21"/>
          <w:highlight w:val="none"/>
          <w:lang w:val="en-US" w:eastAsia="zh-CN"/>
        </w:rPr>
        <w:t>2.2磋商地点</w:t>
      </w:r>
      <w:r>
        <w:rPr>
          <w:rFonts w:hint="eastAsia" w:ascii="宋体" w:hAnsi="宋体" w:eastAsia="宋体" w:cs="宋体"/>
          <w:color w:val="auto"/>
          <w:szCs w:val="21"/>
          <w:highlight w:val="none"/>
        </w:rPr>
        <w:t>：</w:t>
      </w:r>
      <w:bookmarkEnd w:id="104"/>
      <w:r>
        <w:rPr>
          <w:rFonts w:hint="eastAsia" w:ascii="宋体" w:hAnsi="宋体" w:eastAsia="宋体" w:cs="宋体"/>
          <w:color w:val="auto"/>
          <w:szCs w:val="21"/>
          <w:highlight w:val="none"/>
        </w:rPr>
        <w:t>本项目需要磋商供应商代表在截标当天截标后，按磋商小组要求及时登陆</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等候在线磋商</w:t>
      </w:r>
      <w:r>
        <w:rPr>
          <w:rFonts w:hint="eastAsia" w:ascii="宋体" w:hAnsi="宋体" w:eastAsia="宋体" w:cs="宋体"/>
          <w:color w:val="auto"/>
          <w:szCs w:val="21"/>
          <w:highlight w:val="none"/>
          <w:lang w:eastAsia="zh-CN"/>
        </w:rPr>
        <w:t>。</w:t>
      </w:r>
    </w:p>
    <w:p w14:paraId="08F3D118">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b w:val="0"/>
          <w:bCs/>
          <w:color w:val="auto"/>
          <w:sz w:val="21"/>
          <w:szCs w:val="21"/>
          <w:highlight w:val="none"/>
        </w:rPr>
      </w:pPr>
      <w:bookmarkStart w:id="105" w:name="_Toc21307"/>
      <w:r>
        <w:rPr>
          <w:rFonts w:hint="eastAsia" w:ascii="宋体" w:hAnsi="宋体" w:cs="宋体"/>
          <w:color w:val="auto"/>
          <w:szCs w:val="21"/>
          <w:highlight w:val="none"/>
          <w:lang w:eastAsia="zh-CN"/>
        </w:rPr>
        <w:t>20.</w:t>
      </w:r>
      <w:r>
        <w:rPr>
          <w:rFonts w:hint="eastAsia" w:ascii="宋体" w:hAnsi="宋体" w:eastAsia="宋体" w:cs="宋体"/>
          <w:b w:val="0"/>
          <w:bCs/>
          <w:color w:val="auto"/>
          <w:sz w:val="21"/>
          <w:szCs w:val="21"/>
          <w:highlight w:val="none"/>
        </w:rPr>
        <w:t>2.3磋商参加人员：供应商法定代表人、负责人、自然人或相应的委托代理人持</w:t>
      </w:r>
      <w:r>
        <w:rPr>
          <w:rFonts w:hint="eastAsia" w:ascii="宋体" w:hAnsi="宋体" w:eastAsia="宋体" w:cs="宋体"/>
          <w:b w:val="0"/>
          <w:bCs/>
          <w:color w:val="auto"/>
          <w:sz w:val="21"/>
          <w:szCs w:val="21"/>
          <w:highlight w:val="none"/>
          <w:u w:val="single"/>
        </w:rPr>
        <w:t>有效身份证</w:t>
      </w:r>
      <w:r>
        <w:rPr>
          <w:rFonts w:hint="eastAsia" w:ascii="宋体" w:hAnsi="宋体" w:eastAsia="宋体" w:cs="宋体"/>
          <w:b w:val="0"/>
          <w:bCs/>
          <w:color w:val="auto"/>
          <w:sz w:val="21"/>
          <w:szCs w:val="21"/>
          <w:highlight w:val="none"/>
          <w:u w:val="single"/>
          <w:lang w:eastAsia="zh-CN"/>
        </w:rPr>
        <w:t>原件</w:t>
      </w:r>
      <w:r>
        <w:rPr>
          <w:rFonts w:hint="eastAsia" w:ascii="宋体" w:hAnsi="宋体" w:eastAsia="宋体" w:cs="宋体"/>
          <w:b w:val="0"/>
          <w:bCs/>
          <w:color w:val="auto"/>
          <w:sz w:val="21"/>
          <w:szCs w:val="21"/>
          <w:highlight w:val="none"/>
        </w:rPr>
        <w:t>和供应商</w:t>
      </w:r>
      <w:r>
        <w:rPr>
          <w:rFonts w:hint="eastAsia" w:ascii="宋体" w:hAnsi="宋体" w:cs="宋体"/>
          <w:b w:val="0"/>
          <w:bCs/>
          <w:color w:val="auto"/>
          <w:sz w:val="21"/>
          <w:szCs w:val="21"/>
          <w:highlight w:val="none"/>
          <w:u w:val="single"/>
          <w:lang w:eastAsia="zh-CN"/>
        </w:rPr>
        <w:t>广西政府采购云平台</w:t>
      </w:r>
      <w:r>
        <w:rPr>
          <w:rFonts w:hint="eastAsia" w:ascii="宋体" w:hAnsi="宋体" w:eastAsia="宋体" w:cs="宋体"/>
          <w:b w:val="0"/>
          <w:bCs/>
          <w:color w:val="auto"/>
          <w:sz w:val="21"/>
          <w:szCs w:val="21"/>
          <w:highlight w:val="none"/>
          <w:u w:val="single"/>
        </w:rPr>
        <w:t>CA数字证书</w:t>
      </w:r>
      <w:r>
        <w:rPr>
          <w:rFonts w:hint="eastAsia" w:ascii="宋体" w:hAnsi="宋体" w:eastAsia="宋体" w:cs="宋体"/>
          <w:b w:val="0"/>
          <w:bCs/>
          <w:color w:val="auto"/>
          <w:sz w:val="21"/>
          <w:szCs w:val="21"/>
          <w:highlight w:val="none"/>
        </w:rPr>
        <w:t>参加磋商。请供应商按时等候磋商。</w:t>
      </w:r>
      <w:bookmarkEnd w:id="105"/>
    </w:p>
    <w:p w14:paraId="710BA91A">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b w:val="0"/>
          <w:bCs/>
          <w:color w:val="auto"/>
          <w:sz w:val="21"/>
          <w:szCs w:val="21"/>
          <w:highlight w:val="none"/>
        </w:rPr>
      </w:pPr>
      <w:bookmarkStart w:id="106" w:name="_Toc6288"/>
      <w:r>
        <w:rPr>
          <w:rFonts w:hint="eastAsia" w:ascii="宋体" w:hAnsi="宋体" w:cs="宋体"/>
          <w:b w:val="0"/>
          <w:bCs/>
          <w:color w:val="auto"/>
          <w:sz w:val="21"/>
          <w:szCs w:val="21"/>
          <w:highlight w:val="none"/>
          <w:lang w:val="en-US" w:eastAsia="zh-CN"/>
        </w:rPr>
        <w:t>20</w:t>
      </w:r>
      <w:r>
        <w:rPr>
          <w:rFonts w:hint="eastAsia" w:ascii="宋体" w:hAnsi="宋体" w:eastAsia="宋体" w:cs="宋体"/>
          <w:b w:val="0"/>
          <w:bCs/>
          <w:color w:val="auto"/>
          <w:sz w:val="21"/>
          <w:szCs w:val="21"/>
          <w:highlight w:val="none"/>
        </w:rPr>
        <w:t>.2.4响应文件递交截止时间后，由磋商小组在评标室内线上开启响应文件。</w:t>
      </w:r>
      <w:bookmarkEnd w:id="106"/>
    </w:p>
    <w:p w14:paraId="21A37BCB">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rPr>
      </w:pPr>
      <w:bookmarkStart w:id="107" w:name="_Toc25258"/>
      <w:bookmarkStart w:id="108" w:name="_Toc21088"/>
      <w:r>
        <w:rPr>
          <w:rFonts w:hint="eastAsia" w:ascii="宋体" w:hAnsi="宋体" w:eastAsia="宋体" w:cs="宋体"/>
          <w:color w:val="auto"/>
          <w:sz w:val="21"/>
          <w:szCs w:val="21"/>
          <w:highlight w:val="none"/>
        </w:rPr>
        <w:t>评审原则</w:t>
      </w:r>
      <w:bookmarkEnd w:id="107"/>
      <w:bookmarkEnd w:id="108"/>
    </w:p>
    <w:p w14:paraId="308C5DEE">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21.</w:t>
      </w:r>
      <w:r>
        <w:rPr>
          <w:rFonts w:hint="eastAsia" w:ascii="宋体" w:hAnsi="宋体" w:eastAsia="宋体" w:cs="宋体"/>
          <w:color w:val="auto"/>
          <w:szCs w:val="21"/>
          <w:highlight w:val="none"/>
        </w:rPr>
        <w:t>1 磋商小组必须坚持公平、公正、科学和择优的原则。</w:t>
      </w:r>
    </w:p>
    <w:p w14:paraId="717BD211">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21.</w:t>
      </w:r>
      <w:r>
        <w:rPr>
          <w:rFonts w:hint="eastAsia" w:ascii="宋体" w:hAnsi="宋体" w:eastAsia="宋体" w:cs="宋体"/>
          <w:color w:val="auto"/>
          <w:szCs w:val="21"/>
          <w:highlight w:val="none"/>
        </w:rPr>
        <w:t>2 评审办法：综合评分法，具体详见第四章评审办法。</w:t>
      </w:r>
    </w:p>
    <w:p w14:paraId="7B11F4E8">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21.</w:t>
      </w:r>
      <w:r>
        <w:rPr>
          <w:rFonts w:hint="eastAsia" w:ascii="宋体" w:hAnsi="宋体" w:eastAsia="宋体" w:cs="宋体"/>
          <w:color w:val="auto"/>
          <w:szCs w:val="21"/>
          <w:highlight w:val="none"/>
        </w:rPr>
        <w:t>3 磋商小组应按磋商文件进行评审，不得擅自更改评审办法。</w:t>
      </w:r>
    </w:p>
    <w:p w14:paraId="27ECE580">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21.</w:t>
      </w:r>
      <w:r>
        <w:rPr>
          <w:rFonts w:hint="eastAsia" w:ascii="宋体" w:hAnsi="宋体" w:eastAsia="宋体" w:cs="宋体"/>
          <w:color w:val="auto"/>
          <w:szCs w:val="21"/>
          <w:highlight w:val="none"/>
        </w:rPr>
        <w:t>4 在评审过程中，磋商小组任何人不得对某个供应商发表任何倾向性意见，不得向其他磋商小组成员明示或者暗示自己的评审意见。</w:t>
      </w:r>
    </w:p>
    <w:p w14:paraId="7090CD22">
      <w:pPr>
        <w:keepNext w:val="0"/>
        <w:keepLines w:val="0"/>
        <w:pageBreakBefore w:val="0"/>
        <w:widowControl w:val="0"/>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21.</w:t>
      </w:r>
      <w:r>
        <w:rPr>
          <w:rFonts w:hint="eastAsia" w:ascii="宋体" w:hAnsi="宋体" w:eastAsia="宋体" w:cs="宋体"/>
          <w:color w:val="auto"/>
          <w:szCs w:val="21"/>
          <w:highlight w:val="none"/>
        </w:rPr>
        <w:t>5 磋商小组成员对需要共同认定的事项存在争议的，按照少数服从多数的原则作出结论。持不同意见的磋商小组成员应当在评审报告上签署不同意见并说明理由，否则视为同意。</w:t>
      </w:r>
    </w:p>
    <w:p w14:paraId="6B03B9E4">
      <w:pPr>
        <w:keepNext w:val="0"/>
        <w:keepLines w:val="0"/>
        <w:pageBreakBefore w:val="0"/>
        <w:widowControl w:val="0"/>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21.</w:t>
      </w:r>
      <w:r>
        <w:rPr>
          <w:rFonts w:hint="eastAsia" w:ascii="宋体" w:hAnsi="宋体" w:eastAsia="宋体" w:cs="宋体"/>
          <w:color w:val="auto"/>
          <w:szCs w:val="21"/>
          <w:highlight w:val="none"/>
        </w:rPr>
        <w:t>6 响应文件最后报价出现前后不一致的，除竞争性磋商文件另有规定外，按照下列规定修正：</w:t>
      </w:r>
    </w:p>
    <w:p w14:paraId="5D47C3A6">
      <w:pPr>
        <w:pStyle w:val="41"/>
        <w:keepNext w:val="0"/>
        <w:keepLines w:val="0"/>
        <w:pageBreakBefore w:val="0"/>
        <w:widowControl w:val="0"/>
        <w:tabs>
          <w:tab w:val="left" w:pos="1099"/>
        </w:tabs>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(1) </w:t>
      </w:r>
      <w:r>
        <w:rPr>
          <w:rFonts w:hint="eastAsia" w:ascii="宋体" w:hAnsi="宋体" w:eastAsia="宋体" w:cs="宋体"/>
          <w:color w:val="auto"/>
          <w:highlight w:val="none"/>
        </w:rPr>
        <w:t>响应文件中磋商报价表内容与响应文件中相应内容不一致的，以最后磋商报价表为准；</w:t>
      </w:r>
    </w:p>
    <w:p w14:paraId="1AFEDC1A">
      <w:pPr>
        <w:pStyle w:val="41"/>
        <w:keepNext w:val="0"/>
        <w:keepLines w:val="0"/>
        <w:pageBreakBefore w:val="0"/>
        <w:widowControl w:val="0"/>
        <w:tabs>
          <w:tab w:val="left" w:pos="1099"/>
        </w:tabs>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(2)</w:t>
      </w:r>
      <w:r>
        <w:rPr>
          <w:rFonts w:hint="eastAsia" w:ascii="宋体" w:hAnsi="宋体" w:eastAsia="宋体" w:cs="宋体"/>
          <w:color w:val="auto"/>
          <w:highlight w:val="none"/>
        </w:rPr>
        <w:t xml:space="preserve"> 大写金额和小写金额不一致的，以大写金额为准；</w:t>
      </w:r>
    </w:p>
    <w:p w14:paraId="7CD4DBC9">
      <w:pPr>
        <w:pStyle w:val="41"/>
        <w:keepNext w:val="0"/>
        <w:keepLines w:val="0"/>
        <w:pageBreakBefore w:val="0"/>
        <w:widowControl w:val="0"/>
        <w:tabs>
          <w:tab w:val="left" w:pos="1099"/>
        </w:tabs>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(3)</w:t>
      </w:r>
      <w:r>
        <w:rPr>
          <w:rFonts w:hint="eastAsia" w:ascii="宋体" w:hAnsi="宋体" w:eastAsia="宋体" w:cs="宋体"/>
          <w:color w:val="auto"/>
          <w:highlight w:val="none"/>
        </w:rPr>
        <w:t xml:space="preserve"> 总价金额与依据单价计算出的结果不一致的，以单价金额为准修正总价，但单价金额小数点有明显错误的除外；</w:t>
      </w:r>
    </w:p>
    <w:p w14:paraId="49711EAA">
      <w:pPr>
        <w:pStyle w:val="41"/>
        <w:keepNext w:val="0"/>
        <w:keepLines w:val="0"/>
        <w:pageBreakBefore w:val="0"/>
        <w:widowControl w:val="0"/>
        <w:tabs>
          <w:tab w:val="left" w:pos="1099"/>
        </w:tabs>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 当单价与数量相乘不等于合价时，以单价计算为准，如果单价有明显的小数点位置差错，应以标出的合价为准，同时对单价予以修正</w:t>
      </w:r>
      <w:r>
        <w:rPr>
          <w:rFonts w:hint="eastAsia" w:ascii="宋体" w:hAnsi="宋体" w:eastAsia="宋体" w:cs="宋体"/>
          <w:color w:val="auto"/>
          <w:highlight w:val="none"/>
        </w:rPr>
        <w:t>。</w:t>
      </w:r>
    </w:p>
    <w:p w14:paraId="37ED2171">
      <w:pPr>
        <w:pStyle w:val="41"/>
        <w:keepNext w:val="0"/>
        <w:keepLines w:val="0"/>
        <w:pageBreakBefore w:val="0"/>
        <w:widowControl w:val="0"/>
        <w:tabs>
          <w:tab w:val="left" w:pos="1099"/>
        </w:tabs>
        <w:kinsoku/>
        <w:wordWrap/>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5</w:t>
      </w:r>
      <w:r>
        <w:rPr>
          <w:rFonts w:hint="eastAsia" w:ascii="宋体" w:hAnsi="宋体" w:cs="宋体"/>
          <w:color w:val="auto"/>
          <w:highlight w:val="none"/>
          <w:lang w:eastAsia="zh-CN"/>
        </w:rPr>
        <w:t>）</w:t>
      </w:r>
      <w:r>
        <w:rPr>
          <w:rFonts w:hint="eastAsia" w:ascii="宋体" w:hAnsi="宋体" w:eastAsia="宋体" w:cs="宋体"/>
          <w:color w:val="auto"/>
          <w:highlight w:val="none"/>
        </w:rPr>
        <w:t>当各子目的合价累计不等于总价时，应以各子目合价累计数为准，修正总价。</w:t>
      </w:r>
    </w:p>
    <w:p w14:paraId="77D3B247">
      <w:pPr>
        <w:keepNext w:val="0"/>
        <w:keepLines w:val="0"/>
        <w:pageBreakBefore w:val="0"/>
        <w:widowControl w:val="0"/>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同时出现两种以上不一致的，按照前款规定的顺序修正。修正后的报价（不得超出响应文件的范围或者改变响应文件的实质性内容）经磋商供应商确认后产生约束力，磋商供应商不确认的，作无效响应处理。</w:t>
      </w:r>
    </w:p>
    <w:p w14:paraId="68CAC1BD">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rPr>
      </w:pPr>
      <w:bookmarkStart w:id="109" w:name="_Toc27193"/>
      <w:bookmarkStart w:id="110" w:name="_Toc21012"/>
      <w:r>
        <w:rPr>
          <w:rFonts w:hint="eastAsia" w:ascii="宋体" w:hAnsi="宋体" w:eastAsia="宋体" w:cs="宋体"/>
          <w:color w:val="auto"/>
          <w:sz w:val="21"/>
          <w:szCs w:val="21"/>
          <w:highlight w:val="none"/>
        </w:rPr>
        <w:t>评审程序及磋商要求</w:t>
      </w:r>
      <w:bookmarkEnd w:id="109"/>
      <w:bookmarkEnd w:id="110"/>
    </w:p>
    <w:p w14:paraId="5B36A23C">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22.</w:t>
      </w:r>
      <w:r>
        <w:rPr>
          <w:rFonts w:hint="eastAsia" w:ascii="宋体" w:hAnsi="宋体" w:eastAsia="宋体" w:cs="宋体"/>
          <w:color w:val="auto"/>
          <w:szCs w:val="21"/>
          <w:highlight w:val="none"/>
        </w:rPr>
        <w:t>1磋商小组成员的通讯工具或相关电子设备交由桂林市公共资源交易中心统一保管后到达评标室，采购代理机构核实磋商小组成员身份，告知回避要求，宣布评审工作纪律和程序，推选磋商小组组长。</w:t>
      </w:r>
    </w:p>
    <w:p w14:paraId="2119D88B">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22.</w:t>
      </w:r>
      <w:r>
        <w:rPr>
          <w:rFonts w:hint="eastAsia" w:ascii="宋体" w:hAnsi="宋体" w:eastAsia="宋体" w:cs="宋体"/>
          <w:color w:val="auto"/>
          <w:szCs w:val="21"/>
          <w:highlight w:val="none"/>
        </w:rPr>
        <w:t>2磋商小组应当对发布公告的竞争性磋商文件（简称磋商文件）进行确认，审查供应商的响应文件并作出评价；要求供应商解释或者澄清其响应文件；编写评审报告；告知采购人、采购代理机构在评审过程中发现的供应商的违法违规行为。</w:t>
      </w:r>
    </w:p>
    <w:p w14:paraId="0D3CED40">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22.</w:t>
      </w:r>
      <w:r>
        <w:rPr>
          <w:rFonts w:hint="eastAsia" w:ascii="宋体" w:hAnsi="宋体" w:eastAsia="宋体" w:cs="宋体"/>
          <w:color w:val="auto"/>
          <w:szCs w:val="21"/>
          <w:highlight w:val="none"/>
        </w:rPr>
        <w:t xml:space="preserve">3 磋商小组依据竞争性磋商文件的规定，首先对响应文件进行资格性审查，以确定供应商是否具备本项 目供应商资格；再对通过资格性审查的供应商响应文件的有效性、完整性和对磋商文件的响应程度进行符合性 审查，以确定是否对磋商文件的实质性要求做出响应。 </w:t>
      </w:r>
    </w:p>
    <w:p w14:paraId="17F8C861">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cs="宋体"/>
          <w:b/>
          <w:bCs/>
          <w:color w:val="auto"/>
          <w:szCs w:val="21"/>
          <w:highlight w:val="none"/>
          <w:lang w:eastAsia="zh-CN"/>
        </w:rPr>
        <w:t>22.</w:t>
      </w:r>
      <w:r>
        <w:rPr>
          <w:rFonts w:hint="eastAsia" w:ascii="宋体" w:hAnsi="宋体" w:eastAsia="宋体" w:cs="宋体"/>
          <w:b/>
          <w:bCs/>
          <w:color w:val="auto"/>
          <w:szCs w:val="21"/>
          <w:highlight w:val="none"/>
        </w:rPr>
        <w:t>4 磋商小组在对供应商进行资格性审查时，将对供应商企业股东及出资等信息进行查询。根据 《 中华人民共和国政府采购法实施条例 》 第十八条第一款规定，审查中如发现供应商存在单位负责人为同一人或者存在直接控股、管理关系的不同供应商参加同一合同项下的政府采购活动的，按响应文件无效处理 。</w:t>
      </w:r>
    </w:p>
    <w:p w14:paraId="45879C01">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eastAsia="zh-CN"/>
        </w:rPr>
        <w:t>22.</w:t>
      </w:r>
      <w:r>
        <w:rPr>
          <w:rFonts w:hint="eastAsia" w:ascii="宋体" w:hAnsi="宋体" w:eastAsia="宋体" w:cs="宋体"/>
          <w:color w:val="auto"/>
          <w:szCs w:val="21"/>
          <w:highlight w:val="none"/>
        </w:rPr>
        <w:t>4.1 查询渠道：《国家企业信用信息公示系统》（网址：www.gsxt.gov.cn/index.html）</w:t>
      </w:r>
      <w:r>
        <w:rPr>
          <w:rFonts w:hint="eastAsia" w:ascii="宋体" w:hAnsi="宋体" w:cs="宋体"/>
          <w:color w:val="auto"/>
          <w:szCs w:val="21"/>
          <w:highlight w:val="none"/>
          <w:lang w:val="en-US" w:eastAsia="zh-CN"/>
        </w:rPr>
        <w:t>；</w:t>
      </w:r>
    </w:p>
    <w:p w14:paraId="2081585D">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22.</w:t>
      </w:r>
      <w:r>
        <w:rPr>
          <w:rFonts w:hint="eastAsia" w:ascii="宋体" w:hAnsi="宋体" w:eastAsia="宋体" w:cs="宋体"/>
          <w:color w:val="auto"/>
          <w:szCs w:val="21"/>
          <w:highlight w:val="none"/>
        </w:rPr>
        <w:t>4.2 审查流程：</w:t>
      </w:r>
    </w:p>
    <w:p w14:paraId="4A93E900">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（1）进入《国家企业信用信息公示系统》（网址：www.gsxt.gov.cn/index.html），输入企业名称，进入企业信息主页面；</w:t>
      </w:r>
    </w:p>
    <w:p w14:paraId="15E384B2">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（2）查看主页“股东及出资信息”栏，或年报中的“股东及出资信息”栏信息；</w:t>
      </w:r>
    </w:p>
    <w:p w14:paraId="0175432F">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（3）将各供应商的股东及出资信息进行比对，得出审查结论；</w:t>
      </w:r>
    </w:p>
    <w:p w14:paraId="2C081B7C">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（4）将相关资料作为评审资料打印存档。</w:t>
      </w:r>
    </w:p>
    <w:p w14:paraId="22CCE649">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cs="宋体"/>
          <w:b/>
          <w:bCs/>
          <w:color w:val="auto"/>
          <w:szCs w:val="21"/>
          <w:highlight w:val="none"/>
          <w:lang w:eastAsia="zh-CN"/>
        </w:rPr>
        <w:t>22.</w:t>
      </w:r>
      <w:r>
        <w:rPr>
          <w:rFonts w:hint="eastAsia" w:ascii="宋体" w:hAnsi="宋体" w:eastAsia="宋体" w:cs="宋体"/>
          <w:b/>
          <w:bCs/>
          <w:color w:val="auto"/>
          <w:szCs w:val="21"/>
          <w:highlight w:val="none"/>
        </w:rPr>
        <w:t>5 磋商小组如发现供应商提供的证明文件不齐全或不符合规定格式的，应一次性告知供应商，供应商应在规定的时间内</w:t>
      </w:r>
      <w:r>
        <w:rPr>
          <w:rFonts w:hint="eastAsia" w:ascii="宋体" w:hAnsi="宋体" w:eastAsia="宋体" w:cs="宋体"/>
          <w:b/>
          <w:bCs/>
          <w:color w:val="auto"/>
          <w:szCs w:val="21"/>
          <w:highlight w:val="none"/>
          <w:lang w:eastAsia="zh-CN"/>
        </w:rPr>
        <w:t>线上</w:t>
      </w:r>
      <w:r>
        <w:rPr>
          <w:rFonts w:hint="eastAsia" w:ascii="宋体" w:hAnsi="宋体" w:eastAsia="宋体" w:cs="宋体"/>
          <w:b/>
          <w:bCs/>
          <w:color w:val="auto"/>
          <w:szCs w:val="21"/>
          <w:highlight w:val="none"/>
        </w:rPr>
        <w:t>补正或更正。</w:t>
      </w:r>
    </w:p>
    <w:p w14:paraId="2F0B36A3">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22.</w:t>
      </w:r>
      <w:r>
        <w:rPr>
          <w:rFonts w:hint="eastAsia" w:ascii="宋体" w:hAnsi="宋体" w:eastAsia="宋体" w:cs="宋体"/>
          <w:color w:val="auto"/>
          <w:szCs w:val="21"/>
          <w:highlight w:val="none"/>
        </w:rPr>
        <w:t>6 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澄清、说明或者更正应由其法定代表人或相应的授权委托代表签字</w:t>
      </w:r>
      <w:r>
        <w:rPr>
          <w:rFonts w:hint="eastAsia" w:ascii="宋体" w:hAnsi="宋体" w:eastAsia="宋体" w:cs="宋体"/>
          <w:color w:val="auto"/>
          <w:szCs w:val="21"/>
          <w:highlight w:val="none"/>
          <w:lang w:eastAsia="zh-CN"/>
        </w:rPr>
        <w:t>（</w:t>
      </w:r>
      <w:r>
        <w:rPr>
          <w:rFonts w:hint="eastAsia" w:ascii="宋体" w:hAnsi="宋体" w:eastAsia="宋体" w:cs="宋体"/>
          <w:color w:val="auto"/>
          <w:highlight w:val="none"/>
          <w:lang w:val="en-US" w:eastAsia="zh-CN"/>
        </w:rPr>
        <w:t>个人</w:t>
      </w:r>
      <w:r>
        <w:rPr>
          <w:rFonts w:hint="eastAsia" w:ascii="宋体" w:hAnsi="宋体" w:cs="宋体"/>
          <w:color w:val="auto"/>
          <w:highlight w:val="none"/>
          <w:lang w:val="en-US" w:eastAsia="zh-CN"/>
        </w:rPr>
        <w:t>数字证书（CA认证）</w:t>
      </w:r>
      <w:r>
        <w:rPr>
          <w:rFonts w:hint="eastAsia" w:ascii="宋体" w:hAnsi="宋体" w:eastAsia="宋体" w:cs="宋体"/>
          <w:color w:val="auto"/>
          <w:highlight w:val="none"/>
          <w:lang w:val="en-US" w:eastAsia="zh-CN"/>
        </w:rPr>
        <w:t>签章)</w:t>
      </w:r>
      <w:r>
        <w:rPr>
          <w:rFonts w:hint="eastAsia" w:ascii="宋体" w:hAnsi="宋体" w:eastAsia="宋体" w:cs="宋体"/>
          <w:color w:val="auto"/>
          <w:szCs w:val="21"/>
          <w:highlight w:val="none"/>
        </w:rPr>
        <w:t>或者加盖供应商公章</w:t>
      </w:r>
      <w:r>
        <w:rPr>
          <w:rFonts w:hint="eastAsia" w:ascii="宋体" w:hAnsi="宋体" w:eastAsia="宋体" w:cs="宋体"/>
          <w:color w:val="auto"/>
          <w:szCs w:val="21"/>
          <w:highlight w:val="none"/>
          <w:lang w:val="en-US" w:eastAsia="zh-CN"/>
        </w:rPr>
        <w:t>(</w:t>
      </w:r>
      <w:r>
        <w:rPr>
          <w:rFonts w:hint="eastAsia" w:ascii="宋体" w:hAnsi="宋体" w:cs="宋体"/>
          <w:color w:val="auto"/>
          <w:szCs w:val="21"/>
          <w:highlight w:val="none"/>
          <w:lang w:val="en-US" w:eastAsia="zh-CN"/>
        </w:rPr>
        <w:t>数字证书（CA认证）</w:t>
      </w:r>
      <w:r>
        <w:rPr>
          <w:rFonts w:hint="eastAsia" w:ascii="宋体" w:hAnsi="宋体" w:eastAsia="宋体" w:cs="宋体"/>
          <w:color w:val="auto"/>
          <w:szCs w:val="21"/>
          <w:highlight w:val="none"/>
          <w:lang w:val="en-US" w:eastAsia="zh-CN"/>
        </w:rPr>
        <w:t>签章)</w:t>
      </w:r>
      <w:r>
        <w:rPr>
          <w:rFonts w:hint="eastAsia" w:ascii="宋体" w:hAnsi="宋体" w:eastAsia="宋体" w:cs="宋体"/>
          <w:color w:val="auto"/>
          <w:szCs w:val="21"/>
          <w:highlight w:val="none"/>
        </w:rPr>
        <w:t>。</w:t>
      </w:r>
    </w:p>
    <w:p w14:paraId="08EEAA91">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根据磋商文件规定的程序、评定成交的标准等事项与实质性响应竞争性磋商文件要求的供应商进行磋商。 </w:t>
      </w:r>
    </w:p>
    <w:p w14:paraId="0FFE68D3">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未实质性响应磋商文件的响应文件按无效处理，磋商小组应当告知有关供应商。 </w:t>
      </w:r>
    </w:p>
    <w:p w14:paraId="2E251C1D">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磋商小组所有成员应当按已确定的磋商顺序集中与单一供应商分别进行磋商，并给予所有实质性响应竞争性磋商文件要求的供应商平等的磋商机会。 </w:t>
      </w:r>
    </w:p>
    <w:p w14:paraId="2A07869E">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磋商中，磋商小组不得透露与磋商有关的其他供应商的技术资料、价格和其他信息。 </w:t>
      </w:r>
    </w:p>
    <w:p w14:paraId="4107BD4D">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磋商小组对磋商过程和重要磋商内容进行记录，磋商双方在记录上签字确认。 </w:t>
      </w:r>
    </w:p>
    <w:p w14:paraId="37C078A8">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cs="宋体"/>
          <w:color w:val="auto"/>
          <w:szCs w:val="21"/>
          <w:highlight w:val="none"/>
          <w:lang w:eastAsia="zh-CN"/>
        </w:rPr>
        <w:t>22.</w:t>
      </w:r>
      <w:r>
        <w:rPr>
          <w:rFonts w:hint="eastAsia" w:ascii="宋体" w:hAnsi="宋体" w:eastAsia="宋体" w:cs="宋体"/>
          <w:color w:val="auto"/>
          <w:szCs w:val="21"/>
          <w:highlight w:val="none"/>
        </w:rPr>
        <w:t>7当磋商小组一致确定磋商供应商的竞争性磋商响应文件能够详细列明采购标的的技术、服务要求且符合竞争性磋商文件要求，无需再磋商的，磋商小组按竞争性磋商文件设定的</w:t>
      </w:r>
      <w:r>
        <w:rPr>
          <w:rFonts w:hint="eastAsia" w:ascii="宋体" w:hAnsi="宋体" w:cs="宋体"/>
          <w:color w:val="auto"/>
          <w:szCs w:val="21"/>
          <w:highlight w:val="none"/>
          <w:lang w:eastAsia="zh-CN"/>
        </w:rPr>
        <w:t>22.</w:t>
      </w:r>
      <w:r>
        <w:rPr>
          <w:rFonts w:hint="eastAsia" w:ascii="宋体" w:hAnsi="宋体" w:eastAsia="宋体" w:cs="宋体"/>
          <w:color w:val="auto"/>
          <w:szCs w:val="21"/>
          <w:highlight w:val="none"/>
        </w:rPr>
        <w:t>11、</w:t>
      </w:r>
      <w:r>
        <w:rPr>
          <w:rFonts w:hint="eastAsia" w:ascii="宋体" w:hAnsi="宋体" w:cs="宋体"/>
          <w:color w:val="auto"/>
          <w:szCs w:val="21"/>
          <w:highlight w:val="none"/>
          <w:lang w:eastAsia="zh-CN"/>
        </w:rPr>
        <w:t>22.</w:t>
      </w:r>
      <w:r>
        <w:rPr>
          <w:rFonts w:hint="eastAsia" w:ascii="宋体" w:hAnsi="宋体" w:eastAsia="宋体" w:cs="宋体"/>
          <w:color w:val="auto"/>
          <w:szCs w:val="21"/>
          <w:highlight w:val="none"/>
        </w:rPr>
        <w:t>16程序和综合评分法确定成交候选人。第一轮磋商后竞争性磋商文件有实质性变动或仍需磋商的，磋商小组对竞争性磋商文件变动或提出磋商意见后进行第二轮磋商。</w:t>
      </w:r>
    </w:p>
    <w:p w14:paraId="36E5914F">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22.</w:t>
      </w:r>
      <w:r>
        <w:rPr>
          <w:rFonts w:hint="eastAsia" w:ascii="宋体" w:hAnsi="宋体" w:eastAsia="宋体" w:cs="宋体"/>
          <w:color w:val="auto"/>
          <w:szCs w:val="21"/>
          <w:highlight w:val="none"/>
        </w:rPr>
        <w:t xml:space="preserve">8 在磋商过程中，磋商小组可以根据磋商文件和磋商情况实质性变动项目需求中的技术、服务要求以及合同草案条款，但不得变动磋商文件中的其他内容。实质性变动的内容，须经采购人代表确认。 </w:t>
      </w:r>
    </w:p>
    <w:p w14:paraId="718F236D">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对磋商文件作出的实质性变动是磋商文件的有效组成部分，磋商小组应当及时</w:t>
      </w:r>
      <w:r>
        <w:rPr>
          <w:rFonts w:hint="eastAsia" w:ascii="宋体" w:hAnsi="宋体" w:eastAsia="宋体" w:cs="宋体"/>
          <w:color w:val="auto"/>
          <w:szCs w:val="21"/>
          <w:highlight w:val="none"/>
          <w:lang w:eastAsia="zh-CN"/>
        </w:rPr>
        <w:t>通过</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lang w:eastAsia="zh-CN"/>
        </w:rPr>
        <w:t>同时</w:t>
      </w:r>
      <w:r>
        <w:rPr>
          <w:rFonts w:hint="eastAsia" w:ascii="宋体" w:hAnsi="宋体" w:eastAsia="宋体" w:cs="宋体"/>
          <w:color w:val="auto"/>
          <w:szCs w:val="21"/>
          <w:highlight w:val="none"/>
        </w:rPr>
        <w:t xml:space="preserve">通知所有参加磋商的供应商。 </w:t>
      </w:r>
    </w:p>
    <w:p w14:paraId="6CA0E295">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供应商应当按照磋商文件的变动情况和磋商小组的要求重新提交响应文件，并由其法定代表人、负责人、</w:t>
      </w:r>
      <w:r>
        <w:rPr>
          <w:rFonts w:hint="eastAsia" w:ascii="宋体" w:hAnsi="宋体" w:eastAsia="宋体" w:cs="宋体"/>
          <w:color w:val="auto"/>
          <w:szCs w:val="21"/>
          <w:highlight w:val="none"/>
          <w:lang w:eastAsia="zh-CN"/>
        </w:rPr>
        <w:t>自然人或相应的授权委托代表签字（个人</w:t>
      </w:r>
      <w:r>
        <w:rPr>
          <w:rFonts w:hint="eastAsia" w:ascii="宋体" w:hAnsi="宋体" w:cs="宋体"/>
          <w:color w:val="auto"/>
          <w:szCs w:val="21"/>
          <w:highlight w:val="none"/>
          <w:lang w:val="en-US" w:eastAsia="zh-CN"/>
        </w:rPr>
        <w:t>数字证书（CA认证）</w:t>
      </w:r>
      <w:r>
        <w:rPr>
          <w:rFonts w:hint="eastAsia" w:ascii="宋体" w:hAnsi="宋体" w:eastAsia="宋体" w:cs="宋体"/>
          <w:color w:val="auto"/>
          <w:szCs w:val="21"/>
          <w:highlight w:val="none"/>
          <w:lang w:val="en-US" w:eastAsia="zh-CN"/>
        </w:rPr>
        <w:t>签章</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或者加盖供应商公章</w:t>
      </w:r>
      <w:r>
        <w:rPr>
          <w:rFonts w:hint="eastAsia" w:ascii="宋体" w:hAnsi="宋体" w:eastAsia="宋体" w:cs="宋体"/>
          <w:color w:val="auto"/>
          <w:szCs w:val="21"/>
          <w:highlight w:val="none"/>
          <w:lang w:val="en-US" w:eastAsia="zh-CN"/>
        </w:rPr>
        <w:t>(</w:t>
      </w:r>
      <w:r>
        <w:rPr>
          <w:rFonts w:hint="eastAsia" w:ascii="宋体" w:hAnsi="宋体" w:cs="宋体"/>
          <w:color w:val="auto"/>
          <w:szCs w:val="21"/>
          <w:highlight w:val="none"/>
          <w:lang w:val="en-US" w:eastAsia="zh-CN"/>
        </w:rPr>
        <w:t>数字证书（CA认证）</w:t>
      </w:r>
      <w:r>
        <w:rPr>
          <w:rFonts w:hint="eastAsia" w:ascii="宋体" w:hAnsi="宋体" w:eastAsia="宋体" w:cs="宋体"/>
          <w:color w:val="auto"/>
          <w:szCs w:val="21"/>
          <w:highlight w:val="none"/>
          <w:lang w:val="en-US" w:eastAsia="zh-CN"/>
        </w:rPr>
        <w:t>签章)</w:t>
      </w:r>
      <w:r>
        <w:rPr>
          <w:rFonts w:hint="eastAsia" w:ascii="宋体" w:hAnsi="宋体" w:eastAsia="宋体" w:cs="宋体"/>
          <w:color w:val="auto"/>
          <w:szCs w:val="21"/>
          <w:highlight w:val="none"/>
        </w:rPr>
        <w:t xml:space="preserve">。逾时不交的，视同放弃磋商。 </w:t>
      </w:r>
    </w:p>
    <w:p w14:paraId="0BB57D4A">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22.</w:t>
      </w:r>
      <w:r>
        <w:rPr>
          <w:rFonts w:hint="eastAsia" w:ascii="宋体" w:hAnsi="宋体" w:eastAsia="宋体" w:cs="宋体"/>
          <w:color w:val="auto"/>
          <w:szCs w:val="21"/>
          <w:highlight w:val="none"/>
        </w:rPr>
        <w:t>9 第二轮磋商</w:t>
      </w:r>
    </w:p>
    <w:p w14:paraId="2535508D">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磋商小组集中就重新提交的响应文件或磋商小组提出的磋商意见与单一响应供应商分别进行磋商。磋商小组对磋商过程和重要磋商内容进行记录，磋商双方在记录上签字确认</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val="en-US" w:eastAsia="zh-CN"/>
        </w:rPr>
        <w:t>数字证书（CA认证）</w:t>
      </w:r>
      <w:r>
        <w:rPr>
          <w:rFonts w:hint="eastAsia" w:ascii="宋体" w:hAnsi="宋体" w:eastAsia="宋体" w:cs="宋体"/>
          <w:color w:val="auto"/>
          <w:szCs w:val="21"/>
          <w:highlight w:val="none"/>
          <w:lang w:val="en-US" w:eastAsia="zh-CN"/>
        </w:rPr>
        <w:t>签章确认</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p>
    <w:p w14:paraId="227888F2">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磋商后，供应商根据磋商小组统一整理的书面磋商记录要求做出书面承诺，并由其法定代表人或授权代表签字或者加盖公章</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val="en-US" w:eastAsia="zh-CN"/>
        </w:rPr>
        <w:t>数字证书（CA认证）</w:t>
      </w:r>
      <w:r>
        <w:rPr>
          <w:rFonts w:hint="eastAsia" w:ascii="宋体" w:hAnsi="宋体" w:eastAsia="宋体" w:cs="宋体"/>
          <w:color w:val="auto"/>
          <w:szCs w:val="21"/>
          <w:highlight w:val="none"/>
          <w:lang w:val="en-US" w:eastAsia="zh-CN"/>
        </w:rPr>
        <w:t>签章</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后按时</w:t>
      </w:r>
      <w:r>
        <w:rPr>
          <w:rFonts w:hint="eastAsia" w:ascii="宋体" w:hAnsi="宋体" w:eastAsia="宋体" w:cs="宋体"/>
          <w:color w:val="auto"/>
          <w:szCs w:val="21"/>
          <w:highlight w:val="none"/>
          <w:lang w:eastAsia="zh-CN"/>
        </w:rPr>
        <w:t>线上</w:t>
      </w:r>
      <w:r>
        <w:rPr>
          <w:rFonts w:hint="eastAsia" w:ascii="宋体" w:hAnsi="宋体" w:eastAsia="宋体" w:cs="宋体"/>
          <w:color w:val="auto"/>
          <w:szCs w:val="21"/>
          <w:highlight w:val="none"/>
          <w:lang w:val="en-US" w:eastAsia="zh-CN"/>
        </w:rPr>
        <w:t>提交</w:t>
      </w:r>
      <w:r>
        <w:rPr>
          <w:rFonts w:hint="eastAsia" w:ascii="宋体" w:hAnsi="宋体" w:eastAsia="宋体" w:cs="宋体"/>
          <w:color w:val="auto"/>
          <w:szCs w:val="21"/>
          <w:highlight w:val="none"/>
        </w:rPr>
        <w:t>。</w:t>
      </w:r>
    </w:p>
    <w:p w14:paraId="79D4B94D">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当磋商小组一致确定供应商的竞争性磋商响应文件符合竞争性磋商文件要求，无需再磋商的，磋商小组按竞争性磋商文件设定的</w:t>
      </w:r>
      <w:r>
        <w:rPr>
          <w:rFonts w:hint="eastAsia" w:ascii="宋体" w:hAnsi="宋体" w:cs="宋体"/>
          <w:color w:val="auto"/>
          <w:szCs w:val="21"/>
          <w:highlight w:val="none"/>
          <w:lang w:eastAsia="zh-CN"/>
        </w:rPr>
        <w:t>22.</w:t>
      </w:r>
      <w:r>
        <w:rPr>
          <w:rFonts w:hint="eastAsia" w:ascii="宋体" w:hAnsi="宋体" w:eastAsia="宋体" w:cs="宋体"/>
          <w:color w:val="auto"/>
          <w:szCs w:val="21"/>
          <w:highlight w:val="none"/>
        </w:rPr>
        <w:t>11、</w:t>
      </w:r>
      <w:r>
        <w:rPr>
          <w:rFonts w:hint="eastAsia" w:ascii="宋体" w:hAnsi="宋体" w:cs="宋体"/>
          <w:color w:val="auto"/>
          <w:szCs w:val="21"/>
          <w:highlight w:val="none"/>
          <w:lang w:eastAsia="zh-CN"/>
        </w:rPr>
        <w:t>22.</w:t>
      </w:r>
      <w:r>
        <w:rPr>
          <w:rFonts w:hint="eastAsia" w:ascii="宋体" w:hAnsi="宋体" w:eastAsia="宋体" w:cs="宋体"/>
          <w:color w:val="auto"/>
          <w:szCs w:val="21"/>
          <w:highlight w:val="none"/>
        </w:rPr>
        <w:t>16程序和评审方法确定成交候选人。第二轮磋商后竞争性磋商文件仍有实质性变动的或仍需磋商的，磋商小组对竞争性磋商文件变动或提出磋商意见后进行第三轮磋商。以此类推。</w:t>
      </w:r>
    </w:p>
    <w:p w14:paraId="642FEC36">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22.</w:t>
      </w:r>
      <w:r>
        <w:rPr>
          <w:rFonts w:hint="eastAsia" w:ascii="宋体" w:hAnsi="宋体" w:eastAsia="宋体" w:cs="宋体"/>
          <w:color w:val="auto"/>
          <w:szCs w:val="21"/>
          <w:highlight w:val="none"/>
        </w:rPr>
        <w:t xml:space="preserve">10 在采购过程中符合竞争要求的供应商或者报价未超过采购预算的供应商不足 3 家的，采购人或者采购代理机构应当终止竞争性磋商采购活动。 </w:t>
      </w:r>
    </w:p>
    <w:p w14:paraId="47727F3A">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22.</w:t>
      </w:r>
      <w:r>
        <w:rPr>
          <w:rFonts w:hint="eastAsia" w:ascii="宋体" w:hAnsi="宋体" w:eastAsia="宋体" w:cs="宋体"/>
          <w:color w:val="auto"/>
          <w:szCs w:val="21"/>
          <w:highlight w:val="none"/>
        </w:rPr>
        <w:t xml:space="preserve">11 最后报价 </w:t>
      </w:r>
    </w:p>
    <w:p w14:paraId="2CED0281">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22.</w:t>
      </w:r>
      <w:r>
        <w:rPr>
          <w:rFonts w:hint="eastAsia" w:ascii="宋体" w:hAnsi="宋体" w:eastAsia="宋体" w:cs="宋体"/>
          <w:color w:val="auto"/>
          <w:szCs w:val="21"/>
          <w:highlight w:val="none"/>
        </w:rPr>
        <w:t>11.1 磋商文件能够详细列明采购标的的质量要求的，磋商结束后，磋商小组应当要求所有继续参加磋商的供应商在规定时间内</w:t>
      </w:r>
      <w:r>
        <w:rPr>
          <w:rFonts w:hint="eastAsia" w:ascii="宋体" w:hAnsi="宋体" w:eastAsia="宋体" w:cs="宋体"/>
          <w:color w:val="auto"/>
          <w:szCs w:val="21"/>
          <w:highlight w:val="none"/>
          <w:lang w:eastAsia="zh-CN"/>
        </w:rPr>
        <w:t>线上</w:t>
      </w:r>
      <w:r>
        <w:rPr>
          <w:rFonts w:hint="eastAsia" w:ascii="宋体" w:hAnsi="宋体" w:eastAsia="宋体" w:cs="宋体"/>
          <w:color w:val="auto"/>
          <w:szCs w:val="21"/>
          <w:highlight w:val="none"/>
        </w:rPr>
        <w:t xml:space="preserve">提交最后报价，提交最后报价的供应商不得少于 3 家。 </w:t>
      </w:r>
    </w:p>
    <w:p w14:paraId="64A4086C">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22.</w:t>
      </w:r>
      <w:r>
        <w:rPr>
          <w:rFonts w:hint="eastAsia" w:ascii="宋体" w:hAnsi="宋体" w:eastAsia="宋体" w:cs="宋体"/>
          <w:color w:val="auto"/>
          <w:szCs w:val="21"/>
          <w:highlight w:val="none"/>
        </w:rPr>
        <w:t xml:space="preserve">11.2 </w:t>
      </w:r>
      <w:r>
        <w:rPr>
          <w:rFonts w:hint="eastAsia" w:ascii="宋体" w:hAnsi="宋体" w:cs="宋体"/>
          <w:color w:val="auto"/>
          <w:szCs w:val="21"/>
          <w:highlight w:val="none"/>
        </w:rPr>
        <w:t>磋商文件不能详细列明采购标的的施工要求，需经磋商由供应商提供最终设计方案或解决方案的</w:t>
      </w:r>
      <w:r>
        <w:rPr>
          <w:rFonts w:hint="eastAsia" w:ascii="宋体" w:hAnsi="宋体" w:eastAsia="宋体" w:cs="宋体"/>
          <w:color w:val="auto"/>
          <w:szCs w:val="21"/>
          <w:highlight w:val="none"/>
        </w:rPr>
        <w:t>，磋商结束后，磋商小组应当按照少数服从多数的原则投票推荐 3 家以上（含 3 家）供应商的设计方案或者解决方案，并要求其在规定时间内</w:t>
      </w:r>
      <w:r>
        <w:rPr>
          <w:rFonts w:hint="eastAsia" w:ascii="宋体" w:hAnsi="宋体" w:eastAsia="宋体" w:cs="宋体"/>
          <w:color w:val="auto"/>
          <w:szCs w:val="21"/>
          <w:highlight w:val="none"/>
          <w:lang w:eastAsia="zh-CN"/>
        </w:rPr>
        <w:t>线上</w:t>
      </w:r>
      <w:r>
        <w:rPr>
          <w:rFonts w:hint="eastAsia" w:ascii="宋体" w:hAnsi="宋体" w:eastAsia="宋体" w:cs="宋体"/>
          <w:color w:val="auto"/>
          <w:szCs w:val="21"/>
          <w:highlight w:val="none"/>
        </w:rPr>
        <w:t xml:space="preserve">提交最后报价。 </w:t>
      </w:r>
    </w:p>
    <w:p w14:paraId="35B0E557">
      <w:pPr>
        <w:keepNext w:val="0"/>
        <w:keepLines w:val="0"/>
        <w:pageBreakBefore w:val="0"/>
        <w:widowControl w:val="0"/>
        <w:kinsoku/>
        <w:wordWrap/>
        <w:overflowPunct/>
        <w:topLinePunct w:val="0"/>
        <w:bidi w:val="0"/>
        <w:spacing w:line="440" w:lineRule="exact"/>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22.</w:t>
      </w:r>
      <w:r>
        <w:rPr>
          <w:rFonts w:hint="eastAsia" w:ascii="宋体" w:hAnsi="宋体" w:eastAsia="宋体" w:cs="宋体"/>
          <w:color w:val="auto"/>
          <w:szCs w:val="21"/>
          <w:highlight w:val="none"/>
          <w:lang w:val="en-US" w:eastAsia="zh-CN"/>
        </w:rPr>
        <w:t>11.3</w:t>
      </w:r>
      <w:r>
        <w:rPr>
          <w:rFonts w:hint="eastAsia" w:hAnsi="宋体" w:cs="宋体"/>
          <w:color w:val="auto"/>
          <w:kern w:val="0"/>
          <w:szCs w:val="21"/>
          <w:highlight w:val="none"/>
        </w:rPr>
        <w:t>最后报价（应答文件）是供应商响应文件的有效组成部分：</w:t>
      </w:r>
      <w:r>
        <w:rPr>
          <w:rFonts w:hint="eastAsia" w:hAnsi="宋体" w:cs="宋体"/>
          <w:b/>
          <w:color w:val="auto"/>
          <w:spacing w:val="-4"/>
          <w:szCs w:val="21"/>
          <w:highlight w:val="none"/>
        </w:rPr>
        <w:t>供应商做</w:t>
      </w:r>
      <w:r>
        <w:rPr>
          <w:rFonts w:hint="eastAsia" w:hAnsi="宋体" w:cs="宋体"/>
          <w:b/>
          <w:color w:val="auto"/>
          <w:spacing w:val="-4"/>
          <w:szCs w:val="21"/>
          <w:highlight w:val="none"/>
          <w:lang w:eastAsia="zh-CN"/>
        </w:rPr>
        <w:t>最后报价</w:t>
      </w:r>
      <w:r>
        <w:rPr>
          <w:rFonts w:hint="eastAsia" w:hAnsi="宋体" w:cs="宋体"/>
          <w:b/>
          <w:color w:val="auto"/>
          <w:spacing w:val="-4"/>
          <w:szCs w:val="21"/>
          <w:highlight w:val="none"/>
        </w:rPr>
        <w:t>时，</w:t>
      </w:r>
      <w:r>
        <w:rPr>
          <w:rFonts w:hint="eastAsia" w:ascii="宋体" w:hAnsi="宋体" w:cs="宋体"/>
          <w:b/>
          <w:color w:val="auto"/>
          <w:szCs w:val="21"/>
        </w:rPr>
        <w:t>供应商的第二次磋商报价</w:t>
      </w:r>
      <w:r>
        <w:rPr>
          <w:rFonts w:hint="eastAsia" w:ascii="宋体" w:hAnsi="宋体" w:cs="宋体"/>
          <w:b/>
          <w:color w:val="auto"/>
          <w:szCs w:val="21"/>
          <w:lang w:eastAsia="zh-CN"/>
        </w:rPr>
        <w:t>（</w:t>
      </w:r>
      <w:r>
        <w:rPr>
          <w:rFonts w:hint="eastAsia" w:ascii="宋体" w:hAnsi="宋体" w:cs="宋体"/>
          <w:b/>
          <w:color w:val="auto"/>
          <w:szCs w:val="21"/>
        </w:rPr>
        <w:t>或总报价</w:t>
      </w:r>
      <w:r>
        <w:rPr>
          <w:rFonts w:hint="eastAsia" w:ascii="宋体" w:hAnsi="宋体" w:cs="宋体"/>
          <w:b/>
          <w:color w:val="auto"/>
          <w:szCs w:val="21"/>
          <w:lang w:eastAsia="zh-CN"/>
        </w:rPr>
        <w:t>）</w:t>
      </w:r>
      <w:r>
        <w:rPr>
          <w:rFonts w:hint="eastAsia" w:ascii="宋体" w:hAnsi="宋体" w:cs="宋体"/>
          <w:b/>
          <w:color w:val="auto"/>
          <w:szCs w:val="21"/>
        </w:rPr>
        <w:t>不得高于该供应商第一次磋商报价</w:t>
      </w:r>
      <w:r>
        <w:rPr>
          <w:rFonts w:hint="eastAsia" w:ascii="宋体" w:hAnsi="宋体" w:cs="宋体"/>
          <w:b/>
          <w:color w:val="auto"/>
          <w:szCs w:val="21"/>
          <w:lang w:eastAsia="zh-CN"/>
        </w:rPr>
        <w:t>（</w:t>
      </w:r>
      <w:r>
        <w:rPr>
          <w:rFonts w:hint="eastAsia" w:ascii="宋体" w:hAnsi="宋体" w:cs="宋体"/>
          <w:b/>
          <w:color w:val="auto"/>
          <w:szCs w:val="21"/>
        </w:rPr>
        <w:t>或总报价</w:t>
      </w:r>
      <w:r>
        <w:rPr>
          <w:rFonts w:hint="eastAsia" w:ascii="宋体" w:hAnsi="宋体" w:cs="宋体"/>
          <w:b/>
          <w:color w:val="auto"/>
          <w:szCs w:val="21"/>
          <w:lang w:eastAsia="zh-CN"/>
        </w:rPr>
        <w:t>）</w:t>
      </w:r>
      <w:r>
        <w:rPr>
          <w:rFonts w:hint="eastAsia" w:ascii="宋体" w:hAnsi="宋体" w:cs="宋体"/>
          <w:b/>
          <w:color w:val="auto"/>
          <w:szCs w:val="21"/>
        </w:rPr>
        <w:t>，否则响应文件做无效处理</w:t>
      </w:r>
      <w:r>
        <w:rPr>
          <w:rFonts w:hint="eastAsia" w:ascii="宋体" w:hAnsi="宋体" w:cs="宋体"/>
          <w:b/>
          <w:color w:val="auto"/>
          <w:szCs w:val="21"/>
          <w:lang w:val="en-US" w:eastAsia="zh-CN"/>
        </w:rPr>
        <w:t>；</w:t>
      </w:r>
      <w:r>
        <w:rPr>
          <w:rFonts w:hint="eastAsia" w:hAnsi="宋体" w:cs="宋体"/>
          <w:b/>
          <w:color w:val="auto"/>
          <w:spacing w:val="-4"/>
          <w:szCs w:val="21"/>
          <w:highlight w:val="none"/>
        </w:rPr>
        <w:t>如供应商维持磋商报价不变</w:t>
      </w:r>
      <w:r>
        <w:rPr>
          <w:rFonts w:hint="eastAsia" w:hAnsi="宋体" w:cs="宋体"/>
          <w:b/>
          <w:color w:val="auto"/>
          <w:spacing w:val="-4"/>
          <w:szCs w:val="21"/>
          <w:highlight w:val="none"/>
          <w:lang w:eastAsia="zh-CN"/>
        </w:rPr>
        <w:t>，</w:t>
      </w:r>
      <w:r>
        <w:rPr>
          <w:rFonts w:hint="eastAsia" w:hAnsi="宋体" w:cs="宋体"/>
          <w:b/>
          <w:color w:val="auto"/>
          <w:spacing w:val="-4"/>
          <w:szCs w:val="21"/>
          <w:highlight w:val="none"/>
        </w:rPr>
        <w:t>以原磋商报价作为供应商最后报价；</w:t>
      </w:r>
      <w:r>
        <w:rPr>
          <w:rFonts w:hint="eastAsia" w:ascii="宋体" w:hAnsi="宋体" w:cs="宋体"/>
          <w:b/>
          <w:bCs/>
          <w:color w:val="auto"/>
          <w:szCs w:val="21"/>
        </w:rPr>
        <w:t>如供应商需要改变原磋商报价</w:t>
      </w:r>
      <w:r>
        <w:rPr>
          <w:rFonts w:hint="eastAsia" w:ascii="宋体" w:hAnsi="宋体" w:cs="宋体"/>
          <w:b/>
          <w:bCs/>
          <w:color w:val="auto"/>
          <w:szCs w:val="21"/>
          <w:lang w:eastAsia="zh-CN"/>
        </w:rPr>
        <w:t>（</w:t>
      </w:r>
      <w:r>
        <w:rPr>
          <w:rFonts w:hint="eastAsia" w:ascii="宋体" w:hAnsi="宋体" w:cs="宋体"/>
          <w:b/>
          <w:color w:val="auto"/>
          <w:szCs w:val="21"/>
        </w:rPr>
        <w:t>或总报价</w:t>
      </w:r>
      <w:r>
        <w:rPr>
          <w:rFonts w:hint="eastAsia" w:ascii="宋体" w:hAnsi="宋体" w:cs="宋体"/>
          <w:b/>
          <w:color w:val="auto"/>
          <w:szCs w:val="21"/>
          <w:lang w:eastAsia="zh-CN"/>
        </w:rPr>
        <w:t>）</w:t>
      </w:r>
      <w:r>
        <w:rPr>
          <w:rFonts w:hint="eastAsia" w:ascii="宋体" w:hAnsi="宋体" w:cs="宋体"/>
          <w:b/>
          <w:bCs/>
          <w:color w:val="auto"/>
          <w:szCs w:val="21"/>
        </w:rPr>
        <w:t>时，</w:t>
      </w:r>
      <w:r>
        <w:rPr>
          <w:rFonts w:hint="eastAsia" w:hAnsi="宋体" w:cs="宋体"/>
          <w:b/>
          <w:color w:val="auto"/>
          <w:spacing w:val="-4"/>
          <w:szCs w:val="21"/>
          <w:highlight w:val="none"/>
        </w:rPr>
        <w:t>供应商应预先准备好调整后的完整已标价的工程量清单</w:t>
      </w:r>
      <w:r>
        <w:rPr>
          <w:rFonts w:hint="eastAsia" w:hAnsi="宋体" w:cs="宋体"/>
          <w:b/>
          <w:color w:val="auto"/>
          <w:spacing w:val="-4"/>
          <w:szCs w:val="21"/>
          <w:highlight w:val="none"/>
          <w:lang w:eastAsia="zh-CN"/>
        </w:rPr>
        <w:t>，</w:t>
      </w:r>
      <w:r>
        <w:rPr>
          <w:rFonts w:hint="eastAsia" w:hAnsi="宋体" w:cs="宋体"/>
          <w:b/>
          <w:color w:val="auto"/>
          <w:spacing w:val="-4"/>
          <w:szCs w:val="21"/>
          <w:highlight w:val="none"/>
        </w:rPr>
        <w:t>供应商在磋商过程中，改变原报价且未按竞争性磋商文件要求提供调整后的磋商报价</w:t>
      </w:r>
      <w:r>
        <w:rPr>
          <w:rFonts w:hint="eastAsia" w:hAnsi="宋体" w:cs="宋体"/>
          <w:b/>
          <w:color w:val="auto"/>
          <w:spacing w:val="-4"/>
          <w:szCs w:val="21"/>
          <w:highlight w:val="none"/>
          <w:lang w:eastAsia="zh-CN"/>
        </w:rPr>
        <w:t>电子</w:t>
      </w:r>
      <w:r>
        <w:rPr>
          <w:rFonts w:hint="eastAsia" w:hAnsi="宋体" w:cs="宋体"/>
          <w:b/>
          <w:color w:val="auto"/>
          <w:spacing w:val="-4"/>
          <w:szCs w:val="21"/>
          <w:highlight w:val="none"/>
        </w:rPr>
        <w:t>版的，其报价不予认可，视供应商维持原磋商报价不变</w:t>
      </w:r>
      <w:r>
        <w:rPr>
          <w:rFonts w:hint="eastAsia" w:hAnsi="宋体" w:cs="宋体"/>
          <w:b/>
          <w:color w:val="auto"/>
          <w:szCs w:val="21"/>
          <w:highlight w:val="none"/>
        </w:rPr>
        <w:t>。</w:t>
      </w:r>
      <w:r>
        <w:rPr>
          <w:rFonts w:hint="eastAsia" w:hAnsi="宋体" w:cs="宋体"/>
          <w:color w:val="auto"/>
          <w:spacing w:val="-4"/>
          <w:szCs w:val="21"/>
          <w:highlight w:val="none"/>
        </w:rPr>
        <w:t>必须由供应商</w:t>
      </w:r>
      <w:r>
        <w:rPr>
          <w:rFonts w:hint="eastAsia" w:ascii="宋体" w:hAnsi="宋体" w:eastAsia="宋体" w:cs="宋体"/>
          <w:color w:val="auto"/>
          <w:szCs w:val="21"/>
          <w:highlight w:val="none"/>
        </w:rPr>
        <w:t>加盖公章</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val="en-US" w:eastAsia="zh-CN"/>
        </w:rPr>
        <w:t>数字证书（CA认证）</w:t>
      </w:r>
      <w:r>
        <w:rPr>
          <w:rFonts w:hint="eastAsia" w:ascii="宋体" w:hAnsi="宋体" w:eastAsia="宋体" w:cs="宋体"/>
          <w:color w:val="auto"/>
          <w:szCs w:val="21"/>
          <w:highlight w:val="none"/>
          <w:lang w:val="en-US" w:eastAsia="zh-CN"/>
        </w:rPr>
        <w:t>签章</w:t>
      </w:r>
      <w:r>
        <w:rPr>
          <w:rFonts w:hint="eastAsia" w:ascii="宋体" w:hAnsi="宋体" w:eastAsia="宋体" w:cs="宋体"/>
          <w:color w:val="auto"/>
          <w:szCs w:val="21"/>
          <w:highlight w:val="none"/>
          <w:lang w:eastAsia="zh-CN"/>
        </w:rPr>
        <w:t>）</w:t>
      </w:r>
      <w:r>
        <w:rPr>
          <w:rFonts w:hint="eastAsia" w:hAnsi="宋体" w:cs="宋体"/>
          <w:color w:val="auto"/>
          <w:spacing w:val="-4"/>
          <w:szCs w:val="21"/>
          <w:highlight w:val="none"/>
        </w:rPr>
        <w:t>。</w:t>
      </w:r>
    </w:p>
    <w:p w14:paraId="74768298">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cs="宋体"/>
          <w:color w:val="auto"/>
          <w:szCs w:val="21"/>
          <w:highlight w:val="none"/>
          <w:lang w:eastAsia="zh-CN"/>
        </w:rPr>
        <w:t>22.</w:t>
      </w:r>
      <w:r>
        <w:rPr>
          <w:rFonts w:hint="eastAsia" w:ascii="宋体" w:hAnsi="宋体" w:eastAsia="宋体" w:cs="宋体"/>
          <w:color w:val="auto"/>
          <w:szCs w:val="21"/>
          <w:highlight w:val="none"/>
        </w:rPr>
        <w:t>11.</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 xml:space="preserve"> 根据《财政部关于政府采购竞争性磋商采购方式管理暂行办法有关问题的补充通知》</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财库〔2014〕214 号</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的规定，如采购项目为政府购买服务项目（含政府和社会资本合作项目），在采购过程中符合要求的供应商（社会资本）只有 2 家的，竞争性磋商采购活动可以继续进行，并要求其在规定时间内</w:t>
      </w:r>
      <w:r>
        <w:rPr>
          <w:rFonts w:hint="eastAsia" w:ascii="宋体" w:hAnsi="宋体" w:eastAsia="宋体" w:cs="宋体"/>
          <w:color w:val="auto"/>
          <w:szCs w:val="21"/>
          <w:highlight w:val="none"/>
          <w:lang w:eastAsia="zh-CN"/>
        </w:rPr>
        <w:t>线上</w:t>
      </w:r>
      <w:r>
        <w:rPr>
          <w:rFonts w:hint="eastAsia" w:ascii="宋体" w:hAnsi="宋体" w:eastAsia="宋体" w:cs="宋体"/>
          <w:color w:val="auto"/>
          <w:szCs w:val="21"/>
          <w:highlight w:val="none"/>
        </w:rPr>
        <w:t xml:space="preserve">提交最后报价；采购过程中符合要求的供应商（社会资本）只有 1 家的，采购人或者采购代理机构应当终止竞争性磋商采购活动，发布项目终止公告并说明原因，重新开展采购活动。 </w:t>
      </w:r>
    </w:p>
    <w:p w14:paraId="70FA308C">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b/>
          <w:bCs/>
          <w:color w:val="auto"/>
          <w:szCs w:val="21"/>
          <w:highlight w:val="none"/>
        </w:rPr>
      </w:pPr>
      <w:r>
        <w:rPr>
          <w:rFonts w:hint="eastAsia" w:ascii="宋体" w:hAnsi="宋体" w:cs="宋体"/>
          <w:color w:val="auto"/>
          <w:szCs w:val="21"/>
          <w:highlight w:val="none"/>
          <w:lang w:eastAsia="zh-CN"/>
        </w:rPr>
        <w:t>22.</w:t>
      </w:r>
      <w:r>
        <w:rPr>
          <w:rFonts w:hint="eastAsia" w:ascii="宋体" w:hAnsi="宋体" w:eastAsia="宋体" w:cs="宋体"/>
          <w:color w:val="auto"/>
          <w:szCs w:val="21"/>
          <w:highlight w:val="none"/>
        </w:rPr>
        <w:t>11.</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 xml:space="preserve"> 根据《政府采购竞争性磋商采购方式管理暂行办法》</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财库〔2014〕214 号</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的规定：</w:t>
      </w:r>
      <w:r>
        <w:rPr>
          <w:rFonts w:hint="eastAsia" w:ascii="宋体" w:hAnsi="宋体" w:eastAsia="宋体" w:cs="宋体"/>
          <w:b/>
          <w:bCs/>
          <w:color w:val="auto"/>
          <w:szCs w:val="21"/>
          <w:highlight w:val="none"/>
        </w:rPr>
        <w:t xml:space="preserve">最后报价是供应商响应文件的有效组成部分。 </w:t>
      </w:r>
      <w:r>
        <w:rPr>
          <w:rFonts w:hint="eastAsia" w:ascii="宋体" w:hAnsi="宋体" w:eastAsia="宋体" w:cs="宋体"/>
          <w:color w:val="auto"/>
          <w:szCs w:val="21"/>
          <w:highlight w:val="none"/>
        </w:rPr>
        <w:t>符合本办法(财库〔2014〕214号文)第三条第四项情形的，提交最后报价的供应商可以为2家。</w:t>
      </w:r>
      <w:r>
        <w:rPr>
          <w:rFonts w:hint="eastAsia" w:ascii="宋体" w:hAnsi="宋体" w:eastAsia="宋体" w:cs="宋体"/>
          <w:b/>
          <w:bCs/>
          <w:color w:val="auto"/>
          <w:szCs w:val="21"/>
          <w:highlight w:val="none"/>
        </w:rPr>
        <w:t>（财库〔2014〕214号文第三条第四项：市场竞争不充分的科研项目，以及需要扶持的科技成果转化项目。）</w:t>
      </w:r>
    </w:p>
    <w:p w14:paraId="09B5374D">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22.</w:t>
      </w:r>
      <w:r>
        <w:rPr>
          <w:rFonts w:hint="eastAsia" w:ascii="宋体" w:hAnsi="宋体" w:eastAsia="宋体" w:cs="宋体"/>
          <w:color w:val="auto"/>
          <w:szCs w:val="21"/>
          <w:highlight w:val="none"/>
        </w:rPr>
        <w:t xml:space="preserve">12 已提交响应文件的供应商，在提交最后报价之前，可以根据磋商情况书面退出磋商。 </w:t>
      </w:r>
    </w:p>
    <w:p w14:paraId="7DF31B33">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未书面退出磋商的供应商在规定时间内</w:t>
      </w:r>
      <w:r>
        <w:rPr>
          <w:rFonts w:hint="eastAsia" w:ascii="宋体" w:hAnsi="宋体" w:eastAsia="宋体" w:cs="宋体"/>
          <w:color w:val="auto"/>
          <w:szCs w:val="21"/>
          <w:highlight w:val="none"/>
          <w:lang w:eastAsia="zh-CN"/>
        </w:rPr>
        <w:t>线上</w:t>
      </w:r>
      <w:r>
        <w:rPr>
          <w:rFonts w:hint="eastAsia" w:ascii="宋体" w:hAnsi="宋体" w:eastAsia="宋体" w:cs="宋体"/>
          <w:color w:val="auto"/>
          <w:szCs w:val="21"/>
          <w:highlight w:val="none"/>
        </w:rPr>
        <w:t xml:space="preserve">提交最后报价，其最后报价超出采购预算导致已通过评审的响应文件无效的，按供应商在提交响应文件截止时间后撤回响应文件处理。 </w:t>
      </w:r>
    </w:p>
    <w:p w14:paraId="65887C07">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22.</w:t>
      </w:r>
      <w:r>
        <w:rPr>
          <w:rFonts w:hint="eastAsia" w:ascii="宋体" w:hAnsi="宋体" w:eastAsia="宋体" w:cs="宋体"/>
          <w:color w:val="auto"/>
          <w:szCs w:val="21"/>
          <w:highlight w:val="none"/>
        </w:rPr>
        <w:t xml:space="preserve">13 评审报告 </w:t>
      </w:r>
    </w:p>
    <w:p w14:paraId="1C39DD8E">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磋商小组应当从质量和服务均能满足磋商文件全部实质性响应要求的供应商中，按照最后综合得分由高到低的顺序提出 3 名以上（含 3 名）成交候选人，并编写评审报告。</w:t>
      </w:r>
    </w:p>
    <w:p w14:paraId="6A8D7B0E">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22.</w:t>
      </w:r>
      <w:r>
        <w:rPr>
          <w:rFonts w:hint="eastAsia" w:ascii="宋体" w:hAnsi="宋体" w:eastAsia="宋体" w:cs="宋体"/>
          <w:color w:val="auto"/>
          <w:szCs w:val="21"/>
          <w:highlight w:val="none"/>
        </w:rPr>
        <w:t xml:space="preserve">14 在评审过程中出现法律法规和磋商文件均没有明确规定的情形时，由磋商小组现场协商解决，协商不一致的，由全体磋商小组投票表决，以得票率二分之一以上磋商小组成员的意见为准。 </w:t>
      </w:r>
    </w:p>
    <w:p w14:paraId="53AA9A38">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22.</w:t>
      </w:r>
      <w:r>
        <w:rPr>
          <w:rFonts w:hint="eastAsia" w:ascii="宋体" w:hAnsi="宋体" w:eastAsia="宋体" w:cs="宋体"/>
          <w:color w:val="auto"/>
          <w:szCs w:val="21"/>
          <w:highlight w:val="none"/>
        </w:rPr>
        <w:t>15 采购代理机构发现磋商小组有明显的违规倾向或歧视现象，或不按评审办法进行，或其他不正常行为的，应当及时制止。如制止无效，应及时向政府采购</w:t>
      </w:r>
      <w:r>
        <w:rPr>
          <w:rFonts w:hint="eastAsia" w:ascii="宋体" w:hAnsi="宋体" w:cs="宋体"/>
          <w:color w:val="auto"/>
          <w:szCs w:val="21"/>
          <w:highlight w:val="none"/>
          <w:lang w:eastAsia="zh-CN"/>
        </w:rPr>
        <w:t>监督管理部门</w:t>
      </w:r>
      <w:r>
        <w:rPr>
          <w:rFonts w:hint="eastAsia" w:ascii="宋体" w:hAnsi="宋体" w:eastAsia="宋体" w:cs="宋体"/>
          <w:color w:val="auto"/>
          <w:szCs w:val="21"/>
          <w:highlight w:val="none"/>
        </w:rPr>
        <w:t>报告。</w:t>
      </w:r>
    </w:p>
    <w:p w14:paraId="2384FBEA">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b w:val="0"/>
          <w:bCs w:val="0"/>
          <w:color w:val="auto"/>
          <w:highlight w:val="none"/>
        </w:rPr>
      </w:pPr>
      <w:r>
        <w:rPr>
          <w:rFonts w:hint="eastAsia" w:ascii="宋体" w:hAnsi="宋体" w:cs="宋体"/>
          <w:color w:val="auto"/>
          <w:szCs w:val="21"/>
          <w:highlight w:val="none"/>
          <w:lang w:eastAsia="zh-CN"/>
        </w:rPr>
        <w:t>22.</w:t>
      </w:r>
      <w:r>
        <w:rPr>
          <w:rFonts w:hint="eastAsia" w:ascii="宋体" w:hAnsi="宋体" w:eastAsia="宋体" w:cs="宋体"/>
          <w:color w:val="auto"/>
          <w:szCs w:val="21"/>
          <w:highlight w:val="none"/>
        </w:rPr>
        <w:t>16 本采购项目的评审依据为竞争性磋商文件和竞争性磋商响应文件，采用的评审方法为</w:t>
      </w:r>
      <w:r>
        <w:rPr>
          <w:rFonts w:hint="eastAsia" w:ascii="宋体" w:hAnsi="宋体" w:eastAsia="宋体" w:cs="宋体"/>
          <w:b/>
          <w:bCs/>
          <w:color w:val="auto"/>
          <w:szCs w:val="21"/>
          <w:highlight w:val="none"/>
        </w:rPr>
        <w:t>综合评分法</w:t>
      </w:r>
      <w:r>
        <w:rPr>
          <w:rFonts w:hint="eastAsia" w:ascii="宋体" w:hAnsi="宋体" w:eastAsia="宋体" w:cs="宋体"/>
          <w:b w:val="0"/>
          <w:bCs w:val="0"/>
          <w:color w:val="auto"/>
          <w:szCs w:val="21"/>
          <w:highlight w:val="none"/>
        </w:rPr>
        <w:t>。</w:t>
      </w:r>
    </w:p>
    <w:p w14:paraId="6CEF725C">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rPr>
      </w:pPr>
      <w:bookmarkStart w:id="111" w:name="_Toc18722"/>
      <w:bookmarkStart w:id="112" w:name="_Toc32470"/>
      <w:r>
        <w:rPr>
          <w:rFonts w:hint="eastAsia" w:ascii="宋体" w:hAnsi="宋体" w:eastAsia="宋体" w:cs="宋体"/>
          <w:color w:val="auto"/>
          <w:sz w:val="21"/>
          <w:szCs w:val="21"/>
          <w:highlight w:val="none"/>
        </w:rPr>
        <w:t>确定成交供应商</w:t>
      </w:r>
      <w:bookmarkEnd w:id="111"/>
      <w:bookmarkEnd w:id="112"/>
    </w:p>
    <w:p w14:paraId="6C160655">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23</w:t>
      </w:r>
      <w:r>
        <w:rPr>
          <w:rFonts w:hint="eastAsia" w:ascii="宋体" w:hAnsi="宋体" w:eastAsia="宋体" w:cs="宋体"/>
          <w:color w:val="auto"/>
          <w:szCs w:val="21"/>
          <w:highlight w:val="none"/>
        </w:rPr>
        <w:t>.1磋商小组应当根据综合得分情况，按照综合得分由高到低顺序推荐成交候选人，并编写评审报告。磋商小组根据综合得分由高到低排列次序，若得分相同时，以评审报价由低到高顺序排列；若得分相同且评审报价相同的，以最后报价由低到高顺序排列；若仍相同的，由磋商小组按照抽签的方式决定排列次序。</w:t>
      </w:r>
    </w:p>
    <w:p w14:paraId="3194C4E6">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cs="宋体"/>
          <w:color w:val="auto"/>
          <w:szCs w:val="21"/>
          <w:highlight w:val="none"/>
          <w:lang w:val="en-US" w:eastAsia="zh-CN"/>
        </w:rPr>
        <w:t>23</w:t>
      </w:r>
      <w:r>
        <w:rPr>
          <w:rFonts w:hint="eastAsia" w:ascii="宋体" w:hAnsi="宋体" w:eastAsia="宋体" w:cs="宋体"/>
          <w:color w:val="auto"/>
          <w:szCs w:val="21"/>
          <w:highlight w:val="none"/>
        </w:rPr>
        <w:t>.2采购单位应当确定磋商小组推荐排名第一的成交候选人为成交供应商。</w:t>
      </w:r>
    </w:p>
    <w:p w14:paraId="5191E814">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23</w:t>
      </w:r>
      <w:r>
        <w:rPr>
          <w:rFonts w:hint="eastAsia" w:ascii="宋体" w:hAnsi="宋体" w:eastAsia="宋体" w:cs="宋体"/>
          <w:color w:val="auto"/>
          <w:szCs w:val="21"/>
          <w:highlight w:val="none"/>
        </w:rPr>
        <w:t>.3排名第一的成交候选人放弃成交、因不可抗力提出不能履行合同，或信用信息记录不符合相关规定的，或者磋商文件规定应当提交履约保证金而在规定的期限内未能提交的（本项目免收履约保证金），采购单位可以确定排名第二的成交候选人为成交供应商。</w:t>
      </w:r>
    </w:p>
    <w:p w14:paraId="67CB03B2">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23</w:t>
      </w:r>
      <w:r>
        <w:rPr>
          <w:rFonts w:hint="eastAsia" w:ascii="宋体" w:hAnsi="宋体" w:eastAsia="宋体" w:cs="宋体"/>
          <w:color w:val="auto"/>
          <w:szCs w:val="21"/>
          <w:highlight w:val="none"/>
        </w:rPr>
        <w:t>.4排名第二的成交候选人因前款规定的同样原因不能签订合同的，采购单位可以确定排名第三的成交候选人为成交供应商。</w:t>
      </w:r>
    </w:p>
    <w:p w14:paraId="642D518B">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rPr>
      </w:pPr>
      <w:bookmarkStart w:id="113" w:name="_Toc21715"/>
      <w:bookmarkStart w:id="114" w:name="_Toc15332"/>
      <w:r>
        <w:rPr>
          <w:rFonts w:hint="eastAsia" w:ascii="宋体" w:hAnsi="宋体" w:eastAsia="宋体" w:cs="宋体"/>
          <w:color w:val="auto"/>
          <w:sz w:val="21"/>
          <w:szCs w:val="21"/>
          <w:highlight w:val="none"/>
        </w:rPr>
        <w:t>属于下列情况之一者，响应文件无效</w:t>
      </w:r>
      <w:bookmarkEnd w:id="113"/>
      <w:bookmarkEnd w:id="114"/>
    </w:p>
    <w:p w14:paraId="187DE9CE">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（1）未按磋商文件规定完整</w:t>
      </w:r>
      <w:r>
        <w:rPr>
          <w:rFonts w:hint="eastAsia" w:ascii="宋体" w:hAnsi="宋体" w:eastAsia="宋体" w:cs="宋体"/>
          <w:color w:val="auto"/>
          <w:szCs w:val="21"/>
          <w:highlight w:val="none"/>
          <w:lang w:val="en-US" w:eastAsia="zh-CN"/>
        </w:rPr>
        <w:t>线上</w:t>
      </w:r>
      <w:r>
        <w:rPr>
          <w:rFonts w:hint="eastAsia" w:ascii="宋体" w:hAnsi="宋体" w:eastAsia="宋体" w:cs="宋体"/>
          <w:color w:val="auto"/>
          <w:szCs w:val="21"/>
          <w:highlight w:val="none"/>
        </w:rPr>
        <w:t>提交响应文件或未按规定要求</w:t>
      </w:r>
      <w:r>
        <w:rPr>
          <w:rFonts w:hint="eastAsia" w:ascii="宋体" w:hAnsi="宋体" w:eastAsia="宋体" w:cs="宋体"/>
          <w:color w:val="auto"/>
          <w:szCs w:val="21"/>
          <w:highlight w:val="none"/>
          <w:lang w:eastAsia="zh-CN"/>
        </w:rPr>
        <w:t>线上</w:t>
      </w:r>
      <w:r>
        <w:rPr>
          <w:rFonts w:hint="eastAsia" w:ascii="宋体" w:hAnsi="宋体" w:eastAsia="宋体" w:cs="宋体"/>
          <w:color w:val="auto"/>
          <w:szCs w:val="21"/>
          <w:highlight w:val="none"/>
        </w:rPr>
        <w:t>签字、</w:t>
      </w:r>
      <w:r>
        <w:rPr>
          <w:rFonts w:hint="eastAsia" w:ascii="宋体" w:hAnsi="宋体" w:eastAsia="宋体" w:cs="宋体"/>
          <w:color w:val="auto"/>
          <w:szCs w:val="21"/>
          <w:highlight w:val="none"/>
          <w:lang w:val="en-US" w:eastAsia="zh-CN"/>
        </w:rPr>
        <w:t>签章</w:t>
      </w:r>
      <w:r>
        <w:rPr>
          <w:rFonts w:hint="eastAsia" w:ascii="宋体" w:hAnsi="宋体" w:eastAsia="宋体" w:cs="宋体"/>
          <w:color w:val="auto"/>
          <w:szCs w:val="21"/>
          <w:highlight w:val="none"/>
        </w:rPr>
        <w:t>的；</w:t>
      </w:r>
    </w:p>
    <w:p w14:paraId="73EAA0E7">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（2）不具备磋商文件规定的资格要求的；</w:t>
      </w:r>
    </w:p>
    <w:p w14:paraId="76532F5F">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在进行资格性审查时，磋商小组将进入《国家企业信用信息公示系统》对企业股东及出资等信息进行查询，对存在《中华人民共和国政府采购法实施条例》第十八条第一款情形的，即单位负责人为同一人或者存在直接控股、管理关系的不同供应商，不得参加同一合同项下的政府采购活动，其磋商文件将被视为无效文件；</w:t>
      </w:r>
    </w:p>
    <w:p w14:paraId="67868D7C">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）响应文件未按磋商文件的内容和要求编制，或提供虚假材料的；</w:t>
      </w:r>
    </w:p>
    <w:p w14:paraId="7CE3E717">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w:t>
      </w:r>
      <w:r>
        <w:rPr>
          <w:rFonts w:hint="eastAsia" w:ascii="宋体" w:hAnsi="宋体" w:eastAsia="宋体" w:cs="宋体"/>
          <w:color w:val="auto"/>
          <w:sz w:val="21"/>
          <w:szCs w:val="21"/>
          <w:highlight w:val="none"/>
        </w:rPr>
        <w:t>响应文件有效期、质量要求、工期要求不能满足采购文件要求的</w:t>
      </w:r>
      <w:r>
        <w:rPr>
          <w:rFonts w:hint="eastAsia" w:ascii="宋体" w:hAnsi="宋体" w:eastAsia="宋体" w:cs="宋体"/>
          <w:color w:val="auto"/>
          <w:szCs w:val="21"/>
          <w:highlight w:val="none"/>
        </w:rPr>
        <w:t>；</w:t>
      </w:r>
    </w:p>
    <w:p w14:paraId="0B6438E6">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）未在磋商小组规定的时间内提交响应文件(包括最后报价)的；</w:t>
      </w:r>
    </w:p>
    <w:p w14:paraId="38364AFA">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）超越了按照法律法规规定必须获得行政许可或者行政审批的经营范围的；</w:t>
      </w:r>
    </w:p>
    <w:p w14:paraId="352BCA77">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）未满足磋商文件实质性要求的或者响应文件有采购人不能接受的附加条件的；</w:t>
      </w:r>
    </w:p>
    <w:p w14:paraId="471D43EC">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）响应文件实质性要求未做变动，供应商最后报价高于第一次报价的；</w:t>
      </w:r>
    </w:p>
    <w:p w14:paraId="5E366836">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）不符合法律、法规和磋商文件规定的其他实质性要求和条件的。</w:t>
      </w:r>
    </w:p>
    <w:p w14:paraId="757936A6">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供应商有下列情形之一的视为供应商相互串通磋商，响应文件将被视为无效</w:t>
      </w:r>
    </w:p>
    <w:p w14:paraId="6DEE0BB1">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（1）不同供应商的响应文件由同一单位或者个人编制；或不同供应商报名的IP地址一致的；</w:t>
      </w:r>
    </w:p>
    <w:p w14:paraId="0950C520">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（2）不同供应商委托同一单位或者个人办理磋商事宜；</w:t>
      </w:r>
    </w:p>
    <w:p w14:paraId="53FE2611">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（3）不同的供应商的响应文件载明的项目管理员为同一个人；</w:t>
      </w:r>
    </w:p>
    <w:p w14:paraId="4A64EA34">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（4）不同供应商的响应文件异常一致或</w:t>
      </w:r>
      <w:r>
        <w:rPr>
          <w:rFonts w:hint="eastAsia" w:ascii="宋体" w:hAnsi="宋体" w:cs="宋体"/>
          <w:color w:val="auto"/>
          <w:szCs w:val="21"/>
          <w:highlight w:val="none"/>
          <w:lang w:eastAsia="zh-CN"/>
        </w:rPr>
        <w:t>磋商</w:t>
      </w:r>
      <w:r>
        <w:rPr>
          <w:rFonts w:hint="eastAsia" w:ascii="宋体" w:hAnsi="宋体" w:eastAsia="宋体" w:cs="宋体"/>
          <w:color w:val="auto"/>
          <w:szCs w:val="21"/>
          <w:highlight w:val="none"/>
        </w:rPr>
        <w:t>报价呈规律性差异；</w:t>
      </w:r>
    </w:p>
    <w:p w14:paraId="169087D2">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（5）不同供应商的响应文件相互混</w:t>
      </w:r>
      <w:r>
        <w:rPr>
          <w:rFonts w:hint="eastAsia" w:ascii="宋体" w:hAnsi="宋体" w:cs="宋体"/>
          <w:color w:val="auto"/>
          <w:szCs w:val="21"/>
          <w:highlight w:val="none"/>
          <w:lang w:eastAsia="zh-CN"/>
        </w:rPr>
        <w:t>编</w:t>
      </w:r>
      <w:r>
        <w:rPr>
          <w:rFonts w:hint="eastAsia" w:ascii="宋体" w:hAnsi="宋体" w:eastAsia="宋体" w:cs="宋体"/>
          <w:color w:val="auto"/>
          <w:szCs w:val="21"/>
          <w:highlight w:val="none"/>
        </w:rPr>
        <w:t>。</w:t>
      </w:r>
    </w:p>
    <w:p w14:paraId="7C54B9AC">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rPr>
      </w:pPr>
      <w:bookmarkStart w:id="115" w:name="_Toc5714"/>
      <w:bookmarkStart w:id="116" w:name="_Toc27786"/>
      <w:r>
        <w:rPr>
          <w:rFonts w:hint="eastAsia" w:ascii="宋体" w:hAnsi="宋体" w:eastAsia="宋体" w:cs="宋体"/>
          <w:color w:val="auto"/>
          <w:sz w:val="21"/>
          <w:szCs w:val="21"/>
          <w:highlight w:val="none"/>
        </w:rPr>
        <w:t>出现下列情形之一的，采购人或者采购代理机构应当终止竞争性磋商采购活动，发布项目终止公告并说明原因，重新开展采购活动</w:t>
      </w:r>
      <w:bookmarkEnd w:id="115"/>
      <w:bookmarkEnd w:id="116"/>
    </w:p>
    <w:p w14:paraId="7C8AE8B6">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（1）因情况变化，不再符合规定的竞争性磋商采购方式适用情形的；</w:t>
      </w:r>
    </w:p>
    <w:p w14:paraId="5ED6264A">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（2）出现影响采购公正的违法、违规行为的； </w:t>
      </w:r>
    </w:p>
    <w:p w14:paraId="14479E3A">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（3）在采购过程中符合竞争要求的供应商或者报价未超过采购预算的供应商不足3家的。</w:t>
      </w:r>
      <w:r>
        <w:rPr>
          <w:rFonts w:hint="eastAsia" w:ascii="宋体" w:hAnsi="宋体" w:eastAsia="宋体" w:cs="宋体"/>
          <w:b/>
          <w:bCs/>
          <w:color w:val="auto"/>
          <w:szCs w:val="21"/>
          <w:highlight w:val="none"/>
        </w:rPr>
        <w:t xml:space="preserve">（除财库〔2014〕214 号《政府采购竞争性磋商采购方式管理暂行办法》第二十一条第三款规定的情形外） </w:t>
      </w:r>
    </w:p>
    <w:p w14:paraId="41E8B0E6">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rPr>
      </w:pPr>
      <w:bookmarkStart w:id="117" w:name="_Toc19105"/>
      <w:bookmarkStart w:id="118" w:name="_Toc19910"/>
      <w:r>
        <w:rPr>
          <w:rFonts w:hint="eastAsia" w:ascii="宋体" w:hAnsi="宋体" w:eastAsia="宋体" w:cs="宋体"/>
          <w:color w:val="auto"/>
          <w:sz w:val="21"/>
          <w:szCs w:val="21"/>
          <w:highlight w:val="none"/>
        </w:rPr>
        <w:t>磋商过程的监控</w:t>
      </w:r>
      <w:bookmarkEnd w:id="117"/>
      <w:bookmarkEnd w:id="118"/>
    </w:p>
    <w:p w14:paraId="02740474">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本项目磋商过程实行全程录音、录像监控，供应商在磋商过程中所进行的试图影响磋商结果的不公正活动，可能导致其磋商被拒绝。</w:t>
      </w:r>
    </w:p>
    <w:p w14:paraId="593D1AA2">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rPr>
      </w:pPr>
      <w:bookmarkStart w:id="119" w:name="_Toc14787"/>
      <w:bookmarkStart w:id="120" w:name="_Toc26291"/>
      <w:r>
        <w:rPr>
          <w:rFonts w:hint="eastAsia" w:ascii="宋体" w:hAnsi="宋体" w:eastAsia="宋体" w:cs="宋体"/>
          <w:color w:val="auto"/>
          <w:sz w:val="21"/>
          <w:szCs w:val="21"/>
          <w:highlight w:val="none"/>
        </w:rPr>
        <w:t>信用查询</w:t>
      </w:r>
      <w:bookmarkEnd w:id="119"/>
      <w:bookmarkEnd w:id="120"/>
    </w:p>
    <w:p w14:paraId="26D7B6E9">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根据《关于做好政府采购有关信用主体标识码登记及在政府采购活动中查询使用信用记录有关问题的通知》桂财采〔2016〕37号的通知，采购代理机构对成交人的成交资格进行信用查询：</w:t>
      </w:r>
    </w:p>
    <w:p w14:paraId="07D5A4D7">
      <w:pPr>
        <w:keepNext w:val="0"/>
        <w:keepLines w:val="0"/>
        <w:pageBreakBefore w:val="0"/>
        <w:widowControl w:val="0"/>
        <w:kinsoku/>
        <w:wordWrap/>
        <w:overflowPunct/>
        <w:topLinePunct w:val="0"/>
        <w:bidi w:val="0"/>
        <w:spacing w:line="440" w:lineRule="exact"/>
        <w:ind w:firstLine="210" w:firstLineChars="1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（1）查询渠道：“信用中国”网站(www.creditchina.gov.cn)、中国政府采购网(www.ccgp.gov.cn)等；</w:t>
      </w:r>
    </w:p>
    <w:p w14:paraId="33552219">
      <w:pPr>
        <w:keepNext w:val="0"/>
        <w:keepLines w:val="0"/>
        <w:pageBreakBefore w:val="0"/>
        <w:widowControl w:val="0"/>
        <w:kinsoku/>
        <w:wordWrap/>
        <w:overflowPunct/>
        <w:topLinePunct w:val="0"/>
        <w:bidi w:val="0"/>
        <w:spacing w:line="440" w:lineRule="exact"/>
        <w:ind w:firstLine="210" w:firstLineChars="1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（2）查询时间：成交通知书发出前；</w:t>
      </w:r>
    </w:p>
    <w:p w14:paraId="413A5A72">
      <w:pPr>
        <w:keepNext w:val="0"/>
        <w:keepLines w:val="0"/>
        <w:pageBreakBefore w:val="0"/>
        <w:widowControl w:val="0"/>
        <w:kinsoku/>
        <w:wordWrap/>
        <w:overflowPunct/>
        <w:topLinePunct w:val="0"/>
        <w:bidi w:val="0"/>
        <w:spacing w:line="440" w:lineRule="exact"/>
        <w:ind w:firstLine="210" w:firstLineChars="1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（3）信用信息查询记录和证据留存方式：在查询网站中直接打印查询记录，打印材料作为采购活动资料保存。</w:t>
      </w:r>
    </w:p>
    <w:p w14:paraId="63748397">
      <w:pPr>
        <w:keepNext w:val="0"/>
        <w:keepLines w:val="0"/>
        <w:pageBreakBefore w:val="0"/>
        <w:widowControl w:val="0"/>
        <w:kinsoku/>
        <w:wordWrap/>
        <w:overflowPunct/>
        <w:topLinePunct w:val="0"/>
        <w:bidi w:val="0"/>
        <w:spacing w:line="440" w:lineRule="exact"/>
        <w:ind w:firstLine="210" w:firstLineChars="1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取消其成交候选人资格。采购人依法按照评审报告中磋商小组推荐成交候选人排序表确定排名第二的成交候选人为成交供应商或者重新组织采购。</w:t>
      </w:r>
    </w:p>
    <w:p w14:paraId="00D2E399">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rPr>
      </w:pPr>
      <w:bookmarkStart w:id="121" w:name="_Toc25468"/>
      <w:bookmarkStart w:id="122" w:name="_Toc9438"/>
      <w:r>
        <w:rPr>
          <w:rFonts w:hint="eastAsia" w:ascii="宋体" w:hAnsi="宋体" w:eastAsia="宋体" w:cs="宋体"/>
          <w:color w:val="auto"/>
          <w:sz w:val="21"/>
          <w:szCs w:val="21"/>
          <w:highlight w:val="none"/>
        </w:rPr>
        <w:t>成交结果公告及成交通知书</w:t>
      </w:r>
      <w:bookmarkEnd w:id="121"/>
      <w:bookmarkEnd w:id="122"/>
    </w:p>
    <w:p w14:paraId="5D89C746">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28</w:t>
      </w:r>
      <w:r>
        <w:rPr>
          <w:rFonts w:hint="eastAsia" w:ascii="宋体" w:hAnsi="宋体" w:eastAsia="宋体" w:cs="宋体"/>
          <w:color w:val="auto"/>
          <w:szCs w:val="21"/>
          <w:highlight w:val="none"/>
        </w:rPr>
        <w:t>.1 采购代理机构于磋商结束后两个工作日内将评审报告送交采购人，采购人应当自收到评审报告五个工作日内在评审报告推荐的成交候选人中按顺序确定成交供应商，采购代理机构在成交供应商确定之日起两个工作日内发出成交通知书，并在指定媒体上公告成交信息。</w:t>
      </w:r>
    </w:p>
    <w:p w14:paraId="61B24418">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28</w:t>
      </w:r>
      <w:r>
        <w:rPr>
          <w:rFonts w:hint="eastAsia" w:ascii="宋体" w:hAnsi="宋体" w:eastAsia="宋体" w:cs="宋体"/>
          <w:color w:val="auto"/>
          <w:szCs w:val="21"/>
          <w:highlight w:val="none"/>
        </w:rPr>
        <w:t>.2 在发布成交公告的同时，采购代理机构向成交供应商发出成交通知书。成交供应商自接到通知之日起七个工作日内，办理成交通知书领取手续。</w:t>
      </w:r>
    </w:p>
    <w:p w14:paraId="5179F6A4">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28</w:t>
      </w:r>
      <w:r>
        <w:rPr>
          <w:rFonts w:hint="eastAsia" w:ascii="宋体" w:hAnsi="宋体" w:eastAsia="宋体" w:cs="宋体"/>
          <w:color w:val="auto"/>
          <w:szCs w:val="21"/>
          <w:highlight w:val="none"/>
        </w:rPr>
        <w:t>.3 采购代理机构无义务向未成交的供应商解释未成交原因和退还响应文件。</w:t>
      </w:r>
    </w:p>
    <w:p w14:paraId="01C77339">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val="0"/>
          <w:color w:val="auto"/>
          <w:szCs w:val="28"/>
          <w:highlight w:val="none"/>
        </w:rPr>
      </w:pPr>
      <w:bookmarkStart w:id="123" w:name="_Toc25593"/>
    </w:p>
    <w:p w14:paraId="34B5A446">
      <w:pPr>
        <w:pStyle w:val="3"/>
        <w:keepNext w:val="0"/>
        <w:keepLines w:val="0"/>
        <w:pageBreakBefore w:val="0"/>
        <w:widowControl w:val="0"/>
        <w:tabs>
          <w:tab w:val="left" w:pos="567"/>
        </w:tabs>
        <w:kinsoku/>
        <w:wordWrap/>
        <w:overflowPunct/>
        <w:topLinePunct w:val="0"/>
        <w:bidi w:val="0"/>
        <w:spacing w:line="440" w:lineRule="exact"/>
        <w:jc w:val="center"/>
        <w:textAlignment w:val="auto"/>
        <w:rPr>
          <w:rFonts w:hint="eastAsia" w:ascii="宋体" w:hAnsi="宋体" w:eastAsia="宋体" w:cs="宋体"/>
          <w:b/>
          <w:bCs w:val="0"/>
          <w:color w:val="auto"/>
          <w:szCs w:val="28"/>
          <w:highlight w:val="none"/>
        </w:rPr>
      </w:pPr>
      <w:bookmarkStart w:id="124" w:name="_Toc29518"/>
      <w:bookmarkStart w:id="125" w:name="_Toc13901"/>
      <w:bookmarkStart w:id="126" w:name="_Toc24102"/>
      <w:r>
        <w:rPr>
          <w:rFonts w:hint="eastAsia" w:ascii="宋体" w:hAnsi="宋体" w:eastAsia="宋体" w:cs="宋体"/>
          <w:b/>
          <w:bCs w:val="0"/>
          <w:color w:val="auto"/>
          <w:szCs w:val="28"/>
          <w:highlight w:val="none"/>
        </w:rPr>
        <w:t>五、签订合同</w:t>
      </w:r>
      <w:bookmarkEnd w:id="123"/>
      <w:bookmarkEnd w:id="124"/>
      <w:bookmarkEnd w:id="125"/>
      <w:bookmarkEnd w:id="126"/>
    </w:p>
    <w:p w14:paraId="6FF4BC5C">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color w:val="auto"/>
          <w:highlight w:val="none"/>
        </w:rPr>
      </w:pPr>
      <w:bookmarkStart w:id="127" w:name="_Toc26520"/>
      <w:bookmarkStart w:id="128" w:name="_Toc1032"/>
      <w:r>
        <w:rPr>
          <w:rFonts w:hint="eastAsia" w:ascii="宋体" w:hAnsi="宋体" w:eastAsia="宋体" w:cs="宋体"/>
          <w:color w:val="auto"/>
          <w:sz w:val="21"/>
          <w:szCs w:val="21"/>
          <w:highlight w:val="none"/>
        </w:rPr>
        <w:t>履约保证金</w:t>
      </w:r>
      <w:bookmarkEnd w:id="127"/>
      <w:bookmarkEnd w:id="128"/>
    </w:p>
    <w:p w14:paraId="20AFCFC9">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bookmarkStart w:id="129" w:name="_Toc4956"/>
      <w:bookmarkStart w:id="130" w:name="_Toc22004"/>
      <w:r>
        <w:rPr>
          <w:rFonts w:hint="eastAsia" w:ascii="宋体" w:hAnsi="宋体" w:cs="宋体"/>
          <w:color w:val="auto"/>
          <w:szCs w:val="21"/>
          <w:highlight w:val="none"/>
          <w:lang w:eastAsia="zh-CN"/>
        </w:rPr>
        <w:t>本项目不收取履约保证金</w:t>
      </w:r>
      <w:r>
        <w:rPr>
          <w:rFonts w:hint="eastAsia" w:ascii="宋体" w:hAnsi="宋体" w:eastAsia="宋体" w:cs="宋体"/>
          <w:color w:val="auto"/>
          <w:szCs w:val="21"/>
          <w:highlight w:val="none"/>
        </w:rPr>
        <w:t>。</w:t>
      </w:r>
    </w:p>
    <w:p w14:paraId="7AA5E1FA">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签订合同</w:t>
      </w:r>
      <w:bookmarkEnd w:id="129"/>
      <w:bookmarkEnd w:id="130"/>
    </w:p>
    <w:p w14:paraId="75049EE7">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cs="宋体"/>
          <w:b/>
          <w:bCs/>
          <w:color w:val="auto"/>
          <w:szCs w:val="21"/>
          <w:highlight w:val="none"/>
          <w:lang w:val="en-US" w:eastAsia="zh-CN"/>
        </w:rPr>
        <w:t>30</w:t>
      </w:r>
      <w:r>
        <w:rPr>
          <w:rFonts w:hint="eastAsia" w:ascii="宋体" w:hAnsi="宋体" w:eastAsia="宋体" w:cs="宋体"/>
          <w:b/>
          <w:bCs/>
          <w:color w:val="auto"/>
          <w:szCs w:val="21"/>
          <w:highlight w:val="none"/>
        </w:rPr>
        <w:t>.1 签订合同时间：</w:t>
      </w:r>
      <w:r>
        <w:rPr>
          <w:rFonts w:hint="eastAsia" w:ascii="宋体" w:hAnsi="宋体" w:eastAsia="宋体" w:cs="宋体"/>
          <w:b/>
          <w:bCs/>
          <w:color w:val="auto"/>
          <w:szCs w:val="21"/>
          <w:highlight w:val="none"/>
          <w:lang w:eastAsia="zh-CN"/>
        </w:rPr>
        <w:t>成交通知书</w:t>
      </w:r>
      <w:r>
        <w:rPr>
          <w:rFonts w:hint="eastAsia" w:ascii="宋体" w:hAnsi="宋体" w:eastAsia="宋体" w:cs="宋体"/>
          <w:b/>
          <w:bCs/>
          <w:color w:val="auto"/>
          <w:szCs w:val="21"/>
          <w:highlight w:val="none"/>
        </w:rPr>
        <w:t>发出之日起8个工作日内签订合同。成交供应商领取成交通知书后，应按规定与采购人签订合同。</w:t>
      </w:r>
    </w:p>
    <w:p w14:paraId="7C581898">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30</w:t>
      </w:r>
      <w:r>
        <w:rPr>
          <w:rFonts w:hint="eastAsia" w:ascii="宋体" w:hAnsi="宋体" w:eastAsia="宋体" w:cs="宋体"/>
          <w:color w:val="auto"/>
          <w:szCs w:val="21"/>
          <w:highlight w:val="none"/>
        </w:rPr>
        <w:t>.2 如成交供应商有下列情形之一的，情节严重的，由财政部门将其列入不良行为记录名单，在一至三年内禁止参加政府采购活动，并予以通报。采购代理机构可从磋商小组推荐的成交候选人中按顺序重新确定成交供应商或重新组织采购。拒绝签订政府采购合同的成交供应商不得参加对该项目重新开展的采购活动。</w:t>
      </w:r>
    </w:p>
    <w:p w14:paraId="2F7DA703">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（1）成交后不与采购人签订合同的（不可抗力除外）；</w:t>
      </w:r>
    </w:p>
    <w:p w14:paraId="3A0D92BF">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（2）将成交项目转让给他人，或者在响应文件中未说明，且未经采购人同意，将成交项目分包给他人的；</w:t>
      </w:r>
    </w:p>
    <w:p w14:paraId="1DBDA688">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（3）拒绝履行合同义务的。</w:t>
      </w:r>
    </w:p>
    <w:p w14:paraId="69693A41">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cs="宋体"/>
          <w:color w:val="auto"/>
          <w:szCs w:val="21"/>
          <w:highlight w:val="none"/>
          <w:lang w:val="en-US" w:eastAsia="zh-CN"/>
        </w:rPr>
        <w:t>30</w:t>
      </w:r>
      <w:r>
        <w:rPr>
          <w:rFonts w:hint="eastAsia" w:ascii="宋体" w:hAnsi="宋体" w:eastAsia="宋体" w:cs="宋体"/>
          <w:color w:val="auto"/>
          <w:szCs w:val="21"/>
          <w:highlight w:val="none"/>
        </w:rPr>
        <w:t>.3 合同备案存档：</w:t>
      </w:r>
      <w:r>
        <w:rPr>
          <w:rFonts w:hint="eastAsia" w:ascii="宋体" w:hAnsi="宋体" w:eastAsia="宋体" w:cs="宋体"/>
          <w:color w:val="auto"/>
          <w:highlight w:val="none"/>
        </w:rPr>
        <w:t>政府采购合同双方自签订之日起一个工作日内将合同原件一份交采购代理机构，采购代理机构将政府采购合同在省级以上人民政府财政部门指定媒体上公告。采购人于合同签订之日起七个工作日内将一份合同原件送本级财政部门备案，一份由</w:t>
      </w:r>
      <w:r>
        <w:rPr>
          <w:rFonts w:hint="eastAsia" w:ascii="宋体" w:hAnsi="宋体" w:cs="宋体"/>
          <w:color w:val="auto"/>
          <w:highlight w:val="none"/>
          <w:lang w:eastAsia="zh-CN"/>
        </w:rPr>
        <w:t>广西北部湾宏亚建设管理有限公司</w:t>
      </w:r>
      <w:r>
        <w:rPr>
          <w:rFonts w:hint="eastAsia" w:ascii="宋体" w:hAnsi="宋体" w:eastAsia="宋体" w:cs="宋体"/>
          <w:color w:val="auto"/>
          <w:highlight w:val="none"/>
        </w:rPr>
        <w:t>存档。</w:t>
      </w:r>
    </w:p>
    <w:p w14:paraId="401F2BBA">
      <w:pPr>
        <w:pStyle w:val="9"/>
        <w:rPr>
          <w:rFonts w:hint="eastAsia" w:ascii="宋体" w:hAnsi="宋体" w:eastAsia="宋体" w:cs="宋体"/>
          <w:color w:val="auto"/>
          <w:highlight w:val="none"/>
        </w:rPr>
      </w:pPr>
    </w:p>
    <w:p w14:paraId="54D61E1A">
      <w:pPr>
        <w:pStyle w:val="3"/>
        <w:keepNext w:val="0"/>
        <w:keepLines w:val="0"/>
        <w:pageBreakBefore w:val="0"/>
        <w:widowControl w:val="0"/>
        <w:tabs>
          <w:tab w:val="left" w:pos="567"/>
        </w:tabs>
        <w:kinsoku/>
        <w:wordWrap/>
        <w:overflowPunct/>
        <w:topLinePunct w:val="0"/>
        <w:bidi w:val="0"/>
        <w:spacing w:line="440" w:lineRule="exact"/>
        <w:jc w:val="center"/>
        <w:textAlignment w:val="auto"/>
        <w:rPr>
          <w:rFonts w:hint="eastAsia" w:ascii="宋体" w:hAnsi="宋体" w:eastAsia="宋体" w:cs="宋体"/>
          <w:b/>
          <w:bCs w:val="0"/>
          <w:color w:val="auto"/>
          <w:szCs w:val="28"/>
          <w:highlight w:val="none"/>
        </w:rPr>
      </w:pPr>
      <w:bookmarkStart w:id="131" w:name="_Toc3186"/>
      <w:bookmarkStart w:id="132" w:name="_Toc17898"/>
      <w:bookmarkStart w:id="133" w:name="_Toc30713"/>
      <w:bookmarkStart w:id="134" w:name="_Toc16348"/>
      <w:r>
        <w:rPr>
          <w:rFonts w:hint="eastAsia" w:ascii="宋体" w:hAnsi="宋体" w:eastAsia="宋体" w:cs="宋体"/>
          <w:b/>
          <w:bCs w:val="0"/>
          <w:color w:val="auto"/>
          <w:szCs w:val="28"/>
          <w:highlight w:val="none"/>
        </w:rPr>
        <w:t>六、其他事项</w:t>
      </w:r>
      <w:bookmarkEnd w:id="131"/>
      <w:bookmarkEnd w:id="132"/>
      <w:bookmarkEnd w:id="133"/>
      <w:bookmarkEnd w:id="134"/>
    </w:p>
    <w:p w14:paraId="6DE03AB2">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color w:val="auto"/>
          <w:sz w:val="21"/>
          <w:szCs w:val="21"/>
          <w:highlight w:val="none"/>
        </w:rPr>
      </w:pPr>
      <w:bookmarkStart w:id="135" w:name="_Toc28647"/>
      <w:bookmarkStart w:id="136" w:name="_Toc29572"/>
      <w:r>
        <w:rPr>
          <w:rFonts w:hint="eastAsia" w:ascii="宋体" w:hAnsi="宋体" w:eastAsia="宋体" w:cs="宋体"/>
          <w:color w:val="auto"/>
          <w:sz w:val="21"/>
          <w:szCs w:val="21"/>
          <w:highlight w:val="none"/>
        </w:rPr>
        <w:t xml:space="preserve"> 采购代理服务费</w:t>
      </w:r>
      <w:bookmarkEnd w:id="135"/>
      <w:bookmarkEnd w:id="136"/>
    </w:p>
    <w:p w14:paraId="1D012A81">
      <w:pPr>
        <w:keepNext w:val="0"/>
        <w:keepLines w:val="0"/>
        <w:pageBreakBefore w:val="0"/>
        <w:widowControl w:val="0"/>
        <w:wordWrap/>
        <w:topLinePunct w:val="0"/>
        <w:bidi w:val="0"/>
        <w:spacing w:line="400" w:lineRule="exact"/>
        <w:ind w:firstLine="420"/>
        <w:rPr>
          <w:rFonts w:hint="eastAsia" w:ascii="宋体" w:hAnsi="宋体" w:eastAsia="宋体" w:cs="宋体"/>
          <w:color w:val="auto"/>
          <w:szCs w:val="21"/>
          <w:highlight w:val="none"/>
        </w:rPr>
      </w:pPr>
      <w:bookmarkStart w:id="137" w:name="_Toc12374"/>
      <w:r>
        <w:rPr>
          <w:rFonts w:hint="eastAsia" w:ascii="宋体" w:hAnsi="宋体" w:cs="宋体"/>
          <w:color w:val="auto"/>
          <w:highlight w:val="none"/>
          <w:lang w:val="en-US" w:eastAsia="zh-CN"/>
        </w:rPr>
        <w:t>31</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成交供应商领取成交通知书前，</w:t>
      </w:r>
      <w:r>
        <w:rPr>
          <w:rFonts w:hint="eastAsia" w:ascii="宋体" w:hAnsi="宋体" w:eastAsia="宋体" w:cs="宋体"/>
          <w:color w:val="auto"/>
          <w:szCs w:val="21"/>
          <w:highlight w:val="none"/>
        </w:rPr>
        <w:t>向</w:t>
      </w:r>
      <w:r>
        <w:rPr>
          <w:rFonts w:hint="eastAsia" w:ascii="宋体" w:hAnsi="宋体" w:cs="宋体"/>
          <w:color w:val="auto"/>
          <w:highlight w:val="none"/>
          <w:lang w:eastAsia="zh-CN"/>
        </w:rPr>
        <w:t>广西北部湾宏亚建设管理有限公司</w:t>
      </w:r>
      <w:r>
        <w:rPr>
          <w:rFonts w:hint="eastAsia" w:ascii="宋体" w:hAnsi="宋体" w:eastAsia="宋体" w:cs="宋体"/>
          <w:color w:val="auto"/>
          <w:highlight w:val="none"/>
        </w:rPr>
        <w:t>一次性付清代理服务费。</w:t>
      </w:r>
      <w:r>
        <w:rPr>
          <w:rFonts w:hint="eastAsia" w:ascii="宋体" w:hAnsi="宋体" w:eastAsia="宋体" w:cs="宋体"/>
          <w:color w:val="auto"/>
          <w:szCs w:val="21"/>
          <w:highlight w:val="none"/>
        </w:rPr>
        <w:t>本项目招标代理服务收费标准参照计价格[2002]1980号《招标代理服务收费管理暂行办法》</w:t>
      </w:r>
      <w:r>
        <w:rPr>
          <w:rFonts w:hint="eastAsia" w:ascii="宋体" w:hAnsi="宋体" w:cs="宋体"/>
          <w:color w:val="auto"/>
          <w:szCs w:val="21"/>
          <w:highlight w:val="none"/>
          <w:lang w:eastAsia="zh-CN"/>
        </w:rPr>
        <w:t>工程类收费标准向成交供应商收取</w:t>
      </w:r>
      <w:r>
        <w:rPr>
          <w:rFonts w:hint="eastAsia" w:ascii="宋体" w:hAnsi="宋体" w:eastAsia="宋体" w:cs="宋体"/>
          <w:color w:val="auto"/>
          <w:szCs w:val="21"/>
          <w:highlight w:val="none"/>
        </w:rPr>
        <w:t>。</w:t>
      </w:r>
    </w:p>
    <w:tbl>
      <w:tblPr>
        <w:tblStyle w:val="27"/>
        <w:tblW w:w="9006"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1841"/>
        <w:gridCol w:w="1992"/>
        <w:gridCol w:w="2293"/>
      </w:tblGrid>
      <w:tr w14:paraId="49201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2880" w:type="dxa"/>
            <w:noWrap w:val="0"/>
            <w:vAlign w:val="top"/>
          </w:tcPr>
          <w:p w14:paraId="7F7B8B05">
            <w:pPr>
              <w:keepNext w:val="0"/>
              <w:keepLines w:val="0"/>
              <w:pageBreakBefore w:val="0"/>
              <w:widowControl w:val="0"/>
              <w:wordWrap/>
              <w:topLinePunct w:val="0"/>
              <w:bidi w:val="0"/>
              <w:spacing w:before="0" w:after="0" w:line="400" w:lineRule="exact"/>
              <w:ind w:left="23"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mc:AlternateContent>
                <mc:Choice Requires="wps">
                  <w:drawing>
                    <wp:anchor distT="0" distB="0" distL="114300" distR="114300" simplePos="0" relativeHeight="251659264" behindDoc="0" locked="0" layoutInCell="1" allowOverlap="1">
                      <wp:simplePos x="0" y="0"/>
                      <wp:positionH relativeFrom="column">
                        <wp:posOffset>296545</wp:posOffset>
                      </wp:positionH>
                      <wp:positionV relativeFrom="paragraph">
                        <wp:posOffset>10795</wp:posOffset>
                      </wp:positionV>
                      <wp:extent cx="1463675" cy="653415"/>
                      <wp:effectExtent l="1905" t="4445" r="20320" b="8890"/>
                      <wp:wrapNone/>
                      <wp:docPr id="1026" name="直接连接符 1026"/>
                      <wp:cNvGraphicFramePr/>
                      <a:graphic xmlns:a="http://schemas.openxmlformats.org/drawingml/2006/main">
                        <a:graphicData uri="http://schemas.microsoft.com/office/word/2010/wordprocessingShape">
                          <wps:wsp>
                            <wps:cNvCnPr/>
                            <wps:spPr>
                              <a:xfrm>
                                <a:off x="0" y="0"/>
                                <a:ext cx="1463675" cy="653415"/>
                              </a:xfrm>
                              <a:prstGeom prst="line">
                                <a:avLst/>
                              </a:prstGeom>
                              <a:ln w="9525" cap="flat" cmpd="sng">
                                <a:solidFill>
                                  <a:srgbClr val="000000"/>
                                </a:solidFill>
                                <a:prstDash val="solid"/>
                                <a:round/>
                                <a:headEnd type="none" w="med" len="med"/>
                                <a:tailEnd type="none" w="med" len="med"/>
                              </a:ln>
                              <a:effectLst/>
                            </wps:spPr>
                            <wps:bodyPr/>
                          </wps:wsp>
                        </a:graphicData>
                      </a:graphic>
                    </wp:anchor>
                  </w:drawing>
                </mc:Choice>
                <mc:Fallback>
                  <w:pict>
                    <v:line id="_x0000_s1026" o:spid="_x0000_s1026" o:spt="20" style="position:absolute;left:0pt;margin-left:23.35pt;margin-top:0.85pt;height:51.45pt;width:115.25pt;z-index:251659264;mso-width-relative:page;mso-height-relative:page;" filled="f" stroked="t" coordsize="21600,21600" o:gfxdata="UEsDBAoAAAAAAIdO4kAAAAAAAAAAAAAAAAAEAAAAZHJzL1BLAwQUAAAACACHTuJAUgFTNNYAAAAI&#10;AQAADwAAAGRycy9kb3ducmV2LnhtbE2PzU7DQAyE70i8w8pIXCq621AlVcimByA3LrQgrm7iJhFZ&#10;b5rd/sDTY05wssYzGn8u1hc3qBNNofdsYTE3oIhr3/TcWnjbVncrUCEiNzh4JgtfFGBdXl8VmDf+&#10;zK902sRWSQmHHC10MY651qHuyGGY+5FYvL2fHEaRU6ubCc9S7gadGJNqhz3LhQ5Heuyo/twcnYVQ&#10;vdOh+p7VM/Nx33pKDk8vz2jt7c3CPICKdIl/YfjFF3QohWnnj9wENVhYppkkZS9D7CTLElA70WaZ&#10;gi4L/f+B8gdQSwMEFAAAAAgAh07iQDnnG0P9AQAA+wMAAA4AAABkcnMvZTJvRG9jLnhtbK1TS44T&#10;MRDdI3EHy3vSSWYSoJXOLCYMGwQjAQeo2O60Jf/kctLJJbgAEjtYsWTPbRiOQdkdwjBssiALp+yq&#10;eq73+nlxtbeG7VRE7V3DJ6MxZ8oJL7XbNPz9u5snzzjDBE6C8U41/KCQXy0fP1r0oVZT33kjVWQE&#10;4rDuQ8O7lEJdVSg6ZQFHPihHydZHC4m2cVPJCD2hW1NNx+N51fsoQ/RCIdLpakjyI2I8B9C3rRZq&#10;5cXWKpcG1KgMJKKEnQ7Il2XatlUivWlbVImZhhPTVFa6hOJ1XqvlAupNhNBpcRwBzhnhAScL2tGl&#10;J6gVJGDbqP+BslpEj75NI+FtNRApihCLyfiBNm87CKpwIakxnETH/wcrXu9uI9OSnDCezjlzYOmb&#10;33389uPD55/fP9F69/ULKzmSqg9YU8e1u43HHYbbmHnv22jzPzFi+yLv4SSv2icm6HByOb+YP51x&#10;Jig3n11cTmZZ/+pPd4iYXipvWQ4abrTL9KGG3StMQ+nvknxsHOsb/nw2zZhAXmzJAxTaQHzQbUov&#10;eqPljTYmd2DcrK9NZDvIfii/4wh/leVLVoDdUFdSg1Oi3zpJg0DdKZAvnGTpEEgwR0+F52GskpwZ&#10;RS8rR6UygTbnVJIOxmVoVXx7ZJwlH0TO0drLQ9G+yjvyRJHv6N9suvt7iu+/2eU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UgFTNNYAAAAIAQAADwAAAAAAAAABACAAAAAiAAAAZHJzL2Rvd25yZXYu&#10;eG1sUEsBAhQAFAAAAAgAh07iQDnnG0P9AQAA+wMAAA4AAAAAAAAAAQAgAAAAJQEAAGRycy9lMm9E&#10;b2MueG1sUEsFBgAAAAAGAAYAWQEAAJQFAAAAAA==&#10;">
                      <v:fill on="f" focussize="0,0"/>
                      <v:stroke color="#000000" joinstyle="round"/>
                      <v:imagedata o:title=""/>
                      <o:lock v:ext="edit" aspectratio="f"/>
                    </v:line>
                  </w:pict>
                </mc:Fallback>
              </mc:AlternateContent>
            </w:r>
            <w:r>
              <w:rPr>
                <w:rFonts w:hint="eastAsia" w:ascii="宋体" w:hAnsi="宋体" w:eastAsia="宋体" w:cs="宋体"/>
                <w:color w:val="auto"/>
                <w:szCs w:val="21"/>
                <w:highlight w:val="none"/>
              </w:rPr>
              <w:t>费率           服务类型</w:t>
            </w:r>
          </w:p>
          <w:p w14:paraId="0A5F258C">
            <w:pPr>
              <w:keepNext w:val="0"/>
              <w:keepLines w:val="0"/>
              <w:pageBreakBefore w:val="0"/>
              <w:widowControl w:val="0"/>
              <w:wordWrap/>
              <w:topLinePunct w:val="0"/>
              <w:bidi w:val="0"/>
              <w:spacing w:before="0" w:after="0" w:line="400" w:lineRule="exact"/>
              <w:ind w:left="23"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mc:AlternateContent>
                <mc:Choice Requires="wps">
                  <w:drawing>
                    <wp:anchor distT="0" distB="0" distL="114300" distR="114300" simplePos="0" relativeHeight="251660288" behindDoc="0" locked="0" layoutInCell="1" allowOverlap="1">
                      <wp:simplePos x="0" y="0"/>
                      <wp:positionH relativeFrom="column">
                        <wp:posOffset>-78740</wp:posOffset>
                      </wp:positionH>
                      <wp:positionV relativeFrom="paragraph">
                        <wp:posOffset>92075</wp:posOffset>
                      </wp:positionV>
                      <wp:extent cx="1828800" cy="396240"/>
                      <wp:effectExtent l="1270" t="4445" r="17780" b="18415"/>
                      <wp:wrapNone/>
                      <wp:docPr id="1027" name="直接连接符 1027"/>
                      <wp:cNvGraphicFramePr/>
                      <a:graphic xmlns:a="http://schemas.openxmlformats.org/drawingml/2006/main">
                        <a:graphicData uri="http://schemas.microsoft.com/office/word/2010/wordprocessingShape">
                          <wps:wsp>
                            <wps:cNvCnPr/>
                            <wps:spPr>
                              <a:xfrm>
                                <a:off x="0" y="0"/>
                                <a:ext cx="1828800" cy="396239"/>
                              </a:xfrm>
                              <a:prstGeom prst="line">
                                <a:avLst/>
                              </a:prstGeom>
                              <a:ln w="9525" cap="flat" cmpd="sng">
                                <a:solidFill>
                                  <a:srgbClr val="000000"/>
                                </a:solidFill>
                                <a:prstDash val="solid"/>
                                <a:round/>
                                <a:headEnd type="none" w="med" len="med"/>
                                <a:tailEnd type="none" w="med" len="med"/>
                              </a:ln>
                              <a:effectLst/>
                            </wps:spPr>
                            <wps:bodyPr/>
                          </wps:wsp>
                        </a:graphicData>
                      </a:graphic>
                    </wp:anchor>
                  </w:drawing>
                </mc:Choice>
                <mc:Fallback>
                  <w:pict>
                    <v:line id="_x0000_s1026" o:spid="_x0000_s1026" o:spt="20" style="position:absolute;left:0pt;margin-left:-6.2pt;margin-top:7.25pt;height:31.2pt;width:144pt;z-index:251660288;mso-width-relative:page;mso-height-relative:page;" filled="f" stroked="t" coordsize="21600,21600" o:gfxdata="UEsDBAoAAAAAAIdO4kAAAAAAAAAAAAAAAAAEAAAAZHJzL1BLAwQUAAAACACHTuJAsl4YhtgAAAAJ&#10;AQAADwAAAGRycy9kb3ducmV2LnhtbE2Py07DMBBF90j8gzVIbKrWTmhTCHG6ALJj00LV7TQekoh4&#10;nMbuA74es4Ll6B7de6ZYXWwvTjT6zrGGZKZAENfOdNxoeH+rpvcgfEA22DsmDV/kYVVeXxWYG3fm&#10;NZ02oRGxhH2OGtoQhlxKX7dk0c/cQByzDzdaDPEcG2lGPMdy28tUqUxa7DgutDjQU0v15+ZoNfhq&#10;S4fqe1JP1O6ucZQenl9fUOvbm0Q9ggh0CX8w/OpHdSij094d2XjRa5gm6TyiMZgvQEQgXS4yEHsN&#10;y+wBZFnI/x+UP1BLAwQUAAAACACHTuJAy/si3f4BAAD7AwAADgAAAGRycy9lMm9Eb2MueG1srVNL&#10;jhMxEN0jcQfLe9KdHs2QtNKZxYRhgyAScADHdqct+SeXk04uwQWQ2MGKJXtuw3AMyu4m82GTBVk4&#10;ZVfVc73Xz4vrg9FkLwMoZxs6nZSUSMudUHbb0I8fbl/MKIHIrGDaWdnQowR6vXz+bNH7Wlauc1rI&#10;QBDEQt37hnYx+roogHfSMJg4Ly0mWxcMi7gN20IE1iO60UVVlldF74LwwXEJgKerIUlHxHAOoGtb&#10;xeXK8Z2RNg6oQWoWkRJ0ygNd5mnbVvL4rm1BRqIbikxjXvESjDdpLZYLVm8D853i4wjsnBGecDJM&#10;Wbz0BLVikZFdUP9AGcWDA9fGCXemGIhkRZDFtHyizfuOeZm5oNTgT6LD/4Plb/frQJRAJ5TVS0os&#10;M/jN7z7/+PXp6++fX3C9+/6N5BxK1XuosePGrsO4A78OifehDSb9IyNyyPIeT/LKQyQcD6ezajYr&#10;UXmOuYv5VXUxT/oX990+QHwtnSEpaKhWNtFnNdu/gTiU/i1Jx9qSvqHzy+oSMRl6sUUPYGg88gG7&#10;zb3gtBK3SuvUAWG7udGB7FnyQ/6NIzwqS5esGHRDXU4NTgluZwUOwupOMvHKChKPHgWz+FRoGsZI&#10;QYmW+LJSlCsjU/qcStRB2wQts29HxknyQeQUbZw4Zu2LtENPZPlG/ybTPdxj/PDNLv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sl4YhtgAAAAJAQAADwAAAAAAAAABACAAAAAiAAAAZHJzL2Rvd25y&#10;ZXYueG1sUEsBAhQAFAAAAAgAh07iQMv7It3+AQAA+wMAAA4AAAAAAAAAAQAgAAAAJwEAAGRycy9l&#10;Mm9Eb2MueG1sUEsFBgAAAAAGAAYAWQEAAJcFAAAAAA==&#10;">
                      <v:fill on="f" focussize="0,0"/>
                      <v:stroke color="#000000" joinstyle="round"/>
                      <v:imagedata o:title=""/>
                      <o:lock v:ext="edit" aspectratio="f"/>
                    </v:line>
                  </w:pict>
                </mc:Fallback>
              </mc:AlternateContent>
            </w:r>
          </w:p>
          <w:p w14:paraId="721C559C">
            <w:pPr>
              <w:keepNext w:val="0"/>
              <w:keepLines w:val="0"/>
              <w:pageBreakBefore w:val="0"/>
              <w:widowControl w:val="0"/>
              <w:wordWrap/>
              <w:topLinePunct w:val="0"/>
              <w:bidi w:val="0"/>
              <w:spacing w:before="0" w:after="0" w:line="400" w:lineRule="exact"/>
              <w:ind w:left="23"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中标金额（万元）</w:t>
            </w:r>
          </w:p>
        </w:tc>
        <w:tc>
          <w:tcPr>
            <w:tcW w:w="1841" w:type="dxa"/>
            <w:noWrap w:val="0"/>
            <w:vAlign w:val="center"/>
          </w:tcPr>
          <w:p w14:paraId="65A5FC41">
            <w:pPr>
              <w:keepNext w:val="0"/>
              <w:keepLines w:val="0"/>
              <w:pageBreakBefore w:val="0"/>
              <w:widowControl w:val="0"/>
              <w:wordWrap/>
              <w:topLinePunct w:val="0"/>
              <w:bidi w:val="0"/>
              <w:spacing w:before="0" w:after="0" w:line="400" w:lineRule="exact"/>
              <w:ind w:left="23"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货物招标</w:t>
            </w:r>
          </w:p>
        </w:tc>
        <w:tc>
          <w:tcPr>
            <w:tcW w:w="1992" w:type="dxa"/>
            <w:noWrap w:val="0"/>
            <w:vAlign w:val="center"/>
          </w:tcPr>
          <w:p w14:paraId="5715F046">
            <w:pPr>
              <w:keepNext w:val="0"/>
              <w:keepLines w:val="0"/>
              <w:pageBreakBefore w:val="0"/>
              <w:widowControl w:val="0"/>
              <w:wordWrap/>
              <w:topLinePunct w:val="0"/>
              <w:bidi w:val="0"/>
              <w:spacing w:before="0" w:after="0" w:line="400" w:lineRule="exact"/>
              <w:ind w:left="23"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服务招标</w:t>
            </w:r>
          </w:p>
        </w:tc>
        <w:tc>
          <w:tcPr>
            <w:tcW w:w="2293" w:type="dxa"/>
            <w:noWrap w:val="0"/>
            <w:vAlign w:val="center"/>
          </w:tcPr>
          <w:p w14:paraId="4DF184DE">
            <w:pPr>
              <w:keepNext w:val="0"/>
              <w:keepLines w:val="0"/>
              <w:pageBreakBefore w:val="0"/>
              <w:widowControl w:val="0"/>
              <w:wordWrap/>
              <w:topLinePunct w:val="0"/>
              <w:bidi w:val="0"/>
              <w:spacing w:before="0" w:after="0" w:line="400" w:lineRule="exact"/>
              <w:ind w:left="23"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工程招标</w:t>
            </w:r>
          </w:p>
        </w:tc>
      </w:tr>
      <w:tr w14:paraId="241A5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2880" w:type="dxa"/>
            <w:noWrap w:val="0"/>
            <w:vAlign w:val="top"/>
          </w:tcPr>
          <w:p w14:paraId="6D7A3BEA">
            <w:pPr>
              <w:keepNext w:val="0"/>
              <w:keepLines w:val="0"/>
              <w:pageBreakBefore w:val="0"/>
              <w:widowControl w:val="0"/>
              <w:wordWrap/>
              <w:topLinePunct w:val="0"/>
              <w:bidi w:val="0"/>
              <w:spacing w:before="0" w:after="0" w:line="400" w:lineRule="exact"/>
              <w:ind w:left="23"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100以下</w:t>
            </w:r>
          </w:p>
        </w:tc>
        <w:tc>
          <w:tcPr>
            <w:tcW w:w="1841" w:type="dxa"/>
            <w:noWrap w:val="0"/>
            <w:vAlign w:val="top"/>
          </w:tcPr>
          <w:p w14:paraId="7B70A422">
            <w:pPr>
              <w:keepNext w:val="0"/>
              <w:keepLines w:val="0"/>
              <w:pageBreakBefore w:val="0"/>
              <w:widowControl w:val="0"/>
              <w:wordWrap/>
              <w:topLinePunct w:val="0"/>
              <w:bidi w:val="0"/>
              <w:spacing w:before="0" w:after="0" w:line="400" w:lineRule="exact"/>
              <w:ind w:left="23"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p>
        </w:tc>
        <w:tc>
          <w:tcPr>
            <w:tcW w:w="1992" w:type="dxa"/>
            <w:noWrap w:val="0"/>
            <w:vAlign w:val="top"/>
          </w:tcPr>
          <w:p w14:paraId="199179A0">
            <w:pPr>
              <w:keepNext w:val="0"/>
              <w:keepLines w:val="0"/>
              <w:pageBreakBefore w:val="0"/>
              <w:widowControl w:val="0"/>
              <w:wordWrap/>
              <w:topLinePunct w:val="0"/>
              <w:bidi w:val="0"/>
              <w:spacing w:before="0" w:after="0" w:line="400" w:lineRule="exact"/>
              <w:ind w:left="23"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p>
        </w:tc>
        <w:tc>
          <w:tcPr>
            <w:tcW w:w="2293" w:type="dxa"/>
            <w:noWrap w:val="0"/>
            <w:vAlign w:val="top"/>
          </w:tcPr>
          <w:p w14:paraId="5C2FB69A">
            <w:pPr>
              <w:keepNext w:val="0"/>
              <w:keepLines w:val="0"/>
              <w:pageBreakBefore w:val="0"/>
              <w:widowControl w:val="0"/>
              <w:wordWrap/>
              <w:topLinePunct w:val="0"/>
              <w:bidi w:val="0"/>
              <w:spacing w:before="0" w:after="0" w:line="400" w:lineRule="exact"/>
              <w:ind w:left="23"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1.0%</w:t>
            </w:r>
          </w:p>
        </w:tc>
      </w:tr>
      <w:tr w14:paraId="525A5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 w:hRule="atLeast"/>
        </w:trPr>
        <w:tc>
          <w:tcPr>
            <w:tcW w:w="2880" w:type="dxa"/>
            <w:noWrap w:val="0"/>
            <w:vAlign w:val="top"/>
          </w:tcPr>
          <w:p w14:paraId="25BCCEE2">
            <w:pPr>
              <w:keepNext w:val="0"/>
              <w:keepLines w:val="0"/>
              <w:pageBreakBefore w:val="0"/>
              <w:widowControl w:val="0"/>
              <w:wordWrap/>
              <w:topLinePunct w:val="0"/>
              <w:bidi w:val="0"/>
              <w:spacing w:before="0" w:after="0" w:line="400" w:lineRule="exact"/>
              <w:ind w:left="23"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100-500</w:t>
            </w:r>
          </w:p>
        </w:tc>
        <w:tc>
          <w:tcPr>
            <w:tcW w:w="1841" w:type="dxa"/>
            <w:noWrap w:val="0"/>
            <w:vAlign w:val="top"/>
          </w:tcPr>
          <w:p w14:paraId="0B1F6035">
            <w:pPr>
              <w:keepNext w:val="0"/>
              <w:keepLines w:val="0"/>
              <w:pageBreakBefore w:val="0"/>
              <w:widowControl w:val="0"/>
              <w:wordWrap/>
              <w:topLinePunct w:val="0"/>
              <w:bidi w:val="0"/>
              <w:spacing w:before="0" w:after="0" w:line="400" w:lineRule="exact"/>
              <w:ind w:left="23"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1.1%</w:t>
            </w:r>
          </w:p>
        </w:tc>
        <w:tc>
          <w:tcPr>
            <w:tcW w:w="1992" w:type="dxa"/>
            <w:noWrap w:val="0"/>
            <w:vAlign w:val="top"/>
          </w:tcPr>
          <w:p w14:paraId="786C69F8">
            <w:pPr>
              <w:keepNext w:val="0"/>
              <w:keepLines w:val="0"/>
              <w:pageBreakBefore w:val="0"/>
              <w:widowControl w:val="0"/>
              <w:wordWrap/>
              <w:topLinePunct w:val="0"/>
              <w:bidi w:val="0"/>
              <w:spacing w:before="0" w:after="0" w:line="400" w:lineRule="exact"/>
              <w:ind w:left="23"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0.8%</w:t>
            </w:r>
          </w:p>
        </w:tc>
        <w:tc>
          <w:tcPr>
            <w:tcW w:w="2293" w:type="dxa"/>
            <w:noWrap w:val="0"/>
            <w:vAlign w:val="top"/>
          </w:tcPr>
          <w:p w14:paraId="0119718C">
            <w:pPr>
              <w:keepNext w:val="0"/>
              <w:keepLines w:val="0"/>
              <w:pageBreakBefore w:val="0"/>
              <w:widowControl w:val="0"/>
              <w:wordWrap/>
              <w:topLinePunct w:val="0"/>
              <w:bidi w:val="0"/>
              <w:spacing w:before="0" w:after="0" w:line="400" w:lineRule="exact"/>
              <w:ind w:left="23"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0.7%</w:t>
            </w:r>
          </w:p>
        </w:tc>
      </w:tr>
      <w:tr w14:paraId="12038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noWrap w:val="0"/>
            <w:vAlign w:val="top"/>
          </w:tcPr>
          <w:p w14:paraId="0C4B0C06">
            <w:pPr>
              <w:keepNext w:val="0"/>
              <w:keepLines w:val="0"/>
              <w:pageBreakBefore w:val="0"/>
              <w:widowControl w:val="0"/>
              <w:wordWrap/>
              <w:topLinePunct w:val="0"/>
              <w:bidi w:val="0"/>
              <w:spacing w:before="0" w:after="0" w:line="400" w:lineRule="exact"/>
              <w:ind w:left="23"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500-1000</w:t>
            </w:r>
          </w:p>
        </w:tc>
        <w:tc>
          <w:tcPr>
            <w:tcW w:w="1841" w:type="dxa"/>
            <w:noWrap w:val="0"/>
            <w:vAlign w:val="top"/>
          </w:tcPr>
          <w:p w14:paraId="520A601E">
            <w:pPr>
              <w:keepNext w:val="0"/>
              <w:keepLines w:val="0"/>
              <w:pageBreakBefore w:val="0"/>
              <w:widowControl w:val="0"/>
              <w:wordWrap/>
              <w:topLinePunct w:val="0"/>
              <w:bidi w:val="0"/>
              <w:spacing w:before="0" w:after="0" w:line="400" w:lineRule="exact"/>
              <w:ind w:left="23"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0.8%</w:t>
            </w:r>
          </w:p>
        </w:tc>
        <w:tc>
          <w:tcPr>
            <w:tcW w:w="1992" w:type="dxa"/>
            <w:noWrap w:val="0"/>
            <w:vAlign w:val="top"/>
          </w:tcPr>
          <w:p w14:paraId="2D580FF7">
            <w:pPr>
              <w:keepNext w:val="0"/>
              <w:keepLines w:val="0"/>
              <w:pageBreakBefore w:val="0"/>
              <w:widowControl w:val="0"/>
              <w:wordWrap/>
              <w:topLinePunct w:val="0"/>
              <w:bidi w:val="0"/>
              <w:spacing w:before="0" w:after="0" w:line="400" w:lineRule="exact"/>
              <w:ind w:left="23"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0.45%</w:t>
            </w:r>
          </w:p>
        </w:tc>
        <w:tc>
          <w:tcPr>
            <w:tcW w:w="2293" w:type="dxa"/>
            <w:noWrap w:val="0"/>
            <w:vAlign w:val="top"/>
          </w:tcPr>
          <w:p w14:paraId="244F6DAA">
            <w:pPr>
              <w:keepNext w:val="0"/>
              <w:keepLines w:val="0"/>
              <w:pageBreakBefore w:val="0"/>
              <w:widowControl w:val="0"/>
              <w:wordWrap/>
              <w:topLinePunct w:val="0"/>
              <w:bidi w:val="0"/>
              <w:spacing w:before="0" w:after="0" w:line="400" w:lineRule="exact"/>
              <w:ind w:left="23"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0.55%</w:t>
            </w:r>
          </w:p>
        </w:tc>
      </w:tr>
      <w:tr w14:paraId="30735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noWrap w:val="0"/>
            <w:vAlign w:val="top"/>
          </w:tcPr>
          <w:p w14:paraId="2EA645B6">
            <w:pPr>
              <w:keepNext w:val="0"/>
              <w:keepLines w:val="0"/>
              <w:pageBreakBefore w:val="0"/>
              <w:widowControl w:val="0"/>
              <w:wordWrap/>
              <w:topLinePunct w:val="0"/>
              <w:bidi w:val="0"/>
              <w:spacing w:before="0" w:after="0" w:line="400" w:lineRule="exact"/>
              <w:ind w:left="23"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1000-5000</w:t>
            </w:r>
          </w:p>
        </w:tc>
        <w:tc>
          <w:tcPr>
            <w:tcW w:w="1841" w:type="dxa"/>
            <w:noWrap w:val="0"/>
            <w:vAlign w:val="top"/>
          </w:tcPr>
          <w:p w14:paraId="321B402C">
            <w:pPr>
              <w:keepNext w:val="0"/>
              <w:keepLines w:val="0"/>
              <w:pageBreakBefore w:val="0"/>
              <w:widowControl w:val="0"/>
              <w:wordWrap/>
              <w:topLinePunct w:val="0"/>
              <w:bidi w:val="0"/>
              <w:spacing w:before="0" w:after="0" w:line="400" w:lineRule="exact"/>
              <w:ind w:left="23"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0.5%</w:t>
            </w:r>
          </w:p>
        </w:tc>
        <w:tc>
          <w:tcPr>
            <w:tcW w:w="1992" w:type="dxa"/>
            <w:noWrap w:val="0"/>
            <w:vAlign w:val="top"/>
          </w:tcPr>
          <w:p w14:paraId="3207DEBC">
            <w:pPr>
              <w:keepNext w:val="0"/>
              <w:keepLines w:val="0"/>
              <w:pageBreakBefore w:val="0"/>
              <w:widowControl w:val="0"/>
              <w:wordWrap/>
              <w:topLinePunct w:val="0"/>
              <w:bidi w:val="0"/>
              <w:spacing w:before="0" w:after="0" w:line="400" w:lineRule="exact"/>
              <w:ind w:left="23"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0.25%</w:t>
            </w:r>
          </w:p>
        </w:tc>
        <w:tc>
          <w:tcPr>
            <w:tcW w:w="2293" w:type="dxa"/>
            <w:noWrap w:val="0"/>
            <w:vAlign w:val="top"/>
          </w:tcPr>
          <w:p w14:paraId="35A0B552">
            <w:pPr>
              <w:keepNext w:val="0"/>
              <w:keepLines w:val="0"/>
              <w:pageBreakBefore w:val="0"/>
              <w:widowControl w:val="0"/>
              <w:wordWrap/>
              <w:topLinePunct w:val="0"/>
              <w:bidi w:val="0"/>
              <w:spacing w:before="0" w:after="0" w:line="400" w:lineRule="exact"/>
              <w:ind w:left="23"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0.35%</w:t>
            </w:r>
          </w:p>
        </w:tc>
      </w:tr>
      <w:tr w14:paraId="12AC3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noWrap w:val="0"/>
            <w:vAlign w:val="top"/>
          </w:tcPr>
          <w:p w14:paraId="057D369E">
            <w:pPr>
              <w:keepNext w:val="0"/>
              <w:keepLines w:val="0"/>
              <w:pageBreakBefore w:val="0"/>
              <w:widowControl w:val="0"/>
              <w:wordWrap/>
              <w:topLinePunct w:val="0"/>
              <w:bidi w:val="0"/>
              <w:spacing w:before="0" w:after="0" w:line="400" w:lineRule="exact"/>
              <w:ind w:left="23"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5000-10000</w:t>
            </w:r>
          </w:p>
        </w:tc>
        <w:tc>
          <w:tcPr>
            <w:tcW w:w="1841" w:type="dxa"/>
            <w:noWrap w:val="0"/>
            <w:vAlign w:val="top"/>
          </w:tcPr>
          <w:p w14:paraId="04E06271">
            <w:pPr>
              <w:keepNext w:val="0"/>
              <w:keepLines w:val="0"/>
              <w:pageBreakBefore w:val="0"/>
              <w:widowControl w:val="0"/>
              <w:wordWrap/>
              <w:topLinePunct w:val="0"/>
              <w:bidi w:val="0"/>
              <w:spacing w:before="0" w:after="0" w:line="400" w:lineRule="exact"/>
              <w:ind w:left="23"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0.25%</w:t>
            </w:r>
          </w:p>
        </w:tc>
        <w:tc>
          <w:tcPr>
            <w:tcW w:w="1992" w:type="dxa"/>
            <w:noWrap w:val="0"/>
            <w:vAlign w:val="top"/>
          </w:tcPr>
          <w:p w14:paraId="67171A32">
            <w:pPr>
              <w:keepNext w:val="0"/>
              <w:keepLines w:val="0"/>
              <w:pageBreakBefore w:val="0"/>
              <w:widowControl w:val="0"/>
              <w:wordWrap/>
              <w:topLinePunct w:val="0"/>
              <w:bidi w:val="0"/>
              <w:spacing w:before="0" w:after="0" w:line="400" w:lineRule="exact"/>
              <w:ind w:left="23"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0.1%</w:t>
            </w:r>
          </w:p>
        </w:tc>
        <w:tc>
          <w:tcPr>
            <w:tcW w:w="2293" w:type="dxa"/>
            <w:noWrap w:val="0"/>
            <w:vAlign w:val="top"/>
          </w:tcPr>
          <w:p w14:paraId="2F0931E3">
            <w:pPr>
              <w:keepNext w:val="0"/>
              <w:keepLines w:val="0"/>
              <w:pageBreakBefore w:val="0"/>
              <w:widowControl w:val="0"/>
              <w:wordWrap/>
              <w:topLinePunct w:val="0"/>
              <w:bidi w:val="0"/>
              <w:spacing w:before="0" w:after="0" w:line="400" w:lineRule="exact"/>
              <w:ind w:left="23"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0.2%</w:t>
            </w:r>
          </w:p>
        </w:tc>
      </w:tr>
    </w:tbl>
    <w:p w14:paraId="06261A5E">
      <w:pPr>
        <w:keepNext w:val="0"/>
        <w:keepLines w:val="0"/>
        <w:pageBreakBefore w:val="0"/>
        <w:widowControl w:val="0"/>
        <w:wordWrap/>
        <w:topLinePunct w:val="0"/>
        <w:bidi w:val="0"/>
        <w:spacing w:before="0" w:after="0" w:line="400" w:lineRule="exact"/>
        <w:ind w:left="25" w:firstLine="0" w:firstLineChars="0"/>
        <w:rPr>
          <w:rFonts w:hint="eastAsia" w:ascii="宋体" w:hAnsi="宋体" w:eastAsia="宋体" w:cs="宋体"/>
          <w:color w:val="auto"/>
          <w:szCs w:val="20"/>
          <w:highlight w:val="none"/>
        </w:rPr>
      </w:pPr>
      <w:r>
        <w:rPr>
          <w:rFonts w:hint="eastAsia" w:ascii="宋体" w:hAnsi="宋体" w:eastAsia="宋体" w:cs="宋体"/>
          <w:color w:val="auto"/>
          <w:szCs w:val="20"/>
          <w:highlight w:val="none"/>
        </w:rPr>
        <w:t>注：招标代理服务收费按差额定率累进法计算。</w:t>
      </w:r>
    </w:p>
    <w:p w14:paraId="265F0258">
      <w:pPr>
        <w:keepNext w:val="0"/>
        <w:keepLines w:val="0"/>
        <w:pageBreakBefore w:val="0"/>
        <w:widowControl w:val="0"/>
        <w:wordWrap/>
        <w:topLinePunct w:val="0"/>
        <w:bidi w:val="0"/>
        <w:spacing w:before="0" w:after="0" w:line="400" w:lineRule="exact"/>
        <w:ind w:firstLine="422"/>
        <w:rPr>
          <w:rFonts w:hint="eastAsia" w:ascii="宋体" w:hAnsi="宋体" w:eastAsia="宋体" w:cs="宋体"/>
          <w:b w:val="0"/>
          <w:bCs/>
          <w:color w:val="auto"/>
          <w:highlight w:val="none"/>
        </w:rPr>
      </w:pPr>
      <w:r>
        <w:rPr>
          <w:rFonts w:hint="eastAsia" w:ascii="宋体" w:hAnsi="宋体" w:cs="宋体"/>
          <w:b w:val="0"/>
          <w:bCs/>
          <w:color w:val="auto"/>
          <w:highlight w:val="none"/>
          <w:lang w:val="en-US" w:eastAsia="zh-CN"/>
        </w:rPr>
        <w:t>31</w:t>
      </w:r>
      <w:r>
        <w:rPr>
          <w:rFonts w:hint="eastAsia" w:ascii="宋体" w:hAnsi="宋体" w:eastAsia="宋体" w:cs="宋体"/>
          <w:b w:val="0"/>
          <w:bCs/>
          <w:color w:val="auto"/>
          <w:highlight w:val="none"/>
          <w:lang w:val="en-US" w:eastAsia="zh-CN"/>
        </w:rPr>
        <w:t>.2</w:t>
      </w:r>
      <w:r>
        <w:rPr>
          <w:rFonts w:hint="eastAsia" w:ascii="宋体" w:hAnsi="宋体" w:eastAsia="宋体" w:cs="宋体"/>
          <w:b w:val="0"/>
          <w:bCs/>
          <w:color w:val="auto"/>
          <w:highlight w:val="none"/>
        </w:rPr>
        <w:t>招标代理服务费缴纳账户：</w:t>
      </w:r>
    </w:p>
    <w:p w14:paraId="73ACB8C2">
      <w:pPr>
        <w:keepNext w:val="0"/>
        <w:keepLines w:val="0"/>
        <w:pageBreakBefore w:val="0"/>
        <w:widowControl w:val="0"/>
        <w:kinsoku/>
        <w:wordWrap/>
        <w:overflowPunct/>
        <w:topLinePunct w:val="0"/>
        <w:bidi w:val="0"/>
        <w:spacing w:line="440" w:lineRule="exact"/>
        <w:ind w:firstLine="420" w:firstLineChars="200"/>
        <w:textAlignment w:val="auto"/>
        <w:rPr>
          <w:rStyle w:val="42"/>
          <w:rFonts w:hint="eastAsia" w:ascii="宋体" w:hAnsi="宋体" w:eastAsia="宋体" w:cs="宋体"/>
          <w:b w:val="0"/>
          <w:bCs/>
          <w:color w:val="auto"/>
          <w:sz w:val="21"/>
          <w:szCs w:val="21"/>
          <w:highlight w:val="none"/>
          <w:lang w:val="en-US" w:eastAsia="zh-CN"/>
        </w:rPr>
      </w:pPr>
      <w:bookmarkStart w:id="138" w:name="_Toc9779"/>
      <w:r>
        <w:rPr>
          <w:rStyle w:val="42"/>
          <w:rFonts w:hint="eastAsia" w:ascii="宋体" w:hAnsi="宋体" w:eastAsia="宋体" w:cs="宋体"/>
          <w:b w:val="0"/>
          <w:bCs/>
          <w:color w:val="auto"/>
          <w:sz w:val="21"/>
          <w:szCs w:val="21"/>
          <w:highlight w:val="none"/>
          <w:lang w:val="en-US"/>
        </w:rPr>
        <w:t>开户名称：</w:t>
      </w:r>
      <w:r>
        <w:rPr>
          <w:rFonts w:hint="eastAsia" w:hAnsi="宋体" w:cs="宋体"/>
          <w:color w:val="auto"/>
          <w:szCs w:val="21"/>
        </w:rPr>
        <w:t>广西北部湾宏亚建设管理有限公司桂林分公司</w:t>
      </w:r>
    </w:p>
    <w:p w14:paraId="670854C2">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开户银行：中国建设银行股份有限公司桂林经济技术开发区支行</w:t>
      </w:r>
    </w:p>
    <w:p w14:paraId="6E16FEF8">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账    号：45050111692500000070</w:t>
      </w:r>
    </w:p>
    <w:p w14:paraId="72BBC692">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解释权</w:t>
      </w:r>
      <w:bookmarkEnd w:id="137"/>
      <w:bookmarkEnd w:id="138"/>
      <w:r>
        <w:rPr>
          <w:rStyle w:val="42"/>
          <w:rFonts w:hint="eastAsia" w:ascii="宋体" w:hAnsi="宋体" w:eastAsia="宋体" w:cs="宋体"/>
          <w:b/>
          <w:bCs/>
          <w:color w:val="auto"/>
          <w:sz w:val="21"/>
          <w:szCs w:val="21"/>
          <w:highlight w:val="none"/>
        </w:rPr>
        <w:t>：</w:t>
      </w:r>
      <w:r>
        <w:rPr>
          <w:rFonts w:hint="eastAsia" w:ascii="宋体" w:hAnsi="宋体" w:eastAsia="宋体" w:cs="宋体"/>
          <w:b w:val="0"/>
          <w:bCs w:val="0"/>
          <w:color w:val="auto"/>
          <w:sz w:val="21"/>
          <w:szCs w:val="21"/>
          <w:highlight w:val="none"/>
        </w:rPr>
        <w:t>本竞争性磋商文件是根据《中华人民共和国政府采购法》《中华人民共和国政府采购法实施条例》《政府采购竞争性磋商采购方式管理暂行办法》和政府采购管理有关规定编制，本竞争性磋商文件的解释权属于采购代理机构。</w:t>
      </w:r>
    </w:p>
    <w:p w14:paraId="34361CC3">
      <w:pPr>
        <w:pStyle w:val="4"/>
        <w:keepNext w:val="0"/>
        <w:keepLines w:val="0"/>
        <w:pageBreakBefore w:val="0"/>
        <w:widowControl w:val="0"/>
        <w:numPr>
          <w:ilvl w:val="0"/>
          <w:numId w:val="2"/>
        </w:numPr>
        <w:kinsoku/>
        <w:wordWrap/>
        <w:overflowPunct/>
        <w:topLinePunct w:val="0"/>
        <w:bidi w:val="0"/>
        <w:spacing w:before="0" w:after="0" w:line="440" w:lineRule="exact"/>
        <w:ind w:firstLine="422" w:firstLineChars="200"/>
        <w:textAlignment w:val="auto"/>
        <w:rPr>
          <w:rFonts w:hint="eastAsia" w:ascii="宋体" w:hAnsi="宋体" w:eastAsia="宋体" w:cs="宋体"/>
          <w:b/>
          <w:bCs/>
          <w:color w:val="auto"/>
          <w:sz w:val="21"/>
          <w:szCs w:val="21"/>
          <w:highlight w:val="none"/>
        </w:rPr>
      </w:pPr>
      <w:r>
        <w:rPr>
          <w:rStyle w:val="42"/>
          <w:rFonts w:hint="eastAsia" w:ascii="宋体" w:hAnsi="宋体" w:cs="宋体"/>
          <w:b/>
          <w:bCs/>
          <w:color w:val="auto"/>
          <w:sz w:val="21"/>
          <w:szCs w:val="21"/>
          <w:highlight w:val="none"/>
          <w:lang w:eastAsia="zh-CN"/>
        </w:rPr>
        <w:t>监督管理部门</w:t>
      </w:r>
      <w:r>
        <w:rPr>
          <w:rFonts w:hint="eastAsia" w:ascii="宋体" w:hAnsi="宋体" w:eastAsia="宋体" w:cs="宋体"/>
          <w:b/>
          <w:bCs/>
          <w:color w:val="auto"/>
          <w:szCs w:val="21"/>
          <w:highlight w:val="none"/>
        </w:rPr>
        <w:t>：</w:t>
      </w:r>
      <w:r>
        <w:rPr>
          <w:rFonts w:hint="eastAsia" w:ascii="宋体" w:hAnsi="宋体"/>
          <w:b/>
          <w:bCs/>
          <w:color w:val="auto"/>
          <w:highlight w:val="none"/>
        </w:rPr>
        <w:t xml:space="preserve"> </w:t>
      </w:r>
      <w:r>
        <w:rPr>
          <w:rFonts w:hint="eastAsia" w:ascii="宋体" w:hAnsi="宋体" w:cs="宋体"/>
          <w:b w:val="0"/>
          <w:bCs w:val="0"/>
          <w:color w:val="auto"/>
          <w:sz w:val="21"/>
          <w:szCs w:val="21"/>
          <w:highlight w:val="none"/>
          <w:lang w:eastAsia="zh-CN"/>
        </w:rPr>
        <w:t>灌阳县财政局</w:t>
      </w:r>
      <w:r>
        <w:rPr>
          <w:rFonts w:hint="eastAsia" w:ascii="宋体" w:hAnsi="宋体" w:eastAsia="宋体" w:cs="宋体"/>
          <w:b w:val="0"/>
          <w:bCs w:val="0"/>
          <w:color w:val="auto"/>
          <w:sz w:val="21"/>
          <w:szCs w:val="21"/>
          <w:highlight w:val="none"/>
        </w:rPr>
        <w:t xml:space="preserve">     电话：0773-</w:t>
      </w:r>
      <w:r>
        <w:rPr>
          <w:rFonts w:hint="eastAsia" w:ascii="宋体" w:hAnsi="宋体" w:cs="宋体"/>
          <w:b w:val="0"/>
          <w:bCs w:val="0"/>
          <w:color w:val="auto"/>
          <w:sz w:val="21"/>
          <w:szCs w:val="21"/>
          <w:highlight w:val="none"/>
          <w:lang w:eastAsia="zh-CN"/>
        </w:rPr>
        <w:t>4250206</w:t>
      </w:r>
    </w:p>
    <w:p w14:paraId="3B115BD9">
      <w:pPr>
        <w:rPr>
          <w:rFonts w:hint="eastAsia"/>
          <w:color w:val="auto"/>
        </w:rPr>
      </w:pPr>
    </w:p>
    <w:p w14:paraId="6753E1B4">
      <w:pPr>
        <w:rPr>
          <w:rFonts w:hint="eastAsia" w:ascii="宋体" w:hAnsi="宋体" w:eastAsia="宋体" w:cs="宋体"/>
          <w:b w:val="0"/>
          <w:bCs w:val="0"/>
          <w:color w:val="auto"/>
          <w:sz w:val="21"/>
          <w:szCs w:val="21"/>
          <w:highlight w:val="none"/>
        </w:rPr>
      </w:pPr>
    </w:p>
    <w:p w14:paraId="4CCFA77F">
      <w:pPr>
        <w:keepNext w:val="0"/>
        <w:keepLines w:val="0"/>
        <w:pageBreakBefore w:val="0"/>
        <w:widowControl w:val="0"/>
        <w:wordWrap/>
        <w:topLinePunct w:val="0"/>
        <w:bidi w:val="0"/>
        <w:snapToGrid w:val="0"/>
        <w:rPr>
          <w:rFonts w:hint="eastAsia"/>
          <w:b/>
          <w:color w:val="auto"/>
          <w:kern w:val="0"/>
          <w:sz w:val="24"/>
          <w:highlight w:val="none"/>
        </w:rPr>
        <w:sectPr>
          <w:pgSz w:w="11906" w:h="16838"/>
          <w:pgMar w:top="1418" w:right="1115" w:bottom="1418" w:left="1131" w:header="851" w:footer="992" w:gutter="0"/>
          <w:pgNumType w:fmt="decimal"/>
          <w:cols w:space="720" w:num="1"/>
          <w:titlePg/>
          <w:docGrid w:type="lines" w:linePitch="312" w:charSpace="0"/>
        </w:sectPr>
      </w:pPr>
    </w:p>
    <w:p w14:paraId="4E42F1A2">
      <w:pPr>
        <w:keepNext w:val="0"/>
        <w:keepLines w:val="0"/>
        <w:pageBreakBefore w:val="0"/>
        <w:widowControl w:val="0"/>
        <w:wordWrap/>
        <w:topLinePunct w:val="0"/>
        <w:bidi w:val="0"/>
        <w:snapToGrid w:val="0"/>
        <w:rPr>
          <w:rFonts w:hint="eastAsia"/>
          <w:b/>
          <w:color w:val="auto"/>
          <w:kern w:val="0"/>
          <w:sz w:val="24"/>
          <w:highlight w:val="none"/>
        </w:rPr>
      </w:pPr>
    </w:p>
    <w:p w14:paraId="21F4B71C">
      <w:pPr>
        <w:keepNext w:val="0"/>
        <w:keepLines w:val="0"/>
        <w:pageBreakBefore w:val="0"/>
        <w:widowControl w:val="0"/>
        <w:wordWrap/>
        <w:topLinePunct w:val="0"/>
        <w:bidi w:val="0"/>
        <w:snapToGrid w:val="0"/>
        <w:rPr>
          <w:rFonts w:hAnsi="宋体"/>
          <w:b/>
          <w:color w:val="auto"/>
          <w:kern w:val="0"/>
          <w:sz w:val="24"/>
          <w:highlight w:val="none"/>
        </w:rPr>
      </w:pPr>
      <w:r>
        <w:rPr>
          <w:rFonts w:hint="eastAsia"/>
          <w:b/>
          <w:color w:val="auto"/>
          <w:kern w:val="0"/>
          <w:sz w:val="24"/>
          <w:highlight w:val="none"/>
        </w:rPr>
        <w:t>附表1：</w:t>
      </w:r>
    </w:p>
    <w:p w14:paraId="0C0028C2">
      <w:pPr>
        <w:keepNext w:val="0"/>
        <w:keepLines w:val="0"/>
        <w:pageBreakBefore w:val="0"/>
        <w:widowControl w:val="0"/>
        <w:wordWrap/>
        <w:topLinePunct w:val="0"/>
        <w:bidi w:val="0"/>
        <w:spacing w:line="460" w:lineRule="exact"/>
        <w:jc w:val="center"/>
        <w:rPr>
          <w:rFonts w:eastAsia="隶书"/>
          <w:color w:val="auto"/>
          <w:kern w:val="0"/>
          <w:sz w:val="44"/>
          <w:highlight w:val="none"/>
        </w:rPr>
      </w:pPr>
      <w:r>
        <w:rPr>
          <w:rFonts w:hint="eastAsia" w:eastAsia="隶书"/>
          <w:color w:val="auto"/>
          <w:kern w:val="0"/>
          <w:sz w:val="44"/>
          <w:highlight w:val="none"/>
        </w:rPr>
        <w:t>质疑函（格式）</w:t>
      </w:r>
    </w:p>
    <w:p w14:paraId="31413585">
      <w:pPr>
        <w:keepNext w:val="0"/>
        <w:keepLines w:val="0"/>
        <w:pageBreakBefore w:val="0"/>
        <w:widowControl w:val="0"/>
        <w:wordWrap/>
        <w:topLinePunct w:val="0"/>
        <w:bidi w:val="0"/>
        <w:snapToGrid w:val="0"/>
        <w:spacing w:line="360" w:lineRule="exact"/>
        <w:ind w:firstLine="422" w:firstLineChars="200"/>
        <w:rPr>
          <w:rFonts w:hint="eastAsia" w:ascii="宋体" w:hAnsi="宋体" w:eastAsia="宋体" w:cs="宋体"/>
          <w:b/>
          <w:bCs/>
          <w:color w:val="auto"/>
          <w:kern w:val="0"/>
          <w:highlight w:val="none"/>
        </w:rPr>
      </w:pPr>
      <w:r>
        <w:rPr>
          <w:rFonts w:hint="eastAsia" w:ascii="宋体" w:hAnsi="宋体" w:eastAsia="宋体" w:cs="宋体"/>
          <w:b/>
          <w:bCs/>
          <w:color w:val="auto"/>
          <w:kern w:val="0"/>
          <w:highlight w:val="none"/>
        </w:rPr>
        <w:t>一、质疑供应商基本信息：</w:t>
      </w:r>
    </w:p>
    <w:p w14:paraId="7E7E6CB6">
      <w:pPr>
        <w:keepNext w:val="0"/>
        <w:keepLines w:val="0"/>
        <w:pageBreakBefore w:val="0"/>
        <w:widowControl w:val="0"/>
        <w:wordWrap/>
        <w:topLinePunct w:val="0"/>
        <w:bidi w:val="0"/>
        <w:snapToGrid w:val="0"/>
        <w:spacing w:line="360" w:lineRule="exact"/>
        <w:ind w:firstLine="420" w:firstLineChars="200"/>
        <w:rPr>
          <w:rFonts w:hint="eastAsia" w:ascii="宋体" w:hAnsi="宋体" w:eastAsia="宋体" w:cs="宋体"/>
          <w:bCs/>
          <w:color w:val="auto"/>
          <w:kern w:val="0"/>
          <w:highlight w:val="none"/>
          <w:u w:val="single"/>
        </w:rPr>
      </w:pPr>
      <w:r>
        <w:rPr>
          <w:rFonts w:hint="eastAsia" w:ascii="宋体" w:hAnsi="宋体" w:eastAsia="宋体" w:cs="宋体"/>
          <w:bCs/>
          <w:color w:val="auto"/>
          <w:kern w:val="0"/>
          <w:highlight w:val="none"/>
        </w:rPr>
        <w:t>质疑供应商：</w:t>
      </w:r>
    </w:p>
    <w:p w14:paraId="454B0E8E">
      <w:pPr>
        <w:keepNext w:val="0"/>
        <w:keepLines w:val="0"/>
        <w:pageBreakBefore w:val="0"/>
        <w:widowControl w:val="0"/>
        <w:wordWrap/>
        <w:topLinePunct w:val="0"/>
        <w:bidi w:val="0"/>
        <w:snapToGrid w:val="0"/>
        <w:spacing w:line="360" w:lineRule="exact"/>
        <w:ind w:firstLine="420" w:firstLineChars="200"/>
        <w:rPr>
          <w:rFonts w:hint="eastAsia" w:ascii="宋体" w:hAnsi="宋体" w:eastAsia="宋体" w:cs="宋体"/>
          <w:bCs/>
          <w:color w:val="auto"/>
          <w:kern w:val="0"/>
          <w:highlight w:val="none"/>
        </w:rPr>
      </w:pPr>
      <w:r>
        <w:rPr>
          <w:rFonts w:hint="eastAsia" w:ascii="宋体" w:hAnsi="宋体" w:eastAsia="宋体" w:cs="宋体"/>
          <w:bCs/>
          <w:color w:val="auto"/>
          <w:kern w:val="0"/>
          <w:highlight w:val="none"/>
        </w:rPr>
        <w:t>地址：邮编：</w:t>
      </w:r>
    </w:p>
    <w:p w14:paraId="115754A1">
      <w:pPr>
        <w:keepNext w:val="0"/>
        <w:keepLines w:val="0"/>
        <w:pageBreakBefore w:val="0"/>
        <w:widowControl w:val="0"/>
        <w:wordWrap/>
        <w:topLinePunct w:val="0"/>
        <w:bidi w:val="0"/>
        <w:snapToGrid w:val="0"/>
        <w:spacing w:line="360" w:lineRule="exact"/>
        <w:ind w:firstLine="420" w:firstLineChars="200"/>
        <w:rPr>
          <w:rFonts w:hint="eastAsia" w:ascii="宋体" w:hAnsi="宋体" w:eastAsia="宋体" w:cs="宋体"/>
          <w:bCs/>
          <w:color w:val="auto"/>
          <w:kern w:val="0"/>
          <w:highlight w:val="none"/>
        </w:rPr>
      </w:pPr>
      <w:r>
        <w:rPr>
          <w:rFonts w:hint="eastAsia" w:ascii="宋体" w:hAnsi="宋体" w:eastAsia="宋体" w:cs="宋体"/>
          <w:bCs/>
          <w:color w:val="auto"/>
          <w:kern w:val="0"/>
          <w:highlight w:val="none"/>
        </w:rPr>
        <w:t>联系人：联系电话：</w:t>
      </w:r>
    </w:p>
    <w:p w14:paraId="06B23A1B">
      <w:pPr>
        <w:keepNext w:val="0"/>
        <w:keepLines w:val="0"/>
        <w:pageBreakBefore w:val="0"/>
        <w:widowControl w:val="0"/>
        <w:wordWrap/>
        <w:topLinePunct w:val="0"/>
        <w:bidi w:val="0"/>
        <w:snapToGrid w:val="0"/>
        <w:spacing w:line="360" w:lineRule="exact"/>
        <w:ind w:firstLine="420" w:firstLineChars="200"/>
        <w:rPr>
          <w:rFonts w:hint="eastAsia" w:ascii="宋体" w:hAnsi="宋体" w:eastAsia="宋体" w:cs="宋体"/>
          <w:bCs/>
          <w:color w:val="auto"/>
          <w:kern w:val="0"/>
          <w:highlight w:val="none"/>
        </w:rPr>
      </w:pPr>
      <w:r>
        <w:rPr>
          <w:rFonts w:hint="eastAsia" w:ascii="宋体" w:hAnsi="宋体" w:eastAsia="宋体" w:cs="宋体"/>
          <w:bCs/>
          <w:color w:val="auto"/>
          <w:kern w:val="0"/>
          <w:highlight w:val="none"/>
        </w:rPr>
        <w:t>授权代表：</w:t>
      </w:r>
    </w:p>
    <w:p w14:paraId="21DDFD0F">
      <w:pPr>
        <w:keepNext w:val="0"/>
        <w:keepLines w:val="0"/>
        <w:pageBreakBefore w:val="0"/>
        <w:widowControl w:val="0"/>
        <w:wordWrap/>
        <w:topLinePunct w:val="0"/>
        <w:bidi w:val="0"/>
        <w:snapToGrid w:val="0"/>
        <w:spacing w:line="360" w:lineRule="exact"/>
        <w:ind w:firstLine="420" w:firstLineChars="200"/>
        <w:rPr>
          <w:rFonts w:hint="eastAsia" w:ascii="宋体" w:hAnsi="宋体" w:eastAsia="宋体" w:cs="宋体"/>
          <w:bCs/>
          <w:color w:val="auto"/>
          <w:kern w:val="0"/>
          <w:highlight w:val="none"/>
          <w:u w:val="single"/>
        </w:rPr>
      </w:pPr>
      <w:r>
        <w:rPr>
          <w:rFonts w:hint="eastAsia" w:ascii="宋体" w:hAnsi="宋体" w:eastAsia="宋体" w:cs="宋体"/>
          <w:bCs/>
          <w:color w:val="auto"/>
          <w:kern w:val="0"/>
          <w:highlight w:val="none"/>
        </w:rPr>
        <w:t>联系电话：</w:t>
      </w:r>
    </w:p>
    <w:p w14:paraId="04709483">
      <w:pPr>
        <w:keepNext w:val="0"/>
        <w:keepLines w:val="0"/>
        <w:pageBreakBefore w:val="0"/>
        <w:widowControl w:val="0"/>
        <w:wordWrap/>
        <w:topLinePunct w:val="0"/>
        <w:bidi w:val="0"/>
        <w:snapToGrid w:val="0"/>
        <w:spacing w:line="360" w:lineRule="exact"/>
        <w:ind w:firstLine="420" w:firstLineChars="200"/>
        <w:rPr>
          <w:rFonts w:hint="eastAsia" w:ascii="宋体" w:hAnsi="宋体" w:eastAsia="宋体" w:cs="宋体"/>
          <w:bCs/>
          <w:color w:val="auto"/>
          <w:kern w:val="0"/>
          <w:highlight w:val="none"/>
        </w:rPr>
      </w:pPr>
      <w:r>
        <w:rPr>
          <w:rFonts w:hint="eastAsia" w:ascii="宋体" w:hAnsi="宋体" w:eastAsia="宋体" w:cs="宋体"/>
          <w:bCs/>
          <w:color w:val="auto"/>
          <w:kern w:val="0"/>
          <w:highlight w:val="none"/>
        </w:rPr>
        <w:t>地址：邮编：</w:t>
      </w:r>
    </w:p>
    <w:p w14:paraId="4C55E016">
      <w:pPr>
        <w:keepNext w:val="0"/>
        <w:keepLines w:val="0"/>
        <w:pageBreakBefore w:val="0"/>
        <w:widowControl w:val="0"/>
        <w:wordWrap/>
        <w:topLinePunct w:val="0"/>
        <w:bidi w:val="0"/>
        <w:snapToGrid w:val="0"/>
        <w:spacing w:line="360" w:lineRule="exact"/>
        <w:ind w:firstLine="422" w:firstLineChars="200"/>
        <w:rPr>
          <w:rFonts w:hint="eastAsia" w:ascii="宋体" w:hAnsi="宋体" w:eastAsia="宋体" w:cs="宋体"/>
          <w:b/>
          <w:bCs/>
          <w:color w:val="auto"/>
          <w:kern w:val="0"/>
          <w:highlight w:val="none"/>
        </w:rPr>
      </w:pPr>
      <w:r>
        <w:rPr>
          <w:rFonts w:hint="eastAsia" w:ascii="宋体" w:hAnsi="宋体" w:eastAsia="宋体" w:cs="宋体"/>
          <w:b/>
          <w:bCs/>
          <w:color w:val="auto"/>
          <w:kern w:val="0"/>
          <w:highlight w:val="none"/>
        </w:rPr>
        <w:t>二、质疑项目基本情况：</w:t>
      </w:r>
    </w:p>
    <w:p w14:paraId="7E58F191">
      <w:pPr>
        <w:keepNext w:val="0"/>
        <w:keepLines w:val="0"/>
        <w:pageBreakBefore w:val="0"/>
        <w:widowControl w:val="0"/>
        <w:wordWrap/>
        <w:topLinePunct w:val="0"/>
        <w:bidi w:val="0"/>
        <w:spacing w:line="360" w:lineRule="exact"/>
        <w:ind w:left="25" w:leftChars="12" w:firstLine="413" w:firstLineChars="197"/>
        <w:rPr>
          <w:rFonts w:hint="eastAsia" w:ascii="宋体" w:hAnsi="宋体" w:eastAsia="宋体" w:cs="宋体"/>
          <w:color w:val="auto"/>
          <w:kern w:val="0"/>
          <w:szCs w:val="21"/>
          <w:highlight w:val="none"/>
        </w:rPr>
      </w:pPr>
      <w:r>
        <w:rPr>
          <w:rFonts w:hint="eastAsia" w:ascii="宋体" w:hAnsi="宋体" w:eastAsia="宋体" w:cs="宋体"/>
          <w:bCs/>
          <w:color w:val="auto"/>
          <w:kern w:val="0"/>
          <w:highlight w:val="none"/>
        </w:rPr>
        <w:t>质疑</w:t>
      </w:r>
      <w:r>
        <w:rPr>
          <w:rFonts w:hint="eastAsia" w:ascii="宋体" w:hAnsi="宋体" w:eastAsia="宋体" w:cs="宋体"/>
          <w:color w:val="auto"/>
          <w:kern w:val="0"/>
          <w:szCs w:val="21"/>
          <w:highlight w:val="none"/>
        </w:rPr>
        <w:t>项目的名称：</w:t>
      </w:r>
    </w:p>
    <w:p w14:paraId="7751F888">
      <w:pPr>
        <w:keepNext w:val="0"/>
        <w:keepLines w:val="0"/>
        <w:pageBreakBefore w:val="0"/>
        <w:widowControl w:val="0"/>
        <w:wordWrap/>
        <w:topLinePunct w:val="0"/>
        <w:bidi w:val="0"/>
        <w:spacing w:line="360" w:lineRule="exact"/>
        <w:ind w:left="25" w:leftChars="12" w:firstLine="413" w:firstLineChars="197"/>
        <w:rPr>
          <w:rFonts w:hint="eastAsia" w:ascii="宋体" w:hAnsi="宋体" w:eastAsia="宋体" w:cs="宋体"/>
          <w:color w:val="auto"/>
          <w:kern w:val="0"/>
          <w:szCs w:val="21"/>
          <w:highlight w:val="none"/>
        </w:rPr>
      </w:pPr>
      <w:r>
        <w:rPr>
          <w:rFonts w:hint="eastAsia" w:ascii="宋体" w:hAnsi="宋体" w:eastAsia="宋体" w:cs="宋体"/>
          <w:bCs/>
          <w:color w:val="auto"/>
          <w:kern w:val="0"/>
          <w:highlight w:val="none"/>
        </w:rPr>
        <w:t>质疑</w:t>
      </w:r>
      <w:r>
        <w:rPr>
          <w:rFonts w:hint="eastAsia" w:ascii="宋体" w:hAnsi="宋体" w:eastAsia="宋体" w:cs="宋体"/>
          <w:color w:val="auto"/>
          <w:kern w:val="0"/>
          <w:szCs w:val="21"/>
          <w:highlight w:val="none"/>
        </w:rPr>
        <w:t>项目的编号：</w:t>
      </w:r>
    </w:p>
    <w:p w14:paraId="1823C1B9">
      <w:pPr>
        <w:keepNext w:val="0"/>
        <w:keepLines w:val="0"/>
        <w:pageBreakBefore w:val="0"/>
        <w:widowControl w:val="0"/>
        <w:wordWrap/>
        <w:topLinePunct w:val="0"/>
        <w:bidi w:val="0"/>
        <w:spacing w:line="360" w:lineRule="exact"/>
        <w:ind w:left="25" w:leftChars="12" w:firstLine="413" w:firstLineChars="197"/>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采购人名称：</w:t>
      </w:r>
    </w:p>
    <w:p w14:paraId="6649594A">
      <w:pPr>
        <w:keepNext w:val="0"/>
        <w:keepLines w:val="0"/>
        <w:pageBreakBefore w:val="0"/>
        <w:widowControl w:val="0"/>
        <w:wordWrap/>
        <w:topLinePunct w:val="0"/>
        <w:bidi w:val="0"/>
        <w:spacing w:line="360" w:lineRule="exact"/>
        <w:ind w:left="25" w:leftChars="12" w:firstLine="413" w:firstLineChars="197"/>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质疑事项：</w:t>
      </w:r>
    </w:p>
    <w:p w14:paraId="1CD6E922">
      <w:pPr>
        <w:keepNext w:val="0"/>
        <w:keepLines w:val="0"/>
        <w:pageBreakBefore w:val="0"/>
        <w:widowControl w:val="0"/>
        <w:wordWrap/>
        <w:topLinePunct w:val="0"/>
        <w:bidi w:val="0"/>
        <w:spacing w:line="360" w:lineRule="exact"/>
        <w:ind w:left="25" w:leftChars="12" w:firstLine="441" w:firstLineChars="147"/>
        <w:rPr>
          <w:rFonts w:hint="eastAsia" w:ascii="宋体" w:hAnsi="宋体" w:eastAsia="宋体" w:cs="宋体"/>
          <w:color w:val="auto"/>
          <w:kern w:val="0"/>
          <w:szCs w:val="21"/>
          <w:highlight w:val="none"/>
        </w:rPr>
      </w:pPr>
      <w:r>
        <w:rPr>
          <w:rFonts w:hint="eastAsia" w:ascii="宋体" w:hAnsi="宋体" w:eastAsia="宋体" w:cs="宋体"/>
          <w:color w:val="auto"/>
          <w:kern w:val="0"/>
          <w:sz w:val="30"/>
          <w:szCs w:val="30"/>
          <w:highlight w:val="none"/>
        </w:rPr>
        <w:t>□</w:t>
      </w:r>
      <w:r>
        <w:rPr>
          <w:rFonts w:hint="eastAsia" w:ascii="宋体" w:hAnsi="宋体" w:eastAsia="宋体" w:cs="宋体"/>
          <w:color w:val="auto"/>
          <w:kern w:val="0"/>
          <w:szCs w:val="21"/>
          <w:highlight w:val="none"/>
        </w:rPr>
        <w:t>采购文件   采购文件获取日期：</w:t>
      </w:r>
    </w:p>
    <w:p w14:paraId="274D0516">
      <w:pPr>
        <w:keepNext w:val="0"/>
        <w:keepLines w:val="0"/>
        <w:pageBreakBefore w:val="0"/>
        <w:widowControl w:val="0"/>
        <w:wordWrap/>
        <w:topLinePunct w:val="0"/>
        <w:bidi w:val="0"/>
        <w:spacing w:line="360" w:lineRule="exact"/>
        <w:ind w:left="25" w:leftChars="12" w:firstLine="441" w:firstLineChars="147"/>
        <w:rPr>
          <w:rFonts w:hint="eastAsia" w:ascii="宋体" w:hAnsi="宋体" w:eastAsia="宋体" w:cs="宋体"/>
          <w:color w:val="auto"/>
          <w:kern w:val="0"/>
          <w:szCs w:val="21"/>
          <w:highlight w:val="none"/>
        </w:rPr>
      </w:pPr>
      <w:r>
        <w:rPr>
          <w:rFonts w:hint="eastAsia" w:ascii="宋体" w:hAnsi="宋体" w:eastAsia="宋体" w:cs="宋体"/>
          <w:color w:val="auto"/>
          <w:kern w:val="0"/>
          <w:sz w:val="30"/>
          <w:szCs w:val="30"/>
          <w:highlight w:val="none"/>
        </w:rPr>
        <w:t>□</w:t>
      </w:r>
      <w:r>
        <w:rPr>
          <w:rFonts w:hint="eastAsia" w:ascii="宋体" w:hAnsi="宋体" w:eastAsia="宋体" w:cs="宋体"/>
          <w:color w:val="auto"/>
          <w:kern w:val="0"/>
          <w:szCs w:val="21"/>
          <w:highlight w:val="none"/>
        </w:rPr>
        <w:t xml:space="preserve">采购过程   </w:t>
      </w:r>
    </w:p>
    <w:p w14:paraId="2101F68D">
      <w:pPr>
        <w:keepNext w:val="0"/>
        <w:keepLines w:val="0"/>
        <w:pageBreakBefore w:val="0"/>
        <w:widowControl w:val="0"/>
        <w:wordWrap/>
        <w:topLinePunct w:val="0"/>
        <w:bidi w:val="0"/>
        <w:spacing w:line="360" w:lineRule="exact"/>
        <w:ind w:left="25" w:leftChars="12" w:firstLine="441" w:firstLineChars="147"/>
        <w:rPr>
          <w:rFonts w:hint="eastAsia" w:ascii="宋体" w:hAnsi="宋体" w:eastAsia="宋体" w:cs="宋体"/>
          <w:bCs/>
          <w:color w:val="auto"/>
          <w:kern w:val="0"/>
          <w:highlight w:val="none"/>
          <w:u w:val="single"/>
        </w:rPr>
      </w:pPr>
      <w:r>
        <w:rPr>
          <w:rFonts w:hint="eastAsia" w:ascii="宋体" w:hAnsi="宋体" w:eastAsia="宋体" w:cs="宋体"/>
          <w:color w:val="auto"/>
          <w:kern w:val="0"/>
          <w:sz w:val="30"/>
          <w:szCs w:val="30"/>
          <w:highlight w:val="none"/>
        </w:rPr>
        <w:t>□</w:t>
      </w:r>
      <w:r>
        <w:rPr>
          <w:rFonts w:hint="eastAsia" w:ascii="宋体" w:hAnsi="宋体" w:eastAsia="宋体" w:cs="宋体"/>
          <w:color w:val="auto"/>
          <w:kern w:val="0"/>
          <w:szCs w:val="21"/>
          <w:highlight w:val="none"/>
        </w:rPr>
        <w:t xml:space="preserve">成交结果   </w:t>
      </w:r>
    </w:p>
    <w:p w14:paraId="261DEE90">
      <w:pPr>
        <w:keepNext w:val="0"/>
        <w:keepLines w:val="0"/>
        <w:pageBreakBefore w:val="0"/>
        <w:widowControl w:val="0"/>
        <w:wordWrap/>
        <w:topLinePunct w:val="0"/>
        <w:bidi w:val="0"/>
        <w:spacing w:line="360" w:lineRule="exact"/>
        <w:ind w:left="25" w:leftChars="12" w:firstLine="413" w:firstLineChars="196"/>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三、质疑事项具体内容</w:t>
      </w:r>
    </w:p>
    <w:p w14:paraId="61185B8B">
      <w:pPr>
        <w:keepNext w:val="0"/>
        <w:keepLines w:val="0"/>
        <w:pageBreakBefore w:val="0"/>
        <w:widowControl w:val="0"/>
        <w:wordWrap/>
        <w:topLinePunct w:val="0"/>
        <w:bidi w:val="0"/>
        <w:spacing w:line="360" w:lineRule="exact"/>
        <w:ind w:left="25" w:leftChars="12" w:firstLine="413" w:firstLineChars="197"/>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质疑事项1：</w:t>
      </w:r>
    </w:p>
    <w:p w14:paraId="58592240">
      <w:pPr>
        <w:keepNext w:val="0"/>
        <w:keepLines w:val="0"/>
        <w:pageBreakBefore w:val="0"/>
        <w:widowControl w:val="0"/>
        <w:wordWrap/>
        <w:topLinePunct w:val="0"/>
        <w:bidi w:val="0"/>
        <w:spacing w:line="360" w:lineRule="exact"/>
        <w:ind w:left="25" w:leftChars="12" w:firstLine="413" w:firstLineChars="197"/>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事实依据：</w:t>
      </w:r>
    </w:p>
    <w:p w14:paraId="0B604B5B">
      <w:pPr>
        <w:keepNext w:val="0"/>
        <w:keepLines w:val="0"/>
        <w:pageBreakBefore w:val="0"/>
        <w:widowControl w:val="0"/>
        <w:wordWrap/>
        <w:topLinePunct w:val="0"/>
        <w:bidi w:val="0"/>
        <w:spacing w:line="360" w:lineRule="exact"/>
        <w:ind w:left="25" w:leftChars="12" w:firstLine="413" w:firstLineChars="197"/>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法律依据：</w:t>
      </w:r>
    </w:p>
    <w:p w14:paraId="1A8BF963">
      <w:pPr>
        <w:keepNext w:val="0"/>
        <w:keepLines w:val="0"/>
        <w:pageBreakBefore w:val="0"/>
        <w:widowControl w:val="0"/>
        <w:wordWrap/>
        <w:topLinePunct w:val="0"/>
        <w:bidi w:val="0"/>
        <w:spacing w:line="360" w:lineRule="exact"/>
        <w:ind w:left="25" w:leftChars="12" w:firstLine="413" w:firstLineChars="197"/>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质疑事项2</w:t>
      </w:r>
    </w:p>
    <w:p w14:paraId="5A4C7659">
      <w:pPr>
        <w:keepNext w:val="0"/>
        <w:keepLines w:val="0"/>
        <w:pageBreakBefore w:val="0"/>
        <w:widowControl w:val="0"/>
        <w:wordWrap/>
        <w:topLinePunct w:val="0"/>
        <w:bidi w:val="0"/>
        <w:spacing w:line="360" w:lineRule="exact"/>
        <w:ind w:left="25" w:leftChars="12" w:firstLine="413" w:firstLineChars="197"/>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p>
    <w:p w14:paraId="52CD6282">
      <w:pPr>
        <w:keepNext w:val="0"/>
        <w:keepLines w:val="0"/>
        <w:pageBreakBefore w:val="0"/>
        <w:widowControl w:val="0"/>
        <w:wordWrap/>
        <w:topLinePunct w:val="0"/>
        <w:bidi w:val="0"/>
        <w:spacing w:line="360" w:lineRule="exact"/>
        <w:ind w:left="25" w:leftChars="12" w:firstLine="413" w:firstLineChars="197"/>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四、与质疑事项相关的质疑请求：</w:t>
      </w:r>
    </w:p>
    <w:p w14:paraId="45504BB1">
      <w:pPr>
        <w:keepNext w:val="0"/>
        <w:keepLines w:val="0"/>
        <w:pageBreakBefore w:val="0"/>
        <w:widowControl w:val="0"/>
        <w:wordWrap/>
        <w:topLinePunct w:val="0"/>
        <w:bidi w:val="0"/>
        <w:spacing w:line="360" w:lineRule="exact"/>
        <w:ind w:left="25" w:leftChars="12" w:firstLine="413" w:firstLineChars="197"/>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请求：</w:t>
      </w:r>
    </w:p>
    <w:p w14:paraId="37EDB123">
      <w:pPr>
        <w:keepNext w:val="0"/>
        <w:keepLines w:val="0"/>
        <w:pageBreakBefore w:val="0"/>
        <w:widowControl w:val="0"/>
        <w:wordWrap/>
        <w:topLinePunct w:val="0"/>
        <w:bidi w:val="0"/>
        <w:spacing w:line="360" w:lineRule="exact"/>
        <w:ind w:left="25" w:leftChars="12" w:firstLine="308" w:firstLineChars="147"/>
        <w:rPr>
          <w:rFonts w:hint="eastAsia" w:ascii="宋体" w:hAnsi="宋体" w:eastAsia="宋体" w:cs="宋体"/>
          <w:color w:val="auto"/>
          <w:kern w:val="0"/>
          <w:szCs w:val="21"/>
          <w:highlight w:val="none"/>
        </w:rPr>
      </w:pPr>
    </w:p>
    <w:p w14:paraId="728E55B7">
      <w:pPr>
        <w:keepNext w:val="0"/>
        <w:keepLines w:val="0"/>
        <w:pageBreakBefore w:val="0"/>
        <w:widowControl w:val="0"/>
        <w:wordWrap/>
        <w:topLinePunct w:val="0"/>
        <w:bidi w:val="0"/>
        <w:spacing w:line="360" w:lineRule="exact"/>
        <w:ind w:left="25" w:leftChars="12" w:firstLine="413" w:firstLineChars="197"/>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签字（签章）：                                       公章：</w:t>
      </w:r>
    </w:p>
    <w:p w14:paraId="790DC104">
      <w:pPr>
        <w:keepNext w:val="0"/>
        <w:keepLines w:val="0"/>
        <w:pageBreakBefore w:val="0"/>
        <w:widowControl w:val="0"/>
        <w:wordWrap/>
        <w:topLinePunct w:val="0"/>
        <w:bidi w:val="0"/>
        <w:spacing w:line="360" w:lineRule="exact"/>
        <w:ind w:left="25" w:leftChars="12" w:firstLine="308" w:firstLineChars="147"/>
        <w:rPr>
          <w:rFonts w:hint="eastAsia" w:ascii="宋体" w:hAnsi="宋体" w:eastAsia="宋体" w:cs="宋体"/>
          <w:color w:val="auto"/>
          <w:kern w:val="0"/>
          <w:szCs w:val="21"/>
          <w:highlight w:val="none"/>
        </w:rPr>
      </w:pPr>
    </w:p>
    <w:p w14:paraId="27FD9765">
      <w:pPr>
        <w:keepNext w:val="0"/>
        <w:keepLines w:val="0"/>
        <w:pageBreakBefore w:val="0"/>
        <w:widowControl w:val="0"/>
        <w:wordWrap/>
        <w:topLinePunct w:val="0"/>
        <w:bidi w:val="0"/>
        <w:spacing w:line="360" w:lineRule="exact"/>
        <w:ind w:left="25" w:leftChars="12" w:firstLine="413" w:firstLineChars="197"/>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日期：</w:t>
      </w:r>
    </w:p>
    <w:p w14:paraId="032665A6">
      <w:pPr>
        <w:keepNext w:val="0"/>
        <w:keepLines w:val="0"/>
        <w:pageBreakBefore w:val="0"/>
        <w:widowControl w:val="0"/>
        <w:wordWrap/>
        <w:topLinePunct w:val="0"/>
        <w:bidi w:val="0"/>
        <w:snapToGrid w:val="0"/>
        <w:spacing w:line="340" w:lineRule="exact"/>
        <w:rPr>
          <w:rFonts w:hint="eastAsia" w:ascii="宋体" w:hAnsi="宋体" w:eastAsia="宋体" w:cs="宋体"/>
          <w:b/>
          <w:color w:val="auto"/>
          <w:kern w:val="0"/>
          <w:szCs w:val="21"/>
          <w:highlight w:val="none"/>
        </w:rPr>
      </w:pPr>
    </w:p>
    <w:p w14:paraId="4339FA47">
      <w:pPr>
        <w:keepNext w:val="0"/>
        <w:keepLines w:val="0"/>
        <w:pageBreakBefore w:val="0"/>
        <w:widowControl w:val="0"/>
        <w:wordWrap/>
        <w:topLinePunct w:val="0"/>
        <w:bidi w:val="0"/>
        <w:snapToGrid w:val="0"/>
        <w:spacing w:line="340" w:lineRule="exact"/>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说明：</w:t>
      </w:r>
    </w:p>
    <w:p w14:paraId="09A32065">
      <w:pPr>
        <w:keepNext w:val="0"/>
        <w:keepLines w:val="0"/>
        <w:pageBreakBefore w:val="0"/>
        <w:widowControl w:val="0"/>
        <w:wordWrap/>
        <w:topLinePunct w:val="0"/>
        <w:bidi w:val="0"/>
        <w:spacing w:line="340" w:lineRule="exact"/>
        <w:ind w:left="25" w:leftChars="12" w:firstLine="310" w:firstLineChars="147"/>
        <w:rPr>
          <w:rFonts w:hint="eastAsia" w:ascii="宋体" w:hAnsi="宋体" w:eastAsia="宋体" w:cs="宋体"/>
          <w:b/>
          <w:bCs/>
          <w:color w:val="auto"/>
          <w:kern w:val="0"/>
          <w:highlight w:val="none"/>
        </w:rPr>
      </w:pPr>
      <w:r>
        <w:rPr>
          <w:rFonts w:hint="eastAsia" w:ascii="宋体" w:hAnsi="宋体" w:eastAsia="宋体" w:cs="宋体"/>
          <w:b/>
          <w:color w:val="auto"/>
          <w:kern w:val="0"/>
          <w:szCs w:val="21"/>
          <w:highlight w:val="none"/>
        </w:rPr>
        <w:t>1.供应商提出质疑时，应提交质疑函和必要的证明材料</w:t>
      </w:r>
      <w:r>
        <w:rPr>
          <w:rFonts w:hint="eastAsia" w:ascii="宋体" w:hAnsi="宋体" w:eastAsia="宋体" w:cs="宋体"/>
          <w:b/>
          <w:bCs/>
          <w:color w:val="auto"/>
          <w:kern w:val="0"/>
          <w:highlight w:val="none"/>
        </w:rPr>
        <w:t>。</w:t>
      </w:r>
    </w:p>
    <w:p w14:paraId="6A48CEC5">
      <w:pPr>
        <w:keepNext w:val="0"/>
        <w:keepLines w:val="0"/>
        <w:pageBreakBefore w:val="0"/>
        <w:widowControl w:val="0"/>
        <w:wordWrap/>
        <w:topLinePunct w:val="0"/>
        <w:bidi w:val="0"/>
        <w:spacing w:line="340" w:lineRule="exact"/>
        <w:ind w:left="25" w:leftChars="12" w:firstLine="310" w:firstLineChars="147"/>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47F24E4">
      <w:pPr>
        <w:keepNext w:val="0"/>
        <w:keepLines w:val="0"/>
        <w:pageBreakBefore w:val="0"/>
        <w:widowControl w:val="0"/>
        <w:wordWrap/>
        <w:topLinePunct w:val="0"/>
        <w:bidi w:val="0"/>
        <w:spacing w:line="340" w:lineRule="exact"/>
        <w:ind w:left="25" w:leftChars="12" w:firstLine="310" w:firstLineChars="147"/>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3.质疑函的质疑事项应具体、明确，并有必要的事实依据和法律依据。</w:t>
      </w:r>
    </w:p>
    <w:p w14:paraId="14484B66">
      <w:pPr>
        <w:keepNext w:val="0"/>
        <w:keepLines w:val="0"/>
        <w:pageBreakBefore w:val="0"/>
        <w:widowControl w:val="0"/>
        <w:wordWrap/>
        <w:topLinePunct w:val="0"/>
        <w:bidi w:val="0"/>
        <w:spacing w:line="340" w:lineRule="exact"/>
        <w:ind w:left="25" w:leftChars="12" w:firstLine="310" w:firstLineChars="147"/>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4.质疑函的质疑请求应与质疑事项相关。</w:t>
      </w:r>
    </w:p>
    <w:p w14:paraId="06DEF4C7">
      <w:pPr>
        <w:keepNext w:val="0"/>
        <w:keepLines w:val="0"/>
        <w:pageBreakBefore w:val="0"/>
        <w:widowControl w:val="0"/>
        <w:wordWrap/>
        <w:topLinePunct w:val="0"/>
        <w:bidi w:val="0"/>
        <w:spacing w:line="340" w:lineRule="exact"/>
        <w:ind w:left="25" w:leftChars="12" w:firstLine="310" w:firstLineChars="147"/>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6.质疑供应商为法人或者其他组织的，质疑函应由法定代表人、主要负责人，或者其授权代表签字或者盖章，并加盖公章。</w:t>
      </w:r>
    </w:p>
    <w:p w14:paraId="12C8D5DC">
      <w:pPr>
        <w:keepNext w:val="0"/>
        <w:keepLines w:val="0"/>
        <w:pageBreakBefore w:val="0"/>
        <w:widowControl w:val="0"/>
        <w:wordWrap/>
        <w:topLinePunct w:val="0"/>
        <w:bidi w:val="0"/>
        <w:snapToGrid w:val="0"/>
        <w:rPr>
          <w:rFonts w:hAnsi="宋体"/>
          <w:b/>
          <w:color w:val="auto"/>
          <w:kern w:val="0"/>
          <w:sz w:val="24"/>
          <w:highlight w:val="none"/>
        </w:rPr>
      </w:pPr>
      <w:r>
        <w:rPr>
          <w:rFonts w:hint="eastAsia"/>
          <w:b/>
          <w:color w:val="auto"/>
          <w:kern w:val="0"/>
          <w:sz w:val="24"/>
          <w:highlight w:val="none"/>
        </w:rPr>
        <w:t>附表2：</w:t>
      </w:r>
    </w:p>
    <w:p w14:paraId="3CBBA391">
      <w:pPr>
        <w:keepNext w:val="0"/>
        <w:keepLines w:val="0"/>
        <w:pageBreakBefore w:val="0"/>
        <w:widowControl w:val="0"/>
        <w:wordWrap/>
        <w:topLinePunct w:val="0"/>
        <w:bidi w:val="0"/>
        <w:spacing w:line="460" w:lineRule="exact"/>
        <w:jc w:val="center"/>
        <w:rPr>
          <w:rFonts w:eastAsia="隶书"/>
          <w:color w:val="auto"/>
          <w:kern w:val="0"/>
          <w:sz w:val="44"/>
          <w:highlight w:val="none"/>
        </w:rPr>
      </w:pPr>
    </w:p>
    <w:p w14:paraId="20269168">
      <w:pPr>
        <w:keepNext w:val="0"/>
        <w:keepLines w:val="0"/>
        <w:pageBreakBefore w:val="0"/>
        <w:widowControl w:val="0"/>
        <w:wordWrap/>
        <w:topLinePunct w:val="0"/>
        <w:bidi w:val="0"/>
        <w:spacing w:line="460" w:lineRule="exact"/>
        <w:jc w:val="center"/>
        <w:rPr>
          <w:rFonts w:eastAsia="隶书"/>
          <w:color w:val="auto"/>
          <w:kern w:val="0"/>
          <w:sz w:val="44"/>
          <w:highlight w:val="none"/>
        </w:rPr>
      </w:pPr>
      <w:r>
        <w:rPr>
          <w:rFonts w:hint="eastAsia" w:eastAsia="隶书"/>
          <w:color w:val="auto"/>
          <w:kern w:val="0"/>
          <w:sz w:val="44"/>
          <w:highlight w:val="none"/>
        </w:rPr>
        <w:t>投诉书（格式）</w:t>
      </w:r>
    </w:p>
    <w:p w14:paraId="288B4FB8">
      <w:pPr>
        <w:keepNext w:val="0"/>
        <w:keepLines w:val="0"/>
        <w:pageBreakBefore w:val="0"/>
        <w:widowControl w:val="0"/>
        <w:wordWrap/>
        <w:topLinePunct w:val="0"/>
        <w:bidi w:val="0"/>
        <w:snapToGrid w:val="0"/>
        <w:spacing w:line="400" w:lineRule="exact"/>
        <w:ind w:firstLine="422" w:firstLineChars="200"/>
        <w:rPr>
          <w:rFonts w:hint="eastAsia" w:ascii="宋体" w:hAnsi="宋体" w:eastAsia="宋体" w:cs="宋体"/>
          <w:b/>
          <w:bCs/>
          <w:color w:val="auto"/>
          <w:kern w:val="0"/>
          <w:highlight w:val="none"/>
        </w:rPr>
      </w:pPr>
      <w:r>
        <w:rPr>
          <w:rFonts w:hint="eastAsia" w:ascii="宋体" w:hAnsi="宋体" w:eastAsia="宋体" w:cs="宋体"/>
          <w:b/>
          <w:bCs/>
          <w:color w:val="auto"/>
          <w:kern w:val="0"/>
          <w:highlight w:val="none"/>
        </w:rPr>
        <w:t>一、投诉相关主体基本情况：</w:t>
      </w:r>
    </w:p>
    <w:p w14:paraId="3F864489">
      <w:pPr>
        <w:keepNext w:val="0"/>
        <w:keepLines w:val="0"/>
        <w:pageBreakBefore w:val="0"/>
        <w:widowControl w:val="0"/>
        <w:wordWrap/>
        <w:topLinePunct w:val="0"/>
        <w:bidi w:val="0"/>
        <w:snapToGrid w:val="0"/>
        <w:spacing w:line="400" w:lineRule="exact"/>
        <w:ind w:firstLine="420" w:firstLineChars="200"/>
        <w:rPr>
          <w:rFonts w:hint="eastAsia" w:ascii="宋体" w:hAnsi="宋体" w:eastAsia="宋体" w:cs="宋体"/>
          <w:bCs/>
          <w:color w:val="auto"/>
          <w:kern w:val="0"/>
          <w:highlight w:val="none"/>
          <w:u w:val="single"/>
        </w:rPr>
      </w:pPr>
      <w:r>
        <w:rPr>
          <w:rFonts w:hint="eastAsia" w:ascii="宋体" w:hAnsi="宋体" w:eastAsia="宋体" w:cs="宋体"/>
          <w:bCs/>
          <w:color w:val="auto"/>
          <w:kern w:val="0"/>
          <w:highlight w:val="none"/>
        </w:rPr>
        <w:t>供应商：</w:t>
      </w:r>
    </w:p>
    <w:p w14:paraId="7ED56497">
      <w:pPr>
        <w:keepNext w:val="0"/>
        <w:keepLines w:val="0"/>
        <w:pageBreakBefore w:val="0"/>
        <w:widowControl w:val="0"/>
        <w:wordWrap/>
        <w:topLinePunct w:val="0"/>
        <w:bidi w:val="0"/>
        <w:snapToGrid w:val="0"/>
        <w:spacing w:line="400" w:lineRule="exact"/>
        <w:ind w:firstLine="420" w:firstLineChars="200"/>
        <w:rPr>
          <w:rFonts w:hint="eastAsia" w:ascii="宋体" w:hAnsi="宋体" w:eastAsia="宋体" w:cs="宋体"/>
          <w:bCs/>
          <w:color w:val="auto"/>
          <w:kern w:val="0"/>
          <w:highlight w:val="none"/>
        </w:rPr>
      </w:pPr>
      <w:r>
        <w:rPr>
          <w:rFonts w:hint="eastAsia" w:ascii="宋体" w:hAnsi="宋体" w:eastAsia="宋体" w:cs="宋体"/>
          <w:bCs/>
          <w:color w:val="auto"/>
          <w:kern w:val="0"/>
          <w:highlight w:val="none"/>
        </w:rPr>
        <w:t>地址：邮编：</w:t>
      </w:r>
    </w:p>
    <w:p w14:paraId="51CED3AE">
      <w:pPr>
        <w:keepNext w:val="0"/>
        <w:keepLines w:val="0"/>
        <w:pageBreakBefore w:val="0"/>
        <w:widowControl w:val="0"/>
        <w:wordWrap/>
        <w:topLinePunct w:val="0"/>
        <w:bidi w:val="0"/>
        <w:snapToGrid w:val="0"/>
        <w:spacing w:line="400" w:lineRule="exact"/>
        <w:ind w:firstLine="420" w:firstLineChars="200"/>
        <w:rPr>
          <w:rFonts w:hint="eastAsia" w:ascii="宋体" w:hAnsi="宋体" w:eastAsia="宋体" w:cs="宋体"/>
          <w:bCs/>
          <w:color w:val="auto"/>
          <w:kern w:val="0"/>
          <w:highlight w:val="none"/>
          <w:u w:val="single"/>
        </w:rPr>
      </w:pPr>
      <w:r>
        <w:rPr>
          <w:rFonts w:hint="eastAsia" w:ascii="宋体" w:hAnsi="宋体" w:eastAsia="宋体" w:cs="宋体"/>
          <w:bCs/>
          <w:color w:val="auto"/>
          <w:kern w:val="0"/>
          <w:highlight w:val="none"/>
        </w:rPr>
        <w:t>法定代表人/主要负责人：</w:t>
      </w:r>
    </w:p>
    <w:p w14:paraId="66A894E1">
      <w:pPr>
        <w:keepNext w:val="0"/>
        <w:keepLines w:val="0"/>
        <w:pageBreakBefore w:val="0"/>
        <w:widowControl w:val="0"/>
        <w:wordWrap/>
        <w:topLinePunct w:val="0"/>
        <w:bidi w:val="0"/>
        <w:snapToGrid w:val="0"/>
        <w:spacing w:line="400" w:lineRule="exact"/>
        <w:ind w:firstLine="420" w:firstLineChars="200"/>
        <w:rPr>
          <w:rFonts w:hint="eastAsia" w:ascii="宋体" w:hAnsi="宋体" w:eastAsia="宋体" w:cs="宋体"/>
          <w:bCs/>
          <w:color w:val="auto"/>
          <w:kern w:val="0"/>
          <w:highlight w:val="none"/>
        </w:rPr>
      </w:pPr>
      <w:r>
        <w:rPr>
          <w:rFonts w:hint="eastAsia" w:ascii="宋体" w:hAnsi="宋体" w:eastAsia="宋体" w:cs="宋体"/>
          <w:bCs/>
          <w:color w:val="auto"/>
          <w:kern w:val="0"/>
          <w:highlight w:val="none"/>
        </w:rPr>
        <w:t>联系电话：</w:t>
      </w:r>
    </w:p>
    <w:p w14:paraId="32BE8261">
      <w:pPr>
        <w:keepNext w:val="0"/>
        <w:keepLines w:val="0"/>
        <w:pageBreakBefore w:val="0"/>
        <w:widowControl w:val="0"/>
        <w:wordWrap/>
        <w:topLinePunct w:val="0"/>
        <w:bidi w:val="0"/>
        <w:snapToGrid w:val="0"/>
        <w:spacing w:line="400" w:lineRule="exact"/>
        <w:ind w:firstLine="420" w:firstLineChars="200"/>
        <w:rPr>
          <w:rFonts w:hint="eastAsia" w:ascii="宋体" w:hAnsi="宋体" w:eastAsia="宋体" w:cs="宋体"/>
          <w:bCs/>
          <w:color w:val="auto"/>
          <w:kern w:val="0"/>
          <w:highlight w:val="none"/>
          <w:u w:val="single"/>
        </w:rPr>
      </w:pPr>
      <w:r>
        <w:rPr>
          <w:rFonts w:hint="eastAsia" w:ascii="宋体" w:hAnsi="宋体" w:eastAsia="宋体" w:cs="宋体"/>
          <w:bCs/>
          <w:color w:val="auto"/>
          <w:kern w:val="0"/>
          <w:highlight w:val="none"/>
        </w:rPr>
        <w:t>授权代表：联系电话：</w:t>
      </w:r>
    </w:p>
    <w:p w14:paraId="1984731B">
      <w:pPr>
        <w:keepNext w:val="0"/>
        <w:keepLines w:val="0"/>
        <w:pageBreakBefore w:val="0"/>
        <w:widowControl w:val="0"/>
        <w:wordWrap/>
        <w:topLinePunct w:val="0"/>
        <w:bidi w:val="0"/>
        <w:snapToGrid w:val="0"/>
        <w:spacing w:line="400" w:lineRule="exact"/>
        <w:ind w:firstLine="420" w:firstLineChars="200"/>
        <w:rPr>
          <w:rFonts w:hint="eastAsia" w:ascii="宋体" w:hAnsi="宋体" w:eastAsia="宋体" w:cs="宋体"/>
          <w:bCs/>
          <w:color w:val="auto"/>
          <w:kern w:val="0"/>
          <w:highlight w:val="none"/>
        </w:rPr>
      </w:pPr>
      <w:r>
        <w:rPr>
          <w:rFonts w:hint="eastAsia" w:ascii="宋体" w:hAnsi="宋体" w:eastAsia="宋体" w:cs="宋体"/>
          <w:bCs/>
          <w:color w:val="auto"/>
          <w:kern w:val="0"/>
          <w:highlight w:val="none"/>
        </w:rPr>
        <w:t>地址：邮编：</w:t>
      </w:r>
    </w:p>
    <w:p w14:paraId="77884CA4">
      <w:pPr>
        <w:keepNext w:val="0"/>
        <w:keepLines w:val="0"/>
        <w:pageBreakBefore w:val="0"/>
        <w:widowControl w:val="0"/>
        <w:wordWrap/>
        <w:topLinePunct w:val="0"/>
        <w:bidi w:val="0"/>
        <w:snapToGrid w:val="0"/>
        <w:spacing w:line="400" w:lineRule="exact"/>
        <w:ind w:firstLine="420" w:firstLineChars="200"/>
        <w:rPr>
          <w:rFonts w:hint="eastAsia" w:ascii="宋体" w:hAnsi="宋体" w:eastAsia="宋体" w:cs="宋体"/>
          <w:bCs/>
          <w:color w:val="auto"/>
          <w:kern w:val="0"/>
          <w:highlight w:val="none"/>
        </w:rPr>
      </w:pPr>
      <w:r>
        <w:rPr>
          <w:rFonts w:hint="eastAsia" w:ascii="宋体" w:hAnsi="宋体" w:eastAsia="宋体" w:cs="宋体"/>
          <w:bCs/>
          <w:color w:val="auto"/>
          <w:kern w:val="0"/>
          <w:highlight w:val="none"/>
        </w:rPr>
        <w:t>被投诉人1：</w:t>
      </w:r>
    </w:p>
    <w:p w14:paraId="456ECE31">
      <w:pPr>
        <w:keepNext w:val="0"/>
        <w:keepLines w:val="0"/>
        <w:pageBreakBefore w:val="0"/>
        <w:widowControl w:val="0"/>
        <w:wordWrap/>
        <w:topLinePunct w:val="0"/>
        <w:bidi w:val="0"/>
        <w:snapToGrid w:val="0"/>
        <w:spacing w:line="400" w:lineRule="exact"/>
        <w:ind w:firstLine="420" w:firstLineChars="200"/>
        <w:rPr>
          <w:rFonts w:hint="eastAsia" w:ascii="宋体" w:hAnsi="宋体" w:eastAsia="宋体" w:cs="宋体"/>
          <w:bCs/>
          <w:color w:val="auto"/>
          <w:kern w:val="0"/>
          <w:highlight w:val="none"/>
        </w:rPr>
      </w:pPr>
      <w:r>
        <w:rPr>
          <w:rFonts w:hint="eastAsia" w:ascii="宋体" w:hAnsi="宋体" w:eastAsia="宋体" w:cs="宋体"/>
          <w:bCs/>
          <w:color w:val="auto"/>
          <w:kern w:val="0"/>
          <w:highlight w:val="none"/>
        </w:rPr>
        <w:t>地址：邮编：</w:t>
      </w:r>
    </w:p>
    <w:p w14:paraId="6880FC1E">
      <w:pPr>
        <w:keepNext w:val="0"/>
        <w:keepLines w:val="0"/>
        <w:pageBreakBefore w:val="0"/>
        <w:widowControl w:val="0"/>
        <w:wordWrap/>
        <w:topLinePunct w:val="0"/>
        <w:bidi w:val="0"/>
        <w:snapToGrid w:val="0"/>
        <w:spacing w:line="400" w:lineRule="exact"/>
        <w:ind w:firstLine="420" w:firstLineChars="200"/>
        <w:rPr>
          <w:rFonts w:hint="eastAsia" w:ascii="宋体" w:hAnsi="宋体" w:eastAsia="宋体" w:cs="宋体"/>
          <w:bCs/>
          <w:color w:val="auto"/>
          <w:kern w:val="0"/>
          <w:highlight w:val="none"/>
          <w:u w:val="single"/>
        </w:rPr>
      </w:pPr>
      <w:r>
        <w:rPr>
          <w:rFonts w:hint="eastAsia" w:ascii="宋体" w:hAnsi="宋体" w:eastAsia="宋体" w:cs="宋体"/>
          <w:bCs/>
          <w:color w:val="auto"/>
          <w:kern w:val="0"/>
          <w:highlight w:val="none"/>
        </w:rPr>
        <w:t>联系人：联系电话：</w:t>
      </w:r>
    </w:p>
    <w:p w14:paraId="529EC779">
      <w:pPr>
        <w:keepNext w:val="0"/>
        <w:keepLines w:val="0"/>
        <w:pageBreakBefore w:val="0"/>
        <w:widowControl w:val="0"/>
        <w:wordWrap/>
        <w:topLinePunct w:val="0"/>
        <w:bidi w:val="0"/>
        <w:snapToGrid w:val="0"/>
        <w:spacing w:line="400" w:lineRule="exact"/>
        <w:ind w:firstLine="420" w:firstLineChars="200"/>
        <w:rPr>
          <w:rFonts w:hint="eastAsia" w:ascii="宋体" w:hAnsi="宋体" w:eastAsia="宋体" w:cs="宋体"/>
          <w:bCs/>
          <w:color w:val="auto"/>
          <w:kern w:val="0"/>
          <w:highlight w:val="none"/>
        </w:rPr>
      </w:pPr>
      <w:r>
        <w:rPr>
          <w:rFonts w:hint="eastAsia" w:ascii="宋体" w:hAnsi="宋体" w:eastAsia="宋体" w:cs="宋体"/>
          <w:bCs/>
          <w:color w:val="auto"/>
          <w:kern w:val="0"/>
          <w:highlight w:val="none"/>
        </w:rPr>
        <w:t>被投诉人2：</w:t>
      </w:r>
    </w:p>
    <w:p w14:paraId="0A12D05F">
      <w:pPr>
        <w:keepNext w:val="0"/>
        <w:keepLines w:val="0"/>
        <w:pageBreakBefore w:val="0"/>
        <w:widowControl w:val="0"/>
        <w:wordWrap/>
        <w:topLinePunct w:val="0"/>
        <w:bidi w:val="0"/>
        <w:snapToGrid w:val="0"/>
        <w:spacing w:line="400" w:lineRule="exact"/>
        <w:ind w:firstLine="420" w:firstLineChars="200"/>
        <w:rPr>
          <w:rFonts w:hint="eastAsia" w:ascii="宋体" w:hAnsi="宋体" w:eastAsia="宋体" w:cs="宋体"/>
          <w:bCs/>
          <w:color w:val="auto"/>
          <w:kern w:val="0"/>
          <w:highlight w:val="none"/>
        </w:rPr>
      </w:pPr>
      <w:r>
        <w:rPr>
          <w:rFonts w:hint="eastAsia" w:ascii="宋体" w:hAnsi="宋体" w:eastAsia="宋体" w:cs="宋体"/>
          <w:bCs/>
          <w:color w:val="auto"/>
          <w:kern w:val="0"/>
          <w:highlight w:val="none"/>
        </w:rPr>
        <w:t>……</w:t>
      </w:r>
    </w:p>
    <w:p w14:paraId="3A14C262">
      <w:pPr>
        <w:keepNext w:val="0"/>
        <w:keepLines w:val="0"/>
        <w:pageBreakBefore w:val="0"/>
        <w:widowControl w:val="0"/>
        <w:wordWrap/>
        <w:topLinePunct w:val="0"/>
        <w:bidi w:val="0"/>
        <w:snapToGrid w:val="0"/>
        <w:spacing w:line="400" w:lineRule="exact"/>
        <w:ind w:firstLine="420" w:firstLineChars="200"/>
        <w:rPr>
          <w:rFonts w:hint="eastAsia" w:ascii="宋体" w:hAnsi="宋体" w:eastAsia="宋体" w:cs="宋体"/>
          <w:bCs/>
          <w:color w:val="auto"/>
          <w:kern w:val="0"/>
          <w:highlight w:val="none"/>
          <w:u w:val="single"/>
        </w:rPr>
      </w:pPr>
      <w:r>
        <w:rPr>
          <w:rFonts w:hint="eastAsia" w:ascii="宋体" w:hAnsi="宋体" w:eastAsia="宋体" w:cs="宋体"/>
          <w:bCs/>
          <w:color w:val="auto"/>
          <w:kern w:val="0"/>
          <w:highlight w:val="none"/>
        </w:rPr>
        <w:t>相关供应商：</w:t>
      </w:r>
    </w:p>
    <w:p w14:paraId="634D27DC">
      <w:pPr>
        <w:keepNext w:val="0"/>
        <w:keepLines w:val="0"/>
        <w:pageBreakBefore w:val="0"/>
        <w:widowControl w:val="0"/>
        <w:wordWrap/>
        <w:topLinePunct w:val="0"/>
        <w:bidi w:val="0"/>
        <w:snapToGrid w:val="0"/>
        <w:spacing w:line="400" w:lineRule="exact"/>
        <w:ind w:firstLine="420" w:firstLineChars="200"/>
        <w:rPr>
          <w:rFonts w:hint="eastAsia" w:ascii="宋体" w:hAnsi="宋体" w:eastAsia="宋体" w:cs="宋体"/>
          <w:bCs/>
          <w:color w:val="auto"/>
          <w:kern w:val="0"/>
          <w:highlight w:val="none"/>
          <w:u w:val="single"/>
        </w:rPr>
      </w:pPr>
      <w:r>
        <w:rPr>
          <w:rFonts w:hint="eastAsia" w:ascii="宋体" w:hAnsi="宋体" w:eastAsia="宋体" w:cs="宋体"/>
          <w:bCs/>
          <w:color w:val="auto"/>
          <w:kern w:val="0"/>
          <w:highlight w:val="none"/>
        </w:rPr>
        <w:t>地址：邮编：</w:t>
      </w:r>
    </w:p>
    <w:p w14:paraId="334F909E">
      <w:pPr>
        <w:keepNext w:val="0"/>
        <w:keepLines w:val="0"/>
        <w:pageBreakBefore w:val="0"/>
        <w:widowControl w:val="0"/>
        <w:wordWrap/>
        <w:topLinePunct w:val="0"/>
        <w:bidi w:val="0"/>
        <w:snapToGrid w:val="0"/>
        <w:spacing w:line="400" w:lineRule="exact"/>
        <w:ind w:firstLine="420" w:firstLineChars="200"/>
        <w:rPr>
          <w:rFonts w:hint="eastAsia" w:ascii="宋体" w:hAnsi="宋体" w:eastAsia="宋体" w:cs="宋体"/>
          <w:bCs/>
          <w:color w:val="auto"/>
          <w:kern w:val="0"/>
          <w:highlight w:val="none"/>
        </w:rPr>
      </w:pPr>
      <w:r>
        <w:rPr>
          <w:rFonts w:hint="eastAsia" w:ascii="宋体" w:hAnsi="宋体" w:eastAsia="宋体" w:cs="宋体"/>
          <w:bCs/>
          <w:color w:val="auto"/>
          <w:kern w:val="0"/>
          <w:highlight w:val="none"/>
        </w:rPr>
        <w:t>联系人：联系电话：</w:t>
      </w:r>
    </w:p>
    <w:p w14:paraId="722D5342">
      <w:pPr>
        <w:keepNext w:val="0"/>
        <w:keepLines w:val="0"/>
        <w:pageBreakBefore w:val="0"/>
        <w:widowControl w:val="0"/>
        <w:wordWrap/>
        <w:topLinePunct w:val="0"/>
        <w:bidi w:val="0"/>
        <w:snapToGrid w:val="0"/>
        <w:spacing w:line="400" w:lineRule="exact"/>
        <w:ind w:firstLine="422" w:firstLineChars="200"/>
        <w:rPr>
          <w:rFonts w:hint="eastAsia" w:ascii="宋体" w:hAnsi="宋体" w:eastAsia="宋体" w:cs="宋体"/>
          <w:b/>
          <w:bCs/>
          <w:color w:val="auto"/>
          <w:kern w:val="0"/>
          <w:highlight w:val="none"/>
        </w:rPr>
      </w:pPr>
      <w:r>
        <w:rPr>
          <w:rFonts w:hint="eastAsia" w:ascii="宋体" w:hAnsi="宋体" w:eastAsia="宋体" w:cs="宋体"/>
          <w:b/>
          <w:bCs/>
          <w:color w:val="auto"/>
          <w:kern w:val="0"/>
          <w:highlight w:val="none"/>
        </w:rPr>
        <w:t>二、投诉项目基本情况：</w:t>
      </w:r>
    </w:p>
    <w:p w14:paraId="55F86DAD">
      <w:pPr>
        <w:keepNext w:val="0"/>
        <w:keepLines w:val="0"/>
        <w:pageBreakBefore w:val="0"/>
        <w:widowControl w:val="0"/>
        <w:wordWrap/>
        <w:topLinePunct w:val="0"/>
        <w:bidi w:val="0"/>
        <w:spacing w:line="400" w:lineRule="exact"/>
        <w:ind w:left="25" w:leftChars="12" w:firstLine="413" w:firstLineChars="197"/>
        <w:rPr>
          <w:rFonts w:hint="eastAsia" w:ascii="宋体" w:hAnsi="宋体" w:eastAsia="宋体" w:cs="宋体"/>
          <w:color w:val="auto"/>
          <w:kern w:val="0"/>
          <w:szCs w:val="21"/>
          <w:highlight w:val="none"/>
        </w:rPr>
      </w:pPr>
      <w:r>
        <w:rPr>
          <w:rFonts w:hint="eastAsia" w:ascii="宋体" w:hAnsi="宋体" w:eastAsia="宋体" w:cs="宋体"/>
          <w:bCs/>
          <w:color w:val="auto"/>
          <w:kern w:val="0"/>
          <w:highlight w:val="none"/>
        </w:rPr>
        <w:t>采购</w:t>
      </w:r>
      <w:r>
        <w:rPr>
          <w:rFonts w:hint="eastAsia" w:ascii="宋体" w:hAnsi="宋体" w:eastAsia="宋体" w:cs="宋体"/>
          <w:color w:val="auto"/>
          <w:kern w:val="0"/>
          <w:szCs w:val="21"/>
          <w:highlight w:val="none"/>
        </w:rPr>
        <w:t>项目的名称：</w:t>
      </w:r>
    </w:p>
    <w:p w14:paraId="29240A71">
      <w:pPr>
        <w:keepNext w:val="0"/>
        <w:keepLines w:val="0"/>
        <w:pageBreakBefore w:val="0"/>
        <w:widowControl w:val="0"/>
        <w:wordWrap/>
        <w:topLinePunct w:val="0"/>
        <w:bidi w:val="0"/>
        <w:spacing w:line="400" w:lineRule="exact"/>
        <w:ind w:left="25" w:leftChars="12" w:firstLine="413" w:firstLineChars="197"/>
        <w:rPr>
          <w:rFonts w:hint="eastAsia" w:ascii="宋体" w:hAnsi="宋体" w:eastAsia="宋体" w:cs="宋体"/>
          <w:color w:val="auto"/>
          <w:kern w:val="0"/>
          <w:szCs w:val="21"/>
          <w:highlight w:val="none"/>
        </w:rPr>
      </w:pPr>
      <w:r>
        <w:rPr>
          <w:rFonts w:hint="eastAsia" w:ascii="宋体" w:hAnsi="宋体" w:eastAsia="宋体" w:cs="宋体"/>
          <w:bCs/>
          <w:color w:val="auto"/>
          <w:kern w:val="0"/>
          <w:highlight w:val="none"/>
        </w:rPr>
        <w:t>采购</w:t>
      </w:r>
      <w:r>
        <w:rPr>
          <w:rFonts w:hint="eastAsia" w:ascii="宋体" w:hAnsi="宋体" w:eastAsia="宋体" w:cs="宋体"/>
          <w:color w:val="auto"/>
          <w:kern w:val="0"/>
          <w:szCs w:val="21"/>
          <w:highlight w:val="none"/>
        </w:rPr>
        <w:t>项目的编号：</w:t>
      </w:r>
    </w:p>
    <w:p w14:paraId="7F5A638E">
      <w:pPr>
        <w:keepNext w:val="0"/>
        <w:keepLines w:val="0"/>
        <w:pageBreakBefore w:val="0"/>
        <w:widowControl w:val="0"/>
        <w:wordWrap/>
        <w:topLinePunct w:val="0"/>
        <w:bidi w:val="0"/>
        <w:spacing w:line="400" w:lineRule="exact"/>
        <w:ind w:left="25" w:leftChars="12" w:firstLine="413" w:firstLineChars="197"/>
        <w:rPr>
          <w:rFonts w:hint="eastAsia" w:ascii="宋体" w:hAnsi="宋体" w:eastAsia="宋体" w:cs="宋体"/>
          <w:bCs/>
          <w:color w:val="auto"/>
          <w:kern w:val="0"/>
          <w:highlight w:val="none"/>
          <w:u w:val="single"/>
        </w:rPr>
      </w:pPr>
      <w:r>
        <w:rPr>
          <w:rFonts w:hint="eastAsia" w:ascii="宋体" w:hAnsi="宋体" w:eastAsia="宋体" w:cs="宋体"/>
          <w:color w:val="auto"/>
          <w:kern w:val="0"/>
          <w:szCs w:val="21"/>
          <w:highlight w:val="none"/>
        </w:rPr>
        <w:t>采购人名称：</w:t>
      </w:r>
    </w:p>
    <w:p w14:paraId="660843BF">
      <w:pPr>
        <w:keepNext w:val="0"/>
        <w:keepLines w:val="0"/>
        <w:pageBreakBefore w:val="0"/>
        <w:widowControl w:val="0"/>
        <w:wordWrap/>
        <w:topLinePunct w:val="0"/>
        <w:bidi w:val="0"/>
        <w:spacing w:line="400" w:lineRule="exact"/>
        <w:ind w:left="25" w:leftChars="12" w:firstLine="413" w:firstLineChars="197"/>
        <w:rPr>
          <w:rFonts w:hint="eastAsia" w:ascii="宋体" w:hAnsi="宋体" w:eastAsia="宋体" w:cs="宋体"/>
          <w:bCs/>
          <w:color w:val="auto"/>
          <w:kern w:val="0"/>
          <w:highlight w:val="none"/>
          <w:u w:val="single"/>
        </w:rPr>
      </w:pPr>
      <w:r>
        <w:rPr>
          <w:rFonts w:hint="eastAsia" w:ascii="宋体" w:hAnsi="宋体" w:eastAsia="宋体" w:cs="宋体"/>
          <w:color w:val="auto"/>
          <w:kern w:val="0"/>
          <w:szCs w:val="21"/>
          <w:highlight w:val="none"/>
        </w:rPr>
        <w:t>代理机构名称：</w:t>
      </w:r>
    </w:p>
    <w:p w14:paraId="0902264E">
      <w:pPr>
        <w:keepNext w:val="0"/>
        <w:keepLines w:val="0"/>
        <w:pageBreakBefore w:val="0"/>
        <w:widowControl w:val="0"/>
        <w:wordWrap/>
        <w:topLinePunct w:val="0"/>
        <w:bidi w:val="0"/>
        <w:spacing w:line="400" w:lineRule="exact"/>
        <w:ind w:left="25" w:leftChars="12" w:firstLine="413" w:firstLineChars="197"/>
        <w:rPr>
          <w:rFonts w:hint="eastAsia" w:ascii="宋体" w:hAnsi="宋体" w:eastAsia="宋体" w:cs="宋体"/>
          <w:bCs/>
          <w:color w:val="auto"/>
          <w:kern w:val="0"/>
          <w:highlight w:val="none"/>
          <w:u w:val="single"/>
        </w:rPr>
      </w:pPr>
      <w:r>
        <w:rPr>
          <w:rFonts w:hint="eastAsia" w:ascii="宋体" w:hAnsi="宋体" w:eastAsia="宋体" w:cs="宋体"/>
          <w:bCs/>
          <w:color w:val="auto"/>
          <w:kern w:val="0"/>
          <w:highlight w:val="none"/>
        </w:rPr>
        <w:t>采购文件公告：</w:t>
      </w:r>
      <w:r>
        <w:rPr>
          <w:rFonts w:hint="eastAsia" w:ascii="宋体" w:hAnsi="宋体" w:eastAsia="宋体" w:cs="宋体"/>
          <w:bCs/>
          <w:color w:val="auto"/>
          <w:kern w:val="0"/>
          <w:highlight w:val="none"/>
          <w:u w:val="single"/>
        </w:rPr>
        <w:t>是/否</w:t>
      </w:r>
      <w:r>
        <w:rPr>
          <w:rFonts w:hint="eastAsia" w:ascii="宋体" w:hAnsi="宋体" w:eastAsia="宋体" w:cs="宋体"/>
          <w:bCs/>
          <w:color w:val="auto"/>
          <w:kern w:val="0"/>
          <w:highlight w:val="none"/>
        </w:rPr>
        <w:t>公告期限：</w:t>
      </w:r>
    </w:p>
    <w:p w14:paraId="61F3927A">
      <w:pPr>
        <w:keepNext w:val="0"/>
        <w:keepLines w:val="0"/>
        <w:pageBreakBefore w:val="0"/>
        <w:widowControl w:val="0"/>
        <w:wordWrap/>
        <w:topLinePunct w:val="0"/>
        <w:bidi w:val="0"/>
        <w:spacing w:line="400" w:lineRule="exact"/>
        <w:ind w:left="25" w:leftChars="12" w:firstLine="413" w:firstLineChars="197"/>
        <w:rPr>
          <w:rFonts w:hint="eastAsia" w:ascii="宋体" w:hAnsi="宋体" w:eastAsia="宋体" w:cs="宋体"/>
          <w:b/>
          <w:color w:val="auto"/>
          <w:kern w:val="0"/>
          <w:szCs w:val="21"/>
          <w:highlight w:val="none"/>
        </w:rPr>
      </w:pPr>
      <w:r>
        <w:rPr>
          <w:rFonts w:hint="eastAsia" w:ascii="宋体" w:hAnsi="宋体" w:eastAsia="宋体" w:cs="宋体"/>
          <w:bCs/>
          <w:color w:val="auto"/>
          <w:kern w:val="0"/>
          <w:highlight w:val="none"/>
        </w:rPr>
        <w:t>采购结果公告：</w:t>
      </w:r>
      <w:r>
        <w:rPr>
          <w:rFonts w:hint="eastAsia" w:ascii="宋体" w:hAnsi="宋体" w:eastAsia="宋体" w:cs="宋体"/>
          <w:bCs/>
          <w:color w:val="auto"/>
          <w:kern w:val="0"/>
          <w:highlight w:val="none"/>
          <w:u w:val="single"/>
        </w:rPr>
        <w:t>是/否</w:t>
      </w:r>
      <w:r>
        <w:rPr>
          <w:rFonts w:hint="eastAsia" w:ascii="宋体" w:hAnsi="宋体" w:eastAsia="宋体" w:cs="宋体"/>
          <w:bCs/>
          <w:color w:val="auto"/>
          <w:kern w:val="0"/>
          <w:highlight w:val="none"/>
        </w:rPr>
        <w:t>公告期限：</w:t>
      </w:r>
    </w:p>
    <w:p w14:paraId="75A94B8D">
      <w:pPr>
        <w:keepNext w:val="0"/>
        <w:keepLines w:val="0"/>
        <w:pageBreakBefore w:val="0"/>
        <w:widowControl w:val="0"/>
        <w:wordWrap/>
        <w:topLinePunct w:val="0"/>
        <w:bidi w:val="0"/>
        <w:spacing w:line="400" w:lineRule="exact"/>
        <w:ind w:left="25" w:leftChars="12" w:firstLine="413" w:firstLineChars="196"/>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三、质疑基本情况</w:t>
      </w:r>
    </w:p>
    <w:p w14:paraId="0DA2CF96">
      <w:pPr>
        <w:keepNext w:val="0"/>
        <w:keepLines w:val="0"/>
        <w:pageBreakBefore w:val="0"/>
        <w:widowControl w:val="0"/>
        <w:wordWrap/>
        <w:topLinePunct w:val="0"/>
        <w:bidi w:val="0"/>
        <w:spacing w:line="400" w:lineRule="exact"/>
        <w:ind w:left="25" w:leftChars="12" w:firstLine="833" w:firstLineChars="397"/>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投诉人于年月日，向提出质疑，质疑事项为：</w:t>
      </w:r>
    </w:p>
    <w:p w14:paraId="68AAE22E">
      <w:pPr>
        <w:keepNext w:val="0"/>
        <w:keepLines w:val="0"/>
        <w:pageBreakBefore w:val="0"/>
        <w:widowControl w:val="0"/>
        <w:wordWrap/>
        <w:topLinePunct w:val="0"/>
        <w:bidi w:val="0"/>
        <w:spacing w:line="400" w:lineRule="exact"/>
        <w:rPr>
          <w:rFonts w:hint="eastAsia" w:ascii="宋体" w:hAnsi="宋体" w:eastAsia="宋体" w:cs="宋体"/>
          <w:bCs/>
          <w:color w:val="auto"/>
          <w:kern w:val="0"/>
          <w:highlight w:val="none"/>
          <w:u w:val="single"/>
        </w:rPr>
      </w:pPr>
    </w:p>
    <w:p w14:paraId="68C6BAA1">
      <w:pPr>
        <w:keepNext w:val="0"/>
        <w:keepLines w:val="0"/>
        <w:pageBreakBefore w:val="0"/>
        <w:widowControl w:val="0"/>
        <w:wordWrap/>
        <w:topLinePunct w:val="0"/>
        <w:bidi w:val="0"/>
        <w:spacing w:line="400" w:lineRule="exact"/>
        <w:rPr>
          <w:rFonts w:hint="eastAsia" w:ascii="宋体" w:hAnsi="宋体" w:eastAsia="宋体" w:cs="宋体"/>
          <w:bCs/>
          <w:color w:val="auto"/>
          <w:kern w:val="0"/>
          <w:highlight w:val="none"/>
          <w:u w:val="single"/>
        </w:rPr>
      </w:pPr>
    </w:p>
    <w:p w14:paraId="2FD9859D">
      <w:pPr>
        <w:keepNext w:val="0"/>
        <w:keepLines w:val="0"/>
        <w:pageBreakBefore w:val="0"/>
        <w:widowControl w:val="0"/>
        <w:wordWrap/>
        <w:topLinePunct w:val="0"/>
        <w:bidi w:val="0"/>
        <w:spacing w:line="400" w:lineRule="exact"/>
        <w:ind w:firstLine="210" w:firstLineChars="100"/>
        <w:rPr>
          <w:rFonts w:hint="eastAsia" w:ascii="宋体" w:hAnsi="宋体" w:eastAsia="宋体" w:cs="宋体"/>
          <w:color w:val="auto"/>
          <w:kern w:val="0"/>
          <w:szCs w:val="21"/>
          <w:highlight w:val="none"/>
        </w:rPr>
      </w:pPr>
      <w:r>
        <w:rPr>
          <w:rFonts w:hint="eastAsia" w:ascii="宋体" w:hAnsi="宋体" w:eastAsia="宋体" w:cs="宋体"/>
          <w:bCs/>
          <w:color w:val="auto"/>
          <w:kern w:val="0"/>
          <w:highlight w:val="none"/>
          <w:u w:val="single"/>
        </w:rPr>
        <w:t>采购人/代理机构</w:t>
      </w:r>
      <w:r>
        <w:rPr>
          <w:rFonts w:hint="eastAsia" w:ascii="宋体" w:hAnsi="宋体" w:eastAsia="宋体" w:cs="宋体"/>
          <w:bCs/>
          <w:color w:val="auto"/>
          <w:kern w:val="0"/>
          <w:highlight w:val="none"/>
        </w:rPr>
        <w:t>于</w:t>
      </w:r>
      <w:r>
        <w:rPr>
          <w:rFonts w:hint="eastAsia" w:ascii="宋体" w:hAnsi="宋体" w:eastAsia="宋体" w:cs="宋体"/>
          <w:color w:val="auto"/>
          <w:kern w:val="0"/>
          <w:szCs w:val="21"/>
          <w:highlight w:val="none"/>
        </w:rPr>
        <w:t>年月日，</w:t>
      </w:r>
      <w:r>
        <w:rPr>
          <w:rFonts w:hint="eastAsia" w:ascii="宋体" w:hAnsi="宋体" w:eastAsia="宋体" w:cs="宋体"/>
          <w:bCs/>
          <w:color w:val="auto"/>
          <w:kern w:val="0"/>
          <w:highlight w:val="none"/>
        </w:rPr>
        <w:t xml:space="preserve">就质疑事项作出了答复/没有在法定期限内作出答复。                                                                                             </w:t>
      </w:r>
    </w:p>
    <w:p w14:paraId="4422D385">
      <w:pPr>
        <w:keepNext w:val="0"/>
        <w:keepLines w:val="0"/>
        <w:pageBreakBefore w:val="0"/>
        <w:widowControl w:val="0"/>
        <w:wordWrap/>
        <w:topLinePunct w:val="0"/>
        <w:bidi w:val="0"/>
        <w:spacing w:line="400" w:lineRule="exact"/>
        <w:ind w:left="25" w:leftChars="12" w:firstLine="413" w:firstLineChars="196"/>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四、投诉事项具体内容</w:t>
      </w:r>
    </w:p>
    <w:p w14:paraId="5AB6ACF2">
      <w:pPr>
        <w:keepNext w:val="0"/>
        <w:keepLines w:val="0"/>
        <w:pageBreakBefore w:val="0"/>
        <w:widowControl w:val="0"/>
        <w:wordWrap/>
        <w:topLinePunct w:val="0"/>
        <w:bidi w:val="0"/>
        <w:spacing w:line="400" w:lineRule="exact"/>
        <w:ind w:left="25" w:leftChars="12" w:firstLine="413" w:firstLineChars="197"/>
        <w:rPr>
          <w:rFonts w:hint="eastAsia" w:ascii="宋体" w:hAnsi="宋体" w:eastAsia="宋体" w:cs="宋体"/>
          <w:bCs/>
          <w:color w:val="auto"/>
          <w:kern w:val="0"/>
          <w:highlight w:val="none"/>
          <w:u w:val="single"/>
        </w:rPr>
      </w:pPr>
      <w:r>
        <w:rPr>
          <w:rFonts w:hint="eastAsia" w:ascii="宋体" w:hAnsi="宋体" w:eastAsia="宋体" w:cs="宋体"/>
          <w:color w:val="auto"/>
          <w:kern w:val="0"/>
          <w:szCs w:val="21"/>
          <w:highlight w:val="none"/>
        </w:rPr>
        <w:t>投诉事项1：</w:t>
      </w:r>
    </w:p>
    <w:p w14:paraId="407F92EA">
      <w:pPr>
        <w:keepNext w:val="0"/>
        <w:keepLines w:val="0"/>
        <w:pageBreakBefore w:val="0"/>
        <w:widowControl w:val="0"/>
        <w:wordWrap/>
        <w:topLinePunct w:val="0"/>
        <w:bidi w:val="0"/>
        <w:spacing w:line="400" w:lineRule="exact"/>
        <w:ind w:firstLine="420" w:firstLineChars="200"/>
        <w:rPr>
          <w:rFonts w:hint="eastAsia" w:ascii="宋体" w:hAnsi="宋体" w:eastAsia="宋体" w:cs="宋体"/>
          <w:bCs/>
          <w:color w:val="auto"/>
          <w:kern w:val="0"/>
          <w:highlight w:val="none"/>
          <w:u w:val="single"/>
        </w:rPr>
      </w:pPr>
      <w:r>
        <w:rPr>
          <w:rFonts w:hint="eastAsia" w:ascii="宋体" w:hAnsi="宋体" w:eastAsia="宋体" w:cs="宋体"/>
          <w:bCs/>
          <w:color w:val="auto"/>
          <w:kern w:val="0"/>
          <w:highlight w:val="none"/>
        </w:rPr>
        <w:t>事实依据：</w:t>
      </w:r>
    </w:p>
    <w:p w14:paraId="15CBA066">
      <w:pPr>
        <w:keepNext w:val="0"/>
        <w:keepLines w:val="0"/>
        <w:pageBreakBefore w:val="0"/>
        <w:widowControl w:val="0"/>
        <w:wordWrap/>
        <w:topLinePunct w:val="0"/>
        <w:bidi w:val="0"/>
        <w:spacing w:line="400" w:lineRule="exact"/>
        <w:ind w:left="25" w:leftChars="12" w:firstLine="413" w:firstLineChars="197"/>
        <w:rPr>
          <w:rFonts w:hint="eastAsia" w:ascii="宋体" w:hAnsi="宋体" w:eastAsia="宋体" w:cs="宋体"/>
          <w:color w:val="auto"/>
          <w:kern w:val="0"/>
          <w:szCs w:val="21"/>
          <w:highlight w:val="none"/>
        </w:rPr>
      </w:pPr>
    </w:p>
    <w:p w14:paraId="24828164">
      <w:pPr>
        <w:keepNext w:val="0"/>
        <w:keepLines w:val="0"/>
        <w:pageBreakBefore w:val="0"/>
        <w:widowControl w:val="0"/>
        <w:wordWrap/>
        <w:topLinePunct w:val="0"/>
        <w:bidi w:val="0"/>
        <w:spacing w:line="400" w:lineRule="exact"/>
        <w:ind w:firstLine="420" w:firstLineChars="200"/>
        <w:rPr>
          <w:rFonts w:hint="eastAsia" w:ascii="宋体" w:hAnsi="宋体" w:eastAsia="宋体" w:cs="宋体"/>
          <w:bCs/>
          <w:color w:val="auto"/>
          <w:kern w:val="0"/>
          <w:highlight w:val="none"/>
          <w:u w:val="single"/>
        </w:rPr>
      </w:pPr>
      <w:r>
        <w:rPr>
          <w:rFonts w:hint="eastAsia" w:ascii="宋体" w:hAnsi="宋体" w:eastAsia="宋体" w:cs="宋体"/>
          <w:bCs/>
          <w:color w:val="auto"/>
          <w:kern w:val="0"/>
          <w:highlight w:val="none"/>
        </w:rPr>
        <w:t>法律依据：</w:t>
      </w:r>
    </w:p>
    <w:p w14:paraId="4196F373">
      <w:pPr>
        <w:keepNext w:val="0"/>
        <w:keepLines w:val="0"/>
        <w:pageBreakBefore w:val="0"/>
        <w:widowControl w:val="0"/>
        <w:wordWrap/>
        <w:topLinePunct w:val="0"/>
        <w:bidi w:val="0"/>
        <w:spacing w:line="400" w:lineRule="exact"/>
        <w:ind w:left="25" w:leftChars="12" w:firstLine="308" w:firstLineChars="147"/>
        <w:rPr>
          <w:rFonts w:hint="eastAsia" w:ascii="宋体" w:hAnsi="宋体" w:eastAsia="宋体" w:cs="宋体"/>
          <w:bCs/>
          <w:color w:val="auto"/>
          <w:kern w:val="0"/>
          <w:highlight w:val="none"/>
          <w:u w:val="single"/>
        </w:rPr>
      </w:pPr>
    </w:p>
    <w:p w14:paraId="3A176C5D">
      <w:pPr>
        <w:keepNext w:val="0"/>
        <w:keepLines w:val="0"/>
        <w:pageBreakBefore w:val="0"/>
        <w:widowControl w:val="0"/>
        <w:wordWrap/>
        <w:topLinePunct w:val="0"/>
        <w:bidi w:val="0"/>
        <w:spacing w:line="400" w:lineRule="exact"/>
        <w:ind w:left="25" w:leftChars="12" w:firstLine="413" w:firstLineChars="197"/>
        <w:rPr>
          <w:rFonts w:hint="eastAsia" w:ascii="宋体" w:hAnsi="宋体" w:eastAsia="宋体" w:cs="宋体"/>
          <w:bCs/>
          <w:color w:val="auto"/>
          <w:kern w:val="0"/>
          <w:highlight w:val="none"/>
        </w:rPr>
      </w:pPr>
      <w:r>
        <w:rPr>
          <w:rFonts w:hint="eastAsia" w:ascii="宋体" w:hAnsi="宋体" w:eastAsia="宋体" w:cs="宋体"/>
          <w:color w:val="auto"/>
          <w:kern w:val="0"/>
          <w:szCs w:val="21"/>
          <w:highlight w:val="none"/>
        </w:rPr>
        <w:t xml:space="preserve">投诉事项2  </w:t>
      </w:r>
    </w:p>
    <w:p w14:paraId="3B8D039F">
      <w:pPr>
        <w:keepNext w:val="0"/>
        <w:keepLines w:val="0"/>
        <w:pageBreakBefore w:val="0"/>
        <w:widowControl w:val="0"/>
        <w:wordWrap/>
        <w:topLinePunct w:val="0"/>
        <w:bidi w:val="0"/>
        <w:spacing w:line="400" w:lineRule="exact"/>
        <w:ind w:left="25" w:leftChars="12" w:firstLine="413" w:firstLineChars="197"/>
        <w:rPr>
          <w:rFonts w:hint="eastAsia" w:ascii="宋体" w:hAnsi="宋体" w:eastAsia="宋体" w:cs="宋体"/>
          <w:bCs/>
          <w:color w:val="auto"/>
          <w:kern w:val="0"/>
          <w:highlight w:val="none"/>
        </w:rPr>
      </w:pPr>
      <w:r>
        <w:rPr>
          <w:rFonts w:hint="eastAsia" w:ascii="宋体" w:hAnsi="宋体" w:eastAsia="宋体" w:cs="宋体"/>
          <w:bCs/>
          <w:color w:val="auto"/>
          <w:kern w:val="0"/>
          <w:highlight w:val="none"/>
        </w:rPr>
        <w:t>……</w:t>
      </w:r>
    </w:p>
    <w:p w14:paraId="59407BA0">
      <w:pPr>
        <w:keepNext w:val="0"/>
        <w:keepLines w:val="0"/>
        <w:pageBreakBefore w:val="0"/>
        <w:widowControl w:val="0"/>
        <w:wordWrap/>
        <w:topLinePunct w:val="0"/>
        <w:bidi w:val="0"/>
        <w:spacing w:line="400" w:lineRule="exact"/>
        <w:ind w:left="25" w:leftChars="12" w:firstLine="413" w:firstLineChars="196"/>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五、与投诉事项相关的投诉请求：</w:t>
      </w:r>
    </w:p>
    <w:p w14:paraId="340BF565">
      <w:pPr>
        <w:keepNext w:val="0"/>
        <w:keepLines w:val="0"/>
        <w:pageBreakBefore w:val="0"/>
        <w:widowControl w:val="0"/>
        <w:wordWrap/>
        <w:topLinePunct w:val="0"/>
        <w:bidi w:val="0"/>
        <w:spacing w:line="400" w:lineRule="exact"/>
        <w:ind w:left="25" w:leftChars="12" w:firstLine="413" w:firstLineChars="197"/>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请求：</w:t>
      </w:r>
    </w:p>
    <w:p w14:paraId="1A3E5BD9">
      <w:pPr>
        <w:keepNext w:val="0"/>
        <w:keepLines w:val="0"/>
        <w:pageBreakBefore w:val="0"/>
        <w:widowControl w:val="0"/>
        <w:wordWrap/>
        <w:topLinePunct w:val="0"/>
        <w:bidi w:val="0"/>
        <w:spacing w:line="400" w:lineRule="exact"/>
        <w:ind w:left="25" w:leftChars="12" w:firstLine="308" w:firstLineChars="147"/>
        <w:rPr>
          <w:rFonts w:hint="eastAsia" w:ascii="宋体" w:hAnsi="宋体" w:eastAsia="宋体" w:cs="宋体"/>
          <w:color w:val="auto"/>
          <w:kern w:val="0"/>
          <w:szCs w:val="21"/>
          <w:highlight w:val="none"/>
        </w:rPr>
      </w:pPr>
    </w:p>
    <w:p w14:paraId="4F58EA92">
      <w:pPr>
        <w:keepNext w:val="0"/>
        <w:keepLines w:val="0"/>
        <w:pageBreakBefore w:val="0"/>
        <w:widowControl w:val="0"/>
        <w:wordWrap/>
        <w:topLinePunct w:val="0"/>
        <w:bidi w:val="0"/>
        <w:spacing w:line="400" w:lineRule="exact"/>
        <w:ind w:left="25" w:leftChars="12" w:firstLine="413" w:firstLineChars="197"/>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签字（签章）：                                       公章：</w:t>
      </w:r>
    </w:p>
    <w:p w14:paraId="63814ED5">
      <w:pPr>
        <w:keepNext w:val="0"/>
        <w:keepLines w:val="0"/>
        <w:pageBreakBefore w:val="0"/>
        <w:widowControl w:val="0"/>
        <w:wordWrap/>
        <w:topLinePunct w:val="0"/>
        <w:bidi w:val="0"/>
        <w:spacing w:line="400" w:lineRule="exact"/>
        <w:ind w:left="25" w:leftChars="12" w:firstLine="308" w:firstLineChars="147"/>
        <w:rPr>
          <w:rFonts w:hint="eastAsia" w:ascii="宋体" w:hAnsi="宋体" w:eastAsia="宋体" w:cs="宋体"/>
          <w:color w:val="auto"/>
          <w:kern w:val="0"/>
          <w:szCs w:val="21"/>
          <w:highlight w:val="none"/>
        </w:rPr>
      </w:pPr>
    </w:p>
    <w:p w14:paraId="72EB8233">
      <w:pPr>
        <w:keepNext w:val="0"/>
        <w:keepLines w:val="0"/>
        <w:pageBreakBefore w:val="0"/>
        <w:widowControl w:val="0"/>
        <w:wordWrap/>
        <w:topLinePunct w:val="0"/>
        <w:bidi w:val="0"/>
        <w:spacing w:line="400" w:lineRule="exact"/>
        <w:ind w:left="25" w:leftChars="12" w:firstLine="413" w:firstLineChars="197"/>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日期：</w:t>
      </w:r>
    </w:p>
    <w:p w14:paraId="382BC56B">
      <w:pPr>
        <w:keepNext w:val="0"/>
        <w:keepLines w:val="0"/>
        <w:pageBreakBefore w:val="0"/>
        <w:widowControl w:val="0"/>
        <w:wordWrap/>
        <w:topLinePunct w:val="0"/>
        <w:bidi w:val="0"/>
        <w:spacing w:line="360" w:lineRule="exact"/>
        <w:ind w:left="25" w:leftChars="12" w:firstLine="413" w:firstLineChars="197"/>
        <w:rPr>
          <w:rFonts w:hint="eastAsia" w:ascii="宋体" w:hAnsi="宋体" w:eastAsia="宋体" w:cs="宋体"/>
          <w:color w:val="auto"/>
          <w:kern w:val="0"/>
          <w:szCs w:val="21"/>
          <w:highlight w:val="none"/>
        </w:rPr>
      </w:pPr>
    </w:p>
    <w:p w14:paraId="737046DA">
      <w:pPr>
        <w:keepNext w:val="0"/>
        <w:keepLines w:val="0"/>
        <w:pageBreakBefore w:val="0"/>
        <w:widowControl w:val="0"/>
        <w:wordWrap/>
        <w:topLinePunct w:val="0"/>
        <w:bidi w:val="0"/>
        <w:snapToGrid w:val="0"/>
        <w:spacing w:line="340" w:lineRule="exact"/>
        <w:rPr>
          <w:rFonts w:hint="eastAsia" w:ascii="宋体" w:hAnsi="宋体" w:eastAsia="宋体" w:cs="宋体"/>
          <w:b/>
          <w:color w:val="auto"/>
          <w:kern w:val="0"/>
          <w:szCs w:val="21"/>
          <w:highlight w:val="none"/>
        </w:rPr>
      </w:pPr>
    </w:p>
    <w:p w14:paraId="11C22716">
      <w:pPr>
        <w:keepNext w:val="0"/>
        <w:keepLines w:val="0"/>
        <w:pageBreakBefore w:val="0"/>
        <w:widowControl w:val="0"/>
        <w:wordWrap/>
        <w:topLinePunct w:val="0"/>
        <w:bidi w:val="0"/>
        <w:snapToGrid w:val="0"/>
        <w:spacing w:line="340" w:lineRule="exact"/>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说明：</w:t>
      </w:r>
    </w:p>
    <w:p w14:paraId="08158299">
      <w:pPr>
        <w:keepNext w:val="0"/>
        <w:keepLines w:val="0"/>
        <w:pageBreakBefore w:val="0"/>
        <w:widowControl w:val="0"/>
        <w:wordWrap/>
        <w:topLinePunct w:val="0"/>
        <w:bidi w:val="0"/>
        <w:spacing w:line="340" w:lineRule="exact"/>
        <w:ind w:left="25" w:leftChars="12" w:firstLine="310" w:firstLineChars="147"/>
        <w:rPr>
          <w:rFonts w:hint="eastAsia" w:ascii="宋体" w:hAnsi="宋体" w:eastAsia="宋体" w:cs="宋体"/>
          <w:b/>
          <w:bCs/>
          <w:color w:val="auto"/>
          <w:kern w:val="0"/>
          <w:highlight w:val="none"/>
        </w:rPr>
      </w:pPr>
      <w:r>
        <w:rPr>
          <w:rFonts w:hint="eastAsia" w:ascii="宋体" w:hAnsi="宋体" w:eastAsia="宋体" w:cs="宋体"/>
          <w:b/>
          <w:color w:val="auto"/>
          <w:kern w:val="0"/>
          <w:szCs w:val="21"/>
          <w:highlight w:val="none"/>
        </w:rPr>
        <w:t>1.投诉人提起投诉时，应当提交投诉书和必要的证明材料，并按照被投诉人和与投诉事项有关的供应商数量提供投诉书副本</w:t>
      </w:r>
      <w:r>
        <w:rPr>
          <w:rFonts w:hint="eastAsia" w:ascii="宋体" w:hAnsi="宋体" w:eastAsia="宋体" w:cs="宋体"/>
          <w:b/>
          <w:bCs/>
          <w:color w:val="auto"/>
          <w:kern w:val="0"/>
          <w:highlight w:val="none"/>
        </w:rPr>
        <w:t>。</w:t>
      </w:r>
    </w:p>
    <w:p w14:paraId="213347C1">
      <w:pPr>
        <w:keepNext w:val="0"/>
        <w:keepLines w:val="0"/>
        <w:pageBreakBefore w:val="0"/>
        <w:widowControl w:val="0"/>
        <w:wordWrap/>
        <w:topLinePunct w:val="0"/>
        <w:bidi w:val="0"/>
        <w:spacing w:line="340" w:lineRule="exact"/>
        <w:ind w:left="25" w:leftChars="12" w:firstLine="310" w:firstLineChars="147"/>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3F71363">
      <w:pPr>
        <w:keepNext w:val="0"/>
        <w:keepLines w:val="0"/>
        <w:pageBreakBefore w:val="0"/>
        <w:widowControl w:val="0"/>
        <w:wordWrap/>
        <w:topLinePunct w:val="0"/>
        <w:bidi w:val="0"/>
        <w:spacing w:line="340" w:lineRule="exact"/>
        <w:ind w:left="25" w:leftChars="12" w:firstLine="310" w:firstLineChars="147"/>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3.投诉书应简要列明质疑事项，质疑函、质疑答复等作为附件材料提供。</w:t>
      </w:r>
    </w:p>
    <w:p w14:paraId="20E5B04A">
      <w:pPr>
        <w:keepNext w:val="0"/>
        <w:keepLines w:val="0"/>
        <w:pageBreakBefore w:val="0"/>
        <w:widowControl w:val="0"/>
        <w:wordWrap/>
        <w:topLinePunct w:val="0"/>
        <w:bidi w:val="0"/>
        <w:spacing w:line="340" w:lineRule="exact"/>
        <w:ind w:left="25" w:leftChars="12" w:firstLine="310" w:firstLineChars="147"/>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4.投诉书的投诉事项应具体、明确，并有必要的事实依据和法律依据。</w:t>
      </w:r>
    </w:p>
    <w:p w14:paraId="3BE190D3">
      <w:pPr>
        <w:keepNext w:val="0"/>
        <w:keepLines w:val="0"/>
        <w:pageBreakBefore w:val="0"/>
        <w:widowControl w:val="0"/>
        <w:wordWrap/>
        <w:topLinePunct w:val="0"/>
        <w:bidi w:val="0"/>
        <w:spacing w:line="340" w:lineRule="exact"/>
        <w:ind w:left="25" w:leftChars="12" w:firstLine="310" w:firstLineChars="147"/>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5.投诉书的投诉请求应与投诉事项相关。</w:t>
      </w:r>
    </w:p>
    <w:p w14:paraId="4F751CDF">
      <w:pPr>
        <w:keepNext w:val="0"/>
        <w:keepLines w:val="0"/>
        <w:pageBreakBefore w:val="0"/>
        <w:widowControl w:val="0"/>
        <w:wordWrap/>
        <w:topLinePunct w:val="0"/>
        <w:bidi w:val="0"/>
        <w:spacing w:line="340" w:lineRule="exact"/>
        <w:ind w:left="25" w:leftChars="12" w:firstLine="310" w:firstLineChars="147"/>
        <w:rPr>
          <w:rFonts w:hint="eastAsia" w:ascii="宋体" w:hAnsi="宋体" w:eastAsia="宋体" w:cs="宋体"/>
          <w:b/>
          <w:color w:val="auto"/>
          <w:szCs w:val="21"/>
          <w:highlight w:val="none"/>
        </w:rPr>
      </w:pPr>
      <w:r>
        <w:rPr>
          <w:rFonts w:hint="eastAsia" w:ascii="宋体" w:hAnsi="宋体" w:eastAsia="宋体" w:cs="宋体"/>
          <w:b/>
          <w:color w:val="auto"/>
          <w:kern w:val="0"/>
          <w:szCs w:val="21"/>
          <w:highlight w:val="none"/>
        </w:rPr>
        <w:t>6.</w:t>
      </w:r>
      <w:r>
        <w:rPr>
          <w:rFonts w:hint="eastAsia" w:ascii="宋体" w:hAnsi="宋体" w:eastAsia="宋体" w:cs="宋体"/>
          <w:b/>
          <w:color w:val="auto"/>
          <w:szCs w:val="21"/>
          <w:highlight w:val="none"/>
        </w:rPr>
        <w:t>投诉人为法人或者其他组织的，投诉书应由法定代表人、主要负责人，或者其授权代表签字或者盖章，并加盖公章。</w:t>
      </w:r>
    </w:p>
    <w:p w14:paraId="11F9DCB9">
      <w:pPr>
        <w:keepNext w:val="0"/>
        <w:keepLines w:val="0"/>
        <w:pageBreakBefore w:val="0"/>
        <w:widowControl w:val="0"/>
        <w:wordWrap/>
        <w:topLinePunct w:val="0"/>
        <w:bidi w:val="0"/>
        <w:spacing w:line="340" w:lineRule="exact"/>
        <w:ind w:left="25" w:leftChars="12" w:firstLine="310" w:firstLineChars="147"/>
        <w:rPr>
          <w:rFonts w:hAnsi="宋体"/>
          <w:b/>
          <w:color w:val="auto"/>
          <w:kern w:val="0"/>
          <w:szCs w:val="21"/>
          <w:highlight w:val="none"/>
        </w:rPr>
      </w:pPr>
    </w:p>
    <w:p w14:paraId="3F29D063">
      <w:pPr>
        <w:rPr>
          <w:rFonts w:hint="eastAsia"/>
          <w:color w:val="auto"/>
          <w:sz w:val="32"/>
          <w:szCs w:val="32"/>
          <w:highlight w:val="none"/>
        </w:rPr>
      </w:pPr>
      <w:bookmarkStart w:id="139" w:name="_Toc28939"/>
      <w:bookmarkStart w:id="140" w:name="_Toc2989"/>
      <w:r>
        <w:rPr>
          <w:rFonts w:hint="eastAsia"/>
          <w:color w:val="auto"/>
          <w:sz w:val="32"/>
          <w:szCs w:val="32"/>
          <w:highlight w:val="none"/>
        </w:rPr>
        <w:br w:type="page"/>
      </w:r>
    </w:p>
    <w:p w14:paraId="337369E0">
      <w:pPr>
        <w:pStyle w:val="2"/>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outlineLvl w:val="0"/>
        <w:rPr>
          <w:rFonts w:hint="eastAsia" w:eastAsia="宋体"/>
          <w:color w:val="auto"/>
          <w:sz w:val="32"/>
          <w:szCs w:val="32"/>
          <w:highlight w:val="none"/>
          <w:lang w:eastAsia="zh-CN"/>
        </w:rPr>
      </w:pPr>
      <w:bookmarkStart w:id="141" w:name="_Toc5924"/>
      <w:r>
        <w:rPr>
          <w:rFonts w:hint="eastAsia"/>
          <w:color w:val="auto"/>
          <w:sz w:val="32"/>
          <w:szCs w:val="32"/>
          <w:highlight w:val="none"/>
        </w:rPr>
        <w:t xml:space="preserve">第三章 </w:t>
      </w:r>
      <w:r>
        <w:rPr>
          <w:rFonts w:hint="eastAsia"/>
          <w:color w:val="auto"/>
          <w:sz w:val="32"/>
          <w:szCs w:val="32"/>
          <w:highlight w:val="none"/>
          <w:lang w:eastAsia="zh-CN"/>
        </w:rPr>
        <w:t>工程量清单</w:t>
      </w:r>
      <w:bookmarkEnd w:id="139"/>
      <w:bookmarkEnd w:id="141"/>
    </w:p>
    <w:p w14:paraId="7432A8C5">
      <w:pPr>
        <w:pStyle w:val="12"/>
        <w:keepNext w:val="0"/>
        <w:keepLines w:val="0"/>
        <w:pageBreakBefore w:val="0"/>
        <w:widowControl w:val="0"/>
        <w:wordWrap/>
        <w:topLinePunct w:val="0"/>
        <w:bidi w:val="0"/>
        <w:spacing w:line="400" w:lineRule="exact"/>
        <w:rPr>
          <w:rFonts w:hint="eastAsia" w:hAnsi="宋体" w:cs="宋体"/>
          <w:color w:val="auto"/>
          <w:kern w:val="21"/>
          <w:highlight w:val="none"/>
        </w:rPr>
      </w:pPr>
      <w:bookmarkStart w:id="142" w:name="_Toc160609998"/>
      <w:bookmarkStart w:id="143" w:name="_Toc164138057"/>
      <w:bookmarkStart w:id="144" w:name="_Toc194308407"/>
      <w:r>
        <w:rPr>
          <w:rFonts w:hint="eastAsia" w:hAnsi="宋体" w:cs="宋体"/>
          <w:b/>
          <w:color w:val="auto"/>
          <w:sz w:val="24"/>
          <w:szCs w:val="24"/>
          <w:highlight w:val="none"/>
        </w:rPr>
        <w:t>一、工程量清单说明</w:t>
      </w:r>
      <w:bookmarkEnd w:id="142"/>
      <w:bookmarkEnd w:id="143"/>
      <w:r>
        <w:rPr>
          <w:rFonts w:hint="eastAsia" w:hAnsi="宋体" w:cs="宋体"/>
          <w:color w:val="auto"/>
          <w:kern w:val="21"/>
          <w:sz w:val="32"/>
          <w:szCs w:val="32"/>
          <w:highlight w:val="none"/>
        </w:rPr>
        <w:t>：</w:t>
      </w:r>
      <w:bookmarkEnd w:id="144"/>
      <w:r>
        <w:rPr>
          <w:rFonts w:hint="eastAsia" w:hAnsi="宋体" w:cs="宋体"/>
          <w:color w:val="auto"/>
          <w:kern w:val="21"/>
          <w:highlight w:val="none"/>
        </w:rPr>
        <w:t xml:space="preserve"> </w:t>
      </w:r>
    </w:p>
    <w:p w14:paraId="1ABE2EF0">
      <w:pPr>
        <w:keepNext w:val="0"/>
        <w:keepLines w:val="0"/>
        <w:pageBreakBefore w:val="0"/>
        <w:widowControl w:val="0"/>
        <w:tabs>
          <w:tab w:val="left" w:pos="210"/>
        </w:tabs>
        <w:wordWrap/>
        <w:topLinePunct w:val="0"/>
        <w:bidi w:val="0"/>
        <w:spacing w:line="360" w:lineRule="exact"/>
        <w:ind w:left="420"/>
        <w:rPr>
          <w:rFonts w:hint="eastAsia" w:ascii="宋体" w:hAnsi="宋体" w:cs="宋体"/>
          <w:color w:val="auto"/>
          <w:szCs w:val="21"/>
          <w:highlight w:val="none"/>
          <w:lang w:eastAsia="zh-CN"/>
        </w:rPr>
      </w:pPr>
      <w:r>
        <w:rPr>
          <w:rFonts w:hint="eastAsia" w:hAnsi="宋体" w:cs="宋体"/>
          <w:color w:val="auto"/>
          <w:kern w:val="21"/>
          <w:highlight w:val="none"/>
          <w:lang w:eastAsia="zh-CN"/>
        </w:rPr>
        <w:t xml:space="preserve">  </w:t>
      </w:r>
      <w:r>
        <w:rPr>
          <w:rFonts w:hint="eastAsia" w:ascii="宋体" w:hAnsi="宋体" w:cs="宋体"/>
          <w:color w:val="auto"/>
          <w:szCs w:val="21"/>
          <w:highlight w:val="none"/>
          <w:lang w:eastAsia="zh-CN"/>
        </w:rPr>
        <w:t>1、工程概况：</w:t>
      </w:r>
    </w:p>
    <w:p w14:paraId="53060176">
      <w:pPr>
        <w:keepNext w:val="0"/>
        <w:keepLines w:val="0"/>
        <w:pageBreakBefore w:val="0"/>
        <w:widowControl w:val="0"/>
        <w:tabs>
          <w:tab w:val="left" w:pos="210"/>
        </w:tabs>
        <w:wordWrap/>
        <w:topLinePunct w:val="0"/>
        <w:bidi w:val="0"/>
        <w:spacing w:line="360" w:lineRule="exact"/>
        <w:ind w:left="840" w:leftChars="0" w:firstLine="0" w:firstLineChars="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工程名称：灌阳县公安局城关派出所改造提升项目；</w:t>
      </w:r>
    </w:p>
    <w:p w14:paraId="49FAE20B">
      <w:pPr>
        <w:keepNext w:val="0"/>
        <w:keepLines w:val="0"/>
        <w:pageBreakBefore w:val="0"/>
        <w:widowControl w:val="0"/>
        <w:tabs>
          <w:tab w:val="left" w:pos="210"/>
        </w:tabs>
        <w:wordWrap/>
        <w:topLinePunct w:val="0"/>
        <w:bidi w:val="0"/>
        <w:spacing w:line="360" w:lineRule="exact"/>
        <w:ind w:left="420"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eastAsia="zh-CN"/>
        </w:rPr>
        <w:t>本工程主要</w:t>
      </w:r>
      <w:r>
        <w:rPr>
          <w:rFonts w:hint="eastAsia" w:ascii="宋体" w:hAnsi="宋体" w:cs="宋体"/>
          <w:color w:val="auto"/>
          <w:szCs w:val="21"/>
          <w:highlight w:val="none"/>
          <w:lang w:val="en-US" w:eastAsia="zh-CN"/>
        </w:rPr>
        <w:t>内容</w:t>
      </w:r>
      <w:r>
        <w:rPr>
          <w:rFonts w:hint="eastAsia" w:ascii="宋体" w:hAnsi="宋体" w:cs="宋体"/>
          <w:color w:val="auto"/>
          <w:szCs w:val="21"/>
          <w:highlight w:val="none"/>
          <w:lang w:eastAsia="zh-CN"/>
        </w:rPr>
        <w:t>为：本工程改造两栋楼分别为业务用房和备勤楼，改造面积分别为1224.79m²和630.13m，改造总面积为1854.92m²。改造内容包括室内改造、外立面改造和扩建业务用房顶层备勤室；具体详见施工图纸及工程量清单。</w:t>
      </w:r>
    </w:p>
    <w:p w14:paraId="0A27DD50">
      <w:pPr>
        <w:keepNext w:val="0"/>
        <w:keepLines w:val="0"/>
        <w:pageBreakBefore w:val="0"/>
        <w:widowControl w:val="0"/>
        <w:tabs>
          <w:tab w:val="left" w:pos="210"/>
        </w:tabs>
        <w:wordWrap/>
        <w:topLinePunct w:val="0"/>
        <w:bidi w:val="0"/>
        <w:spacing w:line="360" w:lineRule="exact"/>
        <w:ind w:left="42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 xml:space="preserve">  </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、编制依据：</w:t>
      </w:r>
    </w:p>
    <w:p w14:paraId="4C989A0C">
      <w:pPr>
        <w:keepNext w:val="0"/>
        <w:keepLines w:val="0"/>
        <w:pageBreakBefore w:val="0"/>
        <w:widowControl w:val="0"/>
        <w:tabs>
          <w:tab w:val="left" w:pos="210"/>
        </w:tabs>
        <w:wordWrap/>
        <w:topLinePunct w:val="0"/>
        <w:bidi w:val="0"/>
        <w:spacing w:line="360" w:lineRule="exact"/>
        <w:ind w:left="420"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1）建设单位提供的《灌阳县公安局城关派出所改造提升项目》预算图纸；</w:t>
      </w:r>
      <w:r>
        <w:rPr>
          <w:rFonts w:hint="eastAsia" w:ascii="宋体" w:hAnsi="宋体" w:cs="宋体"/>
          <w:color w:val="auto"/>
          <w:szCs w:val="21"/>
          <w:highlight w:val="none"/>
          <w:lang w:val="en-US" w:eastAsia="zh-CN"/>
        </w:rPr>
        <w:tab/>
      </w:r>
    </w:p>
    <w:p w14:paraId="0CA79369">
      <w:pPr>
        <w:keepNext w:val="0"/>
        <w:keepLines w:val="0"/>
        <w:pageBreakBefore w:val="0"/>
        <w:widowControl w:val="0"/>
        <w:tabs>
          <w:tab w:val="left" w:pos="210"/>
        </w:tabs>
        <w:wordWrap/>
        <w:topLinePunct w:val="0"/>
        <w:bidi w:val="0"/>
        <w:spacing w:line="360" w:lineRule="exact"/>
        <w:ind w:left="420"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2）（GB50500-2013）《建设工程工程量清单计价规范》广西壮族自治区实施细则 ；</w:t>
      </w:r>
      <w:r>
        <w:rPr>
          <w:rFonts w:hint="eastAsia" w:ascii="宋体" w:hAnsi="宋体" w:cs="宋体"/>
          <w:color w:val="auto"/>
          <w:szCs w:val="21"/>
          <w:highlight w:val="none"/>
          <w:lang w:val="en-US" w:eastAsia="zh-CN"/>
        </w:rPr>
        <w:tab/>
      </w:r>
    </w:p>
    <w:p w14:paraId="754912E8">
      <w:pPr>
        <w:keepNext w:val="0"/>
        <w:keepLines w:val="0"/>
        <w:pageBreakBefore w:val="0"/>
        <w:widowControl w:val="0"/>
        <w:tabs>
          <w:tab w:val="left" w:pos="210"/>
        </w:tabs>
        <w:wordWrap/>
        <w:topLinePunct w:val="0"/>
        <w:bidi w:val="0"/>
        <w:spacing w:line="360" w:lineRule="exact"/>
        <w:ind w:left="420"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3）（GB50854~50862-2013）《建设工程工程量计算规范广西壮族自治区实施细则(修订本)》；</w:t>
      </w:r>
      <w:r>
        <w:rPr>
          <w:rFonts w:hint="eastAsia" w:ascii="宋体" w:hAnsi="宋体" w:cs="宋体"/>
          <w:color w:val="auto"/>
          <w:szCs w:val="21"/>
          <w:highlight w:val="none"/>
          <w:lang w:val="en-US" w:eastAsia="zh-CN"/>
        </w:rPr>
        <w:tab/>
      </w:r>
      <w:r>
        <w:rPr>
          <w:rFonts w:hint="eastAsia" w:ascii="宋体" w:hAnsi="宋体" w:cs="宋体"/>
          <w:color w:val="auto"/>
          <w:szCs w:val="21"/>
          <w:highlight w:val="none"/>
          <w:lang w:val="en-US" w:eastAsia="zh-CN"/>
        </w:rPr>
        <w:t>4）《广西壮族自治区建设工程全过程计价规范》(桂建价(2025)1号)；</w:t>
      </w:r>
      <w:r>
        <w:rPr>
          <w:rFonts w:hint="eastAsia" w:ascii="宋体" w:hAnsi="宋体" w:cs="宋体"/>
          <w:color w:val="auto"/>
          <w:szCs w:val="21"/>
          <w:highlight w:val="none"/>
          <w:lang w:val="en-US" w:eastAsia="zh-CN"/>
        </w:rPr>
        <w:tab/>
      </w:r>
    </w:p>
    <w:p w14:paraId="01FF3C90">
      <w:pPr>
        <w:keepNext w:val="0"/>
        <w:keepLines w:val="0"/>
        <w:pageBreakBefore w:val="0"/>
        <w:widowControl w:val="0"/>
        <w:tabs>
          <w:tab w:val="left" w:pos="210"/>
        </w:tabs>
        <w:wordWrap/>
        <w:topLinePunct w:val="0"/>
        <w:bidi w:val="0"/>
        <w:spacing w:line="360" w:lineRule="exact"/>
        <w:ind w:left="420"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5）《广西壮族自治区建设工程多层级工程量清单计算规范(房屋建筑与装饰工程)》(桂建价(2025)1号)；</w:t>
      </w:r>
      <w:r>
        <w:rPr>
          <w:rFonts w:hint="eastAsia" w:ascii="宋体" w:hAnsi="宋体" w:cs="宋体"/>
          <w:color w:val="auto"/>
          <w:szCs w:val="21"/>
          <w:highlight w:val="none"/>
          <w:lang w:val="en-US" w:eastAsia="zh-CN"/>
        </w:rPr>
        <w:tab/>
      </w:r>
    </w:p>
    <w:p w14:paraId="4D5187FF">
      <w:pPr>
        <w:keepNext w:val="0"/>
        <w:keepLines w:val="0"/>
        <w:pageBreakBefore w:val="0"/>
        <w:widowControl w:val="0"/>
        <w:tabs>
          <w:tab w:val="left" w:pos="210"/>
        </w:tabs>
        <w:wordWrap/>
        <w:topLinePunct w:val="0"/>
        <w:bidi w:val="0"/>
        <w:spacing w:line="360" w:lineRule="exact"/>
        <w:ind w:left="420"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6）《广西壮族自治区建设工程多层级工程量清单计算规范(通用安装工程)》(桂建价(2025)1号)；</w:t>
      </w:r>
      <w:r>
        <w:rPr>
          <w:rFonts w:hint="eastAsia" w:ascii="宋体" w:hAnsi="宋体" w:cs="宋体"/>
          <w:color w:val="auto"/>
          <w:szCs w:val="21"/>
          <w:highlight w:val="none"/>
          <w:lang w:val="en-US" w:eastAsia="zh-CN"/>
        </w:rPr>
        <w:tab/>
      </w:r>
    </w:p>
    <w:p w14:paraId="3E7F5582">
      <w:pPr>
        <w:keepNext w:val="0"/>
        <w:keepLines w:val="0"/>
        <w:pageBreakBefore w:val="0"/>
        <w:widowControl w:val="0"/>
        <w:tabs>
          <w:tab w:val="left" w:pos="210"/>
        </w:tabs>
        <w:wordWrap/>
        <w:topLinePunct w:val="0"/>
        <w:bidi w:val="0"/>
        <w:spacing w:line="360" w:lineRule="exact"/>
        <w:ind w:left="420"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7）《广西壮族自治区建设工程预算清单综合单价组价表(房屋建筑与装饰工程）》(桂建价(2025)2号)及市场询价:</w:t>
      </w:r>
      <w:r>
        <w:rPr>
          <w:rFonts w:hint="eastAsia" w:ascii="宋体" w:hAnsi="宋体" w:cs="宋体"/>
          <w:color w:val="auto"/>
          <w:szCs w:val="21"/>
          <w:highlight w:val="none"/>
          <w:lang w:val="en-US" w:eastAsia="zh-CN"/>
        </w:rPr>
        <w:tab/>
      </w:r>
    </w:p>
    <w:p w14:paraId="5A341241">
      <w:pPr>
        <w:keepNext w:val="0"/>
        <w:keepLines w:val="0"/>
        <w:pageBreakBefore w:val="0"/>
        <w:widowControl w:val="0"/>
        <w:tabs>
          <w:tab w:val="left" w:pos="210"/>
        </w:tabs>
        <w:wordWrap/>
        <w:topLinePunct w:val="0"/>
        <w:bidi w:val="0"/>
        <w:spacing w:line="360" w:lineRule="exact"/>
        <w:ind w:left="420"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8）《广西壮族自治区建设工程预算清单综合单价组价表(通用安装工程)》(桂建价(2025)2号)及市场询价</w:t>
      </w:r>
      <w:r>
        <w:rPr>
          <w:rFonts w:hint="eastAsia" w:ascii="宋体" w:hAnsi="宋体" w:cs="宋体"/>
          <w:color w:val="auto"/>
          <w:szCs w:val="21"/>
          <w:highlight w:val="none"/>
          <w:lang w:val="en-US" w:eastAsia="zh-CN"/>
        </w:rPr>
        <w:tab/>
      </w:r>
    </w:p>
    <w:p w14:paraId="16B078B3">
      <w:pPr>
        <w:keepNext w:val="0"/>
        <w:keepLines w:val="0"/>
        <w:pageBreakBefore w:val="0"/>
        <w:widowControl w:val="0"/>
        <w:tabs>
          <w:tab w:val="left" w:pos="210"/>
        </w:tabs>
        <w:wordWrap/>
        <w:topLinePunct w:val="0"/>
        <w:bidi w:val="0"/>
        <w:spacing w:line="360" w:lineRule="exact"/>
        <w:ind w:left="420"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9）2024年《广西壮族自治区建筑装饰装修工程消耗量及费用定额》；</w:t>
      </w:r>
      <w:r>
        <w:rPr>
          <w:rFonts w:hint="eastAsia" w:ascii="宋体" w:hAnsi="宋体" w:cs="宋体"/>
          <w:color w:val="auto"/>
          <w:szCs w:val="21"/>
          <w:highlight w:val="none"/>
          <w:lang w:val="en-US" w:eastAsia="zh-CN"/>
        </w:rPr>
        <w:tab/>
      </w:r>
    </w:p>
    <w:p w14:paraId="384A400C">
      <w:pPr>
        <w:keepNext w:val="0"/>
        <w:keepLines w:val="0"/>
        <w:pageBreakBefore w:val="0"/>
        <w:widowControl w:val="0"/>
        <w:tabs>
          <w:tab w:val="left" w:pos="210"/>
        </w:tabs>
        <w:wordWrap/>
        <w:topLinePunct w:val="0"/>
        <w:bidi w:val="0"/>
        <w:spacing w:line="360" w:lineRule="exact"/>
        <w:ind w:left="420"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10）2023年《广西壮族自治区安装工程消耗量及费用定额》；</w:t>
      </w:r>
      <w:r>
        <w:rPr>
          <w:rFonts w:hint="eastAsia" w:ascii="宋体" w:hAnsi="宋体" w:cs="宋体"/>
          <w:color w:val="auto"/>
          <w:szCs w:val="21"/>
          <w:highlight w:val="none"/>
          <w:lang w:val="en-US" w:eastAsia="zh-CN"/>
        </w:rPr>
        <w:tab/>
      </w:r>
    </w:p>
    <w:p w14:paraId="541517CF">
      <w:pPr>
        <w:keepNext w:val="0"/>
        <w:keepLines w:val="0"/>
        <w:pageBreakBefore w:val="0"/>
        <w:widowControl w:val="0"/>
        <w:tabs>
          <w:tab w:val="left" w:pos="210"/>
        </w:tabs>
        <w:wordWrap/>
        <w:topLinePunct w:val="0"/>
        <w:bidi w:val="0"/>
        <w:spacing w:line="360" w:lineRule="exact"/>
        <w:ind w:left="420"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11）2024年《广西壮族自治区建筑工程拆除消耗量及费用定额》；</w:t>
      </w:r>
      <w:r>
        <w:rPr>
          <w:rFonts w:hint="eastAsia" w:ascii="宋体" w:hAnsi="宋体" w:cs="宋体"/>
          <w:color w:val="auto"/>
          <w:szCs w:val="21"/>
          <w:highlight w:val="none"/>
          <w:lang w:val="en-US" w:eastAsia="zh-CN"/>
        </w:rPr>
        <w:tab/>
      </w:r>
    </w:p>
    <w:p w14:paraId="422986A2">
      <w:pPr>
        <w:keepNext w:val="0"/>
        <w:keepLines w:val="0"/>
        <w:pageBreakBefore w:val="0"/>
        <w:widowControl w:val="0"/>
        <w:tabs>
          <w:tab w:val="left" w:pos="210"/>
        </w:tabs>
        <w:wordWrap/>
        <w:topLinePunct w:val="0"/>
        <w:bidi w:val="0"/>
        <w:spacing w:line="360" w:lineRule="exact"/>
        <w:ind w:left="420"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12）2013年《广西壮族自治区安装拆除工程消耗量及费用定额》；</w:t>
      </w:r>
      <w:r>
        <w:rPr>
          <w:rFonts w:hint="eastAsia" w:ascii="宋体" w:hAnsi="宋体" w:cs="宋体"/>
          <w:color w:val="auto"/>
          <w:szCs w:val="21"/>
          <w:highlight w:val="none"/>
          <w:lang w:val="en-US" w:eastAsia="zh-CN"/>
        </w:rPr>
        <w:tab/>
      </w:r>
    </w:p>
    <w:p w14:paraId="349CFA56">
      <w:pPr>
        <w:keepNext w:val="0"/>
        <w:keepLines w:val="0"/>
        <w:pageBreakBefore w:val="0"/>
        <w:widowControl w:val="0"/>
        <w:tabs>
          <w:tab w:val="left" w:pos="210"/>
        </w:tabs>
        <w:wordWrap/>
        <w:topLinePunct w:val="0"/>
        <w:bidi w:val="0"/>
        <w:spacing w:line="360" w:lineRule="exact"/>
        <w:ind w:left="420"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13）《关于调整除税价计算适用增值税税率的通知》（桂造价【2019】10号）；</w:t>
      </w:r>
      <w:r>
        <w:rPr>
          <w:rFonts w:hint="eastAsia" w:ascii="宋体" w:hAnsi="宋体" w:cs="宋体"/>
          <w:color w:val="auto"/>
          <w:szCs w:val="21"/>
          <w:highlight w:val="none"/>
          <w:lang w:val="en-US" w:eastAsia="zh-CN"/>
        </w:rPr>
        <w:tab/>
      </w:r>
    </w:p>
    <w:p w14:paraId="2C0D86C5">
      <w:pPr>
        <w:keepNext w:val="0"/>
        <w:keepLines w:val="0"/>
        <w:pageBreakBefore w:val="0"/>
        <w:widowControl w:val="0"/>
        <w:tabs>
          <w:tab w:val="left" w:pos="210"/>
        </w:tabs>
        <w:wordWrap/>
        <w:topLinePunct w:val="0"/>
        <w:bidi w:val="0"/>
        <w:spacing w:line="360" w:lineRule="exact"/>
        <w:ind w:left="420"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14）《自治区住房城乡建设厅关于调整建设工程定额人工费及有关费率的通知》（桂建标【2023】7号）；</w:t>
      </w:r>
      <w:r>
        <w:rPr>
          <w:rFonts w:hint="eastAsia" w:ascii="宋体" w:hAnsi="宋体" w:cs="宋体"/>
          <w:color w:val="auto"/>
          <w:szCs w:val="21"/>
          <w:highlight w:val="none"/>
          <w:lang w:val="en-US" w:eastAsia="zh-CN"/>
        </w:rPr>
        <w:tab/>
      </w:r>
    </w:p>
    <w:p w14:paraId="218489B0">
      <w:pPr>
        <w:keepNext w:val="0"/>
        <w:keepLines w:val="0"/>
        <w:pageBreakBefore w:val="0"/>
        <w:widowControl w:val="0"/>
        <w:tabs>
          <w:tab w:val="left" w:pos="210"/>
        </w:tabs>
        <w:wordWrap/>
        <w:topLinePunct w:val="0"/>
        <w:bidi w:val="0"/>
        <w:spacing w:line="360" w:lineRule="exact"/>
        <w:ind w:left="420"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15）桂建价【2024】2号《广西壮族自治区房屋建筑和市政基础设施工程安全生产责任保险费计价规定的通知》。</w:t>
      </w:r>
      <w:r>
        <w:rPr>
          <w:rFonts w:hint="eastAsia" w:ascii="宋体" w:hAnsi="宋体" w:cs="宋体"/>
          <w:color w:val="auto"/>
          <w:szCs w:val="21"/>
          <w:highlight w:val="none"/>
          <w:lang w:val="en-US" w:eastAsia="zh-CN"/>
        </w:rPr>
        <w:tab/>
      </w:r>
    </w:p>
    <w:p w14:paraId="30B518A4">
      <w:pPr>
        <w:keepNext w:val="0"/>
        <w:keepLines w:val="0"/>
        <w:pageBreakBefore w:val="0"/>
        <w:widowControl w:val="0"/>
        <w:tabs>
          <w:tab w:val="left" w:pos="210"/>
        </w:tabs>
        <w:wordWrap/>
        <w:topLinePunct w:val="0"/>
        <w:bidi w:val="0"/>
        <w:spacing w:line="360" w:lineRule="exact"/>
        <w:ind w:left="420"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16）材料价格按2026年第6期《桂林市建设工程造价信息》桂林市信息价计取，桂林市灌阳县信息价没有的材料价格按同期桂林市信息价和其他市的信息价或者市场询价计取。</w:t>
      </w:r>
      <w:r>
        <w:rPr>
          <w:rFonts w:hint="eastAsia" w:ascii="宋体" w:hAnsi="宋体" w:cs="宋体"/>
          <w:color w:val="auto"/>
          <w:szCs w:val="21"/>
          <w:highlight w:val="none"/>
          <w:lang w:val="en-US" w:eastAsia="zh-CN"/>
        </w:rPr>
        <w:tab/>
      </w:r>
    </w:p>
    <w:p w14:paraId="60D70F74">
      <w:pPr>
        <w:pStyle w:val="12"/>
        <w:keepNext w:val="0"/>
        <w:keepLines w:val="0"/>
        <w:pageBreakBefore w:val="0"/>
        <w:widowControl w:val="0"/>
        <w:wordWrap/>
        <w:topLinePunct w:val="0"/>
        <w:bidi w:val="0"/>
        <w:spacing w:line="400" w:lineRule="exact"/>
        <w:rPr>
          <w:rFonts w:hint="eastAsia" w:hAnsi="宋体" w:cs="宋体"/>
          <w:b/>
          <w:color w:val="auto"/>
          <w:sz w:val="24"/>
          <w:szCs w:val="24"/>
          <w:highlight w:val="none"/>
        </w:rPr>
      </w:pPr>
      <w:r>
        <w:rPr>
          <w:rFonts w:hint="eastAsia" w:hAnsi="宋体" w:cs="宋体"/>
          <w:b/>
          <w:color w:val="auto"/>
          <w:sz w:val="24"/>
          <w:szCs w:val="24"/>
          <w:highlight w:val="none"/>
          <w:lang w:val="en-US" w:eastAsia="zh-CN"/>
        </w:rPr>
        <w:t>二</w:t>
      </w:r>
      <w:r>
        <w:rPr>
          <w:rFonts w:hint="eastAsia" w:hAnsi="宋体" w:cs="宋体"/>
          <w:b/>
          <w:color w:val="auto"/>
          <w:sz w:val="24"/>
          <w:szCs w:val="24"/>
          <w:highlight w:val="none"/>
        </w:rPr>
        <w:t>、</w:t>
      </w:r>
      <w:r>
        <w:rPr>
          <w:rFonts w:hint="eastAsia" w:hAnsi="宋体" w:cs="宋体"/>
          <w:b/>
          <w:color w:val="auto"/>
          <w:sz w:val="24"/>
          <w:szCs w:val="24"/>
          <w:highlight w:val="none"/>
          <w:lang w:val="en-US" w:eastAsia="zh-CN"/>
        </w:rPr>
        <w:t>磋商</w:t>
      </w:r>
      <w:r>
        <w:rPr>
          <w:rFonts w:hint="eastAsia" w:hAnsi="宋体" w:cs="宋体"/>
          <w:b/>
          <w:color w:val="auto"/>
          <w:sz w:val="24"/>
          <w:szCs w:val="24"/>
          <w:highlight w:val="none"/>
        </w:rPr>
        <w:t>报价说明</w:t>
      </w:r>
    </w:p>
    <w:p w14:paraId="17954399">
      <w:pPr>
        <w:tabs>
          <w:tab w:val="left" w:pos="210"/>
        </w:tabs>
        <w:spacing w:line="400" w:lineRule="exact"/>
        <w:ind w:left="420" w:firstLine="420" w:firstLineChars="200"/>
        <w:rPr>
          <w:rFonts w:hint="eastAsia" w:ascii="宋体" w:hAnsi="宋体" w:cs="宋体"/>
          <w:color w:val="auto"/>
          <w:szCs w:val="21"/>
        </w:rPr>
      </w:pPr>
      <w:r>
        <w:rPr>
          <w:rFonts w:hint="eastAsia" w:ascii="宋体" w:hAnsi="宋体" w:cs="宋体"/>
          <w:color w:val="auto"/>
          <w:szCs w:val="21"/>
        </w:rPr>
        <w:t>1、有价标的工程量清单中的每一细目须填入单价和合价，且只允许有一个报价。供应商没有填写单价和合价的细目，其费用应视为已分配在相关工程细目的单价与合价之中。</w:t>
      </w:r>
    </w:p>
    <w:p w14:paraId="70AFD1EB">
      <w:pPr>
        <w:tabs>
          <w:tab w:val="left" w:pos="210"/>
        </w:tabs>
        <w:spacing w:line="400" w:lineRule="exact"/>
        <w:ind w:left="420" w:firstLine="420" w:firstLineChars="200"/>
        <w:rPr>
          <w:rFonts w:hint="eastAsia" w:ascii="宋体" w:hAnsi="宋体" w:cs="宋体"/>
          <w:color w:val="auto"/>
          <w:szCs w:val="21"/>
        </w:rPr>
      </w:pPr>
      <w:r>
        <w:rPr>
          <w:rFonts w:hint="eastAsia" w:ascii="宋体" w:hAnsi="宋体" w:cs="宋体"/>
          <w:color w:val="auto"/>
          <w:szCs w:val="21"/>
        </w:rPr>
        <w:t>2、工程量清单中的任何算术性错误，磋商小组将按下述原则予以调整。</w:t>
      </w:r>
    </w:p>
    <w:p w14:paraId="091BFFEE">
      <w:pPr>
        <w:tabs>
          <w:tab w:val="left" w:pos="210"/>
        </w:tabs>
        <w:spacing w:line="400" w:lineRule="exact"/>
        <w:ind w:left="420" w:firstLine="420" w:firstLineChars="200"/>
        <w:rPr>
          <w:rFonts w:hint="eastAsia" w:ascii="宋体" w:hAnsi="宋体" w:cs="宋体"/>
          <w:color w:val="auto"/>
          <w:szCs w:val="21"/>
        </w:rPr>
      </w:pPr>
      <w:r>
        <w:rPr>
          <w:rFonts w:hint="eastAsia" w:ascii="宋体" w:hAnsi="宋体" w:cs="宋体"/>
          <w:color w:val="auto"/>
          <w:szCs w:val="21"/>
        </w:rPr>
        <w:t>（1）如果用数字表示的数额与用文字表示的数额不一致时，以文字数额为准。</w:t>
      </w:r>
    </w:p>
    <w:p w14:paraId="4F3B05AA">
      <w:pPr>
        <w:tabs>
          <w:tab w:val="left" w:pos="210"/>
        </w:tabs>
        <w:spacing w:line="400" w:lineRule="exact"/>
        <w:ind w:left="420" w:firstLine="420" w:firstLineChars="200"/>
        <w:rPr>
          <w:rFonts w:hint="eastAsia" w:ascii="宋体" w:hAnsi="宋体" w:cs="宋体"/>
          <w:color w:val="auto"/>
          <w:szCs w:val="21"/>
        </w:rPr>
      </w:pPr>
      <w:r>
        <w:rPr>
          <w:rFonts w:hint="eastAsia" w:ascii="宋体" w:hAnsi="宋体" w:cs="宋体"/>
          <w:color w:val="auto"/>
          <w:szCs w:val="21"/>
        </w:rPr>
        <w:t>（2）当单价与数量的乘积与总额之间不一致时，通常以标出的单价为准，除非磋商小组认为有明显的小数点出错，此时应以标出的总额为准，并修改单价。</w:t>
      </w:r>
    </w:p>
    <w:p w14:paraId="530635BC">
      <w:pPr>
        <w:tabs>
          <w:tab w:val="left" w:pos="210"/>
        </w:tabs>
        <w:spacing w:line="400" w:lineRule="exact"/>
        <w:ind w:left="420" w:firstLine="420" w:firstLineChars="200"/>
        <w:rPr>
          <w:rFonts w:hint="eastAsia" w:ascii="宋体" w:hAnsi="宋体" w:cs="宋体"/>
          <w:color w:val="auto"/>
          <w:szCs w:val="21"/>
        </w:rPr>
      </w:pPr>
      <w:r>
        <w:rPr>
          <w:rFonts w:hint="eastAsia" w:ascii="宋体" w:hAnsi="宋体" w:cs="宋体"/>
          <w:color w:val="auto"/>
          <w:szCs w:val="21"/>
        </w:rPr>
        <w:t>3、供应商在进行工程量清单报价时，应按照采购人（采购代理机构）提供的工程量清单进行报价。</w:t>
      </w:r>
    </w:p>
    <w:p w14:paraId="7755B6B4">
      <w:pPr>
        <w:tabs>
          <w:tab w:val="left" w:pos="210"/>
        </w:tabs>
        <w:spacing w:line="400" w:lineRule="exact"/>
        <w:ind w:left="420" w:firstLine="420" w:firstLineChars="200"/>
        <w:rPr>
          <w:rFonts w:hint="eastAsia" w:ascii="宋体" w:hAnsi="宋体" w:cs="宋体"/>
          <w:color w:val="auto"/>
          <w:szCs w:val="21"/>
        </w:rPr>
      </w:pPr>
      <w:r>
        <w:rPr>
          <w:rFonts w:hint="eastAsia" w:ascii="宋体" w:hAnsi="宋体" w:cs="宋体"/>
          <w:color w:val="auto"/>
          <w:szCs w:val="21"/>
        </w:rPr>
        <w:t>已标价工程量清单中项目编码、项目名称、项目特征、计量单位、工程量必须与招标工程量清单一致，供应商不得对招标工程量清单项目进行增减调整，否则响应文件无效。</w:t>
      </w:r>
    </w:p>
    <w:p w14:paraId="1B4086CF">
      <w:pPr>
        <w:tabs>
          <w:tab w:val="left" w:pos="210"/>
        </w:tabs>
        <w:spacing w:line="400" w:lineRule="exact"/>
        <w:ind w:left="420" w:firstLine="420" w:firstLineChars="200"/>
        <w:rPr>
          <w:rFonts w:hint="eastAsia" w:ascii="宋体" w:hAnsi="宋体" w:cs="宋体"/>
          <w:color w:val="auto"/>
          <w:szCs w:val="21"/>
        </w:rPr>
      </w:pPr>
      <w:r>
        <w:rPr>
          <w:rFonts w:hint="eastAsia" w:ascii="宋体" w:hAnsi="宋体" w:cs="宋体"/>
          <w:color w:val="auto"/>
          <w:szCs w:val="21"/>
        </w:rPr>
        <w:t>4、供应商应认真对照施工设计图纸等文件核对采购人颁布的工程预算控制价，发现工程预算控制价中计算存在明显误差或有遗漏的，必须在响应文件递交截止时间 2 天前向采购人（采购代理机构）提出书面异议或修正要求。</w:t>
      </w:r>
    </w:p>
    <w:p w14:paraId="17C11C5A">
      <w:pPr>
        <w:tabs>
          <w:tab w:val="left" w:pos="210"/>
        </w:tabs>
        <w:spacing w:line="400" w:lineRule="exact"/>
        <w:ind w:left="420" w:firstLine="420" w:firstLineChars="200"/>
        <w:rPr>
          <w:rFonts w:hint="eastAsia" w:ascii="宋体" w:hAnsi="宋体" w:cs="宋体"/>
          <w:color w:val="auto"/>
          <w:szCs w:val="21"/>
        </w:rPr>
      </w:pPr>
      <w:r>
        <w:rPr>
          <w:rFonts w:hint="eastAsia" w:ascii="宋体" w:hAnsi="宋体" w:cs="宋体"/>
          <w:color w:val="auto"/>
          <w:szCs w:val="21"/>
        </w:rPr>
        <w:t>5、供应商应对磋商文件中工程量清单所列的各项内容和要求作实质性响应，报价不得低于企业成本。</w:t>
      </w:r>
    </w:p>
    <w:p w14:paraId="61C31FA9">
      <w:pPr>
        <w:tabs>
          <w:tab w:val="left" w:pos="210"/>
        </w:tabs>
        <w:spacing w:line="400" w:lineRule="exact"/>
        <w:ind w:left="420" w:firstLine="420" w:firstLineChars="200"/>
        <w:rPr>
          <w:rFonts w:hint="eastAsia" w:ascii="宋体" w:hAnsi="宋体" w:cs="宋体"/>
          <w:color w:val="auto"/>
          <w:szCs w:val="21"/>
        </w:rPr>
      </w:pPr>
      <w:r>
        <w:rPr>
          <w:rFonts w:hint="eastAsia" w:ascii="宋体" w:hAnsi="宋体" w:cs="宋体"/>
          <w:color w:val="auto"/>
          <w:szCs w:val="21"/>
        </w:rPr>
        <w:t>6、供应商应采用综合单价进行工程量清单报价，不得采用总价让利或以百分比让利等形式进行报价。</w:t>
      </w:r>
    </w:p>
    <w:p w14:paraId="1C64EB81">
      <w:pPr>
        <w:tabs>
          <w:tab w:val="left" w:pos="210"/>
        </w:tabs>
        <w:spacing w:line="400" w:lineRule="exact"/>
        <w:ind w:left="420" w:firstLine="420" w:firstLineChars="200"/>
        <w:rPr>
          <w:rFonts w:hint="eastAsia" w:ascii="宋体" w:hAnsi="宋体" w:cs="宋体"/>
          <w:color w:val="auto"/>
          <w:szCs w:val="21"/>
        </w:rPr>
      </w:pPr>
      <w:r>
        <w:rPr>
          <w:rFonts w:hint="eastAsia" w:ascii="宋体" w:hAnsi="宋体" w:cs="宋体"/>
          <w:color w:val="auto"/>
          <w:szCs w:val="21"/>
        </w:rPr>
        <w:t>7、暂列金额的数量及拟用子目的说明（如有）：应按采购人在其他项目清单中列出的金额填写，不得变动。</w:t>
      </w:r>
    </w:p>
    <w:p w14:paraId="43305CD0">
      <w:pPr>
        <w:tabs>
          <w:tab w:val="left" w:pos="210"/>
        </w:tabs>
        <w:spacing w:line="400" w:lineRule="exact"/>
        <w:ind w:left="420" w:firstLine="420" w:firstLineChars="200"/>
        <w:rPr>
          <w:rFonts w:hint="eastAsia" w:ascii="宋体" w:hAnsi="宋体" w:cs="宋体"/>
          <w:color w:val="auto"/>
          <w:szCs w:val="21"/>
        </w:rPr>
      </w:pPr>
      <w:r>
        <w:rPr>
          <w:rFonts w:hint="eastAsia" w:ascii="宋体" w:hAnsi="宋体" w:cs="宋体"/>
          <w:color w:val="auto"/>
          <w:szCs w:val="21"/>
        </w:rPr>
        <w:t>8、暂估价的数量及拟用子目的说明（如有）：材料暂估价应按采购人在其他项目清单中列出的单价计入综合单价；专业工程暂估价应按采购人在其他项目清单中列出的金额填写。</w:t>
      </w:r>
    </w:p>
    <w:p w14:paraId="06714E6F">
      <w:pPr>
        <w:pStyle w:val="63"/>
        <w:spacing w:line="400" w:lineRule="exact"/>
        <w:rPr>
          <w:rFonts w:hint="eastAsia" w:ascii="宋体" w:hAnsi="宋体" w:cs="宋体"/>
          <w:color w:val="auto"/>
          <w:kern w:val="2"/>
          <w:sz w:val="21"/>
          <w:szCs w:val="21"/>
        </w:rPr>
      </w:pPr>
      <w:r>
        <w:rPr>
          <w:rFonts w:hint="eastAsia"/>
          <w:color w:val="auto"/>
        </w:rPr>
        <w:t xml:space="preserve">      </w:t>
      </w:r>
      <w:r>
        <w:rPr>
          <w:rFonts w:hint="eastAsia" w:ascii="宋体" w:hAnsi="宋体" w:cs="宋体"/>
          <w:color w:val="auto"/>
          <w:kern w:val="2"/>
          <w:sz w:val="21"/>
          <w:szCs w:val="21"/>
        </w:rPr>
        <w:t xml:space="preserve"> 9、供应商的第二次磋商报价不得高于该供应商第一次磋商报价，否则做无效标处理。如供应商维持磋商报价不变，以原磋商报价作为供应商最后报价；如供应商需要改变原磋商报价时，供应商应预先准备好调整后的已标价的工程量清单。 </w:t>
      </w:r>
    </w:p>
    <w:p w14:paraId="7AC15CE5">
      <w:pPr>
        <w:pStyle w:val="12"/>
        <w:keepNext w:val="0"/>
        <w:keepLines w:val="0"/>
        <w:pageBreakBefore w:val="0"/>
        <w:widowControl w:val="0"/>
        <w:wordWrap/>
        <w:topLinePunct w:val="0"/>
        <w:bidi w:val="0"/>
        <w:spacing w:line="400" w:lineRule="exact"/>
        <w:rPr>
          <w:rFonts w:hint="eastAsia" w:hAnsi="宋体" w:cs="宋体"/>
          <w:b/>
          <w:color w:val="auto"/>
          <w:sz w:val="24"/>
          <w:szCs w:val="24"/>
          <w:highlight w:val="none"/>
        </w:rPr>
      </w:pPr>
      <w:r>
        <w:rPr>
          <w:rFonts w:hint="eastAsia" w:hAnsi="宋体" w:cs="宋体"/>
          <w:b/>
          <w:color w:val="auto"/>
          <w:sz w:val="24"/>
          <w:szCs w:val="24"/>
          <w:highlight w:val="none"/>
          <w:lang w:val="en-US" w:eastAsia="zh-CN"/>
        </w:rPr>
        <w:t>三、</w:t>
      </w:r>
      <w:r>
        <w:rPr>
          <w:rFonts w:hint="eastAsia" w:hAnsi="宋体" w:cs="宋体"/>
          <w:b/>
          <w:color w:val="auto"/>
          <w:sz w:val="24"/>
          <w:szCs w:val="24"/>
          <w:highlight w:val="none"/>
        </w:rPr>
        <w:t>注意事项及要求：</w:t>
      </w:r>
    </w:p>
    <w:p w14:paraId="6CC2D93B">
      <w:pPr>
        <w:keepNext w:val="0"/>
        <w:keepLines w:val="0"/>
        <w:pageBreakBefore w:val="0"/>
        <w:widowControl w:val="0"/>
        <w:tabs>
          <w:tab w:val="left" w:pos="210"/>
        </w:tabs>
        <w:wordWrap/>
        <w:topLinePunct w:val="0"/>
        <w:bidi w:val="0"/>
        <w:spacing w:line="360" w:lineRule="exact"/>
        <w:ind w:left="420"/>
        <w:rPr>
          <w:rFonts w:hint="eastAsia" w:ascii="宋体" w:hAnsi="宋体" w:cs="宋体"/>
          <w:color w:val="auto"/>
          <w:szCs w:val="21"/>
          <w:highlight w:val="none"/>
        </w:rPr>
      </w:pPr>
      <w:r>
        <w:rPr>
          <w:rFonts w:hint="eastAsia" w:ascii="宋体" w:hAnsi="宋体" w:cs="宋体"/>
          <w:color w:val="auto"/>
          <w:szCs w:val="21"/>
          <w:highlight w:val="none"/>
        </w:rPr>
        <w:t>1、严格按国家标准及本项目工程量清单、图纸要求施工；</w:t>
      </w:r>
    </w:p>
    <w:p w14:paraId="3BFA50F0">
      <w:pPr>
        <w:pStyle w:val="12"/>
        <w:keepNext w:val="0"/>
        <w:keepLines w:val="0"/>
        <w:pageBreakBefore w:val="0"/>
        <w:widowControl w:val="0"/>
        <w:wordWrap/>
        <w:topLinePunct w:val="0"/>
        <w:bidi w:val="0"/>
        <w:spacing w:line="360" w:lineRule="exact"/>
        <w:ind w:firstLine="420" w:firstLineChars="200"/>
        <w:rPr>
          <w:rFonts w:hint="eastAsia" w:hAnsi="宋体" w:cs="宋体"/>
          <w:color w:val="auto"/>
          <w:highlight w:val="none"/>
        </w:rPr>
      </w:pPr>
      <w:r>
        <w:rPr>
          <w:rFonts w:hint="eastAsia" w:hAnsi="宋体" w:cs="宋体"/>
          <w:color w:val="auto"/>
          <w:szCs w:val="21"/>
          <w:highlight w:val="none"/>
        </w:rPr>
        <w:t>2、</w:t>
      </w:r>
      <w:r>
        <w:rPr>
          <w:rFonts w:hint="eastAsia" w:hAnsi="宋体" w:cs="宋体"/>
          <w:color w:val="auto"/>
          <w:highlight w:val="none"/>
        </w:rPr>
        <w:t>要求工期</w:t>
      </w:r>
      <w:r>
        <w:rPr>
          <w:rFonts w:hint="eastAsia" w:ascii="宋体" w:hAnsi="宋体" w:eastAsia="宋体" w:cs="宋体"/>
          <w:color w:val="auto"/>
          <w:sz w:val="21"/>
          <w:szCs w:val="21"/>
          <w:highlight w:val="none"/>
        </w:rPr>
        <w:t>：</w:t>
      </w:r>
      <w:r>
        <w:rPr>
          <w:rFonts w:hint="eastAsia" w:hAnsi="宋体"/>
          <w:color w:val="auto"/>
          <w:szCs w:val="21"/>
          <w:highlight w:val="none"/>
          <w:lang w:val="en-US" w:eastAsia="zh-CN"/>
        </w:rPr>
        <w:t>自合同签订之日起120个日历天内完工</w:t>
      </w:r>
      <w:r>
        <w:rPr>
          <w:rFonts w:hint="eastAsia" w:ascii="宋体" w:hAnsi="宋体" w:eastAsia="宋体" w:cs="宋体"/>
          <w:i w:val="0"/>
          <w:iCs w:val="0"/>
          <w:color w:val="auto"/>
          <w:sz w:val="21"/>
          <w:szCs w:val="21"/>
          <w:highlight w:val="none"/>
          <w:lang w:val="en-US" w:eastAsia="zh-CN"/>
        </w:rPr>
        <w:t>。</w:t>
      </w:r>
      <w:r>
        <w:rPr>
          <w:rFonts w:hint="eastAsia" w:hAnsi="宋体" w:cs="宋体"/>
          <w:color w:val="auto"/>
          <w:highlight w:val="none"/>
        </w:rPr>
        <w:t xml:space="preserve"> </w:t>
      </w:r>
    </w:p>
    <w:p w14:paraId="7B99A721">
      <w:pPr>
        <w:keepNext w:val="0"/>
        <w:keepLines w:val="0"/>
        <w:pageBreakBefore w:val="0"/>
        <w:widowControl w:val="0"/>
        <w:tabs>
          <w:tab w:val="left" w:pos="210"/>
        </w:tabs>
        <w:wordWrap/>
        <w:topLinePunct w:val="0"/>
        <w:bidi w:val="0"/>
        <w:spacing w:line="360" w:lineRule="exact"/>
        <w:ind w:firstLine="420" w:firstLineChars="200"/>
        <w:rPr>
          <w:rFonts w:hint="eastAsia" w:ascii="宋体" w:hAnsi="宋体" w:cs="宋体"/>
          <w:color w:val="auto"/>
          <w:highlight w:val="none"/>
        </w:rPr>
      </w:pPr>
      <w:r>
        <w:rPr>
          <w:rFonts w:hint="eastAsia" w:ascii="宋体" w:hAnsi="宋体" w:cs="宋体"/>
          <w:color w:val="auto"/>
          <w:highlight w:val="none"/>
          <w:lang w:val="en-US" w:eastAsia="zh-CN"/>
        </w:rPr>
        <w:t xml:space="preserve">   </w:t>
      </w:r>
      <w:r>
        <w:rPr>
          <w:rFonts w:hint="eastAsia" w:ascii="宋体" w:hAnsi="宋体" w:cs="宋体"/>
          <w:color w:val="auto"/>
          <w:highlight w:val="none"/>
        </w:rPr>
        <w:t>质量标准：</w:t>
      </w:r>
      <w:r>
        <w:rPr>
          <w:rFonts w:hint="eastAsia" w:ascii="宋体" w:hAnsi="宋体" w:cs="宋体"/>
          <w:color w:val="auto"/>
          <w:highlight w:val="none"/>
          <w:lang w:val="en-US" w:eastAsia="zh-CN"/>
        </w:rPr>
        <w:t>合格</w:t>
      </w:r>
      <w:r>
        <w:rPr>
          <w:rFonts w:hint="eastAsia" w:ascii="宋体" w:hAnsi="宋体" w:cs="宋体"/>
          <w:color w:val="auto"/>
          <w:highlight w:val="none"/>
        </w:rPr>
        <w:t>。</w:t>
      </w:r>
    </w:p>
    <w:p w14:paraId="510B9FD4">
      <w:pPr>
        <w:keepNext w:val="0"/>
        <w:keepLines w:val="0"/>
        <w:pageBreakBefore w:val="0"/>
        <w:widowControl w:val="0"/>
        <w:tabs>
          <w:tab w:val="left" w:pos="210"/>
        </w:tabs>
        <w:wordWrap/>
        <w:topLinePunct w:val="0"/>
        <w:bidi w:val="0"/>
        <w:spacing w:line="360" w:lineRule="exact"/>
        <w:ind w:firstLine="420" w:firstLineChars="200"/>
        <w:rPr>
          <w:rFonts w:hint="eastAsia" w:ascii="宋体" w:hAnsi="宋体" w:cs="宋体"/>
          <w:color w:val="auto"/>
          <w:szCs w:val="21"/>
          <w:highlight w:val="none"/>
        </w:rPr>
      </w:pPr>
      <w:r>
        <w:rPr>
          <w:rFonts w:hint="eastAsia" w:ascii="宋体" w:hAnsi="宋体" w:cs="宋体"/>
          <w:color w:val="auto"/>
          <w:highlight w:val="none"/>
        </w:rPr>
        <w:t>3、</w:t>
      </w:r>
      <w:r>
        <w:rPr>
          <w:rFonts w:hint="eastAsia" w:ascii="宋体" w:hAnsi="宋体" w:cs="宋体"/>
          <w:b/>
          <w:bCs/>
          <w:color w:val="auto"/>
          <w:szCs w:val="21"/>
          <w:highlight w:val="none"/>
        </w:rPr>
        <w:t>供应商承诺工程竣工后，供应商应按照采购人的要求免费对开工的工程场地进行清理及清洁。</w:t>
      </w:r>
    </w:p>
    <w:p w14:paraId="783E1308">
      <w:pPr>
        <w:keepNext w:val="0"/>
        <w:keepLines w:val="0"/>
        <w:pageBreakBefore w:val="0"/>
        <w:widowControl w:val="0"/>
        <w:wordWrap/>
        <w:topLinePunct w:val="0"/>
        <w:bidi w:val="0"/>
        <w:spacing w:line="360" w:lineRule="exact"/>
        <w:ind w:firstLine="420" w:firstLineChars="200"/>
        <w:rPr>
          <w:rFonts w:hint="eastAsia" w:ascii="宋体" w:hAnsi="宋体" w:cs="宋体"/>
          <w:color w:val="auto"/>
          <w:highlight w:val="none"/>
        </w:rPr>
      </w:pPr>
      <w:r>
        <w:rPr>
          <w:rFonts w:hint="eastAsia" w:ascii="宋体" w:hAnsi="宋体" w:cs="宋体"/>
          <w:color w:val="auto"/>
          <w:highlight w:val="none"/>
        </w:rPr>
        <w:t>4、工程量不明确的，供应商在现场考察时详细测量，</w:t>
      </w:r>
      <w:r>
        <w:rPr>
          <w:rFonts w:hint="eastAsia" w:ascii="宋体" w:hAnsi="宋体" w:cs="宋体"/>
          <w:color w:val="auto"/>
          <w:highlight w:val="none"/>
          <w:lang w:val="en-US" w:eastAsia="zh-CN"/>
        </w:rPr>
        <w:t>磋商</w:t>
      </w:r>
      <w:r>
        <w:rPr>
          <w:rFonts w:hint="eastAsia" w:ascii="宋体" w:hAnsi="宋体" w:cs="宋体"/>
          <w:color w:val="auto"/>
          <w:highlight w:val="none"/>
        </w:rPr>
        <w:t>时必须详细列明所报工作范围，并在施工方案中保证工程完整、全面。</w:t>
      </w:r>
    </w:p>
    <w:p w14:paraId="69F3A92E">
      <w:pPr>
        <w:tabs>
          <w:tab w:val="left" w:pos="6720"/>
        </w:tabs>
        <w:spacing w:line="360" w:lineRule="auto"/>
        <w:ind w:firstLine="420" w:firstLineChars="200"/>
        <w:jc w:val="both"/>
        <w:rPr>
          <w:rFonts w:hint="eastAsia" w:ascii="宋体" w:hAnsi="宋体" w:cs="宋体"/>
          <w:color w:val="auto"/>
          <w:kern w:val="0"/>
          <w:szCs w:val="21"/>
        </w:rPr>
      </w:pPr>
      <w:r>
        <w:rPr>
          <w:rFonts w:hint="eastAsia" w:ascii="宋体" w:hAnsi="宋体" w:cs="宋体"/>
          <w:color w:val="auto"/>
          <w:highlight w:val="none"/>
        </w:rPr>
        <w:t>5、</w:t>
      </w:r>
      <w:r>
        <w:rPr>
          <w:rFonts w:hint="eastAsia" w:ascii="宋体" w:hAnsi="宋体" w:cs="宋体"/>
          <w:color w:val="auto"/>
          <w:kern w:val="0"/>
          <w:szCs w:val="21"/>
        </w:rPr>
        <w:t>本项目</w:t>
      </w:r>
      <w:r>
        <w:rPr>
          <w:rFonts w:hint="eastAsia" w:ascii="宋体" w:hAnsi="宋体" w:cs="宋体"/>
          <w:color w:val="auto"/>
          <w:kern w:val="0"/>
          <w:szCs w:val="21"/>
          <w:lang w:val="en-US" w:eastAsia="zh-CN"/>
        </w:rPr>
        <w:t>审定</w:t>
      </w:r>
      <w:r>
        <w:rPr>
          <w:rFonts w:hint="eastAsia" w:ascii="宋体" w:hAnsi="宋体" w:cs="宋体"/>
          <w:color w:val="auto"/>
          <w:kern w:val="0"/>
          <w:szCs w:val="21"/>
        </w:rPr>
        <w:t>预算总金额为</w:t>
      </w:r>
      <w:r>
        <w:rPr>
          <w:rFonts w:hint="eastAsia" w:ascii="宋体" w:hAnsi="宋体" w:cs="宋体"/>
          <w:color w:val="auto"/>
          <w:kern w:val="0"/>
          <w:szCs w:val="21"/>
          <w:u w:val="single"/>
        </w:rPr>
        <w:t xml:space="preserve"> </w:t>
      </w:r>
      <w:r>
        <w:rPr>
          <w:rFonts w:hint="eastAsia" w:ascii="宋体" w:hAnsi="宋体" w:cs="宋体"/>
          <w:color w:val="auto"/>
          <w:kern w:val="0"/>
          <w:szCs w:val="21"/>
          <w:u w:val="single"/>
          <w:lang w:eastAsia="zh-CN"/>
        </w:rPr>
        <w:t>2,383,369.52</w:t>
      </w:r>
      <w:r>
        <w:rPr>
          <w:rFonts w:hint="eastAsia" w:ascii="宋体" w:hAnsi="宋体" w:cs="宋体"/>
          <w:color w:val="auto"/>
          <w:kern w:val="0"/>
          <w:szCs w:val="21"/>
          <w:u w:val="single"/>
        </w:rPr>
        <w:t xml:space="preserve"> </w:t>
      </w:r>
      <w:r>
        <w:rPr>
          <w:rFonts w:hint="eastAsia" w:ascii="宋体" w:hAnsi="宋体" w:cs="宋体"/>
          <w:color w:val="auto"/>
          <w:kern w:val="0"/>
          <w:szCs w:val="21"/>
        </w:rPr>
        <w:t>元。</w:t>
      </w:r>
      <w:r>
        <w:rPr>
          <w:rFonts w:hint="eastAsia" w:ascii="宋体" w:hAnsi="宋体" w:eastAsia="宋体" w:cs="宋体"/>
          <w:color w:val="auto"/>
          <w:kern w:val="0"/>
          <w:szCs w:val="21"/>
          <w:lang w:val="en-US" w:eastAsia="zh-CN"/>
        </w:rPr>
        <w:t>本项目预算控制价（最高限价）为</w:t>
      </w:r>
      <w:r>
        <w:rPr>
          <w:rFonts w:hint="eastAsia" w:ascii="宋体" w:hAnsi="宋体" w:eastAsia="宋体" w:cs="宋体"/>
          <w:bCs/>
          <w:color w:val="auto"/>
          <w:sz w:val="21"/>
          <w:szCs w:val="21"/>
          <w:highlight w:val="none"/>
          <w:u w:val="single"/>
          <w:lang w:val="en-US" w:eastAsia="zh-CN"/>
        </w:rPr>
        <w:t xml:space="preserve"> </w:t>
      </w:r>
      <w:r>
        <w:rPr>
          <w:rFonts w:hint="eastAsia" w:ascii="宋体" w:hAnsi="宋体" w:cs="宋体"/>
          <w:bCs/>
          <w:color w:val="auto"/>
          <w:sz w:val="21"/>
          <w:szCs w:val="21"/>
          <w:highlight w:val="none"/>
          <w:u w:val="single"/>
          <w:lang w:val="en-US" w:eastAsia="zh-CN"/>
        </w:rPr>
        <w:t>2,383,369.52</w:t>
      </w:r>
      <w:r>
        <w:rPr>
          <w:rFonts w:hint="eastAsia" w:ascii="宋体" w:hAnsi="宋体" w:eastAsia="宋体" w:cs="宋体"/>
          <w:bCs/>
          <w:color w:val="auto"/>
          <w:sz w:val="21"/>
          <w:szCs w:val="21"/>
          <w:highlight w:val="none"/>
          <w:u w:val="single"/>
          <w:lang w:val="en-US" w:eastAsia="zh-CN"/>
        </w:rPr>
        <w:t xml:space="preserve"> </w:t>
      </w:r>
      <w:r>
        <w:rPr>
          <w:rFonts w:hint="eastAsia" w:ascii="宋体" w:hAnsi="宋体" w:eastAsia="宋体" w:cs="宋体"/>
          <w:color w:val="auto"/>
          <w:kern w:val="0"/>
          <w:szCs w:val="21"/>
          <w:lang w:val="en-US" w:eastAsia="zh-CN"/>
        </w:rPr>
        <w:t>元。</w:t>
      </w:r>
    </w:p>
    <w:p w14:paraId="36AA9DFA">
      <w:pPr>
        <w:keepNext w:val="0"/>
        <w:keepLines w:val="0"/>
        <w:pageBreakBefore w:val="0"/>
        <w:widowControl w:val="0"/>
        <w:tabs>
          <w:tab w:val="left" w:pos="1305"/>
        </w:tabs>
        <w:wordWrap/>
        <w:topLinePunct w:val="0"/>
        <w:bidi w:val="0"/>
        <w:spacing w:line="400" w:lineRule="exact"/>
        <w:ind w:firstLine="420" w:firstLineChars="200"/>
        <w:rPr>
          <w:rFonts w:hint="eastAsia" w:ascii="宋体" w:hAnsi="宋体" w:eastAsia="宋体" w:cs="宋体"/>
          <w:color w:val="auto"/>
          <w:kern w:val="0"/>
          <w:szCs w:val="21"/>
          <w:lang w:val="en-US" w:eastAsia="zh-CN"/>
        </w:rPr>
      </w:pPr>
      <w:r>
        <w:rPr>
          <w:rFonts w:hint="eastAsia" w:ascii="宋体" w:hAnsi="宋体" w:cs="宋体"/>
          <w:color w:val="auto"/>
          <w:kern w:val="0"/>
          <w:szCs w:val="21"/>
          <w:lang w:val="en-US" w:eastAsia="zh-CN"/>
        </w:rPr>
        <w:t>6、本项目所属行业：</w:t>
      </w:r>
      <w:r>
        <w:rPr>
          <w:rFonts w:hint="eastAsia" w:ascii="宋体" w:hAnsi="宋体" w:cs="宋体"/>
          <w:b/>
          <w:bCs/>
          <w:color w:val="auto"/>
          <w:kern w:val="0"/>
          <w:szCs w:val="21"/>
          <w:lang w:val="en-US" w:eastAsia="zh-CN"/>
        </w:rPr>
        <w:t>建筑业</w:t>
      </w:r>
      <w:r>
        <w:rPr>
          <w:rFonts w:hint="eastAsia" w:ascii="宋体" w:hAnsi="宋体" w:cs="宋体"/>
          <w:color w:val="auto"/>
          <w:kern w:val="0"/>
          <w:szCs w:val="21"/>
          <w:lang w:val="en-US" w:eastAsia="zh-CN"/>
        </w:rPr>
        <w:t>。</w:t>
      </w:r>
    </w:p>
    <w:p w14:paraId="4B042C66">
      <w:pPr>
        <w:keepNext w:val="0"/>
        <w:keepLines w:val="0"/>
        <w:pageBreakBefore w:val="0"/>
        <w:widowControl w:val="0"/>
        <w:wordWrap/>
        <w:topLinePunct w:val="0"/>
        <w:bidi w:val="0"/>
        <w:adjustRightInd w:val="0"/>
        <w:spacing w:line="400" w:lineRule="exact"/>
        <w:rPr>
          <w:rFonts w:hint="eastAsia" w:ascii="宋体" w:hAnsi="宋体" w:eastAsia="宋体" w:cs="宋体"/>
          <w:color w:val="auto"/>
          <w:sz w:val="32"/>
          <w:szCs w:val="32"/>
          <w:highlight w:val="none"/>
          <w:lang w:eastAsia="zh-CN"/>
        </w:rPr>
      </w:pPr>
      <w:r>
        <w:rPr>
          <w:rFonts w:hint="eastAsia" w:ascii="宋体" w:hAnsi="宋体" w:cs="宋体"/>
          <w:b/>
          <w:color w:val="auto"/>
          <w:sz w:val="24"/>
          <w:szCs w:val="24"/>
          <w:highlight w:val="none"/>
          <w:lang w:val="en-US" w:eastAsia="zh-CN"/>
        </w:rPr>
        <w:t>四</w:t>
      </w:r>
      <w:r>
        <w:rPr>
          <w:rFonts w:hint="eastAsia" w:ascii="宋体" w:hAnsi="宋体" w:cs="宋体"/>
          <w:b/>
          <w:color w:val="auto"/>
          <w:sz w:val="24"/>
          <w:szCs w:val="24"/>
          <w:highlight w:val="none"/>
        </w:rPr>
        <w:t>、工程量清单【另附（电子版自行下载）】，是本竞争</w:t>
      </w:r>
      <w:r>
        <w:rPr>
          <w:rFonts w:hint="eastAsia" w:ascii="宋体" w:hAnsi="宋体" w:cs="宋体"/>
          <w:b/>
          <w:color w:val="auto"/>
          <w:sz w:val="24"/>
          <w:szCs w:val="24"/>
          <w:highlight w:val="none"/>
          <w:lang w:val="en-US" w:eastAsia="zh-CN"/>
        </w:rPr>
        <w:t>性磋商</w:t>
      </w:r>
      <w:r>
        <w:rPr>
          <w:rFonts w:hint="eastAsia" w:ascii="宋体" w:hAnsi="宋体" w:cs="宋体"/>
          <w:b/>
          <w:color w:val="auto"/>
          <w:sz w:val="24"/>
          <w:szCs w:val="24"/>
          <w:highlight w:val="none"/>
        </w:rPr>
        <w:t>文件的一个重要组成部分</w:t>
      </w:r>
      <w:bookmarkEnd w:id="140"/>
      <w:r>
        <w:rPr>
          <w:rFonts w:hint="eastAsia" w:ascii="宋体" w:hAnsi="宋体" w:cs="宋体"/>
          <w:b/>
          <w:color w:val="auto"/>
          <w:sz w:val="24"/>
          <w:szCs w:val="24"/>
          <w:highlight w:val="none"/>
          <w:lang w:eastAsia="zh-CN"/>
        </w:rPr>
        <w:t>。</w:t>
      </w:r>
    </w:p>
    <w:p w14:paraId="2DD86995">
      <w:pPr>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br w:type="page"/>
      </w:r>
    </w:p>
    <w:p w14:paraId="48C7181F">
      <w:pPr>
        <w:pStyle w:val="2"/>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宋体" w:hAnsi="宋体" w:eastAsia="宋体" w:cs="宋体"/>
          <w:b/>
          <w:bCs/>
          <w:color w:val="auto"/>
          <w:highlight w:val="none"/>
        </w:rPr>
      </w:pPr>
      <w:bookmarkStart w:id="145" w:name="_Toc3036"/>
      <w:r>
        <w:rPr>
          <w:rFonts w:hint="eastAsia" w:ascii="宋体" w:hAnsi="宋体" w:eastAsia="宋体" w:cs="宋体"/>
          <w:color w:val="auto"/>
          <w:sz w:val="32"/>
          <w:szCs w:val="32"/>
          <w:highlight w:val="none"/>
          <w:lang w:eastAsia="zh-CN"/>
        </w:rPr>
        <w:t>第四章</w:t>
      </w:r>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rPr>
        <w:t>评审办法</w:t>
      </w:r>
      <w:bookmarkEnd w:id="145"/>
    </w:p>
    <w:p w14:paraId="2405D3A1">
      <w:pPr>
        <w:pStyle w:val="12"/>
        <w:keepNext w:val="0"/>
        <w:keepLines w:val="0"/>
        <w:pageBreakBefore w:val="0"/>
        <w:widowControl w:val="0"/>
        <w:kinsoku/>
        <w:wordWrap/>
        <w:overflowPunct/>
        <w:topLinePunct w:val="0"/>
        <w:bidi w:val="0"/>
        <w:snapToGrid/>
        <w:spacing w:line="440" w:lineRule="exact"/>
        <w:ind w:firstLine="42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一、评审依据及方式</w:t>
      </w:r>
    </w:p>
    <w:p w14:paraId="1C6CDA25">
      <w:pPr>
        <w:pStyle w:val="12"/>
        <w:keepNext w:val="0"/>
        <w:keepLines w:val="0"/>
        <w:pageBreakBefore w:val="0"/>
        <w:widowControl w:val="0"/>
        <w:kinsoku/>
        <w:wordWrap/>
        <w:overflowPunct/>
        <w:topLinePunct w:val="0"/>
        <w:bidi w:val="0"/>
        <w:snapToGrid/>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1.评审依据：磋商小组以竞争性磋商文件和响应文件为评审依据，</w:t>
      </w:r>
      <w:r>
        <w:rPr>
          <w:rFonts w:hint="eastAsia" w:ascii="宋体" w:hAnsi="宋体" w:eastAsia="宋体" w:cs="宋体"/>
          <w:color w:val="auto"/>
          <w:highlight w:val="none"/>
          <w:lang w:val="en-US" w:eastAsia="zh-CN"/>
        </w:rPr>
        <w:t>对磋商供应商的响应文件按百分制打分</w:t>
      </w:r>
      <w:r>
        <w:rPr>
          <w:rFonts w:hint="eastAsia" w:ascii="宋体" w:hAnsi="宋体" w:eastAsia="宋体" w:cs="宋体"/>
          <w:color w:val="auto"/>
          <w:highlight w:val="none"/>
        </w:rPr>
        <w:t>。</w:t>
      </w:r>
    </w:p>
    <w:p w14:paraId="2C7A9489">
      <w:pPr>
        <w:pStyle w:val="12"/>
        <w:keepNext w:val="0"/>
        <w:keepLines w:val="0"/>
        <w:pageBreakBefore w:val="0"/>
        <w:widowControl w:val="0"/>
        <w:kinsoku/>
        <w:wordWrap/>
        <w:overflowPunct/>
        <w:topLinePunct w:val="0"/>
        <w:bidi w:val="0"/>
        <w:snapToGrid/>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2.评审方式：以封闭方式进行评审。</w:t>
      </w:r>
    </w:p>
    <w:p w14:paraId="3D657A65">
      <w:pPr>
        <w:pStyle w:val="12"/>
        <w:keepNext w:val="0"/>
        <w:keepLines w:val="0"/>
        <w:pageBreakBefore w:val="0"/>
        <w:widowControl w:val="0"/>
        <w:kinsoku/>
        <w:wordWrap/>
        <w:overflowPunct/>
        <w:topLinePunct w:val="0"/>
        <w:bidi w:val="0"/>
        <w:snapToGrid/>
        <w:spacing w:line="440" w:lineRule="exact"/>
        <w:ind w:left="210" w:leftChars="100" w:firstLine="210" w:firstLineChars="100"/>
        <w:textAlignment w:val="auto"/>
        <w:rPr>
          <w:rFonts w:hint="eastAsia" w:ascii="宋体" w:hAnsi="宋体" w:eastAsia="宋体" w:cs="宋体"/>
          <w:color w:val="auto"/>
          <w:highlight w:val="none"/>
        </w:rPr>
      </w:pPr>
      <w:r>
        <w:rPr>
          <w:rFonts w:hint="eastAsia" w:ascii="宋体" w:hAnsi="宋体" w:eastAsia="宋体" w:cs="宋体"/>
          <w:color w:val="auto"/>
          <w:highlight w:val="none"/>
        </w:rPr>
        <w:t>3.根据财库〔2012〕69号文规定，采购人和采购代理机构，磋商小组成员要严格遵守政府采购相关法律制度，依法履行各自职责，公正、客观、审慎地组织和参与评审工作。</w:t>
      </w:r>
    </w:p>
    <w:p w14:paraId="0C3312FA">
      <w:pPr>
        <w:pStyle w:val="12"/>
        <w:keepNext w:val="0"/>
        <w:keepLines w:val="0"/>
        <w:pageBreakBefore w:val="0"/>
        <w:widowControl w:val="0"/>
        <w:kinsoku/>
        <w:wordWrap/>
        <w:overflowPunct/>
        <w:topLinePunct w:val="0"/>
        <w:bidi w:val="0"/>
        <w:snapToGrid/>
        <w:spacing w:line="440" w:lineRule="exact"/>
        <w:ind w:firstLine="42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二、评审办法</w:t>
      </w:r>
    </w:p>
    <w:p w14:paraId="5F6B17BF">
      <w:pPr>
        <w:pStyle w:val="12"/>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（一）本次评标采用综合评分法。</w:t>
      </w:r>
      <w:r>
        <w:rPr>
          <w:rFonts w:hint="eastAsia" w:hAnsi="宋体" w:eastAsia="宋体" w:cs="宋体"/>
          <w:bCs/>
          <w:color w:val="auto"/>
          <w:highlight w:val="none"/>
          <w:lang w:eastAsia="zh-CN"/>
        </w:rPr>
        <w:t>磋商小组</w:t>
      </w:r>
      <w:r>
        <w:rPr>
          <w:rFonts w:hint="eastAsia" w:ascii="宋体" w:hAnsi="宋体" w:eastAsia="宋体" w:cs="宋体"/>
          <w:bCs/>
          <w:color w:val="auto"/>
          <w:highlight w:val="none"/>
        </w:rPr>
        <w:t>会首先对</w:t>
      </w:r>
      <w:r>
        <w:rPr>
          <w:rFonts w:hint="eastAsia" w:hAnsi="宋体" w:eastAsia="宋体" w:cs="宋体"/>
          <w:bCs/>
          <w:color w:val="auto"/>
          <w:highlight w:val="none"/>
          <w:lang w:eastAsia="zh-CN"/>
        </w:rPr>
        <w:t>磋商供应商</w:t>
      </w:r>
      <w:r>
        <w:rPr>
          <w:rFonts w:hint="eastAsia" w:ascii="宋体" w:hAnsi="宋体" w:eastAsia="宋体" w:cs="宋体"/>
          <w:bCs/>
          <w:color w:val="auto"/>
          <w:highlight w:val="none"/>
        </w:rPr>
        <w:t>提交的响应文件进行资格性审查和符合性审查，只有通过了资格性审查和符合性审查才能进入详评。</w:t>
      </w:r>
    </w:p>
    <w:p w14:paraId="443B96FF">
      <w:pPr>
        <w:keepNext w:val="0"/>
        <w:keepLines w:val="0"/>
        <w:pageBreakBefore w:val="0"/>
        <w:widowControl w:val="0"/>
        <w:wordWrap/>
        <w:overflowPunct/>
        <w:topLinePunct w:val="0"/>
        <w:bidi w:val="0"/>
        <w:spacing w:line="500" w:lineRule="exact"/>
        <w:jc w:val="left"/>
        <w:rPr>
          <w:rFonts w:hint="eastAsia" w:ascii="宋体" w:hAnsi="宋体" w:eastAsia="宋体" w:cs="宋体"/>
          <w:b/>
          <w:color w:val="auto"/>
          <w:w w:val="99"/>
          <w:kern w:val="0"/>
          <w:sz w:val="24"/>
          <w:szCs w:val="24"/>
          <w:highlight w:val="none"/>
          <w:lang w:val="en-US" w:eastAsia="zh-CN"/>
        </w:rPr>
      </w:pPr>
      <w:r>
        <w:rPr>
          <w:rFonts w:hint="eastAsia" w:ascii="宋体" w:hAnsi="宋体" w:eastAsia="宋体" w:cs="宋体"/>
          <w:b/>
          <w:color w:val="auto"/>
          <w:w w:val="99"/>
          <w:kern w:val="0"/>
          <w:sz w:val="24"/>
          <w:szCs w:val="24"/>
          <w:highlight w:val="none"/>
          <w:lang w:val="en-US" w:eastAsia="zh-CN"/>
        </w:rPr>
        <w:t>初步评审：</w:t>
      </w:r>
    </w:p>
    <w:tbl>
      <w:tblPr>
        <w:tblStyle w:val="27"/>
        <w:tblW w:w="9948" w:type="dxa"/>
        <w:jc w:val="center"/>
        <w:tblLayout w:type="fixed"/>
        <w:tblCellMar>
          <w:top w:w="0" w:type="dxa"/>
          <w:left w:w="108" w:type="dxa"/>
          <w:bottom w:w="0" w:type="dxa"/>
          <w:right w:w="108" w:type="dxa"/>
        </w:tblCellMar>
      </w:tblPr>
      <w:tblGrid>
        <w:gridCol w:w="944"/>
        <w:gridCol w:w="1111"/>
        <w:gridCol w:w="1963"/>
        <w:gridCol w:w="5930"/>
      </w:tblGrid>
      <w:tr w14:paraId="33ADFE09">
        <w:tblPrEx>
          <w:tblCellMar>
            <w:top w:w="0" w:type="dxa"/>
            <w:left w:w="108" w:type="dxa"/>
            <w:bottom w:w="0" w:type="dxa"/>
            <w:right w:w="108" w:type="dxa"/>
          </w:tblCellMar>
        </w:tblPrEx>
        <w:trPr>
          <w:trHeight w:val="463" w:hRule="atLeast"/>
          <w:jc w:val="center"/>
        </w:trPr>
        <w:tc>
          <w:tcPr>
            <w:tcW w:w="944" w:type="dxa"/>
            <w:tcBorders>
              <w:top w:val="single" w:color="auto" w:sz="4" w:space="0"/>
              <w:left w:val="single" w:color="auto" w:sz="4" w:space="0"/>
              <w:bottom w:val="single" w:color="auto" w:sz="4" w:space="0"/>
              <w:right w:val="single" w:color="auto" w:sz="4" w:space="0"/>
            </w:tcBorders>
            <w:noWrap w:val="0"/>
            <w:vAlign w:val="center"/>
          </w:tcPr>
          <w:p w14:paraId="0A70C6AE">
            <w:pPr>
              <w:pStyle w:val="44"/>
              <w:keepNext w:val="0"/>
              <w:keepLines w:val="0"/>
              <w:pageBreakBefore w:val="0"/>
              <w:widowControl w:val="0"/>
              <w:kinsoku/>
              <w:wordWrap/>
              <w:overflowPunct/>
              <w:topLinePunct w:val="0"/>
              <w:bidi w:val="0"/>
              <w:snapToGrid w:val="0"/>
              <w:spacing w:line="500" w:lineRule="exact"/>
              <w:jc w:val="center"/>
              <w:rPr>
                <w:rFonts w:hint="eastAsia" w:ascii="宋体" w:hAnsi="宋体" w:cs="宋体"/>
                <w:b w:val="0"/>
                <w:bCs w:val="0"/>
                <w:color w:val="auto"/>
                <w:highlight w:val="none"/>
              </w:rPr>
            </w:pPr>
            <w:r>
              <w:rPr>
                <w:rFonts w:hint="eastAsia" w:ascii="宋体" w:hAnsi="宋体" w:cs="宋体"/>
                <w:b w:val="0"/>
                <w:bCs w:val="0"/>
                <w:color w:val="auto"/>
                <w:highlight w:val="none"/>
              </w:rPr>
              <w:t>条款号</w:t>
            </w:r>
          </w:p>
        </w:tc>
        <w:tc>
          <w:tcPr>
            <w:tcW w:w="9004" w:type="dxa"/>
            <w:gridSpan w:val="3"/>
            <w:tcBorders>
              <w:top w:val="single" w:color="auto" w:sz="4" w:space="0"/>
              <w:left w:val="single" w:color="auto" w:sz="4" w:space="0"/>
              <w:bottom w:val="single" w:color="auto" w:sz="4" w:space="0"/>
              <w:right w:val="single" w:color="auto" w:sz="4" w:space="0"/>
            </w:tcBorders>
            <w:noWrap w:val="0"/>
            <w:vAlign w:val="center"/>
          </w:tcPr>
          <w:p w14:paraId="70DCD343">
            <w:pPr>
              <w:pStyle w:val="44"/>
              <w:keepNext w:val="0"/>
              <w:keepLines w:val="0"/>
              <w:pageBreakBefore w:val="0"/>
              <w:widowControl w:val="0"/>
              <w:kinsoku/>
              <w:wordWrap/>
              <w:overflowPunct/>
              <w:topLinePunct w:val="0"/>
              <w:bidi w:val="0"/>
              <w:snapToGrid w:val="0"/>
              <w:spacing w:line="500" w:lineRule="exact"/>
              <w:jc w:val="center"/>
              <w:rPr>
                <w:rFonts w:hint="eastAsia" w:ascii="宋体" w:hAnsi="宋体" w:cs="宋体"/>
                <w:b w:val="0"/>
                <w:bCs w:val="0"/>
                <w:color w:val="auto"/>
                <w:highlight w:val="none"/>
              </w:rPr>
            </w:pPr>
            <w:r>
              <w:rPr>
                <w:rFonts w:hint="eastAsia" w:ascii="宋体" w:hAnsi="宋体" w:cs="宋体"/>
                <w:b w:val="0"/>
                <w:bCs w:val="0"/>
                <w:color w:val="auto"/>
                <w:highlight w:val="none"/>
              </w:rPr>
              <w:t>评审标准</w:t>
            </w:r>
          </w:p>
        </w:tc>
      </w:tr>
      <w:tr w14:paraId="0ACA240E">
        <w:tblPrEx>
          <w:tblCellMar>
            <w:top w:w="0" w:type="dxa"/>
            <w:left w:w="108" w:type="dxa"/>
            <w:bottom w:w="0" w:type="dxa"/>
            <w:right w:w="108" w:type="dxa"/>
          </w:tblCellMar>
        </w:tblPrEx>
        <w:trPr>
          <w:trHeight w:val="453" w:hRule="atLeast"/>
          <w:jc w:val="center"/>
        </w:trPr>
        <w:tc>
          <w:tcPr>
            <w:tcW w:w="944" w:type="dxa"/>
            <w:vMerge w:val="restart"/>
            <w:tcBorders>
              <w:top w:val="single" w:color="auto" w:sz="4" w:space="0"/>
              <w:left w:val="single" w:color="auto" w:sz="4" w:space="0"/>
              <w:bottom w:val="single" w:color="auto" w:sz="4" w:space="0"/>
              <w:right w:val="single" w:color="auto" w:sz="4" w:space="0"/>
            </w:tcBorders>
            <w:noWrap w:val="0"/>
            <w:vAlign w:val="center"/>
          </w:tcPr>
          <w:p w14:paraId="6068FFEB">
            <w:pPr>
              <w:keepNext w:val="0"/>
              <w:keepLines w:val="0"/>
              <w:pageBreakBefore w:val="0"/>
              <w:widowControl w:val="0"/>
              <w:kinsoku/>
              <w:wordWrap/>
              <w:overflowPunct/>
              <w:topLinePunct w:val="0"/>
              <w:bidi w:val="0"/>
              <w:spacing w:line="500" w:lineRule="exact"/>
              <w:jc w:val="center"/>
              <w:rPr>
                <w:rFonts w:hint="eastAsia" w:ascii="宋体" w:hAnsi="宋体" w:cs="宋体"/>
                <w:color w:val="auto"/>
                <w:highlight w:val="none"/>
              </w:rPr>
            </w:pPr>
            <w:r>
              <w:rPr>
                <w:rFonts w:hint="eastAsia" w:ascii="宋体" w:hAnsi="宋体" w:cs="宋体"/>
                <w:color w:val="auto"/>
                <w:highlight w:val="none"/>
              </w:rPr>
              <w:t>2.1.1</w:t>
            </w:r>
          </w:p>
        </w:tc>
        <w:tc>
          <w:tcPr>
            <w:tcW w:w="1111" w:type="dxa"/>
            <w:vMerge w:val="restart"/>
            <w:tcBorders>
              <w:top w:val="single" w:color="auto" w:sz="4" w:space="0"/>
              <w:left w:val="single" w:color="auto" w:sz="4" w:space="0"/>
              <w:bottom w:val="single" w:color="auto" w:sz="4" w:space="0"/>
              <w:right w:val="single" w:color="auto" w:sz="4" w:space="0"/>
            </w:tcBorders>
            <w:noWrap w:val="0"/>
            <w:vAlign w:val="center"/>
          </w:tcPr>
          <w:p w14:paraId="73A87871">
            <w:pPr>
              <w:pStyle w:val="44"/>
              <w:keepNext w:val="0"/>
              <w:keepLines w:val="0"/>
              <w:pageBreakBefore w:val="0"/>
              <w:widowControl w:val="0"/>
              <w:kinsoku/>
              <w:wordWrap/>
              <w:overflowPunct/>
              <w:topLinePunct w:val="0"/>
              <w:bidi w:val="0"/>
              <w:snapToGrid w:val="0"/>
              <w:spacing w:line="500" w:lineRule="exact"/>
              <w:jc w:val="center"/>
              <w:rPr>
                <w:rFonts w:hint="eastAsia" w:ascii="宋体" w:hAnsi="宋体" w:eastAsia="宋体" w:cs="宋体"/>
                <w:color w:val="auto"/>
                <w:spacing w:val="-6"/>
                <w:highlight w:val="none"/>
                <w:lang w:eastAsia="zh-CN"/>
              </w:rPr>
            </w:pPr>
            <w:r>
              <w:rPr>
                <w:rFonts w:hint="eastAsia" w:ascii="宋体" w:hAnsi="宋体" w:cs="宋体"/>
                <w:color w:val="auto"/>
                <w:highlight w:val="none"/>
              </w:rPr>
              <w:t>资格</w:t>
            </w:r>
            <w:r>
              <w:rPr>
                <w:rFonts w:hint="eastAsia" w:ascii="宋体" w:hAnsi="宋体" w:cs="宋体"/>
                <w:color w:val="auto"/>
                <w:highlight w:val="none"/>
                <w:lang w:eastAsia="zh-CN"/>
              </w:rPr>
              <w:t>评审</w:t>
            </w:r>
          </w:p>
          <w:p w14:paraId="105C8DFE">
            <w:pPr>
              <w:pStyle w:val="15"/>
              <w:keepNext w:val="0"/>
              <w:keepLines w:val="0"/>
              <w:pageBreakBefore w:val="0"/>
              <w:widowControl w:val="0"/>
              <w:kinsoku/>
              <w:wordWrap/>
              <w:overflowPunct/>
              <w:topLinePunct w:val="0"/>
              <w:bidi w:val="0"/>
              <w:snapToGrid w:val="0"/>
              <w:spacing w:line="500" w:lineRule="exact"/>
              <w:jc w:val="center"/>
              <w:rPr>
                <w:rFonts w:hint="eastAsia" w:ascii="宋体" w:hAnsi="宋体" w:cs="宋体"/>
                <w:color w:val="auto"/>
                <w:spacing w:val="-6"/>
                <w:highlight w:val="none"/>
              </w:rPr>
            </w:pPr>
          </w:p>
        </w:tc>
        <w:tc>
          <w:tcPr>
            <w:tcW w:w="1963" w:type="dxa"/>
            <w:tcBorders>
              <w:top w:val="single" w:color="auto" w:sz="4" w:space="0"/>
              <w:left w:val="single" w:color="auto" w:sz="4" w:space="0"/>
              <w:bottom w:val="single" w:color="auto" w:sz="4" w:space="0"/>
              <w:right w:val="single" w:color="auto" w:sz="4" w:space="0"/>
            </w:tcBorders>
            <w:noWrap w:val="0"/>
            <w:vAlign w:val="center"/>
          </w:tcPr>
          <w:p w14:paraId="72D61907">
            <w:pPr>
              <w:pStyle w:val="44"/>
              <w:keepNext w:val="0"/>
              <w:keepLines w:val="0"/>
              <w:pageBreakBefore w:val="0"/>
              <w:widowControl w:val="0"/>
              <w:kinsoku/>
              <w:wordWrap/>
              <w:overflowPunct/>
              <w:topLinePunct w:val="0"/>
              <w:bidi w:val="0"/>
              <w:snapToGrid w:val="0"/>
              <w:spacing w:line="500" w:lineRule="exact"/>
              <w:jc w:val="center"/>
              <w:rPr>
                <w:rFonts w:hint="eastAsia" w:ascii="宋体" w:hAnsi="宋体" w:cs="宋体"/>
                <w:b/>
                <w:color w:val="auto"/>
                <w:highlight w:val="none"/>
              </w:rPr>
            </w:pPr>
            <w:r>
              <w:rPr>
                <w:rFonts w:hint="eastAsia" w:ascii="宋体" w:hAnsi="宋体" w:cs="宋体"/>
                <w:b/>
                <w:color w:val="auto"/>
                <w:highlight w:val="none"/>
              </w:rPr>
              <w:t>评审因素</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395E709A">
            <w:pPr>
              <w:pStyle w:val="44"/>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cs="宋体"/>
                <w:b/>
                <w:color w:val="auto"/>
                <w:highlight w:val="none"/>
              </w:rPr>
            </w:pPr>
            <w:r>
              <w:rPr>
                <w:rFonts w:hint="eastAsia" w:ascii="宋体" w:hAnsi="宋体" w:cs="宋体"/>
                <w:b/>
                <w:color w:val="auto"/>
                <w:highlight w:val="none"/>
              </w:rPr>
              <w:t>评审标准</w:t>
            </w:r>
          </w:p>
          <w:p w14:paraId="6715F3BE">
            <w:pPr>
              <w:pStyle w:val="44"/>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cs="宋体"/>
                <w:b/>
                <w:color w:val="auto"/>
                <w:highlight w:val="none"/>
              </w:rPr>
            </w:pPr>
            <w:r>
              <w:rPr>
                <w:rFonts w:hint="eastAsia" w:ascii="宋体" w:hAnsi="宋体" w:cs="宋体"/>
                <w:b/>
                <w:bCs/>
                <w:color w:val="auto"/>
                <w:highlight w:val="none"/>
              </w:rPr>
              <w:t>（合格标准：缺少任何一项或有任何一项不合格者，其资格</w:t>
            </w:r>
            <w:r>
              <w:rPr>
                <w:rFonts w:hint="eastAsia" w:ascii="宋体" w:hAnsi="宋体" w:cs="宋体"/>
                <w:b/>
                <w:bCs/>
                <w:color w:val="auto"/>
                <w:highlight w:val="none"/>
                <w:lang w:eastAsia="zh-CN"/>
              </w:rPr>
              <w:t>评审</w:t>
            </w:r>
            <w:r>
              <w:rPr>
                <w:rFonts w:hint="eastAsia" w:ascii="宋体" w:hAnsi="宋体" w:cs="宋体"/>
                <w:b/>
                <w:bCs/>
                <w:color w:val="auto"/>
                <w:highlight w:val="none"/>
              </w:rPr>
              <w:t>视为不合格）</w:t>
            </w:r>
          </w:p>
        </w:tc>
      </w:tr>
      <w:tr w14:paraId="2FCD0FA7">
        <w:tblPrEx>
          <w:tblCellMar>
            <w:top w:w="0" w:type="dxa"/>
            <w:left w:w="108" w:type="dxa"/>
            <w:bottom w:w="0" w:type="dxa"/>
            <w:right w:w="108" w:type="dxa"/>
          </w:tblCellMar>
        </w:tblPrEx>
        <w:trPr>
          <w:trHeight w:val="537" w:hRule="atLeast"/>
          <w:jc w:val="center"/>
        </w:trPr>
        <w:tc>
          <w:tcPr>
            <w:tcW w:w="944" w:type="dxa"/>
            <w:vMerge w:val="continue"/>
            <w:tcBorders>
              <w:top w:val="single" w:color="auto" w:sz="4" w:space="0"/>
              <w:left w:val="single" w:color="auto" w:sz="4" w:space="0"/>
              <w:bottom w:val="single" w:color="auto" w:sz="4" w:space="0"/>
              <w:right w:val="single" w:color="auto" w:sz="4" w:space="0"/>
            </w:tcBorders>
            <w:noWrap w:val="0"/>
            <w:vAlign w:val="center"/>
          </w:tcPr>
          <w:p w14:paraId="40312274">
            <w:pPr>
              <w:keepNext w:val="0"/>
              <w:keepLines w:val="0"/>
              <w:pageBreakBefore w:val="0"/>
              <w:widowControl w:val="0"/>
              <w:kinsoku/>
              <w:wordWrap/>
              <w:overflowPunct/>
              <w:topLinePunct w:val="0"/>
              <w:bidi w:val="0"/>
              <w:spacing w:line="500" w:lineRule="exact"/>
              <w:jc w:val="left"/>
              <w:rPr>
                <w:rFonts w:hint="eastAsia" w:ascii="宋体" w:hAnsi="宋体" w:cs="宋体"/>
                <w:color w:val="auto"/>
                <w:highlight w:val="none"/>
              </w:rPr>
            </w:pPr>
          </w:p>
        </w:tc>
        <w:tc>
          <w:tcPr>
            <w:tcW w:w="1111" w:type="dxa"/>
            <w:vMerge w:val="continue"/>
            <w:tcBorders>
              <w:top w:val="single" w:color="auto" w:sz="4" w:space="0"/>
              <w:left w:val="single" w:color="auto" w:sz="4" w:space="0"/>
              <w:bottom w:val="single" w:color="auto" w:sz="4" w:space="0"/>
              <w:right w:val="single" w:color="auto" w:sz="4" w:space="0"/>
            </w:tcBorders>
            <w:noWrap w:val="0"/>
            <w:vAlign w:val="center"/>
          </w:tcPr>
          <w:p w14:paraId="38A948A8">
            <w:pPr>
              <w:keepNext w:val="0"/>
              <w:keepLines w:val="0"/>
              <w:pageBreakBefore w:val="0"/>
              <w:widowControl w:val="0"/>
              <w:kinsoku/>
              <w:wordWrap/>
              <w:overflowPunct/>
              <w:topLinePunct w:val="0"/>
              <w:bidi w:val="0"/>
              <w:spacing w:line="500" w:lineRule="exact"/>
              <w:jc w:val="left"/>
              <w:rPr>
                <w:rFonts w:hint="eastAsia" w:ascii="宋体" w:hAnsi="宋体" w:cs="宋体"/>
                <w:color w:val="auto"/>
                <w:kern w:val="0"/>
                <w:highlight w:val="none"/>
              </w:rPr>
            </w:pPr>
          </w:p>
        </w:tc>
        <w:tc>
          <w:tcPr>
            <w:tcW w:w="1963" w:type="dxa"/>
            <w:tcBorders>
              <w:top w:val="single" w:color="auto" w:sz="4" w:space="0"/>
              <w:left w:val="single" w:color="auto" w:sz="4" w:space="0"/>
              <w:bottom w:val="single" w:color="auto" w:sz="4" w:space="0"/>
              <w:right w:val="single" w:color="auto" w:sz="4" w:space="0"/>
            </w:tcBorders>
            <w:noWrap w:val="0"/>
            <w:vAlign w:val="center"/>
          </w:tcPr>
          <w:p w14:paraId="3654F066">
            <w:pPr>
              <w:pStyle w:val="44"/>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highlight w:val="none"/>
                <w:lang w:eastAsia="zh-CN"/>
              </w:rPr>
            </w:pPr>
            <w:r>
              <w:rPr>
                <w:rFonts w:hint="eastAsia" w:ascii="宋体" w:hAnsi="宋体" w:eastAsia="宋体" w:cs="宋体"/>
                <w:color w:val="auto"/>
                <w:szCs w:val="21"/>
                <w:highlight w:val="none"/>
              </w:rPr>
              <w:t>法定代表人</w:t>
            </w:r>
            <w:r>
              <w:rPr>
                <w:rFonts w:hint="eastAsia" w:ascii="宋体" w:hAnsi="宋体" w:eastAsia="宋体" w:cs="宋体"/>
                <w:color w:val="auto"/>
                <w:szCs w:val="21"/>
                <w:highlight w:val="none"/>
                <w:lang w:eastAsia="zh-CN"/>
              </w:rPr>
              <w:t>身份</w:t>
            </w:r>
            <w:r>
              <w:rPr>
                <w:rFonts w:hint="eastAsia" w:ascii="宋体" w:hAnsi="宋体" w:cs="宋体"/>
                <w:color w:val="auto"/>
                <w:szCs w:val="21"/>
                <w:highlight w:val="none"/>
                <w:lang w:eastAsia="zh-CN"/>
              </w:rPr>
              <w:t>证</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70AE5CAA">
            <w:pPr>
              <w:pStyle w:val="44"/>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宋体" w:hAnsi="宋体" w:cs="宋体"/>
                <w:color w:val="auto"/>
                <w:highlight w:val="none"/>
              </w:rPr>
            </w:pPr>
            <w:r>
              <w:rPr>
                <w:rFonts w:hint="eastAsia" w:ascii="宋体" w:hAnsi="宋体" w:eastAsia="宋体" w:cs="宋体"/>
                <w:color w:val="auto"/>
                <w:szCs w:val="21"/>
                <w:highlight w:val="none"/>
              </w:rPr>
              <w:t>供应商相应的法定代表人、负责人、自然人身份证正反两面复印件</w:t>
            </w:r>
            <w:r>
              <w:rPr>
                <w:rFonts w:hint="eastAsia" w:ascii="宋体" w:hAnsi="宋体" w:eastAsia="宋体" w:cs="宋体"/>
                <w:b/>
                <w:bCs/>
                <w:color w:val="auto"/>
                <w:szCs w:val="21"/>
                <w:highlight w:val="none"/>
              </w:rPr>
              <w:t>（必须提供）</w:t>
            </w:r>
          </w:p>
        </w:tc>
      </w:tr>
      <w:tr w14:paraId="015DAFDA">
        <w:tblPrEx>
          <w:tblCellMar>
            <w:top w:w="0" w:type="dxa"/>
            <w:left w:w="108" w:type="dxa"/>
            <w:bottom w:w="0" w:type="dxa"/>
            <w:right w:w="108" w:type="dxa"/>
          </w:tblCellMar>
        </w:tblPrEx>
        <w:trPr>
          <w:trHeight w:val="537" w:hRule="atLeast"/>
          <w:jc w:val="center"/>
        </w:trPr>
        <w:tc>
          <w:tcPr>
            <w:tcW w:w="944" w:type="dxa"/>
            <w:vMerge w:val="continue"/>
            <w:tcBorders>
              <w:top w:val="single" w:color="auto" w:sz="4" w:space="0"/>
              <w:left w:val="single" w:color="auto" w:sz="4" w:space="0"/>
              <w:bottom w:val="single" w:color="auto" w:sz="4" w:space="0"/>
              <w:right w:val="single" w:color="auto" w:sz="4" w:space="0"/>
            </w:tcBorders>
            <w:noWrap w:val="0"/>
            <w:vAlign w:val="center"/>
          </w:tcPr>
          <w:p w14:paraId="11F08880">
            <w:pPr>
              <w:keepNext w:val="0"/>
              <w:keepLines w:val="0"/>
              <w:pageBreakBefore w:val="0"/>
              <w:widowControl w:val="0"/>
              <w:kinsoku/>
              <w:wordWrap/>
              <w:overflowPunct/>
              <w:topLinePunct w:val="0"/>
              <w:bidi w:val="0"/>
              <w:spacing w:line="500" w:lineRule="exact"/>
              <w:jc w:val="left"/>
              <w:rPr>
                <w:rFonts w:hint="eastAsia" w:ascii="宋体" w:hAnsi="宋体" w:cs="宋体"/>
                <w:color w:val="auto"/>
                <w:highlight w:val="none"/>
              </w:rPr>
            </w:pPr>
          </w:p>
        </w:tc>
        <w:tc>
          <w:tcPr>
            <w:tcW w:w="1111" w:type="dxa"/>
            <w:vMerge w:val="continue"/>
            <w:tcBorders>
              <w:top w:val="single" w:color="auto" w:sz="4" w:space="0"/>
              <w:left w:val="single" w:color="auto" w:sz="4" w:space="0"/>
              <w:bottom w:val="single" w:color="auto" w:sz="4" w:space="0"/>
              <w:right w:val="single" w:color="auto" w:sz="4" w:space="0"/>
            </w:tcBorders>
            <w:noWrap w:val="0"/>
            <w:vAlign w:val="center"/>
          </w:tcPr>
          <w:p w14:paraId="29B25196">
            <w:pPr>
              <w:keepNext w:val="0"/>
              <w:keepLines w:val="0"/>
              <w:pageBreakBefore w:val="0"/>
              <w:widowControl w:val="0"/>
              <w:kinsoku/>
              <w:wordWrap/>
              <w:overflowPunct/>
              <w:topLinePunct w:val="0"/>
              <w:bidi w:val="0"/>
              <w:spacing w:line="500" w:lineRule="exact"/>
              <w:jc w:val="left"/>
              <w:rPr>
                <w:rFonts w:hint="eastAsia" w:ascii="宋体" w:hAnsi="宋体" w:cs="宋体"/>
                <w:color w:val="auto"/>
                <w:kern w:val="0"/>
                <w:highlight w:val="none"/>
              </w:rPr>
            </w:pPr>
          </w:p>
        </w:tc>
        <w:tc>
          <w:tcPr>
            <w:tcW w:w="1963" w:type="dxa"/>
            <w:tcBorders>
              <w:top w:val="single" w:color="auto" w:sz="4" w:space="0"/>
              <w:left w:val="single" w:color="auto" w:sz="4" w:space="0"/>
              <w:bottom w:val="single" w:color="auto" w:sz="4" w:space="0"/>
              <w:right w:val="single" w:color="auto" w:sz="4" w:space="0"/>
            </w:tcBorders>
            <w:noWrap w:val="0"/>
            <w:vAlign w:val="center"/>
          </w:tcPr>
          <w:p w14:paraId="7D5D1642">
            <w:pPr>
              <w:pStyle w:val="44"/>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授权委托书</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委托代理人身份证</w:t>
            </w:r>
            <w:r>
              <w:rPr>
                <w:rFonts w:hint="eastAsia" w:ascii="宋体" w:hAnsi="宋体" w:cs="宋体"/>
                <w:color w:val="auto"/>
                <w:szCs w:val="21"/>
                <w:highlight w:val="none"/>
                <w:lang w:val="en-US" w:eastAsia="zh-CN"/>
              </w:rPr>
              <w:t>及</w:t>
            </w:r>
            <w:r>
              <w:rPr>
                <w:rFonts w:hint="eastAsia" w:ascii="宋体" w:hAnsi="宋体" w:eastAsia="宋体" w:cs="宋体"/>
                <w:color w:val="auto"/>
                <w:szCs w:val="21"/>
                <w:highlight w:val="none"/>
              </w:rPr>
              <w:t>社保证明</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44A3115E">
            <w:pPr>
              <w:pStyle w:val="44"/>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cs="宋体"/>
                <w:color w:val="auto"/>
                <w:highlight w:val="none"/>
                <w:lang w:val="en-US" w:eastAsia="zh-CN"/>
              </w:rPr>
            </w:pPr>
            <w:r>
              <w:rPr>
                <w:rFonts w:hint="eastAsia" w:ascii="宋体" w:hAnsi="宋体" w:eastAsia="宋体" w:cs="宋体"/>
                <w:color w:val="auto"/>
                <w:szCs w:val="21"/>
                <w:highlight w:val="none"/>
              </w:rPr>
              <w:t>供应商的授权委托书原件、委托代理人身份证正反面复印件以及由县级以上（含县级）社会养老保险经办机构出具的供应商为委托代理人交纳的响应文件递交截止时间前</w:t>
            </w:r>
            <w:r>
              <w:rPr>
                <w:rFonts w:hint="eastAsia" w:ascii="宋体" w:hAnsi="宋体" w:cs="宋体"/>
                <w:color w:val="auto"/>
                <w:szCs w:val="21"/>
                <w:highlight w:val="none"/>
                <w:lang w:eastAsia="zh-CN"/>
              </w:rPr>
              <w:t>半年内任意一个月</w:t>
            </w:r>
            <w:r>
              <w:rPr>
                <w:rFonts w:hint="eastAsia" w:ascii="宋体" w:hAnsi="宋体" w:eastAsia="宋体" w:cs="宋体"/>
                <w:color w:val="auto"/>
                <w:szCs w:val="21"/>
                <w:highlight w:val="none"/>
              </w:rPr>
              <w:t>社保证明复印件</w:t>
            </w:r>
            <w:r>
              <w:rPr>
                <w:rFonts w:hint="eastAsia" w:ascii="宋体" w:hAnsi="宋体" w:eastAsia="宋体" w:cs="宋体"/>
                <w:color w:val="auto"/>
                <w:szCs w:val="21"/>
                <w:highlight w:val="none"/>
                <w:lang w:eastAsia="zh-CN"/>
              </w:rPr>
              <w:t>；</w:t>
            </w:r>
            <w:r>
              <w:rPr>
                <w:rFonts w:hint="eastAsia" w:ascii="宋体" w:hAnsi="宋体" w:eastAsia="宋体" w:cs="宋体"/>
                <w:b/>
                <w:bCs/>
                <w:color w:val="auto"/>
                <w:szCs w:val="21"/>
                <w:highlight w:val="none"/>
              </w:rPr>
              <w:t>（委托代理时必须提供）</w:t>
            </w:r>
          </w:p>
        </w:tc>
      </w:tr>
      <w:tr w14:paraId="6AF97420">
        <w:tblPrEx>
          <w:tblCellMar>
            <w:top w:w="0" w:type="dxa"/>
            <w:left w:w="108" w:type="dxa"/>
            <w:bottom w:w="0" w:type="dxa"/>
            <w:right w:w="108" w:type="dxa"/>
          </w:tblCellMar>
        </w:tblPrEx>
        <w:trPr>
          <w:trHeight w:val="537" w:hRule="atLeast"/>
          <w:jc w:val="center"/>
        </w:trPr>
        <w:tc>
          <w:tcPr>
            <w:tcW w:w="944" w:type="dxa"/>
            <w:vMerge w:val="continue"/>
            <w:tcBorders>
              <w:top w:val="single" w:color="auto" w:sz="4" w:space="0"/>
              <w:left w:val="single" w:color="auto" w:sz="4" w:space="0"/>
              <w:bottom w:val="single" w:color="auto" w:sz="4" w:space="0"/>
              <w:right w:val="single" w:color="auto" w:sz="4" w:space="0"/>
            </w:tcBorders>
            <w:noWrap w:val="0"/>
            <w:vAlign w:val="center"/>
          </w:tcPr>
          <w:p w14:paraId="7C41C018">
            <w:pPr>
              <w:keepNext w:val="0"/>
              <w:keepLines w:val="0"/>
              <w:pageBreakBefore w:val="0"/>
              <w:widowControl w:val="0"/>
              <w:kinsoku/>
              <w:wordWrap/>
              <w:overflowPunct/>
              <w:topLinePunct w:val="0"/>
              <w:bidi w:val="0"/>
              <w:spacing w:line="500" w:lineRule="exact"/>
              <w:jc w:val="left"/>
              <w:rPr>
                <w:rFonts w:hint="eastAsia" w:ascii="宋体" w:hAnsi="宋体" w:cs="宋体"/>
                <w:color w:val="auto"/>
                <w:highlight w:val="none"/>
              </w:rPr>
            </w:pPr>
          </w:p>
        </w:tc>
        <w:tc>
          <w:tcPr>
            <w:tcW w:w="1111" w:type="dxa"/>
            <w:vMerge w:val="continue"/>
            <w:tcBorders>
              <w:top w:val="single" w:color="auto" w:sz="4" w:space="0"/>
              <w:left w:val="single" w:color="auto" w:sz="4" w:space="0"/>
              <w:bottom w:val="single" w:color="auto" w:sz="4" w:space="0"/>
              <w:right w:val="single" w:color="auto" w:sz="4" w:space="0"/>
            </w:tcBorders>
            <w:noWrap w:val="0"/>
            <w:vAlign w:val="center"/>
          </w:tcPr>
          <w:p w14:paraId="47E28F11">
            <w:pPr>
              <w:keepNext w:val="0"/>
              <w:keepLines w:val="0"/>
              <w:pageBreakBefore w:val="0"/>
              <w:widowControl w:val="0"/>
              <w:kinsoku/>
              <w:wordWrap/>
              <w:overflowPunct/>
              <w:topLinePunct w:val="0"/>
              <w:bidi w:val="0"/>
              <w:spacing w:line="500" w:lineRule="exact"/>
              <w:jc w:val="left"/>
              <w:rPr>
                <w:rFonts w:hint="eastAsia" w:ascii="宋体" w:hAnsi="宋体" w:cs="宋体"/>
                <w:color w:val="auto"/>
                <w:kern w:val="0"/>
                <w:highlight w:val="none"/>
              </w:rPr>
            </w:pPr>
          </w:p>
        </w:tc>
        <w:tc>
          <w:tcPr>
            <w:tcW w:w="1963" w:type="dxa"/>
            <w:tcBorders>
              <w:top w:val="single" w:color="auto" w:sz="4" w:space="0"/>
              <w:left w:val="single" w:color="auto" w:sz="4" w:space="0"/>
              <w:bottom w:val="single" w:color="auto" w:sz="4" w:space="0"/>
              <w:right w:val="single" w:color="auto" w:sz="4" w:space="0"/>
            </w:tcBorders>
            <w:noWrap w:val="0"/>
            <w:vAlign w:val="center"/>
          </w:tcPr>
          <w:p w14:paraId="10C38595">
            <w:pPr>
              <w:pStyle w:val="44"/>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Cs w:val="21"/>
                <w:highlight w:val="none"/>
                <w:lang w:eastAsia="zh-CN"/>
              </w:rPr>
              <w:t>无重大违法记录的书面声明</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12D4D381">
            <w:pPr>
              <w:pStyle w:val="44"/>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Cs w:val="21"/>
                <w:highlight w:val="none"/>
              </w:rPr>
              <w:t>供应商参加政府采购活动前3年内在经营活动中没有重大违法记录及有关信用信息的书面声明</w:t>
            </w:r>
            <w:r>
              <w:rPr>
                <w:rFonts w:hint="eastAsia" w:ascii="宋体" w:hAnsi="宋体" w:eastAsia="宋体" w:cs="宋体"/>
                <w:b/>
                <w:bCs/>
                <w:color w:val="auto"/>
                <w:szCs w:val="21"/>
                <w:highlight w:val="none"/>
              </w:rPr>
              <w:t>（必须提供）</w:t>
            </w:r>
          </w:p>
        </w:tc>
      </w:tr>
      <w:tr w14:paraId="5424CB12">
        <w:tblPrEx>
          <w:tblCellMar>
            <w:top w:w="0" w:type="dxa"/>
            <w:left w:w="108" w:type="dxa"/>
            <w:bottom w:w="0" w:type="dxa"/>
            <w:right w:w="108" w:type="dxa"/>
          </w:tblCellMar>
        </w:tblPrEx>
        <w:trPr>
          <w:trHeight w:val="622" w:hRule="atLeast"/>
          <w:jc w:val="center"/>
        </w:trPr>
        <w:tc>
          <w:tcPr>
            <w:tcW w:w="944" w:type="dxa"/>
            <w:vMerge w:val="continue"/>
            <w:tcBorders>
              <w:top w:val="single" w:color="auto" w:sz="4" w:space="0"/>
              <w:left w:val="single" w:color="auto" w:sz="4" w:space="0"/>
              <w:bottom w:val="single" w:color="auto" w:sz="4" w:space="0"/>
              <w:right w:val="single" w:color="auto" w:sz="4" w:space="0"/>
            </w:tcBorders>
            <w:noWrap w:val="0"/>
            <w:vAlign w:val="center"/>
          </w:tcPr>
          <w:p w14:paraId="15661C3A">
            <w:pPr>
              <w:keepNext w:val="0"/>
              <w:keepLines w:val="0"/>
              <w:pageBreakBefore w:val="0"/>
              <w:widowControl w:val="0"/>
              <w:kinsoku/>
              <w:wordWrap/>
              <w:overflowPunct/>
              <w:topLinePunct w:val="0"/>
              <w:bidi w:val="0"/>
              <w:spacing w:line="500" w:lineRule="exact"/>
              <w:jc w:val="left"/>
              <w:rPr>
                <w:rFonts w:hint="eastAsia" w:ascii="宋体" w:hAnsi="宋体" w:cs="宋体"/>
                <w:color w:val="auto"/>
                <w:highlight w:val="none"/>
              </w:rPr>
            </w:pPr>
          </w:p>
        </w:tc>
        <w:tc>
          <w:tcPr>
            <w:tcW w:w="1111" w:type="dxa"/>
            <w:vMerge w:val="continue"/>
            <w:tcBorders>
              <w:top w:val="single" w:color="auto" w:sz="4" w:space="0"/>
              <w:left w:val="single" w:color="auto" w:sz="4" w:space="0"/>
              <w:bottom w:val="single" w:color="auto" w:sz="4" w:space="0"/>
              <w:right w:val="single" w:color="auto" w:sz="4" w:space="0"/>
            </w:tcBorders>
            <w:noWrap w:val="0"/>
            <w:vAlign w:val="center"/>
          </w:tcPr>
          <w:p w14:paraId="581AF903">
            <w:pPr>
              <w:keepNext w:val="0"/>
              <w:keepLines w:val="0"/>
              <w:pageBreakBefore w:val="0"/>
              <w:widowControl w:val="0"/>
              <w:kinsoku/>
              <w:wordWrap/>
              <w:overflowPunct/>
              <w:topLinePunct w:val="0"/>
              <w:bidi w:val="0"/>
              <w:spacing w:line="500" w:lineRule="exact"/>
              <w:jc w:val="left"/>
              <w:rPr>
                <w:rFonts w:hint="eastAsia" w:ascii="宋体" w:hAnsi="宋体" w:cs="宋体"/>
                <w:color w:val="auto"/>
                <w:kern w:val="0"/>
                <w:highlight w:val="none"/>
              </w:rPr>
            </w:pPr>
          </w:p>
        </w:tc>
        <w:tc>
          <w:tcPr>
            <w:tcW w:w="1963" w:type="dxa"/>
            <w:tcBorders>
              <w:top w:val="single" w:color="auto" w:sz="4" w:space="0"/>
              <w:left w:val="single" w:color="auto" w:sz="4" w:space="0"/>
              <w:bottom w:val="single" w:color="auto" w:sz="4" w:space="0"/>
              <w:right w:val="single" w:color="auto" w:sz="4" w:space="0"/>
            </w:tcBorders>
            <w:noWrap w:val="0"/>
            <w:vAlign w:val="center"/>
          </w:tcPr>
          <w:p w14:paraId="763E7B5D">
            <w:pPr>
              <w:pStyle w:val="44"/>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营业执照</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0AE90A79">
            <w:pPr>
              <w:pStyle w:val="44"/>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cs="宋体"/>
                <w:color w:val="auto"/>
                <w:highlight w:val="none"/>
                <w:lang w:eastAsia="zh-CN"/>
              </w:rPr>
            </w:pPr>
            <w:r>
              <w:rPr>
                <w:rFonts w:hint="eastAsia" w:ascii="宋体" w:hAnsi="宋体" w:eastAsia="宋体" w:cs="宋体"/>
                <w:color w:val="auto"/>
                <w:szCs w:val="21"/>
                <w:highlight w:val="none"/>
              </w:rPr>
              <w:t>供应商的法人或者其他组织营业执照等证明文件复印件</w:t>
            </w:r>
            <w:r>
              <w:rPr>
                <w:rFonts w:hint="eastAsia" w:ascii="宋体" w:hAnsi="宋体" w:eastAsia="宋体" w:cs="宋体"/>
                <w:b/>
                <w:bCs/>
                <w:color w:val="auto"/>
                <w:szCs w:val="21"/>
                <w:highlight w:val="none"/>
              </w:rPr>
              <w:t>（必须提供，自然人除外）</w:t>
            </w:r>
          </w:p>
        </w:tc>
      </w:tr>
      <w:tr w14:paraId="4F2739E8">
        <w:tblPrEx>
          <w:tblCellMar>
            <w:top w:w="0" w:type="dxa"/>
            <w:left w:w="108" w:type="dxa"/>
            <w:bottom w:w="0" w:type="dxa"/>
            <w:right w:w="108" w:type="dxa"/>
          </w:tblCellMar>
        </w:tblPrEx>
        <w:trPr>
          <w:trHeight w:val="622" w:hRule="atLeast"/>
          <w:jc w:val="center"/>
        </w:trPr>
        <w:tc>
          <w:tcPr>
            <w:tcW w:w="944" w:type="dxa"/>
            <w:vMerge w:val="continue"/>
            <w:tcBorders>
              <w:top w:val="single" w:color="auto" w:sz="4" w:space="0"/>
              <w:left w:val="single" w:color="auto" w:sz="4" w:space="0"/>
              <w:bottom w:val="single" w:color="auto" w:sz="4" w:space="0"/>
              <w:right w:val="single" w:color="auto" w:sz="4" w:space="0"/>
            </w:tcBorders>
            <w:noWrap w:val="0"/>
            <w:vAlign w:val="center"/>
          </w:tcPr>
          <w:p w14:paraId="40102F24">
            <w:pPr>
              <w:keepNext w:val="0"/>
              <w:keepLines w:val="0"/>
              <w:pageBreakBefore w:val="0"/>
              <w:widowControl w:val="0"/>
              <w:kinsoku/>
              <w:wordWrap/>
              <w:overflowPunct/>
              <w:topLinePunct w:val="0"/>
              <w:bidi w:val="0"/>
              <w:spacing w:line="500" w:lineRule="exact"/>
              <w:jc w:val="left"/>
              <w:rPr>
                <w:rFonts w:hint="eastAsia" w:ascii="宋体" w:hAnsi="宋体" w:cs="宋体"/>
                <w:color w:val="auto"/>
                <w:highlight w:val="none"/>
              </w:rPr>
            </w:pPr>
          </w:p>
        </w:tc>
        <w:tc>
          <w:tcPr>
            <w:tcW w:w="1111" w:type="dxa"/>
            <w:vMerge w:val="continue"/>
            <w:tcBorders>
              <w:top w:val="single" w:color="auto" w:sz="4" w:space="0"/>
              <w:left w:val="single" w:color="auto" w:sz="4" w:space="0"/>
              <w:bottom w:val="single" w:color="auto" w:sz="4" w:space="0"/>
              <w:right w:val="single" w:color="auto" w:sz="4" w:space="0"/>
            </w:tcBorders>
            <w:noWrap w:val="0"/>
            <w:vAlign w:val="center"/>
          </w:tcPr>
          <w:p w14:paraId="742AEB44">
            <w:pPr>
              <w:keepNext w:val="0"/>
              <w:keepLines w:val="0"/>
              <w:pageBreakBefore w:val="0"/>
              <w:widowControl w:val="0"/>
              <w:kinsoku/>
              <w:wordWrap/>
              <w:overflowPunct/>
              <w:topLinePunct w:val="0"/>
              <w:bidi w:val="0"/>
              <w:spacing w:line="500" w:lineRule="exact"/>
              <w:jc w:val="left"/>
              <w:rPr>
                <w:rFonts w:hint="eastAsia" w:ascii="宋体" w:hAnsi="宋体" w:cs="宋体"/>
                <w:color w:val="auto"/>
                <w:kern w:val="0"/>
                <w:highlight w:val="none"/>
              </w:rPr>
            </w:pPr>
          </w:p>
        </w:tc>
        <w:tc>
          <w:tcPr>
            <w:tcW w:w="1963" w:type="dxa"/>
            <w:tcBorders>
              <w:top w:val="single" w:color="auto" w:sz="4" w:space="0"/>
              <w:left w:val="single" w:color="auto" w:sz="4" w:space="0"/>
              <w:bottom w:val="single" w:color="auto" w:sz="4" w:space="0"/>
              <w:right w:val="single" w:color="auto" w:sz="4" w:space="0"/>
            </w:tcBorders>
            <w:noWrap w:val="0"/>
            <w:vAlign w:val="center"/>
          </w:tcPr>
          <w:p w14:paraId="02A45356">
            <w:pPr>
              <w:pStyle w:val="44"/>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资质证书</w:t>
            </w:r>
            <w:r>
              <w:rPr>
                <w:rFonts w:hint="eastAsia" w:ascii="宋体" w:hAnsi="宋体" w:cs="宋体"/>
                <w:color w:val="auto"/>
                <w:szCs w:val="21"/>
                <w:highlight w:val="none"/>
                <w:lang w:val="en-US" w:eastAsia="zh-CN"/>
              </w:rPr>
              <w:t>及</w:t>
            </w:r>
            <w:r>
              <w:rPr>
                <w:rFonts w:hint="eastAsia" w:ascii="宋体" w:hAnsi="宋体" w:eastAsia="宋体" w:cs="宋体"/>
                <w:color w:val="auto"/>
                <w:szCs w:val="21"/>
                <w:highlight w:val="none"/>
                <w:lang w:eastAsia="zh-CN"/>
              </w:rPr>
              <w:t>安全生产许可证</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41B5EBFA">
            <w:pPr>
              <w:pStyle w:val="44"/>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cs="宋体"/>
                <w:color w:val="auto"/>
                <w:highlight w:val="none"/>
                <w:lang w:val="en-US" w:eastAsia="zh-CN"/>
              </w:rPr>
            </w:pPr>
            <w:r>
              <w:rPr>
                <w:rFonts w:hint="eastAsia" w:ascii="宋体" w:hAnsi="宋体" w:cs="宋体"/>
                <w:bCs/>
                <w:color w:val="auto"/>
                <w:kern w:val="0"/>
                <w:szCs w:val="21"/>
                <w:highlight w:val="none"/>
                <w:lang w:val="en-US" w:eastAsia="zh-CN"/>
              </w:rPr>
              <w:t>供应商有效的资质证书复印件及</w:t>
            </w:r>
            <w:r>
              <w:rPr>
                <w:rFonts w:hint="eastAsia" w:ascii="宋体" w:hAnsi="宋体" w:eastAsia="宋体" w:cs="宋体"/>
                <w:bCs/>
                <w:color w:val="auto"/>
                <w:kern w:val="0"/>
                <w:szCs w:val="21"/>
                <w:highlight w:val="none"/>
                <w:lang w:val="en-US" w:eastAsia="zh-CN"/>
              </w:rPr>
              <w:t>供应商有效的安全生产许可证书复印件</w:t>
            </w:r>
            <w:r>
              <w:rPr>
                <w:rFonts w:hint="eastAsia" w:ascii="宋体" w:hAnsi="宋体" w:eastAsia="宋体" w:cs="宋体"/>
                <w:b/>
                <w:bCs w:val="0"/>
                <w:color w:val="auto"/>
                <w:kern w:val="0"/>
                <w:szCs w:val="21"/>
                <w:highlight w:val="none"/>
                <w:lang w:val="en-US" w:eastAsia="zh-CN"/>
              </w:rPr>
              <w:t>（必须提供）</w:t>
            </w:r>
          </w:p>
        </w:tc>
      </w:tr>
      <w:tr w14:paraId="79F42384">
        <w:tblPrEx>
          <w:tblCellMar>
            <w:top w:w="0" w:type="dxa"/>
            <w:left w:w="108" w:type="dxa"/>
            <w:bottom w:w="0" w:type="dxa"/>
            <w:right w:w="108" w:type="dxa"/>
          </w:tblCellMar>
        </w:tblPrEx>
        <w:trPr>
          <w:trHeight w:val="622" w:hRule="atLeast"/>
          <w:jc w:val="center"/>
        </w:trPr>
        <w:tc>
          <w:tcPr>
            <w:tcW w:w="944" w:type="dxa"/>
            <w:vMerge w:val="continue"/>
            <w:tcBorders>
              <w:top w:val="single" w:color="auto" w:sz="4" w:space="0"/>
              <w:left w:val="single" w:color="auto" w:sz="4" w:space="0"/>
              <w:bottom w:val="single" w:color="auto" w:sz="4" w:space="0"/>
              <w:right w:val="single" w:color="auto" w:sz="4" w:space="0"/>
            </w:tcBorders>
            <w:noWrap w:val="0"/>
            <w:vAlign w:val="center"/>
          </w:tcPr>
          <w:p w14:paraId="4FC73B14">
            <w:pPr>
              <w:keepNext w:val="0"/>
              <w:keepLines w:val="0"/>
              <w:pageBreakBefore w:val="0"/>
              <w:widowControl w:val="0"/>
              <w:kinsoku/>
              <w:wordWrap/>
              <w:overflowPunct/>
              <w:topLinePunct w:val="0"/>
              <w:bidi w:val="0"/>
              <w:spacing w:line="500" w:lineRule="exact"/>
              <w:jc w:val="left"/>
              <w:rPr>
                <w:rFonts w:hint="eastAsia" w:ascii="宋体" w:hAnsi="宋体" w:cs="宋体"/>
                <w:color w:val="auto"/>
                <w:highlight w:val="none"/>
              </w:rPr>
            </w:pPr>
          </w:p>
        </w:tc>
        <w:tc>
          <w:tcPr>
            <w:tcW w:w="1111" w:type="dxa"/>
            <w:vMerge w:val="continue"/>
            <w:tcBorders>
              <w:top w:val="single" w:color="auto" w:sz="4" w:space="0"/>
              <w:left w:val="single" w:color="auto" w:sz="4" w:space="0"/>
              <w:bottom w:val="single" w:color="auto" w:sz="4" w:space="0"/>
              <w:right w:val="single" w:color="auto" w:sz="4" w:space="0"/>
            </w:tcBorders>
            <w:noWrap w:val="0"/>
            <w:vAlign w:val="center"/>
          </w:tcPr>
          <w:p w14:paraId="246A47BE">
            <w:pPr>
              <w:keepNext w:val="0"/>
              <w:keepLines w:val="0"/>
              <w:pageBreakBefore w:val="0"/>
              <w:widowControl w:val="0"/>
              <w:kinsoku/>
              <w:wordWrap/>
              <w:overflowPunct/>
              <w:topLinePunct w:val="0"/>
              <w:bidi w:val="0"/>
              <w:spacing w:line="500" w:lineRule="exact"/>
              <w:jc w:val="left"/>
              <w:rPr>
                <w:rFonts w:hint="eastAsia" w:ascii="宋体" w:hAnsi="宋体" w:cs="宋体"/>
                <w:color w:val="auto"/>
                <w:kern w:val="0"/>
                <w:highlight w:val="none"/>
              </w:rPr>
            </w:pPr>
          </w:p>
        </w:tc>
        <w:tc>
          <w:tcPr>
            <w:tcW w:w="1963" w:type="dxa"/>
            <w:tcBorders>
              <w:top w:val="single" w:color="auto" w:sz="4" w:space="0"/>
              <w:left w:val="single" w:color="auto" w:sz="4" w:space="0"/>
              <w:bottom w:val="single" w:color="auto" w:sz="4" w:space="0"/>
              <w:right w:val="single" w:color="auto" w:sz="4" w:space="0"/>
            </w:tcBorders>
            <w:noWrap w:val="0"/>
            <w:vAlign w:val="center"/>
          </w:tcPr>
          <w:p w14:paraId="622D7EDA">
            <w:pPr>
              <w:pStyle w:val="44"/>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highlight w:val="none"/>
                <w:lang w:eastAsia="zh-CN"/>
              </w:rPr>
            </w:pPr>
            <w:r>
              <w:rPr>
                <w:rFonts w:hint="eastAsia" w:ascii="宋体" w:hAnsi="宋体" w:cs="宋体"/>
                <w:bCs/>
                <w:color w:val="auto"/>
                <w:kern w:val="0"/>
                <w:szCs w:val="21"/>
                <w:highlight w:val="none"/>
                <w:lang w:val="en-US" w:eastAsia="zh-CN"/>
              </w:rPr>
              <w:t>项目负责人</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30F2BF10">
            <w:pPr>
              <w:pStyle w:val="44"/>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cs="宋体"/>
                <w:color w:val="auto"/>
                <w:highlight w:val="none"/>
              </w:rPr>
            </w:pPr>
            <w:r>
              <w:rPr>
                <w:rFonts w:hint="eastAsia" w:ascii="宋体" w:hAnsi="宋体" w:cs="宋体"/>
                <w:bCs/>
                <w:color w:val="auto"/>
                <w:kern w:val="0"/>
                <w:szCs w:val="21"/>
                <w:highlight w:val="none"/>
                <w:lang w:val="en-US" w:eastAsia="zh-CN"/>
              </w:rPr>
              <w:t>拟派项目负责人的注册二级建造师证书复印件、安全生产考核B证证书复印件及项目经理无在建工程承诺书（格式自拟）</w:t>
            </w:r>
            <w:r>
              <w:rPr>
                <w:rFonts w:hint="eastAsia" w:ascii="宋体" w:hAnsi="宋体" w:eastAsia="宋体" w:cs="宋体"/>
                <w:b/>
                <w:bCs w:val="0"/>
                <w:color w:val="auto"/>
                <w:kern w:val="0"/>
                <w:szCs w:val="21"/>
                <w:highlight w:val="none"/>
                <w:lang w:val="en-US" w:eastAsia="zh-CN"/>
              </w:rPr>
              <w:t>（必须提供）</w:t>
            </w:r>
          </w:p>
        </w:tc>
      </w:tr>
      <w:tr w14:paraId="2C765643">
        <w:tblPrEx>
          <w:tblCellMar>
            <w:top w:w="0" w:type="dxa"/>
            <w:left w:w="108" w:type="dxa"/>
            <w:bottom w:w="0" w:type="dxa"/>
            <w:right w:w="108" w:type="dxa"/>
          </w:tblCellMar>
        </w:tblPrEx>
        <w:trPr>
          <w:trHeight w:val="622" w:hRule="atLeast"/>
          <w:jc w:val="center"/>
        </w:trPr>
        <w:tc>
          <w:tcPr>
            <w:tcW w:w="944" w:type="dxa"/>
            <w:vMerge w:val="continue"/>
            <w:tcBorders>
              <w:top w:val="single" w:color="auto" w:sz="4" w:space="0"/>
              <w:left w:val="single" w:color="auto" w:sz="4" w:space="0"/>
              <w:bottom w:val="single" w:color="auto" w:sz="4" w:space="0"/>
              <w:right w:val="single" w:color="auto" w:sz="4" w:space="0"/>
            </w:tcBorders>
            <w:noWrap w:val="0"/>
            <w:vAlign w:val="center"/>
          </w:tcPr>
          <w:p w14:paraId="7D4CC7CE">
            <w:pPr>
              <w:keepNext w:val="0"/>
              <w:keepLines w:val="0"/>
              <w:pageBreakBefore w:val="0"/>
              <w:widowControl w:val="0"/>
              <w:kinsoku/>
              <w:wordWrap/>
              <w:overflowPunct/>
              <w:topLinePunct w:val="0"/>
              <w:bidi w:val="0"/>
              <w:spacing w:line="500" w:lineRule="exact"/>
              <w:jc w:val="left"/>
              <w:rPr>
                <w:rFonts w:hint="eastAsia" w:ascii="宋体" w:hAnsi="宋体" w:cs="宋体"/>
                <w:color w:val="auto"/>
                <w:highlight w:val="none"/>
              </w:rPr>
            </w:pPr>
          </w:p>
        </w:tc>
        <w:tc>
          <w:tcPr>
            <w:tcW w:w="1111" w:type="dxa"/>
            <w:vMerge w:val="continue"/>
            <w:tcBorders>
              <w:top w:val="single" w:color="auto" w:sz="4" w:space="0"/>
              <w:left w:val="single" w:color="auto" w:sz="4" w:space="0"/>
              <w:bottom w:val="single" w:color="auto" w:sz="4" w:space="0"/>
              <w:right w:val="single" w:color="auto" w:sz="4" w:space="0"/>
            </w:tcBorders>
            <w:noWrap w:val="0"/>
            <w:vAlign w:val="center"/>
          </w:tcPr>
          <w:p w14:paraId="261D99C2">
            <w:pPr>
              <w:keepNext w:val="0"/>
              <w:keepLines w:val="0"/>
              <w:pageBreakBefore w:val="0"/>
              <w:widowControl w:val="0"/>
              <w:kinsoku/>
              <w:wordWrap/>
              <w:overflowPunct/>
              <w:topLinePunct w:val="0"/>
              <w:bidi w:val="0"/>
              <w:spacing w:line="500" w:lineRule="exact"/>
              <w:jc w:val="left"/>
              <w:rPr>
                <w:rFonts w:hint="eastAsia" w:ascii="宋体" w:hAnsi="宋体" w:cs="宋体"/>
                <w:color w:val="auto"/>
                <w:kern w:val="0"/>
                <w:highlight w:val="none"/>
              </w:rPr>
            </w:pPr>
          </w:p>
        </w:tc>
        <w:tc>
          <w:tcPr>
            <w:tcW w:w="1963" w:type="dxa"/>
            <w:tcBorders>
              <w:top w:val="single" w:color="auto" w:sz="4" w:space="0"/>
              <w:left w:val="single" w:color="auto" w:sz="4" w:space="0"/>
              <w:bottom w:val="single" w:color="auto" w:sz="4" w:space="0"/>
              <w:right w:val="single" w:color="auto" w:sz="4" w:space="0"/>
            </w:tcBorders>
            <w:noWrap w:val="0"/>
            <w:vAlign w:val="center"/>
          </w:tcPr>
          <w:p w14:paraId="78567256">
            <w:pPr>
              <w:pStyle w:val="44"/>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财务状况报告</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67642EF1">
            <w:pPr>
              <w:pStyle w:val="44"/>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lang w:eastAsia="zh-CN"/>
              </w:rPr>
              <w:t>供应商2025年度财务状况报告</w:t>
            </w:r>
            <w:r>
              <w:rPr>
                <w:rFonts w:hint="eastAsia" w:ascii="宋体" w:hAnsi="宋体" w:eastAsia="宋体" w:cs="宋体"/>
                <w:b/>
                <w:bCs/>
                <w:color w:val="auto"/>
                <w:sz w:val="21"/>
                <w:szCs w:val="21"/>
                <w:highlight w:val="none"/>
                <w:lang w:val="en-US" w:eastAsia="zh-CN"/>
              </w:rPr>
              <w:t>（必须提供</w:t>
            </w:r>
            <w:r>
              <w:rPr>
                <w:rFonts w:hint="eastAsia" w:ascii="宋体" w:hAnsi="宋体" w:cs="宋体"/>
                <w:b/>
                <w:bCs/>
                <w:color w:val="auto"/>
                <w:szCs w:val="21"/>
                <w:highlight w:val="none"/>
                <w:lang w:eastAsia="zh-CN"/>
              </w:rPr>
              <w:t>，</w:t>
            </w:r>
            <w:r>
              <w:rPr>
                <w:rFonts w:ascii="宋体" w:hAnsi="宋体" w:cs="宋体"/>
                <w:b/>
                <w:bCs/>
                <w:color w:val="auto"/>
                <w:szCs w:val="21"/>
                <w:highlight w:val="none"/>
              </w:rPr>
              <w:t>可</w:t>
            </w:r>
            <w:r>
              <w:rPr>
                <w:rFonts w:hint="eastAsia" w:ascii="宋体" w:hAnsi="宋体" w:cs="宋体"/>
                <w:b/>
                <w:bCs/>
                <w:color w:val="auto"/>
                <w:szCs w:val="21"/>
                <w:highlight w:val="none"/>
                <w:lang w:eastAsia="zh-CN"/>
              </w:rPr>
              <w:t>以是磋商供应商</w:t>
            </w:r>
            <w:r>
              <w:rPr>
                <w:rFonts w:ascii="宋体" w:hAnsi="宋体" w:cs="宋体"/>
                <w:b/>
                <w:bCs/>
                <w:color w:val="auto"/>
                <w:szCs w:val="21"/>
                <w:highlight w:val="none"/>
              </w:rPr>
              <w:t>自行编制也可</w:t>
            </w:r>
            <w:r>
              <w:rPr>
                <w:rFonts w:hint="eastAsia" w:ascii="宋体" w:hAnsi="宋体" w:cs="宋体"/>
                <w:b/>
                <w:bCs/>
                <w:color w:val="auto"/>
                <w:szCs w:val="21"/>
                <w:highlight w:val="none"/>
                <w:lang w:eastAsia="zh-CN"/>
              </w:rPr>
              <w:t>是</w:t>
            </w:r>
            <w:r>
              <w:rPr>
                <w:rFonts w:ascii="宋体" w:hAnsi="宋体" w:cs="宋体"/>
                <w:b/>
                <w:bCs/>
                <w:color w:val="auto"/>
                <w:szCs w:val="21"/>
                <w:highlight w:val="none"/>
              </w:rPr>
              <w:t>通过</w:t>
            </w:r>
            <w:r>
              <w:rPr>
                <w:rFonts w:hint="eastAsia" w:ascii="宋体" w:hAnsi="宋体" w:cs="宋体"/>
                <w:b/>
                <w:bCs/>
                <w:color w:val="auto"/>
                <w:szCs w:val="21"/>
                <w:highlight w:val="none"/>
                <w:lang w:eastAsia="zh-CN"/>
              </w:rPr>
              <w:t>第三方</w:t>
            </w:r>
            <w:r>
              <w:rPr>
                <w:rFonts w:ascii="宋体" w:hAnsi="宋体" w:cs="宋体"/>
                <w:b/>
                <w:bCs/>
                <w:color w:val="auto"/>
                <w:szCs w:val="21"/>
                <w:highlight w:val="none"/>
              </w:rPr>
              <w:t>审计公司编制，如为自行编制至少须提供现金流量表、负债表及利润表</w:t>
            </w:r>
            <w:r>
              <w:rPr>
                <w:rFonts w:hint="eastAsia" w:ascii="宋体" w:hAnsi="宋体" w:eastAsia="宋体" w:cs="宋体"/>
                <w:b/>
                <w:bCs/>
                <w:color w:val="auto"/>
                <w:sz w:val="21"/>
                <w:szCs w:val="21"/>
                <w:highlight w:val="none"/>
                <w:lang w:val="en-US" w:eastAsia="zh-CN"/>
              </w:rPr>
              <w:t>）</w:t>
            </w:r>
          </w:p>
        </w:tc>
      </w:tr>
      <w:tr w14:paraId="5871A5B4">
        <w:tblPrEx>
          <w:tblCellMar>
            <w:top w:w="0" w:type="dxa"/>
            <w:left w:w="108" w:type="dxa"/>
            <w:bottom w:w="0" w:type="dxa"/>
            <w:right w:w="108" w:type="dxa"/>
          </w:tblCellMar>
        </w:tblPrEx>
        <w:trPr>
          <w:trHeight w:val="497" w:hRule="atLeast"/>
          <w:jc w:val="center"/>
        </w:trPr>
        <w:tc>
          <w:tcPr>
            <w:tcW w:w="944" w:type="dxa"/>
            <w:vMerge w:val="continue"/>
            <w:tcBorders>
              <w:top w:val="single" w:color="auto" w:sz="4" w:space="0"/>
              <w:left w:val="single" w:color="auto" w:sz="4" w:space="0"/>
              <w:bottom w:val="single" w:color="auto" w:sz="4" w:space="0"/>
              <w:right w:val="single" w:color="auto" w:sz="4" w:space="0"/>
            </w:tcBorders>
            <w:noWrap w:val="0"/>
            <w:vAlign w:val="center"/>
          </w:tcPr>
          <w:p w14:paraId="259E7B7A">
            <w:pPr>
              <w:keepNext w:val="0"/>
              <w:keepLines w:val="0"/>
              <w:pageBreakBefore w:val="0"/>
              <w:widowControl w:val="0"/>
              <w:kinsoku/>
              <w:wordWrap/>
              <w:overflowPunct/>
              <w:topLinePunct w:val="0"/>
              <w:bidi w:val="0"/>
              <w:spacing w:line="500" w:lineRule="exact"/>
              <w:jc w:val="left"/>
              <w:rPr>
                <w:rFonts w:hint="eastAsia" w:ascii="宋体" w:hAnsi="宋体" w:cs="宋体"/>
                <w:color w:val="auto"/>
                <w:highlight w:val="none"/>
              </w:rPr>
            </w:pPr>
          </w:p>
        </w:tc>
        <w:tc>
          <w:tcPr>
            <w:tcW w:w="1111" w:type="dxa"/>
            <w:vMerge w:val="continue"/>
            <w:tcBorders>
              <w:top w:val="single" w:color="auto" w:sz="4" w:space="0"/>
              <w:left w:val="single" w:color="auto" w:sz="4" w:space="0"/>
              <w:bottom w:val="single" w:color="auto" w:sz="4" w:space="0"/>
              <w:right w:val="single" w:color="auto" w:sz="4" w:space="0"/>
            </w:tcBorders>
            <w:noWrap w:val="0"/>
            <w:vAlign w:val="center"/>
          </w:tcPr>
          <w:p w14:paraId="6CF12799">
            <w:pPr>
              <w:keepNext w:val="0"/>
              <w:keepLines w:val="0"/>
              <w:pageBreakBefore w:val="0"/>
              <w:widowControl w:val="0"/>
              <w:kinsoku/>
              <w:wordWrap/>
              <w:overflowPunct/>
              <w:topLinePunct w:val="0"/>
              <w:bidi w:val="0"/>
              <w:spacing w:line="500" w:lineRule="exact"/>
              <w:jc w:val="left"/>
              <w:rPr>
                <w:rFonts w:hint="eastAsia" w:ascii="宋体" w:hAnsi="宋体" w:cs="宋体"/>
                <w:color w:val="auto"/>
                <w:kern w:val="0"/>
                <w:highlight w:val="none"/>
              </w:rPr>
            </w:pPr>
          </w:p>
        </w:tc>
        <w:tc>
          <w:tcPr>
            <w:tcW w:w="1963" w:type="dxa"/>
            <w:tcBorders>
              <w:top w:val="single" w:color="auto" w:sz="4" w:space="0"/>
              <w:left w:val="single" w:color="auto" w:sz="4" w:space="0"/>
              <w:bottom w:val="single" w:color="auto" w:sz="4" w:space="0"/>
              <w:right w:val="single" w:color="auto" w:sz="4" w:space="0"/>
            </w:tcBorders>
            <w:noWrap w:val="0"/>
            <w:vAlign w:val="center"/>
          </w:tcPr>
          <w:p w14:paraId="4A598D63">
            <w:pPr>
              <w:pStyle w:val="44"/>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依法纳税证明材料</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17F3AF77">
            <w:pPr>
              <w:pStyle w:val="44"/>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cs="宋体"/>
                <w:color w:val="auto"/>
                <w:highlight w:val="none"/>
                <w:lang w:eastAsia="zh-CN"/>
              </w:rPr>
            </w:pPr>
            <w:r>
              <w:rPr>
                <w:rFonts w:hint="eastAsia" w:ascii="宋体" w:hAnsi="宋体" w:cs="宋体"/>
                <w:color w:val="auto"/>
                <w:szCs w:val="21"/>
                <w:highlight w:val="none"/>
                <w:lang w:eastAsia="zh-CN"/>
              </w:rPr>
              <w:t>供应商近半年内任意一个月依法缴纳税收的证明材料[增值税缴纳发票(税收完税证明)或企业所得税完税证明或税务部门出具的免税证明]复印件</w:t>
            </w:r>
            <w:r>
              <w:rPr>
                <w:rFonts w:hint="eastAsia" w:ascii="宋体" w:hAnsi="宋体" w:eastAsia="宋体" w:cs="宋体"/>
                <w:color w:val="auto"/>
                <w:szCs w:val="21"/>
                <w:highlight w:val="none"/>
              </w:rPr>
              <w:t>(税收完税证明)或企业所得税完税证明或税务部门出具的免税证明</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复印件</w:t>
            </w:r>
            <w:r>
              <w:rPr>
                <w:rFonts w:hint="eastAsia" w:ascii="宋体" w:hAnsi="宋体" w:eastAsia="宋体" w:cs="宋体"/>
                <w:b/>
                <w:bCs/>
                <w:color w:val="auto"/>
                <w:szCs w:val="21"/>
                <w:highlight w:val="none"/>
              </w:rPr>
              <w:t>（必须提供）</w:t>
            </w:r>
          </w:p>
        </w:tc>
      </w:tr>
      <w:tr w14:paraId="621C4B93">
        <w:tblPrEx>
          <w:tblCellMar>
            <w:top w:w="0" w:type="dxa"/>
            <w:left w:w="108" w:type="dxa"/>
            <w:bottom w:w="0" w:type="dxa"/>
            <w:right w:w="108" w:type="dxa"/>
          </w:tblCellMar>
        </w:tblPrEx>
        <w:trPr>
          <w:trHeight w:val="560" w:hRule="atLeast"/>
          <w:jc w:val="center"/>
        </w:trPr>
        <w:tc>
          <w:tcPr>
            <w:tcW w:w="944" w:type="dxa"/>
            <w:vMerge w:val="continue"/>
            <w:tcBorders>
              <w:top w:val="single" w:color="auto" w:sz="4" w:space="0"/>
              <w:left w:val="single" w:color="auto" w:sz="4" w:space="0"/>
              <w:bottom w:val="single" w:color="auto" w:sz="4" w:space="0"/>
              <w:right w:val="single" w:color="auto" w:sz="4" w:space="0"/>
            </w:tcBorders>
            <w:noWrap w:val="0"/>
            <w:vAlign w:val="center"/>
          </w:tcPr>
          <w:p w14:paraId="4578BF72">
            <w:pPr>
              <w:keepNext w:val="0"/>
              <w:keepLines w:val="0"/>
              <w:pageBreakBefore w:val="0"/>
              <w:widowControl w:val="0"/>
              <w:kinsoku/>
              <w:wordWrap/>
              <w:overflowPunct/>
              <w:topLinePunct w:val="0"/>
              <w:bidi w:val="0"/>
              <w:spacing w:line="500" w:lineRule="exact"/>
              <w:jc w:val="left"/>
              <w:rPr>
                <w:rFonts w:hint="eastAsia" w:ascii="宋体" w:hAnsi="宋体" w:cs="宋体"/>
                <w:color w:val="auto"/>
                <w:highlight w:val="none"/>
              </w:rPr>
            </w:pPr>
          </w:p>
        </w:tc>
        <w:tc>
          <w:tcPr>
            <w:tcW w:w="1111" w:type="dxa"/>
            <w:vMerge w:val="continue"/>
            <w:tcBorders>
              <w:top w:val="single" w:color="auto" w:sz="4" w:space="0"/>
              <w:left w:val="single" w:color="auto" w:sz="4" w:space="0"/>
              <w:bottom w:val="single" w:color="auto" w:sz="4" w:space="0"/>
              <w:right w:val="single" w:color="auto" w:sz="4" w:space="0"/>
            </w:tcBorders>
            <w:noWrap w:val="0"/>
            <w:vAlign w:val="center"/>
          </w:tcPr>
          <w:p w14:paraId="676806AD">
            <w:pPr>
              <w:keepNext w:val="0"/>
              <w:keepLines w:val="0"/>
              <w:pageBreakBefore w:val="0"/>
              <w:widowControl w:val="0"/>
              <w:kinsoku/>
              <w:wordWrap/>
              <w:overflowPunct/>
              <w:topLinePunct w:val="0"/>
              <w:bidi w:val="0"/>
              <w:spacing w:line="500" w:lineRule="exact"/>
              <w:jc w:val="left"/>
              <w:rPr>
                <w:rFonts w:hint="eastAsia" w:ascii="宋体" w:hAnsi="宋体" w:cs="宋体"/>
                <w:color w:val="auto"/>
                <w:kern w:val="0"/>
                <w:highlight w:val="none"/>
              </w:rPr>
            </w:pPr>
          </w:p>
        </w:tc>
        <w:tc>
          <w:tcPr>
            <w:tcW w:w="1963" w:type="dxa"/>
            <w:tcBorders>
              <w:top w:val="single" w:color="auto" w:sz="4" w:space="0"/>
              <w:left w:val="single" w:color="auto" w:sz="4" w:space="0"/>
              <w:bottom w:val="single" w:color="auto" w:sz="4" w:space="0"/>
              <w:right w:val="single" w:color="auto" w:sz="4" w:space="0"/>
            </w:tcBorders>
            <w:noWrap w:val="0"/>
            <w:vAlign w:val="center"/>
          </w:tcPr>
          <w:p w14:paraId="0EBA8483">
            <w:pPr>
              <w:pStyle w:val="44"/>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落实政府采购政策需满足的资格要求</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2C871B71">
            <w:pPr>
              <w:pStyle w:val="44"/>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cs="宋体"/>
                <w:color w:val="auto"/>
                <w:highlight w:val="none"/>
              </w:rPr>
            </w:pPr>
            <w:r>
              <w:rPr>
                <w:rFonts w:hint="eastAsia" w:ascii="宋体" w:hAnsi="宋体" w:eastAsia="宋体" w:cs="宋体"/>
                <w:bCs/>
                <w:color w:val="auto"/>
                <w:kern w:val="0"/>
                <w:sz w:val="21"/>
                <w:szCs w:val="21"/>
                <w:highlight w:val="none"/>
                <w:lang w:val="en-US" w:eastAsia="zh-CN" w:bidi="ar-SA"/>
              </w:rPr>
              <w:t>《中小企业声明函》或《残疾人福利性单位声明函》或省级以上监狱管理局、戒毒管理局（含新疆生产建设兵团）出具的属于监狱企业的证明文件复印件</w:t>
            </w:r>
            <w:r>
              <w:rPr>
                <w:rFonts w:hint="eastAsia" w:ascii="宋体" w:hAnsi="宋体" w:eastAsia="宋体" w:cs="宋体"/>
                <w:b/>
                <w:bCs w:val="0"/>
                <w:color w:val="auto"/>
                <w:kern w:val="0"/>
                <w:sz w:val="21"/>
                <w:szCs w:val="21"/>
                <w:highlight w:val="none"/>
                <w:lang w:val="en-US" w:eastAsia="zh-CN" w:bidi="ar-SA"/>
              </w:rPr>
              <w:t>（必须提供其中一项）</w:t>
            </w:r>
          </w:p>
        </w:tc>
      </w:tr>
      <w:tr w14:paraId="7A52A03F">
        <w:tblPrEx>
          <w:tblCellMar>
            <w:top w:w="0" w:type="dxa"/>
            <w:left w:w="108" w:type="dxa"/>
            <w:bottom w:w="0" w:type="dxa"/>
            <w:right w:w="108" w:type="dxa"/>
          </w:tblCellMar>
        </w:tblPrEx>
        <w:trPr>
          <w:trHeight w:val="487" w:hRule="atLeast"/>
          <w:jc w:val="center"/>
        </w:trPr>
        <w:tc>
          <w:tcPr>
            <w:tcW w:w="944" w:type="dxa"/>
            <w:vMerge w:val="restart"/>
            <w:tcBorders>
              <w:top w:val="single" w:color="auto" w:sz="4" w:space="0"/>
              <w:left w:val="single" w:color="auto" w:sz="4" w:space="0"/>
              <w:bottom w:val="single" w:color="auto" w:sz="4" w:space="0"/>
              <w:right w:val="single" w:color="auto" w:sz="4" w:space="0"/>
            </w:tcBorders>
            <w:noWrap w:val="0"/>
            <w:vAlign w:val="center"/>
          </w:tcPr>
          <w:p w14:paraId="539C202C">
            <w:pPr>
              <w:keepNext w:val="0"/>
              <w:keepLines w:val="0"/>
              <w:pageBreakBefore w:val="0"/>
              <w:widowControl w:val="0"/>
              <w:kinsoku/>
              <w:wordWrap/>
              <w:overflowPunct/>
              <w:topLinePunct w:val="0"/>
              <w:bidi w:val="0"/>
              <w:spacing w:line="500" w:lineRule="exact"/>
              <w:jc w:val="center"/>
              <w:rPr>
                <w:rFonts w:hint="eastAsia" w:ascii="宋体" w:hAnsi="宋体" w:cs="宋体"/>
                <w:b/>
                <w:color w:val="auto"/>
                <w:highlight w:val="none"/>
              </w:rPr>
            </w:pPr>
            <w:r>
              <w:rPr>
                <w:rFonts w:hint="eastAsia" w:ascii="宋体" w:hAnsi="宋体" w:cs="宋体"/>
                <w:bCs/>
                <w:color w:val="auto"/>
                <w:highlight w:val="none"/>
              </w:rPr>
              <w:t>2.1.2</w:t>
            </w:r>
          </w:p>
        </w:tc>
        <w:tc>
          <w:tcPr>
            <w:tcW w:w="1111" w:type="dxa"/>
            <w:vMerge w:val="restart"/>
            <w:tcBorders>
              <w:top w:val="single" w:color="auto" w:sz="4" w:space="0"/>
              <w:left w:val="single" w:color="auto" w:sz="4" w:space="0"/>
              <w:bottom w:val="single" w:color="auto" w:sz="4" w:space="0"/>
              <w:right w:val="single" w:color="auto" w:sz="4" w:space="0"/>
            </w:tcBorders>
            <w:noWrap w:val="0"/>
            <w:vAlign w:val="center"/>
          </w:tcPr>
          <w:p w14:paraId="337C2BCC">
            <w:pPr>
              <w:keepNext w:val="0"/>
              <w:keepLines w:val="0"/>
              <w:pageBreakBefore w:val="0"/>
              <w:widowControl w:val="0"/>
              <w:kinsoku/>
              <w:wordWrap/>
              <w:overflowPunct/>
              <w:topLinePunct w:val="0"/>
              <w:bidi w:val="0"/>
              <w:spacing w:line="500" w:lineRule="exact"/>
              <w:jc w:val="center"/>
              <w:rPr>
                <w:rFonts w:hint="eastAsia" w:ascii="宋体" w:hAnsi="宋体" w:eastAsia="宋体" w:cs="宋体"/>
                <w:color w:val="auto"/>
                <w:highlight w:val="none"/>
                <w:lang w:eastAsia="zh-CN"/>
              </w:rPr>
            </w:pPr>
            <w:r>
              <w:rPr>
                <w:rFonts w:hint="eastAsia" w:ascii="宋体" w:hAnsi="宋体" w:cs="宋体"/>
                <w:color w:val="auto"/>
                <w:highlight w:val="none"/>
                <w:lang w:eastAsia="zh-CN"/>
              </w:rPr>
              <w:t>符合性评审</w:t>
            </w:r>
          </w:p>
        </w:tc>
        <w:tc>
          <w:tcPr>
            <w:tcW w:w="1963" w:type="dxa"/>
            <w:tcBorders>
              <w:top w:val="single" w:color="auto" w:sz="4" w:space="0"/>
              <w:left w:val="single" w:color="auto" w:sz="4" w:space="0"/>
              <w:bottom w:val="single" w:color="auto" w:sz="4" w:space="0"/>
              <w:right w:val="single" w:color="auto" w:sz="4" w:space="0"/>
            </w:tcBorders>
            <w:noWrap w:val="0"/>
            <w:vAlign w:val="center"/>
          </w:tcPr>
          <w:p w14:paraId="3212A3A9">
            <w:pPr>
              <w:keepNext w:val="0"/>
              <w:keepLines w:val="0"/>
              <w:pageBreakBefore w:val="0"/>
              <w:widowControl w:val="0"/>
              <w:kinsoku/>
              <w:wordWrap/>
              <w:overflowPunct/>
              <w:topLinePunct w:val="0"/>
              <w:bidi w:val="0"/>
              <w:spacing w:line="500" w:lineRule="exact"/>
              <w:jc w:val="center"/>
              <w:rPr>
                <w:rFonts w:hint="eastAsia" w:ascii="宋体" w:hAnsi="宋体" w:cs="宋体"/>
                <w:b/>
                <w:bCs/>
                <w:color w:val="auto"/>
                <w:highlight w:val="none"/>
              </w:rPr>
            </w:pPr>
            <w:r>
              <w:rPr>
                <w:rFonts w:hint="eastAsia" w:ascii="宋体" w:hAnsi="宋体" w:cs="宋体"/>
                <w:b/>
                <w:bCs/>
                <w:color w:val="auto"/>
                <w:highlight w:val="none"/>
              </w:rPr>
              <w:t>评审因素</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2B4D59AF">
            <w:pPr>
              <w:pStyle w:val="44"/>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cs="宋体"/>
                <w:b/>
                <w:color w:val="auto"/>
                <w:highlight w:val="none"/>
              </w:rPr>
            </w:pPr>
            <w:r>
              <w:rPr>
                <w:rFonts w:hint="eastAsia" w:ascii="宋体" w:hAnsi="宋体" w:cs="宋体"/>
                <w:b/>
                <w:color w:val="auto"/>
                <w:highlight w:val="none"/>
              </w:rPr>
              <w:t>评审标准</w:t>
            </w:r>
          </w:p>
          <w:p w14:paraId="7EF34DD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b/>
                <w:bCs/>
                <w:color w:val="auto"/>
                <w:highlight w:val="none"/>
              </w:rPr>
            </w:pPr>
            <w:r>
              <w:rPr>
                <w:rFonts w:hint="eastAsia" w:ascii="宋体" w:hAnsi="宋体" w:cs="宋体"/>
                <w:b/>
                <w:bCs/>
                <w:color w:val="auto"/>
                <w:highlight w:val="none"/>
              </w:rPr>
              <w:t>（合格标准：缺少任何一项或有任何一项不合格者，其资格</w:t>
            </w:r>
            <w:r>
              <w:rPr>
                <w:rFonts w:hint="eastAsia" w:ascii="宋体" w:hAnsi="宋体" w:cs="宋体"/>
                <w:b/>
                <w:bCs/>
                <w:color w:val="auto"/>
                <w:highlight w:val="none"/>
                <w:lang w:eastAsia="zh-CN"/>
              </w:rPr>
              <w:t>评审</w:t>
            </w:r>
            <w:r>
              <w:rPr>
                <w:rFonts w:hint="eastAsia" w:ascii="宋体" w:hAnsi="宋体" w:cs="宋体"/>
                <w:b/>
                <w:bCs/>
                <w:color w:val="auto"/>
                <w:highlight w:val="none"/>
              </w:rPr>
              <w:t>视为不合格）</w:t>
            </w:r>
          </w:p>
        </w:tc>
      </w:tr>
      <w:tr w14:paraId="58114D8B">
        <w:tblPrEx>
          <w:tblCellMar>
            <w:top w:w="0" w:type="dxa"/>
            <w:left w:w="108" w:type="dxa"/>
            <w:bottom w:w="0" w:type="dxa"/>
            <w:right w:w="108" w:type="dxa"/>
          </w:tblCellMar>
        </w:tblPrEx>
        <w:trPr>
          <w:trHeight w:val="515" w:hRule="atLeast"/>
          <w:jc w:val="center"/>
        </w:trPr>
        <w:tc>
          <w:tcPr>
            <w:tcW w:w="944" w:type="dxa"/>
            <w:vMerge w:val="continue"/>
            <w:tcBorders>
              <w:top w:val="single" w:color="auto" w:sz="4" w:space="0"/>
              <w:left w:val="single" w:color="auto" w:sz="4" w:space="0"/>
              <w:bottom w:val="single" w:color="auto" w:sz="4" w:space="0"/>
              <w:right w:val="single" w:color="000000" w:sz="4" w:space="0"/>
            </w:tcBorders>
            <w:noWrap w:val="0"/>
            <w:vAlign w:val="center"/>
          </w:tcPr>
          <w:p w14:paraId="53316341">
            <w:pPr>
              <w:keepNext w:val="0"/>
              <w:keepLines w:val="0"/>
              <w:pageBreakBefore w:val="0"/>
              <w:widowControl w:val="0"/>
              <w:kinsoku/>
              <w:wordWrap/>
              <w:overflowPunct/>
              <w:topLinePunct w:val="0"/>
              <w:bidi w:val="0"/>
              <w:spacing w:line="500" w:lineRule="exact"/>
              <w:rPr>
                <w:rFonts w:hint="eastAsia" w:ascii="宋体" w:hAnsi="宋体" w:cs="宋体"/>
                <w:color w:val="auto"/>
                <w:highlight w:val="none"/>
              </w:rPr>
            </w:pPr>
          </w:p>
        </w:tc>
        <w:tc>
          <w:tcPr>
            <w:tcW w:w="1111" w:type="dxa"/>
            <w:vMerge w:val="continue"/>
            <w:tcBorders>
              <w:top w:val="single" w:color="auto" w:sz="4" w:space="0"/>
              <w:left w:val="single" w:color="000000" w:sz="4" w:space="0"/>
              <w:bottom w:val="single" w:color="auto" w:sz="4" w:space="0"/>
              <w:right w:val="single" w:color="000000" w:sz="4" w:space="0"/>
            </w:tcBorders>
            <w:noWrap w:val="0"/>
            <w:vAlign w:val="center"/>
          </w:tcPr>
          <w:p w14:paraId="230D0365">
            <w:pPr>
              <w:keepNext w:val="0"/>
              <w:keepLines w:val="0"/>
              <w:pageBreakBefore w:val="0"/>
              <w:widowControl w:val="0"/>
              <w:kinsoku/>
              <w:wordWrap/>
              <w:overflowPunct/>
              <w:topLinePunct w:val="0"/>
              <w:bidi w:val="0"/>
              <w:spacing w:line="500" w:lineRule="exact"/>
              <w:rPr>
                <w:rFonts w:hint="eastAsia" w:ascii="宋体" w:hAnsi="宋体" w:cs="宋体"/>
                <w:color w:val="auto"/>
                <w:highlight w:val="none"/>
              </w:rPr>
            </w:pPr>
          </w:p>
        </w:tc>
        <w:tc>
          <w:tcPr>
            <w:tcW w:w="1963" w:type="dxa"/>
            <w:tcBorders>
              <w:top w:val="single" w:color="auto" w:sz="4" w:space="0"/>
              <w:left w:val="single" w:color="000000" w:sz="4" w:space="0"/>
              <w:bottom w:val="single" w:color="000000" w:sz="4" w:space="0"/>
              <w:right w:val="single" w:color="000000" w:sz="4" w:space="0"/>
            </w:tcBorders>
            <w:noWrap w:val="0"/>
            <w:vAlign w:val="center"/>
          </w:tcPr>
          <w:p w14:paraId="3FB22D6C">
            <w:pPr>
              <w:pStyle w:val="44"/>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响应函</w:t>
            </w:r>
          </w:p>
        </w:tc>
        <w:tc>
          <w:tcPr>
            <w:tcW w:w="5930" w:type="dxa"/>
            <w:tcBorders>
              <w:top w:val="single" w:color="auto" w:sz="4" w:space="0"/>
              <w:left w:val="single" w:color="000000" w:sz="4" w:space="0"/>
              <w:bottom w:val="single" w:color="000000" w:sz="4" w:space="0"/>
              <w:right w:val="single" w:color="000000" w:sz="4" w:space="0"/>
            </w:tcBorders>
            <w:noWrap w:val="0"/>
            <w:vAlign w:val="center"/>
          </w:tcPr>
          <w:p w14:paraId="6346E722">
            <w:pPr>
              <w:pStyle w:val="44"/>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必须提供</w:t>
            </w:r>
          </w:p>
        </w:tc>
      </w:tr>
      <w:tr w14:paraId="0BF14CEF">
        <w:tblPrEx>
          <w:tblCellMar>
            <w:top w:w="0" w:type="dxa"/>
            <w:left w:w="108" w:type="dxa"/>
            <w:bottom w:w="0" w:type="dxa"/>
            <w:right w:w="108" w:type="dxa"/>
          </w:tblCellMar>
        </w:tblPrEx>
        <w:trPr>
          <w:trHeight w:val="546" w:hRule="atLeast"/>
          <w:jc w:val="center"/>
        </w:trPr>
        <w:tc>
          <w:tcPr>
            <w:tcW w:w="944" w:type="dxa"/>
            <w:vMerge w:val="continue"/>
            <w:tcBorders>
              <w:top w:val="single" w:color="auto" w:sz="4" w:space="0"/>
              <w:left w:val="single" w:color="auto" w:sz="4" w:space="0"/>
              <w:bottom w:val="single" w:color="auto" w:sz="4" w:space="0"/>
              <w:right w:val="single" w:color="000000" w:sz="4" w:space="0"/>
            </w:tcBorders>
            <w:noWrap w:val="0"/>
            <w:vAlign w:val="center"/>
          </w:tcPr>
          <w:p w14:paraId="7CE9E113">
            <w:pPr>
              <w:keepNext w:val="0"/>
              <w:keepLines w:val="0"/>
              <w:pageBreakBefore w:val="0"/>
              <w:widowControl w:val="0"/>
              <w:kinsoku/>
              <w:wordWrap/>
              <w:overflowPunct/>
              <w:topLinePunct w:val="0"/>
              <w:bidi w:val="0"/>
              <w:spacing w:line="500" w:lineRule="exact"/>
              <w:jc w:val="left"/>
              <w:rPr>
                <w:rFonts w:hint="eastAsia" w:ascii="宋体" w:hAnsi="宋体" w:cs="宋体"/>
                <w:color w:val="auto"/>
                <w:highlight w:val="none"/>
              </w:rPr>
            </w:pPr>
          </w:p>
        </w:tc>
        <w:tc>
          <w:tcPr>
            <w:tcW w:w="1111" w:type="dxa"/>
            <w:vMerge w:val="continue"/>
            <w:tcBorders>
              <w:top w:val="single" w:color="auto" w:sz="4" w:space="0"/>
              <w:left w:val="single" w:color="000000" w:sz="4" w:space="0"/>
              <w:bottom w:val="single" w:color="auto" w:sz="4" w:space="0"/>
              <w:right w:val="single" w:color="000000" w:sz="4" w:space="0"/>
            </w:tcBorders>
            <w:noWrap w:val="0"/>
            <w:vAlign w:val="center"/>
          </w:tcPr>
          <w:p w14:paraId="5C2C7A11">
            <w:pPr>
              <w:keepNext w:val="0"/>
              <w:keepLines w:val="0"/>
              <w:pageBreakBefore w:val="0"/>
              <w:widowControl w:val="0"/>
              <w:kinsoku/>
              <w:wordWrap/>
              <w:overflowPunct/>
              <w:topLinePunct w:val="0"/>
              <w:bidi w:val="0"/>
              <w:spacing w:line="500" w:lineRule="exact"/>
              <w:jc w:val="left"/>
              <w:rPr>
                <w:rFonts w:hint="eastAsia" w:ascii="宋体" w:hAnsi="宋体" w:cs="宋体"/>
                <w:color w:val="auto"/>
                <w:highlight w:val="none"/>
              </w:rPr>
            </w:pPr>
          </w:p>
        </w:tc>
        <w:tc>
          <w:tcPr>
            <w:tcW w:w="1963" w:type="dxa"/>
            <w:tcBorders>
              <w:top w:val="single" w:color="000000" w:sz="4" w:space="0"/>
              <w:left w:val="single" w:color="000000" w:sz="4" w:space="0"/>
              <w:bottom w:val="single" w:color="000000" w:sz="4" w:space="0"/>
              <w:right w:val="single" w:color="000000" w:sz="4" w:space="0"/>
            </w:tcBorders>
            <w:noWrap w:val="0"/>
            <w:vAlign w:val="center"/>
          </w:tcPr>
          <w:p w14:paraId="0247AE93">
            <w:pPr>
              <w:pStyle w:val="44"/>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工程报价汇总表</w:t>
            </w:r>
          </w:p>
        </w:tc>
        <w:tc>
          <w:tcPr>
            <w:tcW w:w="5930" w:type="dxa"/>
            <w:tcBorders>
              <w:top w:val="single" w:color="000000" w:sz="4" w:space="0"/>
              <w:left w:val="single" w:color="000000" w:sz="4" w:space="0"/>
              <w:bottom w:val="single" w:color="000000" w:sz="4" w:space="0"/>
              <w:right w:val="single" w:color="000000" w:sz="4" w:space="0"/>
            </w:tcBorders>
            <w:noWrap w:val="0"/>
            <w:vAlign w:val="center"/>
          </w:tcPr>
          <w:p w14:paraId="1CCF0C6C">
            <w:pPr>
              <w:pStyle w:val="44"/>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必须提供</w:t>
            </w:r>
          </w:p>
        </w:tc>
      </w:tr>
      <w:tr w14:paraId="0CF682E8">
        <w:tblPrEx>
          <w:tblCellMar>
            <w:top w:w="0" w:type="dxa"/>
            <w:left w:w="108" w:type="dxa"/>
            <w:bottom w:w="0" w:type="dxa"/>
            <w:right w:w="108" w:type="dxa"/>
          </w:tblCellMar>
        </w:tblPrEx>
        <w:trPr>
          <w:trHeight w:val="525" w:hRule="atLeast"/>
          <w:jc w:val="center"/>
        </w:trPr>
        <w:tc>
          <w:tcPr>
            <w:tcW w:w="944" w:type="dxa"/>
            <w:vMerge w:val="continue"/>
            <w:tcBorders>
              <w:top w:val="single" w:color="auto" w:sz="4" w:space="0"/>
              <w:left w:val="single" w:color="auto" w:sz="4" w:space="0"/>
              <w:bottom w:val="single" w:color="auto" w:sz="4" w:space="0"/>
              <w:right w:val="single" w:color="000000" w:sz="4" w:space="0"/>
            </w:tcBorders>
            <w:noWrap w:val="0"/>
            <w:vAlign w:val="center"/>
          </w:tcPr>
          <w:p w14:paraId="480D3CFB">
            <w:pPr>
              <w:keepNext w:val="0"/>
              <w:keepLines w:val="0"/>
              <w:pageBreakBefore w:val="0"/>
              <w:widowControl w:val="0"/>
              <w:kinsoku/>
              <w:wordWrap/>
              <w:overflowPunct/>
              <w:topLinePunct w:val="0"/>
              <w:bidi w:val="0"/>
              <w:spacing w:line="500" w:lineRule="exact"/>
              <w:jc w:val="left"/>
              <w:rPr>
                <w:rFonts w:hint="eastAsia" w:ascii="宋体" w:hAnsi="宋体" w:cs="宋体"/>
                <w:color w:val="auto"/>
                <w:highlight w:val="none"/>
              </w:rPr>
            </w:pPr>
          </w:p>
        </w:tc>
        <w:tc>
          <w:tcPr>
            <w:tcW w:w="1111" w:type="dxa"/>
            <w:vMerge w:val="continue"/>
            <w:tcBorders>
              <w:top w:val="single" w:color="auto" w:sz="4" w:space="0"/>
              <w:left w:val="single" w:color="000000" w:sz="4" w:space="0"/>
              <w:bottom w:val="single" w:color="auto" w:sz="4" w:space="0"/>
              <w:right w:val="single" w:color="000000" w:sz="4" w:space="0"/>
            </w:tcBorders>
            <w:noWrap w:val="0"/>
            <w:vAlign w:val="center"/>
          </w:tcPr>
          <w:p w14:paraId="0B50044F">
            <w:pPr>
              <w:keepNext w:val="0"/>
              <w:keepLines w:val="0"/>
              <w:pageBreakBefore w:val="0"/>
              <w:widowControl w:val="0"/>
              <w:kinsoku/>
              <w:wordWrap/>
              <w:overflowPunct/>
              <w:topLinePunct w:val="0"/>
              <w:bidi w:val="0"/>
              <w:spacing w:line="500" w:lineRule="exact"/>
              <w:jc w:val="left"/>
              <w:rPr>
                <w:rFonts w:hint="eastAsia" w:ascii="宋体" w:hAnsi="宋体" w:cs="宋体"/>
                <w:color w:val="auto"/>
                <w:highlight w:val="none"/>
              </w:rPr>
            </w:pPr>
          </w:p>
        </w:tc>
        <w:tc>
          <w:tcPr>
            <w:tcW w:w="1963" w:type="dxa"/>
            <w:tcBorders>
              <w:top w:val="single" w:color="000000" w:sz="4" w:space="0"/>
              <w:left w:val="single" w:color="000000" w:sz="4" w:space="0"/>
              <w:bottom w:val="single" w:color="auto" w:sz="4" w:space="0"/>
              <w:right w:val="single" w:color="000000" w:sz="4" w:space="0"/>
            </w:tcBorders>
            <w:noWrap w:val="0"/>
            <w:vAlign w:val="center"/>
          </w:tcPr>
          <w:p w14:paraId="6744E720">
            <w:pPr>
              <w:pStyle w:val="44"/>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已标价工程量清单</w:t>
            </w:r>
          </w:p>
        </w:tc>
        <w:tc>
          <w:tcPr>
            <w:tcW w:w="5930" w:type="dxa"/>
            <w:tcBorders>
              <w:top w:val="single" w:color="000000" w:sz="4" w:space="0"/>
              <w:left w:val="single" w:color="000000" w:sz="4" w:space="0"/>
              <w:bottom w:val="single" w:color="000000" w:sz="4" w:space="0"/>
              <w:right w:val="single" w:color="000000" w:sz="4" w:space="0"/>
            </w:tcBorders>
            <w:noWrap w:val="0"/>
            <w:vAlign w:val="center"/>
          </w:tcPr>
          <w:p w14:paraId="40337B9B">
            <w:pPr>
              <w:pStyle w:val="44"/>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必须提供</w:t>
            </w:r>
          </w:p>
        </w:tc>
      </w:tr>
      <w:tr w14:paraId="107FD67F">
        <w:tblPrEx>
          <w:tblCellMar>
            <w:top w:w="0" w:type="dxa"/>
            <w:left w:w="108" w:type="dxa"/>
            <w:bottom w:w="0" w:type="dxa"/>
            <w:right w:w="108" w:type="dxa"/>
          </w:tblCellMar>
        </w:tblPrEx>
        <w:trPr>
          <w:trHeight w:val="491" w:hRule="atLeast"/>
          <w:jc w:val="center"/>
        </w:trPr>
        <w:tc>
          <w:tcPr>
            <w:tcW w:w="944" w:type="dxa"/>
            <w:vMerge w:val="continue"/>
            <w:tcBorders>
              <w:top w:val="single" w:color="auto" w:sz="4" w:space="0"/>
              <w:left w:val="single" w:color="auto" w:sz="4" w:space="0"/>
              <w:bottom w:val="single" w:color="auto" w:sz="4" w:space="0"/>
              <w:right w:val="single" w:color="000000" w:sz="4" w:space="0"/>
            </w:tcBorders>
            <w:noWrap w:val="0"/>
            <w:vAlign w:val="center"/>
          </w:tcPr>
          <w:p w14:paraId="49EE3517">
            <w:pPr>
              <w:keepNext w:val="0"/>
              <w:keepLines w:val="0"/>
              <w:pageBreakBefore w:val="0"/>
              <w:widowControl w:val="0"/>
              <w:kinsoku/>
              <w:wordWrap/>
              <w:overflowPunct/>
              <w:topLinePunct w:val="0"/>
              <w:bidi w:val="0"/>
              <w:spacing w:line="500" w:lineRule="exact"/>
              <w:jc w:val="left"/>
              <w:rPr>
                <w:rFonts w:hint="eastAsia" w:ascii="宋体" w:hAnsi="宋体" w:cs="宋体"/>
                <w:color w:val="auto"/>
                <w:highlight w:val="none"/>
              </w:rPr>
            </w:pPr>
          </w:p>
        </w:tc>
        <w:tc>
          <w:tcPr>
            <w:tcW w:w="1111" w:type="dxa"/>
            <w:vMerge w:val="continue"/>
            <w:tcBorders>
              <w:top w:val="single" w:color="auto" w:sz="4" w:space="0"/>
              <w:left w:val="single" w:color="000000" w:sz="4" w:space="0"/>
              <w:bottom w:val="single" w:color="auto" w:sz="4" w:space="0"/>
              <w:right w:val="single" w:color="000000" w:sz="4" w:space="0"/>
            </w:tcBorders>
            <w:noWrap w:val="0"/>
            <w:vAlign w:val="center"/>
          </w:tcPr>
          <w:p w14:paraId="7C931314">
            <w:pPr>
              <w:keepNext w:val="0"/>
              <w:keepLines w:val="0"/>
              <w:pageBreakBefore w:val="0"/>
              <w:widowControl w:val="0"/>
              <w:kinsoku/>
              <w:wordWrap/>
              <w:overflowPunct/>
              <w:topLinePunct w:val="0"/>
              <w:bidi w:val="0"/>
              <w:spacing w:line="500" w:lineRule="exact"/>
              <w:jc w:val="left"/>
              <w:rPr>
                <w:rFonts w:hint="eastAsia" w:ascii="宋体" w:hAnsi="宋体" w:cs="宋体"/>
                <w:color w:val="auto"/>
                <w:highlight w:val="none"/>
              </w:rPr>
            </w:pPr>
          </w:p>
        </w:tc>
        <w:tc>
          <w:tcPr>
            <w:tcW w:w="1963" w:type="dxa"/>
            <w:tcBorders>
              <w:top w:val="single" w:color="auto" w:sz="4" w:space="0"/>
              <w:left w:val="single" w:color="000000" w:sz="4" w:space="0"/>
              <w:bottom w:val="single" w:color="auto" w:sz="4" w:space="0"/>
              <w:right w:val="single" w:color="000000" w:sz="4" w:space="0"/>
            </w:tcBorders>
            <w:noWrap w:val="0"/>
            <w:vAlign w:val="center"/>
          </w:tcPr>
          <w:p w14:paraId="340263B6">
            <w:pPr>
              <w:pStyle w:val="44"/>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拟投入主要施工管理人员</w:t>
            </w:r>
          </w:p>
        </w:tc>
        <w:tc>
          <w:tcPr>
            <w:tcW w:w="5930" w:type="dxa"/>
            <w:tcBorders>
              <w:top w:val="single" w:color="000000" w:sz="4" w:space="0"/>
              <w:left w:val="single" w:color="000000" w:sz="4" w:space="0"/>
              <w:bottom w:val="single" w:color="auto" w:sz="4" w:space="0"/>
              <w:right w:val="single" w:color="000000" w:sz="4" w:space="0"/>
            </w:tcBorders>
            <w:noWrap w:val="0"/>
            <w:vAlign w:val="center"/>
          </w:tcPr>
          <w:p w14:paraId="26585F4B">
            <w:pPr>
              <w:pStyle w:val="44"/>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符合采购文件要求</w:t>
            </w:r>
          </w:p>
        </w:tc>
      </w:tr>
      <w:tr w14:paraId="257E9D7D">
        <w:tblPrEx>
          <w:tblCellMar>
            <w:top w:w="0" w:type="dxa"/>
            <w:left w:w="108" w:type="dxa"/>
            <w:bottom w:w="0" w:type="dxa"/>
            <w:right w:w="108" w:type="dxa"/>
          </w:tblCellMar>
        </w:tblPrEx>
        <w:trPr>
          <w:trHeight w:val="429" w:hRule="atLeast"/>
          <w:jc w:val="center"/>
        </w:trPr>
        <w:tc>
          <w:tcPr>
            <w:tcW w:w="944" w:type="dxa"/>
            <w:vMerge w:val="continue"/>
            <w:tcBorders>
              <w:top w:val="single" w:color="auto" w:sz="4" w:space="0"/>
              <w:left w:val="single" w:color="auto" w:sz="4" w:space="0"/>
              <w:bottom w:val="single" w:color="auto" w:sz="4" w:space="0"/>
              <w:right w:val="single" w:color="000000" w:sz="4" w:space="0"/>
            </w:tcBorders>
            <w:noWrap w:val="0"/>
            <w:vAlign w:val="center"/>
          </w:tcPr>
          <w:p w14:paraId="64B6D144">
            <w:pPr>
              <w:keepNext w:val="0"/>
              <w:keepLines w:val="0"/>
              <w:pageBreakBefore w:val="0"/>
              <w:widowControl w:val="0"/>
              <w:kinsoku/>
              <w:wordWrap/>
              <w:overflowPunct/>
              <w:topLinePunct w:val="0"/>
              <w:bidi w:val="0"/>
              <w:spacing w:line="500" w:lineRule="exact"/>
              <w:jc w:val="left"/>
              <w:rPr>
                <w:rFonts w:hint="eastAsia" w:ascii="宋体" w:hAnsi="宋体" w:cs="宋体"/>
                <w:color w:val="auto"/>
                <w:highlight w:val="none"/>
              </w:rPr>
            </w:pPr>
          </w:p>
        </w:tc>
        <w:tc>
          <w:tcPr>
            <w:tcW w:w="1111" w:type="dxa"/>
            <w:vMerge w:val="continue"/>
            <w:tcBorders>
              <w:top w:val="single" w:color="auto" w:sz="4" w:space="0"/>
              <w:left w:val="single" w:color="000000" w:sz="4" w:space="0"/>
              <w:bottom w:val="single" w:color="auto" w:sz="4" w:space="0"/>
              <w:right w:val="single" w:color="000000" w:sz="4" w:space="0"/>
            </w:tcBorders>
            <w:noWrap w:val="0"/>
            <w:vAlign w:val="center"/>
          </w:tcPr>
          <w:p w14:paraId="75B80DB2">
            <w:pPr>
              <w:keepNext w:val="0"/>
              <w:keepLines w:val="0"/>
              <w:pageBreakBefore w:val="0"/>
              <w:widowControl w:val="0"/>
              <w:kinsoku/>
              <w:wordWrap/>
              <w:overflowPunct/>
              <w:topLinePunct w:val="0"/>
              <w:bidi w:val="0"/>
              <w:spacing w:line="500" w:lineRule="exact"/>
              <w:jc w:val="left"/>
              <w:rPr>
                <w:rFonts w:hint="eastAsia" w:ascii="宋体" w:hAnsi="宋体" w:cs="宋体"/>
                <w:color w:val="auto"/>
                <w:highlight w:val="none"/>
              </w:rPr>
            </w:pPr>
          </w:p>
        </w:tc>
        <w:tc>
          <w:tcPr>
            <w:tcW w:w="1963" w:type="dxa"/>
            <w:tcBorders>
              <w:top w:val="single" w:color="000000" w:sz="4" w:space="0"/>
              <w:left w:val="single" w:color="000000" w:sz="4" w:space="0"/>
              <w:bottom w:val="single" w:color="000000" w:sz="4" w:space="0"/>
              <w:right w:val="single" w:color="000000" w:sz="4" w:space="0"/>
            </w:tcBorders>
            <w:noWrap w:val="0"/>
            <w:vAlign w:val="center"/>
          </w:tcPr>
          <w:p w14:paraId="210BB10E">
            <w:pPr>
              <w:pStyle w:val="44"/>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项目经理</w:t>
            </w:r>
          </w:p>
        </w:tc>
        <w:tc>
          <w:tcPr>
            <w:tcW w:w="5930" w:type="dxa"/>
            <w:tcBorders>
              <w:top w:val="single" w:color="000000" w:sz="4" w:space="0"/>
              <w:left w:val="single" w:color="000000" w:sz="4" w:space="0"/>
              <w:bottom w:val="single" w:color="000000" w:sz="4" w:space="0"/>
              <w:right w:val="single" w:color="auto" w:sz="4" w:space="0"/>
            </w:tcBorders>
            <w:noWrap w:val="0"/>
            <w:vAlign w:val="center"/>
          </w:tcPr>
          <w:p w14:paraId="2DF3B953">
            <w:pPr>
              <w:pStyle w:val="44"/>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符合采购文件要求</w:t>
            </w:r>
          </w:p>
        </w:tc>
      </w:tr>
      <w:tr w14:paraId="669671EC">
        <w:tblPrEx>
          <w:tblCellMar>
            <w:top w:w="0" w:type="dxa"/>
            <w:left w:w="108" w:type="dxa"/>
            <w:bottom w:w="0" w:type="dxa"/>
            <w:right w:w="108" w:type="dxa"/>
          </w:tblCellMar>
        </w:tblPrEx>
        <w:trPr>
          <w:trHeight w:val="470" w:hRule="atLeast"/>
          <w:jc w:val="center"/>
        </w:trPr>
        <w:tc>
          <w:tcPr>
            <w:tcW w:w="944" w:type="dxa"/>
            <w:vMerge w:val="continue"/>
            <w:tcBorders>
              <w:top w:val="single" w:color="auto" w:sz="4" w:space="0"/>
              <w:left w:val="single" w:color="auto" w:sz="4" w:space="0"/>
              <w:bottom w:val="single" w:color="auto" w:sz="4" w:space="0"/>
              <w:right w:val="single" w:color="000000" w:sz="4" w:space="0"/>
            </w:tcBorders>
            <w:noWrap w:val="0"/>
            <w:vAlign w:val="center"/>
          </w:tcPr>
          <w:p w14:paraId="1ABA2922">
            <w:pPr>
              <w:keepNext w:val="0"/>
              <w:keepLines w:val="0"/>
              <w:pageBreakBefore w:val="0"/>
              <w:widowControl w:val="0"/>
              <w:kinsoku/>
              <w:wordWrap/>
              <w:overflowPunct/>
              <w:topLinePunct w:val="0"/>
              <w:bidi w:val="0"/>
              <w:spacing w:line="500" w:lineRule="exact"/>
              <w:jc w:val="left"/>
              <w:rPr>
                <w:rFonts w:hint="eastAsia" w:ascii="宋体" w:hAnsi="宋体" w:cs="宋体"/>
                <w:color w:val="auto"/>
                <w:highlight w:val="none"/>
              </w:rPr>
            </w:pPr>
          </w:p>
        </w:tc>
        <w:tc>
          <w:tcPr>
            <w:tcW w:w="1111" w:type="dxa"/>
            <w:vMerge w:val="continue"/>
            <w:tcBorders>
              <w:top w:val="single" w:color="auto" w:sz="4" w:space="0"/>
              <w:left w:val="single" w:color="000000" w:sz="4" w:space="0"/>
              <w:bottom w:val="single" w:color="auto" w:sz="4" w:space="0"/>
              <w:right w:val="single" w:color="000000" w:sz="4" w:space="0"/>
            </w:tcBorders>
            <w:noWrap w:val="0"/>
            <w:vAlign w:val="center"/>
          </w:tcPr>
          <w:p w14:paraId="7DB6898F">
            <w:pPr>
              <w:keepNext w:val="0"/>
              <w:keepLines w:val="0"/>
              <w:pageBreakBefore w:val="0"/>
              <w:widowControl w:val="0"/>
              <w:kinsoku/>
              <w:wordWrap/>
              <w:overflowPunct/>
              <w:topLinePunct w:val="0"/>
              <w:bidi w:val="0"/>
              <w:spacing w:line="500" w:lineRule="exact"/>
              <w:jc w:val="left"/>
              <w:rPr>
                <w:rFonts w:hint="eastAsia" w:ascii="宋体" w:hAnsi="宋体" w:cs="宋体"/>
                <w:color w:val="auto"/>
                <w:highlight w:val="none"/>
              </w:rPr>
            </w:pPr>
          </w:p>
        </w:tc>
        <w:tc>
          <w:tcPr>
            <w:tcW w:w="1963" w:type="dxa"/>
            <w:tcBorders>
              <w:top w:val="single" w:color="000000" w:sz="4" w:space="0"/>
              <w:left w:val="single" w:color="000000" w:sz="4" w:space="0"/>
              <w:bottom w:val="single" w:color="000000" w:sz="4" w:space="0"/>
              <w:right w:val="single" w:color="000000" w:sz="4" w:space="0"/>
            </w:tcBorders>
            <w:noWrap w:val="0"/>
            <w:vAlign w:val="center"/>
          </w:tcPr>
          <w:p w14:paraId="486D3FC6">
            <w:pPr>
              <w:pStyle w:val="44"/>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施工组织方案</w:t>
            </w:r>
          </w:p>
        </w:tc>
        <w:tc>
          <w:tcPr>
            <w:tcW w:w="5930" w:type="dxa"/>
            <w:tcBorders>
              <w:top w:val="single" w:color="000000" w:sz="4" w:space="0"/>
              <w:left w:val="single" w:color="000000" w:sz="4" w:space="0"/>
              <w:bottom w:val="single" w:color="000000" w:sz="4" w:space="0"/>
              <w:right w:val="single" w:color="auto" w:sz="4" w:space="0"/>
            </w:tcBorders>
            <w:noWrap w:val="0"/>
            <w:vAlign w:val="center"/>
          </w:tcPr>
          <w:p w14:paraId="6DF74282">
            <w:pPr>
              <w:pStyle w:val="44"/>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必须提供</w:t>
            </w:r>
          </w:p>
        </w:tc>
      </w:tr>
      <w:tr w14:paraId="0A3FB8E8">
        <w:tblPrEx>
          <w:tblCellMar>
            <w:top w:w="0" w:type="dxa"/>
            <w:left w:w="108" w:type="dxa"/>
            <w:bottom w:w="0" w:type="dxa"/>
            <w:right w:w="108" w:type="dxa"/>
          </w:tblCellMar>
        </w:tblPrEx>
        <w:trPr>
          <w:trHeight w:val="523" w:hRule="atLeast"/>
          <w:jc w:val="center"/>
        </w:trPr>
        <w:tc>
          <w:tcPr>
            <w:tcW w:w="944" w:type="dxa"/>
            <w:vMerge w:val="continue"/>
            <w:tcBorders>
              <w:top w:val="single" w:color="auto" w:sz="4" w:space="0"/>
              <w:left w:val="single" w:color="auto" w:sz="4" w:space="0"/>
              <w:bottom w:val="single" w:color="auto" w:sz="4" w:space="0"/>
              <w:right w:val="single" w:color="000000" w:sz="4" w:space="0"/>
            </w:tcBorders>
            <w:noWrap w:val="0"/>
            <w:vAlign w:val="center"/>
          </w:tcPr>
          <w:p w14:paraId="25F6ACB9">
            <w:pPr>
              <w:keepNext w:val="0"/>
              <w:keepLines w:val="0"/>
              <w:pageBreakBefore w:val="0"/>
              <w:widowControl w:val="0"/>
              <w:kinsoku/>
              <w:wordWrap/>
              <w:overflowPunct/>
              <w:topLinePunct w:val="0"/>
              <w:bidi w:val="0"/>
              <w:spacing w:line="500" w:lineRule="exact"/>
              <w:jc w:val="left"/>
              <w:rPr>
                <w:rFonts w:hint="eastAsia" w:ascii="宋体" w:hAnsi="宋体" w:cs="宋体"/>
                <w:color w:val="auto"/>
                <w:highlight w:val="none"/>
              </w:rPr>
            </w:pPr>
          </w:p>
        </w:tc>
        <w:tc>
          <w:tcPr>
            <w:tcW w:w="1111" w:type="dxa"/>
            <w:vMerge w:val="continue"/>
            <w:tcBorders>
              <w:top w:val="single" w:color="auto" w:sz="4" w:space="0"/>
              <w:left w:val="single" w:color="000000" w:sz="4" w:space="0"/>
              <w:bottom w:val="single" w:color="auto" w:sz="4" w:space="0"/>
              <w:right w:val="single" w:color="000000" w:sz="4" w:space="0"/>
            </w:tcBorders>
            <w:noWrap w:val="0"/>
            <w:vAlign w:val="center"/>
          </w:tcPr>
          <w:p w14:paraId="2A31F275">
            <w:pPr>
              <w:keepNext w:val="0"/>
              <w:keepLines w:val="0"/>
              <w:pageBreakBefore w:val="0"/>
              <w:widowControl w:val="0"/>
              <w:kinsoku/>
              <w:wordWrap/>
              <w:overflowPunct/>
              <w:topLinePunct w:val="0"/>
              <w:bidi w:val="0"/>
              <w:spacing w:line="500" w:lineRule="exact"/>
              <w:jc w:val="left"/>
              <w:rPr>
                <w:rFonts w:hint="eastAsia" w:ascii="宋体" w:hAnsi="宋体" w:cs="宋体"/>
                <w:color w:val="auto"/>
                <w:highlight w:val="none"/>
              </w:rPr>
            </w:pPr>
          </w:p>
        </w:tc>
        <w:tc>
          <w:tcPr>
            <w:tcW w:w="1963" w:type="dxa"/>
            <w:tcBorders>
              <w:top w:val="single" w:color="000000" w:sz="4" w:space="0"/>
              <w:left w:val="single" w:color="000000" w:sz="4" w:space="0"/>
              <w:bottom w:val="single" w:color="000000" w:sz="4" w:space="0"/>
              <w:right w:val="single" w:color="000000" w:sz="4" w:space="0"/>
            </w:tcBorders>
            <w:noWrap w:val="0"/>
            <w:vAlign w:val="center"/>
          </w:tcPr>
          <w:p w14:paraId="4DA376E0">
            <w:pPr>
              <w:pStyle w:val="44"/>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建设工程项目管理承诺书</w:t>
            </w:r>
          </w:p>
        </w:tc>
        <w:tc>
          <w:tcPr>
            <w:tcW w:w="5930" w:type="dxa"/>
            <w:tcBorders>
              <w:top w:val="single" w:color="000000" w:sz="4" w:space="0"/>
              <w:left w:val="single" w:color="000000" w:sz="4" w:space="0"/>
              <w:bottom w:val="single" w:color="000000" w:sz="4" w:space="0"/>
              <w:right w:val="single" w:color="auto" w:sz="4" w:space="0"/>
            </w:tcBorders>
            <w:noWrap w:val="0"/>
            <w:vAlign w:val="center"/>
          </w:tcPr>
          <w:p w14:paraId="79B98522">
            <w:pPr>
              <w:pStyle w:val="44"/>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必须提供</w:t>
            </w:r>
          </w:p>
        </w:tc>
      </w:tr>
      <w:tr w14:paraId="507B7114">
        <w:tblPrEx>
          <w:tblCellMar>
            <w:top w:w="0" w:type="dxa"/>
            <w:left w:w="108" w:type="dxa"/>
            <w:bottom w:w="0" w:type="dxa"/>
            <w:right w:w="108" w:type="dxa"/>
          </w:tblCellMar>
        </w:tblPrEx>
        <w:trPr>
          <w:trHeight w:val="577" w:hRule="atLeast"/>
          <w:jc w:val="center"/>
        </w:trPr>
        <w:tc>
          <w:tcPr>
            <w:tcW w:w="944" w:type="dxa"/>
            <w:vMerge w:val="continue"/>
            <w:tcBorders>
              <w:top w:val="single" w:color="auto" w:sz="4" w:space="0"/>
              <w:left w:val="single" w:color="auto" w:sz="4" w:space="0"/>
              <w:bottom w:val="single" w:color="auto" w:sz="4" w:space="0"/>
              <w:right w:val="single" w:color="000000" w:sz="4" w:space="0"/>
            </w:tcBorders>
            <w:noWrap w:val="0"/>
            <w:vAlign w:val="center"/>
          </w:tcPr>
          <w:p w14:paraId="3857DE9F">
            <w:pPr>
              <w:keepNext w:val="0"/>
              <w:keepLines w:val="0"/>
              <w:pageBreakBefore w:val="0"/>
              <w:widowControl w:val="0"/>
              <w:kinsoku/>
              <w:wordWrap/>
              <w:overflowPunct/>
              <w:topLinePunct w:val="0"/>
              <w:bidi w:val="0"/>
              <w:spacing w:line="500" w:lineRule="exact"/>
              <w:jc w:val="left"/>
              <w:rPr>
                <w:rFonts w:hint="eastAsia" w:ascii="宋体" w:hAnsi="宋体" w:cs="宋体"/>
                <w:color w:val="auto"/>
                <w:highlight w:val="none"/>
              </w:rPr>
            </w:pPr>
          </w:p>
        </w:tc>
        <w:tc>
          <w:tcPr>
            <w:tcW w:w="1111" w:type="dxa"/>
            <w:vMerge w:val="continue"/>
            <w:tcBorders>
              <w:top w:val="single" w:color="auto" w:sz="4" w:space="0"/>
              <w:left w:val="single" w:color="000000" w:sz="4" w:space="0"/>
              <w:bottom w:val="single" w:color="auto" w:sz="4" w:space="0"/>
              <w:right w:val="single" w:color="000000" w:sz="4" w:space="0"/>
            </w:tcBorders>
            <w:noWrap w:val="0"/>
            <w:vAlign w:val="center"/>
          </w:tcPr>
          <w:p w14:paraId="64E6E803">
            <w:pPr>
              <w:keepNext w:val="0"/>
              <w:keepLines w:val="0"/>
              <w:pageBreakBefore w:val="0"/>
              <w:widowControl w:val="0"/>
              <w:kinsoku/>
              <w:wordWrap/>
              <w:overflowPunct/>
              <w:topLinePunct w:val="0"/>
              <w:bidi w:val="0"/>
              <w:spacing w:line="500" w:lineRule="exact"/>
              <w:jc w:val="left"/>
              <w:rPr>
                <w:rFonts w:hint="eastAsia" w:ascii="宋体" w:hAnsi="宋体" w:cs="宋体"/>
                <w:color w:val="auto"/>
                <w:highlight w:val="none"/>
              </w:rPr>
            </w:pPr>
          </w:p>
        </w:tc>
        <w:tc>
          <w:tcPr>
            <w:tcW w:w="1963" w:type="dxa"/>
            <w:tcBorders>
              <w:top w:val="single" w:color="000000" w:sz="4" w:space="0"/>
              <w:left w:val="single" w:color="000000" w:sz="4" w:space="0"/>
              <w:bottom w:val="single" w:color="000000" w:sz="4" w:space="0"/>
              <w:right w:val="single" w:color="000000" w:sz="4" w:space="0"/>
            </w:tcBorders>
            <w:noWrap w:val="0"/>
            <w:vAlign w:val="center"/>
          </w:tcPr>
          <w:p w14:paraId="7009358A">
            <w:pPr>
              <w:pStyle w:val="44"/>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szCs w:val="21"/>
                <w:highlight w:val="none"/>
                <w:lang w:eastAsia="zh-CN"/>
              </w:rPr>
              <w:t>渣土清运承诺书</w:t>
            </w:r>
          </w:p>
        </w:tc>
        <w:tc>
          <w:tcPr>
            <w:tcW w:w="5930" w:type="dxa"/>
            <w:tcBorders>
              <w:top w:val="single" w:color="000000" w:sz="4" w:space="0"/>
              <w:left w:val="single" w:color="000000" w:sz="4" w:space="0"/>
              <w:bottom w:val="single" w:color="000000" w:sz="4" w:space="0"/>
              <w:right w:val="single" w:color="auto" w:sz="4" w:space="0"/>
            </w:tcBorders>
            <w:noWrap w:val="0"/>
            <w:vAlign w:val="center"/>
          </w:tcPr>
          <w:p w14:paraId="7C63D175">
            <w:pPr>
              <w:pStyle w:val="44"/>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highlight w:val="none"/>
                <w:lang w:eastAsia="zh-CN"/>
              </w:rPr>
              <w:t>必须提供</w:t>
            </w:r>
          </w:p>
        </w:tc>
      </w:tr>
    </w:tbl>
    <w:p w14:paraId="3D0F3788">
      <w:pPr>
        <w:pStyle w:val="12"/>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color w:val="auto"/>
          <w:highlight w:val="none"/>
        </w:rPr>
      </w:pPr>
      <w:r>
        <w:rPr>
          <w:rFonts w:hint="eastAsia" w:hAnsi="宋体" w:eastAsia="宋体" w:cs="宋体"/>
          <w:b/>
          <w:bCs w:val="0"/>
          <w:color w:val="auto"/>
          <w:sz w:val="24"/>
          <w:szCs w:val="24"/>
          <w:highlight w:val="none"/>
          <w:lang w:eastAsia="zh-CN"/>
        </w:rPr>
        <w:t>详细评审：</w:t>
      </w:r>
    </w:p>
    <w:p w14:paraId="1F248C96">
      <w:pPr>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b/>
          <w:color w:val="auto"/>
          <w:highlight w:val="none"/>
        </w:rPr>
      </w:pPr>
      <w:r>
        <w:rPr>
          <w:rFonts w:hint="eastAsia" w:ascii="宋体" w:hAnsi="宋体" w:eastAsia="宋体" w:cs="宋体"/>
          <w:b/>
          <w:color w:val="auto"/>
          <w:kern w:val="0"/>
          <w:sz w:val="24"/>
          <w:szCs w:val="21"/>
          <w:highlight w:val="none"/>
          <w:lang w:val="en-US" w:eastAsia="zh-CN" w:bidi="ar-SA"/>
        </w:rPr>
        <w:t>1、价格分………………………………………………………………………………满分30分</w:t>
      </w:r>
    </w:p>
    <w:p w14:paraId="0FDB2301">
      <w:pPr>
        <w:keepNext w:val="0"/>
        <w:keepLines w:val="0"/>
        <w:pageBreakBefore w:val="0"/>
        <w:widowControl w:val="0"/>
        <w:kinsoku/>
        <w:wordWrap/>
        <w:overflowPunct/>
        <w:topLinePunct w:val="0"/>
        <w:bidi w:val="0"/>
        <w:snapToGrid/>
        <w:spacing w:line="440" w:lineRule="exact"/>
        <w:ind w:firstLine="210" w:firstLineChars="100"/>
        <w:textAlignment w:val="auto"/>
        <w:rPr>
          <w:rFonts w:hint="eastAsia" w:ascii="宋体" w:hAnsi="宋体" w:eastAsia="宋体" w:cs="宋体"/>
          <w:b w:val="0"/>
          <w:bCs/>
          <w:color w:val="auto"/>
          <w:highlight w:val="none"/>
        </w:rPr>
      </w:pPr>
      <w:r>
        <w:rPr>
          <w:rFonts w:hint="eastAsia" w:ascii="宋体" w:hAnsi="宋体" w:eastAsia="宋体" w:cs="宋体"/>
          <w:b w:val="0"/>
          <w:bCs/>
          <w:color w:val="auto"/>
          <w:highlight w:val="none"/>
        </w:rPr>
        <w:t>（1）以进入综合评分环节的最低的评审报价为基准价，基准价报价得分为30分。</w:t>
      </w:r>
    </w:p>
    <w:p w14:paraId="46FE61C9">
      <w:pPr>
        <w:keepNext w:val="0"/>
        <w:keepLines w:val="0"/>
        <w:pageBreakBefore w:val="0"/>
        <w:widowControl w:val="0"/>
        <w:kinsoku/>
        <w:wordWrap/>
        <w:overflowPunct/>
        <w:topLinePunct w:val="0"/>
        <w:bidi w:val="0"/>
        <w:snapToGrid/>
        <w:spacing w:line="440" w:lineRule="exact"/>
        <w:ind w:firstLine="210" w:firstLineChars="100"/>
        <w:textAlignment w:val="auto"/>
        <w:rPr>
          <w:rFonts w:hint="eastAsia" w:ascii="宋体" w:hAnsi="宋体" w:eastAsia="宋体" w:cs="宋体"/>
          <w:b w:val="0"/>
          <w:bCs/>
          <w:color w:val="auto"/>
          <w:highlight w:val="none"/>
        </w:rPr>
      </w:pPr>
      <w:r>
        <w:rPr>
          <w:rFonts w:hint="eastAsia" w:ascii="宋体" w:hAnsi="宋体" w:eastAsia="宋体" w:cs="宋体"/>
          <w:b w:val="0"/>
          <w:bCs/>
          <w:color w:val="auto"/>
          <w:highlight w:val="none"/>
        </w:rPr>
        <w:t>（2）</w:t>
      </w:r>
      <w:r>
        <w:rPr>
          <w:rFonts w:hint="eastAsia" w:ascii="宋体" w:hAnsi="宋体" w:cs="宋体"/>
          <w:b w:val="0"/>
          <w:bCs/>
          <w:color w:val="auto"/>
          <w:highlight w:val="none"/>
          <w:lang w:val="en-US" w:eastAsia="zh-CN"/>
        </w:rPr>
        <w:t>某</w:t>
      </w:r>
      <w:r>
        <w:rPr>
          <w:rFonts w:hint="eastAsia" w:ascii="宋体" w:hAnsi="宋体" w:eastAsia="宋体" w:cs="宋体"/>
          <w:b w:val="0"/>
          <w:bCs/>
          <w:color w:val="auto"/>
          <w:highlight w:val="none"/>
        </w:rPr>
        <w:t>供应商磋商报价得分=（磋商基准价/供应商的评审报价）×30分。</w:t>
      </w:r>
    </w:p>
    <w:p w14:paraId="56C6C8E6">
      <w:pPr>
        <w:keepNext w:val="0"/>
        <w:keepLines w:val="0"/>
        <w:pageBreakBefore w:val="0"/>
        <w:widowControl w:val="0"/>
        <w:kinsoku/>
        <w:wordWrap/>
        <w:overflowPunct/>
        <w:topLinePunct w:val="0"/>
        <w:bidi w:val="0"/>
        <w:snapToGrid/>
        <w:spacing w:line="440" w:lineRule="exact"/>
        <w:ind w:firstLine="211" w:firstLineChars="100"/>
        <w:textAlignment w:val="auto"/>
        <w:rPr>
          <w:rFonts w:hint="eastAsia" w:ascii="宋体" w:hAnsi="宋体" w:eastAsia="宋体" w:cs="宋体"/>
          <w:b w:val="0"/>
          <w:bCs/>
          <w:color w:val="auto"/>
          <w:highlight w:val="none"/>
          <w:lang w:eastAsia="zh-CN"/>
        </w:rPr>
      </w:pPr>
      <w:r>
        <w:rPr>
          <w:rFonts w:hint="eastAsia" w:hAnsi="宋体" w:cs="宋体"/>
          <w:b/>
          <w:color w:val="auto"/>
          <w:sz w:val="21"/>
          <w:szCs w:val="21"/>
        </w:rPr>
        <w:t>注：评审时，为了避免价格的恶性竞争，保证工程项目的整体质量达到合格标准，如某一供应商的报价明显低于其他通过符合性审查供应商的报价或经评标委员会认定为低于成本报价时，评标委员会可要求其在规定时间内予以澄清说明；</w:t>
      </w:r>
      <w:r>
        <w:rPr>
          <w:rFonts w:hint="eastAsia" w:hAnsi="宋体" w:cs="宋体"/>
          <w:b/>
          <w:color w:val="auto"/>
          <w:szCs w:val="21"/>
        </w:rPr>
        <w:t>供应商不能证明其报价合理性的</w:t>
      </w:r>
      <w:r>
        <w:rPr>
          <w:rFonts w:hint="eastAsia" w:hAnsi="宋体" w:cs="宋体"/>
          <w:b/>
          <w:color w:val="auto"/>
          <w:sz w:val="21"/>
          <w:szCs w:val="21"/>
        </w:rPr>
        <w:t>，视为以低于企业成本报价恶意报价，</w:t>
      </w:r>
      <w:r>
        <w:rPr>
          <w:rFonts w:hint="eastAsia" w:hAnsi="宋体" w:cs="宋体"/>
          <w:b/>
          <w:color w:val="auto"/>
          <w:szCs w:val="21"/>
        </w:rPr>
        <w:t>磋商小组应当将其作为无效响应文件处理</w:t>
      </w:r>
      <w:r>
        <w:rPr>
          <w:rFonts w:hint="eastAsia" w:hAnsi="宋体" w:cs="宋体"/>
          <w:b/>
          <w:color w:val="auto"/>
          <w:szCs w:val="21"/>
          <w:lang w:eastAsia="zh-CN"/>
        </w:rPr>
        <w:t>。</w:t>
      </w:r>
    </w:p>
    <w:p w14:paraId="2E77269C">
      <w:pPr>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b/>
          <w:color w:val="auto"/>
          <w:highlight w:val="none"/>
        </w:rPr>
      </w:pPr>
      <w:r>
        <w:rPr>
          <w:rFonts w:hint="eastAsia" w:ascii="宋体" w:hAnsi="宋体" w:eastAsia="宋体" w:cs="宋体"/>
          <w:b/>
          <w:color w:val="auto"/>
          <w:kern w:val="0"/>
          <w:sz w:val="24"/>
          <w:szCs w:val="21"/>
          <w:highlight w:val="none"/>
          <w:lang w:val="en-US" w:eastAsia="zh-CN" w:bidi="ar-SA"/>
        </w:rPr>
        <w:t>2、技术分（施工组织技术方案）……………………………………………………满分</w:t>
      </w:r>
      <w:r>
        <w:rPr>
          <w:rFonts w:hint="eastAsia" w:ascii="宋体" w:hAnsi="宋体" w:cs="宋体"/>
          <w:b/>
          <w:color w:val="auto"/>
          <w:kern w:val="0"/>
          <w:sz w:val="24"/>
          <w:szCs w:val="21"/>
          <w:highlight w:val="none"/>
          <w:lang w:val="en-US" w:eastAsia="zh-CN" w:bidi="ar-SA"/>
        </w:rPr>
        <w:t>61</w:t>
      </w:r>
      <w:r>
        <w:rPr>
          <w:rFonts w:hint="eastAsia" w:ascii="宋体" w:hAnsi="宋体" w:eastAsia="宋体" w:cs="宋体"/>
          <w:b/>
          <w:color w:val="auto"/>
          <w:kern w:val="0"/>
          <w:sz w:val="24"/>
          <w:szCs w:val="21"/>
          <w:highlight w:val="none"/>
          <w:lang w:val="en-US" w:eastAsia="zh-CN" w:bidi="ar-SA"/>
        </w:rPr>
        <w:t>分</w:t>
      </w:r>
    </w:p>
    <w:p w14:paraId="46AD863C">
      <w:pPr>
        <w:pStyle w:val="12"/>
        <w:keepNext w:val="0"/>
        <w:keepLines w:val="0"/>
        <w:pageBreakBefore w:val="0"/>
        <w:widowControl w:val="0"/>
        <w:tabs>
          <w:tab w:val="left" w:leader="middleDot" w:pos="8820"/>
        </w:tabs>
        <w:kinsoku/>
        <w:wordWrap/>
        <w:overflowPunct/>
        <w:topLinePunct w:val="0"/>
        <w:bidi w:val="0"/>
        <w:snapToGrid/>
        <w:spacing w:line="440" w:lineRule="exact"/>
        <w:ind w:firstLine="211" w:firstLineChars="100"/>
        <w:textAlignment w:val="auto"/>
        <w:rPr>
          <w:rFonts w:hint="eastAsia" w:ascii="宋体" w:hAnsi="宋体" w:eastAsia="宋体" w:cs="宋体"/>
          <w:b/>
          <w:bCs w:val="0"/>
          <w:color w:val="auto"/>
          <w:szCs w:val="21"/>
          <w:highlight w:val="none"/>
        </w:rPr>
      </w:pPr>
      <w:r>
        <w:rPr>
          <w:rFonts w:hint="eastAsia" w:ascii="宋体" w:hAnsi="宋体" w:eastAsia="宋体" w:cs="宋体"/>
          <w:b/>
          <w:bCs w:val="0"/>
          <w:color w:val="auto"/>
          <w:highlight w:val="none"/>
        </w:rPr>
        <w:t>（1）</w:t>
      </w:r>
      <w:r>
        <w:rPr>
          <w:rFonts w:hint="eastAsia" w:ascii="宋体" w:hAnsi="宋体" w:eastAsia="宋体" w:cs="宋体"/>
          <w:b/>
          <w:bCs w:val="0"/>
          <w:color w:val="auto"/>
          <w:szCs w:val="21"/>
          <w:highlight w:val="none"/>
        </w:rPr>
        <w:t>总体概述</w:t>
      </w:r>
      <w:r>
        <w:rPr>
          <w:rFonts w:hint="eastAsia" w:ascii="宋体" w:hAnsi="宋体" w:eastAsia="宋体" w:cs="宋体"/>
          <w:b/>
          <w:bCs w:val="0"/>
          <w:color w:val="auto"/>
          <w:highlight w:val="none"/>
        </w:rPr>
        <w:t>……………………………………………</w:t>
      </w:r>
      <w:r>
        <w:rPr>
          <w:rFonts w:hint="eastAsia" w:ascii="宋体" w:hAnsi="宋体" w:eastAsia="宋体" w:cs="宋体"/>
          <w:b/>
          <w:color w:val="auto"/>
          <w:highlight w:val="none"/>
        </w:rPr>
        <w:t>………</w:t>
      </w:r>
      <w:r>
        <w:rPr>
          <w:rFonts w:hint="eastAsia" w:ascii="宋体" w:hAnsi="宋体" w:eastAsia="宋体" w:cs="宋体"/>
          <w:b/>
          <w:bCs w:val="0"/>
          <w:color w:val="auto"/>
          <w:highlight w:val="none"/>
        </w:rPr>
        <w:t>………………</w:t>
      </w:r>
      <w:r>
        <w:rPr>
          <w:rFonts w:hint="eastAsia" w:ascii="宋体" w:hAnsi="宋体" w:eastAsia="宋体" w:cs="宋体"/>
          <w:b/>
          <w:bCs w:val="0"/>
          <w:color w:val="auto"/>
          <w:szCs w:val="21"/>
          <w:highlight w:val="none"/>
        </w:rPr>
        <w:t>…</w:t>
      </w:r>
      <w:r>
        <w:rPr>
          <w:rFonts w:hint="eastAsia" w:ascii="宋体" w:hAnsi="宋体" w:eastAsia="宋体" w:cs="宋体"/>
          <w:b/>
          <w:bCs w:val="0"/>
          <w:color w:val="auto"/>
          <w:highlight w:val="none"/>
        </w:rPr>
        <w:t>………………</w:t>
      </w:r>
      <w:r>
        <w:rPr>
          <w:rFonts w:hint="eastAsia" w:hAnsi="宋体" w:cs="宋体"/>
          <w:b/>
          <w:bCs w:val="0"/>
          <w:color w:val="auto"/>
          <w:highlight w:val="none"/>
          <w:lang w:val="en-US" w:eastAsia="zh-CN"/>
        </w:rPr>
        <w:t>7</w:t>
      </w:r>
      <w:r>
        <w:rPr>
          <w:rFonts w:hint="eastAsia" w:ascii="宋体" w:hAnsi="宋体" w:eastAsia="宋体" w:cs="宋体"/>
          <w:b/>
          <w:bCs w:val="0"/>
          <w:color w:val="auto"/>
          <w:szCs w:val="21"/>
          <w:highlight w:val="none"/>
        </w:rPr>
        <w:t>分</w:t>
      </w:r>
    </w:p>
    <w:p w14:paraId="6FA7C27C">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kern w:val="0"/>
          <w:szCs w:val="21"/>
          <w:highlight w:val="none"/>
          <w:lang w:eastAsia="zh-CN"/>
        </w:rPr>
      </w:pPr>
      <w:r>
        <w:rPr>
          <w:rFonts w:hint="eastAsia" w:ascii="宋体" w:hAnsi="宋体" w:eastAsia="宋体" w:cs="宋体"/>
          <w:b w:val="0"/>
          <w:bCs/>
          <w:color w:val="auto"/>
          <w:kern w:val="0"/>
          <w:szCs w:val="21"/>
          <w:highlight w:val="none"/>
        </w:rPr>
        <w:t>优</w:t>
      </w:r>
      <w:r>
        <w:rPr>
          <w:rFonts w:hint="eastAsia" w:ascii="宋体" w:hAnsi="宋体" w:eastAsia="宋体" w:cs="宋体"/>
          <w:b w:val="0"/>
          <w:bCs/>
          <w:color w:val="auto"/>
          <w:kern w:val="0"/>
          <w:szCs w:val="21"/>
          <w:highlight w:val="none"/>
          <w:lang w:eastAsia="zh-CN"/>
        </w:rPr>
        <w:t>（</w:t>
      </w:r>
      <w:r>
        <w:rPr>
          <w:rFonts w:hint="eastAsia" w:hAnsi="宋体" w:cs="宋体"/>
          <w:b w:val="0"/>
          <w:bCs/>
          <w:color w:val="auto"/>
          <w:kern w:val="0"/>
          <w:szCs w:val="21"/>
          <w:highlight w:val="none"/>
          <w:lang w:val="en-US" w:eastAsia="zh-CN"/>
        </w:rPr>
        <w:t>7</w:t>
      </w:r>
      <w:r>
        <w:rPr>
          <w:rFonts w:hint="eastAsia" w:ascii="宋体" w:hAnsi="宋体" w:eastAsia="宋体" w:cs="宋体"/>
          <w:b w:val="0"/>
          <w:bCs/>
          <w:color w:val="auto"/>
          <w:kern w:val="0"/>
          <w:szCs w:val="21"/>
          <w:highlight w:val="none"/>
          <w:lang w:val="en-US" w:eastAsia="zh-CN"/>
        </w:rPr>
        <w:t>分</w:t>
      </w:r>
      <w:r>
        <w:rPr>
          <w:rFonts w:hint="eastAsia" w:ascii="宋体" w:hAnsi="宋体" w:eastAsia="宋体" w:cs="宋体"/>
          <w:b w:val="0"/>
          <w:bCs/>
          <w:color w:val="auto"/>
          <w:kern w:val="0"/>
          <w:szCs w:val="21"/>
          <w:highlight w:val="none"/>
          <w:lang w:eastAsia="zh-CN"/>
        </w:rPr>
        <w:t>）</w:t>
      </w:r>
      <w:r>
        <w:rPr>
          <w:rFonts w:hint="eastAsia" w:ascii="宋体" w:hAnsi="宋体" w:eastAsia="宋体" w:cs="宋体"/>
          <w:b w:val="0"/>
          <w:bCs/>
          <w:color w:val="auto"/>
          <w:kern w:val="0"/>
          <w:szCs w:val="21"/>
          <w:highlight w:val="none"/>
        </w:rPr>
        <w:t>：对项目总体有深刻认识，表达清晰、完整、严谨、合理，措施先进、具体、有效、成熟；施工段划分清晰、合理，符合规范要求</w:t>
      </w:r>
      <w:r>
        <w:rPr>
          <w:rFonts w:hint="eastAsia" w:ascii="宋体" w:hAnsi="宋体" w:eastAsia="宋体" w:cs="宋体"/>
          <w:b w:val="0"/>
          <w:bCs/>
          <w:color w:val="auto"/>
          <w:kern w:val="0"/>
          <w:szCs w:val="21"/>
          <w:highlight w:val="none"/>
          <w:lang w:eastAsia="zh-CN"/>
        </w:rPr>
        <w:t>；</w:t>
      </w:r>
    </w:p>
    <w:p w14:paraId="607D117F">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kern w:val="0"/>
          <w:szCs w:val="21"/>
          <w:highlight w:val="none"/>
          <w:lang w:eastAsia="zh-CN"/>
        </w:rPr>
      </w:pPr>
      <w:r>
        <w:rPr>
          <w:rFonts w:hint="eastAsia" w:ascii="宋体" w:hAnsi="宋体" w:eastAsia="宋体" w:cs="宋体"/>
          <w:b w:val="0"/>
          <w:bCs/>
          <w:color w:val="auto"/>
          <w:kern w:val="0"/>
          <w:szCs w:val="21"/>
          <w:highlight w:val="none"/>
        </w:rPr>
        <w:t>良</w:t>
      </w:r>
      <w:r>
        <w:rPr>
          <w:rFonts w:hint="eastAsia" w:ascii="宋体" w:hAnsi="宋体" w:eastAsia="宋体" w:cs="宋体"/>
          <w:b w:val="0"/>
          <w:bCs/>
          <w:color w:val="auto"/>
          <w:kern w:val="0"/>
          <w:szCs w:val="21"/>
          <w:highlight w:val="none"/>
          <w:lang w:eastAsia="zh-CN"/>
        </w:rPr>
        <w:t>（</w:t>
      </w:r>
      <w:r>
        <w:rPr>
          <w:rFonts w:hint="eastAsia" w:hAnsi="宋体" w:cs="宋体"/>
          <w:b w:val="0"/>
          <w:bCs/>
          <w:color w:val="auto"/>
          <w:kern w:val="0"/>
          <w:szCs w:val="21"/>
          <w:highlight w:val="none"/>
          <w:lang w:val="en-US" w:eastAsia="zh-CN"/>
        </w:rPr>
        <w:t>5</w:t>
      </w:r>
      <w:r>
        <w:rPr>
          <w:rFonts w:hint="eastAsia" w:ascii="宋体" w:hAnsi="宋体" w:eastAsia="宋体" w:cs="宋体"/>
          <w:b w:val="0"/>
          <w:bCs/>
          <w:color w:val="auto"/>
          <w:kern w:val="0"/>
          <w:szCs w:val="21"/>
          <w:highlight w:val="none"/>
          <w:lang w:val="en-US" w:eastAsia="zh-CN"/>
        </w:rPr>
        <w:t>分</w:t>
      </w:r>
      <w:r>
        <w:rPr>
          <w:rFonts w:hint="eastAsia" w:ascii="宋体" w:hAnsi="宋体" w:eastAsia="宋体" w:cs="宋体"/>
          <w:b w:val="0"/>
          <w:bCs/>
          <w:color w:val="auto"/>
          <w:kern w:val="0"/>
          <w:szCs w:val="21"/>
          <w:highlight w:val="none"/>
          <w:lang w:eastAsia="zh-CN"/>
        </w:rPr>
        <w:t>）</w:t>
      </w:r>
      <w:r>
        <w:rPr>
          <w:rFonts w:hint="eastAsia" w:ascii="宋体" w:hAnsi="宋体" w:eastAsia="宋体" w:cs="宋体"/>
          <w:b w:val="0"/>
          <w:bCs/>
          <w:color w:val="auto"/>
          <w:kern w:val="0"/>
          <w:szCs w:val="21"/>
          <w:highlight w:val="none"/>
        </w:rPr>
        <w:t>：对项目总体有一定认识，表达清晰、完整，措施具体有效；施工段划分清晰，符合规范要求</w:t>
      </w:r>
      <w:r>
        <w:rPr>
          <w:rFonts w:hint="eastAsia" w:ascii="宋体" w:hAnsi="宋体" w:eastAsia="宋体" w:cs="宋体"/>
          <w:b w:val="0"/>
          <w:bCs/>
          <w:color w:val="auto"/>
          <w:kern w:val="0"/>
          <w:szCs w:val="21"/>
          <w:highlight w:val="none"/>
          <w:lang w:eastAsia="zh-CN"/>
        </w:rPr>
        <w:t>；</w:t>
      </w:r>
    </w:p>
    <w:p w14:paraId="722F2BAE">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kern w:val="0"/>
          <w:szCs w:val="21"/>
          <w:highlight w:val="none"/>
          <w:lang w:eastAsia="zh-CN"/>
        </w:rPr>
      </w:pPr>
      <w:r>
        <w:rPr>
          <w:rFonts w:hint="eastAsia" w:ascii="宋体" w:hAnsi="宋体" w:eastAsia="宋体" w:cs="宋体"/>
          <w:b w:val="0"/>
          <w:bCs/>
          <w:color w:val="auto"/>
          <w:kern w:val="0"/>
          <w:szCs w:val="21"/>
          <w:highlight w:val="none"/>
        </w:rPr>
        <w:t>中</w:t>
      </w:r>
      <w:r>
        <w:rPr>
          <w:rFonts w:hint="eastAsia" w:ascii="宋体" w:hAnsi="宋体" w:eastAsia="宋体" w:cs="宋体"/>
          <w:b w:val="0"/>
          <w:bCs/>
          <w:color w:val="auto"/>
          <w:kern w:val="0"/>
          <w:szCs w:val="21"/>
          <w:highlight w:val="none"/>
          <w:lang w:eastAsia="zh-CN"/>
        </w:rPr>
        <w:t>（</w:t>
      </w:r>
      <w:r>
        <w:rPr>
          <w:rFonts w:hint="eastAsia" w:hAnsi="宋体" w:cs="宋体"/>
          <w:b w:val="0"/>
          <w:bCs/>
          <w:color w:val="auto"/>
          <w:kern w:val="0"/>
          <w:szCs w:val="21"/>
          <w:highlight w:val="none"/>
          <w:lang w:val="en-US" w:eastAsia="zh-CN"/>
        </w:rPr>
        <w:t>3</w:t>
      </w:r>
      <w:r>
        <w:rPr>
          <w:rFonts w:hint="eastAsia" w:ascii="宋体" w:hAnsi="宋体" w:eastAsia="宋体" w:cs="宋体"/>
          <w:b w:val="0"/>
          <w:bCs/>
          <w:color w:val="auto"/>
          <w:kern w:val="0"/>
          <w:szCs w:val="21"/>
          <w:highlight w:val="none"/>
          <w:lang w:val="en-US" w:eastAsia="zh-CN"/>
        </w:rPr>
        <w:t>分</w:t>
      </w:r>
      <w:r>
        <w:rPr>
          <w:rFonts w:hint="eastAsia" w:ascii="宋体" w:hAnsi="宋体" w:eastAsia="宋体" w:cs="宋体"/>
          <w:b w:val="0"/>
          <w:bCs/>
          <w:color w:val="auto"/>
          <w:kern w:val="0"/>
          <w:szCs w:val="21"/>
          <w:highlight w:val="none"/>
          <w:lang w:eastAsia="zh-CN"/>
        </w:rPr>
        <w:t>）</w:t>
      </w:r>
      <w:r>
        <w:rPr>
          <w:rFonts w:hint="eastAsia" w:ascii="宋体" w:hAnsi="宋体" w:eastAsia="宋体" w:cs="宋体"/>
          <w:b w:val="0"/>
          <w:bCs/>
          <w:color w:val="auto"/>
          <w:kern w:val="0"/>
          <w:szCs w:val="21"/>
          <w:highlight w:val="none"/>
        </w:rPr>
        <w:t>：对项目总体有认识，有一定的措施但部分不具体；施工段划分较合理，符合规范要求</w:t>
      </w:r>
      <w:r>
        <w:rPr>
          <w:rFonts w:hint="eastAsia" w:ascii="宋体" w:hAnsi="宋体" w:eastAsia="宋体" w:cs="宋体"/>
          <w:b w:val="0"/>
          <w:bCs/>
          <w:color w:val="auto"/>
          <w:kern w:val="0"/>
          <w:szCs w:val="21"/>
          <w:highlight w:val="none"/>
          <w:lang w:eastAsia="zh-CN"/>
        </w:rPr>
        <w:t>；</w:t>
      </w:r>
    </w:p>
    <w:p w14:paraId="0C59109B">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kern w:val="0"/>
          <w:szCs w:val="21"/>
          <w:highlight w:val="none"/>
        </w:rPr>
      </w:pPr>
      <w:r>
        <w:rPr>
          <w:rFonts w:hint="eastAsia" w:ascii="宋体" w:hAnsi="宋体" w:eastAsia="宋体" w:cs="宋体"/>
          <w:b w:val="0"/>
          <w:bCs/>
          <w:color w:val="auto"/>
          <w:kern w:val="0"/>
          <w:szCs w:val="21"/>
          <w:highlight w:val="none"/>
        </w:rPr>
        <w:t>差</w:t>
      </w:r>
      <w:r>
        <w:rPr>
          <w:rFonts w:hint="eastAsia" w:ascii="宋体" w:hAnsi="宋体" w:eastAsia="宋体" w:cs="宋体"/>
          <w:b w:val="0"/>
          <w:bCs/>
          <w:color w:val="auto"/>
          <w:kern w:val="0"/>
          <w:szCs w:val="21"/>
          <w:highlight w:val="none"/>
          <w:lang w:eastAsia="zh-CN"/>
        </w:rPr>
        <w:t>（</w:t>
      </w:r>
      <w:r>
        <w:rPr>
          <w:rFonts w:hint="eastAsia" w:hAnsi="宋体" w:cs="宋体"/>
          <w:b w:val="0"/>
          <w:bCs/>
          <w:color w:val="auto"/>
          <w:kern w:val="0"/>
          <w:szCs w:val="21"/>
          <w:highlight w:val="none"/>
          <w:lang w:val="en-US" w:eastAsia="zh-CN"/>
        </w:rPr>
        <w:t>1</w:t>
      </w:r>
      <w:r>
        <w:rPr>
          <w:rFonts w:hint="eastAsia" w:ascii="宋体" w:hAnsi="宋体" w:eastAsia="宋体" w:cs="宋体"/>
          <w:b w:val="0"/>
          <w:bCs/>
          <w:color w:val="auto"/>
          <w:kern w:val="0"/>
          <w:szCs w:val="21"/>
          <w:highlight w:val="none"/>
          <w:lang w:val="en-US" w:eastAsia="zh-CN"/>
        </w:rPr>
        <w:t>分</w:t>
      </w:r>
      <w:r>
        <w:rPr>
          <w:rFonts w:hint="eastAsia" w:ascii="宋体" w:hAnsi="宋体" w:eastAsia="宋体" w:cs="宋体"/>
          <w:b w:val="0"/>
          <w:bCs/>
          <w:color w:val="auto"/>
          <w:kern w:val="0"/>
          <w:szCs w:val="21"/>
          <w:highlight w:val="none"/>
          <w:lang w:eastAsia="zh-CN"/>
        </w:rPr>
        <w:t>）</w:t>
      </w:r>
      <w:r>
        <w:rPr>
          <w:rFonts w:hint="eastAsia" w:ascii="宋体" w:hAnsi="宋体" w:eastAsia="宋体" w:cs="宋体"/>
          <w:b w:val="0"/>
          <w:bCs/>
          <w:color w:val="auto"/>
          <w:kern w:val="0"/>
          <w:szCs w:val="21"/>
          <w:highlight w:val="none"/>
        </w:rPr>
        <w:t>：对项目认识不足，表达不清晰，措施不具体；施工段划分不合理。</w:t>
      </w:r>
    </w:p>
    <w:p w14:paraId="75A6515A">
      <w:pPr>
        <w:pStyle w:val="12"/>
        <w:keepNext w:val="0"/>
        <w:keepLines w:val="0"/>
        <w:pageBreakBefore w:val="0"/>
        <w:widowControl w:val="0"/>
        <w:tabs>
          <w:tab w:val="left" w:leader="middleDot" w:pos="8820"/>
        </w:tabs>
        <w:kinsoku/>
        <w:wordWrap/>
        <w:overflowPunct/>
        <w:topLinePunct w:val="0"/>
        <w:bidi w:val="0"/>
        <w:snapToGrid/>
        <w:spacing w:line="440" w:lineRule="exact"/>
        <w:ind w:firstLine="211" w:firstLineChars="100"/>
        <w:textAlignment w:val="auto"/>
        <w:rPr>
          <w:rFonts w:hint="eastAsia" w:ascii="宋体" w:hAnsi="宋体" w:eastAsia="宋体" w:cs="宋体"/>
          <w:b/>
          <w:bCs w:val="0"/>
          <w:color w:val="auto"/>
          <w:highlight w:val="none"/>
        </w:rPr>
      </w:pPr>
      <w:r>
        <w:rPr>
          <w:rFonts w:hint="eastAsia" w:ascii="宋体" w:hAnsi="宋体" w:eastAsia="宋体" w:cs="宋体"/>
          <w:b/>
          <w:bCs w:val="0"/>
          <w:color w:val="auto"/>
          <w:highlight w:val="none"/>
        </w:rPr>
        <w:t>（2）主要施工方法…………</w:t>
      </w:r>
      <w:r>
        <w:rPr>
          <w:rFonts w:hint="eastAsia" w:ascii="宋体" w:hAnsi="宋体" w:eastAsia="宋体" w:cs="宋体"/>
          <w:b/>
          <w:bCs w:val="0"/>
          <w:color w:val="auto"/>
          <w:szCs w:val="21"/>
          <w:highlight w:val="none"/>
        </w:rPr>
        <w:t>…</w:t>
      </w:r>
      <w:r>
        <w:rPr>
          <w:rFonts w:hint="eastAsia" w:ascii="宋体" w:hAnsi="宋体" w:eastAsia="宋体" w:cs="宋体"/>
          <w:b/>
          <w:bCs w:val="0"/>
          <w:color w:val="auto"/>
          <w:highlight w:val="none"/>
        </w:rPr>
        <w:t>…………</w:t>
      </w:r>
      <w:r>
        <w:rPr>
          <w:rFonts w:hint="eastAsia" w:ascii="宋体" w:hAnsi="宋体" w:eastAsia="宋体" w:cs="宋体"/>
          <w:b/>
          <w:bCs w:val="0"/>
          <w:color w:val="auto"/>
          <w:szCs w:val="21"/>
          <w:highlight w:val="none"/>
        </w:rPr>
        <w:t>…</w:t>
      </w:r>
      <w:r>
        <w:rPr>
          <w:rFonts w:hint="eastAsia" w:ascii="宋体" w:hAnsi="宋体" w:eastAsia="宋体" w:cs="宋体"/>
          <w:b/>
          <w:bCs w:val="0"/>
          <w:color w:val="auto"/>
          <w:highlight w:val="none"/>
        </w:rPr>
        <w:t>……</w:t>
      </w:r>
      <w:r>
        <w:rPr>
          <w:rFonts w:hint="eastAsia" w:ascii="宋体" w:hAnsi="宋体" w:eastAsia="宋体" w:cs="宋体"/>
          <w:b/>
          <w:color w:val="auto"/>
          <w:highlight w:val="none"/>
        </w:rPr>
        <w:t>………</w:t>
      </w:r>
      <w:r>
        <w:rPr>
          <w:rFonts w:hint="eastAsia" w:ascii="宋体" w:hAnsi="宋体" w:eastAsia="宋体" w:cs="宋体"/>
          <w:b/>
          <w:bCs w:val="0"/>
          <w:color w:val="auto"/>
          <w:highlight w:val="none"/>
        </w:rPr>
        <w:t>……………………………………………</w:t>
      </w:r>
      <w:r>
        <w:rPr>
          <w:rFonts w:hint="eastAsia" w:hAnsi="宋体" w:cs="宋体"/>
          <w:b/>
          <w:bCs w:val="0"/>
          <w:color w:val="auto"/>
          <w:highlight w:val="none"/>
          <w:lang w:val="en-US" w:eastAsia="zh-CN"/>
        </w:rPr>
        <w:t>9</w:t>
      </w:r>
      <w:r>
        <w:rPr>
          <w:rFonts w:hint="eastAsia" w:ascii="宋体" w:hAnsi="宋体" w:eastAsia="宋体" w:cs="宋体"/>
          <w:b/>
          <w:bCs w:val="0"/>
          <w:color w:val="auto"/>
          <w:szCs w:val="21"/>
          <w:highlight w:val="none"/>
        </w:rPr>
        <w:t>分</w:t>
      </w:r>
    </w:p>
    <w:p w14:paraId="73334289">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优</w:t>
      </w:r>
      <w:r>
        <w:rPr>
          <w:rFonts w:hint="eastAsia" w:ascii="宋体" w:hAnsi="宋体" w:eastAsia="宋体" w:cs="宋体"/>
          <w:b w:val="0"/>
          <w:bCs/>
          <w:color w:val="auto"/>
          <w:szCs w:val="21"/>
          <w:highlight w:val="none"/>
          <w:lang w:eastAsia="zh-CN"/>
        </w:rPr>
        <w:t>（</w:t>
      </w:r>
      <w:r>
        <w:rPr>
          <w:rFonts w:hint="eastAsia" w:hAnsi="宋体" w:cs="宋体"/>
          <w:b w:val="0"/>
          <w:bCs/>
          <w:color w:val="auto"/>
          <w:szCs w:val="21"/>
          <w:highlight w:val="none"/>
          <w:lang w:val="en-US" w:eastAsia="zh-CN"/>
        </w:rPr>
        <w:t>9</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：各主要分部施工方法符合项目实际，有详尽的施工技术方案，工艺先进、方法科学合理、可行，能指导具体施工并确保安全；</w:t>
      </w:r>
    </w:p>
    <w:p w14:paraId="38DB6A90">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良</w:t>
      </w:r>
      <w:r>
        <w:rPr>
          <w:rFonts w:hint="eastAsia" w:ascii="宋体" w:hAnsi="宋体" w:eastAsia="宋体" w:cs="宋体"/>
          <w:b w:val="0"/>
          <w:bCs/>
          <w:color w:val="auto"/>
          <w:szCs w:val="21"/>
          <w:highlight w:val="none"/>
          <w:lang w:eastAsia="zh-CN"/>
        </w:rPr>
        <w:t>（</w:t>
      </w:r>
      <w:r>
        <w:rPr>
          <w:rFonts w:hint="eastAsia" w:hAnsi="宋体" w:cs="宋体"/>
          <w:b w:val="0"/>
          <w:bCs/>
          <w:color w:val="auto"/>
          <w:szCs w:val="21"/>
          <w:highlight w:val="none"/>
          <w:lang w:val="en-US" w:eastAsia="zh-CN"/>
        </w:rPr>
        <w:t>6</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：各主要分部施工方法符合项目实际，有较详尽的施工技术方案，工艺较好、方法科学合理、可行，能指导具体施工并确保安全；</w:t>
      </w:r>
    </w:p>
    <w:p w14:paraId="18844963">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中</w:t>
      </w:r>
      <w:r>
        <w:rPr>
          <w:rFonts w:hint="eastAsia" w:ascii="宋体" w:hAnsi="宋体" w:eastAsia="宋体" w:cs="宋体"/>
          <w:b w:val="0"/>
          <w:bCs/>
          <w:color w:val="auto"/>
          <w:szCs w:val="21"/>
          <w:highlight w:val="none"/>
          <w:lang w:eastAsia="zh-CN"/>
        </w:rPr>
        <w:t>（</w:t>
      </w:r>
      <w:r>
        <w:rPr>
          <w:rFonts w:hint="eastAsia" w:hAnsi="宋体" w:cs="宋体"/>
          <w:b w:val="0"/>
          <w:bCs/>
          <w:color w:val="auto"/>
          <w:szCs w:val="21"/>
          <w:highlight w:val="none"/>
          <w:lang w:val="en-US" w:eastAsia="zh-CN"/>
        </w:rPr>
        <w:t>3</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：各主要分部施工方法能满足项目需求，有施工技术方案，能指导具体施工并确保安全；</w:t>
      </w:r>
    </w:p>
    <w:p w14:paraId="643D7688">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差</w:t>
      </w:r>
      <w:r>
        <w:rPr>
          <w:rFonts w:hint="eastAsia" w:ascii="宋体" w:hAnsi="宋体" w:eastAsia="宋体" w:cs="宋体"/>
          <w:b w:val="0"/>
          <w:bCs/>
          <w:color w:val="auto"/>
          <w:szCs w:val="21"/>
          <w:highlight w:val="none"/>
          <w:lang w:eastAsia="zh-CN"/>
        </w:rPr>
        <w:t>（</w:t>
      </w:r>
      <w:r>
        <w:rPr>
          <w:rFonts w:hint="eastAsia" w:hAnsi="宋体" w:cs="宋体"/>
          <w:b w:val="0"/>
          <w:bCs/>
          <w:color w:val="auto"/>
          <w:szCs w:val="21"/>
          <w:highlight w:val="none"/>
          <w:lang w:val="en-US" w:eastAsia="zh-CN"/>
        </w:rPr>
        <w:t>1</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：各主要分部施工方法不能满足项目需求，没有施工技术方案，不能指导具体施工并确保安全。</w:t>
      </w:r>
    </w:p>
    <w:p w14:paraId="1A4CBB00">
      <w:pPr>
        <w:pStyle w:val="12"/>
        <w:keepNext w:val="0"/>
        <w:keepLines w:val="0"/>
        <w:pageBreakBefore w:val="0"/>
        <w:widowControl w:val="0"/>
        <w:tabs>
          <w:tab w:val="left" w:leader="middleDot" w:pos="8820"/>
        </w:tabs>
        <w:kinsoku/>
        <w:wordWrap/>
        <w:overflowPunct/>
        <w:topLinePunct w:val="0"/>
        <w:bidi w:val="0"/>
        <w:snapToGrid/>
        <w:spacing w:line="440" w:lineRule="exact"/>
        <w:ind w:firstLine="211" w:firstLineChars="100"/>
        <w:textAlignment w:val="auto"/>
        <w:rPr>
          <w:rFonts w:hint="eastAsia" w:ascii="宋体" w:hAnsi="宋体" w:eastAsia="宋体" w:cs="宋体"/>
          <w:b/>
          <w:bCs w:val="0"/>
          <w:color w:val="auto"/>
          <w:highlight w:val="none"/>
        </w:rPr>
      </w:pPr>
      <w:r>
        <w:rPr>
          <w:rFonts w:hint="eastAsia" w:ascii="宋体" w:hAnsi="宋体" w:eastAsia="宋体" w:cs="宋体"/>
          <w:b/>
          <w:bCs w:val="0"/>
          <w:color w:val="auto"/>
          <w:szCs w:val="21"/>
          <w:highlight w:val="none"/>
        </w:rPr>
        <w:t>（3）施工进度计划和各阶段进度的保证措施</w:t>
      </w:r>
      <w:r>
        <w:rPr>
          <w:rFonts w:hint="eastAsia" w:ascii="宋体" w:hAnsi="宋体" w:eastAsia="宋体" w:cs="宋体"/>
          <w:b/>
          <w:bCs w:val="0"/>
          <w:color w:val="auto"/>
          <w:highlight w:val="none"/>
        </w:rPr>
        <w:t>……</w:t>
      </w:r>
      <w:r>
        <w:rPr>
          <w:rFonts w:hint="eastAsia" w:ascii="宋体" w:hAnsi="宋体" w:eastAsia="宋体" w:cs="宋体"/>
          <w:b/>
          <w:color w:val="auto"/>
          <w:highlight w:val="none"/>
        </w:rPr>
        <w:t>………</w:t>
      </w:r>
      <w:r>
        <w:rPr>
          <w:rFonts w:hint="eastAsia" w:ascii="宋体" w:hAnsi="宋体" w:eastAsia="宋体" w:cs="宋体"/>
          <w:b/>
          <w:bCs w:val="0"/>
          <w:color w:val="auto"/>
          <w:highlight w:val="none"/>
        </w:rPr>
        <w:t>…………………</w:t>
      </w:r>
      <w:r>
        <w:rPr>
          <w:rFonts w:hint="eastAsia" w:ascii="宋体" w:hAnsi="宋体" w:eastAsia="宋体" w:cs="宋体"/>
          <w:b/>
          <w:bCs w:val="0"/>
          <w:color w:val="auto"/>
          <w:szCs w:val="21"/>
          <w:highlight w:val="none"/>
        </w:rPr>
        <w:t>…</w:t>
      </w:r>
      <w:r>
        <w:rPr>
          <w:rFonts w:hint="eastAsia" w:ascii="宋体" w:hAnsi="宋体" w:eastAsia="宋体" w:cs="宋体"/>
          <w:b/>
          <w:bCs w:val="0"/>
          <w:color w:val="auto"/>
          <w:highlight w:val="none"/>
        </w:rPr>
        <w:t>……………………</w:t>
      </w:r>
      <w:r>
        <w:rPr>
          <w:rFonts w:hint="eastAsia" w:hAnsi="宋体" w:cs="宋体"/>
          <w:b/>
          <w:bCs w:val="0"/>
          <w:color w:val="auto"/>
          <w:highlight w:val="none"/>
          <w:lang w:val="en-US" w:eastAsia="zh-CN"/>
        </w:rPr>
        <w:t>9</w:t>
      </w:r>
      <w:r>
        <w:rPr>
          <w:rFonts w:hint="eastAsia" w:ascii="宋体" w:hAnsi="宋体" w:eastAsia="宋体" w:cs="宋体"/>
          <w:b/>
          <w:bCs w:val="0"/>
          <w:color w:val="auto"/>
          <w:szCs w:val="21"/>
          <w:highlight w:val="none"/>
        </w:rPr>
        <w:t>分</w:t>
      </w:r>
    </w:p>
    <w:p w14:paraId="6974B1E7">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lang w:eastAsia="zh-CN"/>
        </w:rPr>
      </w:pPr>
      <w:r>
        <w:rPr>
          <w:rFonts w:hint="eastAsia" w:ascii="宋体" w:hAnsi="宋体" w:eastAsia="宋体" w:cs="宋体"/>
          <w:b w:val="0"/>
          <w:bCs/>
          <w:color w:val="auto"/>
          <w:szCs w:val="21"/>
          <w:highlight w:val="none"/>
        </w:rPr>
        <w:t>优</w:t>
      </w:r>
      <w:r>
        <w:rPr>
          <w:rFonts w:hint="eastAsia" w:ascii="宋体" w:hAnsi="宋体" w:eastAsia="宋体" w:cs="宋体"/>
          <w:b w:val="0"/>
          <w:bCs/>
          <w:color w:val="auto"/>
          <w:kern w:val="0"/>
          <w:szCs w:val="21"/>
          <w:highlight w:val="none"/>
          <w:lang w:eastAsia="zh-CN"/>
        </w:rPr>
        <w:t>（</w:t>
      </w:r>
      <w:r>
        <w:rPr>
          <w:rFonts w:hint="eastAsia" w:hAnsi="宋体" w:cs="宋体"/>
          <w:b w:val="0"/>
          <w:bCs/>
          <w:color w:val="auto"/>
          <w:kern w:val="0"/>
          <w:szCs w:val="21"/>
          <w:highlight w:val="none"/>
          <w:lang w:val="en-US" w:eastAsia="zh-CN"/>
        </w:rPr>
        <w:t>9</w:t>
      </w:r>
      <w:r>
        <w:rPr>
          <w:rFonts w:hint="eastAsia" w:ascii="宋体" w:hAnsi="宋体" w:eastAsia="宋体" w:cs="宋体"/>
          <w:b w:val="0"/>
          <w:bCs/>
          <w:color w:val="auto"/>
          <w:kern w:val="0"/>
          <w:szCs w:val="21"/>
          <w:highlight w:val="none"/>
          <w:lang w:val="en-US" w:eastAsia="zh-CN"/>
        </w:rPr>
        <w:t>分</w:t>
      </w:r>
      <w:r>
        <w:rPr>
          <w:rFonts w:hint="eastAsia" w:ascii="宋体" w:hAnsi="宋体" w:eastAsia="宋体" w:cs="宋体"/>
          <w:b w:val="0"/>
          <w:bCs/>
          <w:color w:val="auto"/>
          <w:kern w:val="0"/>
          <w:szCs w:val="21"/>
          <w:highlight w:val="none"/>
          <w:lang w:eastAsia="zh-CN"/>
        </w:rPr>
        <w:t>）</w:t>
      </w:r>
      <w:r>
        <w:rPr>
          <w:rFonts w:hint="eastAsia" w:ascii="宋体" w:hAnsi="宋体" w:eastAsia="宋体" w:cs="宋体"/>
          <w:b w:val="0"/>
          <w:bCs/>
          <w:color w:val="auto"/>
          <w:szCs w:val="21"/>
          <w:highlight w:val="none"/>
        </w:rPr>
        <w:t>：关键线路清晰、准确、完整，计划编制合理、可行，关键节点的控制措施有力、合理、可行</w:t>
      </w:r>
      <w:r>
        <w:rPr>
          <w:rFonts w:hint="eastAsia" w:ascii="宋体" w:hAnsi="宋体" w:eastAsia="宋体" w:cs="宋体"/>
          <w:b w:val="0"/>
          <w:bCs/>
          <w:color w:val="auto"/>
          <w:szCs w:val="21"/>
          <w:highlight w:val="none"/>
          <w:lang w:eastAsia="zh-CN"/>
        </w:rPr>
        <w:t>；</w:t>
      </w:r>
    </w:p>
    <w:p w14:paraId="3C6CDB52">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lang w:eastAsia="zh-CN"/>
        </w:rPr>
      </w:pPr>
      <w:r>
        <w:rPr>
          <w:rFonts w:hint="eastAsia" w:ascii="宋体" w:hAnsi="宋体" w:eastAsia="宋体" w:cs="宋体"/>
          <w:b w:val="0"/>
          <w:bCs/>
          <w:color w:val="auto"/>
          <w:szCs w:val="21"/>
          <w:highlight w:val="none"/>
        </w:rPr>
        <w:t>良</w:t>
      </w:r>
      <w:r>
        <w:rPr>
          <w:rFonts w:hint="eastAsia" w:ascii="宋体" w:hAnsi="宋体" w:eastAsia="宋体" w:cs="宋体"/>
          <w:b w:val="0"/>
          <w:bCs/>
          <w:color w:val="auto"/>
          <w:kern w:val="0"/>
          <w:szCs w:val="21"/>
          <w:highlight w:val="none"/>
          <w:lang w:eastAsia="zh-CN"/>
        </w:rPr>
        <w:t>（</w:t>
      </w:r>
      <w:r>
        <w:rPr>
          <w:rFonts w:hint="eastAsia" w:hAnsi="宋体" w:cs="宋体"/>
          <w:b w:val="0"/>
          <w:bCs/>
          <w:color w:val="auto"/>
          <w:kern w:val="0"/>
          <w:szCs w:val="21"/>
          <w:highlight w:val="none"/>
          <w:lang w:val="en-US" w:eastAsia="zh-CN"/>
        </w:rPr>
        <w:t>6</w:t>
      </w:r>
      <w:r>
        <w:rPr>
          <w:rFonts w:hint="eastAsia" w:ascii="宋体" w:hAnsi="宋体" w:eastAsia="宋体" w:cs="宋体"/>
          <w:b w:val="0"/>
          <w:bCs/>
          <w:color w:val="auto"/>
          <w:kern w:val="0"/>
          <w:szCs w:val="21"/>
          <w:highlight w:val="none"/>
          <w:lang w:val="en-US" w:eastAsia="zh-CN"/>
        </w:rPr>
        <w:t>分</w:t>
      </w:r>
      <w:r>
        <w:rPr>
          <w:rFonts w:hint="eastAsia" w:ascii="宋体" w:hAnsi="宋体" w:eastAsia="宋体" w:cs="宋体"/>
          <w:b w:val="0"/>
          <w:bCs/>
          <w:color w:val="auto"/>
          <w:kern w:val="0"/>
          <w:szCs w:val="21"/>
          <w:highlight w:val="none"/>
          <w:lang w:eastAsia="zh-CN"/>
        </w:rPr>
        <w:t>）</w:t>
      </w:r>
      <w:r>
        <w:rPr>
          <w:rFonts w:hint="eastAsia" w:ascii="宋体" w:hAnsi="宋体" w:eastAsia="宋体" w:cs="宋体"/>
          <w:b w:val="0"/>
          <w:bCs/>
          <w:color w:val="auto"/>
          <w:szCs w:val="21"/>
          <w:highlight w:val="none"/>
        </w:rPr>
        <w:t>：关键线路清晰、准确、完整，计划编制可行，关键节点的控制措施合理、可行</w:t>
      </w:r>
      <w:r>
        <w:rPr>
          <w:rFonts w:hint="eastAsia" w:ascii="宋体" w:hAnsi="宋体" w:eastAsia="宋体" w:cs="宋体"/>
          <w:b w:val="0"/>
          <w:bCs/>
          <w:color w:val="auto"/>
          <w:szCs w:val="21"/>
          <w:highlight w:val="none"/>
          <w:lang w:eastAsia="zh-CN"/>
        </w:rPr>
        <w:t>；</w:t>
      </w:r>
    </w:p>
    <w:p w14:paraId="648BEC91">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lang w:eastAsia="zh-CN"/>
        </w:rPr>
      </w:pPr>
      <w:r>
        <w:rPr>
          <w:rFonts w:hint="eastAsia" w:ascii="宋体" w:hAnsi="宋体" w:eastAsia="宋体" w:cs="宋体"/>
          <w:b w:val="0"/>
          <w:bCs/>
          <w:color w:val="auto"/>
          <w:szCs w:val="21"/>
          <w:highlight w:val="none"/>
        </w:rPr>
        <w:t>中</w:t>
      </w:r>
      <w:r>
        <w:rPr>
          <w:rFonts w:hint="eastAsia" w:ascii="宋体" w:hAnsi="宋体" w:eastAsia="宋体" w:cs="宋体"/>
          <w:b w:val="0"/>
          <w:bCs/>
          <w:color w:val="auto"/>
          <w:kern w:val="0"/>
          <w:szCs w:val="21"/>
          <w:highlight w:val="none"/>
          <w:lang w:eastAsia="zh-CN"/>
        </w:rPr>
        <w:t>（</w:t>
      </w:r>
      <w:r>
        <w:rPr>
          <w:rFonts w:hint="eastAsia" w:hAnsi="宋体" w:cs="宋体"/>
          <w:b w:val="0"/>
          <w:bCs/>
          <w:color w:val="auto"/>
          <w:kern w:val="0"/>
          <w:szCs w:val="21"/>
          <w:highlight w:val="none"/>
          <w:lang w:val="en-US" w:eastAsia="zh-CN"/>
        </w:rPr>
        <w:t>3</w:t>
      </w:r>
      <w:r>
        <w:rPr>
          <w:rFonts w:hint="eastAsia" w:ascii="宋体" w:hAnsi="宋体" w:eastAsia="宋体" w:cs="宋体"/>
          <w:b w:val="0"/>
          <w:bCs/>
          <w:color w:val="auto"/>
          <w:kern w:val="0"/>
          <w:szCs w:val="21"/>
          <w:highlight w:val="none"/>
          <w:lang w:val="en-US" w:eastAsia="zh-CN"/>
        </w:rPr>
        <w:t>分</w:t>
      </w:r>
      <w:r>
        <w:rPr>
          <w:rFonts w:hint="eastAsia" w:ascii="宋体" w:hAnsi="宋体" w:eastAsia="宋体" w:cs="宋体"/>
          <w:b w:val="0"/>
          <w:bCs/>
          <w:color w:val="auto"/>
          <w:kern w:val="0"/>
          <w:szCs w:val="21"/>
          <w:highlight w:val="none"/>
          <w:lang w:eastAsia="zh-CN"/>
        </w:rPr>
        <w:t>）</w:t>
      </w:r>
      <w:r>
        <w:rPr>
          <w:rFonts w:hint="eastAsia" w:ascii="宋体" w:hAnsi="宋体" w:eastAsia="宋体" w:cs="宋体"/>
          <w:b w:val="0"/>
          <w:bCs/>
          <w:color w:val="auto"/>
          <w:szCs w:val="21"/>
          <w:highlight w:val="none"/>
        </w:rPr>
        <w:t>：关键线路基本准确，计划编制合理，关键节点的控制措施基本可行</w:t>
      </w:r>
      <w:r>
        <w:rPr>
          <w:rFonts w:hint="eastAsia" w:ascii="宋体" w:hAnsi="宋体" w:eastAsia="宋体" w:cs="宋体"/>
          <w:b w:val="0"/>
          <w:bCs/>
          <w:color w:val="auto"/>
          <w:szCs w:val="21"/>
          <w:highlight w:val="none"/>
          <w:lang w:eastAsia="zh-CN"/>
        </w:rPr>
        <w:t>；</w:t>
      </w:r>
    </w:p>
    <w:p w14:paraId="63F36C9A">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差</w:t>
      </w:r>
      <w:r>
        <w:rPr>
          <w:rFonts w:hint="eastAsia" w:ascii="宋体" w:hAnsi="宋体" w:eastAsia="宋体" w:cs="宋体"/>
          <w:b w:val="0"/>
          <w:bCs/>
          <w:color w:val="auto"/>
          <w:szCs w:val="21"/>
          <w:highlight w:val="none"/>
          <w:lang w:eastAsia="zh-CN"/>
        </w:rPr>
        <w:t>（</w:t>
      </w:r>
      <w:r>
        <w:rPr>
          <w:rFonts w:hint="eastAsia" w:hAnsi="宋体" w:cs="宋体"/>
          <w:b w:val="0"/>
          <w:bCs/>
          <w:color w:val="auto"/>
          <w:szCs w:val="21"/>
          <w:highlight w:val="none"/>
          <w:lang w:val="en-US" w:eastAsia="zh-CN"/>
        </w:rPr>
        <w:t>1</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：关键线路不准确，计划编制不合理，关键节点的控制不可行。</w:t>
      </w:r>
    </w:p>
    <w:p w14:paraId="05B7E721">
      <w:pPr>
        <w:pStyle w:val="12"/>
        <w:keepNext w:val="0"/>
        <w:keepLines w:val="0"/>
        <w:pageBreakBefore w:val="0"/>
        <w:widowControl w:val="0"/>
        <w:tabs>
          <w:tab w:val="left" w:leader="middleDot" w:pos="8820"/>
        </w:tabs>
        <w:kinsoku/>
        <w:wordWrap/>
        <w:overflowPunct/>
        <w:topLinePunct w:val="0"/>
        <w:bidi w:val="0"/>
        <w:snapToGrid/>
        <w:spacing w:line="440" w:lineRule="exact"/>
        <w:ind w:firstLine="211" w:firstLineChars="100"/>
        <w:textAlignment w:val="auto"/>
        <w:rPr>
          <w:rFonts w:hint="eastAsia" w:ascii="宋体" w:hAnsi="宋体" w:eastAsia="宋体" w:cs="宋体"/>
          <w:b/>
          <w:bCs w:val="0"/>
          <w:color w:val="auto"/>
          <w:highlight w:val="none"/>
        </w:rPr>
      </w:pPr>
      <w:r>
        <w:rPr>
          <w:rFonts w:hint="eastAsia" w:ascii="宋体" w:hAnsi="宋体" w:eastAsia="宋体" w:cs="宋体"/>
          <w:b/>
          <w:bCs w:val="0"/>
          <w:color w:val="auto"/>
          <w:szCs w:val="21"/>
          <w:highlight w:val="none"/>
        </w:rPr>
        <w:t>（4）劳动力和材料投入计划及其保证措施</w:t>
      </w:r>
      <w:r>
        <w:rPr>
          <w:rFonts w:hint="eastAsia" w:ascii="宋体" w:hAnsi="宋体" w:eastAsia="宋体" w:cs="宋体"/>
          <w:b/>
          <w:bCs w:val="0"/>
          <w:color w:val="auto"/>
          <w:highlight w:val="none"/>
        </w:rPr>
        <w:t>…………………………………………</w:t>
      </w:r>
      <w:r>
        <w:rPr>
          <w:rFonts w:hint="eastAsia" w:ascii="宋体" w:hAnsi="宋体" w:eastAsia="宋体" w:cs="宋体"/>
          <w:b/>
          <w:bCs w:val="0"/>
          <w:color w:val="auto"/>
          <w:szCs w:val="21"/>
          <w:highlight w:val="none"/>
        </w:rPr>
        <w:t>…</w:t>
      </w:r>
      <w:r>
        <w:rPr>
          <w:rFonts w:hint="eastAsia" w:ascii="宋体" w:hAnsi="宋体" w:eastAsia="宋体" w:cs="宋体"/>
          <w:b/>
          <w:bCs w:val="0"/>
          <w:color w:val="auto"/>
          <w:highlight w:val="none"/>
        </w:rPr>
        <w:t>…………</w:t>
      </w:r>
      <w:r>
        <w:rPr>
          <w:rFonts w:hint="eastAsia" w:ascii="宋体" w:hAnsi="宋体" w:eastAsia="宋体" w:cs="宋体"/>
          <w:b/>
          <w:color w:val="auto"/>
          <w:highlight w:val="none"/>
        </w:rPr>
        <w:t>…</w:t>
      </w:r>
      <w:r>
        <w:rPr>
          <w:rFonts w:hint="eastAsia" w:hAnsi="宋体" w:cs="宋体"/>
          <w:b/>
          <w:color w:val="auto"/>
          <w:highlight w:val="none"/>
          <w:lang w:val="en-US" w:eastAsia="zh-CN"/>
        </w:rPr>
        <w:t>6</w:t>
      </w:r>
      <w:r>
        <w:rPr>
          <w:rFonts w:hint="eastAsia" w:ascii="宋体" w:hAnsi="宋体" w:eastAsia="宋体" w:cs="宋体"/>
          <w:b/>
          <w:bCs w:val="0"/>
          <w:color w:val="auto"/>
          <w:szCs w:val="21"/>
          <w:highlight w:val="none"/>
        </w:rPr>
        <w:t>分</w:t>
      </w:r>
    </w:p>
    <w:p w14:paraId="6F30935B">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lang w:eastAsia="zh-CN"/>
        </w:rPr>
      </w:pPr>
      <w:r>
        <w:rPr>
          <w:rFonts w:hint="eastAsia" w:ascii="宋体" w:hAnsi="宋体" w:eastAsia="宋体" w:cs="宋体"/>
          <w:b w:val="0"/>
          <w:bCs/>
          <w:color w:val="auto"/>
          <w:szCs w:val="21"/>
          <w:highlight w:val="none"/>
        </w:rPr>
        <w:t>优</w:t>
      </w:r>
      <w:r>
        <w:rPr>
          <w:rFonts w:hint="eastAsia" w:ascii="宋体" w:hAnsi="宋体" w:eastAsia="宋体" w:cs="宋体"/>
          <w:b w:val="0"/>
          <w:bCs/>
          <w:color w:val="auto"/>
          <w:szCs w:val="21"/>
          <w:highlight w:val="none"/>
          <w:lang w:eastAsia="zh-CN"/>
        </w:rPr>
        <w:t>（</w:t>
      </w:r>
      <w:r>
        <w:rPr>
          <w:rFonts w:hint="eastAsia" w:hAnsi="宋体" w:cs="宋体"/>
          <w:b w:val="0"/>
          <w:bCs/>
          <w:color w:val="auto"/>
          <w:szCs w:val="21"/>
          <w:highlight w:val="none"/>
          <w:lang w:val="en-US" w:eastAsia="zh-CN"/>
        </w:rPr>
        <w:t>6</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：投入计划与进度计划呼应，较好满足施工需要，调配投入计划合理、准确</w:t>
      </w:r>
      <w:r>
        <w:rPr>
          <w:rFonts w:hint="eastAsia" w:ascii="宋体" w:hAnsi="宋体" w:eastAsia="宋体" w:cs="宋体"/>
          <w:b w:val="0"/>
          <w:bCs/>
          <w:color w:val="auto"/>
          <w:szCs w:val="21"/>
          <w:highlight w:val="none"/>
          <w:lang w:eastAsia="zh-CN"/>
        </w:rPr>
        <w:t>；</w:t>
      </w:r>
    </w:p>
    <w:p w14:paraId="728F56F4">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lang w:eastAsia="zh-CN"/>
        </w:rPr>
      </w:pPr>
      <w:r>
        <w:rPr>
          <w:rFonts w:hint="eastAsia" w:ascii="宋体" w:hAnsi="宋体" w:eastAsia="宋体" w:cs="宋体"/>
          <w:b w:val="0"/>
          <w:bCs/>
          <w:color w:val="auto"/>
          <w:szCs w:val="21"/>
          <w:highlight w:val="none"/>
        </w:rPr>
        <w:t>良</w:t>
      </w:r>
      <w:r>
        <w:rPr>
          <w:rFonts w:hint="eastAsia" w:ascii="宋体" w:hAnsi="宋体" w:eastAsia="宋体" w:cs="宋体"/>
          <w:b w:val="0"/>
          <w:bCs/>
          <w:color w:val="auto"/>
          <w:szCs w:val="21"/>
          <w:highlight w:val="none"/>
          <w:lang w:eastAsia="zh-CN"/>
        </w:rPr>
        <w:t>（</w:t>
      </w:r>
      <w:r>
        <w:rPr>
          <w:rFonts w:hint="eastAsia" w:hAnsi="宋体" w:cs="宋体"/>
          <w:b w:val="0"/>
          <w:bCs w:val="0"/>
          <w:color w:val="auto"/>
          <w:kern w:val="0"/>
          <w:sz w:val="21"/>
          <w:szCs w:val="21"/>
          <w:highlight w:val="none"/>
          <w:lang w:val="en-US" w:eastAsia="zh-CN"/>
        </w:rPr>
        <w:t>4</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：投入计划与进度计划呼应，基本满足施工需要，调配投入计划基本合理、准确</w:t>
      </w:r>
      <w:r>
        <w:rPr>
          <w:rFonts w:hint="eastAsia" w:ascii="宋体" w:hAnsi="宋体" w:eastAsia="宋体" w:cs="宋体"/>
          <w:b w:val="0"/>
          <w:bCs/>
          <w:color w:val="auto"/>
          <w:szCs w:val="21"/>
          <w:highlight w:val="none"/>
          <w:lang w:eastAsia="zh-CN"/>
        </w:rPr>
        <w:t>；</w:t>
      </w:r>
    </w:p>
    <w:p w14:paraId="6E7BD718">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lang w:eastAsia="zh-CN"/>
        </w:rPr>
      </w:pPr>
      <w:r>
        <w:rPr>
          <w:rFonts w:hint="eastAsia" w:ascii="宋体" w:hAnsi="宋体" w:eastAsia="宋体" w:cs="宋体"/>
          <w:b w:val="0"/>
          <w:bCs/>
          <w:color w:val="auto"/>
          <w:szCs w:val="21"/>
          <w:highlight w:val="none"/>
        </w:rPr>
        <w:t>中</w:t>
      </w:r>
      <w:r>
        <w:rPr>
          <w:rFonts w:hint="eastAsia" w:ascii="宋体" w:hAnsi="宋体" w:eastAsia="宋体" w:cs="宋体"/>
          <w:b w:val="0"/>
          <w:bCs/>
          <w:color w:val="auto"/>
          <w:szCs w:val="21"/>
          <w:highlight w:val="none"/>
          <w:lang w:eastAsia="zh-CN"/>
        </w:rPr>
        <w:t>（</w:t>
      </w:r>
      <w:r>
        <w:rPr>
          <w:rFonts w:hint="eastAsia" w:hAnsi="宋体" w:cs="宋体"/>
          <w:b w:val="0"/>
          <w:bCs w:val="0"/>
          <w:color w:val="auto"/>
          <w:kern w:val="0"/>
          <w:sz w:val="21"/>
          <w:szCs w:val="21"/>
          <w:highlight w:val="none"/>
          <w:lang w:val="en-US" w:eastAsia="zh-CN"/>
        </w:rPr>
        <w:t>2</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：投入计划与进度计划呼应，基本满足施工需要，调配投入计划基本合理</w:t>
      </w:r>
      <w:r>
        <w:rPr>
          <w:rFonts w:hint="eastAsia" w:ascii="宋体" w:hAnsi="宋体" w:eastAsia="宋体" w:cs="宋体"/>
          <w:b w:val="0"/>
          <w:bCs/>
          <w:color w:val="auto"/>
          <w:szCs w:val="21"/>
          <w:highlight w:val="none"/>
          <w:lang w:eastAsia="zh-CN"/>
        </w:rPr>
        <w:t>；</w:t>
      </w:r>
    </w:p>
    <w:p w14:paraId="1F64391C">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差</w:t>
      </w:r>
      <w:r>
        <w:rPr>
          <w:rFonts w:hint="eastAsia" w:ascii="宋体" w:hAnsi="宋体" w:eastAsia="宋体" w:cs="宋体"/>
          <w:b w:val="0"/>
          <w:bCs/>
          <w:color w:val="auto"/>
          <w:szCs w:val="21"/>
          <w:highlight w:val="none"/>
          <w:lang w:eastAsia="zh-CN"/>
        </w:rPr>
        <w:t>（</w:t>
      </w:r>
      <w:r>
        <w:rPr>
          <w:rFonts w:hint="eastAsia" w:hAnsi="宋体" w:eastAsia="宋体" w:cs="宋体"/>
          <w:b w:val="0"/>
          <w:bCs/>
          <w:color w:val="auto"/>
          <w:szCs w:val="21"/>
          <w:highlight w:val="none"/>
          <w:lang w:val="en-US" w:eastAsia="zh-CN"/>
        </w:rPr>
        <w:t>0</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：投入计划与进度计划不呼应，不能满足施工需要。</w:t>
      </w:r>
    </w:p>
    <w:p w14:paraId="7E50DD65">
      <w:pPr>
        <w:pStyle w:val="12"/>
        <w:keepNext w:val="0"/>
        <w:keepLines w:val="0"/>
        <w:pageBreakBefore w:val="0"/>
        <w:widowControl w:val="0"/>
        <w:tabs>
          <w:tab w:val="left" w:leader="middleDot" w:pos="8820"/>
        </w:tabs>
        <w:kinsoku/>
        <w:wordWrap/>
        <w:overflowPunct/>
        <w:topLinePunct w:val="0"/>
        <w:bidi w:val="0"/>
        <w:snapToGrid/>
        <w:spacing w:line="440" w:lineRule="exact"/>
        <w:ind w:firstLine="211" w:firstLineChars="100"/>
        <w:textAlignment w:val="auto"/>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rPr>
        <w:t>（5）施工平面布置和临时设施布置</w:t>
      </w:r>
      <w:r>
        <w:rPr>
          <w:rFonts w:hint="eastAsia" w:ascii="宋体" w:hAnsi="宋体" w:eastAsia="宋体" w:cs="宋体"/>
          <w:b/>
          <w:bCs w:val="0"/>
          <w:color w:val="auto"/>
          <w:highlight w:val="none"/>
        </w:rPr>
        <w:t>……………………</w:t>
      </w:r>
      <w:r>
        <w:rPr>
          <w:rFonts w:hint="eastAsia" w:ascii="宋体" w:hAnsi="宋体" w:eastAsia="宋体" w:cs="宋体"/>
          <w:b/>
          <w:bCs w:val="0"/>
          <w:color w:val="auto"/>
          <w:szCs w:val="21"/>
          <w:highlight w:val="none"/>
        </w:rPr>
        <w:t>…</w:t>
      </w:r>
      <w:r>
        <w:rPr>
          <w:rFonts w:hint="eastAsia" w:ascii="宋体" w:hAnsi="宋体" w:eastAsia="宋体" w:cs="宋体"/>
          <w:b/>
          <w:bCs w:val="0"/>
          <w:color w:val="auto"/>
          <w:highlight w:val="none"/>
        </w:rPr>
        <w:t>……………</w:t>
      </w:r>
      <w:r>
        <w:rPr>
          <w:rFonts w:hint="eastAsia" w:ascii="宋体" w:hAnsi="宋体" w:eastAsia="宋体" w:cs="宋体"/>
          <w:b/>
          <w:bCs w:val="0"/>
          <w:color w:val="auto"/>
          <w:szCs w:val="21"/>
          <w:highlight w:val="none"/>
        </w:rPr>
        <w:t>…</w:t>
      </w:r>
      <w:r>
        <w:rPr>
          <w:rFonts w:hint="eastAsia" w:ascii="宋体" w:hAnsi="宋体" w:eastAsia="宋体" w:cs="宋体"/>
          <w:b/>
          <w:bCs w:val="0"/>
          <w:color w:val="auto"/>
          <w:highlight w:val="none"/>
        </w:rPr>
        <w:t>…………………………</w:t>
      </w:r>
      <w:r>
        <w:rPr>
          <w:rFonts w:hint="eastAsia" w:hAnsi="宋体" w:cs="宋体"/>
          <w:b/>
          <w:bCs w:val="0"/>
          <w:color w:val="auto"/>
          <w:highlight w:val="none"/>
          <w:lang w:val="en-US" w:eastAsia="zh-CN"/>
        </w:rPr>
        <w:t>7</w:t>
      </w:r>
      <w:r>
        <w:rPr>
          <w:rFonts w:hint="eastAsia" w:ascii="宋体" w:hAnsi="宋体" w:eastAsia="宋体" w:cs="宋体"/>
          <w:b/>
          <w:bCs w:val="0"/>
          <w:color w:val="auto"/>
          <w:szCs w:val="21"/>
          <w:highlight w:val="none"/>
        </w:rPr>
        <w:t>分</w:t>
      </w:r>
    </w:p>
    <w:p w14:paraId="3551E3CD">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lang w:eastAsia="zh-CN"/>
        </w:rPr>
      </w:pPr>
      <w:r>
        <w:rPr>
          <w:rFonts w:hint="eastAsia" w:ascii="宋体" w:hAnsi="宋体" w:eastAsia="宋体" w:cs="宋体"/>
          <w:b w:val="0"/>
          <w:bCs/>
          <w:color w:val="auto"/>
          <w:szCs w:val="21"/>
          <w:highlight w:val="none"/>
        </w:rPr>
        <w:t>优</w:t>
      </w:r>
      <w:r>
        <w:rPr>
          <w:rFonts w:hint="eastAsia" w:ascii="宋体" w:hAnsi="宋体" w:eastAsia="宋体" w:cs="宋体"/>
          <w:b w:val="0"/>
          <w:bCs/>
          <w:color w:val="auto"/>
          <w:szCs w:val="21"/>
          <w:highlight w:val="none"/>
          <w:lang w:eastAsia="zh-CN"/>
        </w:rPr>
        <w:t>（</w:t>
      </w:r>
      <w:r>
        <w:rPr>
          <w:rFonts w:hint="eastAsia" w:hAnsi="宋体" w:cs="宋体"/>
          <w:b w:val="0"/>
          <w:bCs/>
          <w:color w:val="auto"/>
          <w:szCs w:val="21"/>
          <w:highlight w:val="none"/>
          <w:lang w:val="en-US" w:eastAsia="zh-CN"/>
        </w:rPr>
        <w:t>7</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：总体布置有针对性、合理，较好满足施工需要，符合安全、文明生产要求</w:t>
      </w:r>
      <w:r>
        <w:rPr>
          <w:rFonts w:hint="eastAsia" w:ascii="宋体" w:hAnsi="宋体" w:eastAsia="宋体" w:cs="宋体"/>
          <w:b w:val="0"/>
          <w:bCs/>
          <w:color w:val="auto"/>
          <w:szCs w:val="21"/>
          <w:highlight w:val="none"/>
          <w:lang w:eastAsia="zh-CN"/>
        </w:rPr>
        <w:t>；</w:t>
      </w:r>
    </w:p>
    <w:p w14:paraId="3DB64F3E">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lang w:eastAsia="zh-CN"/>
        </w:rPr>
      </w:pPr>
      <w:r>
        <w:rPr>
          <w:rFonts w:hint="eastAsia" w:ascii="宋体" w:hAnsi="宋体" w:eastAsia="宋体" w:cs="宋体"/>
          <w:b w:val="0"/>
          <w:bCs/>
          <w:color w:val="auto"/>
          <w:szCs w:val="21"/>
          <w:highlight w:val="none"/>
        </w:rPr>
        <w:t>良</w:t>
      </w:r>
      <w:r>
        <w:rPr>
          <w:rFonts w:hint="eastAsia" w:ascii="宋体" w:hAnsi="宋体" w:eastAsia="宋体" w:cs="宋体"/>
          <w:b w:val="0"/>
          <w:bCs/>
          <w:color w:val="auto"/>
          <w:szCs w:val="21"/>
          <w:highlight w:val="none"/>
          <w:lang w:eastAsia="zh-CN"/>
        </w:rPr>
        <w:t>（</w:t>
      </w:r>
      <w:r>
        <w:rPr>
          <w:rFonts w:hint="eastAsia" w:hAnsi="宋体" w:cs="宋体"/>
          <w:b w:val="0"/>
          <w:bCs w:val="0"/>
          <w:color w:val="auto"/>
          <w:kern w:val="0"/>
          <w:sz w:val="21"/>
          <w:szCs w:val="21"/>
          <w:highlight w:val="none"/>
          <w:lang w:val="en-US" w:eastAsia="zh-CN"/>
        </w:rPr>
        <w:t>5</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：总体布置合理，能满足施工需要，基本符合安全、文明生产要求</w:t>
      </w:r>
      <w:r>
        <w:rPr>
          <w:rFonts w:hint="eastAsia" w:ascii="宋体" w:hAnsi="宋体" w:eastAsia="宋体" w:cs="宋体"/>
          <w:b w:val="0"/>
          <w:bCs/>
          <w:color w:val="auto"/>
          <w:szCs w:val="21"/>
          <w:highlight w:val="none"/>
          <w:lang w:eastAsia="zh-CN"/>
        </w:rPr>
        <w:t>；</w:t>
      </w:r>
    </w:p>
    <w:p w14:paraId="46CB23A8">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lang w:eastAsia="zh-CN"/>
        </w:rPr>
      </w:pPr>
      <w:r>
        <w:rPr>
          <w:rFonts w:hint="eastAsia" w:ascii="宋体" w:hAnsi="宋体" w:eastAsia="宋体" w:cs="宋体"/>
          <w:b w:val="0"/>
          <w:bCs/>
          <w:color w:val="auto"/>
          <w:szCs w:val="21"/>
          <w:highlight w:val="none"/>
        </w:rPr>
        <w:t>中</w:t>
      </w:r>
      <w:r>
        <w:rPr>
          <w:rFonts w:hint="eastAsia" w:ascii="宋体" w:hAnsi="宋体" w:eastAsia="宋体" w:cs="宋体"/>
          <w:b w:val="0"/>
          <w:bCs/>
          <w:color w:val="auto"/>
          <w:szCs w:val="21"/>
          <w:highlight w:val="none"/>
          <w:lang w:eastAsia="zh-CN"/>
        </w:rPr>
        <w:t>（</w:t>
      </w:r>
      <w:r>
        <w:rPr>
          <w:rFonts w:hint="eastAsia" w:hAnsi="宋体" w:cs="宋体"/>
          <w:b w:val="0"/>
          <w:bCs/>
          <w:color w:val="auto"/>
          <w:szCs w:val="21"/>
          <w:highlight w:val="none"/>
          <w:lang w:val="en-US" w:eastAsia="zh-CN"/>
        </w:rPr>
        <w:t>3</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：总体布置基本合理，基本满足施工需要</w:t>
      </w:r>
      <w:r>
        <w:rPr>
          <w:rFonts w:hint="eastAsia" w:ascii="宋体" w:hAnsi="宋体" w:eastAsia="宋体" w:cs="宋体"/>
          <w:b w:val="0"/>
          <w:bCs/>
          <w:color w:val="auto"/>
          <w:szCs w:val="21"/>
          <w:highlight w:val="none"/>
          <w:lang w:eastAsia="zh-CN"/>
        </w:rPr>
        <w:t>；</w:t>
      </w:r>
    </w:p>
    <w:p w14:paraId="7F533B32">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差</w:t>
      </w:r>
      <w:r>
        <w:rPr>
          <w:rFonts w:hint="eastAsia" w:ascii="宋体" w:hAnsi="宋体" w:eastAsia="宋体" w:cs="宋体"/>
          <w:b w:val="0"/>
          <w:bCs/>
          <w:color w:val="auto"/>
          <w:szCs w:val="21"/>
          <w:highlight w:val="none"/>
          <w:lang w:eastAsia="zh-CN"/>
        </w:rPr>
        <w:t>（</w:t>
      </w:r>
      <w:r>
        <w:rPr>
          <w:rFonts w:hint="eastAsia" w:hAnsi="宋体" w:cs="宋体"/>
          <w:b w:val="0"/>
          <w:bCs/>
          <w:color w:val="auto"/>
          <w:szCs w:val="21"/>
          <w:highlight w:val="none"/>
          <w:lang w:val="en-US" w:eastAsia="zh-CN"/>
        </w:rPr>
        <w:t>1</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：总体布置不合理，不符合安全、文明生产要求。</w:t>
      </w:r>
    </w:p>
    <w:p w14:paraId="0F1D6F72">
      <w:pPr>
        <w:pStyle w:val="12"/>
        <w:keepNext w:val="0"/>
        <w:keepLines w:val="0"/>
        <w:pageBreakBefore w:val="0"/>
        <w:widowControl w:val="0"/>
        <w:tabs>
          <w:tab w:val="left" w:leader="middleDot" w:pos="8820"/>
        </w:tabs>
        <w:kinsoku/>
        <w:wordWrap/>
        <w:overflowPunct/>
        <w:topLinePunct w:val="0"/>
        <w:bidi w:val="0"/>
        <w:snapToGrid/>
        <w:spacing w:line="440" w:lineRule="exact"/>
        <w:ind w:firstLine="211" w:firstLineChars="100"/>
        <w:textAlignment w:val="auto"/>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rPr>
        <w:t>（6）关键施工技术、工艺及工程实施的重点、难点和解决方案</w:t>
      </w:r>
      <w:r>
        <w:rPr>
          <w:rFonts w:hint="eastAsia" w:ascii="宋体" w:hAnsi="宋体" w:eastAsia="宋体" w:cs="宋体"/>
          <w:b/>
          <w:bCs w:val="0"/>
          <w:color w:val="auto"/>
          <w:highlight w:val="none"/>
        </w:rPr>
        <w:t>…………………………………</w:t>
      </w:r>
      <w:r>
        <w:rPr>
          <w:rFonts w:hint="eastAsia" w:hAnsi="宋体" w:cs="宋体"/>
          <w:b/>
          <w:bCs w:val="0"/>
          <w:color w:val="auto"/>
          <w:highlight w:val="none"/>
          <w:lang w:val="en-US" w:eastAsia="zh-CN"/>
        </w:rPr>
        <w:t>7</w:t>
      </w:r>
      <w:r>
        <w:rPr>
          <w:rFonts w:hint="eastAsia" w:ascii="宋体" w:hAnsi="宋体" w:eastAsia="宋体" w:cs="宋体"/>
          <w:b/>
          <w:bCs w:val="0"/>
          <w:color w:val="auto"/>
          <w:szCs w:val="21"/>
          <w:highlight w:val="none"/>
        </w:rPr>
        <w:t>分</w:t>
      </w:r>
    </w:p>
    <w:p w14:paraId="08A99777">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优</w:t>
      </w:r>
      <w:r>
        <w:rPr>
          <w:rFonts w:hint="eastAsia" w:ascii="宋体" w:hAnsi="宋体" w:eastAsia="宋体" w:cs="宋体"/>
          <w:b w:val="0"/>
          <w:bCs/>
          <w:color w:val="auto"/>
          <w:szCs w:val="21"/>
          <w:highlight w:val="none"/>
          <w:lang w:eastAsia="zh-CN"/>
        </w:rPr>
        <w:t>（</w:t>
      </w:r>
      <w:r>
        <w:rPr>
          <w:rFonts w:hint="eastAsia" w:hAnsi="宋体" w:cs="宋体"/>
          <w:b w:val="0"/>
          <w:bCs/>
          <w:color w:val="auto"/>
          <w:szCs w:val="21"/>
          <w:highlight w:val="none"/>
          <w:lang w:val="en-US" w:eastAsia="zh-CN"/>
        </w:rPr>
        <w:t>7</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：对项目关键技术、工艺有深入的表达，对重点、难点有先进合理的施工措施并有可行的安全措施，解决方案完整、经济、安全、切实可行，措施得力。</w:t>
      </w:r>
    </w:p>
    <w:p w14:paraId="360613CF">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良</w:t>
      </w:r>
      <w:r>
        <w:rPr>
          <w:rFonts w:hint="eastAsia" w:ascii="宋体" w:hAnsi="宋体" w:eastAsia="宋体" w:cs="宋体"/>
          <w:b w:val="0"/>
          <w:bCs/>
          <w:color w:val="auto"/>
          <w:szCs w:val="21"/>
          <w:highlight w:val="none"/>
          <w:lang w:eastAsia="zh-CN"/>
        </w:rPr>
        <w:t>（</w:t>
      </w:r>
      <w:r>
        <w:rPr>
          <w:rFonts w:hint="eastAsia" w:hAnsi="宋体" w:cs="宋体"/>
          <w:b w:val="0"/>
          <w:bCs/>
          <w:color w:val="auto"/>
          <w:szCs w:val="21"/>
          <w:highlight w:val="none"/>
          <w:lang w:val="en-US" w:eastAsia="zh-CN"/>
        </w:rPr>
        <w:t>5</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：对项目关键技术、工艺有深入的表达，对重点、难点有合理的建议，解决方案经济、安全、基本可行。</w:t>
      </w:r>
    </w:p>
    <w:p w14:paraId="240E6F96">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中</w:t>
      </w:r>
      <w:r>
        <w:rPr>
          <w:rFonts w:hint="eastAsia" w:ascii="宋体" w:hAnsi="宋体" w:eastAsia="宋体" w:cs="宋体"/>
          <w:b w:val="0"/>
          <w:bCs/>
          <w:color w:val="auto"/>
          <w:szCs w:val="21"/>
          <w:highlight w:val="none"/>
          <w:lang w:eastAsia="zh-CN"/>
        </w:rPr>
        <w:t>（</w:t>
      </w:r>
      <w:r>
        <w:rPr>
          <w:rFonts w:hint="eastAsia" w:hAnsi="宋体" w:cs="宋体"/>
          <w:b w:val="0"/>
          <w:bCs/>
          <w:color w:val="auto"/>
          <w:szCs w:val="21"/>
          <w:highlight w:val="none"/>
          <w:lang w:val="en-US" w:eastAsia="zh-CN"/>
        </w:rPr>
        <w:t>3</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：对项目关键技术有一定了解，对重点、难点有建议，解决方案基本可行。</w:t>
      </w:r>
    </w:p>
    <w:p w14:paraId="4D51BE01">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kern w:val="0"/>
          <w:szCs w:val="21"/>
          <w:highlight w:val="none"/>
        </w:rPr>
      </w:pPr>
      <w:r>
        <w:rPr>
          <w:rFonts w:hint="eastAsia" w:ascii="宋体" w:hAnsi="宋体" w:eastAsia="宋体" w:cs="宋体"/>
          <w:b w:val="0"/>
          <w:bCs/>
          <w:color w:val="auto"/>
          <w:szCs w:val="21"/>
          <w:highlight w:val="none"/>
        </w:rPr>
        <w:t>差</w:t>
      </w:r>
      <w:r>
        <w:rPr>
          <w:rFonts w:hint="eastAsia" w:ascii="宋体" w:hAnsi="宋体" w:eastAsia="宋体" w:cs="宋体"/>
          <w:b w:val="0"/>
          <w:bCs/>
          <w:color w:val="auto"/>
          <w:szCs w:val="21"/>
          <w:highlight w:val="none"/>
          <w:lang w:eastAsia="zh-CN"/>
        </w:rPr>
        <w:t>（</w:t>
      </w:r>
      <w:r>
        <w:rPr>
          <w:rFonts w:hint="eastAsia" w:hAnsi="宋体" w:cs="宋体"/>
          <w:b w:val="0"/>
          <w:bCs/>
          <w:color w:val="auto"/>
          <w:szCs w:val="21"/>
          <w:highlight w:val="none"/>
          <w:lang w:val="en-US" w:eastAsia="zh-CN"/>
        </w:rPr>
        <w:t>1</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：对项目关键技术有表述，对重点、难点有建议，解决方案不可行。</w:t>
      </w:r>
    </w:p>
    <w:p w14:paraId="66D82923">
      <w:pPr>
        <w:pStyle w:val="12"/>
        <w:keepNext w:val="0"/>
        <w:keepLines w:val="0"/>
        <w:pageBreakBefore w:val="0"/>
        <w:widowControl w:val="0"/>
        <w:tabs>
          <w:tab w:val="left" w:leader="middleDot" w:pos="8820"/>
        </w:tabs>
        <w:kinsoku/>
        <w:wordWrap/>
        <w:overflowPunct/>
        <w:topLinePunct w:val="0"/>
        <w:bidi w:val="0"/>
        <w:snapToGrid/>
        <w:spacing w:line="440" w:lineRule="exact"/>
        <w:ind w:firstLine="211" w:firstLineChars="100"/>
        <w:textAlignment w:val="auto"/>
        <w:rPr>
          <w:rFonts w:hint="eastAsia" w:ascii="宋体" w:hAnsi="宋体" w:eastAsia="宋体" w:cs="宋体"/>
          <w:b/>
          <w:bCs w:val="0"/>
          <w:color w:val="auto"/>
          <w:szCs w:val="21"/>
          <w:highlight w:val="none"/>
        </w:rPr>
      </w:pPr>
      <w:r>
        <w:rPr>
          <w:rFonts w:hint="eastAsia" w:ascii="宋体" w:hAnsi="宋体" w:eastAsia="宋体" w:cs="宋体"/>
          <w:b/>
          <w:bCs w:val="0"/>
          <w:color w:val="auto"/>
          <w:kern w:val="0"/>
          <w:szCs w:val="21"/>
          <w:highlight w:val="none"/>
        </w:rPr>
        <w:t>（7）安全文明施工措施</w:t>
      </w:r>
      <w:r>
        <w:rPr>
          <w:rFonts w:hint="eastAsia" w:ascii="宋体" w:hAnsi="宋体" w:eastAsia="宋体" w:cs="宋体"/>
          <w:b/>
          <w:bCs w:val="0"/>
          <w:color w:val="auto"/>
          <w:highlight w:val="none"/>
        </w:rPr>
        <w:t>…………………</w:t>
      </w:r>
      <w:r>
        <w:rPr>
          <w:rFonts w:hint="eastAsia" w:ascii="宋体" w:hAnsi="宋体" w:eastAsia="宋体" w:cs="宋体"/>
          <w:b/>
          <w:bCs w:val="0"/>
          <w:color w:val="auto"/>
          <w:szCs w:val="21"/>
          <w:highlight w:val="none"/>
        </w:rPr>
        <w:t>…</w:t>
      </w:r>
      <w:r>
        <w:rPr>
          <w:rFonts w:hint="eastAsia" w:ascii="宋体" w:hAnsi="宋体" w:eastAsia="宋体" w:cs="宋体"/>
          <w:b/>
          <w:bCs w:val="0"/>
          <w:color w:val="auto"/>
          <w:highlight w:val="none"/>
        </w:rPr>
        <w:t>………………………</w:t>
      </w:r>
      <w:r>
        <w:rPr>
          <w:rFonts w:hint="eastAsia" w:ascii="宋体" w:hAnsi="宋体" w:eastAsia="宋体" w:cs="宋体"/>
          <w:b/>
          <w:bCs w:val="0"/>
          <w:color w:val="auto"/>
          <w:szCs w:val="21"/>
          <w:highlight w:val="none"/>
        </w:rPr>
        <w:t>…</w:t>
      </w:r>
      <w:r>
        <w:rPr>
          <w:rFonts w:hint="eastAsia" w:ascii="宋体" w:hAnsi="宋体" w:eastAsia="宋体" w:cs="宋体"/>
          <w:b/>
          <w:bCs w:val="0"/>
          <w:color w:val="auto"/>
          <w:highlight w:val="none"/>
        </w:rPr>
        <w:t>………………………………</w:t>
      </w:r>
      <w:r>
        <w:rPr>
          <w:rFonts w:hint="eastAsia" w:hAnsi="宋体" w:cs="宋体"/>
          <w:b/>
          <w:bCs w:val="0"/>
          <w:color w:val="auto"/>
          <w:szCs w:val="21"/>
          <w:highlight w:val="none"/>
          <w:lang w:val="en-US" w:eastAsia="zh-CN"/>
        </w:rPr>
        <w:t>7</w:t>
      </w:r>
      <w:r>
        <w:rPr>
          <w:rFonts w:hint="eastAsia" w:ascii="宋体" w:hAnsi="宋体" w:eastAsia="宋体" w:cs="宋体"/>
          <w:b/>
          <w:bCs w:val="0"/>
          <w:color w:val="auto"/>
          <w:szCs w:val="21"/>
          <w:highlight w:val="none"/>
        </w:rPr>
        <w:t>分</w:t>
      </w:r>
    </w:p>
    <w:p w14:paraId="29628742">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优</w:t>
      </w:r>
      <w:r>
        <w:rPr>
          <w:rFonts w:hint="eastAsia" w:ascii="宋体" w:hAnsi="宋体" w:eastAsia="宋体" w:cs="宋体"/>
          <w:b w:val="0"/>
          <w:bCs/>
          <w:color w:val="auto"/>
          <w:szCs w:val="21"/>
          <w:highlight w:val="none"/>
          <w:lang w:eastAsia="zh-CN"/>
        </w:rPr>
        <w:t>（</w:t>
      </w:r>
      <w:r>
        <w:rPr>
          <w:rFonts w:hint="eastAsia" w:hAnsi="宋体" w:cs="宋体"/>
          <w:b w:val="0"/>
          <w:bCs w:val="0"/>
          <w:color w:val="auto"/>
          <w:kern w:val="0"/>
          <w:sz w:val="21"/>
          <w:szCs w:val="21"/>
          <w:highlight w:val="none"/>
          <w:lang w:val="en-US" w:eastAsia="zh-CN"/>
        </w:rPr>
        <w:t>7</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：针对项目实际情况，有先进、具体、完整、可行的实施措施，采用规范正确、清晰。</w:t>
      </w:r>
    </w:p>
    <w:p w14:paraId="4BA99C00">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良</w:t>
      </w:r>
      <w:r>
        <w:rPr>
          <w:rFonts w:hint="eastAsia" w:ascii="宋体" w:hAnsi="宋体" w:eastAsia="宋体" w:cs="宋体"/>
          <w:b w:val="0"/>
          <w:bCs/>
          <w:color w:val="auto"/>
          <w:szCs w:val="21"/>
          <w:highlight w:val="none"/>
          <w:lang w:eastAsia="zh-CN"/>
        </w:rPr>
        <w:t>（</w:t>
      </w:r>
      <w:r>
        <w:rPr>
          <w:rFonts w:hint="eastAsia" w:hAnsi="宋体" w:cs="宋体"/>
          <w:b w:val="0"/>
          <w:bCs/>
          <w:color w:val="auto"/>
          <w:szCs w:val="21"/>
          <w:highlight w:val="none"/>
          <w:lang w:val="en-US" w:eastAsia="zh-CN"/>
        </w:rPr>
        <w:t>5</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：针对项目实际情况，有合理的措施且具体、完整，采用规范正确。</w:t>
      </w:r>
    </w:p>
    <w:p w14:paraId="0A03E043">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中</w:t>
      </w:r>
      <w:r>
        <w:rPr>
          <w:rFonts w:hint="eastAsia" w:ascii="宋体" w:hAnsi="宋体" w:eastAsia="宋体" w:cs="宋体"/>
          <w:b w:val="0"/>
          <w:bCs/>
          <w:color w:val="auto"/>
          <w:szCs w:val="21"/>
          <w:highlight w:val="none"/>
          <w:lang w:eastAsia="zh-CN"/>
        </w:rPr>
        <w:t>（</w:t>
      </w:r>
      <w:r>
        <w:rPr>
          <w:rFonts w:hint="eastAsia" w:hAnsi="宋体" w:cs="宋体"/>
          <w:b w:val="0"/>
          <w:bCs w:val="0"/>
          <w:color w:val="auto"/>
          <w:kern w:val="0"/>
          <w:sz w:val="21"/>
          <w:szCs w:val="21"/>
          <w:highlight w:val="none"/>
          <w:lang w:val="en-US" w:eastAsia="zh-CN"/>
        </w:rPr>
        <w:t>3</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：有基本合理的措施，采用规范正确。</w:t>
      </w:r>
    </w:p>
    <w:p w14:paraId="35449A18">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差</w:t>
      </w:r>
      <w:r>
        <w:rPr>
          <w:rFonts w:hint="eastAsia" w:ascii="宋体" w:hAnsi="宋体" w:eastAsia="宋体" w:cs="宋体"/>
          <w:b w:val="0"/>
          <w:bCs/>
          <w:color w:val="auto"/>
          <w:szCs w:val="21"/>
          <w:highlight w:val="none"/>
          <w:lang w:eastAsia="zh-CN"/>
        </w:rPr>
        <w:t>（</w:t>
      </w:r>
      <w:r>
        <w:rPr>
          <w:rFonts w:hint="eastAsia" w:hAnsi="宋体" w:cs="宋体"/>
          <w:b w:val="0"/>
          <w:bCs/>
          <w:color w:val="auto"/>
          <w:szCs w:val="21"/>
          <w:highlight w:val="none"/>
          <w:lang w:val="en-US" w:eastAsia="zh-CN"/>
        </w:rPr>
        <w:t>1</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：安全文明措施不得力，采用规范不正确。</w:t>
      </w:r>
    </w:p>
    <w:p w14:paraId="6ED15D14">
      <w:pPr>
        <w:pStyle w:val="12"/>
        <w:keepNext w:val="0"/>
        <w:keepLines w:val="0"/>
        <w:pageBreakBefore w:val="0"/>
        <w:widowControl w:val="0"/>
        <w:tabs>
          <w:tab w:val="left" w:leader="middleDot" w:pos="8820"/>
        </w:tabs>
        <w:kinsoku/>
        <w:wordWrap/>
        <w:overflowPunct/>
        <w:topLinePunct w:val="0"/>
        <w:bidi w:val="0"/>
        <w:snapToGrid/>
        <w:spacing w:line="440" w:lineRule="exact"/>
        <w:ind w:firstLine="211" w:firstLineChars="100"/>
        <w:textAlignment w:val="auto"/>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rPr>
        <w:t>（8）质量保证与承诺</w:t>
      </w:r>
      <w:r>
        <w:rPr>
          <w:rFonts w:hint="eastAsia" w:ascii="宋体" w:hAnsi="宋体" w:eastAsia="宋体" w:cs="宋体"/>
          <w:b/>
          <w:bCs w:val="0"/>
          <w:color w:val="auto"/>
          <w:highlight w:val="none"/>
        </w:rPr>
        <w:t>………………</w:t>
      </w:r>
      <w:r>
        <w:rPr>
          <w:rFonts w:hint="eastAsia" w:ascii="宋体" w:hAnsi="宋体" w:eastAsia="宋体" w:cs="宋体"/>
          <w:b/>
          <w:bCs w:val="0"/>
          <w:color w:val="auto"/>
          <w:szCs w:val="21"/>
          <w:highlight w:val="none"/>
        </w:rPr>
        <w:t>…</w:t>
      </w:r>
      <w:r>
        <w:rPr>
          <w:rFonts w:hint="eastAsia" w:ascii="宋体" w:hAnsi="宋体" w:eastAsia="宋体" w:cs="宋体"/>
          <w:b/>
          <w:bCs w:val="0"/>
          <w:color w:val="auto"/>
          <w:highlight w:val="none"/>
        </w:rPr>
        <w:t>…………………………………</w:t>
      </w:r>
      <w:r>
        <w:rPr>
          <w:rFonts w:hint="eastAsia" w:ascii="宋体" w:hAnsi="宋体" w:eastAsia="宋体" w:cs="宋体"/>
          <w:b/>
          <w:bCs w:val="0"/>
          <w:color w:val="auto"/>
          <w:szCs w:val="21"/>
          <w:highlight w:val="none"/>
        </w:rPr>
        <w:t>…</w:t>
      </w:r>
      <w:r>
        <w:rPr>
          <w:rFonts w:hint="eastAsia" w:ascii="宋体" w:hAnsi="宋体" w:eastAsia="宋体" w:cs="宋体"/>
          <w:b/>
          <w:bCs w:val="0"/>
          <w:color w:val="auto"/>
          <w:highlight w:val="none"/>
        </w:rPr>
        <w:t>…………………</w:t>
      </w:r>
      <w:r>
        <w:rPr>
          <w:rFonts w:hint="eastAsia" w:ascii="宋体" w:hAnsi="宋体" w:eastAsia="宋体" w:cs="宋体"/>
          <w:b/>
          <w:bCs w:val="0"/>
          <w:color w:val="auto"/>
          <w:szCs w:val="21"/>
          <w:highlight w:val="none"/>
        </w:rPr>
        <w:t>…</w:t>
      </w:r>
      <w:r>
        <w:rPr>
          <w:rFonts w:hint="eastAsia" w:ascii="宋体" w:hAnsi="宋体" w:eastAsia="宋体" w:cs="宋体"/>
          <w:b/>
          <w:bCs w:val="0"/>
          <w:color w:val="auto"/>
          <w:highlight w:val="none"/>
        </w:rPr>
        <w:t>……</w:t>
      </w:r>
      <w:r>
        <w:rPr>
          <w:rFonts w:hint="eastAsia" w:hAnsi="宋体" w:cs="宋体"/>
          <w:b/>
          <w:bCs w:val="0"/>
          <w:color w:val="auto"/>
          <w:highlight w:val="none"/>
          <w:lang w:val="en-US" w:eastAsia="zh-CN"/>
        </w:rPr>
        <w:t>5</w:t>
      </w:r>
      <w:r>
        <w:rPr>
          <w:rFonts w:hint="eastAsia" w:ascii="宋体" w:hAnsi="宋体" w:eastAsia="宋体" w:cs="宋体"/>
          <w:b/>
          <w:bCs w:val="0"/>
          <w:color w:val="auto"/>
          <w:szCs w:val="21"/>
          <w:highlight w:val="none"/>
        </w:rPr>
        <w:t>分</w:t>
      </w:r>
    </w:p>
    <w:p w14:paraId="5B92B94A">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优</w:t>
      </w:r>
      <w:r>
        <w:rPr>
          <w:rFonts w:hint="eastAsia" w:ascii="宋体" w:hAnsi="宋体" w:eastAsia="宋体" w:cs="宋体"/>
          <w:b w:val="0"/>
          <w:bCs/>
          <w:color w:val="auto"/>
          <w:szCs w:val="21"/>
          <w:highlight w:val="none"/>
          <w:lang w:eastAsia="zh-CN"/>
        </w:rPr>
        <w:t>（</w:t>
      </w:r>
      <w:r>
        <w:rPr>
          <w:rFonts w:hint="eastAsia" w:hAnsi="宋体" w:cs="宋体"/>
          <w:b w:val="0"/>
          <w:bCs/>
          <w:color w:val="auto"/>
          <w:szCs w:val="21"/>
          <w:highlight w:val="none"/>
          <w:lang w:val="en-US" w:eastAsia="zh-CN"/>
        </w:rPr>
        <w:t>5</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：针对项目实际提出先进、可行、具体的保证措施，超过招标文件的质量要求及施工验收规范要求。</w:t>
      </w:r>
    </w:p>
    <w:p w14:paraId="191A8664">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良</w:t>
      </w:r>
      <w:r>
        <w:rPr>
          <w:rFonts w:hint="eastAsia" w:ascii="宋体" w:hAnsi="宋体" w:eastAsia="宋体" w:cs="宋体"/>
          <w:b w:val="0"/>
          <w:bCs/>
          <w:color w:val="auto"/>
          <w:szCs w:val="21"/>
          <w:highlight w:val="none"/>
          <w:lang w:eastAsia="zh-CN"/>
        </w:rPr>
        <w:t>（</w:t>
      </w:r>
      <w:r>
        <w:rPr>
          <w:rFonts w:hint="eastAsia" w:hAnsi="宋体" w:cs="宋体"/>
          <w:b w:val="0"/>
          <w:bCs/>
          <w:color w:val="auto"/>
          <w:szCs w:val="21"/>
          <w:highlight w:val="none"/>
          <w:lang w:val="en-US" w:eastAsia="zh-CN"/>
        </w:rPr>
        <w:t>3</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：针对项目实际提出先进、可行、具体的保证措施，满足招标文件的质量要求。</w:t>
      </w:r>
    </w:p>
    <w:p w14:paraId="115B3923">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中</w:t>
      </w:r>
      <w:r>
        <w:rPr>
          <w:rFonts w:hint="eastAsia" w:ascii="宋体" w:hAnsi="宋体" w:eastAsia="宋体" w:cs="宋体"/>
          <w:b w:val="0"/>
          <w:bCs/>
          <w:color w:val="auto"/>
          <w:szCs w:val="21"/>
          <w:highlight w:val="none"/>
          <w:lang w:eastAsia="zh-CN"/>
        </w:rPr>
        <w:t>（</w:t>
      </w:r>
      <w:r>
        <w:rPr>
          <w:rFonts w:hint="eastAsia" w:hAnsi="宋体" w:eastAsia="宋体" w:cs="宋体"/>
          <w:b w:val="0"/>
          <w:bCs w:val="0"/>
          <w:color w:val="auto"/>
          <w:kern w:val="0"/>
          <w:sz w:val="21"/>
          <w:szCs w:val="21"/>
          <w:highlight w:val="none"/>
          <w:lang w:val="en-US" w:eastAsia="zh-CN"/>
        </w:rPr>
        <w:t>1</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：具体措施可行，满足招标文件的质量要求。</w:t>
      </w:r>
    </w:p>
    <w:p w14:paraId="387090DF">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差</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lang w:val="en-US" w:eastAsia="zh-CN"/>
        </w:rPr>
        <w:t>0</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：措施不可行。</w:t>
      </w:r>
    </w:p>
    <w:p w14:paraId="6587035C">
      <w:pPr>
        <w:pStyle w:val="12"/>
        <w:keepNext w:val="0"/>
        <w:keepLines w:val="0"/>
        <w:pageBreakBefore w:val="0"/>
        <w:widowControl w:val="0"/>
        <w:tabs>
          <w:tab w:val="left" w:leader="middleDot" w:pos="8820"/>
        </w:tabs>
        <w:kinsoku/>
        <w:wordWrap/>
        <w:overflowPunct/>
        <w:topLinePunct w:val="0"/>
        <w:bidi w:val="0"/>
        <w:snapToGrid/>
        <w:spacing w:line="440" w:lineRule="exact"/>
        <w:ind w:firstLine="211" w:firstLineChars="100"/>
        <w:textAlignment w:val="auto"/>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rPr>
        <w:t>（9）新技术应用与承诺</w:t>
      </w:r>
      <w:r>
        <w:rPr>
          <w:rFonts w:hint="eastAsia" w:ascii="宋体" w:hAnsi="宋体" w:eastAsia="宋体" w:cs="宋体"/>
          <w:b/>
          <w:bCs w:val="0"/>
          <w:color w:val="auto"/>
          <w:highlight w:val="none"/>
        </w:rPr>
        <w:t>………………</w:t>
      </w:r>
      <w:r>
        <w:rPr>
          <w:rFonts w:hint="eastAsia" w:ascii="宋体" w:hAnsi="宋体" w:eastAsia="宋体" w:cs="宋体"/>
          <w:b/>
          <w:bCs w:val="0"/>
          <w:color w:val="auto"/>
          <w:szCs w:val="21"/>
          <w:highlight w:val="none"/>
        </w:rPr>
        <w:t>…</w:t>
      </w:r>
      <w:r>
        <w:rPr>
          <w:rFonts w:hint="eastAsia" w:ascii="宋体" w:hAnsi="宋体" w:eastAsia="宋体" w:cs="宋体"/>
          <w:b/>
          <w:bCs w:val="0"/>
          <w:color w:val="auto"/>
          <w:highlight w:val="none"/>
        </w:rPr>
        <w:t>…………………</w:t>
      </w:r>
      <w:r>
        <w:rPr>
          <w:rFonts w:hint="eastAsia" w:ascii="宋体" w:hAnsi="宋体" w:eastAsia="宋体" w:cs="宋体"/>
          <w:b/>
          <w:bCs w:val="0"/>
          <w:color w:val="auto"/>
          <w:szCs w:val="21"/>
          <w:highlight w:val="none"/>
        </w:rPr>
        <w:t>…</w:t>
      </w:r>
      <w:r>
        <w:rPr>
          <w:rFonts w:hint="eastAsia" w:ascii="宋体" w:hAnsi="宋体" w:eastAsia="宋体" w:cs="宋体"/>
          <w:b/>
          <w:bCs w:val="0"/>
          <w:color w:val="auto"/>
          <w:highlight w:val="none"/>
        </w:rPr>
        <w:t>………</w:t>
      </w:r>
      <w:r>
        <w:rPr>
          <w:rFonts w:hint="eastAsia" w:ascii="宋体" w:hAnsi="宋体" w:eastAsia="宋体" w:cs="宋体"/>
          <w:b/>
          <w:bCs w:val="0"/>
          <w:color w:val="auto"/>
          <w:szCs w:val="21"/>
          <w:highlight w:val="none"/>
        </w:rPr>
        <w:t>…</w:t>
      </w:r>
      <w:r>
        <w:rPr>
          <w:rFonts w:hint="eastAsia" w:ascii="宋体" w:hAnsi="宋体" w:eastAsia="宋体" w:cs="宋体"/>
          <w:b/>
          <w:bCs w:val="0"/>
          <w:color w:val="auto"/>
          <w:highlight w:val="none"/>
        </w:rPr>
        <w:t>………</w:t>
      </w:r>
      <w:r>
        <w:rPr>
          <w:rFonts w:hint="eastAsia" w:ascii="宋体" w:hAnsi="宋体" w:eastAsia="宋体" w:cs="宋体"/>
          <w:b/>
          <w:bCs w:val="0"/>
          <w:color w:val="auto"/>
          <w:szCs w:val="21"/>
          <w:highlight w:val="none"/>
        </w:rPr>
        <w:t>…</w:t>
      </w:r>
      <w:r>
        <w:rPr>
          <w:rFonts w:hint="eastAsia" w:ascii="宋体" w:hAnsi="宋体" w:eastAsia="宋体" w:cs="宋体"/>
          <w:b/>
          <w:bCs w:val="0"/>
          <w:color w:val="auto"/>
          <w:highlight w:val="none"/>
        </w:rPr>
        <w:t>…………</w:t>
      </w:r>
      <w:r>
        <w:rPr>
          <w:rFonts w:hint="eastAsia" w:ascii="宋体" w:hAnsi="宋体" w:eastAsia="宋体" w:cs="宋体"/>
          <w:b/>
          <w:bCs w:val="0"/>
          <w:color w:val="auto"/>
          <w:szCs w:val="21"/>
          <w:highlight w:val="none"/>
        </w:rPr>
        <w:t>…</w:t>
      </w:r>
      <w:r>
        <w:rPr>
          <w:rFonts w:hint="eastAsia" w:ascii="宋体" w:hAnsi="宋体" w:eastAsia="宋体" w:cs="宋体"/>
          <w:b/>
          <w:bCs w:val="0"/>
          <w:color w:val="auto"/>
          <w:highlight w:val="none"/>
        </w:rPr>
        <w:t>…</w:t>
      </w:r>
      <w:r>
        <w:rPr>
          <w:rFonts w:hint="eastAsia" w:ascii="宋体" w:hAnsi="宋体" w:eastAsia="宋体" w:cs="宋体"/>
          <w:b/>
          <w:bCs w:val="0"/>
          <w:color w:val="auto"/>
          <w:szCs w:val="21"/>
          <w:highlight w:val="none"/>
        </w:rPr>
        <w:t>…</w:t>
      </w:r>
      <w:r>
        <w:rPr>
          <w:rFonts w:hint="eastAsia" w:hAnsi="宋体" w:cs="宋体"/>
          <w:b/>
          <w:bCs w:val="0"/>
          <w:color w:val="auto"/>
          <w:highlight w:val="none"/>
          <w:lang w:val="en-US" w:eastAsia="zh-CN"/>
        </w:rPr>
        <w:t>4</w:t>
      </w:r>
      <w:r>
        <w:rPr>
          <w:rFonts w:hint="eastAsia" w:ascii="宋体" w:hAnsi="宋体" w:eastAsia="宋体" w:cs="宋体"/>
          <w:b/>
          <w:bCs w:val="0"/>
          <w:color w:val="auto"/>
          <w:szCs w:val="21"/>
          <w:highlight w:val="none"/>
        </w:rPr>
        <w:t>分</w:t>
      </w:r>
    </w:p>
    <w:p w14:paraId="37A98EF1">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color w:val="auto"/>
          <w:highlight w:val="none"/>
        </w:rPr>
      </w:pPr>
      <w:r>
        <w:rPr>
          <w:rFonts w:hint="eastAsia" w:ascii="宋体" w:hAnsi="宋体" w:eastAsia="宋体" w:cs="宋体"/>
          <w:color w:val="auto"/>
          <w:highlight w:val="none"/>
        </w:rPr>
        <w:t>优</w:t>
      </w:r>
      <w:r>
        <w:rPr>
          <w:rFonts w:hint="eastAsia" w:ascii="宋体" w:hAnsi="宋体" w:eastAsia="宋体" w:cs="宋体"/>
          <w:color w:val="auto"/>
          <w:highlight w:val="none"/>
          <w:lang w:eastAsia="zh-CN"/>
        </w:rPr>
        <w:t>（</w:t>
      </w:r>
      <w:r>
        <w:rPr>
          <w:rFonts w:hint="eastAsia" w:hAnsi="宋体" w:cs="宋体"/>
          <w:color w:val="auto"/>
          <w:highlight w:val="none"/>
          <w:lang w:val="en-US" w:eastAsia="zh-CN"/>
        </w:rPr>
        <w:t>4</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：针对项目实际，提出采用新技术的具体措施。新技术的验证材料可靠，对节约投资和工期的保证措施得力、具体、严谨。对采用新技术可能产生的风险预见充分，对新技术的实施有安全生产的可靠方案。</w:t>
      </w:r>
    </w:p>
    <w:p w14:paraId="78583ACB">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color w:val="auto"/>
          <w:highlight w:val="none"/>
        </w:rPr>
      </w:pPr>
      <w:r>
        <w:rPr>
          <w:rFonts w:hint="eastAsia" w:ascii="宋体" w:hAnsi="宋体" w:eastAsia="宋体" w:cs="宋体"/>
          <w:color w:val="auto"/>
          <w:highlight w:val="none"/>
        </w:rPr>
        <w:t>良</w:t>
      </w:r>
      <w:r>
        <w:rPr>
          <w:rFonts w:hint="eastAsia" w:ascii="宋体" w:hAnsi="宋体" w:eastAsia="宋体" w:cs="宋体"/>
          <w:color w:val="auto"/>
          <w:highlight w:val="none"/>
          <w:lang w:eastAsia="zh-CN"/>
        </w:rPr>
        <w:t>（</w:t>
      </w:r>
      <w:r>
        <w:rPr>
          <w:rFonts w:hint="eastAsia" w:hAnsi="宋体" w:cs="宋体"/>
          <w:b w:val="0"/>
          <w:bCs w:val="0"/>
          <w:color w:val="auto"/>
          <w:kern w:val="0"/>
          <w:sz w:val="21"/>
          <w:szCs w:val="21"/>
          <w:highlight w:val="none"/>
          <w:lang w:val="en-US" w:eastAsia="zh-CN"/>
        </w:rPr>
        <w:t>3</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：针对项目实际，提出采用新技术的具体措施。新技术的验证材料可靠，对节约投资和工期有保证措施。对采用新技术可能产生的风险有一定的预见。</w:t>
      </w:r>
    </w:p>
    <w:p w14:paraId="7060C71D">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color w:val="auto"/>
          <w:sz w:val="21"/>
          <w:szCs w:val="21"/>
          <w:highlight w:val="none"/>
        </w:rPr>
      </w:pPr>
      <w:r>
        <w:rPr>
          <w:rFonts w:hint="eastAsia" w:ascii="宋体" w:hAnsi="宋体" w:eastAsia="宋体" w:cs="宋体"/>
          <w:color w:val="auto"/>
          <w:highlight w:val="none"/>
        </w:rPr>
        <w:t>中</w:t>
      </w:r>
      <w:r>
        <w:rPr>
          <w:rFonts w:hint="eastAsia" w:ascii="宋体" w:hAnsi="宋体" w:eastAsia="宋体" w:cs="宋体"/>
          <w:color w:val="auto"/>
          <w:highlight w:val="none"/>
          <w:lang w:eastAsia="zh-CN"/>
        </w:rPr>
        <w:t>（</w:t>
      </w:r>
      <w:r>
        <w:rPr>
          <w:rFonts w:hint="eastAsia" w:hAnsi="宋体" w:cs="宋体"/>
          <w:b w:val="0"/>
          <w:bCs w:val="0"/>
          <w:color w:val="auto"/>
          <w:kern w:val="0"/>
          <w:sz w:val="21"/>
          <w:szCs w:val="21"/>
          <w:highlight w:val="none"/>
          <w:lang w:val="en-US" w:eastAsia="zh-CN"/>
        </w:rPr>
        <w:t>2</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：有新技术措施，但验证材料不充分，对节约投资和工期可能有一定收益，对</w:t>
      </w:r>
      <w:r>
        <w:rPr>
          <w:rFonts w:hint="eastAsia" w:ascii="宋体" w:hAnsi="宋体" w:eastAsia="宋体" w:cs="宋体"/>
          <w:color w:val="auto"/>
          <w:sz w:val="21"/>
          <w:szCs w:val="21"/>
          <w:highlight w:val="none"/>
        </w:rPr>
        <w:t>采用新技术可能产生的风险预见不足。</w:t>
      </w:r>
    </w:p>
    <w:p w14:paraId="48ECB792">
      <w:pPr>
        <w:pStyle w:val="12"/>
        <w:keepNext w:val="0"/>
        <w:keepLines w:val="0"/>
        <w:pageBreakBefore w:val="0"/>
        <w:widowControl w:val="0"/>
        <w:kinsoku/>
        <w:wordWrap/>
        <w:overflowPunct/>
        <w:topLinePunct w:val="0"/>
        <w:bidi w:val="0"/>
        <w:snapToGrid/>
        <w:spacing w:line="440" w:lineRule="exact"/>
        <w:ind w:firstLine="535" w:firstLineChars="25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差</w:t>
      </w:r>
      <w:r>
        <w:rPr>
          <w:rFonts w:hint="eastAsia" w:ascii="宋体" w:hAnsi="宋体" w:eastAsia="宋体" w:cs="宋体"/>
          <w:color w:val="auto"/>
          <w:sz w:val="21"/>
          <w:szCs w:val="21"/>
          <w:highlight w:val="none"/>
          <w:lang w:eastAsia="zh-CN"/>
        </w:rPr>
        <w:t>（</w:t>
      </w:r>
      <w:r>
        <w:rPr>
          <w:rFonts w:hint="eastAsia" w:hAnsi="宋体" w:cs="宋体"/>
          <w:color w:val="auto"/>
          <w:sz w:val="21"/>
          <w:szCs w:val="21"/>
          <w:highlight w:val="none"/>
          <w:lang w:val="en-US" w:eastAsia="zh-CN"/>
        </w:rPr>
        <w:t>1</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：采用的新技术针对性不强或验证材料不可靠，对节约投资和工期没有具体收益。</w:t>
      </w:r>
    </w:p>
    <w:p w14:paraId="71A9CD03">
      <w:pPr>
        <w:keepNext w:val="0"/>
        <w:keepLines w:val="0"/>
        <w:pageBreakBefore w:val="0"/>
        <w:widowControl w:val="0"/>
        <w:kinsoku/>
        <w:wordWrap/>
        <w:overflowPunct/>
        <w:topLinePunct w:val="0"/>
        <w:bidi w:val="0"/>
        <w:snapToGrid/>
        <w:spacing w:line="440" w:lineRule="exact"/>
        <w:ind w:firstLine="316" w:firstLineChars="150"/>
        <w:textAlignment w:val="auto"/>
        <w:outlineLvl w:val="9"/>
        <w:rPr>
          <w:rFonts w:hint="eastAsia" w:ascii="宋体" w:hAnsi="宋体" w:eastAsia="宋体" w:cs="宋体"/>
          <w:b/>
          <w:bCs/>
          <w:color w:val="auto"/>
          <w:kern w:val="0"/>
          <w:sz w:val="21"/>
          <w:szCs w:val="21"/>
          <w:highlight w:val="none"/>
        </w:rPr>
      </w:pPr>
      <w:bookmarkStart w:id="146" w:name="_Toc7396"/>
      <w:r>
        <w:rPr>
          <w:rFonts w:hint="eastAsia" w:ascii="宋体" w:hAnsi="宋体" w:eastAsia="宋体" w:cs="宋体"/>
          <w:b/>
          <w:color w:val="auto"/>
          <w:kern w:val="0"/>
          <w:sz w:val="21"/>
          <w:szCs w:val="21"/>
          <w:highlight w:val="none"/>
        </w:rPr>
        <w:t>注：</w:t>
      </w:r>
      <w:r>
        <w:rPr>
          <w:rFonts w:hint="eastAsia" w:ascii="宋体" w:hAnsi="宋体" w:eastAsia="宋体" w:cs="宋体"/>
          <w:b/>
          <w:bCs/>
          <w:color w:val="auto"/>
          <w:kern w:val="0"/>
          <w:sz w:val="21"/>
          <w:szCs w:val="21"/>
          <w:highlight w:val="none"/>
        </w:rPr>
        <w:t>供应商未提供上述“施工组织技术方案”相应内容的，相应项不得分。</w:t>
      </w:r>
      <w:bookmarkEnd w:id="146"/>
    </w:p>
    <w:p w14:paraId="70B8C27C">
      <w:pPr>
        <w:keepNext w:val="0"/>
        <w:keepLines w:val="0"/>
        <w:pageBreakBefore w:val="0"/>
        <w:widowControl w:val="0"/>
        <w:kinsoku/>
        <w:wordWrap/>
        <w:overflowPunct/>
        <w:topLinePunct w:val="0"/>
        <w:bidi w:val="0"/>
        <w:snapToGrid/>
        <w:spacing w:line="440" w:lineRule="exact"/>
        <w:textAlignment w:val="auto"/>
        <w:rPr>
          <w:rFonts w:hint="eastAsia" w:cs="宋体"/>
          <w:b/>
          <w:color w:val="auto"/>
          <w:szCs w:val="21"/>
          <w:highlight w:val="none"/>
          <w:lang w:val="en-US" w:eastAsia="zh-CN"/>
        </w:rPr>
      </w:pPr>
      <w:r>
        <w:rPr>
          <w:rFonts w:hint="eastAsia" w:ascii="宋体" w:hAnsi="宋体" w:eastAsia="宋体" w:cs="宋体"/>
          <w:b/>
          <w:color w:val="auto"/>
          <w:kern w:val="0"/>
          <w:sz w:val="24"/>
          <w:szCs w:val="21"/>
          <w:highlight w:val="none"/>
          <w:lang w:val="en-US" w:eastAsia="zh-CN" w:bidi="ar-SA"/>
        </w:rPr>
        <w:t>3、业绩分</w:t>
      </w:r>
      <w:r>
        <w:rPr>
          <w:rFonts w:hint="eastAsia" w:ascii="宋体" w:hAnsi="宋体" w:eastAsia="宋体" w:cs="宋体"/>
          <w:b/>
          <w:color w:val="auto"/>
          <w:highlight w:val="none"/>
        </w:rPr>
        <w:t>……………………………………………………………………………</w:t>
      </w:r>
      <w:r>
        <w:rPr>
          <w:rFonts w:hint="eastAsia" w:ascii="宋体" w:hAnsi="宋体" w:eastAsia="宋体" w:cs="宋体"/>
          <w:b/>
          <w:color w:val="auto"/>
          <w:kern w:val="0"/>
          <w:sz w:val="24"/>
          <w:szCs w:val="21"/>
          <w:highlight w:val="none"/>
          <w:lang w:val="en-US" w:eastAsia="zh-CN" w:bidi="ar-SA"/>
        </w:rPr>
        <w:t>满分</w:t>
      </w:r>
      <w:r>
        <w:rPr>
          <w:rFonts w:hint="eastAsia" w:cs="宋体"/>
          <w:b/>
          <w:color w:val="auto"/>
          <w:kern w:val="0"/>
          <w:sz w:val="24"/>
          <w:szCs w:val="21"/>
          <w:highlight w:val="none"/>
          <w:lang w:val="en-US" w:eastAsia="zh-CN" w:bidi="ar-SA"/>
        </w:rPr>
        <w:t>9</w:t>
      </w:r>
      <w:r>
        <w:rPr>
          <w:rFonts w:hint="eastAsia" w:ascii="宋体" w:hAnsi="宋体" w:eastAsia="宋体" w:cs="宋体"/>
          <w:b/>
          <w:color w:val="auto"/>
          <w:kern w:val="0"/>
          <w:sz w:val="24"/>
          <w:szCs w:val="21"/>
          <w:highlight w:val="none"/>
          <w:lang w:val="en-US" w:eastAsia="zh-CN" w:bidi="ar-SA"/>
        </w:rPr>
        <w:t>分</w:t>
      </w:r>
    </w:p>
    <w:p w14:paraId="60120FF7">
      <w:pPr>
        <w:tabs>
          <w:tab w:val="left" w:pos="1305"/>
        </w:tabs>
        <w:spacing w:line="420" w:lineRule="exact"/>
        <w:ind w:firstLine="210" w:firstLineChars="100"/>
        <w:rPr>
          <w:rFonts w:hint="eastAsia" w:ascii="宋体" w:hAnsi="宋体" w:eastAsia="宋体" w:cs="宋体"/>
          <w:b/>
          <w:color w:val="auto"/>
          <w:kern w:val="0"/>
          <w:sz w:val="24"/>
          <w:szCs w:val="21"/>
          <w:highlight w:val="none"/>
          <w:lang w:val="en-US" w:eastAsia="zh-CN" w:bidi="ar-SA"/>
        </w:rPr>
      </w:pPr>
      <w:r>
        <w:rPr>
          <w:rFonts w:hint="eastAsia" w:ascii="宋体" w:hAnsi="宋体" w:cs="宋体"/>
          <w:bCs/>
          <w:color w:val="auto"/>
        </w:rPr>
        <w:t xml:space="preserve"> </w:t>
      </w:r>
      <w:r>
        <w:rPr>
          <w:rFonts w:hint="eastAsia" w:ascii="宋体" w:hAnsi="宋体" w:eastAsia="宋体" w:cs="宋体"/>
          <w:bCs/>
          <w:color w:val="auto"/>
          <w:kern w:val="2"/>
          <w:sz w:val="21"/>
          <w:szCs w:val="24"/>
          <w:lang w:val="en-US" w:eastAsia="zh-CN" w:bidi="ar-SA"/>
        </w:rPr>
        <w:t xml:space="preserve"> 供应商</w:t>
      </w:r>
      <w:r>
        <w:rPr>
          <w:rFonts w:hint="eastAsia" w:ascii="宋体" w:hAnsi="宋体" w:cs="宋体"/>
          <w:bCs/>
          <w:color w:val="auto"/>
          <w:lang w:val="en-US" w:eastAsia="zh-CN"/>
        </w:rPr>
        <w:t>2023年1月1日</w:t>
      </w:r>
      <w:r>
        <w:rPr>
          <w:rFonts w:hint="eastAsia" w:ascii="宋体" w:hAnsi="宋体" w:eastAsia="宋体" w:cs="宋体"/>
          <w:bCs/>
          <w:color w:val="auto"/>
          <w:kern w:val="2"/>
          <w:sz w:val="21"/>
          <w:szCs w:val="24"/>
          <w:lang w:val="en-US" w:eastAsia="zh-CN" w:bidi="ar-SA"/>
        </w:rPr>
        <w:t>以来具有类似工程业绩（无不良记录，以中标（成交）通知书或签订的合同或竣工证明文件为准，并能清晰反映项目的名称、采购内容、采购金额、签订时间，否则将不予评审，同一个编号的项目有两个或两个以上的分标中标的只算一次】,每提供1个得</w:t>
      </w:r>
      <w:r>
        <w:rPr>
          <w:rFonts w:hint="eastAsia" w:ascii="宋体" w:hAnsi="宋体" w:cs="宋体"/>
          <w:bCs/>
          <w:color w:val="auto"/>
          <w:kern w:val="2"/>
          <w:sz w:val="21"/>
          <w:szCs w:val="24"/>
          <w:lang w:val="en-US" w:eastAsia="zh-CN" w:bidi="ar-SA"/>
        </w:rPr>
        <w:t>3</w:t>
      </w:r>
      <w:r>
        <w:rPr>
          <w:rFonts w:hint="eastAsia" w:ascii="宋体" w:hAnsi="宋体" w:eastAsia="宋体" w:cs="宋体"/>
          <w:bCs/>
          <w:color w:val="auto"/>
          <w:kern w:val="2"/>
          <w:sz w:val="21"/>
          <w:szCs w:val="24"/>
          <w:lang w:val="en-US" w:eastAsia="zh-CN" w:bidi="ar-SA"/>
        </w:rPr>
        <w:t>分，最多得</w:t>
      </w:r>
      <w:r>
        <w:rPr>
          <w:rFonts w:hint="eastAsia" w:ascii="宋体" w:hAnsi="宋体" w:cs="宋体"/>
          <w:bCs/>
          <w:color w:val="auto"/>
          <w:kern w:val="2"/>
          <w:sz w:val="21"/>
          <w:szCs w:val="24"/>
          <w:lang w:val="en-US" w:eastAsia="zh-CN" w:bidi="ar-SA"/>
        </w:rPr>
        <w:t>9</w:t>
      </w:r>
      <w:r>
        <w:rPr>
          <w:rFonts w:hint="eastAsia" w:ascii="宋体" w:hAnsi="宋体" w:eastAsia="宋体" w:cs="宋体"/>
          <w:bCs/>
          <w:color w:val="auto"/>
          <w:kern w:val="2"/>
          <w:sz w:val="21"/>
          <w:szCs w:val="24"/>
          <w:lang w:val="en-US" w:eastAsia="zh-CN" w:bidi="ar-SA"/>
        </w:rPr>
        <w:t>分。</w:t>
      </w:r>
    </w:p>
    <w:p w14:paraId="649A7EF7">
      <w:pPr>
        <w:keepNext w:val="0"/>
        <w:keepLines w:val="0"/>
        <w:pageBreakBefore w:val="0"/>
        <w:widowControl w:val="0"/>
        <w:kinsoku/>
        <w:wordWrap/>
        <w:overflowPunct/>
        <w:topLinePunct w:val="0"/>
        <w:bidi w:val="0"/>
        <w:snapToGrid/>
        <w:spacing w:line="440" w:lineRule="exact"/>
        <w:textAlignment w:val="auto"/>
        <w:rPr>
          <w:rFonts w:hint="default" w:ascii="宋体" w:hAnsi="宋体" w:eastAsia="宋体" w:cs="宋体"/>
          <w:b/>
          <w:color w:val="auto"/>
          <w:kern w:val="0"/>
          <w:sz w:val="24"/>
          <w:szCs w:val="21"/>
          <w:highlight w:val="none"/>
          <w:lang w:val="en-US" w:eastAsia="zh-CN" w:bidi="ar-SA"/>
        </w:rPr>
      </w:pPr>
      <w:r>
        <w:rPr>
          <w:rFonts w:hint="eastAsia" w:ascii="宋体" w:hAnsi="宋体" w:cs="宋体"/>
          <w:b/>
          <w:color w:val="auto"/>
          <w:kern w:val="0"/>
          <w:sz w:val="24"/>
          <w:szCs w:val="21"/>
          <w:highlight w:val="none"/>
          <w:lang w:val="en-US" w:eastAsia="zh-CN" w:bidi="ar-SA"/>
        </w:rPr>
        <w:t>4</w:t>
      </w:r>
      <w:r>
        <w:rPr>
          <w:rFonts w:hint="eastAsia" w:ascii="宋体" w:hAnsi="宋体" w:eastAsia="宋体" w:cs="宋体"/>
          <w:b/>
          <w:color w:val="auto"/>
          <w:kern w:val="0"/>
          <w:sz w:val="24"/>
          <w:szCs w:val="21"/>
          <w:highlight w:val="none"/>
          <w:lang w:val="en-US" w:eastAsia="zh-CN" w:bidi="ar-SA"/>
        </w:rPr>
        <w:t>、综合得分＝1+2+3</w:t>
      </w:r>
    </w:p>
    <w:p w14:paraId="53FA7508">
      <w:pPr>
        <w:keepNext w:val="0"/>
        <w:keepLines w:val="0"/>
        <w:pageBreakBefore w:val="0"/>
        <w:widowControl w:val="0"/>
        <w:tabs>
          <w:tab w:val="left" w:pos="1305"/>
        </w:tabs>
        <w:kinsoku/>
        <w:wordWrap/>
        <w:overflowPunct/>
        <w:topLinePunct w:val="0"/>
        <w:bidi w:val="0"/>
        <w:snapToGrid/>
        <w:spacing w:line="440" w:lineRule="exact"/>
        <w:ind w:firstLine="211" w:firstLineChars="1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三、</w:t>
      </w:r>
      <w:r>
        <w:rPr>
          <w:rFonts w:hint="eastAsia" w:ascii="宋体" w:hAnsi="宋体" w:eastAsia="宋体" w:cs="宋体"/>
          <w:b/>
          <w:color w:val="auto"/>
          <w:szCs w:val="21"/>
          <w:highlight w:val="none"/>
        </w:rPr>
        <w:t>推荐成交候选人原则</w:t>
      </w:r>
    </w:p>
    <w:p w14:paraId="6E336FF9">
      <w:pPr>
        <w:keepNext w:val="0"/>
        <w:keepLines w:val="0"/>
        <w:pageBreakBefore w:val="0"/>
        <w:widowControl w:val="0"/>
        <w:tabs>
          <w:tab w:val="left" w:pos="1305"/>
        </w:tabs>
        <w:kinsoku/>
        <w:wordWrap/>
        <w:overflowPunct/>
        <w:topLinePunct w:val="0"/>
        <w:autoSpaceDE/>
        <w:autoSpaceDN/>
        <w:bidi w:val="0"/>
        <w:adjustRightInd/>
        <w:snapToGrid/>
        <w:spacing w:line="440" w:lineRule="exact"/>
        <w:ind w:left="0" w:leftChars="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（1）磋商小组应当根据综合评分情况，按照综合得分由高到低顺序推荐三名成交候选供应商，并编写评审报告。磋商小组根据综合得分由高到低排列次序，若得分相同时，以最后报价由低到高顺序排列；</w:t>
      </w:r>
      <w:r>
        <w:rPr>
          <w:rFonts w:hint="eastAsia" w:ascii="宋体" w:hAnsi="宋体" w:eastAsia="宋体" w:cs="宋体"/>
          <w:color w:val="auto"/>
          <w:szCs w:val="21"/>
          <w:highlight w:val="none"/>
        </w:rPr>
        <w:t>若仍相同的，依次按技术分、</w:t>
      </w:r>
      <w:r>
        <w:rPr>
          <w:rFonts w:hint="eastAsia" w:ascii="宋体" w:hAnsi="宋体" w:eastAsia="宋体" w:cs="宋体"/>
          <w:color w:val="auto"/>
          <w:szCs w:val="21"/>
          <w:highlight w:val="none"/>
          <w:lang w:val="en-US" w:eastAsia="zh-CN"/>
        </w:rPr>
        <w:t>企业信誉实力</w:t>
      </w:r>
      <w:r>
        <w:rPr>
          <w:rFonts w:hint="eastAsia" w:ascii="宋体" w:hAnsi="宋体" w:eastAsia="宋体" w:cs="宋体"/>
          <w:color w:val="auto"/>
          <w:szCs w:val="21"/>
          <w:highlight w:val="none"/>
        </w:rPr>
        <w:t>分由高到低顺序排列并推荐成交候选供应商</w:t>
      </w:r>
      <w:r>
        <w:rPr>
          <w:rFonts w:hint="eastAsia" w:ascii="宋体" w:hAnsi="宋体" w:eastAsia="宋体" w:cs="宋体"/>
          <w:color w:val="auto"/>
          <w:sz w:val="21"/>
          <w:szCs w:val="21"/>
          <w:highlight w:val="none"/>
        </w:rPr>
        <w:t>。</w:t>
      </w:r>
    </w:p>
    <w:p w14:paraId="70E314DA">
      <w:pPr>
        <w:keepNext w:val="0"/>
        <w:keepLines w:val="0"/>
        <w:pageBreakBefore w:val="0"/>
        <w:widowControl w:val="0"/>
        <w:tabs>
          <w:tab w:val="left" w:pos="1305"/>
        </w:tabs>
        <w:kinsoku/>
        <w:wordWrap/>
        <w:overflowPunct/>
        <w:topLinePunct w:val="0"/>
        <w:autoSpaceDE/>
        <w:autoSpaceDN/>
        <w:bidi w:val="0"/>
        <w:adjustRightInd/>
        <w:snapToGrid/>
        <w:spacing w:line="440" w:lineRule="exact"/>
        <w:ind w:left="0" w:leftChars="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（2）采购人应当确定磋商小组推荐排名第一的成交候选供应商为成交供应商。</w:t>
      </w:r>
    </w:p>
    <w:p w14:paraId="23802F71">
      <w:pPr>
        <w:keepNext w:val="0"/>
        <w:keepLines w:val="0"/>
        <w:pageBreakBefore w:val="0"/>
        <w:widowControl w:val="0"/>
        <w:tabs>
          <w:tab w:val="left" w:pos="1305"/>
        </w:tabs>
        <w:kinsoku/>
        <w:wordWrap/>
        <w:overflowPunct/>
        <w:topLinePunct w:val="0"/>
        <w:autoSpaceDE/>
        <w:autoSpaceDN/>
        <w:bidi w:val="0"/>
        <w:adjustRightInd/>
        <w:snapToGrid/>
        <w:spacing w:line="440" w:lineRule="exact"/>
        <w:ind w:left="0" w:leftChars="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（3）排名第一的成交候选供应商放弃成交、因不可抗力提出不能履行合同，采购人可以按照评审报告推荐的成交候选供应商名单排序，确定下一候选供应商为成交供应商，也可以重新开展政府采购活动。</w:t>
      </w:r>
    </w:p>
    <w:p w14:paraId="7CAE948B">
      <w:pPr>
        <w:keepNext w:val="0"/>
        <w:keepLines w:val="0"/>
        <w:pageBreakBefore w:val="0"/>
        <w:widowControl w:val="0"/>
        <w:tabs>
          <w:tab w:val="left" w:pos="1305"/>
        </w:tabs>
        <w:kinsoku/>
        <w:wordWrap/>
        <w:overflowPunct/>
        <w:topLinePunct w:val="0"/>
        <w:autoSpaceDE/>
        <w:autoSpaceDN/>
        <w:bidi w:val="0"/>
        <w:adjustRightInd/>
        <w:snapToGrid/>
        <w:spacing w:line="440" w:lineRule="exact"/>
        <w:ind w:left="0" w:leftChars="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磋商小组认为，某供应商的响应报价或者某些分项报价明显不合理或者低于成本，有可能影响质量和不能诚信履约的，应要求其在规定的期限内提供书面文件予以解释说明，并提交相关证明材料，否则，磋商小组可以取消该供应商的成交候选资格，按顺序由排在其后面的供应商递补，以此类推。</w:t>
      </w:r>
    </w:p>
    <w:p w14:paraId="17A3191E">
      <w:pPr>
        <w:rPr>
          <w:rFonts w:hint="eastAsia"/>
          <w:color w:val="auto"/>
          <w:highlight w:val="none"/>
        </w:rPr>
      </w:pPr>
      <w:r>
        <w:rPr>
          <w:rFonts w:hint="eastAsia"/>
          <w:color w:val="auto"/>
          <w:highlight w:val="none"/>
        </w:rPr>
        <w:br w:type="page"/>
      </w:r>
    </w:p>
    <w:p w14:paraId="2200CCCC">
      <w:pPr>
        <w:pStyle w:val="2"/>
        <w:keepNext w:val="0"/>
        <w:keepLines w:val="0"/>
        <w:pageBreakBefore w:val="0"/>
        <w:widowControl w:val="0"/>
        <w:numPr>
          <w:ilvl w:val="0"/>
          <w:numId w:val="0"/>
        </w:numPr>
        <w:tabs>
          <w:tab w:val="left" w:pos="0"/>
        </w:tabs>
        <w:wordWrap/>
        <w:topLinePunct w:val="0"/>
        <w:autoSpaceDE w:val="0"/>
        <w:autoSpaceDN w:val="0"/>
        <w:bidi w:val="0"/>
        <w:adjustRightInd w:val="0"/>
        <w:spacing w:before="0" w:after="0" w:line="360" w:lineRule="auto"/>
        <w:jc w:val="center"/>
        <w:rPr>
          <w:rFonts w:hint="eastAsia" w:ascii="宋体" w:hAnsi="宋体" w:eastAsia="宋体" w:cs="宋体"/>
          <w:color w:val="auto"/>
          <w:sz w:val="32"/>
          <w:szCs w:val="32"/>
          <w:highlight w:val="none"/>
        </w:rPr>
      </w:pPr>
      <w:bookmarkStart w:id="147" w:name="_Toc4774"/>
      <w:bookmarkStart w:id="148" w:name="_Toc25717"/>
      <w:bookmarkStart w:id="149" w:name="_Toc31422"/>
      <w:bookmarkStart w:id="150" w:name="_Toc8466"/>
      <w:r>
        <w:rPr>
          <w:rFonts w:hint="eastAsia" w:ascii="宋体" w:hAnsi="宋体" w:eastAsia="宋体" w:cs="宋体"/>
          <w:color w:val="auto"/>
          <w:sz w:val="32"/>
          <w:szCs w:val="32"/>
          <w:highlight w:val="none"/>
          <w:lang w:eastAsia="zh-CN"/>
        </w:rPr>
        <w:t>第五章</w:t>
      </w:r>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rPr>
        <w:t>采购合同（合同主要条款及格式）</w:t>
      </w:r>
      <w:bookmarkEnd w:id="147"/>
      <w:bookmarkEnd w:id="148"/>
      <w:bookmarkEnd w:id="149"/>
      <w:bookmarkEnd w:id="150"/>
    </w:p>
    <w:p w14:paraId="608C4868">
      <w:pPr>
        <w:pStyle w:val="46"/>
        <w:keepNext w:val="0"/>
        <w:keepLines w:val="0"/>
        <w:pageBreakBefore w:val="0"/>
        <w:widowControl w:val="0"/>
        <w:numPr>
          <w:ilvl w:val="0"/>
          <w:numId w:val="4"/>
        </w:numPr>
        <w:wordWrap/>
        <w:topLinePunct w:val="0"/>
        <w:bidi w:val="0"/>
        <w:spacing w:line="340" w:lineRule="exact"/>
        <w:jc w:val="center"/>
        <w:outlineLvl w:val="1"/>
        <w:rPr>
          <w:rFonts w:ascii="宋体"/>
          <w:color w:val="auto"/>
          <w:sz w:val="32"/>
          <w:highlight w:val="none"/>
        </w:rPr>
      </w:pPr>
      <w:bookmarkStart w:id="151" w:name="_Toc256000031"/>
      <w:bookmarkStart w:id="152" w:name="_Toc13895"/>
      <w:bookmarkStart w:id="153" w:name="_Toc522201558"/>
      <w:bookmarkStart w:id="154" w:name="_Toc25765"/>
      <w:bookmarkStart w:id="155" w:name="_Toc10014"/>
      <w:bookmarkStart w:id="156" w:name="_Toc24269"/>
      <w:r>
        <w:rPr>
          <w:rFonts w:ascii="宋体"/>
          <w:color w:val="auto"/>
          <w:sz w:val="32"/>
          <w:highlight w:val="none"/>
        </w:rPr>
        <w:t>合同协议书</w:t>
      </w:r>
      <w:bookmarkEnd w:id="151"/>
      <w:bookmarkEnd w:id="152"/>
      <w:bookmarkEnd w:id="153"/>
      <w:bookmarkEnd w:id="154"/>
    </w:p>
    <w:p w14:paraId="6491B0E7">
      <w:pPr>
        <w:pStyle w:val="46"/>
        <w:keepNext w:val="0"/>
        <w:keepLines w:val="0"/>
        <w:pageBreakBefore w:val="0"/>
        <w:widowControl w:val="0"/>
        <w:numPr>
          <w:ilvl w:val="0"/>
          <w:numId w:val="0"/>
        </w:numPr>
        <w:wordWrap/>
        <w:topLinePunct w:val="0"/>
        <w:bidi w:val="0"/>
        <w:spacing w:line="340" w:lineRule="exact"/>
        <w:jc w:val="both"/>
        <w:outlineLvl w:val="9"/>
        <w:rPr>
          <w:rFonts w:ascii="宋体"/>
          <w:color w:val="auto"/>
          <w:sz w:val="32"/>
          <w:highlight w:val="none"/>
        </w:rPr>
      </w:pPr>
    </w:p>
    <w:p w14:paraId="42841863">
      <w:pPr>
        <w:pStyle w:val="48"/>
        <w:keepNext w:val="0"/>
        <w:keepLines w:val="0"/>
        <w:pageBreakBefore w:val="0"/>
        <w:widowControl w:val="0"/>
        <w:wordWrap/>
        <w:topLinePunct w:val="0"/>
        <w:bidi w:val="0"/>
        <w:adjustRightInd w:val="0"/>
        <w:snapToGrid w:val="0"/>
        <w:spacing w:line="40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发包人（全称）：</w:t>
      </w:r>
      <w:r>
        <w:rPr>
          <w:rFonts w:hint="eastAsia" w:ascii="宋体" w:hAnsi="宋体" w:cs="宋体"/>
          <w:color w:val="auto"/>
          <w:szCs w:val="21"/>
          <w:highlight w:val="none"/>
          <w:lang w:val="en-US" w:eastAsia="zh-CN"/>
        </w:rPr>
        <w:t xml:space="preserve"> </w:t>
      </w:r>
    </w:p>
    <w:p w14:paraId="744D56DB">
      <w:pPr>
        <w:pStyle w:val="48"/>
        <w:keepNext w:val="0"/>
        <w:keepLines w:val="0"/>
        <w:pageBreakBefore w:val="0"/>
        <w:widowControl w:val="0"/>
        <w:wordWrap/>
        <w:topLinePunct w:val="0"/>
        <w:bidi w:val="0"/>
        <w:adjustRightInd w:val="0"/>
        <w:snapToGrid w:val="0"/>
        <w:spacing w:line="400" w:lineRule="exact"/>
        <w:rPr>
          <w:rFonts w:ascii="宋体" w:hAnsi="宋体" w:cs="宋体"/>
          <w:color w:val="auto"/>
          <w:szCs w:val="21"/>
          <w:highlight w:val="none"/>
          <w:u w:val="single"/>
        </w:rPr>
      </w:pPr>
      <w:r>
        <w:rPr>
          <w:rFonts w:hint="eastAsia" w:ascii="宋体" w:hAnsi="宋体" w:cs="宋体"/>
          <w:color w:val="auto"/>
          <w:szCs w:val="21"/>
          <w:highlight w:val="none"/>
        </w:rPr>
        <w:t>承包人（全称）：</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5DB6CD0C">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根据《中华人民共和国</w:t>
      </w:r>
      <w:r>
        <w:rPr>
          <w:rFonts w:hint="eastAsia" w:ascii="宋体" w:hAnsi="宋体" w:cs="宋体"/>
          <w:color w:val="auto"/>
          <w:szCs w:val="21"/>
          <w:highlight w:val="none"/>
          <w:lang w:eastAsia="zh-CN"/>
        </w:rPr>
        <w:t>民法典</w:t>
      </w:r>
      <w:r>
        <w:rPr>
          <w:rFonts w:hint="eastAsia" w:ascii="宋体" w:hAnsi="宋体" w:cs="宋体"/>
          <w:color w:val="auto"/>
          <w:szCs w:val="21"/>
          <w:highlight w:val="none"/>
        </w:rPr>
        <w:t>》、《中华人民共和国建筑法》及有关法律规定，遵循平等、自愿、公平和诚实信用的原则，双方就</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工程施工及有关事项协商一致，共同达成如下协议：</w:t>
      </w:r>
      <w:bookmarkStart w:id="157" w:name="_Toc351203481"/>
    </w:p>
    <w:p w14:paraId="0A65838D">
      <w:pPr>
        <w:pStyle w:val="49"/>
        <w:keepNext w:val="0"/>
        <w:keepLines w:val="0"/>
        <w:pageBreakBefore w:val="0"/>
        <w:widowControl w:val="0"/>
        <w:wordWrap/>
        <w:topLinePunct w:val="0"/>
        <w:bidi w:val="0"/>
        <w:adjustRightInd w:val="0"/>
        <w:snapToGrid w:val="0"/>
        <w:spacing w:line="400" w:lineRule="exact"/>
        <w:ind w:firstLine="422"/>
        <w:outlineLvl w:val="2"/>
        <w:rPr>
          <w:rFonts w:ascii="宋体" w:hAnsi="宋体" w:cs="宋体"/>
          <w:b/>
          <w:color w:val="auto"/>
          <w:highlight w:val="none"/>
        </w:rPr>
      </w:pPr>
      <w:bookmarkStart w:id="158" w:name="_Toc522201559"/>
      <w:bookmarkStart w:id="159" w:name="_Toc20764"/>
      <w:bookmarkStart w:id="160" w:name="_Toc15791"/>
      <w:bookmarkStart w:id="161" w:name="_Toc406522028"/>
      <w:bookmarkStart w:id="162" w:name="_Toc406419153"/>
      <w:r>
        <w:rPr>
          <w:rFonts w:hint="eastAsia" w:ascii="宋体" w:hAnsi="宋体" w:cs="宋体"/>
          <w:b/>
          <w:color w:val="auto"/>
          <w:highlight w:val="none"/>
        </w:rPr>
        <w:t>一、工程概况</w:t>
      </w:r>
      <w:bookmarkEnd w:id="157"/>
      <w:bookmarkEnd w:id="158"/>
      <w:bookmarkEnd w:id="159"/>
      <w:bookmarkEnd w:id="160"/>
      <w:bookmarkEnd w:id="161"/>
      <w:bookmarkEnd w:id="162"/>
    </w:p>
    <w:p w14:paraId="2E7F3A0F">
      <w:pPr>
        <w:pStyle w:val="48"/>
        <w:keepNext w:val="0"/>
        <w:keepLines w:val="0"/>
        <w:pageBreakBefore w:val="0"/>
        <w:widowControl w:val="0"/>
        <w:wordWrap/>
        <w:topLinePunct w:val="0"/>
        <w:bidi w:val="0"/>
        <w:adjustRightInd w:val="0"/>
        <w:snapToGrid w:val="0"/>
        <w:spacing w:line="400" w:lineRule="exact"/>
        <w:ind w:firstLine="459"/>
        <w:rPr>
          <w:rFonts w:ascii="宋体" w:hAnsi="宋体" w:cs="宋体"/>
          <w:color w:val="auto"/>
          <w:szCs w:val="21"/>
          <w:highlight w:val="none"/>
        </w:rPr>
      </w:pPr>
      <w:r>
        <w:rPr>
          <w:rFonts w:hint="eastAsia" w:ascii="宋体" w:hAnsi="宋体" w:cs="宋体"/>
          <w:color w:val="auto"/>
          <w:szCs w:val="21"/>
          <w:highlight w:val="none"/>
        </w:rPr>
        <w:t>1.工程名称：</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w:t>
      </w:r>
    </w:p>
    <w:p w14:paraId="1F18247F">
      <w:pPr>
        <w:pStyle w:val="48"/>
        <w:keepNext w:val="0"/>
        <w:keepLines w:val="0"/>
        <w:pageBreakBefore w:val="0"/>
        <w:widowControl w:val="0"/>
        <w:wordWrap/>
        <w:topLinePunct w:val="0"/>
        <w:bidi w:val="0"/>
        <w:adjustRightInd w:val="0"/>
        <w:snapToGrid w:val="0"/>
        <w:spacing w:line="400" w:lineRule="exact"/>
        <w:ind w:firstLine="459"/>
        <w:rPr>
          <w:rFonts w:ascii="宋体" w:hAnsi="宋体" w:cs="宋体"/>
          <w:color w:val="auto"/>
          <w:szCs w:val="21"/>
          <w:highlight w:val="none"/>
        </w:rPr>
      </w:pPr>
      <w:r>
        <w:rPr>
          <w:rFonts w:hint="eastAsia" w:ascii="宋体" w:hAnsi="宋体" w:cs="宋体"/>
          <w:color w:val="auto"/>
          <w:szCs w:val="21"/>
          <w:highlight w:val="none"/>
        </w:rPr>
        <w:t>2.工程地点：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w:t>
      </w:r>
    </w:p>
    <w:p w14:paraId="00EFB184">
      <w:pPr>
        <w:pStyle w:val="48"/>
        <w:keepNext w:val="0"/>
        <w:keepLines w:val="0"/>
        <w:pageBreakBefore w:val="0"/>
        <w:widowControl w:val="0"/>
        <w:wordWrap/>
        <w:topLinePunct w:val="0"/>
        <w:bidi w:val="0"/>
        <w:adjustRightInd w:val="0"/>
        <w:snapToGrid w:val="0"/>
        <w:spacing w:line="400" w:lineRule="exact"/>
        <w:ind w:firstLine="459"/>
        <w:rPr>
          <w:rFonts w:ascii="宋体" w:hAnsi="宋体" w:cs="宋体"/>
          <w:color w:val="auto"/>
          <w:szCs w:val="21"/>
          <w:highlight w:val="none"/>
        </w:rPr>
      </w:pPr>
      <w:r>
        <w:rPr>
          <w:rFonts w:hint="eastAsia" w:ascii="宋体" w:hAnsi="宋体" w:cs="宋体"/>
          <w:color w:val="auto"/>
          <w:szCs w:val="21"/>
          <w:highlight w:val="none"/>
        </w:rPr>
        <w:t>3.资金来源：</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w:t>
      </w:r>
    </w:p>
    <w:p w14:paraId="79F48277">
      <w:pPr>
        <w:pStyle w:val="48"/>
        <w:keepNext w:val="0"/>
        <w:keepLines w:val="0"/>
        <w:pageBreakBefore w:val="0"/>
        <w:widowControl w:val="0"/>
        <w:wordWrap/>
        <w:topLinePunct w:val="0"/>
        <w:bidi w:val="0"/>
        <w:adjustRightInd w:val="0"/>
        <w:snapToGrid w:val="0"/>
        <w:spacing w:line="400" w:lineRule="exact"/>
        <w:ind w:firstLine="459"/>
        <w:rPr>
          <w:rFonts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.工程内容：</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w:t>
      </w:r>
    </w:p>
    <w:p w14:paraId="0B38369C">
      <w:pPr>
        <w:pStyle w:val="48"/>
        <w:keepNext w:val="0"/>
        <w:keepLines w:val="0"/>
        <w:pageBreakBefore w:val="0"/>
        <w:widowControl w:val="0"/>
        <w:wordWrap/>
        <w:topLinePunct w:val="0"/>
        <w:bidi w:val="0"/>
        <w:adjustRightInd w:val="0"/>
        <w:snapToGrid w:val="0"/>
        <w:spacing w:line="400" w:lineRule="exact"/>
        <w:ind w:firstLine="459"/>
        <w:rPr>
          <w:rFonts w:ascii="宋体" w:hAnsi="宋体" w:cs="宋体"/>
          <w:bCs/>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.工程承包范围：</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w:t>
      </w:r>
    </w:p>
    <w:p w14:paraId="056A1836">
      <w:pPr>
        <w:pStyle w:val="49"/>
        <w:keepNext w:val="0"/>
        <w:keepLines w:val="0"/>
        <w:pageBreakBefore w:val="0"/>
        <w:widowControl w:val="0"/>
        <w:wordWrap/>
        <w:topLinePunct w:val="0"/>
        <w:bidi w:val="0"/>
        <w:adjustRightInd w:val="0"/>
        <w:snapToGrid w:val="0"/>
        <w:spacing w:line="400" w:lineRule="exact"/>
        <w:ind w:firstLine="422"/>
        <w:outlineLvl w:val="2"/>
        <w:rPr>
          <w:rFonts w:ascii="宋体" w:hAnsi="宋体" w:cs="宋体"/>
          <w:b/>
          <w:color w:val="auto"/>
          <w:highlight w:val="none"/>
        </w:rPr>
      </w:pPr>
      <w:bookmarkStart w:id="163" w:name="_Toc522201560"/>
      <w:bookmarkStart w:id="164" w:name="_Toc406419154"/>
      <w:bookmarkStart w:id="165" w:name="_Toc351203482"/>
      <w:bookmarkStart w:id="166" w:name="_Toc3470"/>
      <w:bookmarkStart w:id="167" w:name="_Toc349"/>
      <w:bookmarkStart w:id="168" w:name="_Toc406522029"/>
      <w:r>
        <w:rPr>
          <w:rFonts w:hint="eastAsia" w:ascii="宋体" w:hAnsi="宋体" w:cs="宋体"/>
          <w:b/>
          <w:color w:val="auto"/>
          <w:highlight w:val="none"/>
        </w:rPr>
        <w:t>二、合同工期</w:t>
      </w:r>
      <w:bookmarkEnd w:id="163"/>
      <w:bookmarkEnd w:id="164"/>
      <w:bookmarkEnd w:id="165"/>
      <w:bookmarkEnd w:id="166"/>
      <w:bookmarkEnd w:id="167"/>
      <w:bookmarkEnd w:id="168"/>
    </w:p>
    <w:p w14:paraId="3CC0F2E8">
      <w:pPr>
        <w:pStyle w:val="48"/>
        <w:keepNext w:val="0"/>
        <w:keepLines w:val="0"/>
        <w:pageBreakBefore w:val="0"/>
        <w:widowControl w:val="0"/>
        <w:wordWrap/>
        <w:topLinePunct w:val="0"/>
        <w:bidi w:val="0"/>
        <w:adjustRightInd w:val="0"/>
        <w:snapToGrid w:val="0"/>
        <w:spacing w:line="400" w:lineRule="exact"/>
        <w:ind w:firstLine="459"/>
        <w:rPr>
          <w:rFonts w:ascii="宋体" w:hAnsi="宋体" w:cs="宋体"/>
          <w:color w:val="auto"/>
          <w:szCs w:val="21"/>
          <w:highlight w:val="none"/>
        </w:rPr>
      </w:pPr>
      <w:r>
        <w:rPr>
          <w:rFonts w:hint="eastAsia" w:ascii="宋体" w:hAnsi="宋体" w:cs="宋体"/>
          <w:color w:val="auto"/>
          <w:szCs w:val="21"/>
          <w:highlight w:val="none"/>
        </w:rPr>
        <w:t>计划开工日期：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日。（实际开工日期以开工令为准）</w:t>
      </w:r>
    </w:p>
    <w:p w14:paraId="1D66043D">
      <w:pPr>
        <w:pStyle w:val="48"/>
        <w:keepNext w:val="0"/>
        <w:keepLines w:val="0"/>
        <w:pageBreakBefore w:val="0"/>
        <w:widowControl w:val="0"/>
        <w:wordWrap/>
        <w:topLinePunct w:val="0"/>
        <w:bidi w:val="0"/>
        <w:adjustRightInd w:val="0"/>
        <w:snapToGrid w:val="0"/>
        <w:spacing w:line="400" w:lineRule="exact"/>
        <w:ind w:firstLine="459"/>
        <w:rPr>
          <w:rFonts w:ascii="宋体" w:hAnsi="宋体" w:cs="宋体"/>
          <w:color w:val="auto"/>
          <w:szCs w:val="21"/>
          <w:highlight w:val="none"/>
        </w:rPr>
      </w:pPr>
      <w:r>
        <w:rPr>
          <w:rFonts w:hint="eastAsia" w:ascii="宋体" w:hAnsi="宋体" w:cs="宋体"/>
          <w:color w:val="auto"/>
          <w:szCs w:val="21"/>
          <w:highlight w:val="none"/>
        </w:rPr>
        <w:t>计划竣工日期：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1C9F23CB">
      <w:pPr>
        <w:pStyle w:val="48"/>
        <w:keepNext w:val="0"/>
        <w:keepLines w:val="0"/>
        <w:pageBreakBefore w:val="0"/>
        <w:widowControl w:val="0"/>
        <w:wordWrap/>
        <w:topLinePunct w:val="0"/>
        <w:bidi w:val="0"/>
        <w:adjustRightInd w:val="0"/>
        <w:snapToGrid w:val="0"/>
        <w:spacing w:line="400" w:lineRule="exact"/>
        <w:ind w:firstLine="459"/>
        <w:rPr>
          <w:rFonts w:ascii="宋体" w:hAnsi="宋体" w:cs="宋体"/>
          <w:color w:val="auto"/>
          <w:szCs w:val="21"/>
          <w:highlight w:val="none"/>
        </w:rPr>
      </w:pPr>
      <w:r>
        <w:rPr>
          <w:rFonts w:hint="eastAsia" w:ascii="宋体" w:hAnsi="宋体" w:cs="宋体"/>
          <w:color w:val="auto"/>
          <w:szCs w:val="21"/>
          <w:highlight w:val="none"/>
        </w:rPr>
        <w:t>工期总日历天数：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天。工期总日历天数与根据前述计划开竣工日期计算的工期天数不一致的，以工期总日历天数为准。</w:t>
      </w:r>
    </w:p>
    <w:p w14:paraId="42A814CA">
      <w:pPr>
        <w:pStyle w:val="49"/>
        <w:keepNext w:val="0"/>
        <w:keepLines w:val="0"/>
        <w:pageBreakBefore w:val="0"/>
        <w:widowControl w:val="0"/>
        <w:wordWrap/>
        <w:topLinePunct w:val="0"/>
        <w:bidi w:val="0"/>
        <w:adjustRightInd w:val="0"/>
        <w:snapToGrid w:val="0"/>
        <w:spacing w:line="400" w:lineRule="exact"/>
        <w:ind w:firstLine="422"/>
        <w:outlineLvl w:val="2"/>
        <w:rPr>
          <w:rFonts w:ascii="宋体" w:hAnsi="宋体" w:cs="宋体"/>
          <w:b/>
          <w:color w:val="auto"/>
          <w:highlight w:val="none"/>
        </w:rPr>
      </w:pPr>
      <w:bookmarkStart w:id="169" w:name="_Toc406522030"/>
      <w:bookmarkStart w:id="170" w:name="_Toc406419155"/>
      <w:bookmarkStart w:id="171" w:name="_Toc12638"/>
      <w:bookmarkStart w:id="172" w:name="_Toc351203483"/>
      <w:bookmarkStart w:id="173" w:name="_Toc15140"/>
      <w:bookmarkStart w:id="174" w:name="_Toc522201561"/>
      <w:r>
        <w:rPr>
          <w:rFonts w:hint="eastAsia" w:ascii="宋体" w:hAnsi="宋体" w:cs="宋体"/>
          <w:b/>
          <w:color w:val="auto"/>
          <w:highlight w:val="none"/>
        </w:rPr>
        <w:t>三、质量标准</w:t>
      </w:r>
      <w:bookmarkEnd w:id="169"/>
      <w:bookmarkEnd w:id="170"/>
      <w:bookmarkEnd w:id="171"/>
      <w:bookmarkEnd w:id="172"/>
      <w:bookmarkEnd w:id="173"/>
      <w:bookmarkEnd w:id="174"/>
    </w:p>
    <w:p w14:paraId="70E6619E">
      <w:pPr>
        <w:keepNext w:val="0"/>
        <w:keepLines w:val="0"/>
        <w:pageBreakBefore w:val="0"/>
        <w:widowControl w:val="0"/>
        <w:tabs>
          <w:tab w:val="left" w:pos="210"/>
        </w:tabs>
        <w:wordWrap/>
        <w:topLinePunct w:val="0"/>
        <w:bidi w:val="0"/>
        <w:spacing w:line="360" w:lineRule="exact"/>
        <w:ind w:firstLine="420" w:firstLineChars="200"/>
        <w:rPr>
          <w:rFonts w:hint="eastAsia" w:ascii="宋体" w:hAnsi="宋体" w:cs="宋体"/>
          <w:color w:val="auto"/>
          <w:highlight w:val="none"/>
        </w:rPr>
      </w:pPr>
      <w:r>
        <w:rPr>
          <w:rFonts w:hint="eastAsia" w:ascii="宋体" w:hAnsi="宋体" w:cs="宋体"/>
          <w:color w:val="auto"/>
          <w:highlight w:val="none"/>
          <w:lang w:val="en-US" w:eastAsia="zh-CN"/>
        </w:rPr>
        <w:t>质量标准：合格</w:t>
      </w:r>
      <w:r>
        <w:rPr>
          <w:rFonts w:hint="eastAsia" w:ascii="宋体" w:hAnsi="宋体" w:cs="宋体"/>
          <w:color w:val="auto"/>
          <w:highlight w:val="none"/>
        </w:rPr>
        <w:t>。</w:t>
      </w:r>
    </w:p>
    <w:p w14:paraId="231E32D1">
      <w:pPr>
        <w:pStyle w:val="49"/>
        <w:keepNext w:val="0"/>
        <w:keepLines w:val="0"/>
        <w:pageBreakBefore w:val="0"/>
        <w:widowControl w:val="0"/>
        <w:wordWrap/>
        <w:topLinePunct w:val="0"/>
        <w:bidi w:val="0"/>
        <w:adjustRightInd w:val="0"/>
        <w:snapToGrid w:val="0"/>
        <w:spacing w:line="400" w:lineRule="exact"/>
        <w:ind w:firstLine="422"/>
        <w:outlineLvl w:val="2"/>
        <w:rPr>
          <w:rFonts w:ascii="宋体" w:hAnsi="宋体" w:cs="宋体"/>
          <w:b/>
          <w:color w:val="auto"/>
          <w:highlight w:val="none"/>
        </w:rPr>
      </w:pPr>
      <w:bookmarkStart w:id="175" w:name="_Toc31378"/>
      <w:bookmarkStart w:id="176" w:name="_Toc8031"/>
      <w:bookmarkStart w:id="177" w:name="_Toc406419156"/>
      <w:bookmarkStart w:id="178" w:name="_Toc351203484"/>
      <w:bookmarkStart w:id="179" w:name="_Toc522201562"/>
      <w:bookmarkStart w:id="180" w:name="_Toc406522031"/>
      <w:r>
        <w:rPr>
          <w:rFonts w:hint="eastAsia" w:ascii="宋体" w:hAnsi="宋体" w:cs="宋体"/>
          <w:b/>
          <w:color w:val="auto"/>
          <w:highlight w:val="none"/>
        </w:rPr>
        <w:t>四、签约合同价与合同价格形式</w:t>
      </w:r>
      <w:bookmarkEnd w:id="175"/>
      <w:bookmarkEnd w:id="176"/>
      <w:bookmarkEnd w:id="177"/>
      <w:bookmarkEnd w:id="178"/>
      <w:bookmarkEnd w:id="179"/>
      <w:bookmarkEnd w:id="180"/>
    </w:p>
    <w:p w14:paraId="0BCFB154">
      <w:pPr>
        <w:pStyle w:val="48"/>
        <w:keepNext w:val="0"/>
        <w:keepLines w:val="0"/>
        <w:pageBreakBefore w:val="0"/>
        <w:widowControl w:val="0"/>
        <w:wordWrap/>
        <w:topLinePunct w:val="0"/>
        <w:bidi w:val="0"/>
        <w:adjustRightInd w:val="0"/>
        <w:snapToGrid w:val="0"/>
        <w:spacing w:line="400" w:lineRule="exact"/>
        <w:ind w:firstLine="459"/>
        <w:rPr>
          <w:rFonts w:ascii="宋体" w:hAnsi="宋体" w:cs="宋体"/>
          <w:color w:val="auto"/>
          <w:szCs w:val="21"/>
          <w:highlight w:val="none"/>
        </w:rPr>
      </w:pPr>
      <w:r>
        <w:rPr>
          <w:rFonts w:hint="eastAsia" w:ascii="宋体" w:hAnsi="宋体" w:cs="宋体"/>
          <w:color w:val="auto"/>
          <w:szCs w:val="21"/>
          <w:highlight w:val="none"/>
        </w:rPr>
        <w:t>1. 签约合同价为：</w:t>
      </w:r>
    </w:p>
    <w:p w14:paraId="6A57619F">
      <w:pPr>
        <w:pStyle w:val="48"/>
        <w:keepNext w:val="0"/>
        <w:keepLines w:val="0"/>
        <w:pageBreakBefore w:val="0"/>
        <w:widowControl w:val="0"/>
        <w:wordWrap/>
        <w:topLinePunct w:val="0"/>
        <w:bidi w:val="0"/>
        <w:adjustRightInd w:val="0"/>
        <w:snapToGrid w:val="0"/>
        <w:spacing w:line="400" w:lineRule="exact"/>
        <w:ind w:firstLine="525" w:firstLineChars="250"/>
        <w:jc w:val="left"/>
        <w:rPr>
          <w:rFonts w:ascii="宋体" w:hAnsi="宋体" w:cs="宋体"/>
          <w:color w:val="auto"/>
          <w:szCs w:val="21"/>
          <w:highlight w:val="none"/>
        </w:rPr>
      </w:pPr>
      <w:r>
        <w:rPr>
          <w:rFonts w:hint="eastAsia" w:ascii="宋体" w:hAnsi="宋体" w:cs="宋体"/>
          <w:color w:val="auto"/>
          <w:szCs w:val="21"/>
          <w:highlight w:val="none"/>
        </w:rPr>
        <w:t>总价：人民币（大写）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p>
    <w:p w14:paraId="75F57AEB">
      <w:pPr>
        <w:pStyle w:val="48"/>
        <w:keepNext w:val="0"/>
        <w:keepLines w:val="0"/>
        <w:pageBreakBefore w:val="0"/>
        <w:widowControl w:val="0"/>
        <w:wordWrap/>
        <w:topLinePunct w:val="0"/>
        <w:bidi w:val="0"/>
        <w:adjustRightInd w:val="0"/>
        <w:snapToGrid w:val="0"/>
        <w:spacing w:line="400" w:lineRule="exact"/>
        <w:ind w:firstLine="525" w:firstLineChars="250"/>
        <w:rPr>
          <w:rFonts w:ascii="宋体" w:hAnsi="宋体" w:cs="宋体"/>
          <w:color w:val="auto"/>
          <w:szCs w:val="21"/>
          <w:highlight w:val="none"/>
        </w:rPr>
      </w:pPr>
      <w:r>
        <w:rPr>
          <w:rFonts w:hint="eastAsia" w:ascii="宋体" w:hAnsi="宋体" w:cs="宋体"/>
          <w:color w:val="auto"/>
          <w:szCs w:val="21"/>
          <w:highlight w:val="none"/>
        </w:rPr>
        <w:t>其中：</w:t>
      </w:r>
    </w:p>
    <w:p w14:paraId="435C7E9F">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投标报价（磋商报价）</w:t>
      </w:r>
      <w:r>
        <w:rPr>
          <w:rFonts w:hint="eastAsia" w:ascii="宋体" w:hAnsi="宋体" w:cs="宋体"/>
          <w:color w:val="auto"/>
          <w:szCs w:val="21"/>
          <w:highlight w:val="none"/>
        </w:rPr>
        <w:t>：</w:t>
      </w:r>
    </w:p>
    <w:p w14:paraId="3F8570BA">
      <w:pPr>
        <w:pStyle w:val="48"/>
        <w:keepNext w:val="0"/>
        <w:keepLines w:val="0"/>
        <w:pageBreakBefore w:val="0"/>
        <w:widowControl w:val="0"/>
        <w:wordWrap/>
        <w:topLinePunct w:val="0"/>
        <w:bidi w:val="0"/>
        <w:adjustRightInd w:val="0"/>
        <w:snapToGrid w:val="0"/>
        <w:spacing w:line="400" w:lineRule="exact"/>
        <w:ind w:firstLine="978" w:firstLineChars="466"/>
        <w:rPr>
          <w:rFonts w:ascii="宋体" w:hAnsi="宋体" w:cs="宋体"/>
          <w:color w:val="auto"/>
          <w:szCs w:val="21"/>
          <w:highlight w:val="none"/>
        </w:rPr>
      </w:pPr>
      <w:r>
        <w:rPr>
          <w:rFonts w:hint="eastAsia" w:ascii="宋体" w:hAnsi="宋体" w:cs="宋体"/>
          <w:color w:val="auto"/>
          <w:szCs w:val="21"/>
          <w:highlight w:val="none"/>
        </w:rPr>
        <w:t>人民币（大写）</w:t>
      </w:r>
      <w:r>
        <w:rPr>
          <w:rFonts w:hint="eastAsia" w:ascii="宋体" w:hAnsi="宋体"/>
          <w:color w:val="auto"/>
          <w:szCs w:val="21"/>
          <w:highlight w:val="none"/>
          <w:u w:val="single"/>
          <w:lang w:val="en-US" w:eastAsia="zh-CN"/>
        </w:rPr>
        <w:t xml:space="preserve">  </w:t>
      </w:r>
      <w:r>
        <w:rPr>
          <w:rFonts w:hint="eastAsia" w:ascii="宋体" w:hAnsi="宋体" w:cs="宋体"/>
          <w:color w:val="auto"/>
          <w:szCs w:val="21"/>
          <w:highlight w:val="none"/>
        </w:rPr>
        <w:t xml:space="preserve"> （¥</w:t>
      </w:r>
      <w:r>
        <w:rPr>
          <w:rFonts w:hint="eastAsia" w:ascii="宋体" w:hAnsi="宋体"/>
          <w:color w:val="auto"/>
          <w:szCs w:val="21"/>
          <w:highlight w:val="none"/>
          <w:u w:val="single"/>
          <w:lang w:val="en-US" w:eastAsia="zh-CN"/>
        </w:rPr>
        <w:t xml:space="preserve">  </w:t>
      </w:r>
      <w:r>
        <w:rPr>
          <w:rFonts w:hint="eastAsia" w:ascii="宋体" w:hAnsi="宋体" w:cs="宋体"/>
          <w:color w:val="auto"/>
          <w:szCs w:val="21"/>
          <w:highlight w:val="none"/>
        </w:rPr>
        <w:t>元）；</w:t>
      </w:r>
    </w:p>
    <w:p w14:paraId="2FEF542F">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（2）安全文明施工费：</w:t>
      </w:r>
    </w:p>
    <w:p w14:paraId="088938EC">
      <w:pPr>
        <w:pStyle w:val="48"/>
        <w:keepNext w:val="0"/>
        <w:keepLines w:val="0"/>
        <w:pageBreakBefore w:val="0"/>
        <w:widowControl w:val="0"/>
        <w:wordWrap/>
        <w:topLinePunct w:val="0"/>
        <w:bidi w:val="0"/>
        <w:adjustRightInd w:val="0"/>
        <w:snapToGrid w:val="0"/>
        <w:spacing w:line="400" w:lineRule="exact"/>
        <w:ind w:firstLine="978" w:firstLineChars="466"/>
        <w:rPr>
          <w:rFonts w:ascii="宋体" w:hAnsi="宋体" w:cs="宋体"/>
          <w:color w:val="auto"/>
          <w:szCs w:val="21"/>
          <w:highlight w:val="none"/>
        </w:rPr>
      </w:pPr>
      <w:r>
        <w:rPr>
          <w:rFonts w:hint="eastAsia" w:ascii="宋体" w:hAnsi="宋体" w:cs="宋体"/>
          <w:color w:val="auto"/>
          <w:szCs w:val="21"/>
          <w:highlight w:val="none"/>
        </w:rPr>
        <w:t>人民币（大写）</w:t>
      </w:r>
      <w:r>
        <w:rPr>
          <w:rFonts w:hint="eastAsia" w:ascii="宋体" w:hAnsi="宋体"/>
          <w:color w:val="auto"/>
          <w:szCs w:val="21"/>
          <w:highlight w:val="none"/>
          <w:u w:val="single"/>
          <w:lang w:val="en-US" w:eastAsia="zh-CN"/>
        </w:rPr>
        <w:t xml:space="preserve">  </w:t>
      </w:r>
      <w:r>
        <w:rPr>
          <w:rFonts w:hint="eastAsia" w:ascii="宋体" w:hAnsi="宋体" w:cs="宋体"/>
          <w:color w:val="auto"/>
          <w:szCs w:val="21"/>
          <w:highlight w:val="none"/>
        </w:rPr>
        <w:t xml:space="preserve"> （¥</w:t>
      </w:r>
      <w:r>
        <w:rPr>
          <w:rFonts w:hint="eastAsia" w:ascii="宋体" w:hAnsi="宋体"/>
          <w:color w:val="auto"/>
          <w:szCs w:val="21"/>
          <w:highlight w:val="none"/>
          <w:u w:val="single"/>
          <w:lang w:val="en-US" w:eastAsia="zh-CN"/>
        </w:rPr>
        <w:t xml:space="preserve">  </w:t>
      </w:r>
      <w:r>
        <w:rPr>
          <w:rFonts w:hint="eastAsia" w:ascii="宋体" w:hAnsi="宋体" w:cs="宋体"/>
          <w:color w:val="auto"/>
          <w:szCs w:val="21"/>
          <w:highlight w:val="none"/>
        </w:rPr>
        <w:t>元）；</w:t>
      </w:r>
    </w:p>
    <w:p w14:paraId="5CF9168C">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（3）规费：人民币（大写）</w:t>
      </w:r>
      <w:r>
        <w:rPr>
          <w:rFonts w:hint="eastAsia" w:ascii="宋体" w:hAnsi="宋体"/>
          <w:color w:val="auto"/>
          <w:szCs w:val="21"/>
          <w:highlight w:val="none"/>
          <w:u w:val="single"/>
          <w:lang w:val="en-US" w:eastAsia="zh-CN"/>
        </w:rPr>
        <w:t xml:space="preserve">  </w:t>
      </w:r>
      <w:r>
        <w:rPr>
          <w:rFonts w:hint="eastAsia" w:ascii="宋体" w:hAnsi="宋体" w:cs="宋体"/>
          <w:color w:val="auto"/>
          <w:szCs w:val="21"/>
          <w:highlight w:val="none"/>
        </w:rPr>
        <w:t xml:space="preserve"> （¥</w:t>
      </w:r>
      <w:r>
        <w:rPr>
          <w:rFonts w:hint="eastAsia" w:ascii="宋体" w:hAnsi="宋体"/>
          <w:color w:val="auto"/>
          <w:szCs w:val="21"/>
          <w:highlight w:val="none"/>
          <w:u w:val="single"/>
          <w:lang w:val="en-US" w:eastAsia="zh-CN"/>
        </w:rPr>
        <w:t xml:space="preserve">  </w:t>
      </w:r>
      <w:r>
        <w:rPr>
          <w:rFonts w:hint="eastAsia" w:ascii="宋体" w:hAnsi="宋体" w:cs="宋体"/>
          <w:color w:val="auto"/>
          <w:szCs w:val="21"/>
          <w:highlight w:val="none"/>
        </w:rPr>
        <w:t>元）；</w:t>
      </w:r>
    </w:p>
    <w:p w14:paraId="4E18D21E">
      <w:pPr>
        <w:pStyle w:val="48"/>
        <w:keepNext w:val="0"/>
        <w:keepLines w:val="0"/>
        <w:pageBreakBefore w:val="0"/>
        <w:widowControl w:val="0"/>
        <w:wordWrap/>
        <w:topLinePunct w:val="0"/>
        <w:bidi w:val="0"/>
        <w:adjustRightInd w:val="0"/>
        <w:snapToGrid w:val="0"/>
        <w:spacing w:line="400" w:lineRule="exact"/>
        <w:ind w:firstLine="1050" w:firstLineChars="500"/>
        <w:rPr>
          <w:rFonts w:ascii="宋体" w:hAnsi="宋体" w:cs="宋体"/>
          <w:color w:val="auto"/>
          <w:szCs w:val="21"/>
          <w:highlight w:val="none"/>
        </w:rPr>
      </w:pPr>
      <w:r>
        <w:rPr>
          <w:rFonts w:hint="eastAsia" w:ascii="宋体" w:hAnsi="宋体" w:cs="宋体"/>
          <w:color w:val="auto"/>
          <w:szCs w:val="21"/>
          <w:highlight w:val="none"/>
        </w:rPr>
        <w:t>其中社会保险费：</w:t>
      </w:r>
    </w:p>
    <w:p w14:paraId="6885935C">
      <w:pPr>
        <w:pStyle w:val="48"/>
        <w:keepNext w:val="0"/>
        <w:keepLines w:val="0"/>
        <w:pageBreakBefore w:val="0"/>
        <w:widowControl w:val="0"/>
        <w:wordWrap/>
        <w:topLinePunct w:val="0"/>
        <w:bidi w:val="0"/>
        <w:adjustRightInd w:val="0"/>
        <w:snapToGrid w:val="0"/>
        <w:spacing w:line="400" w:lineRule="exact"/>
        <w:ind w:left="420" w:leftChars="200" w:firstLine="638" w:firstLineChars="304"/>
        <w:rPr>
          <w:rFonts w:hint="eastAsia" w:ascii="宋体" w:hAnsi="宋体" w:cs="宋体"/>
          <w:color w:val="auto"/>
          <w:szCs w:val="21"/>
          <w:highlight w:val="none"/>
        </w:rPr>
      </w:pPr>
      <w:r>
        <w:rPr>
          <w:rFonts w:hint="eastAsia" w:ascii="宋体" w:hAnsi="宋体" w:cs="宋体"/>
          <w:color w:val="auto"/>
          <w:szCs w:val="21"/>
          <w:highlight w:val="none"/>
        </w:rPr>
        <w:t>人民币（大写）</w:t>
      </w:r>
      <w:r>
        <w:rPr>
          <w:rFonts w:hint="eastAsia" w:ascii="宋体" w:hAnsi="宋体"/>
          <w:color w:val="auto"/>
          <w:szCs w:val="21"/>
          <w:highlight w:val="none"/>
          <w:u w:val="single"/>
          <w:lang w:val="en-US" w:eastAsia="zh-CN"/>
        </w:rPr>
        <w:t xml:space="preserve">  </w:t>
      </w:r>
      <w:r>
        <w:rPr>
          <w:rFonts w:hint="eastAsia" w:ascii="宋体" w:hAnsi="宋体" w:cs="宋体"/>
          <w:color w:val="auto"/>
          <w:szCs w:val="21"/>
          <w:highlight w:val="none"/>
        </w:rPr>
        <w:t xml:space="preserve"> （¥</w:t>
      </w:r>
      <w:r>
        <w:rPr>
          <w:rFonts w:hint="eastAsia" w:ascii="宋体" w:hAnsi="宋体"/>
          <w:color w:val="auto"/>
          <w:szCs w:val="21"/>
          <w:highlight w:val="none"/>
          <w:u w:val="single"/>
          <w:lang w:val="en-US" w:eastAsia="zh-CN"/>
        </w:rPr>
        <w:t xml:space="preserve">  </w:t>
      </w:r>
      <w:r>
        <w:rPr>
          <w:rFonts w:hint="eastAsia" w:ascii="宋体" w:hAnsi="宋体" w:cs="宋体"/>
          <w:color w:val="auto"/>
          <w:szCs w:val="21"/>
          <w:highlight w:val="none"/>
        </w:rPr>
        <w:t>元）；</w:t>
      </w:r>
    </w:p>
    <w:p w14:paraId="024A9C1F">
      <w:pPr>
        <w:pStyle w:val="48"/>
        <w:keepNext w:val="0"/>
        <w:keepLines w:val="0"/>
        <w:pageBreakBefore w:val="0"/>
        <w:widowControl w:val="0"/>
        <w:wordWrap/>
        <w:topLinePunct w:val="0"/>
        <w:bidi w:val="0"/>
        <w:adjustRightInd w:val="0"/>
        <w:snapToGrid w:val="0"/>
        <w:spacing w:line="400" w:lineRule="exact"/>
        <w:ind w:firstLine="945" w:firstLineChars="45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其他：</w:t>
      </w:r>
      <w:r>
        <w:rPr>
          <w:rFonts w:hint="eastAsia" w:ascii="宋体" w:hAnsi="宋体" w:cs="宋体"/>
          <w:color w:val="auto"/>
          <w:szCs w:val="21"/>
          <w:highlight w:val="none"/>
        </w:rPr>
        <w:t>人民币（大写）</w:t>
      </w:r>
      <w:r>
        <w:rPr>
          <w:rFonts w:hint="eastAsia" w:ascii="宋体" w:hAnsi="宋体"/>
          <w:color w:val="auto"/>
          <w:szCs w:val="21"/>
          <w:highlight w:val="none"/>
          <w:u w:val="single"/>
          <w:lang w:val="en-US" w:eastAsia="zh-CN"/>
        </w:rPr>
        <w:t xml:space="preserve">  </w:t>
      </w:r>
      <w:r>
        <w:rPr>
          <w:rFonts w:hint="eastAsia" w:ascii="宋体" w:hAnsi="宋体" w:cs="宋体"/>
          <w:color w:val="auto"/>
          <w:szCs w:val="21"/>
          <w:highlight w:val="none"/>
        </w:rPr>
        <w:t xml:space="preserve"> （¥</w:t>
      </w:r>
      <w:r>
        <w:rPr>
          <w:rFonts w:hint="eastAsia" w:ascii="宋体" w:hAnsi="宋体"/>
          <w:color w:val="auto"/>
          <w:szCs w:val="21"/>
          <w:highlight w:val="none"/>
          <w:u w:val="single"/>
          <w:lang w:val="en-US" w:eastAsia="zh-CN"/>
        </w:rPr>
        <w:t xml:space="preserve">  </w:t>
      </w:r>
      <w:r>
        <w:rPr>
          <w:rFonts w:hint="eastAsia" w:ascii="宋体" w:hAnsi="宋体" w:cs="宋体"/>
          <w:color w:val="auto"/>
          <w:szCs w:val="21"/>
          <w:highlight w:val="none"/>
        </w:rPr>
        <w:t>元）；</w:t>
      </w:r>
    </w:p>
    <w:p w14:paraId="2CA73C38">
      <w:pPr>
        <w:pStyle w:val="48"/>
        <w:keepNext w:val="0"/>
        <w:keepLines w:val="0"/>
        <w:pageBreakBefore w:val="0"/>
        <w:widowControl w:val="0"/>
        <w:numPr>
          <w:ilvl w:val="0"/>
          <w:numId w:val="5"/>
        </w:numPr>
        <w:wordWrap/>
        <w:topLinePunct w:val="0"/>
        <w:bidi w:val="0"/>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增值税：</w:t>
      </w:r>
    </w:p>
    <w:p w14:paraId="3AEED2B5">
      <w:pPr>
        <w:pStyle w:val="48"/>
        <w:keepNext w:val="0"/>
        <w:keepLines w:val="0"/>
        <w:pageBreakBefore w:val="0"/>
        <w:widowControl w:val="0"/>
        <w:wordWrap/>
        <w:topLinePunct w:val="0"/>
        <w:bidi w:val="0"/>
        <w:adjustRightInd w:val="0"/>
        <w:snapToGrid w:val="0"/>
        <w:spacing w:line="400" w:lineRule="exact"/>
        <w:ind w:left="420" w:leftChars="200" w:firstLine="420" w:firstLineChars="200"/>
        <w:rPr>
          <w:rFonts w:ascii="宋体" w:hAnsi="宋体" w:cs="宋体"/>
          <w:color w:val="auto"/>
          <w:szCs w:val="21"/>
          <w:highlight w:val="none"/>
        </w:rPr>
      </w:pPr>
      <w:r>
        <w:rPr>
          <w:rFonts w:hint="eastAsia" w:ascii="宋体" w:hAnsi="宋体" w:cs="宋体"/>
          <w:color w:val="auto"/>
          <w:szCs w:val="21"/>
          <w:highlight w:val="none"/>
        </w:rPr>
        <w:t>人民币（大写）</w:t>
      </w:r>
      <w:r>
        <w:rPr>
          <w:rFonts w:hint="eastAsia" w:ascii="宋体" w:hAnsi="宋体"/>
          <w:color w:val="auto"/>
          <w:szCs w:val="21"/>
          <w:highlight w:val="none"/>
          <w:u w:val="single"/>
          <w:lang w:val="en-US" w:eastAsia="zh-CN"/>
        </w:rPr>
        <w:t xml:space="preserve">  </w:t>
      </w:r>
      <w:r>
        <w:rPr>
          <w:rFonts w:hint="eastAsia" w:ascii="宋体" w:hAnsi="宋体" w:cs="宋体"/>
          <w:color w:val="auto"/>
          <w:szCs w:val="21"/>
          <w:highlight w:val="none"/>
        </w:rPr>
        <w:t xml:space="preserve"> （¥</w:t>
      </w:r>
      <w:r>
        <w:rPr>
          <w:rFonts w:hint="eastAsia" w:ascii="宋体" w:hAnsi="宋体"/>
          <w:color w:val="auto"/>
          <w:szCs w:val="21"/>
          <w:highlight w:val="none"/>
          <w:u w:val="single"/>
          <w:lang w:val="en-US" w:eastAsia="zh-CN"/>
        </w:rPr>
        <w:t xml:space="preserve">  </w:t>
      </w:r>
      <w:r>
        <w:rPr>
          <w:rFonts w:hint="eastAsia" w:ascii="宋体" w:hAnsi="宋体" w:cs="宋体"/>
          <w:color w:val="auto"/>
          <w:szCs w:val="21"/>
          <w:highlight w:val="none"/>
        </w:rPr>
        <w:t>元）；</w:t>
      </w:r>
    </w:p>
    <w:p w14:paraId="5588CC56">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（5）材料和工程设备暂估价金额：</w:t>
      </w:r>
    </w:p>
    <w:p w14:paraId="7AB5DD5E">
      <w:pPr>
        <w:pStyle w:val="48"/>
        <w:keepNext w:val="0"/>
        <w:keepLines w:val="0"/>
        <w:pageBreakBefore w:val="0"/>
        <w:widowControl w:val="0"/>
        <w:wordWrap/>
        <w:topLinePunct w:val="0"/>
        <w:bidi w:val="0"/>
        <w:adjustRightInd w:val="0"/>
        <w:snapToGrid w:val="0"/>
        <w:spacing w:line="400" w:lineRule="exact"/>
        <w:ind w:firstLine="945" w:firstLineChars="450"/>
        <w:rPr>
          <w:rFonts w:ascii="宋体" w:hAnsi="宋体" w:cs="宋体"/>
          <w:color w:val="auto"/>
          <w:szCs w:val="21"/>
          <w:highlight w:val="none"/>
        </w:rPr>
      </w:pPr>
      <w:r>
        <w:rPr>
          <w:rFonts w:hint="eastAsia" w:ascii="宋体" w:hAnsi="宋体" w:cs="宋体"/>
          <w:color w:val="auto"/>
          <w:szCs w:val="21"/>
          <w:highlight w:val="none"/>
        </w:rPr>
        <w:t>人民币（大写）</w:t>
      </w:r>
      <w:r>
        <w:rPr>
          <w:rFonts w:hint="eastAsia" w:ascii="宋体" w:hAnsi="宋体"/>
          <w:color w:val="auto"/>
          <w:szCs w:val="21"/>
          <w:highlight w:val="none"/>
          <w:u w:val="single"/>
          <w:lang w:val="en-US" w:eastAsia="zh-CN"/>
        </w:rPr>
        <w:t xml:space="preserve">  </w:t>
      </w:r>
      <w:r>
        <w:rPr>
          <w:rFonts w:hint="eastAsia" w:ascii="宋体" w:hAnsi="宋体" w:cs="宋体"/>
          <w:color w:val="auto"/>
          <w:szCs w:val="21"/>
          <w:highlight w:val="none"/>
        </w:rPr>
        <w:t xml:space="preserve"> （¥</w:t>
      </w:r>
      <w:r>
        <w:rPr>
          <w:rFonts w:hint="eastAsia" w:ascii="宋体" w:hAnsi="宋体"/>
          <w:color w:val="auto"/>
          <w:szCs w:val="21"/>
          <w:highlight w:val="none"/>
          <w:u w:val="single"/>
          <w:lang w:val="en-US" w:eastAsia="zh-CN"/>
        </w:rPr>
        <w:t xml:space="preserve">  </w:t>
      </w:r>
      <w:r>
        <w:rPr>
          <w:rFonts w:hint="eastAsia" w:ascii="宋体" w:hAnsi="宋体" w:cs="宋体"/>
          <w:color w:val="auto"/>
          <w:szCs w:val="21"/>
          <w:highlight w:val="none"/>
        </w:rPr>
        <w:t>元）；</w:t>
      </w:r>
    </w:p>
    <w:p w14:paraId="5862D06E">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（6）专业工程暂估价金额：</w:t>
      </w:r>
    </w:p>
    <w:p w14:paraId="68125727">
      <w:pPr>
        <w:pStyle w:val="48"/>
        <w:keepNext w:val="0"/>
        <w:keepLines w:val="0"/>
        <w:pageBreakBefore w:val="0"/>
        <w:widowControl w:val="0"/>
        <w:wordWrap/>
        <w:topLinePunct w:val="0"/>
        <w:bidi w:val="0"/>
        <w:adjustRightInd w:val="0"/>
        <w:snapToGrid w:val="0"/>
        <w:spacing w:line="400" w:lineRule="exact"/>
        <w:ind w:firstLine="945" w:firstLineChars="450"/>
        <w:rPr>
          <w:rFonts w:ascii="宋体" w:hAnsi="宋体" w:cs="宋体"/>
          <w:color w:val="auto"/>
          <w:szCs w:val="21"/>
          <w:highlight w:val="none"/>
        </w:rPr>
      </w:pPr>
      <w:r>
        <w:rPr>
          <w:rFonts w:hint="eastAsia" w:ascii="宋体" w:hAnsi="宋体" w:cs="宋体"/>
          <w:color w:val="auto"/>
          <w:szCs w:val="21"/>
          <w:highlight w:val="none"/>
        </w:rPr>
        <w:t>人民币（大写）</w:t>
      </w:r>
      <w:r>
        <w:rPr>
          <w:rFonts w:hint="eastAsia" w:ascii="宋体" w:hAnsi="宋体"/>
          <w:color w:val="auto"/>
          <w:szCs w:val="21"/>
          <w:highlight w:val="none"/>
          <w:u w:val="single"/>
          <w:lang w:val="en-US" w:eastAsia="zh-CN"/>
        </w:rPr>
        <w:t xml:space="preserve">  </w:t>
      </w:r>
      <w:r>
        <w:rPr>
          <w:rFonts w:hint="eastAsia" w:ascii="宋体" w:hAnsi="宋体" w:cs="宋体"/>
          <w:color w:val="auto"/>
          <w:szCs w:val="21"/>
          <w:highlight w:val="none"/>
        </w:rPr>
        <w:t xml:space="preserve"> （¥</w:t>
      </w:r>
      <w:r>
        <w:rPr>
          <w:rFonts w:hint="eastAsia" w:ascii="宋体" w:hAnsi="宋体"/>
          <w:color w:val="auto"/>
          <w:szCs w:val="21"/>
          <w:highlight w:val="none"/>
          <w:u w:val="single"/>
          <w:lang w:val="en-US" w:eastAsia="zh-CN"/>
        </w:rPr>
        <w:t xml:space="preserve">  </w:t>
      </w:r>
      <w:r>
        <w:rPr>
          <w:rFonts w:hint="eastAsia" w:ascii="宋体" w:hAnsi="宋体" w:cs="宋体"/>
          <w:color w:val="auto"/>
          <w:szCs w:val="21"/>
          <w:highlight w:val="none"/>
        </w:rPr>
        <w:t>元）；</w:t>
      </w:r>
    </w:p>
    <w:p w14:paraId="181FCD12">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（7）暂列金额：</w:t>
      </w:r>
    </w:p>
    <w:p w14:paraId="0C049FC5">
      <w:pPr>
        <w:pStyle w:val="48"/>
        <w:keepNext w:val="0"/>
        <w:keepLines w:val="0"/>
        <w:pageBreakBefore w:val="0"/>
        <w:widowControl w:val="0"/>
        <w:wordWrap/>
        <w:topLinePunct w:val="0"/>
        <w:bidi w:val="0"/>
        <w:adjustRightInd w:val="0"/>
        <w:snapToGrid w:val="0"/>
        <w:spacing w:line="400" w:lineRule="exact"/>
        <w:ind w:firstLine="945" w:firstLineChars="450"/>
        <w:rPr>
          <w:rFonts w:ascii="宋体" w:hAnsi="宋体" w:cs="宋体"/>
          <w:color w:val="auto"/>
          <w:szCs w:val="21"/>
          <w:highlight w:val="none"/>
        </w:rPr>
      </w:pPr>
      <w:r>
        <w:rPr>
          <w:rFonts w:hint="eastAsia" w:ascii="宋体" w:hAnsi="宋体" w:cs="宋体"/>
          <w:color w:val="auto"/>
          <w:szCs w:val="21"/>
          <w:highlight w:val="none"/>
        </w:rPr>
        <w:t>人民币（大写）</w:t>
      </w:r>
      <w:r>
        <w:rPr>
          <w:rFonts w:hint="eastAsia" w:ascii="宋体" w:hAnsi="宋体"/>
          <w:color w:val="auto"/>
          <w:szCs w:val="21"/>
          <w:highlight w:val="none"/>
          <w:u w:val="single"/>
          <w:lang w:val="en-US" w:eastAsia="zh-CN"/>
        </w:rPr>
        <w:t xml:space="preserve">  </w:t>
      </w:r>
      <w:r>
        <w:rPr>
          <w:rFonts w:hint="eastAsia" w:ascii="宋体" w:hAnsi="宋体" w:cs="宋体"/>
          <w:color w:val="auto"/>
          <w:szCs w:val="21"/>
          <w:highlight w:val="none"/>
        </w:rPr>
        <w:t xml:space="preserve"> （¥</w:t>
      </w:r>
      <w:r>
        <w:rPr>
          <w:rFonts w:hint="eastAsia" w:ascii="宋体" w:hAnsi="宋体"/>
          <w:color w:val="auto"/>
          <w:szCs w:val="21"/>
          <w:highlight w:val="none"/>
          <w:u w:val="single"/>
          <w:lang w:val="en-US" w:eastAsia="zh-CN"/>
        </w:rPr>
        <w:t xml:space="preserve">  </w:t>
      </w:r>
      <w:r>
        <w:rPr>
          <w:rFonts w:hint="eastAsia" w:ascii="宋体" w:hAnsi="宋体" w:cs="宋体"/>
          <w:color w:val="auto"/>
          <w:szCs w:val="21"/>
          <w:highlight w:val="none"/>
        </w:rPr>
        <w:t>元）。</w:t>
      </w:r>
    </w:p>
    <w:p w14:paraId="2AFB0CF5">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 合同价格形式：</w:t>
      </w:r>
      <w:r>
        <w:rPr>
          <w:rFonts w:hint="eastAsia" w:ascii="宋体" w:hAnsi="宋体" w:cs="宋体"/>
          <w:color w:val="auto"/>
          <w:szCs w:val="21"/>
          <w:highlight w:val="none"/>
          <w:u w:val="single"/>
        </w:rPr>
        <w:t>采用固定综合单价合同形式</w:t>
      </w:r>
      <w:r>
        <w:rPr>
          <w:rFonts w:hint="eastAsia" w:ascii="宋体" w:hAnsi="宋体" w:cs="宋体"/>
          <w:color w:val="auto"/>
          <w:szCs w:val="21"/>
          <w:highlight w:val="none"/>
        </w:rPr>
        <w:t>。</w:t>
      </w:r>
    </w:p>
    <w:p w14:paraId="63ED699E">
      <w:pPr>
        <w:pStyle w:val="49"/>
        <w:keepNext w:val="0"/>
        <w:keepLines w:val="0"/>
        <w:pageBreakBefore w:val="0"/>
        <w:widowControl w:val="0"/>
        <w:wordWrap/>
        <w:topLinePunct w:val="0"/>
        <w:bidi w:val="0"/>
        <w:adjustRightInd w:val="0"/>
        <w:snapToGrid w:val="0"/>
        <w:spacing w:line="400" w:lineRule="exact"/>
        <w:ind w:firstLine="422"/>
        <w:outlineLvl w:val="2"/>
        <w:rPr>
          <w:rFonts w:ascii="宋体" w:hAnsi="宋体" w:cs="宋体"/>
          <w:b/>
          <w:color w:val="auto"/>
          <w:highlight w:val="none"/>
        </w:rPr>
      </w:pPr>
      <w:bookmarkStart w:id="181" w:name="_Toc351203485"/>
      <w:bookmarkStart w:id="182" w:name="_Toc406419157"/>
      <w:bookmarkStart w:id="183" w:name="_Toc29758"/>
      <w:bookmarkStart w:id="184" w:name="_Toc406522032"/>
      <w:bookmarkStart w:id="185" w:name="_Toc10860"/>
      <w:bookmarkStart w:id="186" w:name="_Toc522201563"/>
      <w:r>
        <w:rPr>
          <w:rFonts w:hint="eastAsia" w:ascii="宋体" w:hAnsi="宋体" w:cs="宋体"/>
          <w:b/>
          <w:color w:val="auto"/>
          <w:highlight w:val="none"/>
        </w:rPr>
        <w:t>五、</w:t>
      </w:r>
      <w:bookmarkEnd w:id="181"/>
      <w:r>
        <w:rPr>
          <w:rFonts w:hint="eastAsia" w:ascii="宋体" w:hAnsi="宋体" w:cs="宋体"/>
          <w:b/>
          <w:color w:val="auto"/>
          <w:highlight w:val="none"/>
        </w:rPr>
        <w:t>项目经理</w:t>
      </w:r>
      <w:bookmarkEnd w:id="182"/>
      <w:bookmarkEnd w:id="183"/>
      <w:bookmarkEnd w:id="184"/>
      <w:bookmarkEnd w:id="185"/>
      <w:bookmarkEnd w:id="186"/>
    </w:p>
    <w:p w14:paraId="0AF4CAA9">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承包人项目经理：</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none"/>
          <w:lang w:eastAsia="zh-CN"/>
        </w:rPr>
        <w:t>；</w:t>
      </w:r>
      <w:r>
        <w:rPr>
          <w:rFonts w:hint="eastAsia" w:ascii="宋体" w:hAnsi="宋体" w:cs="宋体"/>
          <w:color w:val="auto"/>
          <w:szCs w:val="21"/>
          <w:highlight w:val="none"/>
          <w:u w:val="none"/>
          <w:lang w:val="en-US" w:eastAsia="zh-CN"/>
        </w:rPr>
        <w:t>联系方式：</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w:t>
      </w:r>
    </w:p>
    <w:p w14:paraId="6BAEE754">
      <w:pPr>
        <w:pStyle w:val="49"/>
        <w:keepNext w:val="0"/>
        <w:keepLines w:val="0"/>
        <w:pageBreakBefore w:val="0"/>
        <w:widowControl w:val="0"/>
        <w:wordWrap/>
        <w:topLinePunct w:val="0"/>
        <w:bidi w:val="0"/>
        <w:adjustRightInd w:val="0"/>
        <w:snapToGrid w:val="0"/>
        <w:spacing w:line="400" w:lineRule="exact"/>
        <w:ind w:firstLine="422"/>
        <w:outlineLvl w:val="2"/>
        <w:rPr>
          <w:rFonts w:ascii="宋体" w:hAnsi="宋体" w:cs="宋体"/>
          <w:b/>
          <w:color w:val="auto"/>
          <w:highlight w:val="none"/>
        </w:rPr>
      </w:pPr>
      <w:bookmarkStart w:id="187" w:name="_Toc28117"/>
      <w:bookmarkStart w:id="188" w:name="_Toc23735"/>
      <w:bookmarkStart w:id="189" w:name="_Toc522201564"/>
      <w:bookmarkStart w:id="190" w:name="_Toc406419158"/>
      <w:bookmarkStart w:id="191" w:name="_Toc406522033"/>
      <w:bookmarkStart w:id="192" w:name="_Toc351203486"/>
      <w:r>
        <w:rPr>
          <w:rFonts w:hint="eastAsia" w:ascii="宋体" w:hAnsi="宋体" w:cs="宋体"/>
          <w:b/>
          <w:color w:val="auto"/>
          <w:highlight w:val="none"/>
        </w:rPr>
        <w:t>六、合同文件构成</w:t>
      </w:r>
      <w:bookmarkEnd w:id="187"/>
      <w:bookmarkEnd w:id="188"/>
      <w:bookmarkEnd w:id="189"/>
      <w:bookmarkEnd w:id="190"/>
      <w:bookmarkEnd w:id="191"/>
      <w:bookmarkEnd w:id="192"/>
    </w:p>
    <w:p w14:paraId="442DB43F">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color w:val="auto"/>
          <w:szCs w:val="21"/>
          <w:highlight w:val="none"/>
        </w:rPr>
      </w:pPr>
      <w:bookmarkStart w:id="193" w:name="_Toc406419159"/>
      <w:bookmarkStart w:id="194" w:name="_Toc406522034"/>
      <w:bookmarkStart w:id="195" w:name="_Toc7021"/>
      <w:bookmarkStart w:id="196" w:name="_Toc351203487"/>
      <w:r>
        <w:rPr>
          <w:rFonts w:hint="eastAsia" w:ascii="宋体" w:hAnsi="宋体" w:cs="宋体"/>
          <w:color w:val="auto"/>
          <w:szCs w:val="21"/>
          <w:highlight w:val="none"/>
        </w:rPr>
        <w:t>本协议书与下列文件一起构成合同文件：</w:t>
      </w:r>
    </w:p>
    <w:p w14:paraId="58E589DD">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（1）中标通知书（如果有）；</w:t>
      </w:r>
    </w:p>
    <w:p w14:paraId="230FE644">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投标（响应）函</w:t>
      </w:r>
      <w:r>
        <w:rPr>
          <w:rFonts w:hint="eastAsia" w:ascii="宋体" w:hAnsi="宋体" w:cs="宋体"/>
          <w:color w:val="auto"/>
          <w:szCs w:val="21"/>
          <w:highlight w:val="none"/>
        </w:rPr>
        <w:t xml:space="preserve">及其附录（如果有）； </w:t>
      </w:r>
    </w:p>
    <w:p w14:paraId="1972EEC8">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（3）专用合同条款及其附件；</w:t>
      </w:r>
    </w:p>
    <w:p w14:paraId="46BF7D22">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（4）通用合同条款；</w:t>
      </w:r>
    </w:p>
    <w:p w14:paraId="56F2AC60">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（5）技术标准和要求；</w:t>
      </w:r>
    </w:p>
    <w:p w14:paraId="1DA1B9DC">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（6）图纸；</w:t>
      </w:r>
    </w:p>
    <w:p w14:paraId="0B12481F">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（7）已标价工程量清单或预算书；</w:t>
      </w:r>
    </w:p>
    <w:p w14:paraId="5E4A1C79">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（8）其他合同文件。</w:t>
      </w:r>
    </w:p>
    <w:p w14:paraId="720709F0">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在合同订立及履行过程中形成的与合同有关的文件均构成合同文件组成部分。</w:t>
      </w:r>
    </w:p>
    <w:p w14:paraId="1095D5AC">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上述各项合同文件包括合同当事人就该项合同文件所作出的补充和修改，属于同一类内容的文件，应以最新签署的为准。专用合同条款及其附件须经合同当事人签字或盖章。</w:t>
      </w:r>
    </w:p>
    <w:p w14:paraId="206A13FD">
      <w:pPr>
        <w:pStyle w:val="49"/>
        <w:keepNext w:val="0"/>
        <w:keepLines w:val="0"/>
        <w:pageBreakBefore w:val="0"/>
        <w:widowControl w:val="0"/>
        <w:wordWrap/>
        <w:topLinePunct w:val="0"/>
        <w:bidi w:val="0"/>
        <w:adjustRightInd w:val="0"/>
        <w:snapToGrid w:val="0"/>
        <w:spacing w:line="400" w:lineRule="exact"/>
        <w:ind w:firstLine="422"/>
        <w:outlineLvl w:val="2"/>
        <w:rPr>
          <w:rFonts w:ascii="宋体" w:hAnsi="宋体" w:cs="宋体"/>
          <w:b/>
          <w:color w:val="auto"/>
          <w:highlight w:val="none"/>
        </w:rPr>
      </w:pPr>
      <w:bookmarkStart w:id="197" w:name="_Toc23022"/>
      <w:bookmarkStart w:id="198" w:name="_Toc522201565"/>
      <w:r>
        <w:rPr>
          <w:rFonts w:hint="eastAsia" w:ascii="宋体" w:hAnsi="宋体" w:cs="宋体"/>
          <w:b/>
          <w:color w:val="auto"/>
          <w:highlight w:val="none"/>
        </w:rPr>
        <w:t>七、承诺</w:t>
      </w:r>
      <w:bookmarkEnd w:id="193"/>
      <w:bookmarkEnd w:id="194"/>
      <w:bookmarkEnd w:id="195"/>
      <w:bookmarkEnd w:id="196"/>
      <w:bookmarkEnd w:id="197"/>
      <w:bookmarkEnd w:id="198"/>
    </w:p>
    <w:p w14:paraId="78852701">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color w:val="auto"/>
          <w:szCs w:val="21"/>
          <w:highlight w:val="none"/>
        </w:rPr>
      </w:pPr>
      <w:bookmarkStart w:id="199" w:name="_Toc406419160"/>
      <w:bookmarkStart w:id="200" w:name="_Toc11962"/>
      <w:bookmarkStart w:id="201" w:name="_Toc406522035"/>
      <w:bookmarkStart w:id="202" w:name="_Toc351203488"/>
      <w:r>
        <w:rPr>
          <w:rFonts w:hint="eastAsia" w:ascii="宋体" w:hAnsi="宋体" w:cs="宋体"/>
          <w:color w:val="auto"/>
          <w:szCs w:val="21"/>
          <w:highlight w:val="none"/>
        </w:rPr>
        <w:t>1.发包人承诺按照法律规定履行项目审批手续、筹集工程建设资金并按照合同约定的期限和方式支付合同价款。</w:t>
      </w:r>
    </w:p>
    <w:p w14:paraId="7A8F8101">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2.承包人承诺按照法律规定及合同约定组织完成工程施工，确保工程质量和安全，不进行转包及违法分包，并在缺陷责任期及保修期内承担相应的工程维修责任。</w:t>
      </w:r>
    </w:p>
    <w:p w14:paraId="66AA17AB">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3.发包人和承包人通过招投标</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或政府采购</w:t>
      </w:r>
      <w:r>
        <w:rPr>
          <w:rFonts w:hint="eastAsia" w:ascii="宋体" w:hAnsi="宋体" w:cs="宋体"/>
          <w:color w:val="auto"/>
          <w:szCs w:val="21"/>
          <w:highlight w:val="none"/>
          <w:lang w:eastAsia="zh-CN"/>
        </w:rPr>
        <w:t>）</w:t>
      </w:r>
      <w:r>
        <w:rPr>
          <w:rFonts w:hint="eastAsia" w:ascii="宋体" w:hAnsi="宋体" w:cs="宋体"/>
          <w:color w:val="auto"/>
          <w:szCs w:val="21"/>
          <w:highlight w:val="none"/>
        </w:rPr>
        <w:t>形式签订合同的，双方理解并承诺不再就同一工程另行签订与合同实质性内容相背离的协议。</w:t>
      </w:r>
    </w:p>
    <w:p w14:paraId="6771DA3B">
      <w:pPr>
        <w:pStyle w:val="49"/>
        <w:keepNext w:val="0"/>
        <w:keepLines w:val="0"/>
        <w:pageBreakBefore w:val="0"/>
        <w:widowControl w:val="0"/>
        <w:wordWrap/>
        <w:topLinePunct w:val="0"/>
        <w:bidi w:val="0"/>
        <w:adjustRightInd w:val="0"/>
        <w:snapToGrid w:val="0"/>
        <w:spacing w:line="400" w:lineRule="exact"/>
        <w:ind w:firstLine="422"/>
        <w:outlineLvl w:val="2"/>
        <w:rPr>
          <w:rFonts w:ascii="宋体" w:hAnsi="宋体" w:cs="宋体"/>
          <w:b/>
          <w:color w:val="auto"/>
          <w:highlight w:val="none"/>
        </w:rPr>
      </w:pPr>
      <w:bookmarkStart w:id="203" w:name="_Toc522201566"/>
      <w:bookmarkStart w:id="204" w:name="_Toc9465"/>
      <w:r>
        <w:rPr>
          <w:rFonts w:hint="eastAsia" w:ascii="宋体" w:hAnsi="宋体" w:cs="宋体"/>
          <w:b/>
          <w:color w:val="auto"/>
          <w:highlight w:val="none"/>
        </w:rPr>
        <w:t>八、词语含义</w:t>
      </w:r>
      <w:bookmarkEnd w:id="199"/>
      <w:bookmarkEnd w:id="200"/>
      <w:bookmarkEnd w:id="201"/>
      <w:bookmarkEnd w:id="202"/>
      <w:bookmarkEnd w:id="203"/>
      <w:bookmarkEnd w:id="204"/>
    </w:p>
    <w:p w14:paraId="27A6E6B5">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本协议书中词语含义与第二部分通用合同条款中赋予的含义相同。</w:t>
      </w:r>
    </w:p>
    <w:p w14:paraId="7B788569">
      <w:pPr>
        <w:pStyle w:val="49"/>
        <w:keepNext w:val="0"/>
        <w:keepLines w:val="0"/>
        <w:pageBreakBefore w:val="0"/>
        <w:widowControl w:val="0"/>
        <w:wordWrap/>
        <w:topLinePunct w:val="0"/>
        <w:bidi w:val="0"/>
        <w:adjustRightInd w:val="0"/>
        <w:snapToGrid w:val="0"/>
        <w:spacing w:line="400" w:lineRule="exact"/>
        <w:ind w:firstLine="422"/>
        <w:outlineLvl w:val="2"/>
        <w:rPr>
          <w:rFonts w:ascii="宋体" w:hAnsi="宋体" w:cs="宋体"/>
          <w:b/>
          <w:color w:val="auto"/>
          <w:highlight w:val="none"/>
        </w:rPr>
      </w:pPr>
      <w:bookmarkStart w:id="205" w:name="_Toc351203489"/>
      <w:bookmarkStart w:id="206" w:name="_Toc522201567"/>
      <w:bookmarkStart w:id="207" w:name="_Toc22011"/>
      <w:bookmarkStart w:id="208" w:name="_Toc406522036"/>
      <w:bookmarkStart w:id="209" w:name="_Toc406419161"/>
      <w:bookmarkStart w:id="210" w:name="_Toc2053"/>
      <w:r>
        <w:rPr>
          <w:rFonts w:hint="eastAsia" w:ascii="宋体" w:hAnsi="宋体" w:cs="宋体"/>
          <w:b/>
          <w:color w:val="auto"/>
          <w:highlight w:val="none"/>
        </w:rPr>
        <w:t>九、签订时间</w:t>
      </w:r>
      <w:bookmarkEnd w:id="205"/>
      <w:bookmarkEnd w:id="206"/>
      <w:bookmarkEnd w:id="207"/>
      <w:bookmarkEnd w:id="208"/>
      <w:bookmarkEnd w:id="209"/>
      <w:bookmarkEnd w:id="210"/>
    </w:p>
    <w:p w14:paraId="5200569D">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本合同于</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年</w:t>
      </w:r>
      <w:r>
        <w:rPr>
          <w:rFonts w:hint="eastAsia" w:ascii="宋体" w:hAnsi="宋体" w:cs="宋体"/>
          <w:bCs/>
          <w:color w:val="auto"/>
          <w:szCs w:val="21"/>
          <w:highlight w:val="none"/>
          <w:u w:val="single"/>
          <w:lang w:val="en-US" w:eastAsia="zh-CN"/>
        </w:rPr>
        <w:t xml:space="preserve"> </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月</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日签订。</w:t>
      </w:r>
    </w:p>
    <w:p w14:paraId="3D13BB12">
      <w:pPr>
        <w:pStyle w:val="49"/>
        <w:keepNext w:val="0"/>
        <w:keepLines w:val="0"/>
        <w:pageBreakBefore w:val="0"/>
        <w:widowControl w:val="0"/>
        <w:wordWrap/>
        <w:topLinePunct w:val="0"/>
        <w:bidi w:val="0"/>
        <w:adjustRightInd w:val="0"/>
        <w:snapToGrid w:val="0"/>
        <w:spacing w:line="400" w:lineRule="exact"/>
        <w:ind w:firstLine="422"/>
        <w:outlineLvl w:val="2"/>
        <w:rPr>
          <w:rFonts w:ascii="宋体" w:hAnsi="宋体" w:cs="宋体"/>
          <w:b/>
          <w:color w:val="auto"/>
          <w:highlight w:val="none"/>
        </w:rPr>
      </w:pPr>
      <w:bookmarkStart w:id="211" w:name="_Toc351203490"/>
      <w:bookmarkStart w:id="212" w:name="_Toc3692"/>
      <w:bookmarkStart w:id="213" w:name="_Toc406522037"/>
      <w:bookmarkStart w:id="214" w:name="_Toc406419162"/>
      <w:bookmarkStart w:id="215" w:name="_Toc31694"/>
      <w:bookmarkStart w:id="216" w:name="_Toc522201568"/>
      <w:r>
        <w:rPr>
          <w:rFonts w:hint="eastAsia" w:ascii="宋体" w:hAnsi="宋体" w:cs="宋体"/>
          <w:b/>
          <w:color w:val="auto"/>
          <w:highlight w:val="none"/>
        </w:rPr>
        <w:t>十、签订地点</w:t>
      </w:r>
      <w:bookmarkEnd w:id="211"/>
      <w:bookmarkEnd w:id="212"/>
      <w:bookmarkEnd w:id="213"/>
      <w:bookmarkEnd w:id="214"/>
      <w:bookmarkEnd w:id="215"/>
      <w:bookmarkEnd w:id="216"/>
    </w:p>
    <w:p w14:paraId="3F075480">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本合同在</w:t>
      </w:r>
      <w:r>
        <w:rPr>
          <w:rFonts w:hint="eastAsia" w:ascii="宋体" w:hAnsi="宋体" w:cs="宋体"/>
          <w:bCs/>
          <w:color w:val="auto"/>
          <w:szCs w:val="21"/>
          <w:highlight w:val="none"/>
          <w:u w:val="single"/>
        </w:rPr>
        <w:t xml:space="preserve">  广西桂林市</w:t>
      </w:r>
      <w:r>
        <w:rPr>
          <w:rFonts w:hint="eastAsia" w:ascii="宋体" w:hAnsi="宋体" w:cs="宋体"/>
          <w:bCs/>
          <w:color w:val="auto"/>
          <w:szCs w:val="21"/>
          <w:highlight w:val="none"/>
          <w:u w:val="single"/>
          <w:lang w:val="en-US" w:eastAsia="zh-CN"/>
        </w:rPr>
        <w:t>灌阳县</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签订。</w:t>
      </w:r>
    </w:p>
    <w:p w14:paraId="42BB7168">
      <w:pPr>
        <w:pStyle w:val="49"/>
        <w:keepNext w:val="0"/>
        <w:keepLines w:val="0"/>
        <w:pageBreakBefore w:val="0"/>
        <w:widowControl w:val="0"/>
        <w:wordWrap/>
        <w:topLinePunct w:val="0"/>
        <w:bidi w:val="0"/>
        <w:adjustRightInd w:val="0"/>
        <w:snapToGrid w:val="0"/>
        <w:spacing w:line="400" w:lineRule="exact"/>
        <w:ind w:firstLine="422"/>
        <w:outlineLvl w:val="2"/>
        <w:rPr>
          <w:rFonts w:ascii="宋体" w:hAnsi="宋体" w:cs="宋体"/>
          <w:b/>
          <w:color w:val="auto"/>
          <w:highlight w:val="none"/>
        </w:rPr>
      </w:pPr>
      <w:bookmarkStart w:id="217" w:name="_Toc406522038"/>
      <w:bookmarkStart w:id="218" w:name="_Toc351203491"/>
      <w:bookmarkStart w:id="219" w:name="_Toc9576"/>
      <w:bookmarkStart w:id="220" w:name="_Toc522201569"/>
      <w:bookmarkStart w:id="221" w:name="_Toc406419163"/>
      <w:bookmarkStart w:id="222" w:name="_Toc19804"/>
      <w:r>
        <w:rPr>
          <w:rFonts w:hint="eastAsia" w:ascii="宋体" w:hAnsi="宋体" w:eastAsia="宋体" w:cs="宋体"/>
          <w:b/>
          <w:color w:val="auto"/>
          <w:highlight w:val="none"/>
        </w:rPr>
        <w:t>十一</w:t>
      </w:r>
      <w:r>
        <w:rPr>
          <w:rFonts w:hint="eastAsia" w:ascii="宋体" w:hAnsi="宋体" w:cs="宋体"/>
          <w:b/>
          <w:color w:val="auto"/>
          <w:highlight w:val="none"/>
        </w:rPr>
        <w:t>、补充协议</w:t>
      </w:r>
      <w:bookmarkEnd w:id="217"/>
      <w:bookmarkEnd w:id="218"/>
      <w:bookmarkEnd w:id="219"/>
      <w:bookmarkEnd w:id="220"/>
      <w:bookmarkEnd w:id="221"/>
      <w:bookmarkEnd w:id="222"/>
    </w:p>
    <w:p w14:paraId="54FF8A8B">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合同未尽事宜，合同当事人另行签订补充协议，补充协议是合同的组成部分。</w:t>
      </w:r>
    </w:p>
    <w:p w14:paraId="128F1E24">
      <w:pPr>
        <w:pStyle w:val="49"/>
        <w:keepNext w:val="0"/>
        <w:keepLines w:val="0"/>
        <w:pageBreakBefore w:val="0"/>
        <w:widowControl w:val="0"/>
        <w:wordWrap/>
        <w:topLinePunct w:val="0"/>
        <w:bidi w:val="0"/>
        <w:adjustRightInd w:val="0"/>
        <w:snapToGrid w:val="0"/>
        <w:spacing w:line="400" w:lineRule="exact"/>
        <w:ind w:firstLine="422"/>
        <w:outlineLvl w:val="2"/>
        <w:rPr>
          <w:rFonts w:ascii="宋体" w:hAnsi="宋体" w:cs="宋体"/>
          <w:b/>
          <w:color w:val="auto"/>
          <w:highlight w:val="none"/>
        </w:rPr>
      </w:pPr>
      <w:bookmarkStart w:id="223" w:name="_Toc406522039"/>
      <w:bookmarkStart w:id="224" w:name="_Toc351203492"/>
      <w:bookmarkStart w:id="225" w:name="_Toc522201570"/>
      <w:bookmarkStart w:id="226" w:name="_Toc406419164"/>
      <w:bookmarkStart w:id="227" w:name="_Toc1768"/>
      <w:bookmarkStart w:id="228" w:name="_Toc32443"/>
      <w:r>
        <w:rPr>
          <w:rFonts w:hint="eastAsia" w:ascii="宋体" w:hAnsi="宋体" w:cs="宋体"/>
          <w:b/>
          <w:color w:val="auto"/>
          <w:highlight w:val="none"/>
        </w:rPr>
        <w:t>十二、合同生效</w:t>
      </w:r>
      <w:bookmarkEnd w:id="223"/>
      <w:bookmarkEnd w:id="224"/>
      <w:bookmarkEnd w:id="225"/>
      <w:bookmarkEnd w:id="226"/>
      <w:bookmarkEnd w:id="227"/>
      <w:bookmarkEnd w:id="228"/>
    </w:p>
    <w:p w14:paraId="55A56759">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本合同自</w:t>
      </w:r>
      <w:r>
        <w:rPr>
          <w:rFonts w:hint="eastAsia" w:ascii="宋体" w:hAnsi="宋体" w:cs="宋体"/>
          <w:bCs/>
          <w:color w:val="auto"/>
          <w:szCs w:val="21"/>
          <w:highlight w:val="none"/>
          <w:u w:val="single"/>
        </w:rPr>
        <w:t xml:space="preserve">  </w:t>
      </w:r>
      <w:r>
        <w:rPr>
          <w:rFonts w:hint="eastAsia" w:ascii="宋体" w:hAnsi="宋体" w:cs="宋体"/>
          <w:color w:val="auto"/>
          <w:szCs w:val="21"/>
          <w:highlight w:val="none"/>
          <w:u w:val="single"/>
        </w:rPr>
        <w:t>双方法定代表人或其委托代理人签字或盖章并加盖单位</w:t>
      </w:r>
      <w:r>
        <w:rPr>
          <w:rFonts w:hint="eastAsia" w:ascii="宋体" w:hAnsi="宋体" w:cs="宋体"/>
          <w:color w:val="auto"/>
          <w:szCs w:val="21"/>
          <w:highlight w:val="none"/>
          <w:u w:val="single"/>
          <w:lang w:eastAsia="zh-CN"/>
        </w:rPr>
        <w:t>公</w:t>
      </w:r>
      <w:r>
        <w:rPr>
          <w:rFonts w:hint="eastAsia" w:ascii="宋体" w:hAnsi="宋体" w:cs="宋体"/>
          <w:color w:val="auto"/>
          <w:szCs w:val="21"/>
          <w:highlight w:val="none"/>
          <w:u w:val="single"/>
        </w:rPr>
        <w:t>章后</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生效。</w:t>
      </w:r>
    </w:p>
    <w:p w14:paraId="6E515FF4">
      <w:pPr>
        <w:pStyle w:val="49"/>
        <w:keepNext w:val="0"/>
        <w:keepLines w:val="0"/>
        <w:pageBreakBefore w:val="0"/>
        <w:widowControl w:val="0"/>
        <w:wordWrap/>
        <w:topLinePunct w:val="0"/>
        <w:bidi w:val="0"/>
        <w:adjustRightInd w:val="0"/>
        <w:snapToGrid w:val="0"/>
        <w:spacing w:line="400" w:lineRule="exact"/>
        <w:ind w:firstLine="422"/>
        <w:outlineLvl w:val="2"/>
        <w:rPr>
          <w:rFonts w:ascii="宋体" w:hAnsi="宋体" w:cs="宋体"/>
          <w:b/>
          <w:color w:val="auto"/>
          <w:highlight w:val="none"/>
        </w:rPr>
      </w:pPr>
      <w:bookmarkStart w:id="229" w:name="_Toc351203493"/>
      <w:bookmarkStart w:id="230" w:name="_Toc522201571"/>
      <w:bookmarkStart w:id="231" w:name="_Toc28880"/>
      <w:bookmarkStart w:id="232" w:name="_Toc406522040"/>
      <w:bookmarkStart w:id="233" w:name="_Toc406419165"/>
      <w:bookmarkStart w:id="234" w:name="_Toc14945"/>
      <w:r>
        <w:rPr>
          <w:rFonts w:hint="eastAsia" w:ascii="宋体" w:hAnsi="宋体" w:eastAsia="宋体" w:cs="宋体"/>
          <w:b/>
          <w:color w:val="auto"/>
          <w:highlight w:val="none"/>
        </w:rPr>
        <w:t>十三</w:t>
      </w:r>
      <w:r>
        <w:rPr>
          <w:rFonts w:hint="eastAsia" w:ascii="宋体" w:hAnsi="宋体" w:cs="宋体"/>
          <w:b/>
          <w:color w:val="auto"/>
          <w:highlight w:val="none"/>
        </w:rPr>
        <w:t>、合同份数</w:t>
      </w:r>
      <w:bookmarkEnd w:id="229"/>
      <w:bookmarkEnd w:id="230"/>
      <w:bookmarkEnd w:id="231"/>
      <w:bookmarkEnd w:id="232"/>
      <w:bookmarkEnd w:id="233"/>
      <w:bookmarkEnd w:id="234"/>
    </w:p>
    <w:p w14:paraId="33EC4B61">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本合同一式</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u w:val="single"/>
          <w:lang w:val="en-US" w:eastAsia="zh-CN"/>
        </w:rPr>
        <w:t xml:space="preserve"> </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份，均具有同等法律效力，发包人执</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u w:val="single"/>
          <w:lang w:val="en-US" w:eastAsia="zh-CN"/>
        </w:rPr>
        <w:t xml:space="preserve"> </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份，承包人执</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u w:val="single"/>
          <w:lang w:val="en-US" w:eastAsia="zh-CN"/>
        </w:rPr>
        <w:t xml:space="preserve"> </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份，招标代理机构执</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u w:val="single"/>
          <w:lang w:val="en-US" w:eastAsia="zh-CN"/>
        </w:rPr>
        <w:t>壹</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份。</w:t>
      </w:r>
    </w:p>
    <w:p w14:paraId="2F9B17AC">
      <w:pPr>
        <w:pStyle w:val="48"/>
        <w:keepNext w:val="0"/>
        <w:keepLines w:val="0"/>
        <w:pageBreakBefore w:val="0"/>
        <w:widowControl w:val="0"/>
        <w:wordWrap/>
        <w:topLinePunct w:val="0"/>
        <w:bidi w:val="0"/>
        <w:adjustRightInd w:val="0"/>
        <w:snapToGrid w:val="0"/>
        <w:spacing w:line="400" w:lineRule="exact"/>
        <w:ind w:firstLine="420" w:firstLineChars="200"/>
        <w:rPr>
          <w:rFonts w:ascii="宋体" w:hAnsi="宋体" w:cs="宋体"/>
          <w:bCs/>
          <w:color w:val="auto"/>
          <w:szCs w:val="21"/>
          <w:highlight w:val="none"/>
        </w:rPr>
      </w:pPr>
    </w:p>
    <w:tbl>
      <w:tblPr>
        <w:tblStyle w:val="28"/>
        <w:tblW w:w="8900" w:type="dxa"/>
        <w:tblInd w:w="46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03"/>
        <w:gridCol w:w="4597"/>
      </w:tblGrid>
      <w:tr w14:paraId="2BDE2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67018445">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发包人：（公章）</w:t>
            </w:r>
          </w:p>
          <w:p w14:paraId="0AF120DE">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 </w:t>
            </w:r>
          </w:p>
        </w:tc>
        <w:tc>
          <w:tcPr>
            <w:tcW w:w="4597" w:type="dxa"/>
            <w:noWrap w:val="0"/>
            <w:vAlign w:val="top"/>
          </w:tcPr>
          <w:p w14:paraId="601C73A3">
            <w:pPr>
              <w:keepNext w:val="0"/>
              <w:keepLines w:val="0"/>
              <w:pageBreakBefore w:val="0"/>
              <w:widowControl w:val="0"/>
              <w:wordWrap/>
              <w:topLinePunct w:val="0"/>
              <w:bidi w:val="0"/>
              <w:spacing w:line="360" w:lineRule="auto"/>
              <w:rPr>
                <w:rFonts w:hint="eastAsia"/>
                <w:color w:val="auto"/>
                <w:highlight w:val="none"/>
                <w:lang w:val="en-US" w:eastAsia="zh-CN"/>
              </w:rPr>
            </w:pPr>
            <w:r>
              <w:rPr>
                <w:rFonts w:hint="eastAsia"/>
                <w:color w:val="auto"/>
                <w:highlight w:val="none"/>
                <w:lang w:val="en-US" w:eastAsia="zh-CN"/>
              </w:rPr>
              <w:t>承包人：（公章）</w:t>
            </w:r>
          </w:p>
          <w:p w14:paraId="1587D2B5">
            <w:pPr>
              <w:pStyle w:val="9"/>
              <w:keepNext w:val="0"/>
              <w:keepLines w:val="0"/>
              <w:pageBreakBefore w:val="0"/>
              <w:widowControl w:val="0"/>
              <w:wordWrap/>
              <w:topLinePunct w:val="0"/>
              <w:bidi w:val="0"/>
              <w:rPr>
                <w:rFonts w:hint="eastAsia"/>
                <w:color w:val="auto"/>
                <w:highlight w:val="none"/>
                <w:lang w:val="en-US" w:eastAsia="zh-CN"/>
              </w:rPr>
            </w:pPr>
          </w:p>
        </w:tc>
      </w:tr>
      <w:tr w14:paraId="315C2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3544C44E">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rPr>
            </w:pPr>
          </w:p>
        </w:tc>
        <w:tc>
          <w:tcPr>
            <w:tcW w:w="4597" w:type="dxa"/>
            <w:noWrap w:val="0"/>
            <w:vAlign w:val="top"/>
          </w:tcPr>
          <w:p w14:paraId="6A1D639E">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 </w:t>
            </w:r>
          </w:p>
        </w:tc>
      </w:tr>
      <w:tr w14:paraId="46195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48A90BBA">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法定代表人</w:t>
            </w:r>
            <w:r>
              <w:rPr>
                <w:rFonts w:hint="eastAsia" w:hAnsi="宋体" w:cs="宋体"/>
                <w:color w:val="auto"/>
                <w:szCs w:val="21"/>
                <w:highlight w:val="none"/>
              </w:rPr>
              <w:t>或其委托代理人</w:t>
            </w:r>
            <w:r>
              <w:rPr>
                <w:rFonts w:hint="eastAsia" w:ascii="宋体" w:hAnsi="宋体" w:eastAsia="宋体" w:cs="宋体"/>
                <w:color w:val="auto"/>
                <w:kern w:val="0"/>
                <w:sz w:val="21"/>
                <w:szCs w:val="21"/>
                <w:highlight w:val="none"/>
                <w:u w:val="none"/>
                <w:lang w:val="en-US" w:eastAsia="zh-CN"/>
              </w:rPr>
              <w:t>：</w:t>
            </w:r>
          </w:p>
          <w:p w14:paraId="7AE6A054">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（签字或盖章）</w:t>
            </w:r>
          </w:p>
        </w:tc>
        <w:tc>
          <w:tcPr>
            <w:tcW w:w="4597" w:type="dxa"/>
            <w:noWrap w:val="0"/>
            <w:vAlign w:val="top"/>
          </w:tcPr>
          <w:p w14:paraId="5D880CA6">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法定代表人</w:t>
            </w:r>
            <w:r>
              <w:rPr>
                <w:rFonts w:hint="eastAsia" w:hAnsi="宋体" w:cs="宋体"/>
                <w:color w:val="auto"/>
                <w:szCs w:val="21"/>
                <w:highlight w:val="none"/>
              </w:rPr>
              <w:t>或其委托代理人</w:t>
            </w:r>
            <w:r>
              <w:rPr>
                <w:rFonts w:hint="eastAsia" w:ascii="宋体" w:hAnsi="宋体" w:eastAsia="宋体" w:cs="宋体"/>
                <w:color w:val="auto"/>
                <w:kern w:val="0"/>
                <w:sz w:val="21"/>
                <w:szCs w:val="21"/>
                <w:highlight w:val="none"/>
                <w:u w:val="none"/>
                <w:lang w:val="en-US" w:eastAsia="zh-CN"/>
              </w:rPr>
              <w:t>：</w:t>
            </w:r>
          </w:p>
          <w:p w14:paraId="302EFC43">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（签字或盖章）</w:t>
            </w:r>
          </w:p>
        </w:tc>
      </w:tr>
      <w:tr w14:paraId="32942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303" w:type="dxa"/>
            <w:noWrap w:val="0"/>
            <w:vAlign w:val="top"/>
          </w:tcPr>
          <w:p w14:paraId="26B74CD9">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统一社会信用代码：</w:t>
            </w:r>
          </w:p>
        </w:tc>
        <w:tc>
          <w:tcPr>
            <w:tcW w:w="4597" w:type="dxa"/>
            <w:noWrap w:val="0"/>
            <w:vAlign w:val="top"/>
          </w:tcPr>
          <w:p w14:paraId="2B862D2B">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统一社会信用代码： </w:t>
            </w:r>
          </w:p>
        </w:tc>
      </w:tr>
      <w:tr w14:paraId="3D41E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5CE505F3">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地址：</w:t>
            </w:r>
          </w:p>
        </w:tc>
        <w:tc>
          <w:tcPr>
            <w:tcW w:w="4597" w:type="dxa"/>
            <w:noWrap w:val="0"/>
            <w:vAlign w:val="top"/>
          </w:tcPr>
          <w:p w14:paraId="245B906E">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地址：</w:t>
            </w:r>
            <w:r>
              <w:rPr>
                <w:rFonts w:hint="eastAsia" w:ascii="宋体" w:hAnsi="宋体" w:eastAsia="宋体" w:cs="宋体"/>
                <w:color w:val="auto"/>
                <w:sz w:val="21"/>
                <w:szCs w:val="21"/>
                <w:highlight w:val="none"/>
                <w:u w:val="none"/>
                <w:lang w:val="en-US" w:eastAsia="zh-CN"/>
              </w:rPr>
              <w:t xml:space="preserve"> </w:t>
            </w:r>
          </w:p>
        </w:tc>
      </w:tr>
      <w:tr w14:paraId="549C6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69CEDC33">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邮政编码：</w:t>
            </w:r>
          </w:p>
        </w:tc>
        <w:tc>
          <w:tcPr>
            <w:tcW w:w="4597" w:type="dxa"/>
            <w:noWrap w:val="0"/>
            <w:vAlign w:val="top"/>
          </w:tcPr>
          <w:p w14:paraId="772FCBEA">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邮政编码： </w:t>
            </w:r>
          </w:p>
        </w:tc>
      </w:tr>
      <w:tr w14:paraId="3153F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4641E8E2">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联系人：</w:t>
            </w:r>
          </w:p>
        </w:tc>
        <w:tc>
          <w:tcPr>
            <w:tcW w:w="4597" w:type="dxa"/>
            <w:noWrap w:val="0"/>
            <w:vAlign w:val="top"/>
          </w:tcPr>
          <w:p w14:paraId="3B2B556E">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联系人：</w:t>
            </w:r>
          </w:p>
        </w:tc>
      </w:tr>
      <w:tr w14:paraId="313FE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2738B30D">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电话：</w:t>
            </w:r>
          </w:p>
        </w:tc>
        <w:tc>
          <w:tcPr>
            <w:tcW w:w="4597" w:type="dxa"/>
            <w:noWrap w:val="0"/>
            <w:vAlign w:val="top"/>
          </w:tcPr>
          <w:p w14:paraId="261CD0C9">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电话： </w:t>
            </w:r>
          </w:p>
        </w:tc>
      </w:tr>
      <w:tr w14:paraId="43EB4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4D3D5F0A">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传真：</w:t>
            </w:r>
          </w:p>
        </w:tc>
        <w:tc>
          <w:tcPr>
            <w:tcW w:w="4597" w:type="dxa"/>
            <w:noWrap w:val="0"/>
            <w:vAlign w:val="top"/>
          </w:tcPr>
          <w:p w14:paraId="31525421">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传真： </w:t>
            </w:r>
          </w:p>
        </w:tc>
      </w:tr>
      <w:tr w14:paraId="3FDF4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3830165C">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电子信箱：</w:t>
            </w:r>
          </w:p>
        </w:tc>
        <w:tc>
          <w:tcPr>
            <w:tcW w:w="4597" w:type="dxa"/>
            <w:noWrap w:val="0"/>
            <w:vAlign w:val="top"/>
          </w:tcPr>
          <w:p w14:paraId="38A702C3">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电子信箱： </w:t>
            </w:r>
          </w:p>
        </w:tc>
      </w:tr>
      <w:tr w14:paraId="4A134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3EE2CBB0">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开户银行：</w:t>
            </w:r>
          </w:p>
        </w:tc>
        <w:tc>
          <w:tcPr>
            <w:tcW w:w="4597" w:type="dxa"/>
            <w:noWrap w:val="0"/>
            <w:vAlign w:val="top"/>
          </w:tcPr>
          <w:p w14:paraId="1E4F4FF1">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 xml:space="preserve">开户银行： </w:t>
            </w:r>
          </w:p>
        </w:tc>
      </w:tr>
      <w:tr w14:paraId="1ABCB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6F76D709">
            <w:pPr>
              <w:keepNext w:val="0"/>
              <w:keepLines w:val="0"/>
              <w:pageBreakBefore w:val="0"/>
              <w:widowControl w:val="0"/>
              <w:wordWrap/>
              <w:topLinePunct w:val="0"/>
              <w:bidi w:val="0"/>
              <w:spacing w:line="360" w:lineRule="auto"/>
              <w:rPr>
                <w:rFonts w:hint="default"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开户名称：</w:t>
            </w:r>
          </w:p>
        </w:tc>
        <w:tc>
          <w:tcPr>
            <w:tcW w:w="4597" w:type="dxa"/>
            <w:noWrap w:val="0"/>
            <w:vAlign w:val="top"/>
          </w:tcPr>
          <w:p w14:paraId="149F253D">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开户名称：</w:t>
            </w:r>
          </w:p>
        </w:tc>
      </w:tr>
      <w:tr w14:paraId="02908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03" w:type="dxa"/>
            <w:noWrap w:val="0"/>
            <w:vAlign w:val="top"/>
          </w:tcPr>
          <w:p w14:paraId="6FC75115">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bidi="ar-SA"/>
              </w:rPr>
            </w:pPr>
            <w:r>
              <w:rPr>
                <w:rFonts w:hint="eastAsia" w:ascii="宋体" w:hAnsi="宋体" w:eastAsia="宋体" w:cs="宋体"/>
                <w:color w:val="auto"/>
                <w:kern w:val="0"/>
                <w:sz w:val="21"/>
                <w:szCs w:val="21"/>
                <w:highlight w:val="none"/>
                <w:u w:val="none"/>
                <w:lang w:val="en-US" w:eastAsia="zh-CN"/>
              </w:rPr>
              <w:t>账号：</w:t>
            </w:r>
          </w:p>
        </w:tc>
        <w:tc>
          <w:tcPr>
            <w:tcW w:w="4597" w:type="dxa"/>
            <w:noWrap w:val="0"/>
            <w:vAlign w:val="top"/>
          </w:tcPr>
          <w:p w14:paraId="317D1898">
            <w:pPr>
              <w:keepNext w:val="0"/>
              <w:keepLines w:val="0"/>
              <w:pageBreakBefore w:val="0"/>
              <w:widowControl w:val="0"/>
              <w:wordWrap/>
              <w:topLinePunct w:val="0"/>
              <w:bidi w:val="0"/>
              <w:spacing w:line="360" w:lineRule="auto"/>
              <w:rPr>
                <w:rFonts w:hint="eastAsia" w:ascii="宋体" w:hAnsi="宋体" w:eastAsia="宋体" w:cs="宋体"/>
                <w:color w:val="auto"/>
                <w:kern w:val="0"/>
                <w:sz w:val="21"/>
                <w:szCs w:val="21"/>
                <w:highlight w:val="none"/>
                <w:u w:val="none"/>
                <w:lang w:val="en-US" w:eastAsia="zh-CN" w:bidi="ar-SA"/>
              </w:rPr>
            </w:pPr>
            <w:r>
              <w:rPr>
                <w:rFonts w:hint="eastAsia" w:ascii="宋体" w:hAnsi="宋体" w:eastAsia="宋体" w:cs="宋体"/>
                <w:color w:val="auto"/>
                <w:kern w:val="0"/>
                <w:sz w:val="21"/>
                <w:szCs w:val="21"/>
                <w:highlight w:val="none"/>
                <w:u w:val="none"/>
                <w:lang w:val="en-US" w:eastAsia="zh-CN"/>
              </w:rPr>
              <w:t xml:space="preserve">账号： </w:t>
            </w:r>
          </w:p>
        </w:tc>
      </w:tr>
    </w:tbl>
    <w:p w14:paraId="68665A5C">
      <w:pPr>
        <w:pStyle w:val="48"/>
        <w:keepNext w:val="0"/>
        <w:keepLines w:val="0"/>
        <w:pageBreakBefore w:val="0"/>
        <w:widowControl w:val="0"/>
        <w:wordWrap/>
        <w:topLinePunct w:val="0"/>
        <w:bidi w:val="0"/>
        <w:adjustRightInd w:val="0"/>
        <w:snapToGrid w:val="0"/>
        <w:spacing w:line="400" w:lineRule="exact"/>
        <w:jc w:val="center"/>
        <w:rPr>
          <w:rFonts w:ascii="宋体" w:hAnsi="宋体" w:cs="宋体"/>
          <w:b/>
          <w:bCs/>
          <w:color w:val="auto"/>
          <w:szCs w:val="21"/>
          <w:highlight w:val="none"/>
        </w:rPr>
      </w:pPr>
    </w:p>
    <w:p w14:paraId="2EEF7EEA">
      <w:pPr>
        <w:pStyle w:val="46"/>
        <w:keepNext w:val="0"/>
        <w:keepLines w:val="0"/>
        <w:pageBreakBefore w:val="0"/>
        <w:widowControl w:val="0"/>
        <w:wordWrap/>
        <w:topLinePunct w:val="0"/>
        <w:bidi w:val="0"/>
        <w:jc w:val="center"/>
        <w:outlineLvl w:val="1"/>
        <w:rPr>
          <w:rFonts w:eastAsia="黑体"/>
          <w:b w:val="0"/>
          <w:bCs w:val="0"/>
          <w:color w:val="auto"/>
          <w:sz w:val="32"/>
          <w:szCs w:val="32"/>
          <w:highlight w:val="none"/>
        </w:rPr>
      </w:pPr>
      <w:r>
        <w:rPr>
          <w:b w:val="0"/>
          <w:bCs w:val="0"/>
          <w:color w:val="auto"/>
          <w:highlight w:val="none"/>
        </w:rPr>
        <w:br w:type="page"/>
      </w:r>
      <w:bookmarkStart w:id="235" w:name="_Toc2370"/>
      <w:bookmarkStart w:id="236" w:name="_Toc522201572"/>
      <w:bookmarkStart w:id="237" w:name="_Toc351203494"/>
      <w:bookmarkStart w:id="238" w:name="_Toc6868"/>
      <w:bookmarkStart w:id="239" w:name="_Toc19427"/>
      <w:bookmarkStart w:id="240" w:name="_Toc256000032"/>
      <w:r>
        <w:rPr>
          <w:rFonts w:ascii="宋体"/>
          <w:color w:val="auto"/>
          <w:sz w:val="32"/>
          <w:highlight w:val="none"/>
        </w:rPr>
        <w:t>第二部分 通用合同条款</w:t>
      </w:r>
      <w:bookmarkEnd w:id="235"/>
      <w:bookmarkEnd w:id="236"/>
      <w:bookmarkEnd w:id="237"/>
      <w:bookmarkEnd w:id="238"/>
      <w:bookmarkEnd w:id="239"/>
      <w:bookmarkEnd w:id="240"/>
      <w:bookmarkStart w:id="241" w:name="_Toc337558727"/>
    </w:p>
    <w:bookmarkEnd w:id="241"/>
    <w:p w14:paraId="5936C3FD">
      <w:pPr>
        <w:keepNext w:val="0"/>
        <w:keepLines w:val="0"/>
        <w:pageBreakBefore w:val="0"/>
        <w:widowControl w:val="0"/>
        <w:kinsoku/>
        <w:wordWrap/>
        <w:overflowPunct/>
        <w:topLinePunct w:val="0"/>
        <w:bidi w:val="0"/>
        <w:snapToGrid/>
        <w:spacing w:line="360" w:lineRule="exact"/>
        <w:ind w:left="0" w:leftChars="0" w:right="0" w:rightChars="0"/>
        <w:jc w:val="center"/>
        <w:outlineLvl w:val="9"/>
        <w:rPr>
          <w:rFonts w:hint="eastAsia" w:ascii="宋体" w:hAnsi="宋体" w:eastAsia="宋体" w:cs="宋体"/>
          <w:b w:val="0"/>
          <w:bCs w:val="0"/>
          <w:color w:val="auto"/>
          <w:sz w:val="28"/>
          <w:szCs w:val="28"/>
          <w:highlight w:val="none"/>
        </w:rPr>
      </w:pPr>
      <w:bookmarkStart w:id="242" w:name="_Toc16978"/>
    </w:p>
    <w:p w14:paraId="5B9491E1">
      <w:pPr>
        <w:keepNext w:val="0"/>
        <w:keepLines w:val="0"/>
        <w:pageBreakBefore w:val="0"/>
        <w:widowControl w:val="0"/>
        <w:kinsoku/>
        <w:wordWrap/>
        <w:overflowPunct/>
        <w:topLinePunct w:val="0"/>
        <w:autoSpaceDE w:val="0"/>
        <w:autoSpaceDN w:val="0"/>
        <w:bidi w:val="0"/>
        <w:adjustRightInd w:val="0"/>
        <w:snapToGrid/>
        <w:spacing w:line="390" w:lineRule="exact"/>
        <w:ind w:left="0" w:firstLine="420" w:firstLineChars="200"/>
        <w:jc w:val="left"/>
        <w:textAlignment w:val="auto"/>
        <w:rPr>
          <w:rFonts w:hint="eastAsia" w:ascii="宋体" w:hAnsi="宋体" w:eastAsia="宋体" w:cs="宋体"/>
          <w:color w:val="auto"/>
          <w:kern w:val="0"/>
          <w:sz w:val="21"/>
          <w:szCs w:val="21"/>
          <w:highlight w:val="none"/>
        </w:rPr>
      </w:pPr>
    </w:p>
    <w:p w14:paraId="3618DE58">
      <w:pPr>
        <w:keepNext w:val="0"/>
        <w:keepLines w:val="0"/>
        <w:pageBreakBefore w:val="0"/>
        <w:widowControl w:val="0"/>
        <w:kinsoku/>
        <w:wordWrap/>
        <w:overflowPunct/>
        <w:topLinePunct w:val="0"/>
        <w:autoSpaceDE w:val="0"/>
        <w:autoSpaceDN w:val="0"/>
        <w:bidi w:val="0"/>
        <w:adjustRightInd w:val="0"/>
        <w:snapToGrid/>
        <w:spacing w:line="390" w:lineRule="exact"/>
        <w:ind w:left="0" w:firstLine="420" w:firstLineChars="200"/>
        <w:jc w:val="left"/>
        <w:textAlignment w:val="auto"/>
        <w:rPr>
          <w:rFonts w:hint="eastAsia" w:ascii="宋体" w:hAnsi="宋体" w:eastAsia="宋体" w:cs="宋体"/>
          <w:color w:val="auto"/>
          <w:kern w:val="0"/>
          <w:sz w:val="21"/>
          <w:szCs w:val="21"/>
          <w:highlight w:val="none"/>
        </w:rPr>
      </w:pPr>
    </w:p>
    <w:p w14:paraId="4199E629">
      <w:pPr>
        <w:keepNext w:val="0"/>
        <w:keepLines w:val="0"/>
        <w:pageBreakBefore w:val="0"/>
        <w:widowControl w:val="0"/>
        <w:kinsoku/>
        <w:wordWrap/>
        <w:overflowPunct/>
        <w:topLinePunct w:val="0"/>
        <w:autoSpaceDE w:val="0"/>
        <w:autoSpaceDN w:val="0"/>
        <w:bidi w:val="0"/>
        <w:adjustRightInd w:val="0"/>
        <w:snapToGrid/>
        <w:spacing w:line="390" w:lineRule="exact"/>
        <w:ind w:left="0" w:firstLine="420" w:firstLineChars="200"/>
        <w:jc w:val="left"/>
        <w:textAlignment w:val="auto"/>
        <w:rPr>
          <w:rFonts w:hint="eastAsia" w:ascii="宋体" w:hAnsi="宋体" w:eastAsia="宋体" w:cs="宋体"/>
          <w:color w:val="auto"/>
          <w:kern w:val="0"/>
          <w:sz w:val="21"/>
          <w:szCs w:val="21"/>
          <w:highlight w:val="none"/>
        </w:rPr>
      </w:pPr>
    </w:p>
    <w:p w14:paraId="058398EF">
      <w:pPr>
        <w:keepNext w:val="0"/>
        <w:keepLines w:val="0"/>
        <w:widowControl/>
        <w:suppressLineNumbers w:val="0"/>
        <w:jc w:val="center"/>
        <w:rPr>
          <w:rFonts w:hint="eastAsia" w:ascii="宋体" w:hAnsi="宋体" w:eastAsia="宋体" w:cs="宋体"/>
          <w:b/>
          <w:bCs/>
          <w:color w:val="auto"/>
          <w:kern w:val="0"/>
          <w:sz w:val="28"/>
          <w:szCs w:val="28"/>
          <w:lang w:val="en-US" w:eastAsia="zh-CN" w:bidi="ar"/>
        </w:rPr>
      </w:pPr>
      <w:r>
        <w:rPr>
          <w:rFonts w:hint="eastAsia" w:ascii="宋体" w:hAnsi="宋体" w:eastAsia="宋体" w:cs="宋体"/>
          <w:b/>
          <w:bCs/>
          <w:color w:val="auto"/>
          <w:kern w:val="0"/>
          <w:sz w:val="28"/>
          <w:szCs w:val="28"/>
          <w:lang w:val="en-US" w:eastAsia="zh-CN" w:bidi="ar"/>
        </w:rPr>
        <w:t>采用《建设工程施工合同（示范文本）》（GF—2017—0201）通用条款。</w:t>
      </w:r>
    </w:p>
    <w:p w14:paraId="1DCB64A4">
      <w:pPr>
        <w:keepNext w:val="0"/>
        <w:keepLines w:val="0"/>
        <w:pageBreakBefore w:val="0"/>
        <w:widowControl w:val="0"/>
        <w:kinsoku/>
        <w:wordWrap/>
        <w:overflowPunct/>
        <w:topLinePunct w:val="0"/>
        <w:autoSpaceDE w:val="0"/>
        <w:autoSpaceDN w:val="0"/>
        <w:bidi w:val="0"/>
        <w:adjustRightInd w:val="0"/>
        <w:snapToGrid/>
        <w:spacing w:line="390" w:lineRule="exact"/>
        <w:ind w:left="0" w:firstLine="420" w:firstLineChars="200"/>
        <w:jc w:val="left"/>
        <w:textAlignment w:val="auto"/>
        <w:rPr>
          <w:rFonts w:hint="eastAsia" w:ascii="宋体" w:hAnsi="宋体" w:eastAsia="宋体" w:cs="宋体"/>
          <w:color w:val="auto"/>
          <w:kern w:val="0"/>
          <w:sz w:val="21"/>
          <w:szCs w:val="21"/>
          <w:highlight w:val="none"/>
        </w:rPr>
      </w:pPr>
    </w:p>
    <w:p w14:paraId="70132838">
      <w:pPr>
        <w:keepNext w:val="0"/>
        <w:keepLines w:val="0"/>
        <w:pageBreakBefore w:val="0"/>
        <w:widowControl w:val="0"/>
        <w:kinsoku/>
        <w:wordWrap/>
        <w:overflowPunct/>
        <w:topLinePunct w:val="0"/>
        <w:autoSpaceDE w:val="0"/>
        <w:autoSpaceDN w:val="0"/>
        <w:bidi w:val="0"/>
        <w:adjustRightInd w:val="0"/>
        <w:snapToGrid/>
        <w:spacing w:line="390" w:lineRule="exact"/>
        <w:ind w:left="0" w:firstLine="420" w:firstLineChars="200"/>
        <w:jc w:val="left"/>
        <w:textAlignment w:val="auto"/>
        <w:rPr>
          <w:rFonts w:hint="eastAsia" w:ascii="宋体" w:hAnsi="宋体" w:eastAsia="宋体" w:cs="宋体"/>
          <w:color w:val="auto"/>
          <w:kern w:val="0"/>
          <w:sz w:val="21"/>
          <w:szCs w:val="21"/>
          <w:highlight w:val="none"/>
        </w:rPr>
      </w:pPr>
    </w:p>
    <w:bookmarkEnd w:id="242"/>
    <w:p w14:paraId="3E17FB22">
      <w:pPr>
        <w:pStyle w:val="20"/>
        <w:keepNext w:val="0"/>
        <w:keepLines w:val="0"/>
        <w:pageBreakBefore w:val="0"/>
        <w:widowControl w:val="0"/>
        <w:wordWrap/>
        <w:topLinePunct w:val="0"/>
        <w:bidi w:val="0"/>
        <w:ind w:left="63" w:right="63"/>
        <w:rPr>
          <w:color w:val="auto"/>
          <w:highlight w:val="none"/>
        </w:rPr>
        <w:sectPr>
          <w:footerReference r:id="rId7" w:type="default"/>
          <w:pgSz w:w="11906" w:h="16838"/>
          <w:pgMar w:top="1304" w:right="1134" w:bottom="1191" w:left="1247" w:header="851" w:footer="992" w:gutter="0"/>
          <w:pgNumType w:fmt="decimal"/>
          <w:cols w:space="720" w:num="1"/>
          <w:docGrid w:type="lines" w:linePitch="312" w:charSpace="0"/>
        </w:sectPr>
      </w:pPr>
    </w:p>
    <w:p w14:paraId="448376F2">
      <w:pPr>
        <w:pStyle w:val="46"/>
        <w:keepNext w:val="0"/>
        <w:keepLines w:val="0"/>
        <w:pageBreakBefore w:val="0"/>
        <w:widowControl w:val="0"/>
        <w:wordWrap/>
        <w:topLinePunct w:val="0"/>
        <w:bidi w:val="0"/>
        <w:jc w:val="center"/>
        <w:outlineLvl w:val="1"/>
        <w:rPr>
          <w:color w:val="auto"/>
          <w:highlight w:val="none"/>
        </w:rPr>
      </w:pPr>
      <w:bookmarkStart w:id="243" w:name="_Toc25460"/>
      <w:bookmarkStart w:id="244" w:name="_Toc6905"/>
      <w:bookmarkStart w:id="245" w:name="_Toc256000171"/>
      <w:r>
        <w:rPr>
          <w:rFonts w:ascii="宋体"/>
          <w:color w:val="auto"/>
          <w:sz w:val="32"/>
          <w:highlight w:val="none"/>
        </w:rPr>
        <w:t>第</w:t>
      </w:r>
      <w:r>
        <w:rPr>
          <w:rFonts w:hint="eastAsia" w:ascii="宋体"/>
          <w:color w:val="auto"/>
          <w:sz w:val="32"/>
          <w:highlight w:val="none"/>
        </w:rPr>
        <w:t>三</w:t>
      </w:r>
      <w:r>
        <w:rPr>
          <w:rFonts w:ascii="宋体"/>
          <w:color w:val="auto"/>
          <w:sz w:val="32"/>
          <w:highlight w:val="none"/>
        </w:rPr>
        <w:t>部分 专用合同条款</w:t>
      </w:r>
      <w:bookmarkEnd w:id="243"/>
      <w:bookmarkEnd w:id="244"/>
      <w:bookmarkEnd w:id="245"/>
    </w:p>
    <w:p w14:paraId="1F8B7FE1">
      <w:pPr>
        <w:pStyle w:val="46"/>
        <w:keepNext w:val="0"/>
        <w:keepLines w:val="0"/>
        <w:pageBreakBefore w:val="0"/>
        <w:widowControl w:val="0"/>
        <w:wordWrap/>
        <w:topLinePunct w:val="0"/>
        <w:bidi w:val="0"/>
        <w:spacing w:line="380" w:lineRule="exact"/>
        <w:outlineLvl w:val="2"/>
        <w:rPr>
          <w:rFonts w:ascii="宋体" w:cs="宋体"/>
          <w:color w:val="auto"/>
          <w:highlight w:val="none"/>
        </w:rPr>
      </w:pPr>
      <w:bookmarkStart w:id="246" w:name="_Toc256000172"/>
      <w:bookmarkStart w:id="247" w:name="_Toc418751789"/>
      <w:bookmarkStart w:id="248" w:name="_Toc406522213"/>
      <w:bookmarkStart w:id="249" w:name="_Toc418752235"/>
      <w:bookmarkStart w:id="250" w:name="_Toc19640"/>
      <w:bookmarkStart w:id="251" w:name="_Toc522201723"/>
      <w:bookmarkStart w:id="252" w:name="_Toc497746774"/>
      <w:bookmarkStart w:id="253" w:name="_Toc351203633"/>
      <w:bookmarkStart w:id="254" w:name="_Toc497747171"/>
      <w:bookmarkStart w:id="255" w:name="_Toc484024116"/>
      <w:r>
        <w:rPr>
          <w:rFonts w:hint="eastAsia" w:ascii="宋体" w:cs="宋体"/>
          <w:color w:val="auto"/>
          <w:highlight w:val="none"/>
        </w:rPr>
        <w:t>1</w:t>
      </w:r>
      <w:bookmarkStart w:id="256" w:name="_Toc296347155"/>
      <w:bookmarkStart w:id="257" w:name="_Toc296891196"/>
      <w:bookmarkStart w:id="258" w:name="_Toc296944495"/>
      <w:bookmarkStart w:id="259" w:name="_Toc292559866"/>
      <w:bookmarkStart w:id="260" w:name="_Toc292559361"/>
      <w:bookmarkStart w:id="261" w:name="_Toc296890984"/>
      <w:bookmarkStart w:id="262" w:name="_Toc297120456"/>
      <w:bookmarkStart w:id="263" w:name="_Toc297048342"/>
      <w:bookmarkStart w:id="264" w:name="_Toc296346657"/>
      <w:bookmarkStart w:id="265" w:name="_Toc296503156"/>
      <w:r>
        <w:rPr>
          <w:rFonts w:hint="eastAsia" w:ascii="宋体" w:cs="宋体"/>
          <w:color w:val="auto"/>
          <w:highlight w:val="none"/>
        </w:rPr>
        <w:t>. 一般约定</w:t>
      </w:r>
      <w:bookmarkEnd w:id="246"/>
      <w:bookmarkEnd w:id="247"/>
      <w:bookmarkEnd w:id="248"/>
      <w:bookmarkEnd w:id="249"/>
      <w:bookmarkEnd w:id="250"/>
      <w:bookmarkEnd w:id="251"/>
      <w:bookmarkEnd w:id="252"/>
      <w:bookmarkEnd w:id="253"/>
      <w:bookmarkEnd w:id="254"/>
    </w:p>
    <w:bookmarkEnd w:id="256"/>
    <w:bookmarkEnd w:id="257"/>
    <w:bookmarkEnd w:id="258"/>
    <w:bookmarkEnd w:id="259"/>
    <w:bookmarkEnd w:id="260"/>
    <w:bookmarkEnd w:id="261"/>
    <w:bookmarkEnd w:id="262"/>
    <w:bookmarkEnd w:id="263"/>
    <w:bookmarkEnd w:id="264"/>
    <w:bookmarkEnd w:id="265"/>
    <w:p w14:paraId="5E4E7FD9">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266" w:name="_Toc418752236"/>
      <w:bookmarkStart w:id="267" w:name="_Toc23204"/>
      <w:bookmarkStart w:id="268" w:name="_Toc256000173"/>
      <w:bookmarkStart w:id="269" w:name="_Toc418751790"/>
      <w:bookmarkStart w:id="270" w:name="_Toc497746775"/>
      <w:bookmarkStart w:id="271" w:name="_Toc406522214"/>
      <w:bookmarkStart w:id="272" w:name="_Toc522201724"/>
      <w:bookmarkStart w:id="273" w:name="_Toc497747172"/>
      <w:r>
        <w:rPr>
          <w:rFonts w:hint="eastAsia" w:ascii="宋体" w:cs="宋体"/>
          <w:color w:val="auto"/>
          <w:highlight w:val="none"/>
        </w:rPr>
        <w:t>1.1 词语定义</w:t>
      </w:r>
      <w:bookmarkEnd w:id="266"/>
      <w:bookmarkEnd w:id="267"/>
      <w:bookmarkEnd w:id="268"/>
      <w:bookmarkEnd w:id="269"/>
      <w:bookmarkEnd w:id="270"/>
      <w:bookmarkEnd w:id="271"/>
      <w:bookmarkEnd w:id="272"/>
      <w:bookmarkEnd w:id="273"/>
    </w:p>
    <w:p w14:paraId="778CE4BD">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1.1.1合同</w:t>
      </w:r>
    </w:p>
    <w:p w14:paraId="3C75BEA5">
      <w:pPr>
        <w:pStyle w:val="51"/>
        <w:keepNext w:val="0"/>
        <w:keepLines w:val="0"/>
        <w:pageBreakBefore w:val="0"/>
        <w:widowControl w:val="0"/>
        <w:wordWrap/>
        <w:topLinePunct w:val="0"/>
        <w:bidi w:val="0"/>
        <w:spacing w:line="380" w:lineRule="exact"/>
        <w:rPr>
          <w:rFonts w:ascii="宋体" w:hAnsi="宋体" w:cs="宋体"/>
          <w:color w:val="auto"/>
          <w:highlight w:val="none"/>
          <w:u w:val="single"/>
        </w:rPr>
      </w:pPr>
      <w:r>
        <w:rPr>
          <w:rFonts w:hint="eastAsia" w:ascii="宋体" w:hAnsi="宋体" w:cs="宋体"/>
          <w:color w:val="auto"/>
          <w:highlight w:val="none"/>
        </w:rPr>
        <w:t>1.1.1.10其他合同文件包括：</w:t>
      </w:r>
      <w:r>
        <w:rPr>
          <w:rFonts w:hint="eastAsia" w:ascii="宋体" w:hAnsi="宋体" w:cs="宋体"/>
          <w:color w:val="auto"/>
          <w:highlight w:val="none"/>
          <w:u w:val="single"/>
        </w:rPr>
        <w:t>（1）本合同协议书；（2）中标通知书；（3）</w:t>
      </w:r>
      <w:r>
        <w:rPr>
          <w:rFonts w:hint="eastAsia" w:ascii="宋体" w:hAnsi="宋体" w:cs="宋体"/>
          <w:color w:val="auto"/>
          <w:highlight w:val="none"/>
          <w:u w:val="single"/>
          <w:lang w:eastAsia="zh-CN"/>
        </w:rPr>
        <w:t>投标书（响应文件）</w:t>
      </w:r>
      <w:r>
        <w:rPr>
          <w:rFonts w:hint="eastAsia" w:ascii="宋体" w:hAnsi="宋体" w:cs="宋体"/>
          <w:color w:val="auto"/>
          <w:highlight w:val="none"/>
          <w:u w:val="single"/>
        </w:rPr>
        <w:t>及其附件；（4）本合同专用条款及补充条款；（5）本合同通用条款；（6）标准、规范及有关技术文件；（7）图纸（含图纸修改通知单及图纸设计变更文件）；（8）工程量清单；（9）本工程预算控制价造价成果文件及其他合同文件</w:t>
      </w:r>
      <w:r>
        <w:rPr>
          <w:rFonts w:hint="eastAsia" w:ascii="宋体" w:hAnsi="宋体" w:cs="宋体"/>
          <w:color w:val="auto"/>
          <w:highlight w:val="none"/>
        </w:rPr>
        <w:t>。</w:t>
      </w:r>
    </w:p>
    <w:p w14:paraId="4AC11DD4">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1.1.2 合同当事人及其他相关方</w:t>
      </w:r>
    </w:p>
    <w:p w14:paraId="1F7263CA">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1.1.2.4监理人：</w:t>
      </w:r>
    </w:p>
    <w:p w14:paraId="33481593">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名    称：</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3AE51ED1">
      <w:pPr>
        <w:pStyle w:val="51"/>
        <w:keepNext w:val="0"/>
        <w:keepLines w:val="0"/>
        <w:pageBreakBefore w:val="0"/>
        <w:widowControl w:val="0"/>
        <w:wordWrap/>
        <w:topLinePunct w:val="0"/>
        <w:bidi w:val="0"/>
        <w:spacing w:line="380" w:lineRule="exact"/>
        <w:rPr>
          <w:rFonts w:hint="eastAsia" w:ascii="宋体" w:hAnsi="宋体" w:cs="宋体"/>
          <w:color w:val="auto"/>
          <w:highlight w:val="none"/>
        </w:rPr>
      </w:pPr>
      <w:r>
        <w:rPr>
          <w:rFonts w:hint="eastAsia" w:ascii="宋体" w:hAnsi="宋体" w:cs="宋体"/>
          <w:color w:val="auto"/>
          <w:highlight w:val="none"/>
        </w:rPr>
        <w:t>资质类别和等级：</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5C8376D3">
      <w:pPr>
        <w:pStyle w:val="51"/>
        <w:keepNext w:val="0"/>
        <w:keepLines w:val="0"/>
        <w:pageBreakBefore w:val="0"/>
        <w:widowControl w:val="0"/>
        <w:wordWrap/>
        <w:topLinePunct w:val="0"/>
        <w:bidi w:val="0"/>
        <w:spacing w:line="380" w:lineRule="exact"/>
        <w:rPr>
          <w:rFonts w:hint="eastAsia" w:ascii="宋体" w:hAnsi="宋体" w:cs="宋体"/>
          <w:color w:val="auto"/>
          <w:highlight w:val="none"/>
        </w:rPr>
      </w:pPr>
      <w:r>
        <w:rPr>
          <w:rFonts w:hint="eastAsia" w:ascii="宋体" w:hAnsi="宋体" w:cs="宋体"/>
          <w:color w:val="auto"/>
          <w:highlight w:val="none"/>
        </w:rPr>
        <w:t>联系电话：</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14246E7D">
      <w:pPr>
        <w:pStyle w:val="51"/>
        <w:keepNext w:val="0"/>
        <w:keepLines w:val="0"/>
        <w:pageBreakBefore w:val="0"/>
        <w:widowControl w:val="0"/>
        <w:wordWrap/>
        <w:topLinePunct w:val="0"/>
        <w:bidi w:val="0"/>
        <w:spacing w:line="380" w:lineRule="exact"/>
        <w:rPr>
          <w:rFonts w:hint="eastAsia" w:ascii="宋体" w:hAnsi="宋体" w:cs="宋体"/>
          <w:color w:val="auto"/>
          <w:highlight w:val="none"/>
        </w:rPr>
      </w:pPr>
      <w:r>
        <w:rPr>
          <w:rFonts w:hint="eastAsia" w:ascii="宋体" w:hAnsi="宋体" w:cs="宋体"/>
          <w:color w:val="auto"/>
          <w:highlight w:val="none"/>
        </w:rPr>
        <w:t>电子信箱：</w:t>
      </w:r>
      <w:r>
        <w:rPr>
          <w:rFonts w:hint="eastAsia" w:ascii="宋体" w:hAnsi="宋体" w:cs="宋体"/>
          <w:color w:val="auto"/>
          <w:highlight w:val="none"/>
          <w:u w:val="single"/>
          <w:lang w:val="en-US" w:eastAsia="zh-CN"/>
        </w:rPr>
        <w:t xml:space="preserve"> 中标（成交）后填写 </w:t>
      </w:r>
      <w:r>
        <w:rPr>
          <w:rFonts w:hint="eastAsia" w:ascii="宋体" w:hAnsi="宋体" w:cs="宋体"/>
          <w:color w:val="auto"/>
          <w:highlight w:val="none"/>
        </w:rPr>
        <w:t>；</w:t>
      </w:r>
    </w:p>
    <w:p w14:paraId="7DBF5542">
      <w:pPr>
        <w:pStyle w:val="51"/>
        <w:keepNext w:val="0"/>
        <w:keepLines w:val="0"/>
        <w:pageBreakBefore w:val="0"/>
        <w:widowControl w:val="0"/>
        <w:wordWrap/>
        <w:topLinePunct w:val="0"/>
        <w:bidi w:val="0"/>
        <w:spacing w:line="380" w:lineRule="exact"/>
        <w:rPr>
          <w:rFonts w:hint="eastAsia" w:ascii="宋体" w:hAnsi="宋体" w:cs="宋体"/>
          <w:color w:val="auto"/>
          <w:highlight w:val="none"/>
        </w:rPr>
      </w:pPr>
      <w:r>
        <w:rPr>
          <w:rFonts w:hint="eastAsia" w:ascii="宋体" w:hAnsi="宋体" w:cs="宋体"/>
          <w:color w:val="auto"/>
          <w:highlight w:val="none"/>
        </w:rPr>
        <w:t>通信地址：</w:t>
      </w:r>
      <w:r>
        <w:rPr>
          <w:rFonts w:hint="eastAsia" w:ascii="宋体" w:hAnsi="宋体" w:cs="宋体"/>
          <w:color w:val="auto"/>
          <w:highlight w:val="none"/>
          <w:u w:val="single"/>
          <w:lang w:val="en-US" w:eastAsia="zh-CN"/>
        </w:rPr>
        <w:t xml:space="preserve"> 中标（成交）后填写 </w:t>
      </w:r>
      <w:r>
        <w:rPr>
          <w:rFonts w:hint="eastAsia" w:ascii="宋体" w:hAnsi="宋体" w:cs="宋体"/>
          <w:color w:val="auto"/>
          <w:highlight w:val="none"/>
        </w:rPr>
        <w:t>。</w:t>
      </w:r>
    </w:p>
    <w:p w14:paraId="1BB19886">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1.1.2.5 设计人：</w:t>
      </w:r>
    </w:p>
    <w:p w14:paraId="48D6DC84">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名    称：</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32A1D8D1">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资质类别和等级：</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47791A2F">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联系电话：</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71F4664D">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电子信箱：</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476CB7EA">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通信地址：</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5C2BDD27">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1.1.3 工程和设备</w:t>
      </w:r>
    </w:p>
    <w:p w14:paraId="6B86D7D6">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1.1.3.7 作为施工现场组成部分的其他场所包括：</w:t>
      </w:r>
      <w:r>
        <w:rPr>
          <w:rFonts w:hint="eastAsia" w:ascii="宋体" w:hAnsi="宋体" w:cs="宋体"/>
          <w:color w:val="auto"/>
          <w:highlight w:val="none"/>
          <w:u w:val="single"/>
        </w:rPr>
        <w:t xml:space="preserve">  按通用条款执行</w:t>
      </w:r>
      <w:r>
        <w:rPr>
          <w:rFonts w:hint="eastAsia" w:ascii="宋体" w:hAnsi="宋体" w:cs="宋体"/>
          <w:color w:val="auto"/>
          <w:highlight w:val="none"/>
        </w:rPr>
        <w:t>。</w:t>
      </w:r>
    </w:p>
    <w:p w14:paraId="1A029B54">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1.1.3.9 永久占地包括：</w:t>
      </w:r>
      <w:r>
        <w:rPr>
          <w:rFonts w:hint="eastAsia" w:ascii="宋体" w:hAnsi="宋体" w:cs="宋体"/>
          <w:color w:val="auto"/>
          <w:highlight w:val="none"/>
          <w:u w:val="single"/>
        </w:rPr>
        <w:t xml:space="preserve">  为实施工程需永久占用的土地</w:t>
      </w:r>
      <w:r>
        <w:rPr>
          <w:rFonts w:ascii="宋体" w:hAnsi="宋体" w:cs="宋体"/>
          <w:color w:val="auto"/>
          <w:highlight w:val="none"/>
          <w:u w:val="single"/>
        </w:rPr>
        <w:t></w:t>
      </w:r>
      <w:r>
        <w:rPr>
          <w:rFonts w:hint="eastAsia" w:ascii="宋体" w:hAnsi="宋体" w:cs="宋体"/>
          <w:color w:val="auto"/>
          <w:highlight w:val="none"/>
        </w:rPr>
        <w:t>。</w:t>
      </w:r>
    </w:p>
    <w:p w14:paraId="74E4B158">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1.1.3.10 临时占地包括：</w:t>
      </w:r>
      <w:r>
        <w:rPr>
          <w:rFonts w:hint="eastAsia" w:ascii="宋体" w:hAnsi="宋体" w:cs="宋体"/>
          <w:color w:val="auto"/>
          <w:highlight w:val="none"/>
          <w:u w:val="single"/>
        </w:rPr>
        <w:t xml:space="preserve"> 为实施工程需临时占用的土地 </w:t>
      </w:r>
      <w:r>
        <w:rPr>
          <w:rFonts w:hint="eastAsia" w:ascii="宋体" w:hAnsi="宋体" w:cs="宋体"/>
          <w:color w:val="auto"/>
          <w:highlight w:val="none"/>
        </w:rPr>
        <w:t>。</w:t>
      </w:r>
    </w:p>
    <w:p w14:paraId="5E61409F">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274" w:name="_Toc1749"/>
      <w:bookmarkStart w:id="275" w:name="_Toc497746776"/>
      <w:bookmarkStart w:id="276" w:name="_Toc406522215"/>
      <w:bookmarkStart w:id="277" w:name="_Toc418751791"/>
      <w:bookmarkStart w:id="278" w:name="_Toc522201725"/>
      <w:bookmarkStart w:id="279" w:name="_Toc497747173"/>
      <w:bookmarkStart w:id="280" w:name="_Toc418752237"/>
      <w:bookmarkStart w:id="281" w:name="_Toc256000174"/>
      <w:r>
        <w:rPr>
          <w:rFonts w:hint="eastAsia" w:ascii="宋体" w:cs="宋体"/>
          <w:color w:val="auto"/>
          <w:highlight w:val="none"/>
        </w:rPr>
        <w:t>1.3法律</w:t>
      </w:r>
      <w:bookmarkEnd w:id="274"/>
      <w:bookmarkEnd w:id="275"/>
      <w:bookmarkEnd w:id="276"/>
      <w:bookmarkEnd w:id="277"/>
      <w:bookmarkEnd w:id="278"/>
      <w:bookmarkEnd w:id="279"/>
      <w:bookmarkEnd w:id="280"/>
      <w:bookmarkEnd w:id="281"/>
      <w:r>
        <w:rPr>
          <w:rFonts w:hint="eastAsia" w:ascii="宋体" w:cs="宋体"/>
          <w:color w:val="auto"/>
          <w:highlight w:val="none"/>
        </w:rPr>
        <w:t xml:space="preserve"> </w:t>
      </w:r>
    </w:p>
    <w:p w14:paraId="3A983780">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适用于合同的其他规范性文件：</w:t>
      </w:r>
      <w:r>
        <w:rPr>
          <w:rFonts w:hint="eastAsia" w:ascii="宋体" w:hAnsi="宋体" w:cs="宋体"/>
          <w:color w:val="auto"/>
          <w:highlight w:val="none"/>
          <w:u w:val="single"/>
        </w:rPr>
        <w:t>同通用条款</w:t>
      </w:r>
      <w:r>
        <w:rPr>
          <w:rFonts w:hint="eastAsia" w:ascii="宋体" w:hAnsi="宋体" w:cs="宋体"/>
          <w:color w:val="auto"/>
          <w:highlight w:val="none"/>
        </w:rPr>
        <w:t>。</w:t>
      </w:r>
    </w:p>
    <w:p w14:paraId="60A5ECC5">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282" w:name="_Toc418752238"/>
      <w:bookmarkStart w:id="283" w:name="_Toc497747174"/>
      <w:bookmarkStart w:id="284" w:name="_Toc497746777"/>
      <w:bookmarkStart w:id="285" w:name="_Toc418751792"/>
      <w:bookmarkStart w:id="286" w:name="_Toc406522216"/>
      <w:bookmarkStart w:id="287" w:name="_Toc531"/>
      <w:bookmarkStart w:id="288" w:name="_Toc522201726"/>
      <w:bookmarkStart w:id="289" w:name="_Toc256000175"/>
      <w:r>
        <w:rPr>
          <w:rFonts w:hint="eastAsia" w:ascii="宋体" w:cs="宋体"/>
          <w:color w:val="auto"/>
          <w:highlight w:val="none"/>
        </w:rPr>
        <w:t>1.4 标准和规范</w:t>
      </w:r>
      <w:bookmarkEnd w:id="282"/>
      <w:bookmarkEnd w:id="283"/>
      <w:bookmarkEnd w:id="284"/>
      <w:bookmarkEnd w:id="285"/>
      <w:bookmarkEnd w:id="286"/>
      <w:bookmarkEnd w:id="287"/>
      <w:bookmarkEnd w:id="288"/>
      <w:bookmarkEnd w:id="289"/>
    </w:p>
    <w:p w14:paraId="1EBC8C7D">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1.4.1适用于工程的标准规范包括：</w:t>
      </w:r>
      <w:r>
        <w:rPr>
          <w:rFonts w:hint="eastAsia" w:ascii="宋体" w:hAnsi="宋体" w:cs="宋体"/>
          <w:color w:val="auto"/>
          <w:highlight w:val="none"/>
          <w:u w:val="single"/>
        </w:rPr>
        <w:t>现行国家、地方、部门有关标准规范</w:t>
      </w:r>
      <w:r>
        <w:rPr>
          <w:rFonts w:hint="eastAsia" w:ascii="宋体" w:hAnsi="宋体" w:cs="宋体"/>
          <w:color w:val="auto"/>
          <w:highlight w:val="none"/>
        </w:rPr>
        <w:t>。</w:t>
      </w:r>
    </w:p>
    <w:p w14:paraId="4E310766">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1.4.2 发包人提供国外标准、规范的名称：</w:t>
      </w:r>
      <w:r>
        <w:rPr>
          <w:rFonts w:hint="eastAsia" w:ascii="宋体" w:hAnsi="宋体" w:cs="宋体"/>
          <w:color w:val="auto"/>
          <w:highlight w:val="none"/>
          <w:u w:val="single"/>
        </w:rPr>
        <w:t xml:space="preserve"> 无 </w:t>
      </w:r>
      <w:r>
        <w:rPr>
          <w:rFonts w:hint="eastAsia" w:ascii="宋体" w:hAnsi="宋体" w:cs="宋体"/>
          <w:color w:val="auto"/>
          <w:highlight w:val="none"/>
        </w:rPr>
        <w:t>；</w:t>
      </w:r>
    </w:p>
    <w:p w14:paraId="0B83A500">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发包人提供国外标准、规范的份数：</w:t>
      </w:r>
      <w:r>
        <w:rPr>
          <w:rFonts w:hint="eastAsia" w:ascii="宋体" w:hAnsi="宋体" w:cs="宋体"/>
          <w:color w:val="auto"/>
          <w:highlight w:val="none"/>
          <w:u w:val="single"/>
        </w:rPr>
        <w:t xml:space="preserve">  无 </w:t>
      </w:r>
      <w:r>
        <w:rPr>
          <w:rFonts w:hint="eastAsia" w:ascii="宋体" w:hAnsi="宋体" w:cs="宋体"/>
          <w:color w:val="auto"/>
          <w:highlight w:val="none"/>
        </w:rPr>
        <w:t>；</w:t>
      </w:r>
    </w:p>
    <w:p w14:paraId="02EB8579">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发包人提供国外标准、规范的名称：</w:t>
      </w:r>
      <w:r>
        <w:rPr>
          <w:rFonts w:hint="eastAsia" w:ascii="宋体" w:hAnsi="宋体" w:cs="宋体"/>
          <w:color w:val="auto"/>
          <w:highlight w:val="none"/>
          <w:u w:val="single"/>
        </w:rPr>
        <w:t xml:space="preserve"> 无 </w:t>
      </w:r>
      <w:r>
        <w:rPr>
          <w:rFonts w:hint="eastAsia" w:ascii="宋体" w:hAnsi="宋体" w:cs="宋体"/>
          <w:color w:val="auto"/>
          <w:highlight w:val="none"/>
        </w:rPr>
        <w:t>。</w:t>
      </w:r>
    </w:p>
    <w:p w14:paraId="7AA8837B">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1.4.3发包人对工程的技术标准和功能要求的特殊要求：</w:t>
      </w:r>
      <w:r>
        <w:rPr>
          <w:rFonts w:hint="eastAsia" w:ascii="宋体" w:hAnsi="宋体" w:cs="宋体"/>
          <w:color w:val="auto"/>
          <w:highlight w:val="none"/>
          <w:u w:val="single"/>
        </w:rPr>
        <w:t xml:space="preserve">无 </w:t>
      </w:r>
      <w:r>
        <w:rPr>
          <w:rFonts w:hint="eastAsia" w:ascii="宋体" w:hAnsi="宋体" w:cs="宋体"/>
          <w:color w:val="auto"/>
          <w:highlight w:val="none"/>
        </w:rPr>
        <w:t>。</w:t>
      </w:r>
    </w:p>
    <w:p w14:paraId="510AC833">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290" w:name="_Toc19412"/>
      <w:bookmarkStart w:id="291" w:name="_Toc497746778"/>
      <w:bookmarkStart w:id="292" w:name="_Toc406522217"/>
      <w:bookmarkStart w:id="293" w:name="_Toc497747175"/>
      <w:bookmarkStart w:id="294" w:name="_Toc522201727"/>
      <w:bookmarkStart w:id="295" w:name="_Toc256000176"/>
      <w:bookmarkStart w:id="296" w:name="_Toc418751793"/>
      <w:bookmarkStart w:id="297" w:name="_Toc418752239"/>
      <w:r>
        <w:rPr>
          <w:rFonts w:hint="eastAsia" w:ascii="宋体" w:cs="宋体"/>
          <w:color w:val="auto"/>
          <w:highlight w:val="none"/>
        </w:rPr>
        <w:t>1.5 合同文件的优先顺序</w:t>
      </w:r>
      <w:bookmarkEnd w:id="290"/>
      <w:bookmarkEnd w:id="291"/>
      <w:bookmarkEnd w:id="292"/>
      <w:bookmarkEnd w:id="293"/>
      <w:bookmarkEnd w:id="294"/>
      <w:bookmarkEnd w:id="295"/>
      <w:bookmarkEnd w:id="296"/>
      <w:bookmarkEnd w:id="297"/>
    </w:p>
    <w:p w14:paraId="2E80A411">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合同文件组成及优先顺序为：</w:t>
      </w:r>
    </w:p>
    <w:p w14:paraId="4E64DD8F">
      <w:pPr>
        <w:pStyle w:val="21"/>
        <w:keepNext w:val="0"/>
        <w:keepLines w:val="0"/>
        <w:pageBreakBefore w:val="0"/>
        <w:widowControl w:val="0"/>
        <w:wordWrap/>
        <w:topLinePunct w:val="0"/>
        <w:bidi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（1）合同协议书；</w:t>
      </w:r>
    </w:p>
    <w:p w14:paraId="092BF91E">
      <w:pPr>
        <w:pStyle w:val="21"/>
        <w:keepNext w:val="0"/>
        <w:keepLines w:val="0"/>
        <w:pageBreakBefore w:val="0"/>
        <w:widowControl w:val="0"/>
        <w:wordWrap/>
        <w:topLinePunct w:val="0"/>
        <w:bidi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（2）中标通知书（如果有）；</w:t>
      </w:r>
    </w:p>
    <w:p w14:paraId="1BC84E69">
      <w:pPr>
        <w:pStyle w:val="21"/>
        <w:keepNext w:val="0"/>
        <w:keepLines w:val="0"/>
        <w:pageBreakBefore w:val="0"/>
        <w:widowControl w:val="0"/>
        <w:wordWrap/>
        <w:topLinePunct w:val="0"/>
        <w:bidi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eastAsia="zh-CN"/>
        </w:rPr>
        <w:t>投标（响应）函</w:t>
      </w:r>
      <w:r>
        <w:rPr>
          <w:rFonts w:hint="eastAsia" w:ascii="宋体" w:hAnsi="宋体" w:cs="宋体"/>
          <w:color w:val="auto"/>
          <w:kern w:val="0"/>
          <w:szCs w:val="21"/>
          <w:highlight w:val="none"/>
        </w:rPr>
        <w:t>及其附录（如果有）；</w:t>
      </w:r>
    </w:p>
    <w:p w14:paraId="5D1B8418">
      <w:pPr>
        <w:pStyle w:val="21"/>
        <w:keepNext w:val="0"/>
        <w:keepLines w:val="0"/>
        <w:pageBreakBefore w:val="0"/>
        <w:widowControl w:val="0"/>
        <w:wordWrap/>
        <w:topLinePunct w:val="0"/>
        <w:bidi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（4）专用合同条款及其附件；</w:t>
      </w:r>
    </w:p>
    <w:p w14:paraId="63D958E9">
      <w:pPr>
        <w:pStyle w:val="21"/>
        <w:keepNext w:val="0"/>
        <w:keepLines w:val="0"/>
        <w:pageBreakBefore w:val="0"/>
        <w:widowControl w:val="0"/>
        <w:wordWrap/>
        <w:topLinePunct w:val="0"/>
        <w:bidi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（5）通用合同条款；</w:t>
      </w:r>
    </w:p>
    <w:p w14:paraId="31E2E90B">
      <w:pPr>
        <w:pStyle w:val="21"/>
        <w:keepNext w:val="0"/>
        <w:keepLines w:val="0"/>
        <w:pageBreakBefore w:val="0"/>
        <w:widowControl w:val="0"/>
        <w:wordWrap/>
        <w:topLinePunct w:val="0"/>
        <w:bidi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（6）技术标准和要求 ；</w:t>
      </w:r>
    </w:p>
    <w:p w14:paraId="73D514A8">
      <w:pPr>
        <w:pStyle w:val="21"/>
        <w:keepNext w:val="0"/>
        <w:keepLines w:val="0"/>
        <w:pageBreakBefore w:val="0"/>
        <w:widowControl w:val="0"/>
        <w:wordWrap/>
        <w:topLinePunct w:val="0"/>
        <w:bidi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（7）图纸（含图纸修改通知单及图纸设计变更文件） ；</w:t>
      </w:r>
    </w:p>
    <w:p w14:paraId="4EF09921">
      <w:pPr>
        <w:pStyle w:val="21"/>
        <w:keepNext w:val="0"/>
        <w:keepLines w:val="0"/>
        <w:pageBreakBefore w:val="0"/>
        <w:widowControl w:val="0"/>
        <w:wordWrap/>
        <w:topLinePunct w:val="0"/>
        <w:bidi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（8）已标价工程量清单 ；</w:t>
      </w:r>
    </w:p>
    <w:p w14:paraId="28534679">
      <w:pPr>
        <w:pStyle w:val="21"/>
        <w:keepNext w:val="0"/>
        <w:keepLines w:val="0"/>
        <w:pageBreakBefore w:val="0"/>
        <w:widowControl w:val="0"/>
        <w:wordWrap/>
        <w:topLinePunct w:val="0"/>
        <w:bidi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（9）其他合同文件（包括本工程预算控制价造价成果文件、招标文件等文件）；</w:t>
      </w:r>
    </w:p>
    <w:p w14:paraId="20FAB01C">
      <w:pPr>
        <w:pStyle w:val="21"/>
        <w:keepNext w:val="0"/>
        <w:keepLines w:val="0"/>
        <w:pageBreakBefore w:val="0"/>
        <w:widowControl w:val="0"/>
        <w:wordWrap/>
        <w:topLinePunct w:val="0"/>
        <w:bidi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10）《建设工程工程量清单计价规范（GB5050-2013）》及其广西实施细则及《关于建筑业实施营业税改征增值税后广西壮族自治区建设工程计价依据调整的通知》（桂建标〔2016〕17号）、《建设工程工程量清单计算规范（</w:t>
      </w:r>
      <w:r>
        <w:rPr>
          <w:rFonts w:hint="eastAsia" w:ascii="宋体" w:hAnsi="宋体" w:cs="宋体"/>
          <w:color w:val="auto"/>
          <w:kern w:val="0"/>
          <w:szCs w:val="21"/>
          <w:highlight w:val="none"/>
          <w:lang w:eastAsia="zh-CN"/>
        </w:rPr>
        <w:t>GB50854</w:t>
      </w:r>
      <w:r>
        <w:rPr>
          <w:rFonts w:hint="eastAsia" w:ascii="宋体" w:hAnsi="宋体" w:cs="宋体"/>
          <w:color w:val="auto"/>
          <w:kern w:val="0"/>
          <w:szCs w:val="21"/>
          <w:highlight w:val="none"/>
        </w:rPr>
        <w:t>～50862-2013）》及其广西实施细则（修订本）。</w:t>
      </w:r>
    </w:p>
    <w:p w14:paraId="58CBCC1B">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kern w:val="0"/>
          <w:highlight w:val="none"/>
        </w:rPr>
      </w:pPr>
      <w:bookmarkStart w:id="298" w:name="_Toc19283"/>
      <w:bookmarkStart w:id="299" w:name="_Toc256000177"/>
      <w:bookmarkStart w:id="300" w:name="_Toc406522218"/>
      <w:bookmarkStart w:id="301" w:name="_Toc418752240"/>
      <w:bookmarkStart w:id="302" w:name="_Toc497746779"/>
      <w:bookmarkStart w:id="303" w:name="_Toc497747176"/>
      <w:bookmarkStart w:id="304" w:name="_Toc522201728"/>
      <w:bookmarkStart w:id="305" w:name="_Toc418751794"/>
      <w:r>
        <w:rPr>
          <w:rFonts w:hint="eastAsia" w:ascii="宋体" w:cs="宋体"/>
          <w:color w:val="auto"/>
          <w:kern w:val="0"/>
          <w:highlight w:val="none"/>
        </w:rPr>
        <w:t>说明：（6）、（7）、（8）、（9）填空内容分别限于技术标准和要求、图纸、已标价工程量清单或预算书、其他合同文件四者之一，其优先顺序可根据采取的不同合同方式由双方约定。</w:t>
      </w:r>
      <w:bookmarkEnd w:id="298"/>
      <w:bookmarkEnd w:id="299"/>
    </w:p>
    <w:p w14:paraId="706AAF7A">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306" w:name="_Toc256000178"/>
      <w:bookmarkStart w:id="307" w:name="_Toc18690"/>
      <w:r>
        <w:rPr>
          <w:rFonts w:hint="eastAsia" w:ascii="宋体" w:cs="宋体"/>
          <w:color w:val="auto"/>
          <w:highlight w:val="none"/>
        </w:rPr>
        <w:t>1.6 图纸和承包人文件</w:t>
      </w:r>
      <w:bookmarkEnd w:id="300"/>
      <w:bookmarkEnd w:id="301"/>
      <w:bookmarkEnd w:id="302"/>
      <w:bookmarkEnd w:id="303"/>
      <w:bookmarkEnd w:id="304"/>
      <w:bookmarkEnd w:id="305"/>
      <w:bookmarkEnd w:id="306"/>
      <w:bookmarkEnd w:id="307"/>
      <w:r>
        <w:rPr>
          <w:rFonts w:hint="eastAsia" w:ascii="宋体" w:cs="宋体"/>
          <w:color w:val="auto"/>
          <w:highlight w:val="none"/>
        </w:rPr>
        <w:tab/>
      </w:r>
    </w:p>
    <w:p w14:paraId="0BC865E7">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1.6.1 图纸的提供</w:t>
      </w:r>
    </w:p>
    <w:p w14:paraId="66A97358">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发包人向承包人提供图纸的期限：</w:t>
      </w:r>
      <w:r>
        <w:rPr>
          <w:rFonts w:hint="eastAsia" w:ascii="宋体" w:hAnsi="宋体" w:cs="宋体"/>
          <w:color w:val="auto"/>
          <w:szCs w:val="21"/>
          <w:highlight w:val="none"/>
          <w:u w:val="single"/>
        </w:rPr>
        <w:t>合同签订生效后7天内</w:t>
      </w:r>
      <w:r>
        <w:rPr>
          <w:rFonts w:hint="eastAsia" w:ascii="宋体" w:hAnsi="宋体" w:cs="宋体"/>
          <w:color w:val="auto"/>
          <w:szCs w:val="21"/>
          <w:highlight w:val="none"/>
        </w:rPr>
        <w:t>；</w:t>
      </w:r>
    </w:p>
    <w:p w14:paraId="7595CDD9">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发包人向承包人提供图纸的数量：</w:t>
      </w:r>
      <w:r>
        <w:rPr>
          <w:rFonts w:hint="eastAsia" w:ascii="宋体" w:hAnsi="宋体" w:cs="宋体"/>
          <w:color w:val="auto"/>
          <w:szCs w:val="21"/>
          <w:highlight w:val="none"/>
          <w:u w:val="single"/>
        </w:rPr>
        <w:t>贰份，上述图纸及技术资料，未经监理工程师和发包人同意，承包人不得提供给与本工程无关的第三方。承包人需要增加图纸套数的，承包人自行复制，复制费用由承包人承担。</w:t>
      </w:r>
    </w:p>
    <w:p w14:paraId="3D04DE36">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发包人向承包人提供图纸的内容：</w:t>
      </w:r>
      <w:r>
        <w:rPr>
          <w:rFonts w:hint="eastAsia" w:ascii="宋体" w:hAnsi="宋体" w:cs="宋体"/>
          <w:color w:val="auto"/>
          <w:highlight w:val="none"/>
          <w:u w:val="single"/>
        </w:rPr>
        <w:t>与本项目相关</w:t>
      </w:r>
      <w:r>
        <w:rPr>
          <w:rFonts w:hint="eastAsia" w:ascii="宋体" w:hAnsi="宋体" w:cs="宋体"/>
          <w:color w:val="auto"/>
          <w:szCs w:val="21"/>
          <w:highlight w:val="none"/>
        </w:rPr>
        <w:t>。</w:t>
      </w:r>
    </w:p>
    <w:p w14:paraId="7FBE35D2">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1.6.4 承包人文件</w:t>
      </w:r>
    </w:p>
    <w:p w14:paraId="2EA2525A">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需要由承包人提供的文件，包括：</w:t>
      </w:r>
      <w:r>
        <w:rPr>
          <w:rFonts w:hint="eastAsia" w:ascii="宋体" w:hAnsi="宋体" w:cs="宋体"/>
          <w:color w:val="auto"/>
          <w:highlight w:val="none"/>
          <w:u w:val="single"/>
        </w:rPr>
        <w:t>1、施工组织设计；2、工程进度计划；3、管理人员名单、职称、职务、上岗证等；4、安全文明施工措施；5、质量保证体系；6、施工图以外的大样图、加工图、标准图等（</w:t>
      </w:r>
      <w:r>
        <w:rPr>
          <w:rFonts w:hint="eastAsia" w:ascii="宋体" w:hAnsi="宋体" w:cs="宋体"/>
          <w:color w:val="auto"/>
          <w:kern w:val="0"/>
          <w:highlight w:val="none"/>
          <w:u w:val="single"/>
        </w:rPr>
        <w:t>与工程施工有关的文件</w:t>
      </w:r>
      <w:r>
        <w:rPr>
          <w:rFonts w:hint="eastAsia" w:ascii="宋体" w:hAnsi="宋体" w:cs="宋体"/>
          <w:color w:val="auto"/>
          <w:highlight w:val="none"/>
          <w:u w:val="single"/>
        </w:rPr>
        <w:t>）；</w:t>
      </w:r>
    </w:p>
    <w:p w14:paraId="5015B026">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承包人提供的文件的期限为：</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u w:val="single"/>
        </w:rPr>
        <w:t xml:space="preserve">开始施工前7天内  </w:t>
      </w:r>
      <w:r>
        <w:rPr>
          <w:rFonts w:hint="eastAsia" w:ascii="宋体" w:hAnsi="宋体" w:cs="宋体"/>
          <w:color w:val="auto"/>
          <w:szCs w:val="21"/>
          <w:highlight w:val="none"/>
        </w:rPr>
        <w:t>；</w:t>
      </w:r>
    </w:p>
    <w:p w14:paraId="0A9F6120">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承包人提供的文件的数量为：</w:t>
      </w:r>
      <w:r>
        <w:rPr>
          <w:rFonts w:hint="eastAsia" w:ascii="宋体" w:hAnsi="宋体" w:cs="宋体"/>
          <w:color w:val="auto"/>
          <w:szCs w:val="21"/>
          <w:highlight w:val="none"/>
          <w:u w:val="single"/>
        </w:rPr>
        <w:t xml:space="preserve">  6</w:t>
      </w:r>
      <w:r>
        <w:rPr>
          <w:rFonts w:hint="eastAsia" w:ascii="宋体" w:hAnsi="宋体" w:cs="宋体"/>
          <w:color w:val="auto"/>
          <w:kern w:val="0"/>
          <w:szCs w:val="21"/>
          <w:highlight w:val="none"/>
          <w:u w:val="single"/>
        </w:rPr>
        <w:t>份</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7209AC42">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承包人提供的文件的形式为：</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u w:val="single"/>
        </w:rPr>
        <w:t>纸质版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9B46B0D">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发包人审批承包人文件的期限：</w:t>
      </w:r>
      <w:r>
        <w:rPr>
          <w:rFonts w:hint="eastAsia" w:ascii="宋体" w:hAnsi="宋体" w:cs="宋体"/>
          <w:color w:val="auto"/>
          <w:highlight w:val="none"/>
          <w:u w:val="single"/>
        </w:rPr>
        <w:t xml:space="preserve"> 收到承包人提供的文件后七天内 </w:t>
      </w:r>
      <w:r>
        <w:rPr>
          <w:rFonts w:hint="eastAsia" w:ascii="宋体" w:hAnsi="宋体" w:cs="宋体"/>
          <w:color w:val="auto"/>
          <w:highlight w:val="none"/>
        </w:rPr>
        <w:t>。</w:t>
      </w:r>
    </w:p>
    <w:p w14:paraId="7D48ED40">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1.6.5 现场图纸准备</w:t>
      </w:r>
    </w:p>
    <w:p w14:paraId="018FB1D3">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关于现场图纸准备的约定：</w:t>
      </w:r>
      <w:r>
        <w:rPr>
          <w:rFonts w:hint="eastAsia" w:ascii="宋体" w:hAnsi="宋体" w:cs="宋体"/>
          <w:color w:val="auto"/>
          <w:highlight w:val="none"/>
          <w:u w:val="single"/>
        </w:rPr>
        <w:t xml:space="preserve">  按通用条款执行</w:t>
      </w:r>
      <w:r>
        <w:rPr>
          <w:rFonts w:hint="eastAsia" w:ascii="宋体" w:hAnsi="宋体" w:cs="宋体"/>
          <w:color w:val="auto"/>
          <w:highlight w:val="none"/>
        </w:rPr>
        <w:t>。</w:t>
      </w:r>
    </w:p>
    <w:p w14:paraId="1BD383CE">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308" w:name="_Toc25636"/>
      <w:bookmarkStart w:id="309" w:name="_Toc406522219"/>
      <w:bookmarkStart w:id="310" w:name="_Toc256000179"/>
      <w:bookmarkStart w:id="311" w:name="_Toc522201729"/>
      <w:bookmarkStart w:id="312" w:name="_Toc418751795"/>
      <w:bookmarkStart w:id="313" w:name="_Toc497747177"/>
      <w:bookmarkStart w:id="314" w:name="_Toc497746780"/>
      <w:bookmarkStart w:id="315" w:name="_Toc418752241"/>
      <w:r>
        <w:rPr>
          <w:rFonts w:hint="eastAsia" w:ascii="宋体" w:cs="宋体"/>
          <w:color w:val="auto"/>
          <w:highlight w:val="none"/>
        </w:rPr>
        <w:t>1.7 联络</w:t>
      </w:r>
      <w:bookmarkEnd w:id="308"/>
      <w:bookmarkEnd w:id="309"/>
      <w:bookmarkEnd w:id="310"/>
      <w:bookmarkEnd w:id="311"/>
      <w:bookmarkEnd w:id="312"/>
      <w:bookmarkEnd w:id="313"/>
      <w:bookmarkEnd w:id="314"/>
      <w:bookmarkEnd w:id="315"/>
    </w:p>
    <w:p w14:paraId="21293A3F">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1.7.1发包人和承包人应当在</w:t>
      </w:r>
      <w:r>
        <w:rPr>
          <w:rFonts w:hint="eastAsia" w:ascii="宋体" w:hAnsi="宋体" w:cs="宋体"/>
          <w:color w:val="auto"/>
          <w:highlight w:val="none"/>
          <w:u w:val="single"/>
        </w:rPr>
        <w:t xml:space="preserve">  7 </w:t>
      </w:r>
      <w:r>
        <w:rPr>
          <w:rFonts w:hint="eastAsia" w:ascii="宋体" w:hAnsi="宋体" w:cs="宋体"/>
          <w:color w:val="auto"/>
          <w:highlight w:val="none"/>
        </w:rPr>
        <w:t>天内将与合同有关的通知、批准、证明、证书、指示、指令、要求、请求、同意、意见、确定和决定等书面函件送达对方当事人。</w:t>
      </w:r>
    </w:p>
    <w:p w14:paraId="0E68B108">
      <w:pPr>
        <w:pStyle w:val="21"/>
        <w:keepNext w:val="0"/>
        <w:keepLines w:val="0"/>
        <w:pageBreakBefore w:val="0"/>
        <w:widowControl w:val="0"/>
        <w:wordWrap/>
        <w:topLinePunct w:val="0"/>
        <w:bidi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1.7.2发包人接收文件的地点：</w:t>
      </w:r>
      <w:r>
        <w:rPr>
          <w:rFonts w:hint="eastAsia" w:ascii="宋体" w:hAnsi="宋体" w:cs="宋体"/>
          <w:color w:val="auto"/>
          <w:szCs w:val="21"/>
          <w:highlight w:val="none"/>
          <w:u w:val="single"/>
        </w:rPr>
        <w:t xml:space="preserve"> </w:t>
      </w:r>
      <w:r>
        <w:rPr>
          <w:rFonts w:hint="eastAsia" w:ascii="宋体" w:hAnsi="宋体"/>
          <w:color w:val="auto"/>
          <w:highlight w:val="none"/>
          <w:u w:val="single"/>
        </w:rPr>
        <w:t>双方按实际情况现场约定</w:t>
      </w:r>
      <w:r>
        <w:rPr>
          <w:rFonts w:hint="eastAsia" w:ascii="宋体" w:hAnsi="宋体" w:cs="宋体"/>
          <w:color w:val="auto"/>
          <w:kern w:val="0"/>
          <w:szCs w:val="21"/>
          <w:highlight w:val="none"/>
        </w:rPr>
        <w:t>；</w:t>
      </w:r>
    </w:p>
    <w:p w14:paraId="3127E0B6">
      <w:pPr>
        <w:pStyle w:val="21"/>
        <w:keepNext w:val="0"/>
        <w:keepLines w:val="0"/>
        <w:pageBreakBefore w:val="0"/>
        <w:widowControl w:val="0"/>
        <w:wordWrap/>
        <w:topLinePunct w:val="0"/>
        <w:bidi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发包人指定的接收人为：</w:t>
      </w:r>
      <w:r>
        <w:rPr>
          <w:rFonts w:hint="eastAsia" w:ascii="宋体" w:hAnsi="宋体" w:cs="宋体"/>
          <w:color w:val="auto"/>
          <w:szCs w:val="21"/>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p>
    <w:p w14:paraId="1C62362B">
      <w:pPr>
        <w:pStyle w:val="21"/>
        <w:keepNext w:val="0"/>
        <w:keepLines w:val="0"/>
        <w:pageBreakBefore w:val="0"/>
        <w:widowControl w:val="0"/>
        <w:wordWrap/>
        <w:topLinePunct w:val="0"/>
        <w:bidi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承包人接收文件的地点：</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u w:val="single"/>
        </w:rPr>
        <w:t>施工现场项目部</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rPr>
        <w:t>；</w:t>
      </w:r>
    </w:p>
    <w:p w14:paraId="2B122F10">
      <w:pPr>
        <w:pStyle w:val="21"/>
        <w:keepNext w:val="0"/>
        <w:keepLines w:val="0"/>
        <w:pageBreakBefore w:val="0"/>
        <w:widowControl w:val="0"/>
        <w:wordWrap/>
        <w:topLinePunct w:val="0"/>
        <w:bidi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承包人指定的接收人为：</w:t>
      </w:r>
      <w:r>
        <w:rPr>
          <w:rFonts w:hint="eastAsia" w:ascii="宋体" w:hAnsi="宋体" w:cs="宋体"/>
          <w:color w:val="auto"/>
          <w:szCs w:val="21"/>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rPr>
        <w:t>。</w:t>
      </w:r>
    </w:p>
    <w:p w14:paraId="41C0BBE6">
      <w:pPr>
        <w:pStyle w:val="21"/>
        <w:keepNext w:val="0"/>
        <w:keepLines w:val="0"/>
        <w:pageBreakBefore w:val="0"/>
        <w:widowControl w:val="0"/>
        <w:wordWrap/>
        <w:topLinePunct w:val="0"/>
        <w:bidi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监理人接收文件的地点：</w:t>
      </w:r>
      <w:r>
        <w:rPr>
          <w:rFonts w:hint="eastAsia" w:ascii="宋体" w:hAnsi="宋体" w:cs="宋体"/>
          <w:color w:val="auto"/>
          <w:szCs w:val="21"/>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rPr>
        <w:t>；</w:t>
      </w:r>
    </w:p>
    <w:p w14:paraId="1CB6A997">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监理人指定的接收人为：</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74F7F9CC">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316" w:name="_Toc418752242"/>
      <w:bookmarkStart w:id="317" w:name="_Toc406522220"/>
      <w:bookmarkStart w:id="318" w:name="_Toc256000180"/>
      <w:bookmarkStart w:id="319" w:name="_Toc522201730"/>
      <w:bookmarkStart w:id="320" w:name="_Toc418751796"/>
      <w:bookmarkStart w:id="321" w:name="_Toc497747178"/>
      <w:bookmarkStart w:id="322" w:name="_Toc497746781"/>
      <w:bookmarkStart w:id="323" w:name="_Toc31771"/>
      <w:r>
        <w:rPr>
          <w:rFonts w:hint="eastAsia" w:ascii="宋体" w:cs="宋体"/>
          <w:color w:val="auto"/>
          <w:highlight w:val="none"/>
        </w:rPr>
        <w:t>1.10 交通运输</w:t>
      </w:r>
      <w:bookmarkEnd w:id="316"/>
      <w:bookmarkEnd w:id="317"/>
      <w:bookmarkEnd w:id="318"/>
      <w:bookmarkEnd w:id="319"/>
      <w:bookmarkEnd w:id="320"/>
      <w:bookmarkEnd w:id="321"/>
      <w:bookmarkEnd w:id="322"/>
      <w:bookmarkEnd w:id="323"/>
    </w:p>
    <w:p w14:paraId="0A926211">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1</w:t>
      </w:r>
      <w:bookmarkStart w:id="324" w:name="_Toc304295521"/>
      <w:bookmarkStart w:id="325" w:name="_Toc318581155"/>
      <w:bookmarkStart w:id="326" w:name="_Toc300934943"/>
      <w:bookmarkStart w:id="327" w:name="_Toc312677986"/>
      <w:bookmarkStart w:id="328" w:name="_Toc303539100"/>
      <w:r>
        <w:rPr>
          <w:rFonts w:hint="eastAsia" w:ascii="宋体" w:hAnsi="宋体" w:cs="宋体"/>
          <w:color w:val="auto"/>
          <w:highlight w:val="none"/>
        </w:rPr>
        <w:t>.10.1 出入现场的权利</w:t>
      </w:r>
    </w:p>
    <w:p w14:paraId="3B573D41">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关于出入现场的权利的约定：</w:t>
      </w:r>
      <w:r>
        <w:rPr>
          <w:rFonts w:hint="eastAsia" w:ascii="宋体" w:hAnsi="宋体" w:cs="宋体"/>
          <w:color w:val="auto"/>
          <w:highlight w:val="none"/>
          <w:u w:val="single"/>
        </w:rPr>
        <w:t xml:space="preserve"> 除正常施工涉及的人员及车辆外，其他人员及车辆进出场内须经过发包人同意，且由承包人进行管理登记 </w:t>
      </w:r>
      <w:r>
        <w:rPr>
          <w:rFonts w:hint="eastAsia" w:ascii="宋体" w:hAnsi="宋体" w:cs="宋体"/>
          <w:color w:val="auto"/>
          <w:highlight w:val="none"/>
        </w:rPr>
        <w:t>。</w:t>
      </w:r>
    </w:p>
    <w:bookmarkEnd w:id="324"/>
    <w:bookmarkEnd w:id="325"/>
    <w:bookmarkEnd w:id="326"/>
    <w:bookmarkEnd w:id="327"/>
    <w:bookmarkEnd w:id="328"/>
    <w:p w14:paraId="24271B99">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1</w:t>
      </w:r>
      <w:bookmarkStart w:id="329" w:name="_Toc303539101"/>
      <w:bookmarkStart w:id="330" w:name="_Toc300934944"/>
      <w:bookmarkStart w:id="331" w:name="_Toc318581156"/>
      <w:bookmarkStart w:id="332" w:name="_Toc312677987"/>
      <w:bookmarkStart w:id="333" w:name="_Toc304295522"/>
      <w:r>
        <w:rPr>
          <w:rFonts w:hint="eastAsia" w:ascii="宋体" w:hAnsi="宋体" w:cs="宋体"/>
          <w:color w:val="auto"/>
          <w:highlight w:val="none"/>
        </w:rPr>
        <w:t>.10.3 场内交通</w:t>
      </w:r>
    </w:p>
    <w:p w14:paraId="00DCFE5B">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关于场外交通和场内交通的边界的约定：</w:t>
      </w:r>
      <w:r>
        <w:rPr>
          <w:rFonts w:hint="eastAsia" w:ascii="宋体" w:hAnsi="宋体" w:cs="宋体"/>
          <w:color w:val="auto"/>
          <w:highlight w:val="none"/>
          <w:u w:val="single"/>
        </w:rPr>
        <w:t xml:space="preserve">  规划批复总平用地红线  </w:t>
      </w:r>
      <w:r>
        <w:rPr>
          <w:rFonts w:hint="eastAsia" w:ascii="宋体" w:hAnsi="宋体" w:cs="宋体"/>
          <w:color w:val="auto"/>
          <w:highlight w:val="none"/>
        </w:rPr>
        <w:t>。</w:t>
      </w:r>
    </w:p>
    <w:p w14:paraId="59145111">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关于发包人向承包人免费提供满足工程施工需要的场内道路和交通设施的约定：</w:t>
      </w:r>
      <w:r>
        <w:rPr>
          <w:rFonts w:hint="eastAsia" w:ascii="宋体" w:hAnsi="宋体" w:cs="宋体"/>
          <w:color w:val="auto"/>
          <w:highlight w:val="none"/>
          <w:u w:val="single"/>
        </w:rPr>
        <w:t>承包人负责场内道路和交通设施的修建并承担相应费用</w:t>
      </w:r>
      <w:r>
        <w:rPr>
          <w:rFonts w:hint="eastAsia" w:ascii="宋体" w:hAnsi="宋体" w:cs="宋体"/>
          <w:color w:val="auto"/>
          <w:highlight w:val="none"/>
        </w:rPr>
        <w:t>。</w:t>
      </w:r>
      <w:bookmarkEnd w:id="329"/>
      <w:bookmarkEnd w:id="330"/>
      <w:bookmarkEnd w:id="331"/>
      <w:bookmarkEnd w:id="332"/>
      <w:bookmarkEnd w:id="333"/>
      <w:r>
        <w:rPr>
          <w:rFonts w:hint="eastAsia" w:ascii="宋体" w:hAnsi="宋体" w:cs="宋体"/>
          <w:color w:val="auto"/>
          <w:highlight w:val="none"/>
        </w:rPr>
        <w:t xml:space="preserve">  </w:t>
      </w:r>
      <w:bookmarkStart w:id="334" w:name="_Toc318581157"/>
    </w:p>
    <w:p w14:paraId="3F16037F">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1.10.4超大件和超重件的运输</w:t>
      </w:r>
    </w:p>
    <w:p w14:paraId="24D5B76C">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运输超大件或超重件所需的道路和桥梁临时加固改造费用和其他有关费用由</w:t>
      </w:r>
      <w:r>
        <w:rPr>
          <w:rFonts w:hint="eastAsia" w:ascii="宋体" w:hAnsi="宋体" w:cs="宋体"/>
          <w:color w:val="auto"/>
          <w:highlight w:val="none"/>
          <w:u w:val="single"/>
        </w:rPr>
        <w:t>承包人</w:t>
      </w:r>
      <w:r>
        <w:rPr>
          <w:rFonts w:hint="eastAsia" w:ascii="宋体" w:hAnsi="宋体" w:cs="宋体"/>
          <w:color w:val="auto"/>
          <w:highlight w:val="none"/>
        </w:rPr>
        <w:t>承担。</w:t>
      </w:r>
    </w:p>
    <w:bookmarkEnd w:id="334"/>
    <w:p w14:paraId="0114CFF0">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335" w:name="_Toc497747179"/>
      <w:bookmarkStart w:id="336" w:name="_Toc418752243"/>
      <w:bookmarkStart w:id="337" w:name="_Toc497746782"/>
      <w:bookmarkStart w:id="338" w:name="_Toc17997"/>
      <w:bookmarkStart w:id="339" w:name="_Toc522201731"/>
      <w:bookmarkStart w:id="340" w:name="_Toc406522221"/>
      <w:bookmarkStart w:id="341" w:name="_Toc256000181"/>
      <w:bookmarkStart w:id="342" w:name="_Toc418751797"/>
      <w:r>
        <w:rPr>
          <w:rFonts w:hint="eastAsia" w:ascii="宋体" w:cs="宋体"/>
          <w:color w:val="auto"/>
          <w:highlight w:val="none"/>
        </w:rPr>
        <w:t>1.11 知识产权</w:t>
      </w:r>
      <w:bookmarkEnd w:id="335"/>
      <w:bookmarkEnd w:id="336"/>
      <w:bookmarkEnd w:id="337"/>
      <w:bookmarkEnd w:id="338"/>
      <w:bookmarkEnd w:id="339"/>
      <w:bookmarkEnd w:id="340"/>
      <w:bookmarkEnd w:id="341"/>
      <w:bookmarkEnd w:id="342"/>
    </w:p>
    <w:p w14:paraId="258A5848">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1.11.1关于发包人提供给承包人的图纸、发包人为实施工程自行编制或委托编制的技术规范以及反映发包人关于合同要求或其他类似性质的文件的著作权的归属：</w:t>
      </w:r>
      <w:r>
        <w:rPr>
          <w:rFonts w:hint="eastAsia" w:ascii="宋体" w:hAnsi="宋体" w:cs="宋体"/>
          <w:color w:val="auto"/>
          <w:highlight w:val="none"/>
          <w:u w:val="single"/>
        </w:rPr>
        <w:t>著作权属于发包人</w:t>
      </w:r>
      <w:r>
        <w:rPr>
          <w:rFonts w:hint="eastAsia" w:ascii="宋体" w:hAnsi="宋体" w:cs="宋体"/>
          <w:color w:val="auto"/>
          <w:highlight w:val="none"/>
        </w:rPr>
        <w:t>。</w:t>
      </w:r>
    </w:p>
    <w:p w14:paraId="08F11D4A">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关于发包人提供的上述文件的使用限制的要求：</w:t>
      </w:r>
      <w:r>
        <w:rPr>
          <w:rFonts w:hint="eastAsia" w:ascii="宋体" w:hAnsi="宋体" w:cs="宋体"/>
          <w:color w:val="auto"/>
          <w:highlight w:val="none"/>
          <w:u w:val="single"/>
        </w:rPr>
        <w:t>未经发包人同意，承包人不得为了合同以外的目的而复制、使用上述文件或将之提供给任何第三方</w:t>
      </w:r>
      <w:r>
        <w:rPr>
          <w:rFonts w:hint="eastAsia" w:ascii="宋体" w:hAnsi="宋体" w:cs="宋体"/>
          <w:color w:val="auto"/>
          <w:highlight w:val="none"/>
        </w:rPr>
        <w:t>。</w:t>
      </w:r>
    </w:p>
    <w:p w14:paraId="6FA5F199">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1.11.2 关于承包人为实施工程所编制文件的著作权的归属：</w:t>
      </w:r>
      <w:r>
        <w:rPr>
          <w:rFonts w:hint="eastAsia" w:ascii="宋体" w:hAnsi="宋体" w:cs="宋体"/>
          <w:color w:val="auto"/>
          <w:highlight w:val="none"/>
          <w:u w:val="single"/>
        </w:rPr>
        <w:t>除署名以外著作权属于发包人</w:t>
      </w:r>
      <w:r>
        <w:rPr>
          <w:rFonts w:hint="eastAsia" w:ascii="宋体" w:hAnsi="宋体" w:cs="宋体"/>
          <w:color w:val="auto"/>
          <w:highlight w:val="none"/>
        </w:rPr>
        <w:t>。</w:t>
      </w:r>
    </w:p>
    <w:p w14:paraId="28DB8DAF">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关于承包人提供的上述文件的使用限制的要求：</w:t>
      </w:r>
      <w:r>
        <w:rPr>
          <w:rFonts w:hint="eastAsia" w:ascii="宋体" w:hAnsi="宋体" w:cs="宋体"/>
          <w:color w:val="auto"/>
          <w:highlight w:val="none"/>
          <w:u w:val="single"/>
        </w:rPr>
        <w:t>未经发包人同意，承包人不得为了合同以外的目的而复制、使用上述文件或将之提供给任何第三方</w:t>
      </w:r>
      <w:r>
        <w:rPr>
          <w:rFonts w:hint="eastAsia" w:ascii="宋体" w:hAnsi="宋体" w:cs="宋体"/>
          <w:color w:val="auto"/>
          <w:highlight w:val="none"/>
        </w:rPr>
        <w:t>。</w:t>
      </w:r>
    </w:p>
    <w:p w14:paraId="3356688A">
      <w:pPr>
        <w:pStyle w:val="51"/>
        <w:keepNext w:val="0"/>
        <w:keepLines w:val="0"/>
        <w:pageBreakBefore w:val="0"/>
        <w:widowControl w:val="0"/>
        <w:wordWrap/>
        <w:topLinePunct w:val="0"/>
        <w:bidi w:val="0"/>
        <w:spacing w:line="380" w:lineRule="exact"/>
        <w:rPr>
          <w:rFonts w:ascii="宋体" w:hAnsi="宋体" w:cs="宋体"/>
          <w:color w:val="auto"/>
          <w:highlight w:val="none"/>
          <w:u w:val="single"/>
        </w:rPr>
      </w:pPr>
      <w:r>
        <w:rPr>
          <w:rFonts w:hint="eastAsia" w:ascii="宋体" w:hAnsi="宋体" w:cs="宋体"/>
          <w:color w:val="auto"/>
          <w:highlight w:val="none"/>
        </w:rPr>
        <w:t>1.11.4 承包人在施工过程中所采用的专利、专有技术、技术秘密的使用费的承担方式：</w:t>
      </w:r>
      <w:r>
        <w:rPr>
          <w:rFonts w:hint="eastAsia" w:ascii="宋体" w:hAnsi="宋体" w:cs="宋体"/>
          <w:color w:val="auto"/>
          <w:highlight w:val="none"/>
          <w:u w:val="single"/>
        </w:rPr>
        <w:t>由承包人承担</w:t>
      </w:r>
      <w:r>
        <w:rPr>
          <w:rFonts w:hint="eastAsia" w:ascii="宋体" w:hAnsi="宋体" w:cs="宋体"/>
          <w:color w:val="auto"/>
          <w:highlight w:val="none"/>
        </w:rPr>
        <w:t>。</w:t>
      </w:r>
    </w:p>
    <w:p w14:paraId="495B8EBA">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1.13工程量清单错误的修正</w:t>
      </w:r>
    </w:p>
    <w:p w14:paraId="18848206">
      <w:pPr>
        <w:pStyle w:val="51"/>
        <w:keepNext w:val="0"/>
        <w:keepLines w:val="0"/>
        <w:pageBreakBefore w:val="0"/>
        <w:widowControl w:val="0"/>
        <w:wordWrap/>
        <w:topLinePunct w:val="0"/>
        <w:bidi w:val="0"/>
        <w:spacing w:line="380" w:lineRule="exact"/>
        <w:rPr>
          <w:rFonts w:ascii="宋体" w:hAnsi="宋体" w:cs="宋体"/>
          <w:color w:val="auto"/>
          <w:highlight w:val="none"/>
          <w:u w:val="single"/>
        </w:rPr>
      </w:pPr>
      <w:r>
        <w:rPr>
          <w:rFonts w:hint="eastAsia" w:ascii="宋体" w:hAnsi="宋体" w:cs="宋体"/>
          <w:color w:val="auto"/>
          <w:highlight w:val="none"/>
        </w:rPr>
        <w:t>出现工程量清单错误时，是否调整合同价格：</w:t>
      </w:r>
      <w:r>
        <w:rPr>
          <w:rFonts w:hint="eastAsia" w:ascii="宋体" w:hAnsi="宋体" w:cs="宋体"/>
          <w:color w:val="auto"/>
          <w:highlight w:val="none"/>
          <w:u w:val="single"/>
        </w:rPr>
        <w:t>按《建设工程工程量清单计价规范（GB5050-2013）》及其广西实施细则、《建设工程工程量清单计算规范（</w:t>
      </w:r>
      <w:r>
        <w:rPr>
          <w:rFonts w:hint="eastAsia" w:ascii="宋体" w:hAnsi="宋体" w:cs="宋体"/>
          <w:color w:val="auto"/>
          <w:highlight w:val="none"/>
          <w:u w:val="single"/>
          <w:lang w:eastAsia="zh-CN"/>
        </w:rPr>
        <w:t>GB50854</w:t>
      </w:r>
      <w:r>
        <w:rPr>
          <w:rFonts w:hint="eastAsia" w:ascii="宋体" w:hAnsi="宋体" w:cs="宋体"/>
          <w:color w:val="auto"/>
          <w:highlight w:val="none"/>
          <w:u w:val="single"/>
        </w:rPr>
        <w:t>～50862-2013）》及其广西实施细则（修订本）等规定。</w:t>
      </w:r>
    </w:p>
    <w:p w14:paraId="7BCD9957">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 xml:space="preserve">允许调整合同价格的工程量偏差范围： </w:t>
      </w:r>
      <w:r>
        <w:rPr>
          <w:rFonts w:hint="eastAsia" w:ascii="宋体" w:hAnsi="宋体" w:cs="宋体"/>
          <w:color w:val="auto"/>
          <w:highlight w:val="none"/>
          <w:u w:val="single"/>
        </w:rPr>
        <w:t>按《建设工程工程量清单计价规范（GB5050-2013）》及其广西实施细则、《建设工程工程量清单计算规范（</w:t>
      </w:r>
      <w:r>
        <w:rPr>
          <w:rFonts w:hint="eastAsia" w:ascii="宋体" w:hAnsi="宋体" w:cs="宋体"/>
          <w:color w:val="auto"/>
          <w:highlight w:val="none"/>
          <w:u w:val="single"/>
          <w:lang w:eastAsia="zh-CN"/>
        </w:rPr>
        <w:t>GB50854</w:t>
      </w:r>
      <w:r>
        <w:rPr>
          <w:rFonts w:hint="eastAsia" w:ascii="宋体" w:hAnsi="宋体" w:cs="宋体"/>
          <w:color w:val="auto"/>
          <w:highlight w:val="none"/>
          <w:u w:val="single"/>
        </w:rPr>
        <w:t>～50862-2013）》及其广西实施细则（修订本）等规定</w:t>
      </w:r>
      <w:r>
        <w:rPr>
          <w:rFonts w:hint="eastAsia" w:ascii="宋体" w:hAnsi="宋体" w:cs="宋体"/>
          <w:color w:val="auto"/>
          <w:highlight w:val="none"/>
        </w:rPr>
        <w:t>。</w:t>
      </w:r>
    </w:p>
    <w:p w14:paraId="4390F8CC">
      <w:pPr>
        <w:pStyle w:val="46"/>
        <w:keepNext w:val="0"/>
        <w:keepLines w:val="0"/>
        <w:pageBreakBefore w:val="0"/>
        <w:widowControl w:val="0"/>
        <w:wordWrap/>
        <w:topLinePunct w:val="0"/>
        <w:bidi w:val="0"/>
        <w:spacing w:line="380" w:lineRule="exact"/>
        <w:outlineLvl w:val="2"/>
        <w:rPr>
          <w:rFonts w:ascii="宋体" w:cs="宋体"/>
          <w:color w:val="auto"/>
          <w:highlight w:val="none"/>
        </w:rPr>
      </w:pPr>
      <w:bookmarkStart w:id="343" w:name="_Toc522201732"/>
      <w:bookmarkStart w:id="344" w:name="_Toc497747180"/>
      <w:bookmarkStart w:id="345" w:name="_Toc351203634"/>
      <w:bookmarkStart w:id="346" w:name="_Toc418751798"/>
      <w:bookmarkStart w:id="347" w:name="_Toc418752244"/>
      <w:bookmarkStart w:id="348" w:name="_Toc256000182"/>
      <w:bookmarkStart w:id="349" w:name="_Toc1764"/>
      <w:bookmarkStart w:id="350" w:name="_Toc406522222"/>
      <w:bookmarkStart w:id="351" w:name="_Toc497746783"/>
      <w:r>
        <w:rPr>
          <w:rFonts w:hint="eastAsia" w:ascii="宋体" w:cs="宋体"/>
          <w:color w:val="auto"/>
          <w:highlight w:val="none"/>
        </w:rPr>
        <w:t>2</w:t>
      </w:r>
      <w:bookmarkStart w:id="352" w:name="_Toc292559867"/>
      <w:bookmarkStart w:id="353" w:name="_Toc296347156"/>
      <w:bookmarkStart w:id="354" w:name="_Toc296944496"/>
      <w:bookmarkStart w:id="355" w:name="_Toc296891197"/>
      <w:bookmarkStart w:id="356" w:name="_Toc297120457"/>
      <w:bookmarkStart w:id="357" w:name="_Toc296346658"/>
      <w:bookmarkStart w:id="358" w:name="_Toc297048343"/>
      <w:bookmarkStart w:id="359" w:name="_Toc292559362"/>
      <w:bookmarkStart w:id="360" w:name="_Toc296890985"/>
      <w:bookmarkStart w:id="361" w:name="_Toc296503157"/>
      <w:r>
        <w:rPr>
          <w:rFonts w:hint="eastAsia" w:ascii="宋体" w:cs="宋体"/>
          <w:color w:val="auto"/>
          <w:highlight w:val="none"/>
        </w:rPr>
        <w:t>. 发包人</w:t>
      </w:r>
      <w:bookmarkEnd w:id="343"/>
      <w:bookmarkEnd w:id="344"/>
      <w:bookmarkEnd w:id="345"/>
      <w:bookmarkEnd w:id="346"/>
      <w:bookmarkEnd w:id="347"/>
      <w:bookmarkEnd w:id="348"/>
      <w:bookmarkEnd w:id="349"/>
      <w:bookmarkEnd w:id="350"/>
      <w:bookmarkEnd w:id="351"/>
    </w:p>
    <w:bookmarkEnd w:id="352"/>
    <w:bookmarkEnd w:id="353"/>
    <w:bookmarkEnd w:id="354"/>
    <w:bookmarkEnd w:id="355"/>
    <w:bookmarkEnd w:id="356"/>
    <w:bookmarkEnd w:id="357"/>
    <w:bookmarkEnd w:id="358"/>
    <w:bookmarkEnd w:id="359"/>
    <w:bookmarkEnd w:id="360"/>
    <w:bookmarkEnd w:id="361"/>
    <w:p w14:paraId="632F27CD">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362" w:name="_Toc418752245"/>
      <w:bookmarkStart w:id="363" w:name="_Toc406522223"/>
      <w:bookmarkStart w:id="364" w:name="_Toc522201733"/>
      <w:bookmarkStart w:id="365" w:name="_Toc10058"/>
      <w:bookmarkStart w:id="366" w:name="_Toc418751799"/>
      <w:bookmarkStart w:id="367" w:name="_Toc256000183"/>
      <w:bookmarkStart w:id="368" w:name="_Toc497746784"/>
      <w:bookmarkStart w:id="369" w:name="_Toc497747181"/>
      <w:r>
        <w:rPr>
          <w:rFonts w:hint="eastAsia" w:ascii="宋体" w:cs="宋体"/>
          <w:color w:val="auto"/>
          <w:highlight w:val="none"/>
        </w:rPr>
        <w:t>2.2 发包人代表</w:t>
      </w:r>
      <w:bookmarkEnd w:id="362"/>
      <w:bookmarkEnd w:id="363"/>
      <w:bookmarkEnd w:id="364"/>
      <w:bookmarkEnd w:id="365"/>
      <w:bookmarkEnd w:id="366"/>
      <w:bookmarkEnd w:id="367"/>
      <w:bookmarkEnd w:id="368"/>
      <w:bookmarkEnd w:id="369"/>
    </w:p>
    <w:p w14:paraId="4D7C9E15">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发包人代表：</w:t>
      </w:r>
    </w:p>
    <w:p w14:paraId="1C618C88">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姓    名：</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78FD1B23">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职    务：</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2B2316BE">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联系电话：</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1DD911AA">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电子信箱：</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02A43651">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通信地址：</w:t>
      </w:r>
      <w:r>
        <w:rPr>
          <w:rFonts w:hint="eastAsia" w:ascii="宋体" w:hAnsi="宋体" w:cs="宋体"/>
          <w:color w:val="auto"/>
          <w:highlight w:val="none"/>
          <w:u w:val="single"/>
          <w:lang w:val="en-US" w:eastAsia="zh-CN"/>
        </w:rPr>
        <w:t xml:space="preserve"> 中标（成交）后填写 </w:t>
      </w:r>
      <w:r>
        <w:rPr>
          <w:rFonts w:hint="eastAsia" w:ascii="宋体" w:hAnsi="宋体" w:cs="宋体"/>
          <w:color w:val="auto"/>
          <w:highlight w:val="none"/>
        </w:rPr>
        <w:t>。</w:t>
      </w:r>
    </w:p>
    <w:p w14:paraId="49B54CCA">
      <w:pPr>
        <w:pStyle w:val="51"/>
        <w:keepNext w:val="0"/>
        <w:keepLines w:val="0"/>
        <w:pageBreakBefore w:val="0"/>
        <w:widowControl w:val="0"/>
        <w:wordWrap/>
        <w:topLinePunct w:val="0"/>
        <w:bidi w:val="0"/>
        <w:spacing w:line="380" w:lineRule="exact"/>
        <w:rPr>
          <w:rFonts w:ascii="宋体" w:hAnsi="宋体" w:cs="宋体"/>
          <w:b/>
          <w:color w:val="auto"/>
          <w:highlight w:val="none"/>
        </w:rPr>
      </w:pPr>
      <w:r>
        <w:rPr>
          <w:rFonts w:hint="eastAsia" w:ascii="宋体" w:hAnsi="宋体" w:cs="宋体"/>
          <w:color w:val="auto"/>
          <w:highlight w:val="none"/>
        </w:rPr>
        <w:t>发包人对发包人代表的授权范围如下：</w:t>
      </w:r>
      <w:r>
        <w:rPr>
          <w:rFonts w:hint="eastAsia" w:ascii="宋体" w:hAnsi="宋体" w:cs="宋体"/>
          <w:color w:val="auto"/>
          <w:highlight w:val="none"/>
          <w:u w:val="single"/>
        </w:rPr>
        <w:t>对工程进度、质量进行监督、办理中间交工工程验收手续，负责现场签证，解决由发包人授权处理的事宜</w:t>
      </w:r>
      <w:r>
        <w:rPr>
          <w:rFonts w:hint="eastAsia" w:ascii="宋体" w:hAnsi="宋体" w:cs="宋体"/>
          <w:color w:val="auto"/>
          <w:highlight w:val="none"/>
        </w:rPr>
        <w:t>。</w:t>
      </w:r>
    </w:p>
    <w:p w14:paraId="1A0C3DCE">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370" w:name="_Toc497747182"/>
      <w:bookmarkStart w:id="371" w:name="_Toc418752246"/>
      <w:bookmarkStart w:id="372" w:name="_Toc256000184"/>
      <w:bookmarkStart w:id="373" w:name="_Toc497746785"/>
      <w:bookmarkStart w:id="374" w:name="_Toc8326"/>
      <w:bookmarkStart w:id="375" w:name="_Toc406522224"/>
      <w:bookmarkStart w:id="376" w:name="_Toc522201734"/>
      <w:bookmarkStart w:id="377" w:name="_Toc418751800"/>
      <w:r>
        <w:rPr>
          <w:rFonts w:hint="eastAsia" w:ascii="宋体" w:cs="宋体"/>
          <w:color w:val="auto"/>
          <w:highlight w:val="none"/>
        </w:rPr>
        <w:t>2.4 施工现场、施工条件和基础资料的提供</w:t>
      </w:r>
      <w:bookmarkEnd w:id="370"/>
      <w:bookmarkEnd w:id="371"/>
      <w:bookmarkEnd w:id="372"/>
      <w:bookmarkEnd w:id="373"/>
      <w:bookmarkEnd w:id="374"/>
      <w:bookmarkEnd w:id="375"/>
      <w:bookmarkEnd w:id="376"/>
      <w:bookmarkEnd w:id="377"/>
    </w:p>
    <w:p w14:paraId="17C2E317">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2.4.1 提供施工现场</w:t>
      </w:r>
    </w:p>
    <w:p w14:paraId="09ADACA4">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关于发包人移交施工现场的期限要求：</w:t>
      </w:r>
      <w:r>
        <w:rPr>
          <w:rFonts w:hint="eastAsia" w:ascii="宋体" w:hAnsi="宋体" w:cs="宋体"/>
          <w:color w:val="auto"/>
          <w:highlight w:val="none"/>
          <w:u w:val="single"/>
        </w:rPr>
        <w:t xml:space="preserve"> 施工场地应当在监理人发出的开工通知中载明的开工日期前七天具备施工条件并移交给承包人，具体施工条件在施工合同中约定。发包人最迟应当在移交施工场地的同时向承包人提供施工场地内地下管线和地下设施等有关资料，并保证资料的真实、准确和完整</w:t>
      </w:r>
      <w:r>
        <w:rPr>
          <w:rFonts w:hint="eastAsia" w:ascii="宋体" w:hAnsi="宋体" w:cs="宋体"/>
          <w:color w:val="auto"/>
          <w:highlight w:val="none"/>
        </w:rPr>
        <w:t>。</w:t>
      </w:r>
    </w:p>
    <w:p w14:paraId="1962BBE3">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2.4.2 提供施工条件</w:t>
      </w:r>
    </w:p>
    <w:p w14:paraId="725111AF">
      <w:pPr>
        <w:pStyle w:val="51"/>
        <w:keepNext w:val="0"/>
        <w:keepLines w:val="0"/>
        <w:pageBreakBefore w:val="0"/>
        <w:widowControl w:val="0"/>
        <w:wordWrap/>
        <w:topLinePunct w:val="0"/>
        <w:bidi w:val="0"/>
        <w:spacing w:line="380" w:lineRule="exact"/>
        <w:rPr>
          <w:rFonts w:ascii="宋体" w:hAnsi="宋体" w:cs="宋体"/>
          <w:color w:val="auto"/>
          <w:highlight w:val="none"/>
          <w:u w:val="single"/>
        </w:rPr>
      </w:pPr>
      <w:r>
        <w:rPr>
          <w:rFonts w:hint="eastAsia" w:ascii="宋体" w:hAnsi="宋体" w:cs="宋体"/>
          <w:color w:val="auto"/>
          <w:highlight w:val="none"/>
        </w:rPr>
        <w:t>关于发包人应负责提供施工所需要的条件，包括：</w:t>
      </w:r>
      <w:r>
        <w:rPr>
          <w:rFonts w:hint="eastAsia" w:ascii="宋体" w:hAnsi="宋体" w:cs="宋体"/>
          <w:color w:val="auto"/>
          <w:highlight w:val="none"/>
          <w:u w:val="single"/>
        </w:rPr>
        <w:t>发包人可配合承包人办理开工所需手续及相关申请，费用由承包人自行解决，施工场地与公共道路的通道，由承包人负责实施，费用已包含在合同价中</w:t>
      </w:r>
      <w:r>
        <w:rPr>
          <w:rFonts w:hint="eastAsia" w:ascii="宋体" w:hAnsi="宋体" w:cs="宋体"/>
          <w:color w:val="auto"/>
          <w:highlight w:val="none"/>
        </w:rPr>
        <w:t>。</w:t>
      </w:r>
    </w:p>
    <w:p w14:paraId="5658780B">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378" w:name="_Toc497746786"/>
      <w:bookmarkStart w:id="379" w:name="_Toc418752247"/>
      <w:bookmarkStart w:id="380" w:name="_Toc418751801"/>
      <w:bookmarkStart w:id="381" w:name="_Toc497747183"/>
      <w:bookmarkStart w:id="382" w:name="_Toc522201735"/>
      <w:bookmarkStart w:id="383" w:name="_Toc25273"/>
      <w:bookmarkStart w:id="384" w:name="_Toc256000185"/>
      <w:bookmarkStart w:id="385" w:name="_Toc406522225"/>
      <w:r>
        <w:rPr>
          <w:rFonts w:hint="eastAsia" w:ascii="宋体" w:cs="宋体"/>
          <w:color w:val="auto"/>
          <w:highlight w:val="none"/>
        </w:rPr>
        <w:t>2.5 资金来源证明及支付担保</w:t>
      </w:r>
      <w:bookmarkEnd w:id="378"/>
      <w:bookmarkEnd w:id="379"/>
      <w:bookmarkEnd w:id="380"/>
      <w:bookmarkEnd w:id="381"/>
      <w:bookmarkEnd w:id="382"/>
      <w:bookmarkEnd w:id="383"/>
      <w:bookmarkEnd w:id="384"/>
      <w:bookmarkEnd w:id="385"/>
    </w:p>
    <w:p w14:paraId="67DB2662">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发包人提供资金来源证明的期限要求：</w:t>
      </w:r>
      <w:r>
        <w:rPr>
          <w:rFonts w:hint="eastAsia" w:ascii="宋体" w:hAnsi="宋体" w:cs="宋体"/>
          <w:color w:val="auto"/>
          <w:highlight w:val="none"/>
          <w:u w:val="single"/>
        </w:rPr>
        <w:t xml:space="preserve"> 无 </w:t>
      </w:r>
      <w:r>
        <w:rPr>
          <w:rFonts w:hint="eastAsia" w:ascii="宋体" w:hAnsi="宋体" w:cs="宋体"/>
          <w:color w:val="auto"/>
          <w:highlight w:val="none"/>
        </w:rPr>
        <w:t>。</w:t>
      </w:r>
    </w:p>
    <w:p w14:paraId="52895F64">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发包人是否提供支付担保：</w:t>
      </w:r>
      <w:r>
        <w:rPr>
          <w:rFonts w:hint="eastAsia" w:ascii="宋体" w:hAnsi="宋体" w:cs="宋体"/>
          <w:color w:val="auto"/>
          <w:highlight w:val="none"/>
          <w:u w:val="single"/>
        </w:rPr>
        <w:t xml:space="preserve">    否　　　   </w:t>
      </w:r>
      <w:r>
        <w:rPr>
          <w:rFonts w:hint="eastAsia" w:ascii="宋体" w:hAnsi="宋体" w:cs="宋体"/>
          <w:color w:val="auto"/>
          <w:highlight w:val="none"/>
        </w:rPr>
        <w:t>。</w:t>
      </w:r>
    </w:p>
    <w:p w14:paraId="49CEDCE2">
      <w:pPr>
        <w:pStyle w:val="51"/>
        <w:keepNext w:val="0"/>
        <w:keepLines w:val="0"/>
        <w:pageBreakBefore w:val="0"/>
        <w:widowControl w:val="0"/>
        <w:wordWrap/>
        <w:topLinePunct w:val="0"/>
        <w:bidi w:val="0"/>
        <w:spacing w:line="380" w:lineRule="exact"/>
        <w:rPr>
          <w:rFonts w:ascii="宋体" w:hAnsi="宋体" w:cs="宋体"/>
          <w:color w:val="auto"/>
          <w:highlight w:val="none"/>
          <w:u w:val="single"/>
        </w:rPr>
      </w:pPr>
      <w:r>
        <w:rPr>
          <w:rFonts w:hint="eastAsia" w:ascii="宋体" w:hAnsi="宋体" w:cs="宋体"/>
          <w:color w:val="auto"/>
          <w:highlight w:val="none"/>
        </w:rPr>
        <w:t>发包人提供支付担保的形式：</w:t>
      </w:r>
      <w:r>
        <w:rPr>
          <w:rFonts w:hint="eastAsia" w:ascii="宋体" w:hAnsi="宋体" w:cs="宋体"/>
          <w:color w:val="auto"/>
          <w:highlight w:val="none"/>
          <w:u w:val="single"/>
        </w:rPr>
        <w:t xml:space="preserve">   /　       </w:t>
      </w:r>
      <w:r>
        <w:rPr>
          <w:rFonts w:hint="eastAsia" w:ascii="宋体" w:hAnsi="宋体" w:cs="宋体"/>
          <w:color w:val="auto"/>
          <w:highlight w:val="none"/>
        </w:rPr>
        <w:t>。</w:t>
      </w:r>
    </w:p>
    <w:p w14:paraId="7DB61268">
      <w:pPr>
        <w:pStyle w:val="46"/>
        <w:keepNext w:val="0"/>
        <w:keepLines w:val="0"/>
        <w:pageBreakBefore w:val="0"/>
        <w:widowControl w:val="0"/>
        <w:wordWrap/>
        <w:topLinePunct w:val="0"/>
        <w:bidi w:val="0"/>
        <w:spacing w:line="380" w:lineRule="exact"/>
        <w:outlineLvl w:val="2"/>
        <w:rPr>
          <w:rFonts w:ascii="宋体" w:cs="宋体"/>
          <w:color w:val="auto"/>
          <w:highlight w:val="none"/>
        </w:rPr>
      </w:pPr>
      <w:bookmarkStart w:id="386" w:name="_Toc497746787"/>
      <w:bookmarkStart w:id="387" w:name="_Toc256000186"/>
      <w:bookmarkStart w:id="388" w:name="_Toc522201736"/>
      <w:bookmarkStart w:id="389" w:name="_Toc406522226"/>
      <w:bookmarkStart w:id="390" w:name="_Toc418751802"/>
      <w:bookmarkStart w:id="391" w:name="_Toc351203635"/>
      <w:bookmarkStart w:id="392" w:name="_Toc6875"/>
      <w:bookmarkStart w:id="393" w:name="_Toc418752248"/>
      <w:bookmarkStart w:id="394" w:name="_Toc497747184"/>
      <w:r>
        <w:rPr>
          <w:rFonts w:hint="eastAsia" w:ascii="宋体" w:cs="宋体"/>
          <w:color w:val="auto"/>
          <w:highlight w:val="none"/>
        </w:rPr>
        <w:t>3</w:t>
      </w:r>
      <w:bookmarkStart w:id="395" w:name="_Toc296347157"/>
      <w:bookmarkStart w:id="396" w:name="_Toc296944497"/>
      <w:bookmarkStart w:id="397" w:name="_Toc296891198"/>
      <w:bookmarkStart w:id="398" w:name="_Toc292559868"/>
      <w:bookmarkStart w:id="399" w:name="_Toc296890986"/>
      <w:bookmarkStart w:id="400" w:name="_Toc296346659"/>
      <w:bookmarkStart w:id="401" w:name="_Toc297120458"/>
      <w:bookmarkStart w:id="402" w:name="_Toc297048344"/>
      <w:bookmarkStart w:id="403" w:name="_Toc296503158"/>
      <w:bookmarkStart w:id="404" w:name="_Toc292559363"/>
      <w:r>
        <w:rPr>
          <w:rFonts w:hint="eastAsia" w:ascii="宋体" w:cs="宋体"/>
          <w:color w:val="auto"/>
          <w:highlight w:val="none"/>
        </w:rPr>
        <w:t>. 承包人</w:t>
      </w:r>
      <w:bookmarkEnd w:id="386"/>
      <w:bookmarkEnd w:id="387"/>
      <w:bookmarkEnd w:id="388"/>
      <w:bookmarkEnd w:id="389"/>
      <w:bookmarkEnd w:id="390"/>
      <w:bookmarkEnd w:id="391"/>
      <w:bookmarkEnd w:id="392"/>
      <w:bookmarkEnd w:id="393"/>
      <w:bookmarkEnd w:id="394"/>
    </w:p>
    <w:bookmarkEnd w:id="395"/>
    <w:bookmarkEnd w:id="396"/>
    <w:bookmarkEnd w:id="397"/>
    <w:bookmarkEnd w:id="398"/>
    <w:bookmarkEnd w:id="399"/>
    <w:bookmarkEnd w:id="400"/>
    <w:bookmarkEnd w:id="401"/>
    <w:bookmarkEnd w:id="402"/>
    <w:bookmarkEnd w:id="403"/>
    <w:bookmarkEnd w:id="404"/>
    <w:p w14:paraId="1F9F507E">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405" w:name="_Toc256000187"/>
      <w:bookmarkStart w:id="406" w:name="_Toc497747185"/>
      <w:bookmarkStart w:id="407" w:name="_Toc418751803"/>
      <w:bookmarkStart w:id="408" w:name="_Toc7415"/>
      <w:bookmarkStart w:id="409" w:name="_Toc418752249"/>
      <w:bookmarkStart w:id="410" w:name="_Toc522201737"/>
      <w:bookmarkStart w:id="411" w:name="_Toc406522227"/>
      <w:bookmarkStart w:id="412" w:name="_Toc497746788"/>
      <w:r>
        <w:rPr>
          <w:rFonts w:hint="eastAsia" w:ascii="宋体" w:cs="宋体"/>
          <w:color w:val="auto"/>
          <w:highlight w:val="none"/>
        </w:rPr>
        <w:t>3.1 承包人的一般义务</w:t>
      </w:r>
      <w:bookmarkEnd w:id="405"/>
      <w:bookmarkEnd w:id="406"/>
      <w:bookmarkEnd w:id="407"/>
      <w:bookmarkEnd w:id="408"/>
      <w:bookmarkEnd w:id="409"/>
      <w:bookmarkEnd w:id="410"/>
      <w:bookmarkEnd w:id="411"/>
      <w:bookmarkEnd w:id="412"/>
    </w:p>
    <w:p w14:paraId="616E2DB3">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rPr>
        <w:t>（9）</w:t>
      </w:r>
      <w:r>
        <w:rPr>
          <w:rFonts w:hint="eastAsia" w:ascii="宋体" w:hAnsi="宋体" w:cs="宋体"/>
          <w:color w:val="auto"/>
          <w:szCs w:val="21"/>
          <w:highlight w:val="none"/>
        </w:rPr>
        <w:t>承包人提交的竣工资料的内容：</w:t>
      </w:r>
      <w:r>
        <w:rPr>
          <w:rFonts w:hint="eastAsia" w:ascii="宋体" w:hAnsi="宋体" w:cs="宋体"/>
          <w:color w:val="auto"/>
          <w:szCs w:val="21"/>
          <w:highlight w:val="none"/>
          <w:u w:val="single"/>
        </w:rPr>
        <w:t>工程具备竣工验收条件，承包人按工程竣工验收有关规定，向发包人提交符合《建设工程文件归档整理规范》内容装订成册的完整竣工资料及竣工验收报告、工程竣工图</w:t>
      </w:r>
      <w:r>
        <w:rPr>
          <w:rFonts w:hint="eastAsia" w:ascii="宋体" w:hAnsi="宋体" w:cs="宋体"/>
          <w:color w:val="auto"/>
          <w:szCs w:val="21"/>
          <w:highlight w:val="none"/>
        </w:rPr>
        <w:t>。</w:t>
      </w:r>
    </w:p>
    <w:p w14:paraId="77795D8F">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承包人需要提交的竣工资料套数：</w:t>
      </w:r>
      <w:r>
        <w:rPr>
          <w:rFonts w:hint="eastAsia" w:ascii="宋体" w:hAnsi="宋体" w:cs="宋体"/>
          <w:color w:val="auto"/>
          <w:szCs w:val="21"/>
          <w:highlight w:val="none"/>
          <w:u w:val="single"/>
        </w:rPr>
        <w:t xml:space="preserve">  承包人向发包人提交竣工档案份数为一式四份；备案资料一式两份；建设工程质量监督档案一式两份  </w:t>
      </w:r>
      <w:r>
        <w:rPr>
          <w:rFonts w:hint="eastAsia" w:ascii="宋体" w:hAnsi="宋体" w:cs="宋体"/>
          <w:color w:val="auto"/>
          <w:szCs w:val="21"/>
          <w:highlight w:val="none"/>
        </w:rPr>
        <w:t>。</w:t>
      </w:r>
    </w:p>
    <w:p w14:paraId="689AD9F0">
      <w:pPr>
        <w:pStyle w:val="21"/>
        <w:keepNext w:val="0"/>
        <w:keepLines w:val="0"/>
        <w:pageBreakBefore w:val="0"/>
        <w:widowControl w:val="0"/>
        <w:wordWrap/>
        <w:topLinePunct w:val="0"/>
        <w:bidi w:val="0"/>
        <w:spacing w:line="380" w:lineRule="exact"/>
        <w:jc w:val="left"/>
        <w:rPr>
          <w:rFonts w:ascii="宋体" w:hAnsi="宋体" w:cs="宋体"/>
          <w:color w:val="auto"/>
          <w:szCs w:val="21"/>
          <w:highlight w:val="none"/>
        </w:rPr>
      </w:pPr>
      <w:r>
        <w:rPr>
          <w:rFonts w:hint="eastAsia" w:ascii="宋体" w:hAnsi="宋体" w:cs="宋体"/>
          <w:color w:val="auto"/>
          <w:szCs w:val="21"/>
          <w:highlight w:val="none"/>
        </w:rPr>
        <w:t xml:space="preserve">    承包人提交的竣工资料的费用承担：</w:t>
      </w:r>
      <w:r>
        <w:rPr>
          <w:rFonts w:hint="eastAsia" w:ascii="宋体" w:hAnsi="宋体" w:cs="宋体"/>
          <w:color w:val="auto"/>
          <w:szCs w:val="21"/>
          <w:highlight w:val="none"/>
          <w:u w:val="single"/>
        </w:rPr>
        <w:t xml:space="preserve">  由承包人承担相关费用 </w:t>
      </w:r>
      <w:r>
        <w:rPr>
          <w:rFonts w:hint="eastAsia" w:ascii="宋体" w:hAnsi="宋体" w:cs="宋体"/>
          <w:color w:val="auto"/>
          <w:szCs w:val="21"/>
          <w:highlight w:val="none"/>
        </w:rPr>
        <w:t>。</w:t>
      </w:r>
    </w:p>
    <w:p w14:paraId="2C75C6B3">
      <w:pPr>
        <w:pStyle w:val="21"/>
        <w:keepNext w:val="0"/>
        <w:keepLines w:val="0"/>
        <w:pageBreakBefore w:val="0"/>
        <w:widowControl w:val="0"/>
        <w:wordWrap/>
        <w:topLinePunct w:val="0"/>
        <w:bidi w:val="0"/>
        <w:spacing w:line="380" w:lineRule="exact"/>
        <w:jc w:val="left"/>
        <w:rPr>
          <w:rFonts w:ascii="宋体" w:hAnsi="宋体" w:cs="宋体"/>
          <w:color w:val="auto"/>
          <w:szCs w:val="21"/>
          <w:highlight w:val="none"/>
        </w:rPr>
      </w:pPr>
      <w:r>
        <w:rPr>
          <w:rFonts w:hint="eastAsia" w:ascii="宋体" w:hAnsi="宋体" w:cs="宋体"/>
          <w:color w:val="auto"/>
          <w:szCs w:val="21"/>
          <w:highlight w:val="none"/>
        </w:rPr>
        <w:t xml:space="preserve">    承包人提交的竣工资料移交时间：</w:t>
      </w:r>
      <w:r>
        <w:rPr>
          <w:rFonts w:hint="eastAsia" w:ascii="宋体" w:hAnsi="宋体" w:cs="宋体"/>
          <w:color w:val="auto"/>
          <w:szCs w:val="21"/>
          <w:highlight w:val="none"/>
          <w:u w:val="single"/>
        </w:rPr>
        <w:t xml:space="preserve">  工程竣工验收合格后30天内  </w:t>
      </w:r>
      <w:r>
        <w:rPr>
          <w:rFonts w:hint="eastAsia" w:ascii="宋体" w:hAnsi="宋体" w:cs="宋体"/>
          <w:color w:val="auto"/>
          <w:szCs w:val="21"/>
          <w:highlight w:val="none"/>
        </w:rPr>
        <w:t>。</w:t>
      </w:r>
    </w:p>
    <w:p w14:paraId="64048431">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承包人提交的竣工资料形式要求：</w:t>
      </w:r>
      <w:r>
        <w:rPr>
          <w:rFonts w:hint="eastAsia" w:ascii="宋体" w:hAnsi="宋体" w:cs="宋体"/>
          <w:color w:val="auto"/>
          <w:szCs w:val="21"/>
          <w:highlight w:val="none"/>
          <w:u w:val="single"/>
        </w:rPr>
        <w:t>竣工档案（竣工档案的内容：施工单位竣工验收文件、施工文件、竣工图（按城市建设档案馆要求整理，相关费用由承包人承担）、备案资料（应由承包人提供的部分按</w:t>
      </w:r>
      <w:r>
        <w:rPr>
          <w:rFonts w:hint="eastAsia" w:ascii="宋体" w:hAnsi="宋体" w:cs="宋体"/>
          <w:color w:val="auto"/>
          <w:szCs w:val="21"/>
          <w:highlight w:val="none"/>
          <w:u w:val="single"/>
          <w:lang w:val="en-US" w:eastAsia="zh-CN"/>
        </w:rPr>
        <w:t>县</w:t>
      </w:r>
      <w:r>
        <w:rPr>
          <w:rFonts w:hint="eastAsia" w:ascii="宋体" w:hAnsi="宋体" w:cs="宋体"/>
          <w:color w:val="auto"/>
          <w:szCs w:val="21"/>
          <w:highlight w:val="none"/>
          <w:u w:val="single"/>
        </w:rPr>
        <w:t>住建局要求整理）、建设工程质量监督档案（应由承包人提供的部分按</w:t>
      </w:r>
      <w:r>
        <w:rPr>
          <w:rFonts w:hint="eastAsia" w:ascii="宋体" w:hAnsi="宋体" w:cs="宋体"/>
          <w:color w:val="auto"/>
          <w:szCs w:val="21"/>
          <w:highlight w:val="none"/>
          <w:u w:val="single"/>
          <w:lang w:val="en-US" w:eastAsia="zh-CN"/>
        </w:rPr>
        <w:t>县</w:t>
      </w:r>
      <w:r>
        <w:rPr>
          <w:rFonts w:hint="eastAsia" w:ascii="宋体" w:hAnsi="宋体" w:cs="宋体"/>
          <w:color w:val="auto"/>
          <w:szCs w:val="21"/>
          <w:highlight w:val="none"/>
          <w:u w:val="single"/>
        </w:rPr>
        <w:t>建设工程质量监督管理站要求整理）</w:t>
      </w:r>
      <w:r>
        <w:rPr>
          <w:rFonts w:hint="eastAsia" w:ascii="宋体" w:hAnsi="宋体" w:cs="宋体"/>
          <w:color w:val="auto"/>
          <w:szCs w:val="21"/>
          <w:highlight w:val="none"/>
        </w:rPr>
        <w:t>。</w:t>
      </w:r>
    </w:p>
    <w:p w14:paraId="45CFC551">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u w:val="single"/>
        </w:rPr>
      </w:pPr>
      <w:r>
        <w:rPr>
          <w:rFonts w:hint="eastAsia" w:ascii="宋体" w:hAnsi="宋体" w:cs="宋体"/>
          <w:color w:val="auto"/>
          <w:kern w:val="0"/>
          <w:szCs w:val="21"/>
          <w:highlight w:val="none"/>
        </w:rPr>
        <w:t>（10）承包人应履行的其他义务：</w:t>
      </w:r>
      <w:r>
        <w:rPr>
          <w:rFonts w:hint="eastAsia" w:ascii="宋体" w:hAnsi="宋体" w:cs="宋体"/>
          <w:color w:val="auto"/>
          <w:kern w:val="0"/>
          <w:highlight w:val="none"/>
          <w:u w:val="single"/>
        </w:rPr>
        <w:fldChar w:fldCharType="begin"/>
      </w:r>
      <w:r>
        <w:rPr>
          <w:rFonts w:hint="eastAsia" w:ascii="宋体" w:hAnsi="宋体" w:cs="宋体"/>
          <w:color w:val="auto"/>
          <w:kern w:val="0"/>
          <w:highlight w:val="none"/>
          <w:u w:val="single"/>
        </w:rPr>
        <w:instrText xml:space="preserve"> = 1 \* GB3 \* MERGEFORMAT </w:instrText>
      </w:r>
      <w:r>
        <w:rPr>
          <w:rFonts w:hint="eastAsia" w:ascii="宋体" w:hAnsi="宋体" w:cs="宋体"/>
          <w:color w:val="auto"/>
          <w:kern w:val="0"/>
          <w:highlight w:val="none"/>
          <w:u w:val="single"/>
        </w:rPr>
        <w:fldChar w:fldCharType="separate"/>
      </w:r>
      <w:r>
        <w:rPr>
          <w:color w:val="auto"/>
          <w:u w:val="single"/>
        </w:rPr>
        <w:t>①</w:t>
      </w:r>
      <w:r>
        <w:rPr>
          <w:rFonts w:hint="eastAsia" w:ascii="宋体" w:hAnsi="宋体" w:cs="宋体"/>
          <w:color w:val="auto"/>
          <w:kern w:val="0"/>
          <w:highlight w:val="none"/>
          <w:u w:val="single"/>
        </w:rPr>
        <w:fldChar w:fldCharType="end"/>
      </w:r>
      <w:r>
        <w:rPr>
          <w:rFonts w:hint="eastAsia" w:ascii="宋体" w:hAnsi="宋体" w:cs="宋体"/>
          <w:color w:val="auto"/>
          <w:kern w:val="0"/>
          <w:highlight w:val="none"/>
          <w:u w:val="single"/>
        </w:rPr>
        <w:t>、承包人应主动配合发包人协调与施工现场周边农村及村民的关系，确保项目施工顺利进行；</w:t>
      </w:r>
      <w:r>
        <w:rPr>
          <w:rFonts w:hint="eastAsia" w:ascii="宋体" w:hAnsi="宋体" w:cs="宋体"/>
          <w:color w:val="auto"/>
          <w:kern w:val="0"/>
          <w:highlight w:val="none"/>
          <w:u w:val="single"/>
        </w:rPr>
        <w:fldChar w:fldCharType="begin"/>
      </w:r>
      <w:r>
        <w:rPr>
          <w:rFonts w:hint="eastAsia" w:ascii="宋体" w:hAnsi="宋体" w:cs="宋体"/>
          <w:color w:val="auto"/>
          <w:kern w:val="0"/>
          <w:highlight w:val="none"/>
          <w:u w:val="single"/>
        </w:rPr>
        <w:instrText xml:space="preserve"> = 2 \* GB3 \* MERGEFORMAT </w:instrText>
      </w:r>
      <w:r>
        <w:rPr>
          <w:rFonts w:hint="eastAsia" w:ascii="宋体" w:hAnsi="宋体" w:cs="宋体"/>
          <w:color w:val="auto"/>
          <w:kern w:val="0"/>
          <w:highlight w:val="none"/>
          <w:u w:val="single"/>
        </w:rPr>
        <w:fldChar w:fldCharType="separate"/>
      </w:r>
      <w:r>
        <w:rPr>
          <w:color w:val="auto"/>
          <w:u w:val="single"/>
        </w:rPr>
        <w:t>②</w:t>
      </w:r>
      <w:r>
        <w:rPr>
          <w:rFonts w:hint="eastAsia" w:ascii="宋体" w:hAnsi="宋体" w:cs="宋体"/>
          <w:color w:val="auto"/>
          <w:kern w:val="0"/>
          <w:highlight w:val="none"/>
          <w:u w:val="single"/>
        </w:rPr>
        <w:fldChar w:fldCharType="end"/>
      </w:r>
      <w:r>
        <w:rPr>
          <w:rFonts w:hint="eastAsia" w:ascii="宋体" w:hAnsi="宋体" w:cs="宋体"/>
          <w:color w:val="auto"/>
          <w:kern w:val="0"/>
          <w:highlight w:val="none"/>
          <w:u w:val="single"/>
        </w:rPr>
        <w:t>、发包人按节点足额支付工程款后，农民工工资按桂人社规[2021]16号文件执行，承包人应按时支付农民工工资；</w:t>
      </w:r>
      <w:r>
        <w:rPr>
          <w:rFonts w:hint="eastAsia" w:ascii="宋体" w:hAnsi="宋体" w:cs="宋体"/>
          <w:color w:val="auto"/>
          <w:kern w:val="0"/>
          <w:highlight w:val="none"/>
          <w:u w:val="single"/>
        </w:rPr>
        <w:fldChar w:fldCharType="begin"/>
      </w:r>
      <w:r>
        <w:rPr>
          <w:rFonts w:hint="eastAsia" w:ascii="宋体" w:hAnsi="宋体" w:cs="宋体"/>
          <w:color w:val="auto"/>
          <w:kern w:val="0"/>
          <w:highlight w:val="none"/>
          <w:u w:val="single"/>
        </w:rPr>
        <w:instrText xml:space="preserve"> = 3 \* GB3 \* MERGEFORMAT </w:instrText>
      </w:r>
      <w:r>
        <w:rPr>
          <w:rFonts w:hint="eastAsia" w:ascii="宋体" w:hAnsi="宋体" w:cs="宋体"/>
          <w:color w:val="auto"/>
          <w:kern w:val="0"/>
          <w:highlight w:val="none"/>
          <w:u w:val="single"/>
        </w:rPr>
        <w:fldChar w:fldCharType="separate"/>
      </w:r>
      <w:r>
        <w:rPr>
          <w:color w:val="auto"/>
          <w:u w:val="single"/>
        </w:rPr>
        <w:t>③</w:t>
      </w:r>
      <w:r>
        <w:rPr>
          <w:rFonts w:hint="eastAsia" w:ascii="宋体" w:hAnsi="宋体" w:cs="宋体"/>
          <w:color w:val="auto"/>
          <w:kern w:val="0"/>
          <w:highlight w:val="none"/>
          <w:u w:val="single"/>
        </w:rPr>
        <w:fldChar w:fldCharType="end"/>
      </w:r>
      <w:r>
        <w:rPr>
          <w:rFonts w:hint="eastAsia" w:ascii="宋体" w:hAnsi="宋体" w:cs="宋体"/>
          <w:color w:val="auto"/>
          <w:kern w:val="0"/>
          <w:highlight w:val="none"/>
          <w:u w:val="single"/>
        </w:rPr>
        <w:t>、承包人应积极主动核对图纸中的标高、轴线等技术数据，充分理解设计意图。若由于明显的设计图纸问题（例如尺寸标注不闭合、文字标识相互矛盾等）和发包人（包括监理）不正确的指令，承包人发现后有书面告知义务，否则造成工程质量、安全、进度损失，也不能免除承包人的责任。</w:t>
      </w:r>
      <w:r>
        <w:rPr>
          <w:rFonts w:hint="eastAsia" w:ascii="宋体" w:hAnsi="宋体" w:cs="宋体"/>
          <w:color w:val="auto"/>
          <w:kern w:val="0"/>
          <w:highlight w:val="none"/>
          <w:u w:val="single"/>
        </w:rPr>
        <w:fldChar w:fldCharType="begin"/>
      </w:r>
      <w:r>
        <w:rPr>
          <w:rFonts w:hint="eastAsia" w:ascii="宋体" w:hAnsi="宋体" w:cs="宋体"/>
          <w:color w:val="auto"/>
          <w:kern w:val="0"/>
          <w:highlight w:val="none"/>
          <w:u w:val="single"/>
        </w:rPr>
        <w:instrText xml:space="preserve"> = 4 \* GB3 \* MERGEFORMAT </w:instrText>
      </w:r>
      <w:r>
        <w:rPr>
          <w:rFonts w:hint="eastAsia" w:ascii="宋体" w:hAnsi="宋体" w:cs="宋体"/>
          <w:color w:val="auto"/>
          <w:kern w:val="0"/>
          <w:highlight w:val="none"/>
          <w:u w:val="single"/>
        </w:rPr>
        <w:fldChar w:fldCharType="separate"/>
      </w:r>
      <w:r>
        <w:rPr>
          <w:color w:val="auto"/>
          <w:u w:val="single"/>
        </w:rPr>
        <w:t>④</w:t>
      </w:r>
      <w:r>
        <w:rPr>
          <w:rFonts w:hint="eastAsia" w:ascii="宋体" w:hAnsi="宋体" w:cs="宋体"/>
          <w:color w:val="auto"/>
          <w:kern w:val="0"/>
          <w:highlight w:val="none"/>
          <w:u w:val="single"/>
        </w:rPr>
        <w:fldChar w:fldCharType="end"/>
      </w:r>
      <w:r>
        <w:rPr>
          <w:rFonts w:hint="eastAsia" w:ascii="宋体" w:hAnsi="宋体" w:cs="宋体"/>
          <w:color w:val="auto"/>
          <w:kern w:val="0"/>
          <w:highlight w:val="none"/>
          <w:u w:val="single"/>
        </w:rPr>
        <w:t>、承包人负责办理施工有关的环卫和噪音等审批手续，并承担费用。承包人负责对施工场地内的化石、文物具有保护责任，费用由发包人承担，发包人对此予以必要协助。承包人负责满足施工期间政府职能部门对工地消防设施有关要求，并承担相关费用</w:t>
      </w:r>
      <w:r>
        <w:rPr>
          <w:rFonts w:hint="eastAsia" w:ascii="宋体" w:hAnsi="宋体" w:cs="宋体"/>
          <w:color w:val="auto"/>
          <w:highlight w:val="none"/>
        </w:rPr>
        <w:t>。</w:t>
      </w:r>
    </w:p>
    <w:p w14:paraId="3C22731E">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413" w:name="_Toc497746789"/>
      <w:bookmarkStart w:id="414" w:name="_Toc418518118"/>
      <w:bookmarkStart w:id="415" w:name="_Toc418751804"/>
      <w:bookmarkStart w:id="416" w:name="_Toc418752250"/>
      <w:bookmarkStart w:id="417" w:name="_Toc418061319"/>
      <w:bookmarkStart w:id="418" w:name="_Toc403578942"/>
      <w:bookmarkStart w:id="419" w:name="_Toc256000188"/>
      <w:bookmarkStart w:id="420" w:name="_Toc25355"/>
      <w:bookmarkStart w:id="421" w:name="_Toc522201738"/>
      <w:bookmarkStart w:id="422" w:name="_Toc373227708"/>
      <w:bookmarkStart w:id="423" w:name="_Toc373478355"/>
      <w:bookmarkStart w:id="424" w:name="_Toc497747186"/>
      <w:bookmarkStart w:id="425" w:name="_Toc418518354"/>
      <w:bookmarkStart w:id="426" w:name="_Toc389065274"/>
      <w:r>
        <w:rPr>
          <w:rFonts w:hint="eastAsia" w:ascii="宋体" w:cs="宋体"/>
          <w:color w:val="auto"/>
          <w:highlight w:val="none"/>
        </w:rPr>
        <w:t>3.2 项目经理</w:t>
      </w:r>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p>
    <w:p w14:paraId="62AA2758">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kern w:val="0"/>
          <w:szCs w:val="21"/>
          <w:highlight w:val="none"/>
        </w:rPr>
        <w:t xml:space="preserve">3.2.1 </w:t>
      </w:r>
      <w:r>
        <w:rPr>
          <w:rFonts w:hint="eastAsia" w:ascii="宋体" w:hAnsi="宋体" w:cs="宋体"/>
          <w:color w:val="auto"/>
          <w:szCs w:val="21"/>
          <w:highlight w:val="none"/>
        </w:rPr>
        <w:t>项目经理：</w:t>
      </w:r>
    </w:p>
    <w:p w14:paraId="74E80F19">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姓    名：</w:t>
      </w:r>
      <w:r>
        <w:rPr>
          <w:rFonts w:hint="eastAsia" w:ascii="宋体" w:hAnsi="宋体" w:cs="宋体"/>
          <w:color w:val="auto"/>
          <w:szCs w:val="21"/>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A111F64">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身份证号：</w:t>
      </w:r>
      <w:r>
        <w:rPr>
          <w:rFonts w:hint="eastAsia" w:ascii="宋体" w:hAnsi="宋体" w:cs="宋体"/>
          <w:color w:val="auto"/>
          <w:szCs w:val="21"/>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7AD0BE8A">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建造师执业资格等级：</w:t>
      </w:r>
      <w:r>
        <w:rPr>
          <w:rFonts w:hint="eastAsia" w:ascii="宋体" w:hAnsi="宋体" w:cs="宋体"/>
          <w:color w:val="auto"/>
          <w:szCs w:val="21"/>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EF9CD25">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建造师注册证书号：</w:t>
      </w:r>
      <w:r>
        <w:rPr>
          <w:rFonts w:hint="eastAsia" w:ascii="宋体" w:hAnsi="宋体" w:cs="宋体"/>
          <w:color w:val="auto"/>
          <w:szCs w:val="21"/>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60A84152">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建造师执业印章号：</w:t>
      </w:r>
      <w:r>
        <w:rPr>
          <w:rFonts w:hint="eastAsia" w:ascii="宋体" w:hAnsi="宋体" w:cs="宋体"/>
          <w:color w:val="auto"/>
          <w:szCs w:val="21"/>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2F771F21">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安全生产考核合格证书号：</w:t>
      </w:r>
      <w:r>
        <w:rPr>
          <w:rFonts w:hint="eastAsia" w:ascii="宋体" w:hAnsi="宋体" w:cs="宋体"/>
          <w:color w:val="auto"/>
          <w:szCs w:val="21"/>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4EE9140B">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联系电话：</w:t>
      </w:r>
      <w:r>
        <w:rPr>
          <w:rFonts w:hint="eastAsia" w:ascii="宋体" w:hAnsi="宋体" w:cs="宋体"/>
          <w:color w:val="auto"/>
          <w:szCs w:val="21"/>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50B0976">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电子信箱：</w:t>
      </w:r>
      <w:r>
        <w:rPr>
          <w:rFonts w:hint="eastAsia" w:ascii="宋体" w:hAnsi="宋体" w:cs="宋体"/>
          <w:color w:val="auto"/>
          <w:szCs w:val="21"/>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18D338F7">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通信地址：</w:t>
      </w:r>
      <w:r>
        <w:rPr>
          <w:rFonts w:hint="eastAsia" w:ascii="宋体" w:hAnsi="宋体" w:cs="宋体"/>
          <w:color w:val="auto"/>
          <w:szCs w:val="21"/>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FC883EE">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 xml:space="preserve">承包人对项目经理的授权范围如下： </w:t>
      </w:r>
      <w:r>
        <w:rPr>
          <w:rFonts w:hint="eastAsia" w:ascii="宋体" w:hAnsi="宋体" w:cs="宋体"/>
          <w:color w:val="auto"/>
          <w:highlight w:val="none"/>
          <w:u w:val="single"/>
        </w:rPr>
        <w:t xml:space="preserve"> 以承包人名义参加本项目的投标及合同的执行、完成，并以承包人名义处理一切与之有关的事务</w:t>
      </w:r>
      <w:r>
        <w:rPr>
          <w:rFonts w:hint="eastAsia" w:ascii="宋体" w:hAnsi="宋体" w:cs="宋体"/>
          <w:color w:val="auto"/>
          <w:highlight w:val="none"/>
        </w:rPr>
        <w:t>。</w:t>
      </w:r>
      <w:r>
        <w:rPr>
          <w:rFonts w:hint="eastAsia" w:ascii="宋体" w:hAnsi="宋体" w:cs="宋体"/>
          <w:color w:val="auto"/>
          <w:highlight w:val="none"/>
          <w:u w:val="single"/>
        </w:rPr>
        <w:t xml:space="preserve">但未经承包人盖章同意不得以承包人名义向外融资、采购材料设备、租用建筑周转材料、雇佣劳动力、签订分包合同等从事一切为承包人设立义务或责任的行为  </w:t>
      </w:r>
      <w:r>
        <w:rPr>
          <w:rFonts w:hint="eastAsia" w:ascii="宋体" w:hAnsi="宋体" w:cs="宋体"/>
          <w:color w:val="auto"/>
          <w:szCs w:val="21"/>
          <w:highlight w:val="none"/>
        </w:rPr>
        <w:t>。</w:t>
      </w:r>
    </w:p>
    <w:p w14:paraId="08BFCD44">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关于项目经理每月在施工现场的时间要求：</w:t>
      </w:r>
      <w:r>
        <w:rPr>
          <w:rFonts w:hint="eastAsia" w:ascii="宋体" w:hAnsi="宋体" w:cs="宋体"/>
          <w:color w:val="auto"/>
          <w:szCs w:val="21"/>
          <w:highlight w:val="none"/>
          <w:u w:val="single"/>
        </w:rPr>
        <w:t xml:space="preserve">  不少于22个工作日,若项目经理每月在岗时间少于22个工作日，发包人有权更换项目经理，由此造成的一切损失由承包人承担</w:t>
      </w:r>
      <w:r>
        <w:rPr>
          <w:rFonts w:hint="eastAsia" w:ascii="宋体" w:hAnsi="宋体" w:cs="宋体"/>
          <w:color w:val="auto"/>
          <w:szCs w:val="21"/>
          <w:highlight w:val="none"/>
        </w:rPr>
        <w:t>。</w:t>
      </w:r>
    </w:p>
    <w:p w14:paraId="4336713D">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u w:val="single"/>
        </w:rPr>
      </w:pPr>
      <w:r>
        <w:rPr>
          <w:rFonts w:hint="eastAsia" w:ascii="宋体" w:hAnsi="宋体" w:cs="宋体"/>
          <w:color w:val="auto"/>
          <w:kern w:val="0"/>
          <w:szCs w:val="21"/>
          <w:highlight w:val="none"/>
        </w:rPr>
        <w:t>承包人未提交劳动合同，以及没有为项目经理缴纳社会保险证明的违约责任：</w:t>
      </w:r>
      <w:r>
        <w:rPr>
          <w:rFonts w:hint="eastAsia" w:ascii="宋体" w:hAnsi="宋体" w:cs="宋体"/>
          <w:color w:val="auto"/>
          <w:szCs w:val="21"/>
          <w:highlight w:val="none"/>
          <w:u w:val="single"/>
        </w:rPr>
        <w:t>承包人不提交上述文件的，项目经理无权履行职责，发包人有权要求更换项目经理，由此增加的费用和延误的工期由承包人承担</w:t>
      </w:r>
      <w:r>
        <w:rPr>
          <w:rFonts w:hint="eastAsia" w:ascii="宋体" w:hAnsi="宋体" w:cs="宋体"/>
          <w:color w:val="auto"/>
          <w:szCs w:val="21"/>
          <w:highlight w:val="none"/>
        </w:rPr>
        <w:t>。</w:t>
      </w:r>
    </w:p>
    <w:p w14:paraId="1C577A9F">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u w:val="single"/>
        </w:rPr>
      </w:pPr>
      <w:r>
        <w:rPr>
          <w:rFonts w:hint="eastAsia" w:ascii="宋体" w:hAnsi="宋体" w:cs="宋体"/>
          <w:color w:val="auto"/>
          <w:kern w:val="0"/>
          <w:szCs w:val="21"/>
          <w:highlight w:val="none"/>
        </w:rPr>
        <w:t>项目经理未经批准，擅自离开施工现场的违约责任：</w:t>
      </w:r>
      <w:r>
        <w:rPr>
          <w:rFonts w:hint="eastAsia" w:ascii="宋体" w:hAnsi="宋体" w:cs="宋体"/>
          <w:color w:val="auto"/>
          <w:szCs w:val="21"/>
          <w:highlight w:val="none"/>
          <w:u w:val="single"/>
        </w:rPr>
        <w:t>项目经理每月在岗带班时间不得少于22天。未经发包人同意或正当理由，项目经理每月在岗带班时间少于22天的，少在岗带班一天，发包人有权处违约金 500元/日（人民币）</w:t>
      </w:r>
      <w:r>
        <w:rPr>
          <w:rFonts w:hint="eastAsia" w:ascii="宋体" w:hAnsi="宋体" w:cs="宋体"/>
          <w:color w:val="auto"/>
          <w:szCs w:val="21"/>
          <w:highlight w:val="none"/>
        </w:rPr>
        <w:t>。</w:t>
      </w:r>
    </w:p>
    <w:p w14:paraId="21E87A33">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3.2.3 承包人擅自更换项目经理的违约责任：</w:t>
      </w:r>
      <w:r>
        <w:rPr>
          <w:rFonts w:hint="eastAsia" w:ascii="宋体" w:hAnsi="宋体" w:cs="宋体"/>
          <w:color w:val="auto"/>
          <w:szCs w:val="21"/>
          <w:highlight w:val="none"/>
          <w:u w:val="single"/>
        </w:rPr>
        <w:t>承包人项目经理必须与承包人投标</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u w:val="single"/>
          <w:lang w:val="en-US" w:eastAsia="zh-CN"/>
        </w:rPr>
        <w:t>响应文件中</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u w:val="single"/>
        </w:rPr>
        <w:t>时所承诺的人员一致，并在（开工日期）前到任。在监理人向承包人颁发（竣工证明材料名称）前，项目经理不得同时兼任其他任何项目的项目经理（符合《广西壮族自治区建筑市场诚信卡管理暂行办法》第十六条第一款及桂建管﹝2016﹞70号、桂建管〔2019〕26号和桂建管〔2020〕11号文除外）。未经发包人书面同意，承包人擅自更换项目经理的视为违约，违约金处10000元/人•次（人民币）</w:t>
      </w:r>
      <w:r>
        <w:rPr>
          <w:rFonts w:hint="eastAsia" w:ascii="宋体" w:hAnsi="宋体" w:cs="宋体"/>
          <w:color w:val="auto"/>
          <w:szCs w:val="21"/>
          <w:highlight w:val="none"/>
        </w:rPr>
        <w:t>。</w:t>
      </w:r>
    </w:p>
    <w:p w14:paraId="0134FFDE">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3.2.4 承包人无正当理由拒绝更换项目经理的违约责任：</w:t>
      </w:r>
      <w:r>
        <w:rPr>
          <w:rFonts w:hint="eastAsia" w:ascii="宋体" w:hAnsi="宋体" w:cs="宋体"/>
          <w:color w:val="auto"/>
          <w:szCs w:val="21"/>
          <w:highlight w:val="none"/>
          <w:u w:val="single"/>
        </w:rPr>
        <w:t>因承包人项目经理不称职，发包人要求调换而未及时调换的，视为承包人违约，必须向发包人交纳处罚金5000元/人•次（人民币）</w:t>
      </w:r>
      <w:r>
        <w:rPr>
          <w:rFonts w:hint="eastAsia" w:ascii="宋体" w:hAnsi="宋体" w:cs="宋体"/>
          <w:color w:val="auto"/>
          <w:szCs w:val="21"/>
          <w:highlight w:val="none"/>
        </w:rPr>
        <w:t>。</w:t>
      </w:r>
    </w:p>
    <w:p w14:paraId="4B9F1016">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427" w:name="_Toc418518355"/>
      <w:bookmarkStart w:id="428" w:name="_Toc403578943"/>
      <w:bookmarkStart w:id="429" w:name="_Toc373478356"/>
      <w:bookmarkStart w:id="430" w:name="_Toc418061320"/>
      <w:bookmarkStart w:id="431" w:name="_Toc1988"/>
      <w:bookmarkStart w:id="432" w:name="_Toc522201739"/>
      <w:bookmarkStart w:id="433" w:name="_Toc418752251"/>
      <w:bookmarkStart w:id="434" w:name="_Toc256000189"/>
      <w:bookmarkStart w:id="435" w:name="_Toc373227709"/>
      <w:bookmarkStart w:id="436" w:name="_Toc418518119"/>
      <w:bookmarkStart w:id="437" w:name="_Toc497747187"/>
      <w:bookmarkStart w:id="438" w:name="_Toc389065275"/>
      <w:bookmarkStart w:id="439" w:name="_Toc418751805"/>
      <w:bookmarkStart w:id="440" w:name="_Toc497746790"/>
      <w:r>
        <w:rPr>
          <w:rFonts w:hint="eastAsia" w:ascii="宋体" w:cs="宋体"/>
          <w:color w:val="auto"/>
          <w:highlight w:val="none"/>
        </w:rPr>
        <w:t>3.3 承包人人员</w:t>
      </w:r>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14:paraId="4F1C28D5">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3.3.1 承包人提交项目管理机构及施工现场管理人员安排报告（格式见合同附件6）的期限：</w:t>
      </w:r>
      <w:r>
        <w:rPr>
          <w:rFonts w:hint="eastAsia" w:ascii="宋体" w:hAnsi="宋体" w:cs="宋体"/>
          <w:color w:val="auto"/>
          <w:szCs w:val="21"/>
          <w:highlight w:val="none"/>
          <w:u w:val="single"/>
        </w:rPr>
        <w:t>开工前7日内</w:t>
      </w:r>
      <w:r>
        <w:rPr>
          <w:rFonts w:hint="eastAsia" w:ascii="宋体" w:hAnsi="宋体" w:cs="宋体"/>
          <w:color w:val="auto"/>
          <w:szCs w:val="21"/>
          <w:highlight w:val="none"/>
        </w:rPr>
        <w:t>。</w:t>
      </w:r>
    </w:p>
    <w:p w14:paraId="6D0DAF9A">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3.3.3 承包人无正当理由拒绝撤换主要施工管理人员的违约责任：</w:t>
      </w:r>
      <w:r>
        <w:rPr>
          <w:rFonts w:hint="eastAsia" w:ascii="宋体" w:hAnsi="宋体" w:cs="宋体"/>
          <w:color w:val="auto"/>
          <w:highlight w:val="none"/>
          <w:u w:val="single"/>
        </w:rPr>
        <w:t xml:space="preserve">  承包人主要施工管理人员因不称职，发包人要求调换而无正当理由拒绝撤换或未及时调换的，视为承包人违约，必须向发包人交纳处罚金，处罚标准：技术负责人800元/人•次(人民币)；专业工程师500元/人•次(人民币)  </w:t>
      </w:r>
      <w:r>
        <w:rPr>
          <w:rFonts w:hint="eastAsia" w:ascii="宋体" w:hAnsi="宋体" w:cs="宋体"/>
          <w:color w:val="auto"/>
          <w:szCs w:val="21"/>
          <w:highlight w:val="none"/>
        </w:rPr>
        <w:t>。</w:t>
      </w:r>
    </w:p>
    <w:p w14:paraId="6683EE8D">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3.3.4 承包人主要施工管理人员离开施工现场的批准要求：</w:t>
      </w:r>
      <w:r>
        <w:rPr>
          <w:rFonts w:hint="eastAsia" w:ascii="宋体" w:hAnsi="宋体" w:cs="宋体"/>
          <w:color w:val="auto"/>
          <w:szCs w:val="21"/>
          <w:highlight w:val="none"/>
          <w:u w:val="single"/>
        </w:rPr>
        <w:t>经建设单位及监理单位</w:t>
      </w:r>
      <w:r>
        <w:rPr>
          <w:rFonts w:hint="eastAsia" w:ascii="宋体" w:hAnsi="宋体" w:cs="宋体"/>
          <w:color w:val="auto"/>
          <w:kern w:val="0"/>
          <w:highlight w:val="none"/>
          <w:u w:val="single"/>
        </w:rPr>
        <w:t>书面</w:t>
      </w:r>
      <w:r>
        <w:rPr>
          <w:rFonts w:hint="eastAsia" w:ascii="宋体" w:hAnsi="宋体" w:cs="宋体"/>
          <w:color w:val="auto"/>
          <w:szCs w:val="21"/>
          <w:highlight w:val="none"/>
          <w:u w:val="single"/>
        </w:rPr>
        <w:t>批准同意后</w:t>
      </w:r>
      <w:r>
        <w:rPr>
          <w:rFonts w:hint="eastAsia" w:ascii="宋体" w:hAnsi="宋体" w:cs="宋体"/>
          <w:color w:val="auto"/>
          <w:szCs w:val="21"/>
          <w:highlight w:val="none"/>
        </w:rPr>
        <w:t>。</w:t>
      </w:r>
    </w:p>
    <w:p w14:paraId="134E7633">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3.3.5 承包人擅自更换主要施工管理人员的违约责任：</w:t>
      </w:r>
      <w:r>
        <w:rPr>
          <w:rFonts w:hint="eastAsia" w:ascii="宋体" w:hAnsi="宋体" w:cs="宋体"/>
          <w:color w:val="auto"/>
          <w:highlight w:val="none"/>
          <w:u w:val="single"/>
        </w:rPr>
        <w:t>项目技术负责人、专职安全员及其承诺的其它地场管理人员未经发包人书面同意不准擅自更换，擅自更换项目技术负责人处1000元/人•次(人民币)违约金；擅自更换专职安全员处500元/人•次(人民币)违约金；擅自更换其它在场管理人员处300元/人•次(人民币)违约金</w:t>
      </w:r>
      <w:r>
        <w:rPr>
          <w:rFonts w:hint="eastAsia" w:ascii="宋体" w:hAnsi="宋体" w:cs="宋体"/>
          <w:color w:val="auto"/>
          <w:highlight w:val="none"/>
        </w:rPr>
        <w:t>。</w:t>
      </w:r>
    </w:p>
    <w:p w14:paraId="4D07A82F">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承包人主要施工管理人员擅自离开施工现场的违约责任：</w:t>
      </w:r>
      <w:r>
        <w:rPr>
          <w:rFonts w:hint="eastAsia" w:ascii="宋体" w:hAnsi="宋体" w:cs="宋体"/>
          <w:color w:val="auto"/>
          <w:szCs w:val="21"/>
          <w:highlight w:val="none"/>
          <w:u w:val="single"/>
        </w:rPr>
        <w:t>未经发包人同意，项目技术负责人擅自离岗的，视为承包人违约，发包人有权处违约金500元/人•次（人民币）；未经发包人同意，专职安全员擅自离岗的，视为承包人违约，发包人有权处违约金500元/人•次（人民币）；其它在场管理人员擅自离岗的，视为承包人违约，发包人有权处违约金300元/人•次（人民币）</w:t>
      </w:r>
      <w:r>
        <w:rPr>
          <w:rFonts w:hint="eastAsia" w:ascii="宋体" w:hAnsi="宋体" w:cs="宋体"/>
          <w:color w:val="auto"/>
          <w:szCs w:val="21"/>
          <w:highlight w:val="none"/>
        </w:rPr>
        <w:t>。</w:t>
      </w:r>
    </w:p>
    <w:p w14:paraId="2176D4CB">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441" w:name="_Toc373478357"/>
      <w:bookmarkStart w:id="442" w:name="_Toc418061321"/>
      <w:bookmarkStart w:id="443" w:name="_Toc403578944"/>
      <w:bookmarkStart w:id="444" w:name="_Toc418518120"/>
      <w:bookmarkStart w:id="445" w:name="_Toc24620"/>
      <w:bookmarkStart w:id="446" w:name="_Toc418751806"/>
      <w:bookmarkStart w:id="447" w:name="_Toc497747188"/>
      <w:bookmarkStart w:id="448" w:name="_Toc418752252"/>
      <w:bookmarkStart w:id="449" w:name="_Toc497746791"/>
      <w:bookmarkStart w:id="450" w:name="_Toc373227710"/>
      <w:bookmarkStart w:id="451" w:name="_Toc389065276"/>
      <w:bookmarkStart w:id="452" w:name="_Toc418518356"/>
      <w:bookmarkStart w:id="453" w:name="_Toc256000190"/>
      <w:bookmarkStart w:id="454" w:name="_Toc522201740"/>
      <w:r>
        <w:rPr>
          <w:rFonts w:hint="eastAsia" w:ascii="宋体" w:cs="宋体"/>
          <w:color w:val="auto"/>
          <w:highlight w:val="none"/>
        </w:rPr>
        <w:t>3</w:t>
      </w:r>
      <w:bookmarkStart w:id="455" w:name="_Toc296347158"/>
      <w:bookmarkStart w:id="456" w:name="_Toc297120459"/>
      <w:bookmarkStart w:id="457" w:name="_Toc292559364"/>
      <w:bookmarkStart w:id="458" w:name="_Toc296890987"/>
      <w:bookmarkStart w:id="459" w:name="_Toc300934945"/>
      <w:bookmarkStart w:id="460" w:name="_Toc312677988"/>
      <w:bookmarkStart w:id="461" w:name="_Toc296944498"/>
      <w:bookmarkStart w:id="462" w:name="_Toc304295523"/>
      <w:bookmarkStart w:id="463" w:name="_Toc303539102"/>
      <w:bookmarkStart w:id="464" w:name="_Toc297048345"/>
      <w:bookmarkStart w:id="465" w:name="_Toc297123492"/>
      <w:bookmarkStart w:id="466" w:name="_Toc296503159"/>
      <w:bookmarkStart w:id="467" w:name="_Toc292559869"/>
      <w:bookmarkStart w:id="468" w:name="_Toc297216151"/>
      <w:bookmarkStart w:id="469" w:name="_Toc296891199"/>
      <w:bookmarkStart w:id="470" w:name="_Toc296346660"/>
      <w:r>
        <w:rPr>
          <w:rFonts w:hint="eastAsia" w:ascii="宋体" w:cs="宋体"/>
          <w:color w:val="auto"/>
          <w:highlight w:val="none"/>
        </w:rPr>
        <w:t>.5 分包</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p>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p w14:paraId="26185252">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w:t>
      </w:r>
      <w:bookmarkStart w:id="471" w:name="_Toc297216152"/>
      <w:bookmarkStart w:id="472" w:name="_Toc318581158"/>
      <w:bookmarkStart w:id="473" w:name="_Toc296891200"/>
      <w:bookmarkStart w:id="474" w:name="_Toc300934946"/>
      <w:bookmarkStart w:id="475" w:name="_Toc297048346"/>
      <w:bookmarkStart w:id="476" w:name="_Toc303539103"/>
      <w:bookmarkStart w:id="477" w:name="_Toc296890988"/>
      <w:bookmarkStart w:id="478" w:name="_Toc296503160"/>
      <w:bookmarkStart w:id="479" w:name="_Toc296944499"/>
      <w:bookmarkStart w:id="480" w:name="_Toc312677989"/>
      <w:bookmarkStart w:id="481" w:name="_Toc296347159"/>
      <w:bookmarkStart w:id="482" w:name="_Toc297123493"/>
      <w:bookmarkStart w:id="483" w:name="_Toc296346661"/>
      <w:bookmarkStart w:id="484" w:name="_Toc292559870"/>
      <w:bookmarkStart w:id="485" w:name="_Toc292559365"/>
      <w:bookmarkStart w:id="486" w:name="_Toc304295524"/>
      <w:bookmarkStart w:id="487" w:name="_Toc297120460"/>
      <w:r>
        <w:rPr>
          <w:rFonts w:hint="eastAsia" w:ascii="宋体" w:hAnsi="宋体" w:cs="宋体"/>
          <w:color w:val="auto"/>
          <w:szCs w:val="21"/>
          <w:highlight w:val="none"/>
        </w:rPr>
        <w:t>.5.1 分包的一般约定</w:t>
      </w:r>
    </w:p>
    <w:p w14:paraId="175AFD9F">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禁止分包的工程包括：</w:t>
      </w:r>
      <w:r>
        <w:rPr>
          <w:rFonts w:ascii="宋体" w:hAnsi="宋体" w:cs="宋体"/>
          <w:color w:val="auto"/>
          <w:szCs w:val="21"/>
          <w:highlight w:val="none"/>
          <w:u w:val="single"/>
        </w:rPr>
        <w:t></w:t>
      </w:r>
      <w:r>
        <w:rPr>
          <w:rFonts w:hint="eastAsia" w:ascii="宋体" w:hAnsi="宋体" w:cs="宋体"/>
          <w:color w:val="auto"/>
          <w:szCs w:val="21"/>
          <w:highlight w:val="none"/>
          <w:u w:val="single"/>
        </w:rPr>
        <w:t xml:space="preserve">除劳务工程外 </w:t>
      </w:r>
      <w:r>
        <w:rPr>
          <w:rFonts w:hint="eastAsia" w:ascii="宋体" w:hAnsi="宋体" w:cs="宋体"/>
          <w:color w:val="auto"/>
          <w:szCs w:val="21"/>
          <w:highlight w:val="none"/>
        </w:rPr>
        <w:t>。</w:t>
      </w:r>
    </w:p>
    <w:p w14:paraId="536FFC2C">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主体结构、关键性工作的范围：</w:t>
      </w:r>
      <w:r>
        <w:rPr>
          <w:rFonts w:ascii="宋体" w:hAnsi="宋体" w:cs="宋体"/>
          <w:color w:val="auto"/>
          <w:szCs w:val="21"/>
          <w:highlight w:val="none"/>
          <w:u w:val="single"/>
        </w:rPr>
        <w:t></w:t>
      </w:r>
      <w:r>
        <w:rPr>
          <w:rFonts w:hint="eastAsia" w:ascii="宋体" w:hAnsi="宋体" w:cs="宋体"/>
          <w:color w:val="auto"/>
          <w:szCs w:val="21"/>
          <w:highlight w:val="none"/>
          <w:u w:val="single"/>
        </w:rPr>
        <w:t xml:space="preserve">禁止分包  </w:t>
      </w:r>
      <w:r>
        <w:rPr>
          <w:rFonts w:hint="eastAsia" w:ascii="宋体" w:hAnsi="宋体" w:cs="宋体"/>
          <w:color w:val="auto"/>
          <w:szCs w:val="21"/>
          <w:highlight w:val="none"/>
        </w:rPr>
        <w:t>。</w:t>
      </w:r>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14:paraId="52E38DE5">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w:t>
      </w:r>
      <w:bookmarkStart w:id="488" w:name="_Toc318581159"/>
      <w:bookmarkStart w:id="489" w:name="_Toc312677990"/>
      <w:r>
        <w:rPr>
          <w:rFonts w:hint="eastAsia" w:ascii="宋体" w:hAnsi="宋体" w:cs="宋体"/>
          <w:color w:val="auto"/>
          <w:szCs w:val="21"/>
          <w:highlight w:val="none"/>
        </w:rPr>
        <w:t>.5.2 分包的确定</w:t>
      </w:r>
    </w:p>
    <w:p w14:paraId="31247902">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允许分包的专业工程包括：</w:t>
      </w:r>
      <w:r>
        <w:rPr>
          <w:rFonts w:hint="eastAsia" w:ascii="宋体" w:hAnsi="宋体" w:cs="宋体"/>
          <w:color w:val="auto"/>
          <w:szCs w:val="21"/>
          <w:highlight w:val="none"/>
          <w:u w:val="single"/>
        </w:rPr>
        <w:t xml:space="preserve">劳务工程  </w:t>
      </w:r>
      <w:r>
        <w:rPr>
          <w:rFonts w:hint="eastAsia" w:ascii="宋体" w:hAnsi="宋体" w:cs="宋体"/>
          <w:color w:val="auto"/>
          <w:szCs w:val="21"/>
          <w:highlight w:val="none"/>
        </w:rPr>
        <w:t>。</w:t>
      </w:r>
    </w:p>
    <w:p w14:paraId="41ADA6FA">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其他关于分包的约定：</w:t>
      </w:r>
    </w:p>
    <w:p w14:paraId="74FC7DE5">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u w:val="single"/>
        </w:rPr>
        <w:t>（1）除前款约定的分包内容外，经过发包人和监理人同意，承包人可以将其他非主体、非关键性工作分包给第三人，但分包人应当经过发包人和监理人审批。发包人和监理人有权拒绝承包人的分包请求和承包人选择的分包人。本项目分包人主要施工管理人员名单详见合同附件7。</w:t>
      </w:r>
    </w:p>
    <w:p w14:paraId="28FD2ECC">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u w:val="single"/>
        </w:rPr>
        <w:t>（2）在相关分包合同签订并报送有关建设行政主管部门备案后7天内，承包人应当将一份副本提交给监理人，承包人应保障分包工作不得再次分包。</w:t>
      </w:r>
    </w:p>
    <w:p w14:paraId="13AFC2D4">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u w:val="single"/>
        </w:rPr>
        <w:t>（3）未经承包人和监理人审批同意的分包工程和分包人，承包人有权拒绝验收分包工程和支付相应款项，由此引起的发包人费用增加和(或)延误的工期由发包人承担。</w:t>
      </w:r>
    </w:p>
    <w:p w14:paraId="4729B393">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3.5.4 分包合同价款 </w:t>
      </w:r>
    </w:p>
    <w:p w14:paraId="0BB8EF5D">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关于分包合同价款支付的约定：</w:t>
      </w:r>
      <w:r>
        <w:rPr>
          <w:rFonts w:hint="eastAsia" w:ascii="宋体" w:hAnsi="宋体" w:cs="宋体"/>
          <w:color w:val="auto"/>
          <w:szCs w:val="21"/>
          <w:highlight w:val="none"/>
          <w:u w:val="single"/>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p>
    <w:bookmarkEnd w:id="488"/>
    <w:bookmarkEnd w:id="489"/>
    <w:p w14:paraId="49853439">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490" w:name="_Toc403578945"/>
      <w:bookmarkStart w:id="491" w:name="_Toc418751807"/>
      <w:bookmarkStart w:id="492" w:name="_Toc373227711"/>
      <w:bookmarkStart w:id="493" w:name="_Toc418752253"/>
      <w:bookmarkStart w:id="494" w:name="_Toc522201741"/>
      <w:bookmarkStart w:id="495" w:name="_Toc497747189"/>
      <w:bookmarkStart w:id="496" w:name="_Toc16618"/>
      <w:bookmarkStart w:id="497" w:name="_Toc497746792"/>
      <w:bookmarkStart w:id="498" w:name="_Toc373478358"/>
      <w:bookmarkStart w:id="499" w:name="_Toc418518357"/>
      <w:bookmarkStart w:id="500" w:name="_Toc389065277"/>
      <w:bookmarkStart w:id="501" w:name="_Toc256000191"/>
      <w:bookmarkStart w:id="502" w:name="_Toc418061322"/>
      <w:bookmarkStart w:id="503" w:name="_Toc418518121"/>
      <w:r>
        <w:rPr>
          <w:rFonts w:hint="eastAsia" w:ascii="宋体" w:cs="宋体"/>
          <w:color w:val="auto"/>
          <w:highlight w:val="none"/>
        </w:rPr>
        <w:t>3.6 工程照管与成品、半成品保护</w:t>
      </w:r>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p>
    <w:p w14:paraId="64317CAC">
      <w:pPr>
        <w:pStyle w:val="21"/>
        <w:keepNext w:val="0"/>
        <w:keepLines w:val="0"/>
        <w:pageBreakBefore w:val="0"/>
        <w:widowControl w:val="0"/>
        <w:wordWrap/>
        <w:topLinePunct w:val="0"/>
        <w:bidi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承包人负责照管工程及工程相关的材料、工程设备的起始时间：</w:t>
      </w:r>
      <w:r>
        <w:rPr>
          <w:rFonts w:hint="eastAsia" w:ascii="宋体" w:hAnsi="宋体" w:cs="宋体"/>
          <w:color w:val="auto"/>
          <w:szCs w:val="21"/>
          <w:highlight w:val="none"/>
          <w:u w:val="single"/>
        </w:rPr>
        <w:t>自发包人向承包人移交施工现场之日起，到颁发工程接收证书之日止</w:t>
      </w:r>
      <w:r>
        <w:rPr>
          <w:rFonts w:hint="eastAsia" w:ascii="宋体" w:hAnsi="宋体" w:cs="宋体"/>
          <w:color w:val="auto"/>
          <w:kern w:val="0"/>
          <w:szCs w:val="21"/>
          <w:highlight w:val="none"/>
        </w:rPr>
        <w:t>。</w:t>
      </w:r>
    </w:p>
    <w:p w14:paraId="28532E86">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承包人负责照管工程及工程相关的材料、工程设备的范围：</w:t>
      </w:r>
      <w:r>
        <w:rPr>
          <w:rFonts w:hint="eastAsia" w:ascii="宋体" w:hAnsi="宋体" w:cs="宋体"/>
          <w:color w:val="auto"/>
          <w:highlight w:val="none"/>
          <w:u w:val="single"/>
        </w:rPr>
        <w:t>除承包人自身承包范围内的材料、工程设备外，也有义务照管与本项目相关的由发包人另行发包的其他专业工程设备。并有义务避免因自身的原因造成对其他承包人的成品、半成品的损坏、污染</w:t>
      </w:r>
      <w:r>
        <w:rPr>
          <w:rFonts w:hint="eastAsia" w:ascii="宋体" w:hAnsi="宋体" w:cs="宋体"/>
          <w:color w:val="auto"/>
          <w:highlight w:val="none"/>
        </w:rPr>
        <w:t>。</w:t>
      </w:r>
    </w:p>
    <w:p w14:paraId="630A6155">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504" w:name="_Toc389065278"/>
      <w:bookmarkStart w:id="505" w:name="_Toc497746793"/>
      <w:bookmarkStart w:id="506" w:name="_Toc373478359"/>
      <w:bookmarkStart w:id="507" w:name="_Toc418518358"/>
      <w:bookmarkStart w:id="508" w:name="_Toc522201742"/>
      <w:bookmarkStart w:id="509" w:name="_Toc418751808"/>
      <w:bookmarkStart w:id="510" w:name="_Toc418518122"/>
      <w:bookmarkStart w:id="511" w:name="_Toc497747190"/>
      <w:bookmarkStart w:id="512" w:name="_Toc403578946"/>
      <w:bookmarkStart w:id="513" w:name="_Toc418061323"/>
      <w:bookmarkStart w:id="514" w:name="_Toc418752254"/>
      <w:bookmarkStart w:id="515" w:name="_Toc373227712"/>
      <w:bookmarkStart w:id="516" w:name="_Toc256000192"/>
      <w:bookmarkStart w:id="517" w:name="_Toc26561"/>
      <w:r>
        <w:rPr>
          <w:rFonts w:hint="eastAsia" w:ascii="宋体" w:cs="宋体"/>
          <w:color w:val="auto"/>
          <w:highlight w:val="none"/>
        </w:rPr>
        <w:t>3.7 履约</w:t>
      </w:r>
      <w:bookmarkEnd w:id="504"/>
      <w:bookmarkEnd w:id="505"/>
      <w:bookmarkEnd w:id="506"/>
      <w:bookmarkEnd w:id="507"/>
      <w:bookmarkEnd w:id="508"/>
      <w:bookmarkEnd w:id="509"/>
      <w:bookmarkEnd w:id="510"/>
      <w:bookmarkEnd w:id="511"/>
      <w:bookmarkEnd w:id="512"/>
      <w:bookmarkEnd w:id="513"/>
      <w:bookmarkEnd w:id="514"/>
      <w:bookmarkEnd w:id="515"/>
      <w:r>
        <w:rPr>
          <w:rFonts w:hint="eastAsia" w:ascii="宋体" w:cs="宋体"/>
          <w:color w:val="auto"/>
          <w:highlight w:val="none"/>
        </w:rPr>
        <w:t>担保</w:t>
      </w:r>
      <w:bookmarkEnd w:id="516"/>
      <w:bookmarkEnd w:id="517"/>
    </w:p>
    <w:p w14:paraId="5503E746">
      <w:pPr>
        <w:pStyle w:val="51"/>
        <w:keepNext w:val="0"/>
        <w:keepLines w:val="0"/>
        <w:pageBreakBefore w:val="0"/>
        <w:widowControl w:val="0"/>
        <w:wordWrap/>
        <w:topLinePunct w:val="0"/>
        <w:bidi w:val="0"/>
        <w:spacing w:line="380" w:lineRule="exact"/>
        <w:rPr>
          <w:rFonts w:ascii="宋体" w:hAnsi="宋体" w:cs="宋体"/>
          <w:color w:val="auto"/>
          <w:highlight w:val="none"/>
        </w:rPr>
      </w:pPr>
      <w:bookmarkStart w:id="518" w:name="_Toc418752255"/>
      <w:bookmarkStart w:id="519" w:name="_Toc418518123"/>
      <w:bookmarkStart w:id="520" w:name="_Toc373478360"/>
      <w:bookmarkStart w:id="521" w:name="_Toc418518359"/>
      <w:bookmarkStart w:id="522" w:name="_Toc351203636"/>
      <w:bookmarkStart w:id="523" w:name="_Toc418751809"/>
      <w:bookmarkStart w:id="524" w:name="_Toc373227713"/>
      <w:bookmarkStart w:id="525" w:name="_Toc403578947"/>
      <w:bookmarkStart w:id="526" w:name="_Toc418061324"/>
      <w:bookmarkStart w:id="527" w:name="_Toc389065279"/>
      <w:r>
        <w:rPr>
          <w:rFonts w:hint="eastAsia" w:ascii="宋体" w:hAnsi="宋体" w:cs="宋体"/>
          <w:color w:val="auto"/>
          <w:highlight w:val="none"/>
        </w:rPr>
        <w:t>承包人是否提供履约担保：</w:t>
      </w:r>
      <w:r>
        <w:rPr>
          <w:rFonts w:hint="eastAsia" w:ascii="宋体" w:hAnsi="宋体" w:cs="宋体"/>
          <w:color w:val="auto"/>
          <w:highlight w:val="none"/>
          <w:u w:val="single"/>
        </w:rPr>
        <w:t xml:space="preserve">     </w:t>
      </w:r>
      <w:r>
        <w:rPr>
          <w:rFonts w:hint="eastAsia" w:ascii="宋体" w:hAnsi="宋体" w:cs="宋体"/>
          <w:color w:val="auto"/>
          <w:highlight w:val="none"/>
          <w:u w:val="single"/>
          <w:lang w:eastAsia="zh-CN"/>
        </w:rPr>
        <w:t>否</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34718A05">
      <w:pPr>
        <w:pStyle w:val="21"/>
        <w:keepNext w:val="0"/>
        <w:keepLines w:val="0"/>
        <w:pageBreakBefore w:val="0"/>
        <w:widowControl w:val="0"/>
        <w:wordWrap/>
        <w:topLinePunct w:val="0"/>
        <w:bidi w:val="0"/>
        <w:spacing w:line="380" w:lineRule="exact"/>
        <w:ind w:firstLine="420" w:firstLineChars="200"/>
        <w:rPr>
          <w:rFonts w:ascii="宋体" w:hAnsi="宋体" w:cs="宋体"/>
          <w:color w:val="auto"/>
          <w:kern w:val="0"/>
          <w:szCs w:val="21"/>
          <w:highlight w:val="none"/>
          <w:u w:val="single"/>
        </w:rPr>
      </w:pPr>
      <w:r>
        <w:rPr>
          <w:rFonts w:hint="eastAsia" w:ascii="宋体" w:hAnsi="宋体" w:cs="宋体"/>
          <w:color w:val="auto"/>
          <w:kern w:val="0"/>
          <w:szCs w:val="21"/>
          <w:highlight w:val="none"/>
        </w:rPr>
        <w:t>承包人提供履约担保的形式、金额及期限的：</w:t>
      </w:r>
      <w:r>
        <w:rPr>
          <w:rFonts w:hint="eastAsia" w:ascii="宋体" w:hAnsi="宋体" w:cs="宋体"/>
          <w:color w:val="auto"/>
          <w:kern w:val="0"/>
          <w:szCs w:val="21"/>
          <w:highlight w:val="none"/>
          <w:lang w:val="en-US" w:eastAsia="zh-CN"/>
        </w:rPr>
        <w:t xml:space="preserve"> </w:t>
      </w:r>
      <w:r>
        <w:rPr>
          <w:rFonts w:hint="eastAsia" w:ascii="宋体" w:hAnsi="宋体" w:cs="宋体"/>
          <w:color w:val="auto"/>
          <w:szCs w:val="21"/>
          <w:highlight w:val="none"/>
          <w:u w:val="single"/>
          <w:lang w:val="en-US" w:eastAsia="zh-CN"/>
        </w:rPr>
        <w:t>/</w:t>
      </w:r>
      <w:r>
        <w:rPr>
          <w:rFonts w:hint="eastAsia" w:ascii="宋体" w:hAnsi="宋体" w:cs="宋体"/>
          <w:color w:val="auto"/>
          <w:szCs w:val="21"/>
          <w:highlight w:val="none"/>
          <w:u w:val="single"/>
        </w:rPr>
        <w:t>。</w:t>
      </w:r>
    </w:p>
    <w:p w14:paraId="5EC82193">
      <w:pPr>
        <w:pStyle w:val="21"/>
        <w:keepNext w:val="0"/>
        <w:keepLines w:val="0"/>
        <w:pageBreakBefore w:val="0"/>
        <w:widowControl w:val="0"/>
        <w:wordWrap/>
        <w:topLinePunct w:val="0"/>
        <w:bidi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工程竣工验收合格并对验收发现的问题完成整改后的7个日历天内，</w:t>
      </w:r>
      <w:r>
        <w:rPr>
          <w:rFonts w:hint="eastAsia" w:ascii="宋体" w:hAnsi="宋体" w:cs="宋体"/>
          <w:color w:val="auto"/>
          <w:szCs w:val="21"/>
          <w:highlight w:val="none"/>
        </w:rPr>
        <w:t>承包人可向发包人申请退还履约保证金。发包人应在收到申请之日起28个日历天内</w:t>
      </w:r>
      <w:r>
        <w:rPr>
          <w:rFonts w:hint="eastAsia" w:ascii="宋体" w:hAnsi="宋体" w:cs="宋体"/>
          <w:color w:val="auto"/>
          <w:kern w:val="0"/>
          <w:szCs w:val="21"/>
          <w:highlight w:val="none"/>
        </w:rPr>
        <w:t>扣减承包人赔偿金和其他应从承包人扣回的款项后，</w:t>
      </w:r>
      <w:r>
        <w:rPr>
          <w:rFonts w:hint="eastAsia" w:ascii="宋体" w:hAnsi="宋体" w:cs="宋体"/>
          <w:color w:val="auto"/>
          <w:szCs w:val="21"/>
          <w:highlight w:val="none"/>
        </w:rPr>
        <w:t>将履约保证金退还给承包人（无息）。</w:t>
      </w:r>
    </w:p>
    <w:p w14:paraId="2C0999D1">
      <w:pPr>
        <w:pStyle w:val="21"/>
        <w:keepNext w:val="0"/>
        <w:keepLines w:val="0"/>
        <w:pageBreakBefore w:val="0"/>
        <w:widowControl w:val="0"/>
        <w:wordWrap/>
        <w:topLinePunct w:val="0"/>
        <w:bidi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签订合同前承包人必须按市财建（2018）73号文规定将农民工工资保障金存入帐户。工程竣工验收结算经审定后，按照规定程序，将农民工工资保障金没有使用或剩余的金额退还给承包人。</w:t>
      </w:r>
    </w:p>
    <w:p w14:paraId="698326E5">
      <w:pPr>
        <w:pStyle w:val="46"/>
        <w:keepNext w:val="0"/>
        <w:keepLines w:val="0"/>
        <w:pageBreakBefore w:val="0"/>
        <w:widowControl w:val="0"/>
        <w:wordWrap/>
        <w:topLinePunct w:val="0"/>
        <w:bidi w:val="0"/>
        <w:spacing w:line="380" w:lineRule="exact"/>
        <w:outlineLvl w:val="2"/>
        <w:rPr>
          <w:rFonts w:ascii="宋体" w:cs="宋体"/>
          <w:color w:val="auto"/>
          <w:highlight w:val="none"/>
        </w:rPr>
      </w:pPr>
      <w:bookmarkStart w:id="528" w:name="_Toc17209"/>
      <w:bookmarkStart w:id="529" w:name="_Toc522201743"/>
      <w:bookmarkStart w:id="530" w:name="_Toc256000193"/>
      <w:bookmarkStart w:id="531" w:name="_Toc497746794"/>
      <w:bookmarkStart w:id="532" w:name="_Toc497747191"/>
      <w:r>
        <w:rPr>
          <w:rFonts w:hint="eastAsia" w:ascii="宋体" w:cs="宋体"/>
          <w:color w:val="auto"/>
          <w:highlight w:val="none"/>
        </w:rPr>
        <w:t>4</w:t>
      </w:r>
      <w:bookmarkStart w:id="533" w:name="_Toc297120462"/>
      <w:bookmarkStart w:id="534" w:name="_Toc292559871"/>
      <w:bookmarkStart w:id="535" w:name="_Toc296503162"/>
      <w:bookmarkStart w:id="536" w:name="_Toc296346663"/>
      <w:bookmarkStart w:id="537" w:name="_Toc296347161"/>
      <w:bookmarkStart w:id="538" w:name="_Toc292559366"/>
      <w:bookmarkStart w:id="539" w:name="_Toc296891202"/>
      <w:bookmarkStart w:id="540" w:name="_Toc267251413"/>
      <w:bookmarkStart w:id="541" w:name="_Toc297048348"/>
      <w:bookmarkStart w:id="542" w:name="_Toc296944501"/>
      <w:bookmarkStart w:id="543" w:name="_Toc296890990"/>
      <w:r>
        <w:rPr>
          <w:rFonts w:hint="eastAsia" w:ascii="宋体" w:cs="宋体"/>
          <w:color w:val="auto"/>
          <w:highlight w:val="none"/>
        </w:rPr>
        <w:t>. 监</w:t>
      </w:r>
      <w:bookmarkEnd w:id="533"/>
      <w:bookmarkEnd w:id="534"/>
      <w:bookmarkEnd w:id="535"/>
      <w:bookmarkEnd w:id="536"/>
      <w:bookmarkEnd w:id="537"/>
      <w:bookmarkEnd w:id="538"/>
      <w:bookmarkEnd w:id="539"/>
      <w:bookmarkEnd w:id="540"/>
      <w:bookmarkEnd w:id="541"/>
      <w:bookmarkEnd w:id="542"/>
      <w:bookmarkEnd w:id="543"/>
      <w:r>
        <w:rPr>
          <w:rFonts w:hint="eastAsia" w:ascii="宋体" w:cs="宋体"/>
          <w:color w:val="auto"/>
          <w:highlight w:val="none"/>
        </w:rPr>
        <w:t>理人</w:t>
      </w:r>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p>
    <w:p w14:paraId="1837F757">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544" w:name="_Toc418518124"/>
      <w:bookmarkStart w:id="545" w:name="_Toc373478361"/>
      <w:bookmarkStart w:id="546" w:name="_Toc497746795"/>
      <w:bookmarkStart w:id="547" w:name="_Toc418752256"/>
      <w:bookmarkStart w:id="548" w:name="_Toc418061325"/>
      <w:bookmarkStart w:id="549" w:name="_Toc403578948"/>
      <w:bookmarkStart w:id="550" w:name="_Toc32585"/>
      <w:bookmarkStart w:id="551" w:name="_Toc256000194"/>
      <w:bookmarkStart w:id="552" w:name="_Toc373227714"/>
      <w:bookmarkStart w:id="553" w:name="_Toc418751810"/>
      <w:bookmarkStart w:id="554" w:name="_Toc522201744"/>
      <w:bookmarkStart w:id="555" w:name="_Toc418518360"/>
      <w:bookmarkStart w:id="556" w:name="_Toc389065280"/>
      <w:bookmarkStart w:id="557" w:name="_Toc497747192"/>
      <w:r>
        <w:rPr>
          <w:rFonts w:hint="eastAsia" w:ascii="宋体" w:cs="宋体"/>
          <w:color w:val="auto"/>
          <w:highlight w:val="none"/>
        </w:rPr>
        <w:t>4.1 监理人的一般规定</w:t>
      </w:r>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p>
    <w:p w14:paraId="0C694DB3">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关于监理人的监理内容：</w:t>
      </w:r>
      <w:r>
        <w:rPr>
          <w:rFonts w:hint="eastAsia" w:ascii="宋体" w:hAnsi="宋体" w:cs="宋体"/>
          <w:color w:val="auto"/>
          <w:szCs w:val="21"/>
          <w:highlight w:val="none"/>
          <w:u w:val="single"/>
        </w:rPr>
        <w:t xml:space="preserve"> 检查施工承包人工程质量，安全生产管理制度及组织机构人员资格；审查施工承包人员提交的施工进度计划及工程施工范围内所有内容。</w:t>
      </w:r>
    </w:p>
    <w:p w14:paraId="5795D189">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关于监理人的监理权限：</w:t>
      </w:r>
      <w:r>
        <w:rPr>
          <w:rFonts w:hint="eastAsia" w:ascii="宋体" w:hAnsi="宋体" w:cs="宋体"/>
          <w:color w:val="auto"/>
          <w:szCs w:val="21"/>
          <w:highlight w:val="none"/>
          <w:u w:val="single"/>
        </w:rPr>
        <w:t>代表发包人对工程施工相关事项进行检查、查验、审核、验收，并签发相关指示，但监理人无权修改合同，且无权减轻或免除合同约定的承包人的任何责任与义务</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u w:val="single"/>
        </w:rPr>
        <w:t xml:space="preserve"> 1、在发出施工进度计划和施工方案说明以及有关能引起工程费用实际增加（减少）或延长工期的指令前，应得到发包人的书面批准。2、监理工程师在向承包人发出有关技术规范的重大变更或有关变更合同条款的任何指令前均应获得发包人书面批准。3、工程实际竣工日期提前或超过工程承包合同规定的竣工期限的签证之前应得到发包人的书面批准。4、签证单监理只有证明权，无确认权。5、工程内容和材料变更确认应得到发包人的书面批准。不管通用合同条款如何约定，监理人履行须经发包人批准行使的权利时，应当向承包人出示其行使该权利已经取得发包人批准的文件或者其他合法有效的证明 。</w:t>
      </w:r>
      <w:r>
        <w:rPr>
          <w:rFonts w:hint="eastAsia" w:ascii="宋体" w:hAnsi="宋体" w:cs="宋体"/>
          <w:color w:val="auto"/>
          <w:szCs w:val="21"/>
          <w:highlight w:val="none"/>
        </w:rPr>
        <w:t xml:space="preserve">  </w:t>
      </w:r>
    </w:p>
    <w:p w14:paraId="4DA47D93">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关于监理人在施工现场的办公场所、生活场所的提供和费用承担的约定：</w:t>
      </w:r>
      <w:r>
        <w:rPr>
          <w:rFonts w:hint="eastAsia" w:ascii="宋体" w:hAnsi="宋体" w:cs="宋体"/>
          <w:color w:val="auto"/>
          <w:szCs w:val="21"/>
          <w:highlight w:val="none"/>
          <w:u w:val="single"/>
        </w:rPr>
        <w:t>由承包人为发包人、监理单位免费提供三间办公室</w:t>
      </w:r>
      <w:r>
        <w:rPr>
          <w:rFonts w:hint="eastAsia" w:ascii="宋体" w:hAnsi="宋体"/>
          <w:color w:val="auto"/>
          <w:szCs w:val="21"/>
          <w:highlight w:val="none"/>
          <w:u w:val="single"/>
        </w:rPr>
        <w:t>并承担相关费用</w:t>
      </w:r>
      <w:r>
        <w:rPr>
          <w:rFonts w:hint="eastAsia" w:ascii="宋体" w:hAnsi="宋体" w:cs="宋体"/>
          <w:color w:val="auto"/>
          <w:szCs w:val="21"/>
          <w:highlight w:val="none"/>
        </w:rPr>
        <w:t>。</w:t>
      </w:r>
    </w:p>
    <w:p w14:paraId="34C25B87">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558" w:name="_Toc418061326"/>
      <w:bookmarkStart w:id="559" w:name="_Toc418752257"/>
      <w:bookmarkStart w:id="560" w:name="_Toc403578949"/>
      <w:bookmarkStart w:id="561" w:name="_Toc418518361"/>
      <w:bookmarkStart w:id="562" w:name="_Toc497746796"/>
      <w:bookmarkStart w:id="563" w:name="_Toc389065281"/>
      <w:bookmarkStart w:id="564" w:name="_Toc373227715"/>
      <w:bookmarkStart w:id="565" w:name="_Toc497747193"/>
      <w:bookmarkStart w:id="566" w:name="_Toc373478362"/>
      <w:bookmarkStart w:id="567" w:name="_Toc418751811"/>
      <w:bookmarkStart w:id="568" w:name="_Toc25694"/>
      <w:bookmarkStart w:id="569" w:name="_Toc418518125"/>
      <w:bookmarkStart w:id="570" w:name="_Toc522201745"/>
      <w:bookmarkStart w:id="571" w:name="_Toc256000195"/>
      <w:r>
        <w:rPr>
          <w:rFonts w:hint="eastAsia" w:ascii="宋体" w:cs="宋体"/>
          <w:color w:val="auto"/>
          <w:highlight w:val="none"/>
        </w:rPr>
        <w:t>4.2 监理人员</w:t>
      </w:r>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p>
    <w:p w14:paraId="43C1C4EF">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总监理工程师：</w:t>
      </w:r>
    </w:p>
    <w:p w14:paraId="74264DEE">
      <w:pPr>
        <w:pStyle w:val="21"/>
        <w:keepNext w:val="0"/>
        <w:keepLines w:val="0"/>
        <w:pageBreakBefore w:val="0"/>
        <w:widowControl w:val="0"/>
        <w:wordWrap/>
        <w:topLinePunct w:val="0"/>
        <w:bidi w:val="0"/>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姓    名：</w:t>
      </w:r>
      <w:r>
        <w:rPr>
          <w:rFonts w:hint="eastAsia" w:ascii="宋体" w:hAnsi="宋体" w:cs="宋体"/>
          <w:color w:val="auto"/>
          <w:szCs w:val="21"/>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w:t>
      </w:r>
    </w:p>
    <w:p w14:paraId="6CCA3F55">
      <w:pPr>
        <w:pStyle w:val="21"/>
        <w:keepNext w:val="0"/>
        <w:keepLines w:val="0"/>
        <w:pageBreakBefore w:val="0"/>
        <w:widowControl w:val="0"/>
        <w:wordWrap/>
        <w:topLinePunct w:val="0"/>
        <w:bidi w:val="0"/>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职    务：</w:t>
      </w:r>
      <w:r>
        <w:rPr>
          <w:rFonts w:hint="eastAsia" w:ascii="宋体" w:hAnsi="宋体" w:cs="宋体"/>
          <w:color w:val="auto"/>
          <w:szCs w:val="21"/>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12300421">
      <w:pPr>
        <w:pStyle w:val="21"/>
        <w:keepNext w:val="0"/>
        <w:keepLines w:val="0"/>
        <w:pageBreakBefore w:val="0"/>
        <w:widowControl w:val="0"/>
        <w:wordWrap/>
        <w:topLinePunct w:val="0"/>
        <w:bidi w:val="0"/>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监理工程师执业资格证书号：</w:t>
      </w:r>
      <w:r>
        <w:rPr>
          <w:rFonts w:hint="eastAsia" w:ascii="宋体" w:hAnsi="宋体" w:cs="宋体"/>
          <w:color w:val="auto"/>
          <w:szCs w:val="21"/>
          <w:highlight w:val="none"/>
          <w:u w:val="single"/>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2FD83CC8">
      <w:pPr>
        <w:pStyle w:val="21"/>
        <w:keepNext w:val="0"/>
        <w:keepLines w:val="0"/>
        <w:pageBreakBefore w:val="0"/>
        <w:widowControl w:val="0"/>
        <w:wordWrap/>
        <w:topLinePunct w:val="0"/>
        <w:bidi w:val="0"/>
        <w:spacing w:line="38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联系电话：</w:t>
      </w:r>
      <w:r>
        <w:rPr>
          <w:rFonts w:hint="eastAsia" w:ascii="宋体" w:hAnsi="宋体" w:cs="宋体"/>
          <w:color w:val="auto"/>
          <w:szCs w:val="21"/>
          <w:highlight w:val="none"/>
          <w:u w:val="single"/>
          <w:lang w:val="en-US" w:eastAsia="zh-CN"/>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none"/>
        </w:rPr>
        <w:t>；</w:t>
      </w:r>
    </w:p>
    <w:p w14:paraId="362F1FF5">
      <w:pPr>
        <w:pStyle w:val="21"/>
        <w:keepNext w:val="0"/>
        <w:keepLines w:val="0"/>
        <w:pageBreakBefore w:val="0"/>
        <w:widowControl w:val="0"/>
        <w:wordWrap/>
        <w:topLinePunct w:val="0"/>
        <w:bidi w:val="0"/>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电子信箱：</w:t>
      </w:r>
      <w:r>
        <w:rPr>
          <w:rFonts w:hint="eastAsia" w:ascii="宋体" w:hAnsi="宋体" w:cs="宋体"/>
          <w:color w:val="auto"/>
          <w:szCs w:val="21"/>
          <w:highlight w:val="none"/>
          <w:u w:val="single"/>
          <w:lang w:val="en-US" w:eastAsia="zh-CN"/>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none"/>
        </w:rPr>
        <w:t>；</w:t>
      </w:r>
    </w:p>
    <w:p w14:paraId="2AAAB89B">
      <w:pPr>
        <w:pStyle w:val="21"/>
        <w:keepNext w:val="0"/>
        <w:keepLines w:val="0"/>
        <w:pageBreakBefore w:val="0"/>
        <w:widowControl w:val="0"/>
        <w:wordWrap/>
        <w:topLinePunct w:val="0"/>
        <w:bidi w:val="0"/>
        <w:spacing w:line="380" w:lineRule="exact"/>
        <w:ind w:firstLine="420" w:firstLineChars="200"/>
        <w:rPr>
          <w:rFonts w:hint="eastAsia" w:ascii="宋体" w:hAnsi="宋体" w:cs="宋体"/>
          <w:color w:val="auto"/>
          <w:szCs w:val="21"/>
          <w:highlight w:val="none"/>
          <w:u w:val="none"/>
        </w:rPr>
      </w:pPr>
      <w:r>
        <w:rPr>
          <w:rFonts w:hint="eastAsia" w:ascii="宋体" w:hAnsi="宋体" w:cs="宋体"/>
          <w:color w:val="auto"/>
          <w:szCs w:val="21"/>
          <w:highlight w:val="none"/>
        </w:rPr>
        <w:t>通信地址：</w:t>
      </w:r>
      <w:r>
        <w:rPr>
          <w:rFonts w:hint="eastAsia" w:ascii="宋体" w:hAnsi="宋体" w:cs="宋体"/>
          <w:color w:val="auto"/>
          <w:szCs w:val="21"/>
          <w:highlight w:val="none"/>
          <w:u w:val="single"/>
          <w:lang w:val="en-US" w:eastAsia="zh-CN"/>
        </w:rPr>
        <w:t xml:space="preserve"> </w:t>
      </w:r>
      <w:r>
        <w:rPr>
          <w:rFonts w:hint="eastAsia" w:ascii="宋体" w:hAnsi="宋体" w:cs="宋体"/>
          <w:color w:val="auto"/>
          <w:highlight w:val="none"/>
          <w:u w:val="single"/>
          <w:lang w:val="en-US" w:eastAsia="zh-CN"/>
        </w:rPr>
        <w:t>中标（成交）后填写</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none"/>
        </w:rPr>
        <w:t>；</w:t>
      </w:r>
    </w:p>
    <w:p w14:paraId="3AECF9EA">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关于监理人的其他约定：</w:t>
      </w:r>
      <w:r>
        <w:rPr>
          <w:rFonts w:hint="eastAsia" w:ascii="宋体" w:hAnsi="宋体" w:cs="宋体"/>
          <w:color w:val="auto"/>
          <w:szCs w:val="21"/>
          <w:highlight w:val="none"/>
          <w:u w:val="single"/>
        </w:rPr>
        <w:t xml:space="preserve"> 见监理合同</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none"/>
        </w:rPr>
        <w:t>。</w:t>
      </w:r>
    </w:p>
    <w:p w14:paraId="4F3E134F">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572" w:name="_Toc522201746"/>
      <w:bookmarkStart w:id="573" w:name="_Toc418752258"/>
      <w:bookmarkStart w:id="574" w:name="_Toc497747194"/>
      <w:bookmarkStart w:id="575" w:name="_Toc418518126"/>
      <w:bookmarkStart w:id="576" w:name="_Toc373227716"/>
      <w:bookmarkStart w:id="577" w:name="_Toc418751812"/>
      <w:bookmarkStart w:id="578" w:name="_Toc6980"/>
      <w:bookmarkStart w:id="579" w:name="_Toc497746797"/>
      <w:bookmarkStart w:id="580" w:name="_Toc256000196"/>
      <w:bookmarkStart w:id="581" w:name="_Toc403578950"/>
      <w:bookmarkStart w:id="582" w:name="_Toc373478363"/>
      <w:bookmarkStart w:id="583" w:name="_Toc418061327"/>
      <w:bookmarkStart w:id="584" w:name="_Toc418518362"/>
      <w:bookmarkStart w:id="585" w:name="_Toc389065282"/>
      <w:r>
        <w:rPr>
          <w:rFonts w:hint="eastAsia" w:ascii="宋体" w:cs="宋体"/>
          <w:color w:val="auto"/>
          <w:highlight w:val="none"/>
        </w:rPr>
        <w:t>4.4 商定或确定</w:t>
      </w:r>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p>
    <w:p w14:paraId="0F90A0B7">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bookmarkStart w:id="586" w:name="_Toc267251418"/>
      <w:r>
        <w:rPr>
          <w:rFonts w:hint="eastAsia" w:ascii="宋体" w:hAnsi="宋体" w:cs="宋体"/>
          <w:color w:val="auto"/>
          <w:szCs w:val="21"/>
          <w:highlight w:val="none"/>
        </w:rPr>
        <w:t>在发包人和承包人不能通过协商达成一致意见时，发包人授权监理人对以下事项进行确定：</w:t>
      </w:r>
      <w:r>
        <w:rPr>
          <w:rFonts w:hint="eastAsia" w:ascii="宋体" w:hAnsi="宋体" w:cs="宋体"/>
          <w:color w:val="auto"/>
          <w:kern w:val="0"/>
          <w:szCs w:val="21"/>
          <w:highlight w:val="none"/>
          <w:u w:val="single"/>
        </w:rPr>
        <w:t>无</w:t>
      </w:r>
      <w:r>
        <w:rPr>
          <w:rFonts w:hint="eastAsia" w:ascii="宋体" w:hAnsi="宋体" w:cs="宋体"/>
          <w:color w:val="auto"/>
          <w:szCs w:val="21"/>
          <w:highlight w:val="none"/>
        </w:rPr>
        <w:t>；</w:t>
      </w:r>
    </w:p>
    <w:p w14:paraId="4E9B1F9A">
      <w:pPr>
        <w:pStyle w:val="46"/>
        <w:keepNext w:val="0"/>
        <w:keepLines w:val="0"/>
        <w:pageBreakBefore w:val="0"/>
        <w:widowControl w:val="0"/>
        <w:wordWrap/>
        <w:topLinePunct w:val="0"/>
        <w:bidi w:val="0"/>
        <w:spacing w:line="380" w:lineRule="exact"/>
        <w:outlineLvl w:val="2"/>
        <w:rPr>
          <w:rFonts w:ascii="宋体" w:cs="宋体"/>
          <w:color w:val="auto"/>
          <w:highlight w:val="none"/>
        </w:rPr>
      </w:pPr>
      <w:bookmarkStart w:id="587" w:name="_Toc351203637"/>
      <w:bookmarkStart w:id="588" w:name="_Toc403578951"/>
      <w:bookmarkStart w:id="589" w:name="_Toc418518127"/>
      <w:bookmarkStart w:id="590" w:name="_Toc418751813"/>
      <w:bookmarkStart w:id="591" w:name="_Toc497746798"/>
      <w:bookmarkStart w:id="592" w:name="_Toc418061328"/>
      <w:bookmarkStart w:id="593" w:name="_Toc28243"/>
      <w:bookmarkStart w:id="594" w:name="_Toc522201747"/>
      <w:bookmarkStart w:id="595" w:name="_Toc497747195"/>
      <w:bookmarkStart w:id="596" w:name="_Toc418518363"/>
      <w:bookmarkStart w:id="597" w:name="_Toc418752259"/>
      <w:bookmarkStart w:id="598" w:name="_Toc373478364"/>
      <w:bookmarkStart w:id="599" w:name="_Toc256000197"/>
      <w:bookmarkStart w:id="600" w:name="_Toc373227717"/>
      <w:bookmarkStart w:id="601" w:name="_Toc389065283"/>
      <w:r>
        <w:rPr>
          <w:rFonts w:hint="eastAsia" w:ascii="宋体" w:cs="宋体"/>
          <w:color w:val="auto"/>
          <w:highlight w:val="none"/>
        </w:rPr>
        <w:t>5</w:t>
      </w:r>
      <w:bookmarkEnd w:id="586"/>
      <w:bookmarkStart w:id="602" w:name="_Toc296347162"/>
      <w:bookmarkStart w:id="603" w:name="_Toc296891203"/>
      <w:bookmarkStart w:id="604" w:name="_Toc296346664"/>
      <w:bookmarkStart w:id="605" w:name="_Toc297048349"/>
      <w:bookmarkStart w:id="606" w:name="_Toc296890991"/>
      <w:bookmarkStart w:id="607" w:name="_Toc292559367"/>
      <w:bookmarkStart w:id="608" w:name="_Toc296503163"/>
      <w:bookmarkStart w:id="609" w:name="_Toc297120463"/>
      <w:bookmarkStart w:id="610" w:name="_Toc296944502"/>
      <w:bookmarkStart w:id="611" w:name="_Toc292559872"/>
      <w:r>
        <w:rPr>
          <w:rFonts w:hint="eastAsia" w:ascii="宋体" w:hAnsi="宋体" w:eastAsia="宋体" w:cs="宋体"/>
          <w:color w:val="auto"/>
          <w:highlight w:val="none"/>
        </w:rPr>
        <w:t xml:space="preserve">. </w:t>
      </w:r>
      <w:r>
        <w:rPr>
          <w:rFonts w:hint="eastAsia" w:ascii="宋体" w:cs="宋体"/>
          <w:color w:val="auto"/>
          <w:highlight w:val="none"/>
        </w:rPr>
        <w:t>工程质量</w:t>
      </w:r>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p>
    <w:p w14:paraId="507FAC31">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612" w:name="_Toc497747196"/>
      <w:bookmarkStart w:id="613" w:name="_Toc389065284"/>
      <w:bookmarkStart w:id="614" w:name="_Toc418518364"/>
      <w:bookmarkStart w:id="615" w:name="_Toc20307"/>
      <w:bookmarkStart w:id="616" w:name="_Toc373227718"/>
      <w:bookmarkStart w:id="617" w:name="_Toc256000198"/>
      <w:bookmarkStart w:id="618" w:name="_Toc418061329"/>
      <w:bookmarkStart w:id="619" w:name="_Toc418751814"/>
      <w:bookmarkStart w:id="620" w:name="_Toc522201748"/>
      <w:bookmarkStart w:id="621" w:name="_Toc497746799"/>
      <w:bookmarkStart w:id="622" w:name="_Toc418752260"/>
      <w:bookmarkStart w:id="623" w:name="_Toc418518128"/>
      <w:bookmarkStart w:id="624" w:name="_Toc403578952"/>
      <w:bookmarkStart w:id="625" w:name="_Toc373478365"/>
      <w:r>
        <w:rPr>
          <w:rFonts w:hint="eastAsia" w:ascii="宋体" w:cs="宋体"/>
          <w:color w:val="auto"/>
          <w:highlight w:val="none"/>
        </w:rPr>
        <w:t>5.1 质量要求</w:t>
      </w:r>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p w14:paraId="57D93301">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5</w:t>
      </w:r>
      <w:bookmarkStart w:id="626" w:name="_Toc312677997"/>
      <w:bookmarkStart w:id="627" w:name="_Toc318581164"/>
      <w:bookmarkStart w:id="628" w:name="_Toc297216155"/>
      <w:bookmarkStart w:id="629" w:name="_Toc304295527"/>
      <w:bookmarkStart w:id="630" w:name="_Toc303539106"/>
      <w:bookmarkStart w:id="631" w:name="_Toc297123496"/>
      <w:bookmarkStart w:id="632" w:name="_Toc300934949"/>
      <w:r>
        <w:rPr>
          <w:rFonts w:hint="eastAsia" w:ascii="宋体" w:hAnsi="宋体" w:cs="宋体"/>
          <w:color w:val="auto"/>
          <w:szCs w:val="21"/>
          <w:highlight w:val="none"/>
        </w:rPr>
        <w:t>.1.1 特殊质量标准和要求：</w:t>
      </w:r>
      <w:r>
        <w:rPr>
          <w:rFonts w:hint="eastAsia" w:ascii="宋体" w:hAnsi="宋体" w:cs="宋体"/>
          <w:color w:val="auto"/>
          <w:szCs w:val="21"/>
          <w:highlight w:val="none"/>
          <w:u w:val="single"/>
        </w:rPr>
        <w:t xml:space="preserve"> 工程质量达到国家验收合格标准 </w:t>
      </w:r>
      <w:r>
        <w:rPr>
          <w:rFonts w:hint="eastAsia" w:ascii="宋体" w:hAnsi="宋体" w:cs="宋体"/>
          <w:color w:val="auto"/>
          <w:szCs w:val="21"/>
          <w:highlight w:val="none"/>
        </w:rPr>
        <w:t>。</w:t>
      </w:r>
    </w:p>
    <w:p w14:paraId="58EEF132">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关于工程奖项的约定：</w:t>
      </w:r>
      <w:r>
        <w:rPr>
          <w:rFonts w:hint="eastAsia" w:ascii="宋体" w:hAnsi="宋体" w:cs="宋体"/>
          <w:color w:val="auto"/>
          <w:szCs w:val="21"/>
          <w:highlight w:val="none"/>
          <w:u w:val="single"/>
        </w:rPr>
        <w:t xml:space="preserve"> 无 </w:t>
      </w:r>
      <w:r>
        <w:rPr>
          <w:rFonts w:hint="eastAsia" w:ascii="宋体" w:hAnsi="宋体" w:cs="宋体"/>
          <w:color w:val="auto"/>
          <w:szCs w:val="21"/>
          <w:highlight w:val="none"/>
        </w:rPr>
        <w:t>。</w:t>
      </w:r>
    </w:p>
    <w:p w14:paraId="0B2F314D">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5.3 隐蔽工程检查</w:t>
      </w:r>
    </w:p>
    <w:p w14:paraId="717F15E7">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u w:val="single"/>
        </w:rPr>
      </w:pPr>
      <w:r>
        <w:rPr>
          <w:rFonts w:hint="eastAsia" w:ascii="宋体" w:hAnsi="宋体" w:cs="宋体"/>
          <w:color w:val="auto"/>
          <w:szCs w:val="21"/>
          <w:highlight w:val="none"/>
        </w:rPr>
        <w:t>5.3.2承包人提前通知监理人隐蔽工程检查的期限的约定：</w:t>
      </w:r>
      <w:r>
        <w:rPr>
          <w:rFonts w:hint="eastAsia" w:ascii="宋体" w:hAnsi="宋体" w:cs="宋体"/>
          <w:color w:val="auto"/>
          <w:kern w:val="0"/>
          <w:szCs w:val="21"/>
          <w:highlight w:val="none"/>
          <w:u w:val="single"/>
        </w:rPr>
        <w:t>任何部位的隐蔽工程需要覆盖或隐蔽前，承包人均应提前 48 小时通知发包人、监理工程师和质量监督站进行中间验收并拍照，没有发包人、监理工程师和质量监督站的批准，均不得隐蔽或验收。对相关单位所提出涉及工程质量、安全管理等存在问题时，必须进行整改，承包人应在监理人及相关人员指示的时间内修正返工后，由监理人及相关人员重新检查。否则发包人按规定有权进行经济处罚</w:t>
      </w:r>
      <w:r>
        <w:rPr>
          <w:rFonts w:hint="eastAsia" w:ascii="宋体" w:hAnsi="宋体" w:cs="宋体"/>
          <w:bCs/>
          <w:color w:val="auto"/>
          <w:szCs w:val="21"/>
          <w:highlight w:val="none"/>
          <w:u w:val="single"/>
        </w:rPr>
        <w:t>。</w:t>
      </w:r>
    </w:p>
    <w:p w14:paraId="47DF2473">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监理人不能按时进行检查时，应提前</w:t>
      </w:r>
      <w:r>
        <w:rPr>
          <w:rFonts w:hint="eastAsia" w:ascii="宋体" w:hAnsi="宋体" w:cs="宋体"/>
          <w:color w:val="auto"/>
          <w:szCs w:val="21"/>
          <w:highlight w:val="none"/>
          <w:u w:val="single"/>
        </w:rPr>
        <w:t xml:space="preserve"> 24 </w:t>
      </w:r>
      <w:r>
        <w:rPr>
          <w:rFonts w:hint="eastAsia" w:ascii="宋体" w:hAnsi="宋体" w:cs="宋体"/>
          <w:color w:val="auto"/>
          <w:szCs w:val="21"/>
          <w:highlight w:val="none"/>
        </w:rPr>
        <w:t>小时提交书面延期要求。</w:t>
      </w:r>
    </w:p>
    <w:p w14:paraId="38248722">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关于延期最长不得超过：</w:t>
      </w:r>
      <w:r>
        <w:rPr>
          <w:rFonts w:hint="eastAsia" w:ascii="宋体" w:hAnsi="宋体" w:cs="宋体"/>
          <w:color w:val="auto"/>
          <w:szCs w:val="21"/>
          <w:highlight w:val="none"/>
          <w:u w:val="single"/>
        </w:rPr>
        <w:t xml:space="preserve"> 48 </w:t>
      </w:r>
      <w:r>
        <w:rPr>
          <w:rFonts w:hint="eastAsia" w:ascii="宋体" w:hAnsi="宋体" w:cs="宋体"/>
          <w:color w:val="auto"/>
          <w:szCs w:val="21"/>
          <w:highlight w:val="none"/>
        </w:rPr>
        <w:t>小时。</w:t>
      </w:r>
    </w:p>
    <w:p w14:paraId="6B0E1F68">
      <w:pPr>
        <w:pStyle w:val="46"/>
        <w:keepNext w:val="0"/>
        <w:keepLines w:val="0"/>
        <w:pageBreakBefore w:val="0"/>
        <w:widowControl w:val="0"/>
        <w:wordWrap/>
        <w:topLinePunct w:val="0"/>
        <w:bidi w:val="0"/>
        <w:spacing w:line="380" w:lineRule="exact"/>
        <w:outlineLvl w:val="2"/>
        <w:rPr>
          <w:rFonts w:ascii="宋体" w:cs="宋体"/>
          <w:color w:val="auto"/>
          <w:highlight w:val="none"/>
        </w:rPr>
      </w:pPr>
      <w:bookmarkStart w:id="633" w:name="_Toc418751815"/>
      <w:bookmarkStart w:id="634" w:name="_Toc403578953"/>
      <w:bookmarkStart w:id="635" w:name="_Toc351203638"/>
      <w:bookmarkStart w:id="636" w:name="_Toc418518365"/>
      <w:bookmarkStart w:id="637" w:name="_Toc418518129"/>
      <w:bookmarkStart w:id="638" w:name="_Toc418752261"/>
      <w:bookmarkStart w:id="639" w:name="_Toc6529"/>
      <w:bookmarkStart w:id="640" w:name="_Toc389065285"/>
      <w:bookmarkStart w:id="641" w:name="_Toc373478366"/>
      <w:bookmarkStart w:id="642" w:name="_Toc522201749"/>
      <w:bookmarkStart w:id="643" w:name="_Toc373227719"/>
      <w:bookmarkStart w:id="644" w:name="_Toc497746800"/>
      <w:bookmarkStart w:id="645" w:name="_Toc497747197"/>
      <w:bookmarkStart w:id="646" w:name="_Toc418061330"/>
      <w:bookmarkStart w:id="647" w:name="_Toc256000199"/>
      <w:r>
        <w:rPr>
          <w:rFonts w:hint="eastAsia" w:ascii="宋体" w:cs="宋体"/>
          <w:color w:val="auto"/>
          <w:highlight w:val="none"/>
        </w:rPr>
        <w:t>6. 安全文明施工与环境保护</w:t>
      </w:r>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p>
    <w:p w14:paraId="39F36A6A">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648" w:name="_Toc373227720"/>
      <w:bookmarkStart w:id="649" w:name="_Toc497747198"/>
      <w:bookmarkStart w:id="650" w:name="_Toc418518366"/>
      <w:bookmarkStart w:id="651" w:name="_Toc373478367"/>
      <w:bookmarkStart w:id="652" w:name="_Toc497746801"/>
      <w:bookmarkStart w:id="653" w:name="_Toc522201750"/>
      <w:bookmarkStart w:id="654" w:name="_Toc403578954"/>
      <w:bookmarkStart w:id="655" w:name="_Toc418061331"/>
      <w:bookmarkStart w:id="656" w:name="_Toc389065286"/>
      <w:bookmarkStart w:id="657" w:name="_Toc418752262"/>
      <w:bookmarkStart w:id="658" w:name="_Toc16475"/>
      <w:bookmarkStart w:id="659" w:name="_Toc418751816"/>
      <w:bookmarkStart w:id="660" w:name="_Toc418518130"/>
      <w:bookmarkStart w:id="661" w:name="_Toc256000200"/>
      <w:r>
        <w:rPr>
          <w:rFonts w:hint="eastAsia" w:ascii="宋体" w:cs="宋体"/>
          <w:color w:val="auto"/>
          <w:highlight w:val="none"/>
        </w:rPr>
        <w:t>6.1 安全文明施工</w:t>
      </w:r>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p>
    <w:p w14:paraId="7841EB4B">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6.1.1 项目安全生产的达标目标及相应事项的约定：</w:t>
      </w:r>
      <w:r>
        <w:rPr>
          <w:rFonts w:hint="eastAsia" w:ascii="宋体" w:hAnsi="宋体" w:cs="宋体"/>
          <w:color w:val="auto"/>
          <w:szCs w:val="21"/>
          <w:highlight w:val="none"/>
          <w:u w:val="single"/>
        </w:rPr>
        <w:t xml:space="preserve"> 按照国家及地方安全文明施工的有关规定执行 </w:t>
      </w:r>
      <w:r>
        <w:rPr>
          <w:rFonts w:hint="eastAsia" w:ascii="宋体" w:hAnsi="宋体" w:cs="宋体"/>
          <w:color w:val="auto"/>
          <w:szCs w:val="21"/>
          <w:highlight w:val="none"/>
        </w:rPr>
        <w:t>。</w:t>
      </w:r>
    </w:p>
    <w:p w14:paraId="77DF9BD2">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关于安全文明施工奖项的约定：</w:t>
      </w:r>
      <w:r>
        <w:rPr>
          <w:rFonts w:hint="eastAsia" w:ascii="宋体" w:hAnsi="宋体" w:cs="宋体"/>
          <w:color w:val="auto"/>
          <w:szCs w:val="21"/>
          <w:highlight w:val="none"/>
          <w:u w:val="single"/>
        </w:rPr>
        <w:t xml:space="preserve">  承包人应当负责统一管理施工场地的治安保卫事项，履行合同工程的治安保卫职责  </w:t>
      </w:r>
      <w:r>
        <w:rPr>
          <w:rFonts w:hint="eastAsia" w:ascii="宋体" w:hAnsi="宋体" w:cs="宋体"/>
          <w:color w:val="auto"/>
          <w:szCs w:val="21"/>
          <w:highlight w:val="none"/>
        </w:rPr>
        <w:t>。</w:t>
      </w:r>
    </w:p>
    <w:p w14:paraId="29E2DF44">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6.1.4 关于治安保卫的特别约定：</w:t>
      </w:r>
      <w:r>
        <w:rPr>
          <w:rFonts w:hint="eastAsia" w:ascii="宋体" w:hAnsi="宋体" w:cs="宋体"/>
          <w:color w:val="auto"/>
          <w:szCs w:val="21"/>
          <w:highlight w:val="none"/>
          <w:u w:val="single"/>
        </w:rPr>
        <w:t>承包人应承担施工安全保卫工作及非夜间施工照明的责任，承包人应采取一切合理的预防措施，防止人员伤亡、财产损失事故，费用由承包人承担。承包人生活设施及施工场应自费配备消防设备，防止火灾发生</w:t>
      </w:r>
      <w:r>
        <w:rPr>
          <w:rFonts w:hint="eastAsia" w:ascii="宋体" w:hAnsi="宋体" w:cs="宋体"/>
          <w:color w:val="auto"/>
          <w:szCs w:val="21"/>
          <w:highlight w:val="none"/>
        </w:rPr>
        <w:t>。</w:t>
      </w:r>
    </w:p>
    <w:p w14:paraId="44BA119E">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关于编制施工场地治安管理计划的约定：</w:t>
      </w:r>
      <w:r>
        <w:rPr>
          <w:rFonts w:hint="eastAsia" w:ascii="宋体" w:hAnsi="宋体" w:cs="宋体"/>
          <w:color w:val="auto"/>
          <w:szCs w:val="21"/>
          <w:highlight w:val="none"/>
          <w:u w:val="single"/>
        </w:rPr>
        <w:t>开工前7天内承包人编制施工场地治安管理计划和突发治安事件紧急预案</w:t>
      </w:r>
      <w:r>
        <w:rPr>
          <w:rFonts w:hint="eastAsia" w:ascii="宋体" w:hAnsi="宋体" w:cs="宋体"/>
          <w:color w:val="auto"/>
          <w:szCs w:val="21"/>
          <w:highlight w:val="none"/>
        </w:rPr>
        <w:t>。</w:t>
      </w:r>
    </w:p>
    <w:p w14:paraId="689CCCA9">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6.1.5 文明施工</w:t>
      </w:r>
    </w:p>
    <w:p w14:paraId="28B2A9D5">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合同当事人对文明施工的要求：</w:t>
      </w:r>
      <w:r>
        <w:rPr>
          <w:rFonts w:hint="eastAsia" w:ascii="宋体" w:hAnsi="宋体" w:cs="宋体"/>
          <w:color w:val="auto"/>
          <w:szCs w:val="21"/>
          <w:highlight w:val="none"/>
          <w:u w:val="single"/>
        </w:rPr>
        <w:t>按照国家及地方安全文明施工的有关规定执行</w:t>
      </w:r>
      <w:r>
        <w:rPr>
          <w:rFonts w:hint="eastAsia" w:ascii="宋体" w:hAnsi="宋体" w:cs="宋体"/>
          <w:color w:val="auto"/>
          <w:szCs w:val="21"/>
          <w:highlight w:val="none"/>
        </w:rPr>
        <w:t>。</w:t>
      </w:r>
    </w:p>
    <w:p w14:paraId="09D186BF">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ascii="宋体" w:hAnsi="宋体" w:cs="宋体"/>
          <w:color w:val="auto"/>
          <w:kern w:val="0"/>
          <w:highlight w:val="none"/>
        </w:rPr>
      </w:pPr>
      <w:r>
        <w:rPr>
          <w:rFonts w:hint="eastAsia" w:ascii="宋体" w:hAnsi="宋体" w:cs="宋体"/>
          <w:color w:val="auto"/>
          <w:szCs w:val="21"/>
          <w:highlight w:val="none"/>
        </w:rPr>
        <w:t>6.1.6 关于安全文明施工费支付比例和支付期限的约定：</w:t>
      </w:r>
      <w:r>
        <w:rPr>
          <w:rFonts w:hint="eastAsia" w:ascii="宋体" w:hAnsi="宋体" w:cs="宋体"/>
          <w:color w:val="auto"/>
          <w:kern w:val="0"/>
          <w:highlight w:val="none"/>
          <w:u w:val="single"/>
        </w:rPr>
        <w:t>专款专用</w:t>
      </w:r>
      <w:r>
        <w:rPr>
          <w:rFonts w:hint="eastAsia" w:ascii="宋体" w:hAnsi="宋体" w:cs="宋体"/>
          <w:color w:val="auto"/>
          <w:kern w:val="0"/>
          <w:highlight w:val="none"/>
        </w:rPr>
        <w:t>。具体</w:t>
      </w:r>
      <w:r>
        <w:rPr>
          <w:rFonts w:hint="eastAsia" w:ascii="宋体" w:hAnsi="宋体" w:cs="宋体"/>
          <w:color w:val="auto"/>
          <w:kern w:val="0"/>
          <w:highlight w:val="none"/>
          <w:u w:val="single"/>
        </w:rPr>
        <w:t>按</w:t>
      </w:r>
      <w:r>
        <w:rPr>
          <w:rFonts w:hint="eastAsia" w:ascii="宋体" w:hAnsi="宋体" w:cs="宋体"/>
          <w:color w:val="auto"/>
          <w:kern w:val="0"/>
          <w:highlight w:val="none"/>
          <w:u w:val="single"/>
          <w:lang w:eastAsia="zh-CN"/>
        </w:rPr>
        <w:t>《广西壮族自治区建设工程安全文明施工费使用管理细则》（桂建质[2015] 16号）</w:t>
      </w:r>
      <w:r>
        <w:rPr>
          <w:rFonts w:hint="eastAsia" w:ascii="宋体" w:hAnsi="宋体" w:cs="宋体"/>
          <w:color w:val="auto"/>
          <w:kern w:val="0"/>
          <w:highlight w:val="none"/>
          <w:u w:val="single"/>
        </w:rPr>
        <w:t>和</w:t>
      </w:r>
      <w:r>
        <w:rPr>
          <w:rFonts w:hint="eastAsia" w:ascii="宋体" w:hAnsi="宋体" w:cs="宋体"/>
          <w:color w:val="auto"/>
          <w:szCs w:val="24"/>
          <w:highlight w:val="none"/>
          <w:u w:val="single"/>
          <w:lang w:val="en-US" w:eastAsia="zh-CN"/>
        </w:rPr>
        <w:t xml:space="preserve">  </w:t>
      </w:r>
      <w:r>
        <w:rPr>
          <w:rFonts w:hint="eastAsia" w:ascii="宋体" w:hAnsi="宋体" w:cs="宋体"/>
          <w:color w:val="auto"/>
          <w:szCs w:val="24"/>
          <w:highlight w:val="none"/>
          <w:u w:val="single"/>
        </w:rPr>
        <w:t>桂林市</w:t>
      </w:r>
      <w:r>
        <w:rPr>
          <w:rFonts w:hint="eastAsia" w:ascii="宋体" w:hAnsi="宋体" w:cs="宋体"/>
          <w:color w:val="auto"/>
          <w:szCs w:val="24"/>
          <w:highlight w:val="none"/>
          <w:u w:val="single"/>
          <w:lang w:val="en-US" w:eastAsia="zh-CN"/>
        </w:rPr>
        <w:t xml:space="preserve">  </w:t>
      </w:r>
      <w:r>
        <w:rPr>
          <w:rFonts w:hint="eastAsia" w:ascii="宋体" w:hAnsi="宋体" w:cs="宋体"/>
          <w:color w:val="auto"/>
          <w:kern w:val="0"/>
          <w:highlight w:val="none"/>
        </w:rPr>
        <w:t>相关规定执行。</w:t>
      </w:r>
    </w:p>
    <w:p w14:paraId="7C7EA50D">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highlight w:val="none"/>
        </w:rPr>
        <w:t>（3）支付约定：</w:t>
      </w:r>
      <w:r>
        <w:rPr>
          <w:rFonts w:hint="eastAsia" w:cs="宋体"/>
          <w:color w:val="auto"/>
          <w:kern w:val="0"/>
          <w:highlight w:val="none"/>
        </w:rPr>
        <w:t>在本合同签订后</w:t>
      </w:r>
      <w:r>
        <w:rPr>
          <w:color w:val="auto"/>
          <w:kern w:val="0"/>
          <w:highlight w:val="none"/>
          <w:u w:val="single"/>
        </w:rPr>
        <w:t xml:space="preserve">    </w:t>
      </w:r>
      <w:r>
        <w:rPr>
          <w:rFonts w:hint="eastAsia" w:cs="宋体"/>
          <w:color w:val="auto"/>
          <w:kern w:val="0"/>
          <w:highlight w:val="none"/>
        </w:rPr>
        <w:t>个工作日内，预付安全文明施工费总额的</w:t>
      </w:r>
      <w:r>
        <w:rPr>
          <w:rFonts w:hint="eastAsia" w:cs="宋体"/>
          <w:color w:val="auto"/>
          <w:kern w:val="0"/>
          <w:highlight w:val="none"/>
          <w:u w:val="single"/>
        </w:rPr>
        <w:t xml:space="preserve">  </w:t>
      </w:r>
      <w:r>
        <w:rPr>
          <w:rFonts w:hint="eastAsia" w:cs="宋体"/>
          <w:color w:val="auto"/>
          <w:kern w:val="0"/>
          <w:highlight w:val="none"/>
          <w:u w:val="single"/>
          <w:lang w:val="en-US" w:eastAsia="zh-CN"/>
        </w:rPr>
        <w:t xml:space="preserve">  </w:t>
      </w:r>
      <w:r>
        <w:rPr>
          <w:rFonts w:hint="eastAsia" w:cs="宋体"/>
          <w:color w:val="auto"/>
          <w:kern w:val="0"/>
          <w:highlight w:val="none"/>
        </w:rPr>
        <w:t>%，其余部分与进度款同期支付，安全文明施工费预付款在工程进度款累计金额超过合同价的</w:t>
      </w:r>
      <w:r>
        <w:rPr>
          <w:rFonts w:hint="eastAsia" w:cs="宋体"/>
          <w:color w:val="auto"/>
          <w:kern w:val="0"/>
          <w:highlight w:val="none"/>
          <w:u w:val="single"/>
        </w:rPr>
        <w:t xml:space="preserve">  </w:t>
      </w:r>
      <w:r>
        <w:rPr>
          <w:rFonts w:hint="eastAsia" w:cs="宋体"/>
          <w:color w:val="auto"/>
          <w:kern w:val="0"/>
          <w:highlight w:val="none"/>
          <w:u w:val="single"/>
          <w:lang w:val="en-US" w:eastAsia="zh-CN"/>
        </w:rPr>
        <w:t xml:space="preserve">  </w:t>
      </w:r>
      <w:r>
        <w:rPr>
          <w:rFonts w:hint="eastAsia" w:cs="宋体"/>
          <w:color w:val="auto"/>
          <w:kern w:val="0"/>
          <w:highlight w:val="none"/>
        </w:rPr>
        <w:t>%时开始起扣，每月从支付给承包商的工程款内按安全文明预付款占合同总价的同一百分比扣回</w:t>
      </w:r>
      <w:r>
        <w:rPr>
          <w:rFonts w:hint="eastAsia" w:hAnsi="宋体" w:cs="宋体"/>
          <w:color w:val="auto"/>
          <w:kern w:val="0"/>
          <w:highlight w:val="none"/>
        </w:rPr>
        <w:t>。</w:t>
      </w:r>
      <w:r>
        <w:rPr>
          <w:rFonts w:hint="eastAsia" w:ascii="宋体" w:hAnsi="宋体" w:cs="宋体"/>
          <w:color w:val="auto"/>
          <w:szCs w:val="21"/>
          <w:highlight w:val="none"/>
        </w:rPr>
        <w:t xml:space="preserve">  </w:t>
      </w:r>
    </w:p>
    <w:p w14:paraId="372929AE">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bookmarkStart w:id="662" w:name="_Toc373227721"/>
      <w:bookmarkStart w:id="663" w:name="_Toc418518367"/>
      <w:bookmarkStart w:id="664" w:name="_Toc373478368"/>
      <w:bookmarkStart w:id="665" w:name="_Toc418751817"/>
      <w:bookmarkStart w:id="666" w:name="_Toc403578955"/>
      <w:bookmarkStart w:id="667" w:name="_Toc418752263"/>
      <w:bookmarkStart w:id="668" w:name="_Toc497746802"/>
      <w:bookmarkStart w:id="669" w:name="_Toc418518131"/>
      <w:bookmarkStart w:id="670" w:name="_Toc389065287"/>
      <w:bookmarkStart w:id="671" w:name="_Toc497747199"/>
      <w:bookmarkStart w:id="672" w:name="_Toc418061332"/>
      <w:r>
        <w:rPr>
          <w:rFonts w:hint="eastAsia" w:ascii="宋体" w:hAnsi="宋体" w:cs="宋体"/>
          <w:color w:val="auto"/>
          <w:szCs w:val="21"/>
          <w:highlight w:val="none"/>
        </w:rPr>
        <w:t xml:space="preserve"> </w:t>
      </w:r>
      <w:r>
        <w:rPr>
          <w:rFonts w:hint="eastAsia" w:ascii="宋体" w:hAnsi="宋体" w:eastAsia="宋体" w:cs="宋体"/>
          <w:b/>
          <w:bCs/>
          <w:color w:val="auto"/>
          <w:kern w:val="44"/>
          <w:sz w:val="21"/>
          <w:szCs w:val="21"/>
          <w:highlight w:val="none"/>
          <w:lang w:val="en-US" w:eastAsia="zh-CN" w:bidi="ar-SA"/>
        </w:rPr>
        <w:t xml:space="preserve">6.3 </w:t>
      </w:r>
      <w:r>
        <w:rPr>
          <w:rFonts w:hint="eastAsia" w:ascii="宋体" w:hAnsi="宋体" w:cs="宋体"/>
          <w:color w:val="auto"/>
          <w:szCs w:val="21"/>
          <w:highlight w:val="none"/>
        </w:rPr>
        <w:t>环境保护</w:t>
      </w:r>
      <w:bookmarkEnd w:id="662"/>
      <w:bookmarkEnd w:id="663"/>
      <w:bookmarkEnd w:id="664"/>
      <w:bookmarkEnd w:id="665"/>
      <w:bookmarkEnd w:id="666"/>
      <w:bookmarkEnd w:id="667"/>
      <w:bookmarkEnd w:id="668"/>
      <w:bookmarkEnd w:id="669"/>
      <w:bookmarkEnd w:id="670"/>
      <w:bookmarkEnd w:id="671"/>
      <w:bookmarkEnd w:id="672"/>
      <w:r>
        <w:rPr>
          <w:rFonts w:hint="eastAsia" w:ascii="宋体" w:hAnsi="宋体" w:cs="宋体"/>
          <w:color w:val="auto"/>
          <w:szCs w:val="21"/>
          <w:highlight w:val="none"/>
        </w:rPr>
        <w:t>因施工需要，经发包人批准，由承包人办理有关施工场地交通、环卫和施工噪音管理等手续，费用由承包人负责。</w:t>
      </w:r>
    </w:p>
    <w:p w14:paraId="63EAFBFA">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经过城市道路的施工车辆，必须按交警、城管、运输等部门相关规定执行。由于施工车辆造成的道路、环境等污染，其责任和费用均由承包人承担。</w:t>
      </w:r>
    </w:p>
    <w:p w14:paraId="5636E634">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rPr>
        <w:t>环保工作的约定：</w:t>
      </w:r>
      <w:r>
        <w:rPr>
          <w:rFonts w:hint="eastAsia" w:ascii="宋体" w:hAnsi="宋体" w:cs="宋体"/>
          <w:color w:val="auto"/>
          <w:highlight w:val="none"/>
          <w:u w:val="single"/>
        </w:rPr>
        <w:t>承包人负责办理有关环保报批手续，并承担相应的费用。在施工期间对环境主要影响是机械声和废水、废渣、尘埃，对此承包人应采取相应的防治措施和严格管理，严格控制污染物排放，污染物排放前必须处理，达到排污标准后再排放。严禁把污染物直接排入江中。控制标准：《地面环境质量标准》GB3838-88Ⅱ。施工完毕后，承包人应及时将被破坏的场地，遵照监理工程师的指示进行清理、修正，并根据实际情况将场地恢复到原有状态，费用自理。</w:t>
      </w:r>
    </w:p>
    <w:bookmarkEnd w:id="626"/>
    <w:bookmarkEnd w:id="627"/>
    <w:bookmarkEnd w:id="628"/>
    <w:bookmarkEnd w:id="629"/>
    <w:bookmarkEnd w:id="630"/>
    <w:bookmarkEnd w:id="631"/>
    <w:bookmarkEnd w:id="632"/>
    <w:p w14:paraId="79F35C49">
      <w:pPr>
        <w:pStyle w:val="46"/>
        <w:keepNext w:val="0"/>
        <w:keepLines w:val="0"/>
        <w:pageBreakBefore w:val="0"/>
        <w:widowControl w:val="0"/>
        <w:wordWrap/>
        <w:topLinePunct w:val="0"/>
        <w:bidi w:val="0"/>
        <w:spacing w:line="380" w:lineRule="exact"/>
        <w:outlineLvl w:val="2"/>
        <w:rPr>
          <w:rFonts w:ascii="宋体" w:cs="宋体"/>
          <w:color w:val="auto"/>
          <w:highlight w:val="none"/>
        </w:rPr>
      </w:pPr>
      <w:bookmarkStart w:id="673" w:name="_Toc418518368"/>
      <w:bookmarkStart w:id="674" w:name="_Toc351203639"/>
      <w:bookmarkStart w:id="675" w:name="_Toc418752264"/>
      <w:bookmarkStart w:id="676" w:name="_Toc418518132"/>
      <w:bookmarkStart w:id="677" w:name="_Toc522201751"/>
      <w:bookmarkStart w:id="678" w:name="_Toc5327"/>
      <w:bookmarkStart w:id="679" w:name="_Toc256000201"/>
      <w:bookmarkStart w:id="680" w:name="_Toc389065288"/>
      <w:bookmarkStart w:id="681" w:name="_Toc373478369"/>
      <w:bookmarkStart w:id="682" w:name="_Toc373227722"/>
      <w:bookmarkStart w:id="683" w:name="_Toc497746803"/>
      <w:bookmarkStart w:id="684" w:name="_Toc418061333"/>
      <w:bookmarkStart w:id="685" w:name="_Toc403578956"/>
      <w:bookmarkStart w:id="686" w:name="_Toc497747200"/>
      <w:bookmarkStart w:id="687" w:name="_Toc418751818"/>
      <w:r>
        <w:rPr>
          <w:rFonts w:hint="eastAsia" w:ascii="宋体" w:cs="宋体"/>
          <w:color w:val="auto"/>
          <w:highlight w:val="none"/>
        </w:rPr>
        <w:t>7</w:t>
      </w:r>
      <w:r>
        <w:rPr>
          <w:rFonts w:hint="eastAsia" w:ascii="宋体" w:hAnsi="宋体" w:eastAsia="宋体" w:cs="宋体"/>
          <w:color w:val="auto"/>
          <w:highlight w:val="none"/>
        </w:rPr>
        <w:t xml:space="preserve">. </w:t>
      </w:r>
      <w:r>
        <w:rPr>
          <w:rFonts w:hint="eastAsia" w:ascii="宋体" w:cs="宋体"/>
          <w:color w:val="auto"/>
          <w:highlight w:val="none"/>
        </w:rPr>
        <w:t>工期和进度</w:t>
      </w:r>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p>
    <w:p w14:paraId="18B23714">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688" w:name="_Toc418751819"/>
      <w:bookmarkStart w:id="689" w:name="_Toc403578957"/>
      <w:bookmarkStart w:id="690" w:name="_Toc418518369"/>
      <w:bookmarkStart w:id="691" w:name="_Toc373478370"/>
      <w:bookmarkStart w:id="692" w:name="_Toc522201752"/>
      <w:bookmarkStart w:id="693" w:name="_Toc418752265"/>
      <w:bookmarkStart w:id="694" w:name="_Toc373227723"/>
      <w:bookmarkStart w:id="695" w:name="_Toc418518133"/>
      <w:bookmarkStart w:id="696" w:name="_Toc256000202"/>
      <w:bookmarkStart w:id="697" w:name="_Toc389065289"/>
      <w:bookmarkStart w:id="698" w:name="_Toc497746804"/>
      <w:bookmarkStart w:id="699" w:name="_Toc28893"/>
      <w:bookmarkStart w:id="700" w:name="_Toc418061334"/>
      <w:bookmarkStart w:id="701" w:name="_Toc497747201"/>
      <w:r>
        <w:rPr>
          <w:rFonts w:hint="eastAsia" w:ascii="宋体" w:cs="宋体"/>
          <w:color w:val="auto"/>
          <w:highlight w:val="none"/>
        </w:rPr>
        <w:t>7.1 施工组织设计</w:t>
      </w:r>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p>
    <w:p w14:paraId="7FEE7D64">
      <w:pPr>
        <w:pStyle w:val="51"/>
        <w:keepNext w:val="0"/>
        <w:keepLines w:val="0"/>
        <w:pageBreakBefore w:val="0"/>
        <w:widowControl w:val="0"/>
        <w:wordWrap/>
        <w:topLinePunct w:val="0"/>
        <w:bidi w:val="0"/>
        <w:spacing w:line="380" w:lineRule="exact"/>
        <w:rPr>
          <w:rFonts w:ascii="宋体" w:hAnsi="宋体" w:cs="宋体"/>
          <w:color w:val="auto"/>
          <w:highlight w:val="none"/>
          <w:u w:val="single"/>
        </w:rPr>
      </w:pPr>
      <w:r>
        <w:rPr>
          <w:rFonts w:hint="eastAsia" w:ascii="宋体" w:hAnsi="宋体" w:cs="宋体"/>
          <w:color w:val="auto"/>
          <w:highlight w:val="none"/>
        </w:rPr>
        <w:t>7.1.1 合同当事人约定的施工组织设计应包括的其他内容：</w:t>
      </w:r>
      <w:r>
        <w:rPr>
          <w:rFonts w:hint="eastAsia" w:ascii="宋体" w:hAnsi="宋体" w:cs="宋体"/>
          <w:color w:val="auto"/>
          <w:highlight w:val="none"/>
          <w:u w:val="single"/>
        </w:rPr>
        <w:t>(1)管理人员名单，含职称、职务并附相关人员岗位证书等复印件；（2）施工进度计划包括总进度计划、分阶段和分项进度计划、设备材料人员进场计划；施工方案说明包括分部、分项工程或工程部位的名称及施工顺序和方法；（3）国家及地方有关规定应当提交的内容。</w:t>
      </w:r>
    </w:p>
    <w:p w14:paraId="24B855CD">
      <w:pPr>
        <w:pStyle w:val="21"/>
        <w:keepNext w:val="0"/>
        <w:keepLines w:val="0"/>
        <w:pageBreakBefore w:val="0"/>
        <w:widowControl w:val="0"/>
        <w:wordWrap/>
        <w:topLinePunct w:val="0"/>
        <w:autoSpaceDE w:val="0"/>
        <w:autoSpaceDN w:val="0"/>
        <w:bidi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szCs w:val="21"/>
          <w:highlight w:val="none"/>
        </w:rPr>
        <w:t xml:space="preserve">7.1.2 </w:t>
      </w:r>
      <w:r>
        <w:rPr>
          <w:rFonts w:hint="eastAsia" w:ascii="宋体" w:hAnsi="宋体" w:cs="宋体"/>
          <w:color w:val="auto"/>
          <w:kern w:val="0"/>
          <w:szCs w:val="21"/>
          <w:highlight w:val="none"/>
        </w:rPr>
        <w:t>施工组织设计的提交和修改</w:t>
      </w:r>
    </w:p>
    <w:p w14:paraId="0A484D03">
      <w:pPr>
        <w:pStyle w:val="21"/>
        <w:keepNext w:val="0"/>
        <w:keepLines w:val="0"/>
        <w:pageBreakBefore w:val="0"/>
        <w:widowControl w:val="0"/>
        <w:wordWrap/>
        <w:topLinePunct w:val="0"/>
        <w:autoSpaceDE w:val="0"/>
        <w:autoSpaceDN w:val="0"/>
        <w:bidi w:val="0"/>
        <w:adjustRightInd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rPr>
        <w:t>承包人提交详细施工组织设计的期限的约定：</w:t>
      </w:r>
      <w:r>
        <w:rPr>
          <w:rFonts w:hint="eastAsia" w:ascii="宋体" w:hAnsi="宋体" w:cs="宋体"/>
          <w:color w:val="auto"/>
          <w:szCs w:val="21"/>
          <w:highlight w:val="none"/>
          <w:u w:val="single"/>
        </w:rPr>
        <w:t xml:space="preserve"> </w:t>
      </w:r>
      <w:r>
        <w:rPr>
          <w:rFonts w:hint="eastAsia" w:ascii="宋体" w:hAnsi="宋体"/>
          <w:color w:val="auto"/>
          <w:szCs w:val="21"/>
          <w:highlight w:val="none"/>
          <w:u w:val="single"/>
        </w:rPr>
        <w:t>合同签订后14天内，最迟不得晚于开工通知载明的开工日期前7天</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5DE7987D">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发包人和监理人在收到详细的施工组织设计后确认或提出修改意见的期限：</w:t>
      </w:r>
      <w:r>
        <w:rPr>
          <w:rFonts w:hint="eastAsia" w:ascii="宋体" w:hAnsi="宋体"/>
          <w:color w:val="auto"/>
          <w:szCs w:val="21"/>
          <w:highlight w:val="none"/>
          <w:u w:val="single"/>
        </w:rPr>
        <w:t>收到施工组织设计后7天内确认或提出修改意见。</w:t>
      </w:r>
    </w:p>
    <w:p w14:paraId="5682ECB6">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702" w:name="_Toc418518134"/>
      <w:bookmarkStart w:id="703" w:name="_Toc418752266"/>
      <w:bookmarkStart w:id="704" w:name="_Toc256000203"/>
      <w:bookmarkStart w:id="705" w:name="_Toc418518370"/>
      <w:bookmarkStart w:id="706" w:name="_Toc497747202"/>
      <w:bookmarkStart w:id="707" w:name="_Toc418061335"/>
      <w:bookmarkStart w:id="708" w:name="_Toc522201753"/>
      <w:bookmarkStart w:id="709" w:name="_Toc418751820"/>
      <w:bookmarkStart w:id="710" w:name="_Toc373227724"/>
      <w:bookmarkStart w:id="711" w:name="_Toc403578958"/>
      <w:bookmarkStart w:id="712" w:name="_Toc373478371"/>
      <w:bookmarkStart w:id="713" w:name="_Toc497746805"/>
      <w:bookmarkStart w:id="714" w:name="_Toc29479"/>
      <w:bookmarkStart w:id="715" w:name="_Toc389065290"/>
      <w:r>
        <w:rPr>
          <w:rFonts w:hint="eastAsia" w:ascii="宋体" w:cs="宋体"/>
          <w:color w:val="auto"/>
          <w:highlight w:val="none"/>
        </w:rPr>
        <w:t>7</w:t>
      </w:r>
      <w:bookmarkStart w:id="716" w:name="_Toc300934966"/>
      <w:bookmarkStart w:id="717" w:name="_Toc312678005"/>
      <w:bookmarkStart w:id="718" w:name="_Toc297216173"/>
      <w:bookmarkStart w:id="719" w:name="_Toc312677479"/>
      <w:bookmarkStart w:id="720" w:name="_Toc304295541"/>
      <w:bookmarkStart w:id="721" w:name="_Toc303539123"/>
      <w:bookmarkStart w:id="722" w:name="_Toc297123514"/>
      <w:r>
        <w:rPr>
          <w:rFonts w:hint="eastAsia" w:ascii="宋体" w:cs="宋体"/>
          <w:color w:val="auto"/>
          <w:highlight w:val="none"/>
        </w:rPr>
        <w:t>.2 施工进度计划</w:t>
      </w:r>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p>
    <w:p w14:paraId="5D722B96">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7.2.2 施工进度计划的修订</w:t>
      </w:r>
    </w:p>
    <w:p w14:paraId="37A698D8">
      <w:pPr>
        <w:pStyle w:val="21"/>
        <w:keepNext w:val="0"/>
        <w:keepLines w:val="0"/>
        <w:pageBreakBefore w:val="0"/>
        <w:widowControl w:val="0"/>
        <w:wordWrap/>
        <w:topLinePunct w:val="0"/>
        <w:bidi w:val="0"/>
        <w:spacing w:line="380" w:lineRule="exact"/>
        <w:ind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（1）发包人和监理人在收到修订的施工进度计划后确认或提出修改意见的期限：</w:t>
      </w:r>
      <w:r>
        <w:rPr>
          <w:rFonts w:hint="eastAsia" w:ascii="宋体" w:hAnsi="宋体" w:cs="宋体"/>
          <w:color w:val="auto"/>
          <w:szCs w:val="21"/>
          <w:highlight w:val="none"/>
          <w:u w:val="single"/>
        </w:rPr>
        <w:t>自监理人收到承包人报送的相关进度计划后 7天内。</w:t>
      </w:r>
    </w:p>
    <w:p w14:paraId="0EF13936">
      <w:pPr>
        <w:pStyle w:val="21"/>
        <w:keepNext w:val="0"/>
        <w:keepLines w:val="0"/>
        <w:pageBreakBefore w:val="0"/>
        <w:widowControl w:val="0"/>
        <w:wordWrap/>
        <w:topLinePunct w:val="0"/>
        <w:bidi w:val="0"/>
        <w:spacing w:line="380" w:lineRule="exact"/>
        <w:ind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（2）承包人编制分阶段或分项施工进度计划和施工方案说明的内容：</w:t>
      </w:r>
      <w:r>
        <w:rPr>
          <w:rFonts w:hint="eastAsia" w:ascii="宋体" w:hAnsi="宋体" w:cs="宋体"/>
          <w:color w:val="auto"/>
          <w:szCs w:val="21"/>
          <w:highlight w:val="none"/>
          <w:u w:val="single"/>
        </w:rPr>
        <w:t>包含但不限于月进度计划、原地面测量方案、不良地基处理方案等。</w:t>
      </w:r>
    </w:p>
    <w:p w14:paraId="52560C02">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（3） 承包人报送分阶段或分项施工进度计划和施工方案说明的期限： </w:t>
      </w:r>
      <w:r>
        <w:rPr>
          <w:rFonts w:hint="eastAsia" w:ascii="宋体" w:hAnsi="宋体" w:cs="宋体"/>
          <w:color w:val="auto"/>
          <w:szCs w:val="21"/>
          <w:highlight w:val="none"/>
          <w:u w:val="single"/>
        </w:rPr>
        <w:t>月进度计划于上月 30 日前提交，分项施工进度计划和施工方案说明应不迟于该分项工程施工前14 天提交。</w:t>
      </w:r>
    </w:p>
    <w:p w14:paraId="028B0D8F">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723" w:name="_Toc497746806"/>
      <w:bookmarkStart w:id="724" w:name="_Toc403578959"/>
      <w:bookmarkStart w:id="725" w:name="_Toc216"/>
      <w:bookmarkStart w:id="726" w:name="_Toc389065291"/>
      <w:bookmarkStart w:id="727" w:name="_Toc373227725"/>
      <w:bookmarkStart w:id="728" w:name="_Toc373478372"/>
      <w:bookmarkStart w:id="729" w:name="_Toc418752267"/>
      <w:bookmarkStart w:id="730" w:name="_Toc497747203"/>
      <w:bookmarkStart w:id="731" w:name="_Toc418061336"/>
      <w:bookmarkStart w:id="732" w:name="_Toc418518371"/>
      <w:bookmarkStart w:id="733" w:name="_Toc418518135"/>
      <w:bookmarkStart w:id="734" w:name="_Toc256000204"/>
      <w:bookmarkStart w:id="735" w:name="_Toc418751821"/>
      <w:bookmarkStart w:id="736" w:name="_Toc522201754"/>
      <w:r>
        <w:rPr>
          <w:rFonts w:hint="eastAsia" w:ascii="宋体" w:cs="宋体"/>
          <w:color w:val="auto"/>
          <w:highlight w:val="none"/>
        </w:rPr>
        <w:t>7.3 开工</w:t>
      </w:r>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p>
    <w:p w14:paraId="7EBDF63F">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7.3.1 开工准备</w:t>
      </w:r>
    </w:p>
    <w:p w14:paraId="13EA3596">
      <w:pPr>
        <w:pStyle w:val="21"/>
        <w:keepNext w:val="0"/>
        <w:keepLines w:val="0"/>
        <w:pageBreakBefore w:val="0"/>
        <w:widowControl w:val="0"/>
        <w:wordWrap/>
        <w:topLinePunct w:val="0"/>
        <w:bidi w:val="0"/>
        <w:spacing w:line="380" w:lineRule="exact"/>
        <w:ind w:firstLine="525" w:firstLineChars="250"/>
        <w:jc w:val="left"/>
        <w:rPr>
          <w:rFonts w:ascii="宋体" w:hAnsi="宋体" w:cs="宋体"/>
          <w:color w:val="auto"/>
          <w:szCs w:val="21"/>
          <w:highlight w:val="none"/>
          <w:u w:val="single"/>
        </w:rPr>
      </w:pPr>
      <w:r>
        <w:rPr>
          <w:rFonts w:hint="eastAsia" w:ascii="宋体" w:hAnsi="宋体" w:cs="宋体"/>
          <w:color w:val="auto"/>
          <w:szCs w:val="21"/>
          <w:highlight w:val="none"/>
        </w:rPr>
        <w:t>关于承包人提交</w:t>
      </w:r>
      <w:r>
        <w:rPr>
          <w:rFonts w:hint="eastAsia" w:ascii="宋体" w:hAnsi="宋体" w:cs="宋体"/>
          <w:color w:val="auto"/>
          <w:kern w:val="0"/>
          <w:szCs w:val="21"/>
          <w:highlight w:val="none"/>
        </w:rPr>
        <w:t>工程开工报审表的期限：</w:t>
      </w:r>
      <w:r>
        <w:rPr>
          <w:rFonts w:hint="eastAsia" w:ascii="宋体" w:hAnsi="宋体" w:cs="宋体"/>
          <w:color w:val="auto"/>
          <w:szCs w:val="21"/>
          <w:highlight w:val="none"/>
          <w:u w:val="single"/>
        </w:rPr>
        <w:t xml:space="preserve">  7天   </w:t>
      </w:r>
      <w:r>
        <w:rPr>
          <w:rFonts w:hint="eastAsia" w:ascii="宋体" w:hAnsi="宋体" w:cs="宋体"/>
          <w:color w:val="auto"/>
          <w:szCs w:val="21"/>
          <w:highlight w:val="none"/>
        </w:rPr>
        <w:t>。</w:t>
      </w:r>
    </w:p>
    <w:p w14:paraId="2384BC61">
      <w:pPr>
        <w:pStyle w:val="21"/>
        <w:keepNext w:val="0"/>
        <w:keepLines w:val="0"/>
        <w:pageBreakBefore w:val="0"/>
        <w:widowControl w:val="0"/>
        <w:wordWrap/>
        <w:topLinePunct w:val="0"/>
        <w:bidi w:val="0"/>
        <w:spacing w:line="380" w:lineRule="exact"/>
        <w:jc w:val="left"/>
        <w:rPr>
          <w:rFonts w:ascii="宋体" w:hAnsi="宋体" w:cs="宋体"/>
          <w:color w:val="auto"/>
          <w:szCs w:val="21"/>
          <w:highlight w:val="none"/>
        </w:rPr>
      </w:pPr>
      <w:r>
        <w:rPr>
          <w:rFonts w:hint="eastAsia" w:ascii="宋体" w:hAnsi="宋体" w:cs="宋体"/>
          <w:color w:val="auto"/>
          <w:szCs w:val="21"/>
          <w:highlight w:val="none"/>
        </w:rPr>
        <w:t xml:space="preserve">     关于发包人应完成的其他开工准备工作及期限：</w:t>
      </w:r>
      <w:r>
        <w:rPr>
          <w:rFonts w:hint="eastAsia" w:ascii="宋体" w:hAnsi="宋体" w:cs="宋体"/>
          <w:color w:val="auto"/>
          <w:szCs w:val="21"/>
          <w:highlight w:val="none"/>
          <w:u w:val="single"/>
        </w:rPr>
        <w:t xml:space="preserve">   7天    </w:t>
      </w:r>
      <w:r>
        <w:rPr>
          <w:rFonts w:hint="eastAsia" w:ascii="宋体" w:hAnsi="宋体" w:cs="宋体"/>
          <w:color w:val="auto"/>
          <w:szCs w:val="21"/>
          <w:highlight w:val="none"/>
        </w:rPr>
        <w:t>。</w:t>
      </w:r>
    </w:p>
    <w:p w14:paraId="613469EB">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 xml:space="preserve"> 关于承包人应完成的其他开工准备工作及期限：</w:t>
      </w:r>
      <w:r>
        <w:rPr>
          <w:rFonts w:hint="eastAsia" w:ascii="宋体" w:hAnsi="宋体" w:cs="宋体"/>
          <w:color w:val="auto"/>
          <w:szCs w:val="21"/>
          <w:highlight w:val="none"/>
          <w:u w:val="single"/>
        </w:rPr>
        <w:t xml:space="preserve">   7天   </w:t>
      </w:r>
      <w:r>
        <w:rPr>
          <w:rFonts w:hint="eastAsia" w:ascii="宋体" w:hAnsi="宋体" w:cs="宋体"/>
          <w:color w:val="auto"/>
          <w:szCs w:val="21"/>
          <w:highlight w:val="none"/>
        </w:rPr>
        <w:t>。</w:t>
      </w:r>
    </w:p>
    <w:p w14:paraId="0759A41D">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7.3.2 开工通知</w:t>
      </w:r>
    </w:p>
    <w:p w14:paraId="114D366B">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因发包人原因造成监理人未能在计划开工日期之日起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天内发出开工通知的，承包人有权提出价格调整要求，或者解除合同。</w:t>
      </w:r>
    </w:p>
    <w:bookmarkEnd w:id="716"/>
    <w:bookmarkEnd w:id="717"/>
    <w:bookmarkEnd w:id="718"/>
    <w:bookmarkEnd w:id="719"/>
    <w:bookmarkEnd w:id="720"/>
    <w:bookmarkEnd w:id="721"/>
    <w:bookmarkEnd w:id="722"/>
    <w:p w14:paraId="44AEE5D5">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737" w:name="_Toc256000205"/>
      <w:bookmarkStart w:id="738" w:name="_Toc389065292"/>
      <w:bookmarkStart w:id="739" w:name="_Toc497746807"/>
      <w:bookmarkStart w:id="740" w:name="_Toc418751822"/>
      <w:bookmarkStart w:id="741" w:name="_Toc418752268"/>
      <w:bookmarkStart w:id="742" w:name="_Toc418061337"/>
      <w:bookmarkStart w:id="743" w:name="_Toc418518136"/>
      <w:bookmarkStart w:id="744" w:name="_Toc21060"/>
      <w:bookmarkStart w:id="745" w:name="_Toc522201755"/>
      <w:bookmarkStart w:id="746" w:name="_Toc497747204"/>
      <w:bookmarkStart w:id="747" w:name="_Toc373478373"/>
      <w:bookmarkStart w:id="748" w:name="_Toc403578960"/>
      <w:bookmarkStart w:id="749" w:name="_Toc418518372"/>
      <w:bookmarkStart w:id="750" w:name="_Toc373227726"/>
      <w:r>
        <w:rPr>
          <w:rFonts w:hint="eastAsia" w:ascii="宋体" w:cs="宋体"/>
          <w:color w:val="auto"/>
          <w:highlight w:val="none"/>
        </w:rPr>
        <w:t>7.4 测量放线</w:t>
      </w:r>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p>
    <w:p w14:paraId="6B6F8D48">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7.4.1发包人通过监理人向承包人提供测量基准点、基准线和水准点及其书面资料的期限：</w:t>
      </w:r>
      <w:r>
        <w:rPr>
          <w:rFonts w:hint="eastAsia" w:ascii="宋体" w:hAnsi="宋体" w:cs="宋体"/>
          <w:color w:val="auto"/>
          <w:szCs w:val="21"/>
          <w:highlight w:val="none"/>
          <w:u w:val="single"/>
        </w:rPr>
        <w:t>开工通知载明的开工日前 7 天。</w:t>
      </w:r>
    </w:p>
    <w:p w14:paraId="5E1D43ED">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751" w:name="_Toc418518137"/>
      <w:bookmarkStart w:id="752" w:name="_Toc522201756"/>
      <w:bookmarkStart w:id="753" w:name="_Toc418752269"/>
      <w:bookmarkStart w:id="754" w:name="_Toc418061338"/>
      <w:bookmarkStart w:id="755" w:name="_Toc497747205"/>
      <w:bookmarkStart w:id="756" w:name="_Toc418751823"/>
      <w:bookmarkStart w:id="757" w:name="_Toc497746808"/>
      <w:bookmarkStart w:id="758" w:name="_Toc403578961"/>
      <w:bookmarkStart w:id="759" w:name="_Toc256000206"/>
      <w:bookmarkStart w:id="760" w:name="_Toc418518373"/>
      <w:bookmarkStart w:id="761" w:name="_Toc1523"/>
      <w:bookmarkStart w:id="762" w:name="_Toc373227727"/>
      <w:bookmarkStart w:id="763" w:name="_Toc373478374"/>
      <w:bookmarkStart w:id="764" w:name="_Toc389065293"/>
      <w:r>
        <w:rPr>
          <w:rFonts w:hint="eastAsia" w:ascii="宋体" w:cs="宋体"/>
          <w:color w:val="auto"/>
          <w:highlight w:val="none"/>
        </w:rPr>
        <w:t>7</w:t>
      </w:r>
      <w:bookmarkStart w:id="765" w:name="_Toc300934968"/>
      <w:bookmarkStart w:id="766" w:name="_Toc303539125"/>
      <w:bookmarkStart w:id="767" w:name="_Toc312677484"/>
      <w:bookmarkStart w:id="768" w:name="_Toc304295546"/>
      <w:bookmarkStart w:id="769" w:name="_Toc312678010"/>
      <w:bookmarkStart w:id="770" w:name="_Toc297123516"/>
      <w:bookmarkStart w:id="771" w:name="_Toc297216175"/>
      <w:r>
        <w:rPr>
          <w:rFonts w:hint="eastAsia" w:ascii="宋体" w:cs="宋体"/>
          <w:color w:val="auto"/>
          <w:highlight w:val="none"/>
        </w:rPr>
        <w:t>.5 工期延误</w:t>
      </w:r>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p>
    <w:bookmarkEnd w:id="765"/>
    <w:bookmarkEnd w:id="766"/>
    <w:bookmarkEnd w:id="767"/>
    <w:bookmarkEnd w:id="768"/>
    <w:bookmarkEnd w:id="769"/>
    <w:bookmarkEnd w:id="770"/>
    <w:bookmarkEnd w:id="771"/>
    <w:p w14:paraId="61AC5961">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7.5.1 因发包人原因导致工期延误</w:t>
      </w:r>
    </w:p>
    <w:p w14:paraId="797C0B04">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（7）因发包人原因导致工期延误的其他情形：</w:t>
      </w:r>
      <w:r>
        <w:rPr>
          <w:rFonts w:hint="eastAsia" w:ascii="宋体" w:hAnsi="宋体" w:cs="宋体"/>
          <w:color w:val="auto"/>
          <w:szCs w:val="21"/>
          <w:highlight w:val="none"/>
          <w:u w:val="single"/>
        </w:rPr>
        <w:t>无</w:t>
      </w:r>
      <w:r>
        <w:rPr>
          <w:rFonts w:hint="eastAsia" w:ascii="宋体" w:hAnsi="宋体" w:cs="宋体"/>
          <w:color w:val="auto"/>
          <w:szCs w:val="21"/>
          <w:highlight w:val="none"/>
        </w:rPr>
        <w:t>。</w:t>
      </w:r>
    </w:p>
    <w:p w14:paraId="0418B02F">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w:t>
      </w:r>
      <w:bookmarkStart w:id="772" w:name="_Toc318581169"/>
      <w:bookmarkStart w:id="773" w:name="_Toc312677486"/>
      <w:bookmarkStart w:id="774" w:name="_Toc312678012"/>
      <w:bookmarkStart w:id="775" w:name="_Toc300934970"/>
      <w:bookmarkStart w:id="776" w:name="_Toc297216177"/>
      <w:bookmarkStart w:id="777" w:name="_Toc303539127"/>
      <w:bookmarkStart w:id="778" w:name="_Toc304295548"/>
      <w:bookmarkStart w:id="779" w:name="_Toc297123518"/>
      <w:r>
        <w:rPr>
          <w:rFonts w:hint="eastAsia" w:ascii="宋体" w:hAnsi="宋体" w:cs="宋体"/>
          <w:color w:val="auto"/>
          <w:szCs w:val="21"/>
          <w:highlight w:val="none"/>
        </w:rPr>
        <w:t>.5.2 因承包人原因导致工期延误</w:t>
      </w:r>
    </w:p>
    <w:bookmarkEnd w:id="772"/>
    <w:bookmarkEnd w:id="773"/>
    <w:bookmarkEnd w:id="774"/>
    <w:p w14:paraId="2E54AE06">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双方约定经监理工程师确认，工期相应顺延的情况：</w:t>
      </w:r>
      <w:r>
        <w:rPr>
          <w:rFonts w:hint="eastAsia" w:ascii="宋体" w:hAnsi="宋体" w:cs="宋体"/>
          <w:color w:val="auto"/>
          <w:szCs w:val="21"/>
          <w:highlight w:val="none"/>
          <w:u w:val="single"/>
        </w:rPr>
        <w:t xml:space="preserve"> 非承包人原因导致的工期延误，合同工期相应顺延</w:t>
      </w:r>
      <w:r>
        <w:rPr>
          <w:rFonts w:hint="eastAsia" w:ascii="宋体" w:hAnsi="宋体" w:cs="宋体"/>
          <w:color w:val="auto"/>
          <w:szCs w:val="21"/>
          <w:highlight w:val="none"/>
        </w:rPr>
        <w:t>。</w:t>
      </w:r>
    </w:p>
    <w:p w14:paraId="5CA8A833">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因</w:t>
      </w:r>
      <w:bookmarkStart w:id="780" w:name="_Toc312677487"/>
      <w:bookmarkStart w:id="781" w:name="_Toc312678013"/>
      <w:bookmarkStart w:id="782" w:name="_Toc318581170"/>
      <w:r>
        <w:rPr>
          <w:rFonts w:hint="eastAsia" w:ascii="宋体" w:hAnsi="宋体" w:cs="宋体"/>
          <w:color w:val="auto"/>
          <w:szCs w:val="21"/>
          <w:highlight w:val="none"/>
        </w:rPr>
        <w:t>承包人原因造成工期延误，逾期竣工违约金的计算方法为：</w:t>
      </w:r>
      <w:r>
        <w:rPr>
          <w:rFonts w:hint="eastAsia" w:ascii="宋体" w:hAnsi="宋体" w:cs="宋体"/>
          <w:color w:val="auto"/>
          <w:szCs w:val="21"/>
          <w:highlight w:val="none"/>
          <w:u w:val="single"/>
        </w:rPr>
        <w:t xml:space="preserve">非上述原因，承包人不能按合同约定的时间竣工，承包人应承担违约责任，并应向发包人支付误期赔偿费（每天赔偿金额为合同价款扣除社会保险费、发包人材料价款、暂估专业工程、暂列金额后的的万分之四），误期时间从规定竣工日期起直到全部工程或相应部分工程竣工验收各方签章日期之间的天数（扣除发包人批准顺延的工期）。发包人可从应向承包人支付的任何金额中扣除此项赔款费或其他方式收回此款，此赔偿款的支付并不能解除承包人应完成工程的责任或合同规定的其他责任。如非承包人原因造成工期延误则承包人须在规定的时间内提出书面意见，逾期则视为承包人自行放弃。由于承包人原因造成本工程延期三个月的，除按上述标准赔偿给发包人外，发包人有权中止合同，并依法追究承包人的违约责任，由此造成的一切损失均由责任人负责。 </w:t>
      </w:r>
    </w:p>
    <w:bookmarkEnd w:id="775"/>
    <w:bookmarkEnd w:id="776"/>
    <w:bookmarkEnd w:id="777"/>
    <w:bookmarkEnd w:id="778"/>
    <w:bookmarkEnd w:id="779"/>
    <w:bookmarkEnd w:id="780"/>
    <w:bookmarkEnd w:id="781"/>
    <w:bookmarkEnd w:id="782"/>
    <w:p w14:paraId="7ACB6672">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因承包人原因造成工期延误，逾</w:t>
      </w:r>
      <w:bookmarkStart w:id="783" w:name="_Toc318581171"/>
      <w:bookmarkStart w:id="784" w:name="_Toc312678014"/>
      <w:r>
        <w:rPr>
          <w:rFonts w:hint="eastAsia" w:ascii="宋体" w:hAnsi="宋体" w:cs="宋体"/>
          <w:color w:val="auto"/>
          <w:szCs w:val="21"/>
          <w:highlight w:val="none"/>
        </w:rPr>
        <w:t>期竣工违约金的上限：</w:t>
      </w:r>
      <w:r>
        <w:rPr>
          <w:rFonts w:hint="eastAsia" w:ascii="宋体" w:hAnsi="宋体" w:cs="宋体"/>
          <w:color w:val="auto"/>
          <w:szCs w:val="21"/>
          <w:highlight w:val="none"/>
          <w:u w:val="single"/>
          <w:lang w:eastAsia="zh-CN"/>
        </w:rPr>
        <w:t>结算</w:t>
      </w:r>
      <w:r>
        <w:rPr>
          <w:rFonts w:hint="eastAsia" w:ascii="宋体" w:hAnsi="宋体" w:cs="宋体"/>
          <w:color w:val="auto"/>
          <w:szCs w:val="21"/>
          <w:highlight w:val="none"/>
          <w:u w:val="single"/>
        </w:rPr>
        <w:t>价扣除社会保险费、发包人材料价款、暂估专业工程、暂列金额后的</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u w:val="single"/>
        </w:rPr>
        <w:t>%</w:t>
      </w:r>
      <w:r>
        <w:rPr>
          <w:rFonts w:hint="eastAsia" w:ascii="宋体" w:hAnsi="宋体" w:cs="宋体"/>
          <w:color w:val="auto"/>
          <w:szCs w:val="21"/>
          <w:highlight w:val="none"/>
        </w:rPr>
        <w:t>。</w:t>
      </w:r>
    </w:p>
    <w:bookmarkEnd w:id="783"/>
    <w:bookmarkEnd w:id="784"/>
    <w:p w14:paraId="17455984">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785" w:name="_Toc373478375"/>
      <w:bookmarkStart w:id="786" w:name="_Toc27840"/>
      <w:bookmarkStart w:id="787" w:name="_Toc403578962"/>
      <w:bookmarkStart w:id="788" w:name="_Toc418518138"/>
      <w:bookmarkStart w:id="789" w:name="_Toc418518374"/>
      <w:bookmarkStart w:id="790" w:name="_Toc256000207"/>
      <w:bookmarkStart w:id="791" w:name="_Toc497746809"/>
      <w:bookmarkStart w:id="792" w:name="_Toc389065294"/>
      <w:bookmarkStart w:id="793" w:name="_Toc373227728"/>
      <w:bookmarkStart w:id="794" w:name="_Toc418061339"/>
      <w:bookmarkStart w:id="795" w:name="_Toc497747206"/>
      <w:bookmarkStart w:id="796" w:name="_Toc522201757"/>
      <w:bookmarkStart w:id="797" w:name="_Toc418751824"/>
      <w:bookmarkStart w:id="798" w:name="_Toc418752270"/>
      <w:r>
        <w:rPr>
          <w:rFonts w:hint="eastAsia" w:ascii="宋体" w:cs="宋体"/>
          <w:color w:val="auto"/>
          <w:highlight w:val="none"/>
        </w:rPr>
        <w:t>7</w:t>
      </w:r>
      <w:bookmarkStart w:id="799" w:name="_Toc297123519"/>
      <w:bookmarkStart w:id="800" w:name="_Toc297216178"/>
      <w:bookmarkStart w:id="801" w:name="_Toc304295549"/>
      <w:bookmarkStart w:id="802" w:name="_Toc312678015"/>
      <w:bookmarkStart w:id="803" w:name="_Toc300934971"/>
      <w:bookmarkStart w:id="804" w:name="_Toc303539128"/>
      <w:r>
        <w:rPr>
          <w:rFonts w:hint="eastAsia" w:ascii="宋体" w:cs="宋体"/>
          <w:color w:val="auto"/>
          <w:highlight w:val="none"/>
        </w:rPr>
        <w:t>.6 不</w:t>
      </w:r>
      <w:bookmarkEnd w:id="799"/>
      <w:bookmarkEnd w:id="800"/>
      <w:bookmarkEnd w:id="801"/>
      <w:bookmarkEnd w:id="802"/>
      <w:bookmarkEnd w:id="803"/>
      <w:bookmarkEnd w:id="804"/>
      <w:r>
        <w:rPr>
          <w:rFonts w:hint="eastAsia" w:ascii="宋体" w:cs="宋体"/>
          <w:color w:val="auto"/>
          <w:highlight w:val="none"/>
        </w:rPr>
        <w:t>利物质条件</w:t>
      </w:r>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p>
    <w:p w14:paraId="229F1EE0">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bookmarkStart w:id="805" w:name="_Toc297216179"/>
      <w:bookmarkStart w:id="806" w:name="_Toc312678016"/>
      <w:bookmarkStart w:id="807" w:name="_Toc297123520"/>
      <w:bookmarkStart w:id="808" w:name="_Toc303539129"/>
      <w:bookmarkStart w:id="809" w:name="_Toc300934972"/>
      <w:bookmarkStart w:id="810" w:name="_Toc304295550"/>
      <w:bookmarkStart w:id="811" w:name="_Toc318581172"/>
      <w:r>
        <w:rPr>
          <w:rFonts w:hint="eastAsia" w:ascii="宋体" w:hAnsi="宋体" w:cs="宋体"/>
          <w:color w:val="auto"/>
          <w:szCs w:val="21"/>
          <w:highlight w:val="none"/>
        </w:rPr>
        <w:t>不利物质条件的其他情形和有关约定：</w:t>
      </w:r>
      <w:r>
        <w:rPr>
          <w:rFonts w:hint="eastAsia" w:ascii="宋体" w:hAnsi="宋体" w:cs="宋体"/>
          <w:color w:val="auto"/>
          <w:szCs w:val="21"/>
          <w:highlight w:val="none"/>
          <w:u w:val="single"/>
        </w:rPr>
        <w:t xml:space="preserve">  一周内非承包人原因，停水、停电、停气造成停工连续超过8小时；重大设计变更和工程量增加；发包人手续不全致使施工不能正常进行；发包人未能按约定时间支付工程款致使施工不能正常进行的；非承包人原因的政府及发包人有关的停工通知，以上不利物质条件延误工期的相应延长工期，因发包人原因给承包人造成损失的由发包人相应赔偿承包人，属政府和环境等原因的，双方协商处理</w:t>
      </w:r>
      <w:r>
        <w:rPr>
          <w:rFonts w:hint="eastAsia" w:ascii="宋体" w:hAnsi="宋体" w:cs="宋体"/>
          <w:color w:val="auto"/>
          <w:szCs w:val="21"/>
          <w:highlight w:val="none"/>
        </w:rPr>
        <w:t>。</w:t>
      </w:r>
    </w:p>
    <w:bookmarkEnd w:id="805"/>
    <w:bookmarkEnd w:id="806"/>
    <w:bookmarkEnd w:id="807"/>
    <w:bookmarkEnd w:id="808"/>
    <w:bookmarkEnd w:id="809"/>
    <w:bookmarkEnd w:id="810"/>
    <w:bookmarkEnd w:id="811"/>
    <w:p w14:paraId="7B5BCFD7">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812" w:name="_Toc418061340"/>
      <w:bookmarkStart w:id="813" w:name="_Toc418752271"/>
      <w:bookmarkStart w:id="814" w:name="_Toc418518139"/>
      <w:bookmarkStart w:id="815" w:name="_Toc389065295"/>
      <w:bookmarkStart w:id="816" w:name="_Toc522201758"/>
      <w:bookmarkStart w:id="817" w:name="_Toc373478376"/>
      <w:bookmarkStart w:id="818" w:name="_Toc418518375"/>
      <w:bookmarkStart w:id="819" w:name="_Toc1472"/>
      <w:bookmarkStart w:id="820" w:name="_Toc497747207"/>
      <w:bookmarkStart w:id="821" w:name="_Toc497746810"/>
      <w:bookmarkStart w:id="822" w:name="_Toc418751825"/>
      <w:bookmarkStart w:id="823" w:name="_Toc403578963"/>
      <w:bookmarkStart w:id="824" w:name="_Toc373227729"/>
      <w:bookmarkStart w:id="825" w:name="_Toc256000208"/>
      <w:r>
        <w:rPr>
          <w:rFonts w:hint="eastAsia" w:ascii="宋体" w:cs="宋体"/>
          <w:color w:val="auto"/>
          <w:highlight w:val="none"/>
        </w:rPr>
        <w:t>7</w:t>
      </w:r>
      <w:bookmarkStart w:id="826" w:name="_Toc304295551"/>
      <w:bookmarkStart w:id="827" w:name="_Toc303539130"/>
      <w:bookmarkStart w:id="828" w:name="_Toc297216180"/>
      <w:bookmarkStart w:id="829" w:name="_Toc297123521"/>
      <w:bookmarkStart w:id="830" w:name="_Toc312678017"/>
      <w:bookmarkStart w:id="831" w:name="_Toc300934973"/>
      <w:r>
        <w:rPr>
          <w:rFonts w:hint="eastAsia" w:ascii="宋体" w:cs="宋体"/>
          <w:color w:val="auto"/>
          <w:highlight w:val="none"/>
        </w:rPr>
        <w:t>.7 异常恶劣的气候条件</w:t>
      </w:r>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p>
    <w:bookmarkEnd w:id="826"/>
    <w:bookmarkEnd w:id="827"/>
    <w:bookmarkEnd w:id="828"/>
    <w:bookmarkEnd w:id="829"/>
    <w:bookmarkEnd w:id="830"/>
    <w:bookmarkEnd w:id="831"/>
    <w:p w14:paraId="2D2672D2">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发包人和承包人同意以下情形视为异常恶劣的气候条件：</w:t>
      </w:r>
    </w:p>
    <w:p w14:paraId="6CBBA6C4">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u w:val="single"/>
        </w:rPr>
      </w:pPr>
      <w:bookmarkStart w:id="832" w:name="_Toc418518140"/>
      <w:bookmarkStart w:id="833" w:name="_Toc389065296"/>
      <w:bookmarkStart w:id="834" w:name="_Toc497746811"/>
      <w:bookmarkStart w:id="835" w:name="_Toc418752272"/>
      <w:bookmarkStart w:id="836" w:name="_Toc418518376"/>
      <w:bookmarkStart w:id="837" w:name="_Toc373227730"/>
      <w:bookmarkStart w:id="838" w:name="_Toc497747208"/>
      <w:bookmarkStart w:id="839" w:name="_Toc418061341"/>
      <w:bookmarkStart w:id="840" w:name="_Toc403578964"/>
      <w:bookmarkStart w:id="841" w:name="_Toc418751826"/>
      <w:bookmarkStart w:id="842" w:name="_Toc373478377"/>
      <w:r>
        <w:rPr>
          <w:rFonts w:hint="eastAsia" w:ascii="宋体" w:hAnsi="宋体" w:cs="宋体"/>
          <w:color w:val="auto"/>
          <w:szCs w:val="21"/>
          <w:highlight w:val="none"/>
        </w:rPr>
        <w:t>（1）</w:t>
      </w:r>
      <w:r>
        <w:rPr>
          <w:rFonts w:hint="eastAsia" w:ascii="宋体" w:hAnsi="宋体" w:cs="宋体"/>
          <w:color w:val="auto"/>
          <w:szCs w:val="21"/>
          <w:highlight w:val="none"/>
          <w:u w:val="single"/>
        </w:rPr>
        <w:t>10级以上持续1天的大风；</w:t>
      </w:r>
    </w:p>
    <w:p w14:paraId="0C805EDC">
      <w:pPr>
        <w:pStyle w:val="21"/>
        <w:keepNext w:val="0"/>
        <w:keepLines w:val="0"/>
        <w:pageBreakBefore w:val="0"/>
        <w:widowControl w:val="0"/>
        <w:numPr>
          <w:ilvl w:val="0"/>
          <w:numId w:val="6"/>
        </w:numPr>
        <w:wordWrap/>
        <w:topLinePunct w:val="0"/>
        <w:bidi w:val="0"/>
        <w:spacing w:line="38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u w:val="single"/>
        </w:rPr>
        <w:t>暴雨级以上持续2天的大雨；</w:t>
      </w:r>
    </w:p>
    <w:p w14:paraId="5C0A1E7C">
      <w:pPr>
        <w:pStyle w:val="21"/>
        <w:keepNext w:val="0"/>
        <w:keepLines w:val="0"/>
        <w:pageBreakBefore w:val="0"/>
        <w:widowControl w:val="0"/>
        <w:numPr>
          <w:ilvl w:val="0"/>
          <w:numId w:val="6"/>
        </w:numPr>
        <w:wordWrap/>
        <w:topLinePunct w:val="0"/>
        <w:bidi w:val="0"/>
        <w:spacing w:line="380" w:lineRule="exact"/>
        <w:ind w:firstLine="420" w:firstLineChars="200"/>
        <w:rPr>
          <w:rFonts w:ascii="宋体" w:hAnsi="宋体" w:cs="宋体"/>
          <w:color w:val="auto"/>
          <w:szCs w:val="21"/>
          <w:highlight w:val="none"/>
          <w:u w:val="single"/>
        </w:rPr>
      </w:pPr>
      <w:r>
        <w:rPr>
          <w:rFonts w:hint="eastAsia" w:ascii="宋体" w:hAnsi="宋体"/>
          <w:color w:val="auto"/>
          <w:szCs w:val="21"/>
          <w:highlight w:val="none"/>
          <w:u w:val="single"/>
        </w:rPr>
        <w:t>当地6级以上的破坏性地震；</w:t>
      </w:r>
    </w:p>
    <w:p w14:paraId="50134497">
      <w:pPr>
        <w:pStyle w:val="21"/>
        <w:keepNext w:val="0"/>
        <w:keepLines w:val="0"/>
        <w:pageBreakBefore w:val="0"/>
        <w:widowControl w:val="0"/>
        <w:numPr>
          <w:ilvl w:val="0"/>
          <w:numId w:val="6"/>
        </w:numPr>
        <w:wordWrap/>
        <w:topLinePunct w:val="0"/>
        <w:bidi w:val="0"/>
        <w:spacing w:line="38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u w:val="single"/>
        </w:rPr>
        <w:t>50年以上未发生过的持续2天的高温天气；</w:t>
      </w:r>
    </w:p>
    <w:p w14:paraId="3D8D51C1">
      <w:pPr>
        <w:pStyle w:val="21"/>
        <w:keepNext w:val="0"/>
        <w:keepLines w:val="0"/>
        <w:pageBreakBefore w:val="0"/>
        <w:widowControl w:val="0"/>
        <w:numPr>
          <w:ilvl w:val="0"/>
          <w:numId w:val="6"/>
        </w:numPr>
        <w:wordWrap/>
        <w:topLinePunct w:val="0"/>
        <w:bidi w:val="0"/>
        <w:spacing w:line="38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u w:val="single"/>
        </w:rPr>
        <w:t>50年以上未发生的持续2天的低温天气。</w:t>
      </w:r>
    </w:p>
    <w:p w14:paraId="33C01213">
      <w:pPr>
        <w:pStyle w:val="21"/>
        <w:keepNext w:val="0"/>
        <w:keepLines w:val="0"/>
        <w:pageBreakBefore w:val="0"/>
        <w:widowControl w:val="0"/>
        <w:wordWrap/>
        <w:topLinePunct w:val="0"/>
        <w:bidi w:val="0"/>
        <w:spacing w:line="380" w:lineRule="exact"/>
        <w:ind w:firstLine="630" w:firstLineChars="300"/>
        <w:rPr>
          <w:rFonts w:ascii="宋体" w:hAnsi="宋体" w:cs="宋体"/>
          <w:color w:val="auto"/>
          <w:szCs w:val="21"/>
          <w:highlight w:val="none"/>
          <w:u w:val="single"/>
        </w:rPr>
      </w:pPr>
      <w:r>
        <w:rPr>
          <w:rFonts w:hint="eastAsia" w:ascii="宋体" w:hAnsi="宋体" w:cs="宋体"/>
          <w:color w:val="auto"/>
          <w:szCs w:val="21"/>
          <w:highlight w:val="none"/>
          <w:u w:val="single"/>
        </w:rPr>
        <w:t>施工场地受淹超过发包人提供设计图纸指明的设计洪水位以及因天气原因无法施工并经监理确认引起延误的情况。承包人有权要求发包人延长工期,但对上述几种情形，对工程施工造成影响和灾害的，需提供政府相关部门对不可抗力认定的证明材料为依据。</w:t>
      </w:r>
    </w:p>
    <w:p w14:paraId="43168568">
      <w:pPr>
        <w:pStyle w:val="21"/>
        <w:keepNext w:val="0"/>
        <w:keepLines w:val="0"/>
        <w:pageBreakBefore w:val="0"/>
        <w:widowControl w:val="0"/>
        <w:wordWrap/>
        <w:topLinePunct w:val="0"/>
        <w:bidi w:val="0"/>
        <w:spacing w:line="380" w:lineRule="exact"/>
        <w:jc w:val="left"/>
        <w:rPr>
          <w:rFonts w:ascii="宋体" w:hAnsi="宋体" w:cs="宋体"/>
          <w:b/>
          <w:bCs/>
          <w:color w:val="auto"/>
          <w:szCs w:val="21"/>
          <w:highlight w:val="none"/>
        </w:rPr>
      </w:pPr>
      <w:r>
        <w:rPr>
          <w:rFonts w:hint="eastAsia" w:ascii="宋体" w:hAnsi="宋体" w:cs="宋体"/>
          <w:b/>
          <w:bCs/>
          <w:color w:val="auto"/>
          <w:szCs w:val="21"/>
          <w:highlight w:val="none"/>
        </w:rPr>
        <w:t>7.8暂停施工</w:t>
      </w:r>
    </w:p>
    <w:p w14:paraId="4ECDD840">
      <w:pPr>
        <w:pStyle w:val="51"/>
        <w:keepNext w:val="0"/>
        <w:keepLines w:val="0"/>
        <w:pageBreakBefore w:val="0"/>
        <w:widowControl w:val="0"/>
        <w:wordWrap/>
        <w:topLinePunct w:val="0"/>
        <w:bidi w:val="0"/>
        <w:spacing w:line="380" w:lineRule="exact"/>
        <w:ind w:firstLine="0" w:firstLineChars="0"/>
        <w:rPr>
          <w:rFonts w:ascii="宋体" w:hAnsi="宋体" w:cs="宋体"/>
          <w:b/>
          <w:color w:val="auto"/>
          <w:highlight w:val="none"/>
        </w:rPr>
      </w:pPr>
      <w:r>
        <w:rPr>
          <w:rFonts w:hint="eastAsia" w:ascii="宋体" w:hAnsi="宋体" w:cs="宋体"/>
          <w:b/>
          <w:color w:val="auto"/>
          <w:highlight w:val="none"/>
        </w:rPr>
        <w:t>7.8.2承包人原因引起的暂停施工</w:t>
      </w:r>
    </w:p>
    <w:p w14:paraId="077EA1BD">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承包人承担暂停施工责任的其他情形：</w:t>
      </w:r>
      <w:r>
        <w:rPr>
          <w:rFonts w:hint="eastAsia" w:ascii="宋体" w:hAnsi="宋体" w:cs="宋体"/>
          <w:color w:val="auto"/>
          <w:szCs w:val="21"/>
          <w:highlight w:val="none"/>
          <w:u w:val="single"/>
        </w:rPr>
        <w:t>（1）监理工程师为保证工程质量和施工安全所指令的暂停施工；（2）因质量安全隐患或事故，被建设行政主管部门及安全生产监督责令暂停施工或自行暂停施工；（3）因承包人违反规范或任何工程质量不合格而进行返工、重建、修建的工期；（4）未按设计要求进行施工、或因施工组织方案不可行导致发包人未能按时审批而影响开工的；（5）工程验收不合格发现存在质量问题或技术问题需要修改的；（6）承包人与发包人未能在约定时间内达成一致而暂停施工；（7）工程质量未达到等级标准要求，发包人要求承包人返工的；（8）承包人因农忙时期而暂停施工；综述其工期不予顺延，责任自负。</w:t>
      </w:r>
    </w:p>
    <w:p w14:paraId="13168BB7">
      <w:pPr>
        <w:pStyle w:val="51"/>
        <w:keepNext w:val="0"/>
        <w:keepLines w:val="0"/>
        <w:pageBreakBefore w:val="0"/>
        <w:widowControl w:val="0"/>
        <w:wordWrap/>
        <w:topLinePunct w:val="0"/>
        <w:bidi w:val="0"/>
        <w:spacing w:line="380" w:lineRule="exact"/>
        <w:rPr>
          <w:rFonts w:ascii="宋体" w:hAnsi="宋体" w:cs="宋体"/>
          <w:color w:val="auto"/>
          <w:highlight w:val="none"/>
          <w:u w:val="single"/>
        </w:rPr>
      </w:pPr>
      <w:r>
        <w:rPr>
          <w:rFonts w:hint="eastAsia" w:ascii="宋体" w:hAnsi="宋体" w:cs="宋体"/>
          <w:color w:val="auto"/>
          <w:highlight w:val="none"/>
          <w:u w:val="single"/>
        </w:rPr>
        <w:t>因承包人责任暂停施工延误施工时机而导致遭遇不利条件物质条件和异常恶劣的气候条件、不可抗力造成的工期延误和费用增加由承包人承担。</w:t>
      </w:r>
    </w:p>
    <w:p w14:paraId="46C9FE87">
      <w:pPr>
        <w:pStyle w:val="51"/>
        <w:keepNext w:val="0"/>
        <w:keepLines w:val="0"/>
        <w:pageBreakBefore w:val="0"/>
        <w:widowControl w:val="0"/>
        <w:wordWrap/>
        <w:topLinePunct w:val="0"/>
        <w:bidi w:val="0"/>
        <w:spacing w:line="380" w:lineRule="exact"/>
        <w:ind w:firstLine="0" w:firstLineChars="0"/>
        <w:rPr>
          <w:rFonts w:ascii="宋体" w:hAnsi="宋体" w:cs="宋体"/>
          <w:b/>
          <w:color w:val="auto"/>
          <w:highlight w:val="none"/>
        </w:rPr>
      </w:pPr>
      <w:r>
        <w:rPr>
          <w:rFonts w:hint="eastAsia" w:ascii="宋体" w:hAnsi="宋体" w:cs="宋体"/>
          <w:b/>
          <w:color w:val="auto"/>
          <w:highlight w:val="none"/>
        </w:rPr>
        <w:t>7.8.5暂停施工后的复工</w:t>
      </w:r>
    </w:p>
    <w:p w14:paraId="3CF74AEF">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hint="eastAsia" w:ascii="宋体" w:hAnsi="宋体" w:cs="宋体"/>
          <w:color w:val="auto"/>
          <w:highlight w:val="none"/>
          <w:u w:val="single"/>
        </w:rPr>
        <w:t>监理人发出复工通知后，监理人应和承包人一起对受到暂停施工影响的工程、材料和工程设备进行检查。承包人负责修复在暂停施工期间发生在工程、材料和工程设备上的任何损蚀、缺陷或损失，修复费用由承担暂停施工责任的责任人承担。</w:t>
      </w:r>
    </w:p>
    <w:p w14:paraId="0D333E00">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843" w:name="_Toc522201759"/>
      <w:bookmarkStart w:id="844" w:name="_Toc256000209"/>
      <w:bookmarkStart w:id="845" w:name="_Toc6583"/>
      <w:r>
        <w:rPr>
          <w:rFonts w:hint="eastAsia" w:ascii="宋体" w:cs="宋体"/>
          <w:color w:val="auto"/>
          <w:highlight w:val="none"/>
        </w:rPr>
        <w:t>7.9 提前竣工</w:t>
      </w:r>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p>
    <w:p w14:paraId="0BF8BAD5">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7.9.2提前竣工的奖励：</w:t>
      </w:r>
      <w:r>
        <w:rPr>
          <w:rFonts w:hint="eastAsia" w:ascii="宋体" w:hAnsi="宋体" w:cs="宋体"/>
          <w:color w:val="auto"/>
          <w:szCs w:val="21"/>
          <w:highlight w:val="none"/>
          <w:u w:val="single"/>
        </w:rPr>
        <w:t xml:space="preserve"> 无 </w:t>
      </w:r>
      <w:r>
        <w:rPr>
          <w:rFonts w:hint="eastAsia" w:ascii="宋体" w:hAnsi="宋体" w:cs="宋体"/>
          <w:color w:val="auto"/>
          <w:szCs w:val="21"/>
          <w:highlight w:val="none"/>
        </w:rPr>
        <w:t>。</w:t>
      </w:r>
    </w:p>
    <w:p w14:paraId="04642BFE">
      <w:pPr>
        <w:pStyle w:val="46"/>
        <w:keepNext w:val="0"/>
        <w:keepLines w:val="0"/>
        <w:pageBreakBefore w:val="0"/>
        <w:widowControl w:val="0"/>
        <w:wordWrap/>
        <w:topLinePunct w:val="0"/>
        <w:bidi w:val="0"/>
        <w:spacing w:line="380" w:lineRule="exact"/>
        <w:outlineLvl w:val="2"/>
        <w:rPr>
          <w:rFonts w:ascii="宋体" w:cs="宋体"/>
          <w:color w:val="auto"/>
          <w:highlight w:val="none"/>
        </w:rPr>
      </w:pPr>
      <w:bookmarkStart w:id="846" w:name="_Toc373227731"/>
      <w:bookmarkStart w:id="847" w:name="_Toc351203640"/>
      <w:bookmarkStart w:id="848" w:name="_Toc418752273"/>
      <w:bookmarkStart w:id="849" w:name="_Toc373478378"/>
      <w:bookmarkStart w:id="850" w:name="_Toc497747209"/>
      <w:bookmarkStart w:id="851" w:name="_Toc418751827"/>
      <w:bookmarkStart w:id="852" w:name="_Toc403578965"/>
      <w:bookmarkStart w:id="853" w:name="_Toc522201760"/>
      <w:bookmarkStart w:id="854" w:name="_Toc11098"/>
      <w:bookmarkStart w:id="855" w:name="_Toc256000210"/>
      <w:bookmarkStart w:id="856" w:name="_Toc389065297"/>
      <w:bookmarkStart w:id="857" w:name="_Toc418518377"/>
      <w:bookmarkStart w:id="858" w:name="_Toc418061342"/>
      <w:bookmarkStart w:id="859" w:name="_Toc497746812"/>
      <w:bookmarkStart w:id="860" w:name="_Toc418518141"/>
      <w:r>
        <w:rPr>
          <w:rFonts w:hint="eastAsia" w:ascii="宋体" w:cs="宋体"/>
          <w:color w:val="auto"/>
          <w:highlight w:val="none"/>
          <w:lang w:val="en-US" w:eastAsia="zh-CN"/>
        </w:rPr>
        <w:t>8.</w:t>
      </w:r>
      <w:r>
        <w:rPr>
          <w:rFonts w:hint="eastAsia" w:ascii="宋体" w:cs="宋体"/>
          <w:color w:val="auto"/>
          <w:highlight w:val="none"/>
        </w:rPr>
        <w:t>材料与设备</w:t>
      </w:r>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p>
    <w:p w14:paraId="1561A026">
      <w:pPr>
        <w:pStyle w:val="51"/>
        <w:keepNext w:val="0"/>
        <w:keepLines w:val="0"/>
        <w:pageBreakBefore w:val="0"/>
        <w:widowControl w:val="0"/>
        <w:wordWrap/>
        <w:topLinePunct w:val="0"/>
        <w:bidi w:val="0"/>
        <w:spacing w:line="380" w:lineRule="exact"/>
        <w:rPr>
          <w:rFonts w:ascii="宋体" w:hAnsi="宋体" w:cs="宋体"/>
          <w:color w:val="auto"/>
          <w:highlight w:val="none"/>
        </w:rPr>
      </w:pPr>
      <w:r>
        <w:rPr>
          <w:rFonts w:ascii="宋体" w:hAnsi="宋体" w:cs="宋体"/>
          <w:color w:val="auto"/>
          <w:highlight w:val="none"/>
        </w:rPr>
        <w:t>承包人采购材料和设备的约定：</w:t>
      </w:r>
    </w:p>
    <w:bookmarkEnd w:id="602"/>
    <w:bookmarkEnd w:id="603"/>
    <w:bookmarkEnd w:id="604"/>
    <w:bookmarkEnd w:id="605"/>
    <w:bookmarkEnd w:id="606"/>
    <w:bookmarkEnd w:id="607"/>
    <w:bookmarkEnd w:id="608"/>
    <w:bookmarkEnd w:id="609"/>
    <w:bookmarkEnd w:id="610"/>
    <w:bookmarkEnd w:id="611"/>
    <w:p w14:paraId="737C2CB5">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861" w:name="_Toc497747210"/>
      <w:bookmarkStart w:id="862" w:name="_Toc418518378"/>
      <w:bookmarkStart w:id="863" w:name="_Toc373227732"/>
      <w:bookmarkStart w:id="864" w:name="_Toc373478379"/>
      <w:bookmarkStart w:id="865" w:name="_Toc3719"/>
      <w:bookmarkStart w:id="866" w:name="_Toc418518142"/>
      <w:bookmarkStart w:id="867" w:name="_Toc418751828"/>
      <w:bookmarkStart w:id="868" w:name="_Toc497746813"/>
      <w:bookmarkStart w:id="869" w:name="_Toc522201761"/>
      <w:bookmarkStart w:id="870" w:name="_Toc418061343"/>
      <w:bookmarkStart w:id="871" w:name="_Toc256000211"/>
      <w:bookmarkStart w:id="872" w:name="_Toc418752274"/>
      <w:bookmarkStart w:id="873" w:name="_Toc389065298"/>
      <w:bookmarkStart w:id="874" w:name="_Toc403578966"/>
      <w:r>
        <w:rPr>
          <w:rFonts w:hint="eastAsia" w:ascii="宋体" w:cs="宋体"/>
          <w:color w:val="auto"/>
          <w:highlight w:val="none"/>
        </w:rPr>
        <w:t>8.2 承包人采购材料与工程设备</w:t>
      </w:r>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p>
    <w:p w14:paraId="62061C83">
      <w:pPr>
        <w:pStyle w:val="21"/>
        <w:keepNext w:val="0"/>
        <w:keepLines w:val="0"/>
        <w:pageBreakBefore w:val="0"/>
        <w:widowControl w:val="0"/>
        <w:wordWrap/>
        <w:topLinePunct w:val="0"/>
        <w:autoSpaceDE w:val="0"/>
        <w:autoSpaceDN w:val="0"/>
        <w:bidi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除已标价工程量清单《发包人提供主要材料和工程设备一览表》（表-21）中明确的材料、工程设备外，由承包人负责材料和工程设备的采购、运输和保管。《</w:t>
      </w:r>
      <w:r>
        <w:rPr>
          <w:rFonts w:hint="eastAsia" w:ascii="宋体" w:hAnsi="宋体" w:cs="宋体"/>
          <w:color w:val="auto"/>
          <w:szCs w:val="21"/>
          <w:highlight w:val="none"/>
        </w:rPr>
        <w:t>承包人提供主要材料和工程设备一览表》</w:t>
      </w:r>
      <w:r>
        <w:rPr>
          <w:rFonts w:hint="eastAsia" w:ascii="宋体" w:hAnsi="宋体" w:cs="宋体"/>
          <w:color w:val="auto"/>
          <w:kern w:val="0"/>
          <w:szCs w:val="21"/>
          <w:highlight w:val="none"/>
        </w:rPr>
        <w:t>（表-22）见已标价工程量清单。</w:t>
      </w:r>
    </w:p>
    <w:p w14:paraId="58E9B2A1">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875" w:name="_Toc497746814"/>
      <w:bookmarkStart w:id="876" w:name="_Toc418518143"/>
      <w:bookmarkStart w:id="877" w:name="_Toc418751829"/>
      <w:bookmarkStart w:id="878" w:name="_Toc497747211"/>
      <w:bookmarkStart w:id="879" w:name="_Toc418518379"/>
      <w:bookmarkStart w:id="880" w:name="_Toc23212"/>
      <w:bookmarkStart w:id="881" w:name="_Toc373478380"/>
      <w:bookmarkStart w:id="882" w:name="_Toc418061344"/>
      <w:bookmarkStart w:id="883" w:name="_Toc373227733"/>
      <w:bookmarkStart w:id="884" w:name="_Toc418752275"/>
      <w:bookmarkStart w:id="885" w:name="_Toc403578967"/>
      <w:bookmarkStart w:id="886" w:name="_Toc389065299"/>
      <w:bookmarkStart w:id="887" w:name="_Toc522201762"/>
      <w:bookmarkStart w:id="888" w:name="_Toc256000212"/>
      <w:r>
        <w:rPr>
          <w:rFonts w:hint="eastAsia" w:ascii="宋体" w:cs="宋体"/>
          <w:color w:val="auto"/>
          <w:highlight w:val="none"/>
        </w:rPr>
        <w:t>8</w:t>
      </w:r>
      <w:bookmarkStart w:id="889" w:name="_Toc296346668"/>
      <w:bookmarkStart w:id="890" w:name="_Toc296347166"/>
      <w:bookmarkStart w:id="891" w:name="_Toc297216186"/>
      <w:bookmarkStart w:id="892" w:name="_Toc296891207"/>
      <w:bookmarkStart w:id="893" w:name="_Toc297048353"/>
      <w:bookmarkStart w:id="894" w:name="_Toc312678019"/>
      <w:bookmarkStart w:id="895" w:name="_Toc300934979"/>
      <w:bookmarkStart w:id="896" w:name="_Toc296890995"/>
      <w:bookmarkStart w:id="897" w:name="_Toc292559372"/>
      <w:bookmarkStart w:id="898" w:name="_Toc303539136"/>
      <w:bookmarkStart w:id="899" w:name="_Toc297123527"/>
      <w:bookmarkStart w:id="900" w:name="_Toc297120467"/>
      <w:bookmarkStart w:id="901" w:name="_Toc304295556"/>
      <w:bookmarkStart w:id="902" w:name="_Toc296944506"/>
      <w:bookmarkStart w:id="903" w:name="_Toc292559877"/>
      <w:bookmarkStart w:id="904" w:name="_Toc296503167"/>
      <w:bookmarkStart w:id="905" w:name="_Toc280868654"/>
      <w:bookmarkStart w:id="906" w:name="_Toc312677493"/>
      <w:bookmarkStart w:id="907" w:name="_Toc280868656"/>
      <w:bookmarkStart w:id="908" w:name="_Toc280868655"/>
      <w:bookmarkStart w:id="909" w:name="_Toc267251424"/>
      <w:r>
        <w:rPr>
          <w:rFonts w:hint="eastAsia" w:ascii="宋体" w:cs="宋体"/>
          <w:color w:val="auto"/>
          <w:highlight w:val="none"/>
        </w:rPr>
        <w:t>.4 材料与工程设备的保管与使用</w:t>
      </w:r>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p>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p w14:paraId="60CE20D3">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8</w:t>
      </w:r>
      <w:bookmarkStart w:id="910" w:name="_Toc292559373"/>
      <w:bookmarkStart w:id="911" w:name="_Toc292559878"/>
      <w:bookmarkStart w:id="912" w:name="_Toc318581173"/>
      <w:bookmarkStart w:id="913" w:name="_Toc297123528"/>
      <w:bookmarkStart w:id="914" w:name="_Toc297216187"/>
      <w:bookmarkStart w:id="915" w:name="_Toc296891208"/>
      <w:bookmarkStart w:id="916" w:name="_Toc296347167"/>
      <w:bookmarkStart w:id="917" w:name="_Toc296944507"/>
      <w:bookmarkStart w:id="918" w:name="_Toc312677494"/>
      <w:bookmarkStart w:id="919" w:name="_Toc304295557"/>
      <w:bookmarkStart w:id="920" w:name="_Toc296503168"/>
      <w:bookmarkStart w:id="921" w:name="_Toc297048354"/>
      <w:bookmarkStart w:id="922" w:name="_Toc296890996"/>
      <w:bookmarkStart w:id="923" w:name="_Toc297120468"/>
      <w:bookmarkStart w:id="924" w:name="_Toc312678020"/>
      <w:bookmarkStart w:id="925" w:name="_Toc300934980"/>
      <w:bookmarkStart w:id="926" w:name="_Toc303539137"/>
      <w:bookmarkStart w:id="927" w:name="_Toc296346669"/>
      <w:r>
        <w:rPr>
          <w:rFonts w:hint="eastAsia" w:ascii="宋体" w:hAnsi="宋体" w:cs="宋体"/>
          <w:color w:val="auto"/>
          <w:szCs w:val="21"/>
          <w:highlight w:val="none"/>
        </w:rPr>
        <w:t>.4.1发包人供应的材料设备的保管费用的承担：</w:t>
      </w:r>
      <w:r>
        <w:rPr>
          <w:rFonts w:hint="eastAsia" w:ascii="宋体" w:hAnsi="宋体" w:cs="宋体"/>
          <w:color w:val="auto"/>
          <w:szCs w:val="21"/>
          <w:highlight w:val="none"/>
          <w:u w:val="single"/>
        </w:rPr>
        <w:t>发包人供应的材料和设备经三方验收合格后，保管费用由承包人承担</w:t>
      </w:r>
      <w:r>
        <w:rPr>
          <w:rFonts w:hint="eastAsia" w:ascii="宋体" w:hAnsi="宋体" w:cs="宋体"/>
          <w:color w:val="auto"/>
          <w:szCs w:val="21"/>
          <w:highlight w:val="none"/>
        </w:rPr>
        <w:t>。</w:t>
      </w:r>
    </w:p>
    <w:bookmarkEnd w:id="910"/>
    <w:bookmarkEnd w:id="911"/>
    <w:p w14:paraId="08AEC395">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928" w:name="_Toc373227734"/>
      <w:bookmarkStart w:id="929" w:name="_Toc403578968"/>
      <w:bookmarkStart w:id="930" w:name="_Toc7018"/>
      <w:bookmarkStart w:id="931" w:name="_Toc418751830"/>
      <w:bookmarkStart w:id="932" w:name="_Toc256000213"/>
      <w:bookmarkStart w:id="933" w:name="_Toc373478381"/>
      <w:bookmarkStart w:id="934" w:name="_Toc522201763"/>
      <w:bookmarkStart w:id="935" w:name="_Toc418518144"/>
      <w:bookmarkStart w:id="936" w:name="_Toc418518380"/>
      <w:bookmarkStart w:id="937" w:name="_Toc418752276"/>
      <w:bookmarkStart w:id="938" w:name="_Toc497747212"/>
      <w:bookmarkStart w:id="939" w:name="_Toc497746815"/>
      <w:bookmarkStart w:id="940" w:name="_Toc418061345"/>
      <w:bookmarkStart w:id="941" w:name="_Toc389065300"/>
      <w:r>
        <w:rPr>
          <w:rFonts w:hint="eastAsia" w:ascii="宋体" w:cs="宋体"/>
          <w:color w:val="auto"/>
          <w:highlight w:val="none"/>
        </w:rPr>
        <w:t>8.6 样品</w:t>
      </w:r>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p>
    <w:p w14:paraId="11C907D2">
      <w:pPr>
        <w:pStyle w:val="21"/>
        <w:keepNext w:val="0"/>
        <w:keepLines w:val="0"/>
        <w:pageBreakBefore w:val="0"/>
        <w:widowControl w:val="0"/>
        <w:wordWrap/>
        <w:topLinePunct w:val="0"/>
        <w:autoSpaceDE w:val="0"/>
        <w:autoSpaceDN w:val="0"/>
        <w:bidi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8.6.1 样品的报送与封存</w:t>
      </w:r>
    </w:p>
    <w:p w14:paraId="0DF42FD3">
      <w:pPr>
        <w:pStyle w:val="21"/>
        <w:keepNext w:val="0"/>
        <w:keepLines w:val="0"/>
        <w:pageBreakBefore w:val="0"/>
        <w:widowControl w:val="0"/>
        <w:wordWrap/>
        <w:topLinePunct w:val="0"/>
        <w:autoSpaceDE w:val="0"/>
        <w:autoSpaceDN w:val="0"/>
        <w:bidi w:val="0"/>
        <w:adjustRightInd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rPr>
        <w:t>需要承包人报送样品的材料或工程设备，样品的种类、名称、规格、数量要求：</w:t>
      </w:r>
      <w:r>
        <w:rPr>
          <w:rFonts w:hint="eastAsia" w:ascii="宋体" w:hAnsi="宋体" w:cs="宋体"/>
          <w:color w:val="auto"/>
          <w:szCs w:val="21"/>
          <w:highlight w:val="none"/>
          <w:u w:val="single"/>
        </w:rPr>
        <w:t>主要材料涉及品种、款式、颜色等方面内容的，承包人在进货前需将货物样品报送监理或发包人现场办公室，待设计及发包人确认样品，并封存样品后，承包人方可订货。除上述材料外招标文件和招标工程量清单中对材料、设备有档次或质量要求的，按招标文件和招标工程量清单确定；其他由合同各方协商确定。</w:t>
      </w:r>
    </w:p>
    <w:p w14:paraId="0E9B3851">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942" w:name="_Toc522201764"/>
      <w:bookmarkStart w:id="943" w:name="_Toc373478382"/>
      <w:bookmarkStart w:id="944" w:name="_Toc389065301"/>
      <w:bookmarkStart w:id="945" w:name="_Toc418518145"/>
      <w:bookmarkStart w:id="946" w:name="_Toc418752277"/>
      <w:bookmarkStart w:id="947" w:name="_Toc418518381"/>
      <w:bookmarkStart w:id="948" w:name="_Toc373227735"/>
      <w:bookmarkStart w:id="949" w:name="_Toc418751831"/>
      <w:bookmarkStart w:id="950" w:name="_Toc497747213"/>
      <w:bookmarkStart w:id="951" w:name="_Toc256000214"/>
      <w:bookmarkStart w:id="952" w:name="_Toc403578969"/>
      <w:bookmarkStart w:id="953" w:name="_Toc497746816"/>
      <w:bookmarkStart w:id="954" w:name="_Toc5914"/>
      <w:bookmarkStart w:id="955" w:name="_Toc418061346"/>
      <w:r>
        <w:rPr>
          <w:rFonts w:hint="eastAsia" w:ascii="宋体" w:cs="宋体"/>
          <w:color w:val="auto"/>
          <w:highlight w:val="none"/>
        </w:rPr>
        <w:t>8.8 施工设备和临时设施</w:t>
      </w:r>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p>
    <w:p w14:paraId="3DEA0EC6">
      <w:pPr>
        <w:pStyle w:val="21"/>
        <w:keepNext w:val="0"/>
        <w:keepLines w:val="0"/>
        <w:pageBreakBefore w:val="0"/>
        <w:widowControl w:val="0"/>
        <w:wordWrap/>
        <w:topLinePunct w:val="0"/>
        <w:autoSpaceDE w:val="0"/>
        <w:autoSpaceDN w:val="0"/>
        <w:bidi w:val="0"/>
        <w:adjustRightInd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8.8.1 承包人提供的施工设备和临时设施</w:t>
      </w:r>
    </w:p>
    <w:p w14:paraId="68CA9C4A">
      <w:pPr>
        <w:pStyle w:val="21"/>
        <w:keepNext w:val="0"/>
        <w:keepLines w:val="0"/>
        <w:pageBreakBefore w:val="0"/>
        <w:widowControl w:val="0"/>
        <w:wordWrap/>
        <w:topLinePunct w:val="0"/>
        <w:autoSpaceDE w:val="0"/>
        <w:autoSpaceDN w:val="0"/>
        <w:bidi w:val="0"/>
        <w:adjustRightInd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除专用合同条款另有约定的其他独立承包人和监理人指示的他人提供条件外，承包人运入施工场地的所有施工设备以及在施工场地建设的临时设施仅限于用于合同工程。承包人用于本工程的主要机械设备清单见合同附件5。</w:t>
      </w:r>
    </w:p>
    <w:p w14:paraId="35ECD4B8">
      <w:pPr>
        <w:pStyle w:val="21"/>
        <w:keepNext w:val="0"/>
        <w:keepLines w:val="0"/>
        <w:pageBreakBefore w:val="0"/>
        <w:widowControl w:val="0"/>
        <w:wordWrap/>
        <w:topLinePunct w:val="0"/>
        <w:autoSpaceDE w:val="0"/>
        <w:autoSpaceDN w:val="0"/>
        <w:bidi w:val="0"/>
        <w:adjustRightInd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关于修建临时设施费用承担的约定：</w:t>
      </w:r>
    </w:p>
    <w:p w14:paraId="56D0F837">
      <w:pPr>
        <w:pStyle w:val="21"/>
        <w:keepNext w:val="0"/>
        <w:keepLines w:val="0"/>
        <w:pageBreakBefore w:val="0"/>
        <w:widowControl w:val="0"/>
        <w:wordWrap/>
        <w:topLinePunct w:val="0"/>
        <w:autoSpaceDE w:val="0"/>
        <w:autoSpaceDN w:val="0"/>
        <w:bidi w:val="0"/>
        <w:adjustRightInd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u w:val="single"/>
        </w:rPr>
        <w:t>①承包人的临时用地（含项目部驻地等）租用费（含拆迁补偿）、临时用地的环保、恢复、临时用地的青苗补偿及地面附着物拆除等费用均由承包人负责，以上费用在</w:t>
      </w:r>
      <w:r>
        <w:rPr>
          <w:rFonts w:hint="eastAsia" w:ascii="宋体" w:hAnsi="宋体" w:cs="宋体"/>
          <w:color w:val="auto"/>
          <w:szCs w:val="21"/>
          <w:highlight w:val="none"/>
          <w:u w:val="single"/>
          <w:lang w:eastAsia="zh-CN"/>
        </w:rPr>
        <w:t>投标报价（磋商报价）</w:t>
      </w:r>
      <w:r>
        <w:rPr>
          <w:rFonts w:hint="eastAsia" w:ascii="宋体" w:hAnsi="宋体" w:cs="宋体"/>
          <w:color w:val="auto"/>
          <w:szCs w:val="21"/>
          <w:highlight w:val="none"/>
          <w:u w:val="single"/>
        </w:rPr>
        <w:t xml:space="preserve">中综合考虑。 </w:t>
      </w:r>
    </w:p>
    <w:p w14:paraId="2F91BA5E">
      <w:pPr>
        <w:pStyle w:val="21"/>
        <w:keepNext w:val="0"/>
        <w:keepLines w:val="0"/>
        <w:pageBreakBefore w:val="0"/>
        <w:widowControl w:val="0"/>
        <w:wordWrap/>
        <w:topLinePunct w:val="0"/>
        <w:autoSpaceDE w:val="0"/>
        <w:autoSpaceDN w:val="0"/>
        <w:bidi w:val="0"/>
        <w:adjustRightInd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u w:val="single"/>
        </w:rPr>
        <w:t xml:space="preserve">②承包人负责合同实施期间其合同段内临时交通道路和交通设施的修建、维修、养护和交通管理工作，并承担一切费用。 </w:t>
      </w:r>
    </w:p>
    <w:p w14:paraId="3629391B">
      <w:pPr>
        <w:pStyle w:val="21"/>
        <w:keepNext w:val="0"/>
        <w:keepLines w:val="0"/>
        <w:pageBreakBefore w:val="0"/>
        <w:widowControl w:val="0"/>
        <w:wordWrap/>
        <w:topLinePunct w:val="0"/>
        <w:autoSpaceDE w:val="0"/>
        <w:autoSpaceDN w:val="0"/>
        <w:bidi w:val="0"/>
        <w:adjustRightInd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u w:val="single"/>
        </w:rPr>
        <w:t xml:space="preserve">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 </w:t>
      </w:r>
    </w:p>
    <w:p w14:paraId="6DE6383D">
      <w:pPr>
        <w:pStyle w:val="21"/>
        <w:keepNext w:val="0"/>
        <w:keepLines w:val="0"/>
        <w:pageBreakBefore w:val="0"/>
        <w:widowControl w:val="0"/>
        <w:wordWrap/>
        <w:topLinePunct w:val="0"/>
        <w:autoSpaceDE w:val="0"/>
        <w:autoSpaceDN w:val="0"/>
        <w:bidi w:val="0"/>
        <w:adjustRightInd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u w:val="single"/>
        </w:rPr>
        <w:t>④承包人在发包人拟开发区域内已经搭设的施工现场办公等临时设施，一旦发包人因开发需要，通知承包人搬迁、拆除的，承包人应无条件在规定期限内搬迁、拆除，发包人不另行支付搬迁、拆除等费用。承包人自行解决民工住宿问题，并承担因此而增加的交通费用、工人生产降效等相关费用。</w:t>
      </w:r>
    </w:p>
    <w:p w14:paraId="307F92D7">
      <w:pPr>
        <w:pStyle w:val="21"/>
        <w:keepNext w:val="0"/>
        <w:keepLines w:val="0"/>
        <w:pageBreakBefore w:val="0"/>
        <w:widowControl w:val="0"/>
        <w:wordWrap/>
        <w:topLinePunct w:val="0"/>
        <w:autoSpaceDE w:val="0"/>
        <w:autoSpaceDN w:val="0"/>
        <w:bidi w:val="0"/>
        <w:adjustRightInd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8.8.2 发包人提供的施工设备和临时设施</w:t>
      </w:r>
    </w:p>
    <w:p w14:paraId="4969D344">
      <w:pPr>
        <w:pStyle w:val="21"/>
        <w:keepNext w:val="0"/>
        <w:keepLines w:val="0"/>
        <w:pageBreakBefore w:val="0"/>
        <w:widowControl w:val="0"/>
        <w:wordWrap/>
        <w:topLinePunct w:val="0"/>
        <w:autoSpaceDE w:val="0"/>
        <w:autoSpaceDN w:val="0"/>
        <w:bidi w:val="0"/>
        <w:adjustRightInd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发包人提供的施工设备和临时设施：</w:t>
      </w:r>
      <w:r>
        <w:rPr>
          <w:rFonts w:hint="eastAsia" w:ascii="宋体" w:hAnsi="宋体" w:cs="宋体"/>
          <w:color w:val="auto"/>
          <w:szCs w:val="21"/>
          <w:highlight w:val="none"/>
          <w:u w:val="single"/>
        </w:rPr>
        <w:t xml:space="preserve">  无 </w:t>
      </w:r>
      <w:r>
        <w:rPr>
          <w:rFonts w:hint="eastAsia" w:ascii="宋体" w:hAnsi="宋体" w:cs="宋体"/>
          <w:color w:val="auto"/>
          <w:szCs w:val="21"/>
          <w:highlight w:val="none"/>
        </w:rPr>
        <w:t>。</w:t>
      </w:r>
    </w:p>
    <w:p w14:paraId="6A9D5418">
      <w:pPr>
        <w:pStyle w:val="21"/>
        <w:keepNext w:val="0"/>
        <w:keepLines w:val="0"/>
        <w:pageBreakBefore w:val="0"/>
        <w:widowControl w:val="0"/>
        <w:wordWrap/>
        <w:topLinePunct w:val="0"/>
        <w:autoSpaceDE w:val="0"/>
        <w:autoSpaceDN w:val="0"/>
        <w:bidi w:val="0"/>
        <w:adjustRightInd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发包人提供的施工设备和临时设施的运行、维护、拆除、清运费用的承担人：</w:t>
      </w:r>
      <w:r>
        <w:rPr>
          <w:rFonts w:hint="eastAsia" w:ascii="宋体" w:hAnsi="宋体" w:cs="宋体"/>
          <w:color w:val="auto"/>
          <w:szCs w:val="21"/>
          <w:highlight w:val="none"/>
          <w:u w:val="single"/>
        </w:rPr>
        <w:t xml:space="preserve">  承包人  </w:t>
      </w:r>
      <w:r>
        <w:rPr>
          <w:rFonts w:hint="eastAsia" w:ascii="宋体" w:hAnsi="宋体" w:cs="宋体"/>
          <w:color w:val="auto"/>
          <w:szCs w:val="21"/>
          <w:highlight w:val="none"/>
        </w:rPr>
        <w:t>。</w:t>
      </w:r>
    </w:p>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p w14:paraId="132A06BA">
      <w:pPr>
        <w:pStyle w:val="46"/>
        <w:keepNext w:val="0"/>
        <w:keepLines w:val="0"/>
        <w:pageBreakBefore w:val="0"/>
        <w:widowControl w:val="0"/>
        <w:wordWrap/>
        <w:topLinePunct w:val="0"/>
        <w:bidi w:val="0"/>
        <w:spacing w:line="380" w:lineRule="exact"/>
        <w:outlineLvl w:val="2"/>
        <w:rPr>
          <w:rFonts w:ascii="宋体" w:cs="宋体"/>
          <w:color w:val="auto"/>
          <w:highlight w:val="none"/>
        </w:rPr>
      </w:pPr>
      <w:bookmarkStart w:id="956" w:name="_Toc403578970"/>
      <w:bookmarkStart w:id="957" w:name="_Toc8701"/>
      <w:bookmarkStart w:id="958" w:name="_Toc256000215"/>
      <w:bookmarkStart w:id="959" w:name="_Toc418752278"/>
      <w:bookmarkStart w:id="960" w:name="_Toc389065302"/>
      <w:bookmarkStart w:id="961" w:name="_Toc373227736"/>
      <w:bookmarkStart w:id="962" w:name="_Toc418061347"/>
      <w:bookmarkStart w:id="963" w:name="_Toc418518382"/>
      <w:bookmarkStart w:id="964" w:name="_Toc373478383"/>
      <w:bookmarkStart w:id="965" w:name="_Toc497747214"/>
      <w:bookmarkStart w:id="966" w:name="_Toc418751832"/>
      <w:bookmarkStart w:id="967" w:name="_Toc418518146"/>
      <w:bookmarkStart w:id="968" w:name="_Toc351203641"/>
      <w:bookmarkStart w:id="969" w:name="_Toc522201765"/>
      <w:bookmarkStart w:id="970" w:name="_Toc497746817"/>
      <w:r>
        <w:rPr>
          <w:rFonts w:hint="eastAsia" w:ascii="宋体" w:cs="宋体"/>
          <w:color w:val="auto"/>
          <w:highlight w:val="none"/>
        </w:rPr>
        <w:t>9</w:t>
      </w:r>
      <w:bookmarkEnd w:id="907"/>
      <w:bookmarkEnd w:id="908"/>
      <w:bookmarkEnd w:id="909"/>
      <w:bookmarkStart w:id="971" w:name="_Toc312678021"/>
      <w:bookmarkStart w:id="972" w:name="_Toc297216192"/>
      <w:bookmarkStart w:id="973" w:name="_Toc300934982"/>
      <w:bookmarkStart w:id="974" w:name="_Toc297123533"/>
      <w:bookmarkStart w:id="975" w:name="_Toc304295559"/>
      <w:bookmarkStart w:id="976" w:name="_Toc303539139"/>
      <w:bookmarkStart w:id="977" w:name="_Toc312677495"/>
      <w:bookmarkStart w:id="978" w:name="_Toc296891001"/>
      <w:bookmarkStart w:id="979" w:name="_Toc296346674"/>
      <w:bookmarkStart w:id="980" w:name="_Toc297048359"/>
      <w:bookmarkStart w:id="981" w:name="_Toc296347172"/>
      <w:bookmarkStart w:id="982" w:name="_Toc296503173"/>
      <w:bookmarkStart w:id="983" w:name="_Toc292559378"/>
      <w:bookmarkStart w:id="984" w:name="_Toc267251427"/>
      <w:bookmarkStart w:id="985" w:name="_Toc267251428"/>
      <w:bookmarkStart w:id="986" w:name="_Toc296891213"/>
      <w:bookmarkStart w:id="987" w:name="_Toc296944512"/>
      <w:bookmarkStart w:id="988" w:name="_Toc297120473"/>
      <w:bookmarkStart w:id="989" w:name="_Toc292559883"/>
      <w:r>
        <w:rPr>
          <w:rFonts w:hint="eastAsia" w:ascii="宋体" w:cs="宋体"/>
          <w:color w:val="auto"/>
          <w:highlight w:val="none"/>
        </w:rPr>
        <w:t xml:space="preserve">. </w:t>
      </w:r>
      <w:r>
        <w:rPr>
          <w:rFonts w:hint="eastAsia" w:ascii="宋体" w:hAnsi="宋体" w:eastAsia="宋体" w:cs="宋体"/>
          <w:color w:val="auto"/>
          <w:highlight w:val="none"/>
        </w:rPr>
        <w:t>试验</w:t>
      </w:r>
      <w:r>
        <w:rPr>
          <w:rFonts w:hint="eastAsia" w:ascii="宋体" w:cs="宋体"/>
          <w:color w:val="auto"/>
          <w:highlight w:val="none"/>
        </w:rPr>
        <w:t>与检验</w:t>
      </w:r>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p>
    <w:bookmarkEnd w:id="971"/>
    <w:bookmarkEnd w:id="972"/>
    <w:bookmarkEnd w:id="973"/>
    <w:bookmarkEnd w:id="974"/>
    <w:bookmarkEnd w:id="975"/>
    <w:bookmarkEnd w:id="976"/>
    <w:bookmarkEnd w:id="977"/>
    <w:p w14:paraId="5F09C4EB">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990" w:name="_Toc418061348"/>
      <w:bookmarkStart w:id="991" w:name="_Toc497746818"/>
      <w:bookmarkStart w:id="992" w:name="_Toc418751833"/>
      <w:bookmarkStart w:id="993" w:name="_Toc373227737"/>
      <w:bookmarkStart w:id="994" w:name="_Toc418752279"/>
      <w:bookmarkStart w:id="995" w:name="_Toc418518147"/>
      <w:bookmarkStart w:id="996" w:name="_Toc403578971"/>
      <w:bookmarkStart w:id="997" w:name="_Toc389065303"/>
      <w:bookmarkStart w:id="998" w:name="_Toc497747215"/>
      <w:bookmarkStart w:id="999" w:name="_Toc522201766"/>
      <w:bookmarkStart w:id="1000" w:name="_Toc373478384"/>
      <w:bookmarkStart w:id="1001" w:name="_Toc256000216"/>
      <w:bookmarkStart w:id="1002" w:name="_Toc418518383"/>
      <w:bookmarkStart w:id="1003" w:name="_Toc8303"/>
      <w:r>
        <w:rPr>
          <w:rFonts w:hint="eastAsia" w:ascii="宋体" w:cs="宋体"/>
          <w:color w:val="auto"/>
          <w:highlight w:val="none"/>
        </w:rPr>
        <w:t>9</w:t>
      </w:r>
      <w:bookmarkStart w:id="1004" w:name="_Toc312677496"/>
      <w:bookmarkStart w:id="1005" w:name="_Toc312678022"/>
      <w:bookmarkStart w:id="1006" w:name="_Toc297216193"/>
      <w:bookmarkStart w:id="1007" w:name="_Toc303539140"/>
      <w:bookmarkStart w:id="1008" w:name="_Toc297123534"/>
      <w:bookmarkStart w:id="1009" w:name="_Toc304295560"/>
      <w:bookmarkStart w:id="1010" w:name="_Toc300934983"/>
      <w:r>
        <w:rPr>
          <w:rFonts w:hint="eastAsia" w:ascii="宋体" w:cs="宋体"/>
          <w:color w:val="auto"/>
          <w:highlight w:val="none"/>
        </w:rPr>
        <w:t>.1 试验设备与试验人员</w:t>
      </w:r>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p>
    <w:bookmarkEnd w:id="1004"/>
    <w:bookmarkEnd w:id="1005"/>
    <w:bookmarkEnd w:id="1006"/>
    <w:bookmarkEnd w:id="1007"/>
    <w:bookmarkEnd w:id="1008"/>
    <w:bookmarkEnd w:id="1009"/>
    <w:bookmarkEnd w:id="1010"/>
    <w:p w14:paraId="64F3ED65">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9</w:t>
      </w:r>
      <w:bookmarkStart w:id="1011" w:name="_Toc297123535"/>
      <w:bookmarkStart w:id="1012" w:name="_Toc297216194"/>
      <w:bookmarkStart w:id="1013" w:name="_Toc303539141"/>
      <w:bookmarkStart w:id="1014" w:name="_Toc312677497"/>
      <w:bookmarkStart w:id="1015" w:name="_Toc312678023"/>
      <w:bookmarkStart w:id="1016" w:name="_Toc304295561"/>
      <w:bookmarkStart w:id="1017" w:name="_Toc300934984"/>
      <w:bookmarkStart w:id="1018" w:name="_Toc318581174"/>
      <w:r>
        <w:rPr>
          <w:rFonts w:hint="eastAsia" w:ascii="宋体" w:hAnsi="宋体" w:cs="宋体"/>
          <w:color w:val="auto"/>
          <w:szCs w:val="21"/>
          <w:highlight w:val="none"/>
        </w:rPr>
        <w:t>.1.2 试验设备</w:t>
      </w:r>
    </w:p>
    <w:bookmarkEnd w:id="1011"/>
    <w:bookmarkEnd w:id="1012"/>
    <w:bookmarkEnd w:id="1013"/>
    <w:bookmarkEnd w:id="1014"/>
    <w:bookmarkEnd w:id="1015"/>
    <w:bookmarkEnd w:id="1016"/>
    <w:bookmarkEnd w:id="1017"/>
    <w:p w14:paraId="31104C3F">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bookmarkStart w:id="1019" w:name="_Toc303539142"/>
      <w:bookmarkStart w:id="1020" w:name="_Toc297123536"/>
      <w:bookmarkStart w:id="1021" w:name="_Toc297216195"/>
      <w:bookmarkStart w:id="1022" w:name="_Toc300934985"/>
      <w:bookmarkStart w:id="1023" w:name="_Toc304295562"/>
      <w:bookmarkStart w:id="1024" w:name="_Toc312678024"/>
      <w:bookmarkStart w:id="1025" w:name="_Toc312677498"/>
      <w:r>
        <w:rPr>
          <w:rFonts w:hint="eastAsia" w:ascii="宋体" w:hAnsi="宋体" w:cs="宋体"/>
          <w:color w:val="auto"/>
          <w:szCs w:val="21"/>
          <w:highlight w:val="none"/>
        </w:rPr>
        <w:t>施工现场需要配置的试验场所：</w:t>
      </w:r>
      <w:r>
        <w:rPr>
          <w:rFonts w:hint="eastAsia" w:ascii="宋体" w:hAnsi="宋体" w:cs="宋体"/>
          <w:color w:val="auto"/>
          <w:szCs w:val="21"/>
          <w:highlight w:val="none"/>
          <w:u w:val="single"/>
        </w:rPr>
        <w:t xml:space="preserve"> 由承包人承担，所需费用包含在</w:t>
      </w:r>
      <w:r>
        <w:rPr>
          <w:rFonts w:hint="eastAsia" w:ascii="宋体" w:hAnsi="宋体" w:cs="宋体"/>
          <w:color w:val="auto"/>
          <w:szCs w:val="21"/>
          <w:highlight w:val="none"/>
          <w:u w:val="single"/>
          <w:lang w:eastAsia="zh-CN"/>
        </w:rPr>
        <w:t>投标报价（磋商报价）</w:t>
      </w:r>
      <w:r>
        <w:rPr>
          <w:rFonts w:hint="eastAsia" w:ascii="宋体" w:hAnsi="宋体" w:cs="宋体"/>
          <w:color w:val="auto"/>
          <w:szCs w:val="21"/>
          <w:highlight w:val="none"/>
          <w:u w:val="single"/>
        </w:rPr>
        <w:t xml:space="preserve">中 </w:t>
      </w:r>
      <w:r>
        <w:rPr>
          <w:rFonts w:hint="eastAsia" w:ascii="宋体" w:hAnsi="宋体" w:cs="宋体"/>
          <w:color w:val="auto"/>
          <w:szCs w:val="21"/>
          <w:highlight w:val="none"/>
        </w:rPr>
        <w:t xml:space="preserve">。 </w:t>
      </w:r>
    </w:p>
    <w:p w14:paraId="5F9C713D">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施工现场需要配备的试验设备：</w:t>
      </w:r>
      <w:r>
        <w:rPr>
          <w:rFonts w:hint="eastAsia" w:ascii="宋体" w:hAnsi="宋体" w:cs="宋体"/>
          <w:color w:val="auto"/>
          <w:szCs w:val="21"/>
          <w:highlight w:val="none"/>
          <w:u w:val="single"/>
        </w:rPr>
        <w:t xml:space="preserve"> 由承包人承担，所需费用包含在</w:t>
      </w:r>
      <w:r>
        <w:rPr>
          <w:rFonts w:hint="eastAsia" w:ascii="宋体" w:hAnsi="宋体" w:cs="宋体"/>
          <w:color w:val="auto"/>
          <w:szCs w:val="21"/>
          <w:highlight w:val="none"/>
          <w:u w:val="single"/>
          <w:lang w:eastAsia="zh-CN"/>
        </w:rPr>
        <w:t>投标报价（磋商报价）</w:t>
      </w:r>
      <w:r>
        <w:rPr>
          <w:rFonts w:hint="eastAsia" w:ascii="宋体" w:hAnsi="宋体" w:cs="宋体"/>
          <w:color w:val="auto"/>
          <w:szCs w:val="21"/>
          <w:highlight w:val="none"/>
          <w:u w:val="single"/>
        </w:rPr>
        <w:t xml:space="preserve">中 </w:t>
      </w:r>
      <w:r>
        <w:rPr>
          <w:rFonts w:hint="eastAsia" w:ascii="宋体" w:hAnsi="宋体" w:cs="宋体"/>
          <w:color w:val="auto"/>
          <w:szCs w:val="21"/>
          <w:highlight w:val="none"/>
        </w:rPr>
        <w:t>。</w:t>
      </w:r>
    </w:p>
    <w:p w14:paraId="788E6A5A">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施工现场需要具备的其他试验条件：</w:t>
      </w:r>
      <w:r>
        <w:rPr>
          <w:rFonts w:hint="eastAsia" w:ascii="宋体" w:hAnsi="宋体" w:cs="宋体"/>
          <w:color w:val="auto"/>
          <w:szCs w:val="21"/>
          <w:highlight w:val="none"/>
          <w:u w:val="single"/>
        </w:rPr>
        <w:t xml:space="preserve"> 由承包人承担，所需费用包含在</w:t>
      </w:r>
      <w:r>
        <w:rPr>
          <w:rFonts w:hint="eastAsia" w:ascii="宋体" w:hAnsi="宋体" w:cs="宋体"/>
          <w:color w:val="auto"/>
          <w:szCs w:val="21"/>
          <w:highlight w:val="none"/>
          <w:u w:val="single"/>
          <w:lang w:eastAsia="zh-CN"/>
        </w:rPr>
        <w:t>投标报价（磋商报价）</w:t>
      </w:r>
      <w:r>
        <w:rPr>
          <w:rFonts w:hint="eastAsia" w:ascii="宋体" w:hAnsi="宋体" w:cs="宋体"/>
          <w:color w:val="auto"/>
          <w:szCs w:val="21"/>
          <w:highlight w:val="none"/>
          <w:u w:val="single"/>
        </w:rPr>
        <w:t xml:space="preserve">中 </w:t>
      </w:r>
      <w:r>
        <w:rPr>
          <w:rFonts w:hint="eastAsia" w:ascii="宋体" w:hAnsi="宋体" w:cs="宋体"/>
          <w:color w:val="auto"/>
          <w:szCs w:val="21"/>
          <w:highlight w:val="none"/>
        </w:rPr>
        <w:t>。</w:t>
      </w:r>
    </w:p>
    <w:p w14:paraId="227020C1">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026" w:name="_Toc497747216"/>
      <w:bookmarkStart w:id="1027" w:name="_Toc418061349"/>
      <w:bookmarkStart w:id="1028" w:name="_Toc389065304"/>
      <w:bookmarkStart w:id="1029" w:name="_Toc418518148"/>
      <w:bookmarkStart w:id="1030" w:name="_Toc418518384"/>
      <w:bookmarkStart w:id="1031" w:name="_Toc497746819"/>
      <w:bookmarkStart w:id="1032" w:name="_Toc403578972"/>
      <w:bookmarkStart w:id="1033" w:name="_Toc256000217"/>
      <w:bookmarkStart w:id="1034" w:name="_Toc418751834"/>
      <w:bookmarkStart w:id="1035" w:name="_Toc373227738"/>
      <w:bookmarkStart w:id="1036" w:name="_Toc373478385"/>
      <w:bookmarkStart w:id="1037" w:name="_Toc15606"/>
      <w:bookmarkStart w:id="1038" w:name="_Toc522201767"/>
      <w:bookmarkStart w:id="1039" w:name="_Toc418752280"/>
      <w:r>
        <w:rPr>
          <w:rFonts w:hint="eastAsia" w:ascii="宋体" w:cs="宋体"/>
          <w:color w:val="auto"/>
          <w:highlight w:val="none"/>
        </w:rPr>
        <w:t>9.4 现场工艺试验</w:t>
      </w:r>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r>
        <w:rPr>
          <w:rFonts w:hint="eastAsia" w:ascii="宋体" w:cs="宋体"/>
          <w:color w:val="auto"/>
          <w:highlight w:val="none"/>
        </w:rPr>
        <w:t xml:space="preserve"> </w:t>
      </w:r>
    </w:p>
    <w:p w14:paraId="1E81F47E">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现场工艺试验的有关约定：</w:t>
      </w:r>
      <w:r>
        <w:rPr>
          <w:rFonts w:hint="eastAsia" w:ascii="宋体" w:hAnsi="宋体" w:cs="宋体"/>
          <w:color w:val="auto"/>
          <w:szCs w:val="21"/>
          <w:highlight w:val="none"/>
          <w:u w:val="single"/>
        </w:rPr>
        <w:t xml:space="preserve">  按通用条款执行</w:t>
      </w:r>
      <w:r>
        <w:rPr>
          <w:rFonts w:hint="eastAsia" w:ascii="宋体" w:hAnsi="宋体" w:cs="宋体"/>
          <w:color w:val="auto"/>
          <w:szCs w:val="21"/>
          <w:highlight w:val="none"/>
        </w:rPr>
        <w:t>。</w:t>
      </w:r>
      <w:bookmarkStart w:id="1040" w:name="_Toc406420990"/>
      <w:bookmarkStart w:id="1041" w:name="_Toc395382541"/>
      <w:bookmarkStart w:id="1042" w:name="_Toc406522259"/>
      <w:bookmarkStart w:id="1043" w:name="OLE_LINK1"/>
    </w:p>
    <w:p w14:paraId="6D4E7567">
      <w:pPr>
        <w:pStyle w:val="21"/>
        <w:keepNext w:val="0"/>
        <w:keepLines w:val="0"/>
        <w:pageBreakBefore w:val="0"/>
        <w:widowControl w:val="0"/>
        <w:wordWrap/>
        <w:topLinePunct w:val="0"/>
        <w:bidi w:val="0"/>
        <w:spacing w:line="380" w:lineRule="exact"/>
        <w:ind w:firstLine="422" w:firstLineChars="200"/>
        <w:jc w:val="left"/>
        <w:rPr>
          <w:rFonts w:ascii="宋体" w:hAnsi="宋体" w:cs="宋体"/>
          <w:b/>
          <w:bCs/>
          <w:color w:val="auto"/>
          <w:szCs w:val="21"/>
          <w:highlight w:val="none"/>
        </w:rPr>
      </w:pPr>
      <w:r>
        <w:rPr>
          <w:rFonts w:hint="eastAsia" w:ascii="宋体" w:hAnsi="宋体" w:cs="宋体"/>
          <w:b/>
          <w:bCs/>
          <w:color w:val="auto"/>
          <w:szCs w:val="21"/>
          <w:highlight w:val="none"/>
        </w:rPr>
        <w:t>9.5 检验费用</w:t>
      </w:r>
      <w:bookmarkEnd w:id="1040"/>
      <w:bookmarkEnd w:id="1041"/>
      <w:bookmarkEnd w:id="1042"/>
    </w:p>
    <w:p w14:paraId="2A5A12C9">
      <w:pPr>
        <w:pStyle w:val="21"/>
        <w:keepNext w:val="0"/>
        <w:keepLines w:val="0"/>
        <w:pageBreakBefore w:val="0"/>
        <w:widowControl w:val="0"/>
        <w:wordWrap/>
        <w:topLinePunct w:val="0"/>
        <w:bidi w:val="0"/>
        <w:spacing w:line="380" w:lineRule="exact"/>
        <w:ind w:firstLine="411" w:firstLineChars="196"/>
        <w:rPr>
          <w:rFonts w:ascii="宋体" w:hAnsi="宋体" w:cs="宋体"/>
          <w:color w:val="auto"/>
          <w:szCs w:val="21"/>
          <w:highlight w:val="none"/>
        </w:rPr>
      </w:pPr>
      <w:r>
        <w:rPr>
          <w:rFonts w:hint="eastAsia" w:ascii="宋体" w:hAnsi="宋体" w:cs="宋体"/>
          <w:color w:val="auto"/>
          <w:szCs w:val="21"/>
          <w:highlight w:val="none"/>
          <w:lang w:eastAsia="zh-CN"/>
        </w:rPr>
        <w:t>根据《建设工程质量检测管理办法》（住房和城乡建设部令第57号）以及《广西壮族自治区建设工程质量检测管理实施细则》（桂建发〔2025〕5号）</w:t>
      </w:r>
      <w:r>
        <w:rPr>
          <w:rFonts w:hint="eastAsia" w:ascii="宋体" w:hAnsi="宋体" w:cs="宋体"/>
          <w:color w:val="auto"/>
          <w:szCs w:val="21"/>
          <w:highlight w:val="none"/>
        </w:rPr>
        <w:t>规定，工程质量检测业务由发包人委托有相应资质的检测机构检测。费用从发包人的项目建设经费中支出并直接支付给检测机构，不计入合同价款内。</w:t>
      </w:r>
      <w:bookmarkEnd w:id="1043"/>
    </w:p>
    <w:bookmarkEnd w:id="1018"/>
    <w:bookmarkEnd w:id="1019"/>
    <w:bookmarkEnd w:id="1020"/>
    <w:bookmarkEnd w:id="1021"/>
    <w:bookmarkEnd w:id="1022"/>
    <w:bookmarkEnd w:id="1023"/>
    <w:bookmarkEnd w:id="1024"/>
    <w:bookmarkEnd w:id="1025"/>
    <w:p w14:paraId="62AF6373">
      <w:pPr>
        <w:pStyle w:val="46"/>
        <w:keepNext w:val="0"/>
        <w:keepLines w:val="0"/>
        <w:pageBreakBefore w:val="0"/>
        <w:widowControl w:val="0"/>
        <w:wordWrap/>
        <w:topLinePunct w:val="0"/>
        <w:bidi w:val="0"/>
        <w:spacing w:line="380" w:lineRule="exact"/>
        <w:outlineLvl w:val="2"/>
        <w:rPr>
          <w:rFonts w:ascii="宋体" w:cs="宋体"/>
          <w:color w:val="auto"/>
          <w:highlight w:val="none"/>
        </w:rPr>
      </w:pPr>
      <w:bookmarkStart w:id="1044" w:name="_Toc418518386"/>
      <w:bookmarkStart w:id="1045" w:name="_Toc403578974"/>
      <w:bookmarkStart w:id="1046" w:name="_Toc497746821"/>
      <w:bookmarkStart w:id="1047" w:name="_Toc373227739"/>
      <w:bookmarkStart w:id="1048" w:name="_Toc418518150"/>
      <w:bookmarkStart w:id="1049" w:name="_Toc497747218"/>
      <w:bookmarkStart w:id="1050" w:name="_Toc373478386"/>
      <w:bookmarkStart w:id="1051" w:name="_Toc351203642"/>
      <w:bookmarkStart w:id="1052" w:name="_Toc389065305"/>
      <w:bookmarkStart w:id="1053" w:name="_Toc418751836"/>
      <w:bookmarkStart w:id="1054" w:name="_Toc522201768"/>
      <w:bookmarkStart w:id="1055" w:name="_Toc418752282"/>
      <w:bookmarkStart w:id="1056" w:name="_Toc418061351"/>
      <w:bookmarkStart w:id="1057" w:name="_Toc58"/>
      <w:bookmarkStart w:id="1058" w:name="_Toc256000218"/>
      <w:r>
        <w:rPr>
          <w:rFonts w:hint="eastAsia" w:ascii="宋体" w:cs="宋体"/>
          <w:color w:val="auto"/>
          <w:highlight w:val="none"/>
        </w:rPr>
        <w:t>1</w:t>
      </w:r>
      <w:bookmarkEnd w:id="978"/>
      <w:bookmarkEnd w:id="979"/>
      <w:bookmarkEnd w:id="980"/>
      <w:bookmarkEnd w:id="981"/>
      <w:bookmarkEnd w:id="982"/>
      <w:bookmarkEnd w:id="983"/>
      <w:bookmarkEnd w:id="984"/>
      <w:bookmarkEnd w:id="985"/>
      <w:bookmarkEnd w:id="986"/>
      <w:bookmarkEnd w:id="987"/>
      <w:bookmarkEnd w:id="988"/>
      <w:bookmarkEnd w:id="989"/>
      <w:bookmarkStart w:id="1059" w:name="_Toc296891021"/>
      <w:bookmarkStart w:id="1060" w:name="_Toc292559903"/>
      <w:bookmarkStart w:id="1061" w:name="_Toc296347192"/>
      <w:bookmarkStart w:id="1062" w:name="_Toc297123540"/>
      <w:bookmarkStart w:id="1063" w:name="_Toc296503193"/>
      <w:bookmarkStart w:id="1064" w:name="_Toc297120493"/>
      <w:bookmarkStart w:id="1065" w:name="_Toc297048379"/>
      <w:bookmarkStart w:id="1066" w:name="_Toc292559398"/>
      <w:bookmarkStart w:id="1067" w:name="_Toc300934989"/>
      <w:bookmarkStart w:id="1068" w:name="_Toc297216199"/>
      <w:bookmarkStart w:id="1069" w:name="_Toc296891233"/>
      <w:bookmarkStart w:id="1070" w:name="_Toc304295566"/>
      <w:bookmarkStart w:id="1071" w:name="_Toc296944532"/>
      <w:bookmarkStart w:id="1072" w:name="_Toc303539146"/>
      <w:bookmarkStart w:id="1073" w:name="_Toc296346694"/>
      <w:bookmarkStart w:id="1074" w:name="_Toc312677499"/>
      <w:bookmarkStart w:id="1075" w:name="_Toc312678025"/>
      <w:bookmarkStart w:id="1076" w:name="_Toc267251439"/>
      <w:bookmarkStart w:id="1077" w:name="_Toc267251437"/>
      <w:bookmarkStart w:id="1078" w:name="_Toc267251441"/>
      <w:bookmarkStart w:id="1079" w:name="_Toc267251435"/>
      <w:bookmarkStart w:id="1080" w:name="_Toc267251433"/>
      <w:bookmarkStart w:id="1081" w:name="_Toc267251440"/>
      <w:bookmarkStart w:id="1082" w:name="_Toc267251442"/>
      <w:r>
        <w:rPr>
          <w:rFonts w:hint="eastAsia" w:ascii="宋体" w:cs="宋体"/>
          <w:color w:val="auto"/>
          <w:highlight w:val="none"/>
        </w:rPr>
        <w:t>0. 变更</w:t>
      </w:r>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p>
    <w:bookmarkEnd w:id="1074"/>
    <w:bookmarkEnd w:id="1075"/>
    <w:p w14:paraId="3167E8A8">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083" w:name="_Toc497746822"/>
      <w:bookmarkStart w:id="1084" w:name="_Toc403578975"/>
      <w:bookmarkStart w:id="1085" w:name="_Toc418518387"/>
      <w:bookmarkStart w:id="1086" w:name="_Toc2710"/>
      <w:bookmarkStart w:id="1087" w:name="_Toc522201769"/>
      <w:bookmarkStart w:id="1088" w:name="_Toc373478387"/>
      <w:bookmarkStart w:id="1089" w:name="_Toc418752283"/>
      <w:bookmarkStart w:id="1090" w:name="_Toc389065306"/>
      <w:bookmarkStart w:id="1091" w:name="_Toc418751837"/>
      <w:bookmarkStart w:id="1092" w:name="_Toc418518151"/>
      <w:bookmarkStart w:id="1093" w:name="_Toc497747219"/>
      <w:bookmarkStart w:id="1094" w:name="_Toc256000219"/>
      <w:bookmarkStart w:id="1095" w:name="_Toc373227740"/>
      <w:bookmarkStart w:id="1096" w:name="_Toc418061352"/>
      <w:r>
        <w:rPr>
          <w:rFonts w:hint="eastAsia" w:ascii="宋体" w:cs="宋体"/>
          <w:color w:val="auto"/>
          <w:highlight w:val="none"/>
        </w:rPr>
        <w:t>1</w:t>
      </w:r>
      <w:bookmarkStart w:id="1097" w:name="_Toc297123541"/>
      <w:bookmarkStart w:id="1098" w:name="_Toc297048380"/>
      <w:bookmarkStart w:id="1099" w:name="_Toc303539147"/>
      <w:bookmarkStart w:id="1100" w:name="_Toc312677500"/>
      <w:bookmarkStart w:id="1101" w:name="_Toc292559399"/>
      <w:bookmarkStart w:id="1102" w:name="_Toc297120494"/>
      <w:bookmarkStart w:id="1103" w:name="_Toc304295567"/>
      <w:bookmarkStart w:id="1104" w:name="_Toc312678026"/>
      <w:bookmarkStart w:id="1105" w:name="_Toc296346695"/>
      <w:bookmarkStart w:id="1106" w:name="_Toc296944533"/>
      <w:bookmarkStart w:id="1107" w:name="_Toc297216200"/>
      <w:bookmarkStart w:id="1108" w:name="_Toc296347193"/>
      <w:bookmarkStart w:id="1109" w:name="_Toc300934990"/>
      <w:bookmarkStart w:id="1110" w:name="_Toc296503194"/>
      <w:bookmarkStart w:id="1111" w:name="_Toc296891022"/>
      <w:bookmarkStart w:id="1112" w:name="_Toc292559904"/>
      <w:bookmarkStart w:id="1113" w:name="_Toc296891234"/>
      <w:r>
        <w:rPr>
          <w:rFonts w:hint="eastAsia" w:ascii="宋体" w:cs="宋体"/>
          <w:color w:val="auto"/>
          <w:highlight w:val="none"/>
        </w:rPr>
        <w:t>0.1 变更的范围</w:t>
      </w:r>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p>
    <w:p w14:paraId="7D44C5CA">
      <w:pPr>
        <w:pStyle w:val="21"/>
        <w:keepNext w:val="0"/>
        <w:keepLines w:val="0"/>
        <w:pageBreakBefore w:val="0"/>
        <w:widowControl w:val="0"/>
        <w:wordWrap/>
        <w:topLinePunct w:val="0"/>
        <w:bidi w:val="0"/>
        <w:spacing w:line="380" w:lineRule="exact"/>
        <w:ind w:firstLine="411" w:firstLineChars="196"/>
        <w:rPr>
          <w:rFonts w:ascii="宋体" w:hAnsi="宋体" w:cs="宋体"/>
          <w:color w:val="auto"/>
          <w:szCs w:val="21"/>
          <w:highlight w:val="none"/>
        </w:rPr>
      </w:pPr>
      <w:r>
        <w:rPr>
          <w:rFonts w:hint="eastAsia" w:ascii="宋体" w:hAnsi="宋体" w:cs="宋体"/>
          <w:color w:val="auto"/>
          <w:szCs w:val="21"/>
          <w:highlight w:val="none"/>
        </w:rPr>
        <w:t>关于变更的范围的约定：</w:t>
      </w:r>
      <w:r>
        <w:rPr>
          <w:rFonts w:hint="eastAsia" w:ascii="宋体" w:hAnsi="宋体" w:cs="宋体"/>
          <w:color w:val="auto"/>
          <w:szCs w:val="21"/>
          <w:highlight w:val="none"/>
          <w:u w:val="single"/>
        </w:rPr>
        <w:t>施工期间因不可预见因素或发包人要求所发生的工程量增减（由变更、签证产生），其工程量按实际发生并经监理工程师及发包人签证认可，工程变更综合单价按专用条款第10.4点规定执行</w:t>
      </w:r>
      <w:r>
        <w:rPr>
          <w:rFonts w:hint="eastAsia" w:ascii="宋体" w:hAnsi="宋体" w:cs="宋体"/>
          <w:color w:val="auto"/>
          <w:szCs w:val="21"/>
          <w:highlight w:val="none"/>
        </w:rPr>
        <w:t>。</w:t>
      </w:r>
      <w:bookmarkStart w:id="1114" w:name="_Toc373478388"/>
      <w:bookmarkStart w:id="1115" w:name="_Toc373227741"/>
      <w:bookmarkStart w:id="1116" w:name="_Toc389065307"/>
      <w:bookmarkStart w:id="1117" w:name="_Toc395382544"/>
      <w:bookmarkStart w:id="1118" w:name="_Toc406522262"/>
    </w:p>
    <w:p w14:paraId="38126FB4">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119" w:name="_Toc256000220"/>
      <w:bookmarkStart w:id="1120" w:name="_Toc21241"/>
      <w:r>
        <w:rPr>
          <w:rFonts w:hint="eastAsia" w:ascii="宋体" w:cs="宋体"/>
          <w:color w:val="auto"/>
          <w:highlight w:val="none"/>
        </w:rPr>
        <w:t>10.3 变更程序</w:t>
      </w:r>
      <w:bookmarkEnd w:id="1114"/>
      <w:bookmarkEnd w:id="1115"/>
      <w:bookmarkEnd w:id="1116"/>
      <w:bookmarkEnd w:id="1117"/>
      <w:bookmarkEnd w:id="1118"/>
      <w:bookmarkEnd w:id="1119"/>
      <w:bookmarkEnd w:id="1120"/>
    </w:p>
    <w:p w14:paraId="2449CB53">
      <w:pPr>
        <w:pStyle w:val="21"/>
        <w:keepNext w:val="0"/>
        <w:keepLines w:val="0"/>
        <w:pageBreakBefore w:val="0"/>
        <w:widowControl w:val="0"/>
        <w:wordWrap/>
        <w:topLinePunct w:val="0"/>
        <w:bidi w:val="0"/>
        <w:spacing w:line="380" w:lineRule="exact"/>
        <w:ind w:firstLine="411" w:firstLineChars="196"/>
        <w:rPr>
          <w:rFonts w:ascii="宋体" w:hAnsi="宋体" w:cs="宋体"/>
          <w:color w:val="auto"/>
          <w:szCs w:val="21"/>
          <w:highlight w:val="none"/>
        </w:rPr>
      </w:pPr>
      <w:r>
        <w:rPr>
          <w:rFonts w:hint="eastAsia" w:ascii="宋体" w:hAnsi="宋体" w:cs="宋体"/>
          <w:color w:val="auto"/>
          <w:szCs w:val="21"/>
          <w:highlight w:val="none"/>
        </w:rPr>
        <w:t>10.3.1 国有投资项目：</w:t>
      </w:r>
    </w:p>
    <w:p w14:paraId="72FFCC06">
      <w:pPr>
        <w:pStyle w:val="21"/>
        <w:keepNext w:val="0"/>
        <w:keepLines w:val="0"/>
        <w:pageBreakBefore w:val="0"/>
        <w:widowControl w:val="0"/>
        <w:wordWrap/>
        <w:topLinePunct w:val="0"/>
        <w:bidi w:val="0"/>
        <w:spacing w:line="380" w:lineRule="exact"/>
        <w:ind w:firstLine="411" w:firstLineChars="196"/>
        <w:rPr>
          <w:rFonts w:ascii="宋体" w:hAnsi="宋体" w:cs="宋体"/>
          <w:color w:val="auto"/>
          <w:szCs w:val="21"/>
          <w:highlight w:val="none"/>
        </w:rPr>
      </w:pPr>
      <w:r>
        <w:rPr>
          <w:rFonts w:hint="eastAsia" w:ascii="宋体" w:hAnsi="宋体" w:cs="宋体"/>
          <w:color w:val="auto"/>
          <w:szCs w:val="21"/>
          <w:highlight w:val="none"/>
        </w:rPr>
        <w:t>⑴设计变更和工程签证，按各市政府或相关部门的规定办理。属不可抗力（自然灾害、突发事件等）造成变更的，按特事特办原则予以办理。</w:t>
      </w:r>
    </w:p>
    <w:p w14:paraId="6F3583C3">
      <w:pPr>
        <w:pStyle w:val="21"/>
        <w:keepNext w:val="0"/>
        <w:keepLines w:val="0"/>
        <w:pageBreakBefore w:val="0"/>
        <w:widowControl w:val="0"/>
        <w:wordWrap/>
        <w:topLinePunct w:val="0"/>
        <w:bidi w:val="0"/>
        <w:spacing w:line="380" w:lineRule="exact"/>
        <w:ind w:firstLine="411" w:firstLineChars="196"/>
        <w:rPr>
          <w:rFonts w:ascii="宋体" w:hAnsi="宋体" w:cs="宋体"/>
          <w:color w:val="auto"/>
          <w:szCs w:val="21"/>
          <w:highlight w:val="none"/>
        </w:rPr>
      </w:pPr>
      <w:r>
        <w:rPr>
          <w:rFonts w:hint="eastAsia" w:ascii="宋体" w:hAnsi="宋体" w:cs="宋体"/>
          <w:color w:val="auto"/>
          <w:szCs w:val="21"/>
          <w:highlight w:val="none"/>
        </w:rPr>
        <w:t>⑵发包人在实施项目过程中，若发生单价变动，由发包人、监理单位、承包人及其他相关单位共同商定并签字确认。</w:t>
      </w:r>
    </w:p>
    <w:p w14:paraId="28B08649">
      <w:pPr>
        <w:pStyle w:val="21"/>
        <w:keepNext w:val="0"/>
        <w:keepLines w:val="0"/>
        <w:pageBreakBefore w:val="0"/>
        <w:widowControl w:val="0"/>
        <w:wordWrap/>
        <w:topLinePunct w:val="0"/>
        <w:bidi w:val="0"/>
        <w:spacing w:line="380" w:lineRule="exact"/>
        <w:ind w:firstLine="411" w:firstLineChars="196"/>
        <w:rPr>
          <w:rFonts w:ascii="宋体" w:hAnsi="宋体" w:cs="宋体"/>
          <w:color w:val="auto"/>
          <w:szCs w:val="21"/>
          <w:highlight w:val="none"/>
        </w:rPr>
      </w:pPr>
      <w:r>
        <w:rPr>
          <w:rFonts w:hint="eastAsia" w:ascii="宋体" w:hAnsi="宋体" w:cs="宋体"/>
          <w:color w:val="auto"/>
          <w:szCs w:val="21"/>
          <w:highlight w:val="none"/>
        </w:rPr>
        <w:t>⑶ 当合同规定的合同价款调整情况发生后，承包人未在规定时间内通知发包人，或者未在规定时间内提出调整报告，发包人可以根据有关资料，决定是否调整和调整的金额，并书面通知承包人。</w:t>
      </w:r>
    </w:p>
    <w:p w14:paraId="6B0E8C56">
      <w:pPr>
        <w:pStyle w:val="21"/>
        <w:keepNext w:val="0"/>
        <w:keepLines w:val="0"/>
        <w:pageBreakBefore w:val="0"/>
        <w:widowControl w:val="0"/>
        <w:wordWrap/>
        <w:topLinePunct w:val="0"/>
        <w:bidi w:val="0"/>
        <w:spacing w:line="380" w:lineRule="exact"/>
        <w:ind w:firstLine="411" w:firstLineChars="196"/>
        <w:rPr>
          <w:rFonts w:ascii="宋体" w:hAnsi="宋体" w:cs="宋体"/>
          <w:color w:val="auto"/>
          <w:szCs w:val="21"/>
          <w:highlight w:val="none"/>
        </w:rPr>
      </w:pPr>
      <w:r>
        <w:rPr>
          <w:rFonts w:hint="eastAsia" w:ascii="宋体" w:hAnsi="宋体" w:cs="宋体"/>
          <w:color w:val="auto"/>
          <w:szCs w:val="21"/>
          <w:highlight w:val="none"/>
        </w:rPr>
        <w:t>10.3.2 非国有投资项目：</w:t>
      </w:r>
      <w:r>
        <w:rPr>
          <w:rFonts w:hint="eastAsia" w:ascii="宋体" w:hAnsi="宋体" w:cs="宋体"/>
          <w:color w:val="auto"/>
          <w:szCs w:val="21"/>
          <w:highlight w:val="none"/>
          <w:u w:val="single"/>
        </w:rPr>
        <w:t xml:space="preserve"> 同通用条款。</w:t>
      </w:r>
    </w:p>
    <w:p w14:paraId="295ACAA3">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121" w:name="_Toc418751839"/>
      <w:bookmarkStart w:id="1122" w:name="_Toc389065308"/>
      <w:bookmarkStart w:id="1123" w:name="_Toc418518389"/>
      <w:bookmarkStart w:id="1124" w:name="_Toc497746824"/>
      <w:bookmarkStart w:id="1125" w:name="_Toc418752285"/>
      <w:bookmarkStart w:id="1126" w:name="_Toc373227742"/>
      <w:bookmarkStart w:id="1127" w:name="_Toc22425"/>
      <w:bookmarkStart w:id="1128" w:name="_Toc497747221"/>
      <w:bookmarkStart w:id="1129" w:name="_Toc373478389"/>
      <w:bookmarkStart w:id="1130" w:name="_Toc418518153"/>
      <w:bookmarkStart w:id="1131" w:name="_Toc522201770"/>
      <w:bookmarkStart w:id="1132" w:name="_Toc256000221"/>
      <w:bookmarkStart w:id="1133" w:name="_Toc418061354"/>
      <w:bookmarkStart w:id="1134" w:name="_Toc403578977"/>
      <w:r>
        <w:rPr>
          <w:rFonts w:hint="eastAsia" w:ascii="宋体" w:cs="宋体"/>
          <w:color w:val="auto"/>
          <w:highlight w:val="none"/>
        </w:rPr>
        <w:t>10.4 变更估价</w:t>
      </w:r>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p>
    <w:p w14:paraId="7E3E7CA6">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10.4.1 变更估价原则</w:t>
      </w:r>
    </w:p>
    <w:p w14:paraId="15A104EF">
      <w:pPr>
        <w:pStyle w:val="21"/>
        <w:keepNext w:val="0"/>
        <w:keepLines w:val="0"/>
        <w:pageBreakBefore w:val="0"/>
        <w:widowControl w:val="0"/>
        <w:wordWrap/>
        <w:topLinePunct w:val="0"/>
        <w:bidi w:val="0"/>
        <w:spacing w:line="380" w:lineRule="exact"/>
        <w:ind w:firstLine="426"/>
        <w:rPr>
          <w:rFonts w:ascii="宋体" w:hAnsi="宋体" w:cs="宋体"/>
          <w:color w:val="auto"/>
          <w:szCs w:val="21"/>
          <w:highlight w:val="none"/>
          <w:u w:val="single"/>
        </w:rPr>
      </w:pPr>
      <w:r>
        <w:rPr>
          <w:rFonts w:hint="eastAsia" w:ascii="宋体" w:hAnsi="宋体" w:cs="宋体"/>
          <w:color w:val="auto"/>
          <w:szCs w:val="21"/>
          <w:highlight w:val="none"/>
        </w:rPr>
        <w:t>关于变更估价的约定</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（1</w:t>
      </w:r>
      <w:r>
        <w:rPr>
          <w:rFonts w:hint="eastAsia" w:ascii="宋体" w:hAnsi="宋体" w:cs="宋体"/>
          <w:color w:val="auto"/>
          <w:szCs w:val="21"/>
          <w:highlight w:val="none"/>
          <w:u w:val="single"/>
          <w:lang w:eastAsia="zh-CN"/>
        </w:rPr>
        <w:t>）投标报价（磋商报价）</w:t>
      </w:r>
      <w:r>
        <w:rPr>
          <w:rFonts w:hint="eastAsia" w:ascii="宋体" w:hAnsi="宋体" w:cs="宋体"/>
          <w:color w:val="auto"/>
          <w:szCs w:val="21"/>
          <w:highlight w:val="none"/>
          <w:u w:val="single"/>
        </w:rPr>
        <w:t>中已有适用于变更工程的综合单价，按已有的综合单价；（2</w:t>
      </w:r>
      <w:r>
        <w:rPr>
          <w:rFonts w:hint="eastAsia" w:ascii="宋体" w:hAnsi="宋体" w:cs="宋体"/>
          <w:color w:val="auto"/>
          <w:szCs w:val="21"/>
          <w:highlight w:val="none"/>
          <w:u w:val="single"/>
          <w:lang w:eastAsia="zh-CN"/>
        </w:rPr>
        <w:t>）投标报价（磋商报价）</w:t>
      </w:r>
      <w:r>
        <w:rPr>
          <w:rFonts w:hint="eastAsia" w:ascii="宋体" w:hAnsi="宋体" w:cs="宋体"/>
          <w:color w:val="auto"/>
          <w:szCs w:val="21"/>
          <w:highlight w:val="none"/>
          <w:u w:val="single"/>
        </w:rPr>
        <w:t>中有类似变更工程的综合单价，可参照</w:t>
      </w:r>
      <w:r>
        <w:rPr>
          <w:rFonts w:hint="eastAsia" w:ascii="宋体" w:hAnsi="宋体" w:cs="宋体"/>
          <w:color w:val="auto"/>
          <w:szCs w:val="21"/>
          <w:highlight w:val="none"/>
          <w:u w:val="single"/>
          <w:lang w:eastAsia="zh-CN"/>
        </w:rPr>
        <w:t>投标报价（磋商报价）</w:t>
      </w:r>
      <w:r>
        <w:rPr>
          <w:rFonts w:hint="eastAsia" w:ascii="宋体" w:hAnsi="宋体" w:cs="宋体"/>
          <w:color w:val="auto"/>
          <w:szCs w:val="21"/>
          <w:highlight w:val="none"/>
          <w:u w:val="single"/>
        </w:rPr>
        <w:t>中类似的综合单价确定；（3</w:t>
      </w:r>
      <w:r>
        <w:rPr>
          <w:rFonts w:hint="eastAsia" w:ascii="宋体" w:hAnsi="宋体" w:cs="宋体"/>
          <w:color w:val="auto"/>
          <w:szCs w:val="21"/>
          <w:highlight w:val="none"/>
          <w:u w:val="single"/>
          <w:lang w:eastAsia="zh-CN"/>
        </w:rPr>
        <w:t>）投标报价（磋商报价）</w:t>
      </w:r>
      <w:r>
        <w:rPr>
          <w:rFonts w:ascii="宋体" w:hAnsi="宋体" w:cs="宋体"/>
          <w:color w:val="auto"/>
          <w:szCs w:val="21"/>
          <w:highlight w:val="none"/>
          <w:u w:val="single"/>
        </w:rPr>
        <w:t>中没有适用或类似于变更工程的综合单价，则有定额的套用定额计算，执行本工程编制招标控制价的参考依据，其中材料价格有信息价的按合同该新增子项实施期间《桂林市建设工程造价信息》</w:t>
      </w:r>
      <w:r>
        <w:rPr>
          <w:rFonts w:hint="eastAsia" w:ascii="宋体" w:hAnsi="宋体" w:cs="宋体"/>
          <w:color w:val="auto"/>
          <w:szCs w:val="21"/>
          <w:highlight w:val="none"/>
          <w:u w:val="single"/>
          <w:lang w:val="en-US" w:eastAsia="zh-CN"/>
        </w:rPr>
        <w:t>灌阳县</w:t>
      </w:r>
      <w:r>
        <w:rPr>
          <w:rFonts w:ascii="宋体" w:hAnsi="宋体" w:cs="宋体"/>
          <w:color w:val="auto"/>
          <w:szCs w:val="21"/>
          <w:highlight w:val="none"/>
          <w:u w:val="single"/>
        </w:rPr>
        <w:t>中的平均价计取（信息价无相关信息的参照信息价中桂林市的平均价），无信息价时按市场价格共同协商初步确定；此类工程结算综合单价=按现行定额计算（管理费、利润取中值）的综合单价×中标下浮系数（中标人的</w:t>
      </w:r>
      <w:r>
        <w:rPr>
          <w:rFonts w:hint="eastAsia" w:ascii="宋体" w:hAnsi="宋体" w:cs="宋体"/>
          <w:color w:val="auto"/>
          <w:szCs w:val="21"/>
          <w:highlight w:val="none"/>
          <w:u w:val="single"/>
          <w:lang w:eastAsia="zh-CN"/>
        </w:rPr>
        <w:t>投标报价（磋商报价）</w:t>
      </w:r>
      <w:r>
        <w:rPr>
          <w:rFonts w:ascii="宋体" w:hAnsi="宋体" w:cs="宋体"/>
          <w:color w:val="auto"/>
          <w:szCs w:val="21"/>
          <w:highlight w:val="none"/>
          <w:u w:val="single"/>
        </w:rPr>
        <w:t>÷经财政部门审核后的预算价），新增项目无定额可套用时，由发包人、承包人及监理三方共同协商初步确定，最终以</w:t>
      </w:r>
      <w:r>
        <w:rPr>
          <w:rFonts w:hint="eastAsia" w:ascii="宋体" w:hAnsi="宋体" w:cs="宋体"/>
          <w:color w:val="auto"/>
          <w:szCs w:val="21"/>
          <w:highlight w:val="none"/>
          <w:u w:val="single"/>
          <w:lang w:val="en-US" w:eastAsia="zh-CN"/>
        </w:rPr>
        <w:t>县</w:t>
      </w:r>
      <w:r>
        <w:rPr>
          <w:rFonts w:hint="eastAsia" w:ascii="宋体" w:hAnsi="宋体" w:cs="宋体"/>
          <w:color w:val="auto"/>
          <w:szCs w:val="21"/>
          <w:highlight w:val="none"/>
          <w:u w:val="single"/>
          <w:lang w:eastAsia="zh-CN"/>
        </w:rPr>
        <w:t>财政局</w:t>
      </w:r>
      <w:r>
        <w:rPr>
          <w:rFonts w:ascii="宋体" w:hAnsi="宋体" w:cs="宋体"/>
          <w:color w:val="auto"/>
          <w:szCs w:val="21"/>
          <w:highlight w:val="none"/>
          <w:u w:val="single"/>
        </w:rPr>
        <w:t>审定或审计单位审定</w:t>
      </w:r>
      <w:r>
        <w:rPr>
          <w:rFonts w:hint="eastAsia" w:ascii="宋体" w:hAnsi="宋体" w:cs="宋体"/>
          <w:color w:val="auto"/>
          <w:szCs w:val="21"/>
          <w:highlight w:val="none"/>
          <w:u w:val="single"/>
        </w:rPr>
        <w:t>并经发包人及承包人双方确认的金额</w:t>
      </w:r>
      <w:r>
        <w:rPr>
          <w:rFonts w:ascii="宋体" w:hAnsi="宋体" w:cs="宋体"/>
          <w:color w:val="auto"/>
          <w:szCs w:val="21"/>
          <w:highlight w:val="none"/>
          <w:u w:val="single"/>
        </w:rPr>
        <w:t>为准</w:t>
      </w:r>
      <w:r>
        <w:rPr>
          <w:rFonts w:hint="eastAsia" w:ascii="宋体" w:hAnsi="宋体" w:cs="宋体"/>
          <w:color w:val="auto"/>
          <w:szCs w:val="21"/>
          <w:highlight w:val="none"/>
          <w:u w:val="single"/>
        </w:rPr>
        <w:t>。（4）</w:t>
      </w:r>
      <w:r>
        <w:rPr>
          <w:rFonts w:ascii="宋体" w:hAnsi="宋体" w:cs="宋体"/>
          <w:color w:val="auto"/>
          <w:szCs w:val="21"/>
          <w:highlight w:val="none"/>
          <w:u w:val="single"/>
        </w:rPr>
        <w:t>若发包人和监理人认为有关的工作不能以实物工程量的方法计算及估值时，则按以下的方法计算：若工程量清单中有计日工价目表，则以计日工价目表中相应的项目计价；若计日工作价目表中无类似项目，则按三方协商的价格估值。附带条件为，承包人须提交每天用于该项工作的时间的记录、相关工人的姓名及经发包人、监理人复核的所用物料的清单。上述数据须于该项工作执行后的一星期内提交给发包人及监理人</w:t>
      </w:r>
      <w:r>
        <w:rPr>
          <w:rFonts w:hint="eastAsia" w:ascii="宋体" w:hAnsi="宋体" w:cs="宋体"/>
          <w:color w:val="auto"/>
          <w:szCs w:val="21"/>
          <w:highlight w:val="none"/>
          <w:u w:val="single"/>
        </w:rPr>
        <w:t>。（5）暂定价调整方法为：暂定材料价格部分仅调整合同实施期间材料市场价与暂定价之间的材差并计相应的规费和增值税，</w:t>
      </w:r>
      <w:r>
        <w:rPr>
          <w:rFonts w:hint="eastAsia" w:ascii="宋体" w:hAnsi="宋体" w:cs="宋体"/>
          <w:color w:val="auto"/>
          <w:szCs w:val="21"/>
          <w:highlight w:val="none"/>
          <w:u w:val="single"/>
          <w:lang w:eastAsia="zh-CN"/>
        </w:rPr>
        <w:t>投标书（响应文件）</w:t>
      </w:r>
      <w:r>
        <w:rPr>
          <w:rFonts w:hint="eastAsia" w:ascii="宋体" w:hAnsi="宋体" w:cs="宋体"/>
          <w:color w:val="auto"/>
          <w:szCs w:val="21"/>
          <w:highlight w:val="none"/>
          <w:u w:val="single"/>
        </w:rPr>
        <w:t>中相应的综合单价不再调整。专业工程暂估价的确定方法：由承包人申报单价，发包人组织监理人、造价审核机构共同询价确定。如发包人认为材料暂估价及专业工程暂估价需要进行市场询价的，应以询价小组（询价小组由发包人、承包人、监理人组成）调查确认的单价为准。（6）无约定的参照我区现行《建设工程工程量清单计价规范》及配套定额相关规定执行。（7）本工程最终结算以</w:t>
      </w:r>
      <w:r>
        <w:rPr>
          <w:rFonts w:hint="eastAsia" w:ascii="宋体" w:hAnsi="宋体" w:cs="宋体"/>
          <w:color w:val="auto"/>
          <w:szCs w:val="21"/>
          <w:highlight w:val="none"/>
          <w:u w:val="single"/>
          <w:lang w:val="en-US" w:eastAsia="zh-CN"/>
        </w:rPr>
        <w:t>县</w:t>
      </w:r>
      <w:r>
        <w:rPr>
          <w:rFonts w:hint="eastAsia" w:ascii="宋体" w:hAnsi="宋体" w:cs="宋体"/>
          <w:color w:val="auto"/>
          <w:szCs w:val="21"/>
          <w:highlight w:val="none"/>
          <w:u w:val="single"/>
          <w:lang w:eastAsia="zh-CN"/>
        </w:rPr>
        <w:t>财政局</w:t>
      </w:r>
      <w:r>
        <w:rPr>
          <w:rFonts w:hint="eastAsia" w:ascii="宋体" w:hAnsi="宋体" w:cs="宋体"/>
          <w:color w:val="auto"/>
          <w:szCs w:val="21"/>
          <w:highlight w:val="none"/>
          <w:u w:val="single"/>
        </w:rPr>
        <w:t>或发包人委托的造价咨询机构审定并经发包人及承包人双方确认的金额为准。</w:t>
      </w:r>
    </w:p>
    <w:p w14:paraId="62439E73">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135" w:name="_Toc389065309"/>
      <w:bookmarkStart w:id="1136" w:name="_Toc418061355"/>
      <w:bookmarkStart w:id="1137" w:name="_Toc497746825"/>
      <w:bookmarkStart w:id="1138" w:name="_Toc13259"/>
      <w:bookmarkStart w:id="1139" w:name="_Toc373478390"/>
      <w:bookmarkStart w:id="1140" w:name="_Toc418518154"/>
      <w:bookmarkStart w:id="1141" w:name="_Toc256000222"/>
      <w:bookmarkStart w:id="1142" w:name="_Toc522201771"/>
      <w:bookmarkStart w:id="1143" w:name="_Toc403578978"/>
      <w:bookmarkStart w:id="1144" w:name="_Toc497747222"/>
      <w:bookmarkStart w:id="1145" w:name="_Toc418751840"/>
      <w:bookmarkStart w:id="1146" w:name="_Toc373227743"/>
      <w:bookmarkStart w:id="1147" w:name="_Toc418518390"/>
      <w:bookmarkStart w:id="1148" w:name="_Toc418752286"/>
      <w:r>
        <w:rPr>
          <w:rFonts w:hint="eastAsia" w:ascii="宋体" w:cs="宋体"/>
          <w:color w:val="auto"/>
          <w:highlight w:val="none"/>
        </w:rPr>
        <w:t>1</w:t>
      </w:r>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Start w:id="1149" w:name="_Toc296891025"/>
      <w:bookmarkStart w:id="1150" w:name="_Toc300934993"/>
      <w:bookmarkStart w:id="1151" w:name="_Toc296346698"/>
      <w:bookmarkStart w:id="1152" w:name="_Toc297120497"/>
      <w:bookmarkStart w:id="1153" w:name="_Toc296891237"/>
      <w:bookmarkStart w:id="1154" w:name="_Toc292559402"/>
      <w:bookmarkStart w:id="1155" w:name="_Toc296347196"/>
      <w:bookmarkStart w:id="1156" w:name="_Toc292559907"/>
      <w:bookmarkStart w:id="1157" w:name="_Toc303539150"/>
      <w:bookmarkStart w:id="1158" w:name="_Toc297123544"/>
      <w:bookmarkStart w:id="1159" w:name="_Toc296944536"/>
      <w:bookmarkStart w:id="1160" w:name="_Toc296503197"/>
      <w:bookmarkStart w:id="1161" w:name="_Toc297216203"/>
      <w:bookmarkStart w:id="1162" w:name="_Toc297048383"/>
      <w:bookmarkStart w:id="1163" w:name="_Toc312677503"/>
      <w:bookmarkStart w:id="1164" w:name="_Toc312678029"/>
      <w:bookmarkStart w:id="1165" w:name="_Toc304295570"/>
      <w:r>
        <w:rPr>
          <w:rFonts w:hint="eastAsia" w:ascii="宋体" w:cs="宋体"/>
          <w:color w:val="auto"/>
          <w:highlight w:val="none"/>
        </w:rPr>
        <w:t>0.5 承</w:t>
      </w:r>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Start w:id="1166" w:name="_Toc292559913"/>
      <w:bookmarkStart w:id="1167" w:name="_Toc296944542"/>
      <w:bookmarkStart w:id="1168" w:name="_Toc296891031"/>
      <w:bookmarkStart w:id="1169" w:name="_Toc297120503"/>
      <w:bookmarkStart w:id="1170" w:name="_Toc296891243"/>
      <w:bookmarkStart w:id="1171" w:name="_Toc297048389"/>
      <w:bookmarkStart w:id="1172" w:name="_Toc296347202"/>
      <w:bookmarkStart w:id="1173" w:name="_Toc300934994"/>
      <w:bookmarkStart w:id="1174" w:name="_Toc303539151"/>
      <w:bookmarkStart w:id="1175" w:name="_Toc296503203"/>
      <w:bookmarkStart w:id="1176" w:name="_Toc292559408"/>
      <w:bookmarkStart w:id="1177" w:name="_Toc297123545"/>
      <w:bookmarkStart w:id="1178" w:name="_Toc296346704"/>
      <w:bookmarkStart w:id="1179" w:name="_Toc297216204"/>
      <w:r>
        <w:rPr>
          <w:rFonts w:hint="eastAsia" w:ascii="宋体" w:cs="宋体"/>
          <w:color w:val="auto"/>
          <w:highlight w:val="none"/>
        </w:rPr>
        <w:t>包人的合理化建议</w:t>
      </w:r>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p>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p w14:paraId="06C3F167">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监理人审查承包人合理化建议的期限：</w:t>
      </w:r>
      <w:r>
        <w:rPr>
          <w:rFonts w:hint="eastAsia" w:ascii="宋体" w:hAnsi="宋体" w:cs="宋体"/>
          <w:color w:val="auto"/>
          <w:szCs w:val="21"/>
          <w:highlight w:val="none"/>
          <w:u w:val="single"/>
        </w:rPr>
        <w:t>监理人应在收到承包人提交的合理化建议后7天内审查完毕并报送发包人，发现其中存在技术上的缺陷，应通知承包人修改</w:t>
      </w:r>
      <w:r>
        <w:rPr>
          <w:rFonts w:hint="eastAsia" w:ascii="宋体" w:hAnsi="宋体" w:cs="宋体"/>
          <w:color w:val="auto"/>
          <w:szCs w:val="21"/>
          <w:highlight w:val="none"/>
        </w:rPr>
        <w:t>。</w:t>
      </w:r>
    </w:p>
    <w:p w14:paraId="291B82B5">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发包人审批承包人合理化建议的期限：</w:t>
      </w:r>
      <w:r>
        <w:rPr>
          <w:rFonts w:hint="eastAsia" w:ascii="宋体" w:hAnsi="宋体" w:cs="宋体"/>
          <w:color w:val="auto"/>
          <w:szCs w:val="21"/>
          <w:highlight w:val="none"/>
          <w:u w:val="single"/>
        </w:rPr>
        <w:t>发包人应在收到监理人报送的合理化建议后7天内审批完毕</w:t>
      </w:r>
      <w:r>
        <w:rPr>
          <w:rFonts w:hint="eastAsia" w:ascii="宋体" w:hAnsi="宋体" w:cs="宋体"/>
          <w:color w:val="auto"/>
          <w:szCs w:val="21"/>
          <w:highlight w:val="none"/>
        </w:rPr>
        <w:t>。</w:t>
      </w:r>
    </w:p>
    <w:p w14:paraId="4404C667">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承</w:t>
      </w:r>
      <w:bookmarkStart w:id="1180" w:name="_Toc318581175"/>
      <w:bookmarkStart w:id="1181" w:name="_Toc312677504"/>
      <w:bookmarkStart w:id="1182" w:name="_Toc297048390"/>
      <w:bookmarkStart w:id="1183" w:name="_Toc297123546"/>
      <w:bookmarkStart w:id="1184" w:name="_Toc300934995"/>
      <w:bookmarkStart w:id="1185" w:name="_Toc303539152"/>
      <w:bookmarkStart w:id="1186" w:name="_Toc296503204"/>
      <w:bookmarkStart w:id="1187" w:name="_Toc312678030"/>
      <w:bookmarkStart w:id="1188" w:name="_Toc296347203"/>
      <w:bookmarkStart w:id="1189" w:name="_Toc297120504"/>
      <w:bookmarkStart w:id="1190" w:name="_Toc292559409"/>
      <w:bookmarkStart w:id="1191" w:name="_Toc296891032"/>
      <w:bookmarkStart w:id="1192" w:name="_Toc296944543"/>
      <w:bookmarkStart w:id="1193" w:name="_Toc292559914"/>
      <w:bookmarkStart w:id="1194" w:name="_Toc296346705"/>
      <w:bookmarkStart w:id="1195" w:name="_Toc304295571"/>
      <w:bookmarkStart w:id="1196" w:name="_Toc297216205"/>
      <w:bookmarkStart w:id="1197" w:name="_Toc296891244"/>
      <w:r>
        <w:rPr>
          <w:rFonts w:hint="eastAsia" w:ascii="宋体" w:hAnsi="宋体" w:cs="宋体"/>
          <w:color w:val="auto"/>
          <w:szCs w:val="21"/>
          <w:highlight w:val="none"/>
        </w:rPr>
        <w:t>包人提出的合理化建议降低了合同价格或者提高了工程经济效益的奖励的方法和金额为：</w:t>
      </w:r>
      <w:r>
        <w:rPr>
          <w:rFonts w:hint="eastAsia" w:ascii="宋体" w:hAnsi="宋体" w:cs="宋体"/>
          <w:color w:val="auto"/>
          <w:szCs w:val="21"/>
          <w:highlight w:val="none"/>
          <w:u w:val="single"/>
        </w:rPr>
        <w:t xml:space="preserve"> 无 </w:t>
      </w:r>
      <w:r>
        <w:rPr>
          <w:rFonts w:hint="eastAsia" w:ascii="宋体" w:hAnsi="宋体" w:cs="宋体"/>
          <w:color w:val="auto"/>
          <w:szCs w:val="21"/>
          <w:highlight w:val="none"/>
        </w:rPr>
        <w:t>。</w:t>
      </w:r>
    </w:p>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p w14:paraId="4DE2A78B">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198" w:name="_Toc497747223"/>
      <w:bookmarkStart w:id="1199" w:name="_Toc389065310"/>
      <w:bookmarkStart w:id="1200" w:name="_Toc418061356"/>
      <w:bookmarkStart w:id="1201" w:name="_Toc373227744"/>
      <w:bookmarkStart w:id="1202" w:name="_Toc418518391"/>
      <w:bookmarkStart w:id="1203" w:name="_Toc5810"/>
      <w:bookmarkStart w:id="1204" w:name="_Toc522201772"/>
      <w:bookmarkStart w:id="1205" w:name="_Toc373478391"/>
      <w:bookmarkStart w:id="1206" w:name="_Toc403578979"/>
      <w:bookmarkStart w:id="1207" w:name="_Toc418751841"/>
      <w:bookmarkStart w:id="1208" w:name="_Toc418518155"/>
      <w:bookmarkStart w:id="1209" w:name="_Toc497746826"/>
      <w:bookmarkStart w:id="1210" w:name="_Toc256000223"/>
      <w:bookmarkStart w:id="1211" w:name="_Toc418752287"/>
      <w:r>
        <w:rPr>
          <w:rFonts w:hint="eastAsia" w:ascii="宋体" w:cs="宋体"/>
          <w:color w:val="auto"/>
          <w:highlight w:val="none"/>
        </w:rPr>
        <w:t>1</w:t>
      </w:r>
      <w:bookmarkStart w:id="1212" w:name="_Toc296503199"/>
      <w:bookmarkStart w:id="1213" w:name="_Toc312678033"/>
      <w:bookmarkStart w:id="1214" w:name="_Toc292559909"/>
      <w:bookmarkStart w:id="1215" w:name="_Toc297123548"/>
      <w:bookmarkStart w:id="1216" w:name="_Toc312677507"/>
      <w:bookmarkStart w:id="1217" w:name="_Toc297216207"/>
      <w:bookmarkStart w:id="1218" w:name="_Toc296891027"/>
      <w:bookmarkStart w:id="1219" w:name="_Toc296346700"/>
      <w:bookmarkStart w:id="1220" w:name="_Toc292559404"/>
      <w:bookmarkStart w:id="1221" w:name="_Toc303539154"/>
      <w:bookmarkStart w:id="1222" w:name="_Toc304295574"/>
      <w:bookmarkStart w:id="1223" w:name="_Toc296347198"/>
      <w:bookmarkStart w:id="1224" w:name="_Toc297120499"/>
      <w:bookmarkStart w:id="1225" w:name="_Toc297048385"/>
      <w:bookmarkStart w:id="1226" w:name="_Toc296944538"/>
      <w:bookmarkStart w:id="1227" w:name="_Toc300934997"/>
      <w:bookmarkStart w:id="1228" w:name="_Toc296891239"/>
      <w:r>
        <w:rPr>
          <w:rFonts w:hint="eastAsia" w:ascii="宋体" w:cs="宋体"/>
          <w:color w:val="auto"/>
          <w:highlight w:val="none"/>
        </w:rPr>
        <w:t>0.7 暂估价</w:t>
      </w:r>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p>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p w14:paraId="703439F5">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rPr>
        <w:t>暂</w:t>
      </w:r>
      <w:bookmarkStart w:id="1229" w:name="_Toc312678034"/>
      <w:bookmarkStart w:id="1230" w:name="_Toc318581176"/>
      <w:bookmarkStart w:id="1231" w:name="_Toc312677508"/>
      <w:r>
        <w:rPr>
          <w:rFonts w:hint="eastAsia" w:ascii="宋体" w:hAnsi="宋体" w:cs="宋体"/>
          <w:color w:val="auto"/>
          <w:kern w:val="0"/>
          <w:szCs w:val="21"/>
          <w:highlight w:val="none"/>
        </w:rPr>
        <w:t>估价材料和工程设备的明细详见已标价工程量清单《</w:t>
      </w:r>
      <w:r>
        <w:rPr>
          <w:rFonts w:hint="eastAsia" w:ascii="宋体" w:hAnsi="宋体" w:cs="宋体"/>
          <w:color w:val="auto"/>
          <w:szCs w:val="21"/>
          <w:highlight w:val="none"/>
        </w:rPr>
        <w:t>材料（工程设备）暂估价格及调整表》</w:t>
      </w:r>
      <w:r>
        <w:rPr>
          <w:rFonts w:hint="eastAsia" w:ascii="宋体" w:hAnsi="宋体" w:cs="宋体"/>
          <w:color w:val="auto"/>
          <w:kern w:val="0"/>
          <w:szCs w:val="21"/>
          <w:highlight w:val="none"/>
        </w:rPr>
        <w:t>（表12-2）和《</w:t>
      </w:r>
      <w:r>
        <w:rPr>
          <w:rFonts w:hint="eastAsia" w:ascii="宋体" w:hAnsi="宋体" w:cs="宋体"/>
          <w:color w:val="auto"/>
          <w:szCs w:val="21"/>
          <w:highlight w:val="none"/>
        </w:rPr>
        <w:t>专业工程暂估价表》（</w:t>
      </w:r>
      <w:r>
        <w:rPr>
          <w:rFonts w:hint="eastAsia" w:ascii="宋体" w:hAnsi="宋体" w:cs="宋体"/>
          <w:color w:val="auto"/>
          <w:kern w:val="0"/>
          <w:szCs w:val="21"/>
          <w:highlight w:val="none"/>
        </w:rPr>
        <w:t>表12-3）。</w:t>
      </w:r>
    </w:p>
    <w:bookmarkEnd w:id="1229"/>
    <w:bookmarkEnd w:id="1230"/>
    <w:bookmarkEnd w:id="1231"/>
    <w:p w14:paraId="787C8947">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w:t>
      </w:r>
      <w:bookmarkStart w:id="1232" w:name="_Toc318581177"/>
      <w:bookmarkStart w:id="1233" w:name="_Toc312678035"/>
      <w:bookmarkStart w:id="1234" w:name="_Toc312677509"/>
      <w:r>
        <w:rPr>
          <w:rFonts w:hint="eastAsia" w:ascii="宋体" w:hAnsi="宋体" w:cs="宋体"/>
          <w:color w:val="auto"/>
          <w:szCs w:val="21"/>
          <w:highlight w:val="none"/>
        </w:rPr>
        <w:t>0.7.1 依法必须招标的暂估价项目</w:t>
      </w:r>
    </w:p>
    <w:bookmarkEnd w:id="1232"/>
    <w:bookmarkEnd w:id="1233"/>
    <w:bookmarkEnd w:id="1234"/>
    <w:p w14:paraId="38371EBF">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对于依法必须招标的暂估价项目的确认和批准采取第</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种方式确定。</w:t>
      </w:r>
    </w:p>
    <w:p w14:paraId="69DB5873">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10.7.2 不属于依法必须招标的暂估价项目</w:t>
      </w:r>
    </w:p>
    <w:p w14:paraId="4B64BD4F">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对于不属于依法必须招标的暂估价项目的确认和批准采取第</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种方式确定。</w:t>
      </w:r>
    </w:p>
    <w:p w14:paraId="23EED785">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szCs w:val="21"/>
          <w:highlight w:val="none"/>
        </w:rPr>
        <w:t>第3种方式：</w:t>
      </w:r>
      <w:r>
        <w:rPr>
          <w:rFonts w:hint="eastAsia" w:ascii="宋体" w:hAnsi="宋体" w:cs="宋体"/>
          <w:color w:val="auto"/>
          <w:kern w:val="0"/>
          <w:szCs w:val="21"/>
          <w:highlight w:val="none"/>
        </w:rPr>
        <w:t>承包人直接实施的暂估价项目</w:t>
      </w:r>
    </w:p>
    <w:p w14:paraId="61A5E43F">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承包人直接实施的暂估价项目的约定：</w:t>
      </w:r>
      <w:r>
        <w:rPr>
          <w:rFonts w:hint="eastAsia" w:ascii="宋体" w:hAnsi="宋体" w:cs="宋体"/>
          <w:color w:val="auto"/>
          <w:szCs w:val="21"/>
          <w:highlight w:val="none"/>
          <w:u w:val="single"/>
        </w:rPr>
        <w:t xml:space="preserve"> 无 </w:t>
      </w:r>
      <w:r>
        <w:rPr>
          <w:rFonts w:hint="eastAsia" w:ascii="宋体" w:hAnsi="宋体" w:cs="宋体"/>
          <w:color w:val="auto"/>
          <w:szCs w:val="21"/>
          <w:highlight w:val="none"/>
        </w:rPr>
        <w:t>。</w:t>
      </w:r>
    </w:p>
    <w:p w14:paraId="5D5235C5">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235" w:name="_Toc418061357"/>
      <w:bookmarkStart w:id="1236" w:name="_Toc418518156"/>
      <w:bookmarkStart w:id="1237" w:name="_Toc418751842"/>
      <w:bookmarkStart w:id="1238" w:name="_Toc373478392"/>
      <w:bookmarkStart w:id="1239" w:name="_Toc418518392"/>
      <w:bookmarkStart w:id="1240" w:name="_Toc9852"/>
      <w:bookmarkStart w:id="1241" w:name="_Toc418752288"/>
      <w:bookmarkStart w:id="1242" w:name="_Toc497747224"/>
      <w:bookmarkStart w:id="1243" w:name="_Toc389065311"/>
      <w:bookmarkStart w:id="1244" w:name="_Toc373227745"/>
      <w:bookmarkStart w:id="1245" w:name="_Toc522201773"/>
      <w:bookmarkStart w:id="1246" w:name="_Toc497746827"/>
      <w:bookmarkStart w:id="1247" w:name="_Toc256000224"/>
      <w:bookmarkStart w:id="1248" w:name="_Toc403578980"/>
      <w:r>
        <w:rPr>
          <w:rFonts w:hint="eastAsia" w:ascii="宋体" w:cs="宋体"/>
          <w:color w:val="auto"/>
          <w:highlight w:val="none"/>
        </w:rPr>
        <w:t>10.8 暂列金额</w:t>
      </w:r>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p>
    <w:p w14:paraId="2A090623">
      <w:pPr>
        <w:pStyle w:val="21"/>
        <w:keepNext w:val="0"/>
        <w:keepLines w:val="0"/>
        <w:pageBreakBefore w:val="0"/>
        <w:widowControl w:val="0"/>
        <w:wordWrap/>
        <w:topLinePunct w:val="0"/>
        <w:autoSpaceDE w:val="0"/>
        <w:autoSpaceDN w:val="0"/>
        <w:bidi w:val="0"/>
        <w:adjustRightInd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rPr>
        <w:t>合同当事人关于暂列金额使用的约定：</w:t>
      </w:r>
      <w:r>
        <w:rPr>
          <w:rFonts w:hint="eastAsia" w:ascii="宋体" w:hAnsi="宋体" w:cs="宋体"/>
          <w:color w:val="auto"/>
          <w:szCs w:val="21"/>
          <w:highlight w:val="none"/>
          <w:u w:val="single"/>
        </w:rPr>
        <w:t xml:space="preserve">（1）已签约合同价中的暂列金额由发包人掌握使用。（2）发包人按照规定所作支付后，暂列金额如有余额归发包人 </w:t>
      </w:r>
      <w:r>
        <w:rPr>
          <w:rFonts w:hint="eastAsia" w:ascii="宋体" w:hAnsi="宋体" w:cs="宋体"/>
          <w:color w:val="auto"/>
          <w:kern w:val="0"/>
          <w:szCs w:val="21"/>
          <w:highlight w:val="none"/>
        </w:rPr>
        <w:t>。</w:t>
      </w:r>
    </w:p>
    <w:p w14:paraId="4D9FFC23">
      <w:pPr>
        <w:pStyle w:val="46"/>
        <w:keepNext w:val="0"/>
        <w:keepLines w:val="0"/>
        <w:pageBreakBefore w:val="0"/>
        <w:widowControl w:val="0"/>
        <w:wordWrap/>
        <w:topLinePunct w:val="0"/>
        <w:bidi w:val="0"/>
        <w:spacing w:line="380" w:lineRule="exact"/>
        <w:outlineLvl w:val="2"/>
        <w:rPr>
          <w:rFonts w:ascii="宋体" w:cs="宋体"/>
          <w:color w:val="auto"/>
          <w:highlight w:val="none"/>
        </w:rPr>
      </w:pPr>
      <w:bookmarkStart w:id="1249" w:name="_Toc389065312"/>
      <w:bookmarkStart w:id="1250" w:name="_Toc418518393"/>
      <w:bookmarkStart w:id="1251" w:name="_Toc418751843"/>
      <w:bookmarkStart w:id="1252" w:name="_Toc351203643"/>
      <w:bookmarkStart w:id="1253" w:name="_Toc12497"/>
      <w:bookmarkStart w:id="1254" w:name="_Toc497746828"/>
      <w:bookmarkStart w:id="1255" w:name="_Toc522201774"/>
      <w:bookmarkStart w:id="1256" w:name="_Toc403578981"/>
      <w:bookmarkStart w:id="1257" w:name="_Toc373478393"/>
      <w:bookmarkStart w:id="1258" w:name="_Toc256000225"/>
      <w:bookmarkStart w:id="1259" w:name="_Toc497747225"/>
      <w:bookmarkStart w:id="1260" w:name="_Toc418752289"/>
      <w:bookmarkStart w:id="1261" w:name="_Toc373227746"/>
      <w:bookmarkStart w:id="1262" w:name="_Toc418518157"/>
      <w:bookmarkStart w:id="1263" w:name="_Toc418061358"/>
      <w:r>
        <w:rPr>
          <w:rFonts w:hint="eastAsia" w:ascii="宋体" w:cs="宋体"/>
          <w:color w:val="auto"/>
          <w:highlight w:val="none"/>
        </w:rPr>
        <w:t>11</w:t>
      </w:r>
      <w:r>
        <w:rPr>
          <w:rFonts w:hint="eastAsia" w:ascii="宋体" w:hAnsi="宋体" w:eastAsia="宋体" w:cs="宋体"/>
          <w:color w:val="auto"/>
          <w:highlight w:val="none"/>
        </w:rPr>
        <w:t xml:space="preserve">. </w:t>
      </w:r>
      <w:r>
        <w:rPr>
          <w:rFonts w:hint="eastAsia" w:ascii="宋体" w:cs="宋体"/>
          <w:color w:val="auto"/>
          <w:highlight w:val="none"/>
        </w:rPr>
        <w:t>价格调整</w:t>
      </w:r>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p>
    <w:p w14:paraId="76105727">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264" w:name="_Toc256000226"/>
      <w:bookmarkStart w:id="1265" w:name="_Toc31528"/>
      <w:bookmarkStart w:id="1266" w:name="_Toc497747226"/>
      <w:bookmarkStart w:id="1267" w:name="_Toc418752290"/>
      <w:bookmarkStart w:id="1268" w:name="_Toc373478394"/>
      <w:bookmarkStart w:id="1269" w:name="_Toc373227747"/>
      <w:bookmarkStart w:id="1270" w:name="_Toc418751844"/>
      <w:bookmarkStart w:id="1271" w:name="_Toc522201775"/>
      <w:bookmarkStart w:id="1272" w:name="_Toc389065313"/>
      <w:bookmarkStart w:id="1273" w:name="_Toc497746829"/>
      <w:bookmarkStart w:id="1274" w:name="_Toc418518394"/>
      <w:bookmarkStart w:id="1275" w:name="_Toc418061359"/>
      <w:bookmarkStart w:id="1276" w:name="_Toc403578982"/>
      <w:bookmarkStart w:id="1277" w:name="_Toc418518158"/>
      <w:bookmarkStart w:id="1278" w:name="_Toc296891029"/>
      <w:bookmarkStart w:id="1279" w:name="_Toc304295577"/>
      <w:bookmarkStart w:id="1280" w:name="_Toc296944540"/>
      <w:bookmarkStart w:id="1281" w:name="_Toc296346702"/>
      <w:bookmarkStart w:id="1282" w:name="_Toc297120501"/>
      <w:bookmarkStart w:id="1283" w:name="_Toc296891241"/>
      <w:bookmarkStart w:id="1284" w:name="_Toc296347200"/>
      <w:bookmarkStart w:id="1285" w:name="_Toc300935000"/>
      <w:bookmarkStart w:id="1286" w:name="_Toc297048387"/>
      <w:bookmarkStart w:id="1287" w:name="_Toc297123550"/>
      <w:bookmarkStart w:id="1288" w:name="_Toc297216209"/>
      <w:bookmarkStart w:id="1289" w:name="_Toc303539157"/>
      <w:bookmarkStart w:id="1290" w:name="_Toc296503201"/>
      <w:bookmarkStart w:id="1291" w:name="_Toc292559406"/>
      <w:bookmarkStart w:id="1292" w:name="_Toc312678039"/>
      <w:bookmarkStart w:id="1293" w:name="_Toc292559911"/>
      <w:r>
        <w:rPr>
          <w:rFonts w:hint="eastAsia" w:ascii="宋体" w:cs="宋体"/>
          <w:color w:val="auto"/>
          <w:highlight w:val="none"/>
        </w:rPr>
        <w:t>11.1 市场价格波动引起的调整</w:t>
      </w:r>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p>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p w14:paraId="2521B0E6">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rPr>
        <w:t>市场价格波动是否调整合同价格的约定：</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不</w:t>
      </w:r>
      <w:r>
        <w:rPr>
          <w:rFonts w:hint="eastAsia" w:ascii="宋体" w:hAnsi="宋体" w:cs="宋体"/>
          <w:color w:val="auto"/>
          <w:szCs w:val="21"/>
          <w:highlight w:val="none"/>
          <w:u w:val="single"/>
        </w:rPr>
        <w:t xml:space="preserve">调整 </w:t>
      </w:r>
      <w:r>
        <w:rPr>
          <w:rFonts w:hint="eastAsia" w:ascii="宋体" w:hAnsi="宋体" w:cs="宋体"/>
          <w:color w:val="auto"/>
          <w:szCs w:val="21"/>
          <w:highlight w:val="none"/>
        </w:rPr>
        <w:t>。</w:t>
      </w:r>
    </w:p>
    <w:p w14:paraId="75E14A05">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因市场价格波动调整合同价格，采用以下第</w:t>
      </w:r>
      <w:r>
        <w:rPr>
          <w:rFonts w:hint="eastAsia" w:ascii="宋体" w:hAnsi="宋体" w:cs="宋体"/>
          <w:color w:val="auto"/>
          <w:szCs w:val="21"/>
          <w:highlight w:val="none"/>
          <w:u w:val="single"/>
          <w:lang w:val="en-US" w:eastAsia="zh-CN"/>
        </w:rPr>
        <w:t xml:space="preserve"> / </w:t>
      </w:r>
      <w:r>
        <w:rPr>
          <w:rFonts w:hint="eastAsia" w:ascii="宋体" w:hAnsi="宋体" w:cs="宋体"/>
          <w:color w:val="auto"/>
          <w:szCs w:val="21"/>
          <w:highlight w:val="none"/>
        </w:rPr>
        <w:t>种方式对合同价格进行调整：</w:t>
      </w:r>
    </w:p>
    <w:p w14:paraId="43768924">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第1种方式：采用价格指数进行价格调整。</w:t>
      </w:r>
    </w:p>
    <w:p w14:paraId="002D410A">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关于各可调因子、定值和变值权重，以及基本价格指数及其来源的约定：</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 xml:space="preserve">；  </w:t>
      </w:r>
    </w:p>
    <w:p w14:paraId="0B5FF3C8">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第2种方式：采用造价信息进行价格调整。</w:t>
      </w:r>
    </w:p>
    <w:p w14:paraId="21D69FDF">
      <w:pPr>
        <w:pStyle w:val="21"/>
        <w:keepNext w:val="0"/>
        <w:keepLines w:val="0"/>
        <w:pageBreakBefore w:val="0"/>
        <w:widowControl w:val="0"/>
        <w:wordWrap/>
        <w:topLinePunct w:val="0"/>
        <w:bidi w:val="0"/>
        <w:spacing w:line="380" w:lineRule="exact"/>
        <w:ind w:firstLine="315" w:firstLineChars="150"/>
        <w:rPr>
          <w:rFonts w:ascii="宋体" w:hAnsi="宋体" w:cs="宋体"/>
          <w:color w:val="auto"/>
          <w:szCs w:val="21"/>
          <w:highlight w:val="none"/>
        </w:rPr>
      </w:pPr>
      <w:r>
        <w:rPr>
          <w:rFonts w:hint="eastAsia" w:ascii="宋体" w:hAnsi="宋体" w:cs="宋体"/>
          <w:color w:val="auto"/>
          <w:szCs w:val="21"/>
          <w:highlight w:val="none"/>
        </w:rPr>
        <w:t xml:space="preserve">（1）关于基准价格的约定： </w:t>
      </w:r>
      <w:r>
        <w:rPr>
          <w:rFonts w:hint="eastAsia" w:ascii="宋体" w:hAnsi="宋体" w:cs="宋体"/>
          <w:color w:val="auto"/>
          <w:szCs w:val="21"/>
          <w:highlight w:val="none"/>
          <w:u w:val="single"/>
        </w:rPr>
        <w:t>按施工期间</w:t>
      </w:r>
      <w:r>
        <w:rPr>
          <w:rFonts w:hint="eastAsia" w:ascii="宋体" w:hAnsi="宋体"/>
          <w:color w:val="auto"/>
          <w:szCs w:val="21"/>
          <w:highlight w:val="none"/>
          <w:u w:val="single"/>
        </w:rPr>
        <w:t>《桂林市建设工程造价信息》</w:t>
      </w:r>
      <w:r>
        <w:rPr>
          <w:rFonts w:hint="eastAsia" w:ascii="宋体" w:hAnsi="宋体"/>
          <w:color w:val="auto"/>
          <w:szCs w:val="21"/>
          <w:highlight w:val="none"/>
          <w:u w:val="single"/>
          <w:lang w:val="en-US" w:eastAsia="zh-CN"/>
        </w:rPr>
        <w:t>中灌阳县的信息价</w:t>
      </w:r>
      <w:r>
        <w:rPr>
          <w:rFonts w:hint="eastAsia" w:ascii="宋体" w:hAnsi="宋体"/>
          <w:color w:val="auto"/>
          <w:szCs w:val="21"/>
          <w:highlight w:val="none"/>
          <w:u w:val="single"/>
        </w:rPr>
        <w:t>。</w:t>
      </w:r>
    </w:p>
    <w:p w14:paraId="4E289259">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szCs w:val="21"/>
          <w:highlight w:val="none"/>
          <w:lang w:eastAsia="zh-CN"/>
        </w:rPr>
        <w:t>投标人（供应商）</w:t>
      </w:r>
      <w:r>
        <w:rPr>
          <w:rFonts w:hint="eastAsia" w:ascii="宋体" w:hAnsi="宋体" w:cs="宋体"/>
          <w:color w:val="auto"/>
          <w:kern w:val="0"/>
          <w:szCs w:val="21"/>
          <w:highlight w:val="none"/>
        </w:rPr>
        <w:t>应根据施工期间材料可能由于市场价格上涨（或下跌）因素自行考虑由此引起的风险并计入</w:t>
      </w:r>
      <w:r>
        <w:rPr>
          <w:rFonts w:hint="eastAsia" w:ascii="宋体" w:hAnsi="宋体" w:cs="宋体"/>
          <w:color w:val="auto"/>
          <w:kern w:val="0"/>
          <w:szCs w:val="21"/>
          <w:highlight w:val="none"/>
          <w:lang w:eastAsia="zh-CN"/>
        </w:rPr>
        <w:t>投标报价（磋商报价）</w:t>
      </w:r>
      <w:r>
        <w:rPr>
          <w:rFonts w:hint="eastAsia" w:ascii="宋体" w:hAnsi="宋体" w:cs="宋体"/>
          <w:color w:val="auto"/>
          <w:kern w:val="0"/>
          <w:szCs w:val="21"/>
          <w:highlight w:val="none"/>
        </w:rPr>
        <w:t>中，</w:t>
      </w:r>
      <w:r>
        <w:rPr>
          <w:rFonts w:hint="eastAsia" w:ascii="宋体" w:hAnsi="宋体" w:cs="宋体"/>
          <w:color w:val="auto"/>
          <w:kern w:val="0"/>
          <w:szCs w:val="21"/>
          <w:highlight w:val="none"/>
          <w:lang w:eastAsia="zh-CN"/>
        </w:rPr>
        <w:t>投标人（供应商）</w:t>
      </w:r>
      <w:r>
        <w:rPr>
          <w:rFonts w:hint="eastAsia" w:ascii="宋体" w:hAnsi="宋体" w:cs="宋体"/>
          <w:color w:val="auto"/>
          <w:kern w:val="0"/>
          <w:szCs w:val="21"/>
          <w:highlight w:val="none"/>
        </w:rPr>
        <w:t>应对自己的报价承担风险，除本合同约定的钢筋、水泥、商品混凝土、沥青混凝土、碎石、砂、片石、沥青、管材、石材、土方（含购土与弃土）等项材料价格可做调整外，其余材料价格不作调整。</w:t>
      </w:r>
    </w:p>
    <w:p w14:paraId="62B9ED16">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①承包人在已标价工程量清单或预算书中载明的材料单价低于基准价格的，合同履行期间材料单价涨幅以基准价格为基础超过</w:t>
      </w:r>
      <w:r>
        <w:rPr>
          <w:rFonts w:hint="eastAsia" w:ascii="宋体" w:hAnsi="宋体" w:cs="宋体"/>
          <w:color w:val="auto"/>
          <w:kern w:val="0"/>
          <w:szCs w:val="21"/>
          <w:highlight w:val="none"/>
          <w:lang w:eastAsia="zh-CN"/>
        </w:rPr>
        <w:t>5</w:t>
      </w:r>
      <w:r>
        <w:rPr>
          <w:rFonts w:hint="eastAsia" w:ascii="宋体" w:hAnsi="宋体" w:cs="宋体"/>
          <w:color w:val="auto"/>
          <w:kern w:val="0"/>
          <w:szCs w:val="21"/>
          <w:highlight w:val="none"/>
        </w:rPr>
        <w:t>%时，或材料单价跌幅以已标价工程量清单或预算书中载明材料单价为基础超过</w:t>
      </w:r>
      <w:r>
        <w:rPr>
          <w:rFonts w:hint="eastAsia" w:ascii="宋体" w:hAnsi="宋体" w:cs="宋体"/>
          <w:color w:val="auto"/>
          <w:kern w:val="0"/>
          <w:szCs w:val="21"/>
          <w:highlight w:val="none"/>
          <w:lang w:eastAsia="zh-CN"/>
        </w:rPr>
        <w:t>5</w:t>
      </w:r>
      <w:r>
        <w:rPr>
          <w:rFonts w:hint="eastAsia" w:ascii="宋体" w:hAnsi="宋体" w:cs="宋体"/>
          <w:color w:val="auto"/>
          <w:kern w:val="0"/>
          <w:szCs w:val="21"/>
          <w:highlight w:val="none"/>
        </w:rPr>
        <w:t>%时，其超过部分据实调整。</w:t>
      </w:r>
    </w:p>
    <w:p w14:paraId="397E602F">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②承包人在已标价工程量清单或预算书中载明的材料单价高于基准价格的：专用合同条款合同履行期间材料单价跌幅以基准价格为基础超过</w:t>
      </w:r>
      <w:r>
        <w:rPr>
          <w:rFonts w:hint="eastAsia" w:ascii="宋体" w:hAnsi="宋体" w:cs="宋体"/>
          <w:color w:val="auto"/>
          <w:kern w:val="0"/>
          <w:szCs w:val="21"/>
          <w:highlight w:val="none"/>
          <w:lang w:eastAsia="zh-CN"/>
        </w:rPr>
        <w:t>5</w:t>
      </w:r>
      <w:r>
        <w:rPr>
          <w:rFonts w:hint="eastAsia" w:ascii="宋体" w:hAnsi="宋体" w:cs="宋体"/>
          <w:color w:val="auto"/>
          <w:kern w:val="0"/>
          <w:szCs w:val="21"/>
          <w:highlight w:val="none"/>
        </w:rPr>
        <w:t>%时，材料单价涨幅以已标价工程量清单或预算书中载明材料单价为基础超过</w:t>
      </w:r>
      <w:r>
        <w:rPr>
          <w:rFonts w:hint="eastAsia" w:ascii="宋体" w:hAnsi="宋体" w:cs="宋体"/>
          <w:color w:val="auto"/>
          <w:kern w:val="0"/>
          <w:szCs w:val="21"/>
          <w:highlight w:val="none"/>
          <w:lang w:eastAsia="zh-CN"/>
        </w:rPr>
        <w:t>5</w:t>
      </w:r>
      <w:r>
        <w:rPr>
          <w:rFonts w:hint="eastAsia" w:ascii="宋体" w:hAnsi="宋体" w:cs="宋体"/>
          <w:color w:val="auto"/>
          <w:kern w:val="0"/>
          <w:szCs w:val="21"/>
          <w:highlight w:val="none"/>
        </w:rPr>
        <w:t>%时，其超过部分据实调整。</w:t>
      </w:r>
    </w:p>
    <w:p w14:paraId="6D5E8047">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③承包人在已标价工程量清单或预算书中载明的材料单价等于基准单价的：专用合同条款合同履行期间材料单价涨跌幅以基准单价为基础超过±</w:t>
      </w:r>
      <w:r>
        <w:rPr>
          <w:rFonts w:hint="eastAsia" w:ascii="宋体" w:hAnsi="宋体" w:cs="宋体"/>
          <w:color w:val="auto"/>
          <w:szCs w:val="21"/>
          <w:highlight w:val="none"/>
          <w:lang w:eastAsia="zh-CN"/>
        </w:rPr>
        <w:t>5</w:t>
      </w:r>
      <w:r>
        <w:rPr>
          <w:rFonts w:hint="eastAsia" w:ascii="宋体" w:hAnsi="宋体" w:cs="宋体"/>
          <w:color w:val="auto"/>
          <w:szCs w:val="21"/>
          <w:highlight w:val="none"/>
        </w:rPr>
        <w:t>%时，其超过部分据实调整。</w:t>
      </w:r>
    </w:p>
    <w:p w14:paraId="5102D3E9">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④除专用合同约定的钢筋、水泥、商品混凝土、沥青混凝土、碎石、砂、片石、沥青、管材、石材、土方</w:t>
      </w:r>
      <w:r>
        <w:rPr>
          <w:rFonts w:hint="eastAsia" w:ascii="宋体" w:hAnsi="宋体" w:cs="宋体"/>
          <w:color w:val="auto"/>
          <w:kern w:val="0"/>
          <w:szCs w:val="21"/>
          <w:highlight w:val="none"/>
        </w:rPr>
        <w:t>（含购土与弃土）</w:t>
      </w:r>
      <w:r>
        <w:rPr>
          <w:rFonts w:hint="eastAsia" w:ascii="宋体" w:hAnsi="宋体" w:cs="宋体"/>
          <w:color w:val="auto"/>
          <w:szCs w:val="21"/>
          <w:highlight w:val="none"/>
        </w:rPr>
        <w:t>等项材料外，其余材料价格不做调整。调整方法：钢筋、水泥、商品混凝土、沥青混凝土、碎石、砂、片石、沥青、管材、石材、土方</w:t>
      </w:r>
      <w:r>
        <w:rPr>
          <w:rFonts w:hint="eastAsia" w:ascii="宋体" w:hAnsi="宋体" w:cs="宋体"/>
          <w:color w:val="auto"/>
          <w:kern w:val="0"/>
          <w:szCs w:val="21"/>
          <w:highlight w:val="none"/>
        </w:rPr>
        <w:t>（含购土与弃土）</w:t>
      </w:r>
      <w:r>
        <w:rPr>
          <w:rFonts w:hint="eastAsia" w:ascii="宋体" w:hAnsi="宋体" w:cs="宋体"/>
          <w:color w:val="auto"/>
          <w:szCs w:val="21"/>
          <w:highlight w:val="none"/>
        </w:rPr>
        <w:t>价格超过部分×中标下浮系数（中标人的</w:t>
      </w:r>
      <w:r>
        <w:rPr>
          <w:rFonts w:hint="eastAsia" w:ascii="宋体" w:hAnsi="宋体" w:cs="宋体"/>
          <w:color w:val="auto"/>
          <w:szCs w:val="21"/>
          <w:highlight w:val="none"/>
          <w:lang w:eastAsia="zh-CN"/>
        </w:rPr>
        <w:t>投标报价（磋商报价）</w:t>
      </w:r>
      <w:r>
        <w:rPr>
          <w:rFonts w:hint="eastAsia" w:ascii="宋体" w:hAnsi="宋体" w:cs="宋体"/>
          <w:color w:val="auto"/>
          <w:szCs w:val="21"/>
          <w:highlight w:val="none"/>
        </w:rPr>
        <w:t>÷预算价），该部分费用列入税前独立费。</w:t>
      </w:r>
    </w:p>
    <w:p w14:paraId="55FEB2D3">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在工程施工期间，国家及地区如有新的人工费调整政策文件出台，可按国家及地区相关文件进行人工费调差。</w:t>
      </w:r>
    </w:p>
    <w:p w14:paraId="04960C0F">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szCs w:val="21"/>
          <w:highlight w:val="none"/>
        </w:rPr>
        <w:t>第3种方式：</w:t>
      </w:r>
      <w:r>
        <w:rPr>
          <w:rFonts w:hint="eastAsia" w:ascii="宋体" w:hAnsi="宋体" w:cs="宋体"/>
          <w:color w:val="auto"/>
          <w:szCs w:val="21"/>
          <w:highlight w:val="none"/>
          <w:u w:val="single"/>
        </w:rPr>
        <w:t xml:space="preserve"> 由业主单位、监理单位施工单位面向市场询价，并经三方对暂估价材料价格的确认，确定材料价格。 </w:t>
      </w:r>
    </w:p>
    <w:bookmarkEnd w:id="1076"/>
    <w:bookmarkEnd w:id="1077"/>
    <w:bookmarkEnd w:id="1078"/>
    <w:bookmarkEnd w:id="1079"/>
    <w:bookmarkEnd w:id="1080"/>
    <w:bookmarkEnd w:id="1081"/>
    <w:p w14:paraId="4D6A890C">
      <w:pPr>
        <w:pStyle w:val="46"/>
        <w:keepNext w:val="0"/>
        <w:keepLines w:val="0"/>
        <w:pageBreakBefore w:val="0"/>
        <w:widowControl w:val="0"/>
        <w:wordWrap/>
        <w:topLinePunct w:val="0"/>
        <w:bidi w:val="0"/>
        <w:spacing w:line="380" w:lineRule="exact"/>
        <w:outlineLvl w:val="2"/>
        <w:rPr>
          <w:rFonts w:ascii="宋体" w:cs="宋体"/>
          <w:color w:val="auto"/>
          <w:highlight w:val="none"/>
        </w:rPr>
      </w:pPr>
      <w:bookmarkStart w:id="1294" w:name="_Toc296891033"/>
      <w:bookmarkStart w:id="1295" w:name="_Toc296891245"/>
      <w:bookmarkStart w:id="1296" w:name="_Toc292559915"/>
      <w:bookmarkStart w:id="1297" w:name="_Toc296346706"/>
      <w:bookmarkStart w:id="1298" w:name="_Toc292559410"/>
      <w:bookmarkStart w:id="1299" w:name="_Toc296944544"/>
      <w:bookmarkStart w:id="1300" w:name="_Toc297120505"/>
      <w:bookmarkStart w:id="1301" w:name="_Toc296347204"/>
      <w:bookmarkStart w:id="1302" w:name="_Toc296503205"/>
      <w:bookmarkStart w:id="1303" w:name="_Toc297048391"/>
      <w:bookmarkStart w:id="1304" w:name="_Toc418752291"/>
      <w:bookmarkStart w:id="1305" w:name="_Toc418518395"/>
      <w:bookmarkStart w:id="1306" w:name="_Toc418061360"/>
      <w:bookmarkStart w:id="1307" w:name="_Toc256000227"/>
      <w:bookmarkStart w:id="1308" w:name="_Toc497747227"/>
      <w:bookmarkStart w:id="1309" w:name="_Toc497746830"/>
      <w:bookmarkStart w:id="1310" w:name="_Toc351203644"/>
      <w:bookmarkStart w:id="1311" w:name="_Toc418751845"/>
      <w:bookmarkStart w:id="1312" w:name="_Toc522201776"/>
      <w:bookmarkStart w:id="1313" w:name="_Toc403578983"/>
      <w:bookmarkStart w:id="1314" w:name="_Toc418518159"/>
      <w:bookmarkStart w:id="1315" w:name="_Toc373478395"/>
      <w:bookmarkStart w:id="1316" w:name="_Toc23758"/>
      <w:bookmarkStart w:id="1317" w:name="_Toc373227748"/>
      <w:bookmarkStart w:id="1318" w:name="_Toc300935002"/>
      <w:bookmarkStart w:id="1319" w:name="_Toc312678040"/>
      <w:bookmarkStart w:id="1320" w:name="_Toc297216211"/>
      <w:bookmarkStart w:id="1321" w:name="_Toc297123552"/>
      <w:bookmarkStart w:id="1322" w:name="_Toc303539159"/>
      <w:bookmarkStart w:id="1323" w:name="_Toc304295579"/>
      <w:r>
        <w:rPr>
          <w:rFonts w:hint="eastAsia" w:ascii="宋体" w:cs="宋体"/>
          <w:color w:val="auto"/>
          <w:highlight w:val="none"/>
        </w:rPr>
        <w:t>12</w:t>
      </w:r>
      <w:r>
        <w:rPr>
          <w:rFonts w:hint="eastAsia" w:ascii="宋体" w:hAnsi="宋体" w:eastAsia="宋体" w:cs="宋体"/>
          <w:color w:val="auto"/>
          <w:highlight w:val="none"/>
        </w:rPr>
        <w:t xml:space="preserve">. </w:t>
      </w:r>
      <w:bookmarkEnd w:id="1294"/>
      <w:bookmarkEnd w:id="1295"/>
      <w:bookmarkEnd w:id="1296"/>
      <w:bookmarkEnd w:id="1297"/>
      <w:bookmarkEnd w:id="1298"/>
      <w:bookmarkEnd w:id="1299"/>
      <w:bookmarkEnd w:id="1300"/>
      <w:bookmarkEnd w:id="1301"/>
      <w:bookmarkEnd w:id="1302"/>
      <w:bookmarkEnd w:id="1303"/>
      <w:r>
        <w:rPr>
          <w:rFonts w:hint="eastAsia" w:ascii="宋体" w:cs="宋体"/>
          <w:color w:val="auto"/>
          <w:highlight w:val="none"/>
        </w:rPr>
        <w:t>合同价格、计量与支付</w:t>
      </w:r>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p>
    <w:bookmarkEnd w:id="1318"/>
    <w:bookmarkEnd w:id="1319"/>
    <w:bookmarkEnd w:id="1320"/>
    <w:bookmarkEnd w:id="1321"/>
    <w:bookmarkEnd w:id="1322"/>
    <w:bookmarkEnd w:id="1323"/>
    <w:p w14:paraId="71A83A08">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324" w:name="_Toc267251461"/>
      <w:bookmarkStart w:id="1325" w:name="_Toc292559411"/>
      <w:bookmarkStart w:id="1326" w:name="_Toc292559916"/>
      <w:bookmarkStart w:id="1327" w:name="_Toc296347205"/>
      <w:bookmarkStart w:id="1328" w:name="_Toc296944545"/>
      <w:bookmarkStart w:id="1329" w:name="_Toc297120506"/>
      <w:bookmarkStart w:id="1330" w:name="_Toc296503206"/>
      <w:bookmarkStart w:id="1331" w:name="_Toc296346707"/>
      <w:bookmarkStart w:id="1332" w:name="_Toc297048392"/>
      <w:bookmarkStart w:id="1333" w:name="_Toc296891246"/>
      <w:bookmarkStart w:id="1334" w:name="_Toc296891034"/>
      <w:bookmarkStart w:id="1335" w:name="_Toc497746831"/>
      <w:bookmarkStart w:id="1336" w:name="_Toc522201777"/>
      <w:bookmarkStart w:id="1337" w:name="_Toc418752292"/>
      <w:bookmarkStart w:id="1338" w:name="_Toc418518396"/>
      <w:bookmarkStart w:id="1339" w:name="_Toc497747228"/>
      <w:bookmarkStart w:id="1340" w:name="_Toc389065314"/>
      <w:bookmarkStart w:id="1341" w:name="_Toc418518160"/>
      <w:bookmarkStart w:id="1342" w:name="_Toc403578984"/>
      <w:bookmarkStart w:id="1343" w:name="_Toc418061361"/>
      <w:bookmarkStart w:id="1344" w:name="_Toc373478396"/>
      <w:bookmarkStart w:id="1345" w:name="_Toc256000228"/>
      <w:bookmarkStart w:id="1346" w:name="_Toc373227749"/>
      <w:bookmarkStart w:id="1347" w:name="_Toc16333"/>
      <w:bookmarkStart w:id="1348" w:name="_Toc418751846"/>
      <w:bookmarkStart w:id="1349" w:name="_Toc300935003"/>
      <w:bookmarkStart w:id="1350" w:name="_Toc303539160"/>
      <w:bookmarkStart w:id="1351" w:name="_Toc297216212"/>
      <w:bookmarkStart w:id="1352" w:name="_Toc312678041"/>
      <w:bookmarkStart w:id="1353" w:name="_Toc297123553"/>
      <w:bookmarkStart w:id="1354" w:name="_Toc304295580"/>
      <w:r>
        <w:rPr>
          <w:rFonts w:hint="eastAsia" w:ascii="宋体" w:cs="宋体"/>
          <w:color w:val="auto"/>
          <w:highlight w:val="none"/>
        </w:rPr>
        <w:t>12.1 合</w:t>
      </w:r>
      <w:bookmarkEnd w:id="1324"/>
      <w:bookmarkEnd w:id="1325"/>
      <w:bookmarkEnd w:id="1326"/>
      <w:r>
        <w:rPr>
          <w:rFonts w:hint="eastAsia" w:ascii="宋体" w:cs="宋体"/>
          <w:color w:val="auto"/>
          <w:highlight w:val="none"/>
        </w:rPr>
        <w:t>同价</w:t>
      </w:r>
      <w:bookmarkEnd w:id="1327"/>
      <w:bookmarkEnd w:id="1328"/>
      <w:bookmarkEnd w:id="1329"/>
      <w:bookmarkEnd w:id="1330"/>
      <w:bookmarkEnd w:id="1331"/>
      <w:bookmarkEnd w:id="1332"/>
      <w:bookmarkEnd w:id="1333"/>
      <w:bookmarkEnd w:id="1334"/>
      <w:r>
        <w:rPr>
          <w:rFonts w:hint="eastAsia" w:ascii="宋体" w:cs="宋体"/>
          <w:color w:val="auto"/>
          <w:highlight w:val="none"/>
        </w:rPr>
        <w:t>格形式</w:t>
      </w:r>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p>
    <w:bookmarkEnd w:id="1349"/>
    <w:bookmarkEnd w:id="1350"/>
    <w:bookmarkEnd w:id="1351"/>
    <w:bookmarkEnd w:id="1352"/>
    <w:bookmarkEnd w:id="1353"/>
    <w:bookmarkEnd w:id="1354"/>
    <w:p w14:paraId="7F2F3F6E">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bookmarkStart w:id="1355" w:name="_Toc373478397"/>
      <w:bookmarkStart w:id="1356" w:name="_Toc373227750"/>
      <w:bookmarkStart w:id="1357" w:name="_Toc389065315"/>
      <w:bookmarkStart w:id="1358" w:name="_Toc312678042"/>
      <w:bookmarkStart w:id="1359" w:name="_Toc303539161"/>
      <w:bookmarkStart w:id="1360" w:name="_Toc300935004"/>
      <w:bookmarkStart w:id="1361" w:name="_Toc304295581"/>
      <w:bookmarkStart w:id="1362" w:name="_Toc297216213"/>
      <w:bookmarkStart w:id="1363" w:name="_Toc297123554"/>
      <w:bookmarkStart w:id="1364" w:name="_Toc296891035"/>
      <w:bookmarkStart w:id="1365" w:name="_Toc292559917"/>
      <w:bookmarkStart w:id="1366" w:name="_Toc292559412"/>
      <w:bookmarkStart w:id="1367" w:name="_Toc297048393"/>
      <w:bookmarkStart w:id="1368" w:name="_Toc296944546"/>
      <w:bookmarkStart w:id="1369" w:name="_Toc296347206"/>
      <w:bookmarkStart w:id="1370" w:name="_Toc296891247"/>
      <w:bookmarkStart w:id="1371" w:name="_Toc297120507"/>
      <w:bookmarkStart w:id="1372" w:name="_Toc296346708"/>
      <w:bookmarkStart w:id="1373" w:name="_Toc296503207"/>
      <w:r>
        <w:rPr>
          <w:rFonts w:hint="eastAsia" w:ascii="宋体" w:hAnsi="宋体" w:cs="宋体"/>
          <w:color w:val="auto"/>
          <w:szCs w:val="21"/>
          <w:highlight w:val="none"/>
        </w:rPr>
        <w:t>（1）单价合同。</w:t>
      </w:r>
    </w:p>
    <w:p w14:paraId="4E980F9F">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本合同价款采用</w:t>
      </w:r>
      <w:r>
        <w:rPr>
          <w:rFonts w:hint="eastAsia" w:ascii="宋体" w:hAnsi="宋体" w:cs="宋体"/>
          <w:color w:val="auto"/>
          <w:szCs w:val="21"/>
          <w:highlight w:val="none"/>
          <w:u w:val="single"/>
        </w:rPr>
        <w:t>固定综合单价</w:t>
      </w:r>
      <w:r>
        <w:rPr>
          <w:rFonts w:hint="eastAsia" w:ascii="宋体" w:hAnsi="宋体" w:cs="宋体"/>
          <w:color w:val="auto"/>
          <w:szCs w:val="21"/>
          <w:highlight w:val="none"/>
          <w:u w:val="single"/>
          <w:lang w:eastAsia="zh-CN"/>
        </w:rPr>
        <w:t>，工程量按实计算的方式</w:t>
      </w:r>
      <w:r>
        <w:rPr>
          <w:rFonts w:hint="eastAsia" w:ascii="宋体" w:hAnsi="宋体" w:cs="宋体"/>
          <w:color w:val="auto"/>
          <w:szCs w:val="21"/>
          <w:highlight w:val="none"/>
        </w:rPr>
        <w:t>确定。</w:t>
      </w:r>
    </w:p>
    <w:p w14:paraId="45A283CF">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综合单价包含的风险范围：</w:t>
      </w:r>
      <w:r>
        <w:rPr>
          <w:rFonts w:hint="eastAsia" w:ascii="宋体" w:hAnsi="宋体" w:cs="宋体"/>
          <w:color w:val="auto"/>
          <w:szCs w:val="21"/>
          <w:highlight w:val="none"/>
          <w:u w:val="single"/>
        </w:rPr>
        <w:t>除工程变更、政策性调整、本合同约定的材料、设备价格变动风险以外因素。</w:t>
      </w:r>
    </w:p>
    <w:p w14:paraId="4F28A0CD">
      <w:pPr>
        <w:pStyle w:val="53"/>
        <w:keepNext w:val="0"/>
        <w:keepLines w:val="0"/>
        <w:pageBreakBefore w:val="0"/>
        <w:widowControl w:val="0"/>
        <w:wordWrap/>
        <w:topLinePunct w:val="0"/>
        <w:bidi w:val="0"/>
        <w:spacing w:line="380" w:lineRule="exact"/>
        <w:ind w:firstLine="441" w:firstLineChars="210"/>
        <w:rPr>
          <w:rFonts w:hAnsi="宋体" w:cs="宋体"/>
          <w:color w:val="auto"/>
          <w:szCs w:val="21"/>
          <w:highlight w:val="none"/>
        </w:rPr>
      </w:pPr>
      <w:r>
        <w:rPr>
          <w:rFonts w:hint="eastAsia" w:hAnsi="宋体" w:cs="宋体"/>
          <w:color w:val="auto"/>
          <w:szCs w:val="21"/>
          <w:highlight w:val="none"/>
        </w:rPr>
        <w:t>风险范围以外合同价格的调整方法：</w:t>
      </w:r>
    </w:p>
    <w:p w14:paraId="0783A696">
      <w:pPr>
        <w:pStyle w:val="53"/>
        <w:keepNext w:val="0"/>
        <w:keepLines w:val="0"/>
        <w:pageBreakBefore w:val="0"/>
        <w:widowControl w:val="0"/>
        <w:wordWrap/>
        <w:topLinePunct w:val="0"/>
        <w:bidi w:val="0"/>
        <w:spacing w:line="380" w:lineRule="exact"/>
        <w:ind w:firstLine="441" w:firstLineChars="210"/>
        <w:rPr>
          <w:rFonts w:hAnsi="宋体" w:cs="宋体"/>
          <w:color w:val="auto"/>
          <w:szCs w:val="21"/>
          <w:highlight w:val="none"/>
        </w:rPr>
      </w:pPr>
      <w:r>
        <w:rPr>
          <w:rFonts w:hint="eastAsia" w:hAnsi="宋体" w:cs="宋体"/>
          <w:color w:val="auto"/>
          <w:szCs w:val="21"/>
          <w:highlight w:val="none"/>
        </w:rPr>
        <w:t>①工程变更：按10.4.1变更估价原则的约定调整。</w:t>
      </w:r>
    </w:p>
    <w:p w14:paraId="2B252B35">
      <w:pPr>
        <w:pStyle w:val="53"/>
        <w:keepNext w:val="0"/>
        <w:keepLines w:val="0"/>
        <w:pageBreakBefore w:val="0"/>
        <w:widowControl w:val="0"/>
        <w:wordWrap/>
        <w:topLinePunct w:val="0"/>
        <w:bidi w:val="0"/>
        <w:spacing w:line="380" w:lineRule="exact"/>
        <w:ind w:firstLine="441" w:firstLineChars="210"/>
        <w:rPr>
          <w:rFonts w:hAnsi="宋体" w:cs="宋体"/>
          <w:color w:val="auto"/>
          <w:szCs w:val="21"/>
          <w:highlight w:val="none"/>
        </w:rPr>
      </w:pPr>
      <w:r>
        <w:rPr>
          <w:rFonts w:hint="eastAsia" w:hAnsi="宋体" w:cs="宋体"/>
          <w:color w:val="auto"/>
          <w:szCs w:val="21"/>
          <w:highlight w:val="none"/>
        </w:rPr>
        <w:t>②政策性调整：按自治区建设行政主管部门颁布的文件执行。</w:t>
      </w:r>
    </w:p>
    <w:p w14:paraId="65C4AEFE">
      <w:pPr>
        <w:pStyle w:val="53"/>
        <w:keepNext w:val="0"/>
        <w:keepLines w:val="0"/>
        <w:pageBreakBefore w:val="0"/>
        <w:widowControl w:val="0"/>
        <w:wordWrap/>
        <w:topLinePunct w:val="0"/>
        <w:bidi w:val="0"/>
        <w:spacing w:line="380" w:lineRule="exact"/>
        <w:ind w:firstLine="441" w:firstLineChars="210"/>
        <w:rPr>
          <w:rFonts w:hAnsi="宋体" w:cs="宋体"/>
          <w:color w:val="auto"/>
          <w:szCs w:val="21"/>
          <w:highlight w:val="none"/>
        </w:rPr>
      </w:pPr>
      <w:r>
        <w:rPr>
          <w:rFonts w:hint="eastAsia" w:hAnsi="宋体" w:cs="宋体"/>
          <w:color w:val="auto"/>
          <w:szCs w:val="21"/>
          <w:highlight w:val="none"/>
        </w:rPr>
        <w:t>③材料、设备价格变动风险：按11.1的约定调整。</w:t>
      </w:r>
    </w:p>
    <w:p w14:paraId="3A4B5203">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④其它：</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3ABC8563">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（2）总价合同。</w:t>
      </w:r>
    </w:p>
    <w:p w14:paraId="3C4D9433">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总价包含的风险范围：</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10A34EA5">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风险范围以外合同价格的调整方法：</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0EA0B36F">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（3）其他价格方式：</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3D86CAE4">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374" w:name="_Toc418751847"/>
      <w:bookmarkStart w:id="1375" w:name="_Toc497747229"/>
      <w:bookmarkStart w:id="1376" w:name="_Toc497746832"/>
      <w:bookmarkStart w:id="1377" w:name="_Toc403578985"/>
      <w:bookmarkStart w:id="1378" w:name="_Toc418752293"/>
      <w:bookmarkStart w:id="1379" w:name="_Toc256000229"/>
      <w:bookmarkStart w:id="1380" w:name="_Toc418518161"/>
      <w:bookmarkStart w:id="1381" w:name="_Toc418061362"/>
      <w:bookmarkStart w:id="1382" w:name="_Toc418518397"/>
      <w:bookmarkStart w:id="1383" w:name="_Toc522201778"/>
      <w:bookmarkStart w:id="1384" w:name="_Toc24874"/>
      <w:r>
        <w:rPr>
          <w:rFonts w:hint="eastAsia" w:ascii="宋体" w:cs="宋体"/>
          <w:color w:val="auto"/>
          <w:highlight w:val="none"/>
        </w:rPr>
        <w:t>12.2 预付款</w:t>
      </w:r>
      <w:bookmarkEnd w:id="1355"/>
      <w:bookmarkEnd w:id="1356"/>
      <w:bookmarkEnd w:id="1357"/>
      <w:bookmarkEnd w:id="1374"/>
      <w:bookmarkEnd w:id="1375"/>
      <w:bookmarkEnd w:id="1376"/>
      <w:bookmarkEnd w:id="1377"/>
      <w:bookmarkEnd w:id="1378"/>
      <w:bookmarkEnd w:id="1379"/>
      <w:bookmarkEnd w:id="1380"/>
      <w:bookmarkEnd w:id="1381"/>
      <w:bookmarkEnd w:id="1382"/>
      <w:bookmarkEnd w:id="1383"/>
      <w:bookmarkEnd w:id="1384"/>
    </w:p>
    <w:bookmarkEnd w:id="1358"/>
    <w:bookmarkEnd w:id="1359"/>
    <w:bookmarkEnd w:id="1360"/>
    <w:bookmarkEnd w:id="1361"/>
    <w:bookmarkEnd w:id="1362"/>
    <w:bookmarkEnd w:id="1363"/>
    <w:p w14:paraId="73EBF82B">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12.2.1 预付款的支付</w:t>
      </w:r>
    </w:p>
    <w:p w14:paraId="46ED0B65">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预付款支付比例或金额：</w:t>
      </w:r>
      <w:r>
        <w:rPr>
          <w:rFonts w:hint="eastAsia" w:ascii="Times New Roman" w:hAnsi="Times New Roman" w:eastAsia="宋体" w:cs="Times New Roman"/>
          <w:color w:val="auto"/>
          <w:spacing w:val="-9"/>
          <w:kern w:val="2"/>
          <w:sz w:val="21"/>
          <w:szCs w:val="24"/>
          <w:highlight w:val="none"/>
          <w:u w:val="single" w:color="36363C"/>
          <w:lang w:val="en-US" w:eastAsia="zh-CN" w:bidi="ar-SA"/>
        </w:rPr>
        <w:t xml:space="preserve"> 无  。</w:t>
      </w:r>
    </w:p>
    <w:p w14:paraId="03335AE2">
      <w:pPr>
        <w:pStyle w:val="21"/>
        <w:keepNext w:val="0"/>
        <w:keepLines w:val="0"/>
        <w:pageBreakBefore w:val="0"/>
        <w:widowControl w:val="0"/>
        <w:wordWrap/>
        <w:topLinePunct w:val="0"/>
        <w:bidi w:val="0"/>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预付款支付期限：</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w:t>
      </w:r>
    </w:p>
    <w:p w14:paraId="0CD33B41">
      <w:pPr>
        <w:pStyle w:val="21"/>
        <w:keepNext w:val="0"/>
        <w:keepLines w:val="0"/>
        <w:pageBreakBefore w:val="0"/>
        <w:widowControl w:val="0"/>
        <w:wordWrap/>
        <w:topLinePunct w:val="0"/>
        <w:bidi w:val="0"/>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预付款扣回的方式：</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w:t>
      </w:r>
    </w:p>
    <w:p w14:paraId="031E390E">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12.2.2 预付款担保</w:t>
      </w:r>
    </w:p>
    <w:p w14:paraId="6CD4CCDA">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承包人提交预付款担保的期限：</w:t>
      </w:r>
      <w:r>
        <w:rPr>
          <w:rFonts w:hint="eastAsia" w:ascii="宋体" w:hAnsi="宋体" w:cs="宋体"/>
          <w:color w:val="auto"/>
          <w:szCs w:val="21"/>
          <w:highlight w:val="none"/>
          <w:u w:val="single"/>
        </w:rPr>
        <w:t xml:space="preserve">  无  </w:t>
      </w:r>
      <w:r>
        <w:rPr>
          <w:rFonts w:hint="eastAsia" w:ascii="宋体" w:hAnsi="宋体" w:cs="宋体"/>
          <w:color w:val="auto"/>
          <w:szCs w:val="21"/>
          <w:highlight w:val="none"/>
        </w:rPr>
        <w:t>。</w:t>
      </w:r>
    </w:p>
    <w:p w14:paraId="3A9AC0F7">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预付款担保的形式为：</w:t>
      </w:r>
      <w:r>
        <w:rPr>
          <w:rFonts w:hint="eastAsia" w:ascii="宋体" w:hAnsi="宋体" w:cs="宋体"/>
          <w:color w:val="auto"/>
          <w:szCs w:val="21"/>
          <w:highlight w:val="none"/>
          <w:u w:val="single"/>
        </w:rPr>
        <w:t xml:space="preserve">   无   </w:t>
      </w:r>
      <w:r>
        <w:rPr>
          <w:rFonts w:hint="eastAsia" w:ascii="宋体" w:hAnsi="宋体" w:cs="宋体"/>
          <w:color w:val="auto"/>
          <w:szCs w:val="21"/>
          <w:highlight w:val="none"/>
        </w:rPr>
        <w:t>。</w:t>
      </w:r>
    </w:p>
    <w:p w14:paraId="217A5C7A">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预付款担保格式见合同附件9。</w:t>
      </w:r>
    </w:p>
    <w:bookmarkEnd w:id="1364"/>
    <w:bookmarkEnd w:id="1365"/>
    <w:bookmarkEnd w:id="1366"/>
    <w:bookmarkEnd w:id="1367"/>
    <w:bookmarkEnd w:id="1368"/>
    <w:bookmarkEnd w:id="1369"/>
    <w:bookmarkEnd w:id="1370"/>
    <w:bookmarkEnd w:id="1371"/>
    <w:bookmarkEnd w:id="1372"/>
    <w:bookmarkEnd w:id="1373"/>
    <w:p w14:paraId="511B2FD6">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385" w:name="_Toc418061363"/>
      <w:bookmarkStart w:id="1386" w:name="_Toc418752294"/>
      <w:bookmarkStart w:id="1387" w:name="_Toc373478398"/>
      <w:bookmarkStart w:id="1388" w:name="_Toc418518398"/>
      <w:bookmarkStart w:id="1389" w:name="_Toc497746833"/>
      <w:bookmarkStart w:id="1390" w:name="_Toc522201779"/>
      <w:bookmarkStart w:id="1391" w:name="_Toc389065316"/>
      <w:bookmarkStart w:id="1392" w:name="_Toc403578986"/>
      <w:bookmarkStart w:id="1393" w:name="_Toc418751848"/>
      <w:bookmarkStart w:id="1394" w:name="_Toc256000230"/>
      <w:bookmarkStart w:id="1395" w:name="_Toc373227751"/>
      <w:bookmarkStart w:id="1396" w:name="_Toc418518162"/>
      <w:bookmarkStart w:id="1397" w:name="_Toc497747230"/>
      <w:bookmarkStart w:id="1398" w:name="_Toc14203"/>
      <w:r>
        <w:rPr>
          <w:rFonts w:hint="eastAsia" w:ascii="宋体" w:cs="宋体"/>
          <w:color w:val="auto"/>
          <w:highlight w:val="none"/>
        </w:rPr>
        <w:t>12.3 计量</w:t>
      </w:r>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p>
    <w:p w14:paraId="6D60901E">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bookmarkStart w:id="1399" w:name="_Toc373478399"/>
      <w:bookmarkStart w:id="1400" w:name="_Toc418751849"/>
      <w:bookmarkStart w:id="1401" w:name="_Toc418752295"/>
      <w:bookmarkStart w:id="1402" w:name="_Toc497747231"/>
      <w:bookmarkStart w:id="1403" w:name="_Toc418518399"/>
      <w:bookmarkStart w:id="1404" w:name="_Toc403578987"/>
      <w:bookmarkStart w:id="1405" w:name="_Toc418518163"/>
      <w:bookmarkStart w:id="1406" w:name="_Toc497746834"/>
      <w:bookmarkStart w:id="1407" w:name="_Toc373227752"/>
      <w:bookmarkStart w:id="1408" w:name="_Toc418061364"/>
      <w:bookmarkStart w:id="1409" w:name="_Toc389065317"/>
      <w:r>
        <w:rPr>
          <w:rFonts w:hint="eastAsia" w:ascii="宋体" w:hAnsi="宋体" w:cs="宋体"/>
          <w:color w:val="auto"/>
          <w:szCs w:val="21"/>
          <w:highlight w:val="none"/>
        </w:rPr>
        <w:t xml:space="preserve">12.3.1 计量原则 </w:t>
      </w:r>
    </w:p>
    <w:p w14:paraId="1D038036">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工程量计算规则：</w:t>
      </w:r>
      <w:r>
        <w:rPr>
          <w:rFonts w:hint="eastAsia" w:ascii="宋体" w:hAnsi="宋体" w:cs="宋体"/>
          <w:color w:val="auto"/>
          <w:szCs w:val="21"/>
          <w:highlight w:val="none"/>
          <w:u w:val="single"/>
        </w:rPr>
        <w:t>工程的计量均以《建设工程工程量清单计价规范》（GB50500－2013）和及其广西壮族自治区实施细则、《建设工程工程量清单计算规范》（GB50854～50862－2013）及其广西实施细则（修订本）、本工程补充项目清单为准。</w:t>
      </w:r>
      <w:r>
        <w:rPr>
          <w:rFonts w:hint="eastAsia" w:ascii="宋体" w:hAnsi="宋体" w:cs="宋体"/>
          <w:color w:val="auto"/>
          <w:szCs w:val="21"/>
          <w:highlight w:val="none"/>
        </w:rPr>
        <w:t xml:space="preserve"> </w:t>
      </w:r>
    </w:p>
    <w:p w14:paraId="214BFCC3">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 xml:space="preserve">12.3.2 计量周期 </w:t>
      </w:r>
    </w:p>
    <w:p w14:paraId="1D31D8D7">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关于计量周期的约定：</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承包人每月25日前向监理人报送上月20日至本月19日完成的工程量报告，并附具进度款申请单、已完成工程量报表和有关资料</w:t>
      </w:r>
      <w:r>
        <w:rPr>
          <w:rFonts w:hint="eastAsia" w:ascii="宋体" w:hAnsi="宋体" w:cs="宋体"/>
          <w:color w:val="auto"/>
          <w:szCs w:val="21"/>
          <w:highlight w:val="none"/>
          <w:u w:val="single"/>
        </w:rPr>
        <w:t>。</w:t>
      </w:r>
      <w:r>
        <w:rPr>
          <w:rFonts w:hint="eastAsia" w:ascii="宋体" w:hAnsi="宋体" w:cs="宋体"/>
          <w:color w:val="auto"/>
          <w:szCs w:val="21"/>
          <w:highlight w:val="none"/>
        </w:rPr>
        <w:t xml:space="preserve"> </w:t>
      </w:r>
    </w:p>
    <w:p w14:paraId="2EC09494">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12.3.3 单价合同的计量 </w:t>
      </w:r>
    </w:p>
    <w:p w14:paraId="53825CCA">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关于单价合同计量的约定：</w:t>
      </w:r>
      <w:r>
        <w:rPr>
          <w:rFonts w:hint="eastAsia" w:ascii="宋体" w:hAnsi="宋体" w:cs="宋体"/>
          <w:color w:val="auto"/>
          <w:szCs w:val="21"/>
          <w:highlight w:val="none"/>
          <w:u w:val="single"/>
        </w:rPr>
        <w:t xml:space="preserve"> (1) </w:t>
      </w:r>
      <w:r>
        <w:rPr>
          <w:rFonts w:ascii="宋体" w:hAnsi="宋体" w:cs="宋体"/>
          <w:color w:val="auto"/>
          <w:szCs w:val="21"/>
          <w:highlight w:val="none"/>
          <w:u w:val="single"/>
        </w:rPr>
        <w:t>工程量清单所列的工程量，不能作为承包人按合同履行其责任依据，实际施工中发生的工程量增加或减少并不影响承包人履行合同的责任，工程结算以完成的实际工程量为准</w:t>
      </w:r>
      <w:r>
        <w:rPr>
          <w:rFonts w:hint="eastAsia" w:ascii="宋体" w:hAnsi="宋体" w:cs="宋体"/>
          <w:color w:val="auto"/>
          <w:szCs w:val="21"/>
          <w:highlight w:val="none"/>
          <w:u w:val="single"/>
        </w:rPr>
        <w:t xml:space="preserve">。(2) </w:t>
      </w:r>
      <w:r>
        <w:rPr>
          <w:rFonts w:ascii="宋体" w:hAnsi="宋体" w:cs="宋体"/>
          <w:color w:val="auto"/>
          <w:szCs w:val="21"/>
          <w:highlight w:val="none"/>
          <w:u w:val="single"/>
        </w:rPr>
        <w:t>除另有规定外，工程师应按照合同通过计量来核实确定已完成的工程量和价款，承包人应得到该价款扣除保留金后的金额。当工程师要对已完工的工程量进行计量时，应适时地通知承包人参加</w:t>
      </w:r>
      <w:r>
        <w:rPr>
          <w:rFonts w:hint="eastAsia" w:ascii="宋体" w:hAnsi="宋体" w:cs="宋体"/>
          <w:color w:val="auto"/>
          <w:szCs w:val="21"/>
          <w:highlight w:val="none"/>
        </w:rPr>
        <w:t xml:space="preserve">。 </w:t>
      </w:r>
    </w:p>
    <w:p w14:paraId="7A80CA55">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12.3.4 总价合同的计量 </w:t>
      </w:r>
    </w:p>
    <w:p w14:paraId="6D4695C8">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关于总价合同计量的约定：</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067B3E70">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12.3.5 总价合同采用支付分解表计量支付的，是否适用第 12.3.4 项〔总价合同的计量〕约定进行计量：</w:t>
      </w:r>
      <w:r>
        <w:rPr>
          <w:rFonts w:hint="eastAsia" w:ascii="宋体" w:hAnsi="宋体" w:cs="宋体"/>
          <w:color w:val="auto"/>
          <w:szCs w:val="21"/>
          <w:highlight w:val="none"/>
          <w:u w:val="single"/>
        </w:rPr>
        <w:t xml:space="preserve">无 </w:t>
      </w:r>
      <w:r>
        <w:rPr>
          <w:rFonts w:hint="eastAsia" w:ascii="宋体" w:hAnsi="宋体" w:cs="宋体"/>
          <w:color w:val="auto"/>
          <w:szCs w:val="21"/>
          <w:highlight w:val="none"/>
        </w:rPr>
        <w:t xml:space="preserve">。 </w:t>
      </w:r>
    </w:p>
    <w:p w14:paraId="46EEF606">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12.3.6 其他价格形式合同的计量 </w:t>
      </w:r>
    </w:p>
    <w:p w14:paraId="66B17C83">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其他价格形式的计量方式和程序：</w:t>
      </w:r>
      <w:r>
        <w:rPr>
          <w:rFonts w:hint="eastAsia" w:ascii="宋体" w:hAnsi="宋体" w:cs="宋体"/>
          <w:color w:val="auto"/>
          <w:szCs w:val="21"/>
          <w:highlight w:val="none"/>
          <w:u w:val="single"/>
        </w:rPr>
        <w:t xml:space="preserve"> 无 </w:t>
      </w:r>
      <w:r>
        <w:rPr>
          <w:rFonts w:hint="eastAsia" w:ascii="宋体" w:hAnsi="宋体" w:cs="宋体"/>
          <w:color w:val="auto"/>
          <w:szCs w:val="21"/>
          <w:highlight w:val="none"/>
        </w:rPr>
        <w:t xml:space="preserve">。 </w:t>
      </w:r>
    </w:p>
    <w:p w14:paraId="2A1A2369">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12.4 工程进度款支付</w:t>
      </w:r>
      <w:bookmarkEnd w:id="1399"/>
      <w:bookmarkEnd w:id="1400"/>
      <w:bookmarkEnd w:id="1401"/>
      <w:bookmarkEnd w:id="1402"/>
      <w:bookmarkEnd w:id="1403"/>
      <w:bookmarkEnd w:id="1404"/>
      <w:bookmarkEnd w:id="1405"/>
      <w:bookmarkEnd w:id="1406"/>
      <w:bookmarkEnd w:id="1407"/>
      <w:bookmarkEnd w:id="1408"/>
      <w:bookmarkEnd w:id="1409"/>
    </w:p>
    <w:p w14:paraId="28608105">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bookmarkStart w:id="1410" w:name="_Toc297123556"/>
      <w:bookmarkStart w:id="1411" w:name="_Toc297120511"/>
      <w:bookmarkStart w:id="1412" w:name="_Toc297216215"/>
      <w:bookmarkStart w:id="1413" w:name="_Toc296503211"/>
      <w:bookmarkStart w:id="1414" w:name="_Toc292559416"/>
      <w:bookmarkStart w:id="1415" w:name="_Toc300935006"/>
      <w:bookmarkStart w:id="1416" w:name="_Toc296347210"/>
      <w:bookmarkStart w:id="1417" w:name="_Toc292559921"/>
      <w:bookmarkStart w:id="1418" w:name="_Toc296891251"/>
      <w:bookmarkStart w:id="1419" w:name="_Toc303539163"/>
      <w:bookmarkStart w:id="1420" w:name="_Toc296346712"/>
      <w:bookmarkStart w:id="1421" w:name="_Toc297048397"/>
      <w:bookmarkStart w:id="1422" w:name="_Toc296944550"/>
      <w:bookmarkStart w:id="1423" w:name="_Toc296891039"/>
      <w:r>
        <w:rPr>
          <w:rFonts w:hint="eastAsia" w:ascii="宋体" w:hAnsi="宋体" w:cs="宋体"/>
          <w:color w:val="auto"/>
          <w:szCs w:val="21"/>
          <w:highlight w:val="none"/>
        </w:rPr>
        <w:t>12.4.1 付款周期</w:t>
      </w:r>
    </w:p>
    <w:p w14:paraId="6CA3814C">
      <w:pPr>
        <w:keepNext w:val="0"/>
        <w:keepLines w:val="0"/>
        <w:pageBreakBefore w:val="0"/>
        <w:widowControl w:val="0"/>
        <w:kinsoku/>
        <w:wordWrap/>
        <w:overflowPunct/>
        <w:topLinePunct w:val="0"/>
        <w:autoSpaceDE/>
        <w:autoSpaceDN/>
        <w:bidi w:val="0"/>
        <w:adjustRightInd/>
        <w:snapToGrid/>
        <w:spacing w:line="360" w:lineRule="auto"/>
        <w:ind w:left="210" w:leftChars="100" w:firstLine="210" w:firstLineChars="100"/>
        <w:jc w:val="left"/>
        <w:textAlignment w:val="auto"/>
        <w:rPr>
          <w:rFonts w:hint="eastAsia" w:ascii="Times New Roman" w:hAnsi="Times New Roman" w:eastAsia="宋体" w:cs="Times New Roman"/>
          <w:color w:val="auto"/>
          <w:spacing w:val="-9"/>
          <w:kern w:val="2"/>
          <w:sz w:val="21"/>
          <w:szCs w:val="24"/>
          <w:highlight w:val="yellow"/>
          <w:u w:val="single" w:color="36363C"/>
          <w:lang w:val="en-US" w:eastAsia="zh-CN" w:bidi="ar-SA"/>
        </w:rPr>
      </w:pPr>
      <w:r>
        <w:rPr>
          <w:rFonts w:hint="eastAsia" w:ascii="宋体" w:hAnsi="宋体" w:cs="宋体"/>
          <w:color w:val="auto"/>
          <w:szCs w:val="21"/>
          <w:highlight w:val="none"/>
        </w:rPr>
        <w:t>关于付款周期的约定：</w:t>
      </w:r>
      <w:r>
        <w:rPr>
          <w:rFonts w:hint="eastAsia" w:ascii="Times New Roman" w:hAnsi="Times New Roman" w:eastAsia="宋体" w:cs="Times New Roman"/>
          <w:color w:val="auto"/>
          <w:spacing w:val="-9"/>
          <w:kern w:val="2"/>
          <w:sz w:val="21"/>
          <w:szCs w:val="24"/>
          <w:highlight w:val="none"/>
          <w:u w:val="single" w:color="36363C"/>
          <w:lang w:val="en-US" w:eastAsia="zh-CN" w:bidi="ar-SA"/>
        </w:rPr>
        <w:t>工程完成总量的 50%支付合同金额的 30%；工程完工，经初验合格，支付合同金额的 80%。工程经终验合格后，工程结算价经</w:t>
      </w:r>
      <w:r>
        <w:rPr>
          <w:rFonts w:hint="eastAsia" w:cs="Times New Roman"/>
          <w:color w:val="auto"/>
          <w:spacing w:val="-9"/>
          <w:kern w:val="2"/>
          <w:sz w:val="21"/>
          <w:szCs w:val="24"/>
          <w:highlight w:val="none"/>
          <w:u w:val="single" w:color="36363C"/>
          <w:lang w:val="en-US" w:eastAsia="zh-CN" w:bidi="ar-SA"/>
        </w:rPr>
        <w:t>灌阳县财政局</w:t>
      </w:r>
      <w:r>
        <w:rPr>
          <w:rFonts w:hint="eastAsia" w:ascii="Times New Roman" w:hAnsi="Times New Roman" w:eastAsia="宋体" w:cs="Times New Roman"/>
          <w:color w:val="auto"/>
          <w:spacing w:val="-9"/>
          <w:kern w:val="2"/>
          <w:sz w:val="21"/>
          <w:szCs w:val="24"/>
          <w:highlight w:val="none"/>
          <w:u w:val="single" w:color="36363C"/>
          <w:lang w:val="en-US" w:eastAsia="zh-CN" w:bidi="ar-SA"/>
        </w:rPr>
        <w:t>审计，工程款支付至结算总价的97</w:t>
      </w:r>
      <w:r>
        <w:rPr>
          <w:rFonts w:ascii="Times New Roman" w:hAnsi="Times New Roman" w:eastAsia="宋体" w:cs="Times New Roman"/>
          <w:color w:val="auto"/>
          <w:spacing w:val="-9"/>
          <w:kern w:val="2"/>
          <w:sz w:val="21"/>
          <w:szCs w:val="24"/>
          <w:highlight w:val="none"/>
          <w:u w:val="single" w:color="36363C"/>
          <w:lang w:val="en-US" w:eastAsia="zh-CN" w:bidi="ar-SA"/>
        </w:rPr>
        <w:t>%</w:t>
      </w:r>
      <w:r>
        <w:rPr>
          <w:rFonts w:hint="eastAsia" w:ascii="Times New Roman" w:hAnsi="Times New Roman" w:eastAsia="宋体" w:cs="Times New Roman"/>
          <w:color w:val="auto"/>
          <w:spacing w:val="-9"/>
          <w:kern w:val="2"/>
          <w:sz w:val="21"/>
          <w:szCs w:val="24"/>
          <w:highlight w:val="none"/>
          <w:u w:val="single" w:color="36363C"/>
          <w:lang w:val="en-US" w:eastAsia="zh-CN" w:bidi="ar-SA"/>
        </w:rPr>
        <w:t>；留 3%工程余款作为工程质量保修金，待工程质保期满后工程无缺陷再按规定工程余款支付完毕。</w:t>
      </w:r>
    </w:p>
    <w:p w14:paraId="7EEBC112">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u w:val="single"/>
        </w:rPr>
        <w:t>每次付款前，承包人应按发包人的要求提供符合相关法律法规的增值税发票，如发票不符合要求，发包人有权拒收，承包人应承担因不合格发票产生的所有责任。</w:t>
      </w:r>
    </w:p>
    <w:p w14:paraId="466FB03C">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12.4.2 进度付款申请单的编制</w:t>
      </w:r>
    </w:p>
    <w:p w14:paraId="16FEE0EA">
      <w:pPr>
        <w:pStyle w:val="21"/>
        <w:keepNext w:val="0"/>
        <w:keepLines w:val="0"/>
        <w:pageBreakBefore w:val="0"/>
        <w:widowControl w:val="0"/>
        <w:wordWrap/>
        <w:topLinePunct w:val="0"/>
        <w:bidi w:val="0"/>
        <w:spacing w:line="380" w:lineRule="exact"/>
        <w:ind w:firstLine="420" w:firstLineChars="200"/>
        <w:jc w:val="left"/>
        <w:rPr>
          <w:rFonts w:ascii="宋体" w:hAnsi="宋体" w:cs="宋体"/>
          <w:bCs/>
          <w:color w:val="auto"/>
          <w:szCs w:val="21"/>
          <w:highlight w:val="none"/>
          <w:u w:val="single"/>
        </w:rPr>
      </w:pPr>
      <w:r>
        <w:rPr>
          <w:rFonts w:hint="eastAsia" w:ascii="宋体" w:hAnsi="宋体" w:cs="宋体"/>
          <w:color w:val="auto"/>
          <w:szCs w:val="21"/>
          <w:highlight w:val="none"/>
        </w:rPr>
        <w:t>关于进度付款申请单编制的约定：</w:t>
      </w:r>
      <w:r>
        <w:rPr>
          <w:rFonts w:hint="eastAsia" w:ascii="宋体" w:hAnsi="宋体" w:cs="宋体"/>
          <w:bCs/>
          <w:color w:val="auto"/>
          <w:szCs w:val="21"/>
          <w:highlight w:val="none"/>
          <w:u w:val="single"/>
        </w:rPr>
        <w:t>承包人应在每个计量周期到期后的7天内向发包人提交已完工程进度款支付申请一式四份，详细说明此周期自己认为有权得到的款额，包括分包人已完工程的价款，内容包括已完工程预算书、工程量计算式及劳务队组提供的民工工资支付证明。</w:t>
      </w:r>
    </w:p>
    <w:p w14:paraId="4964171B">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w:t>
      </w:r>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r>
        <w:rPr>
          <w:rFonts w:hint="eastAsia" w:ascii="宋体" w:hAnsi="宋体" w:cs="宋体"/>
          <w:color w:val="auto"/>
          <w:szCs w:val="21"/>
          <w:highlight w:val="none"/>
        </w:rPr>
        <w:t>2.4.3 进度付款申请单的提交</w:t>
      </w:r>
    </w:p>
    <w:p w14:paraId="338135A5">
      <w:pPr>
        <w:pStyle w:val="21"/>
        <w:keepNext w:val="0"/>
        <w:keepLines w:val="0"/>
        <w:pageBreakBefore w:val="0"/>
        <w:widowControl w:val="0"/>
        <w:wordWrap/>
        <w:topLinePunct w:val="0"/>
        <w:bidi w:val="0"/>
        <w:spacing w:line="380" w:lineRule="exact"/>
        <w:ind w:firstLine="420" w:firstLineChars="200"/>
        <w:jc w:val="left"/>
        <w:rPr>
          <w:rFonts w:ascii="宋体" w:hAnsi="宋体" w:cs="宋体"/>
          <w:bCs/>
          <w:color w:val="auto"/>
          <w:szCs w:val="21"/>
          <w:highlight w:val="none"/>
          <w:u w:val="single"/>
        </w:rPr>
      </w:pPr>
      <w:r>
        <w:rPr>
          <w:rFonts w:hint="eastAsia" w:ascii="宋体" w:hAnsi="宋体" w:cs="宋体"/>
          <w:color w:val="auto"/>
          <w:szCs w:val="21"/>
          <w:highlight w:val="none"/>
        </w:rPr>
        <w:t>（1）单价合同进度付款申请单提交的约定：</w:t>
      </w:r>
      <w:r>
        <w:rPr>
          <w:rFonts w:hint="eastAsia" w:ascii="宋体" w:hAnsi="宋体" w:cs="宋体"/>
          <w:bCs/>
          <w:color w:val="auto"/>
          <w:szCs w:val="21"/>
          <w:highlight w:val="none"/>
          <w:u w:val="single"/>
        </w:rPr>
        <w:t>承包人应在每个计量周期到期后的3天内向发包人提交支付申请一式三份，承包人当月完成的产值不足合同价的1％时，不支付进度款，累计至下月一并支付。承包人应随投标文件提交不拖欠民工工资的承诺函和措施。具体支付手续按财政性资金支付程序有关规定办理。</w:t>
      </w:r>
    </w:p>
    <w:p w14:paraId="22291245">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（2）总价合同进度付款申请单提交的约定：</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72015E2F">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（3）其他价格形式合同进度付款申请单提交的约定：</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56EBDB9A">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12.4.4 进度款审核和支付</w:t>
      </w:r>
    </w:p>
    <w:p w14:paraId="21D888B1">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（1）监理人审查并报送发包人的期限：</w:t>
      </w:r>
      <w:r>
        <w:rPr>
          <w:rFonts w:hint="eastAsia" w:ascii="宋体" w:hAnsi="宋体" w:cs="宋体"/>
          <w:color w:val="auto"/>
          <w:szCs w:val="21"/>
          <w:highlight w:val="none"/>
          <w:u w:val="single"/>
        </w:rPr>
        <w:t>监理人收到承包人进度付款申请单以及相关资料后 7 天内完成审查并报送发包人</w:t>
      </w:r>
      <w:r>
        <w:rPr>
          <w:rFonts w:hint="eastAsia" w:ascii="宋体" w:hAnsi="宋体" w:cs="宋体"/>
          <w:color w:val="auto"/>
          <w:szCs w:val="21"/>
          <w:highlight w:val="none"/>
        </w:rPr>
        <w:t>。</w:t>
      </w:r>
    </w:p>
    <w:p w14:paraId="3B212637">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发包人完成审批并签发进度款支付证书的期限：</w:t>
      </w:r>
      <w:r>
        <w:rPr>
          <w:rFonts w:hint="eastAsia" w:ascii="宋体" w:hAnsi="宋体" w:cs="宋体"/>
          <w:color w:val="auto"/>
          <w:szCs w:val="21"/>
          <w:highlight w:val="none"/>
          <w:u w:val="single"/>
        </w:rPr>
        <w:t>收到后 7 天内完成审批并签发</w:t>
      </w:r>
      <w:r>
        <w:rPr>
          <w:rFonts w:hint="eastAsia" w:ascii="宋体" w:hAnsi="宋体" w:cs="宋体"/>
          <w:color w:val="auto"/>
          <w:szCs w:val="21"/>
          <w:highlight w:val="none"/>
        </w:rPr>
        <w:t>。</w:t>
      </w:r>
    </w:p>
    <w:p w14:paraId="0DAC4400">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（2）发包人支付进度款的期限：</w:t>
      </w:r>
      <w:r>
        <w:rPr>
          <w:rFonts w:hint="eastAsia" w:ascii="宋体" w:hAnsi="宋体" w:cs="宋体"/>
          <w:color w:val="auto"/>
          <w:szCs w:val="21"/>
          <w:highlight w:val="none"/>
          <w:u w:val="single"/>
        </w:rPr>
        <w:t xml:space="preserve">办理相关付款手续后的7天内 </w:t>
      </w:r>
      <w:r>
        <w:rPr>
          <w:rFonts w:hint="eastAsia" w:ascii="宋体" w:hAnsi="宋体" w:cs="宋体"/>
          <w:color w:val="auto"/>
          <w:szCs w:val="21"/>
          <w:highlight w:val="none"/>
        </w:rPr>
        <w:t>。</w:t>
      </w:r>
    </w:p>
    <w:p w14:paraId="042181CD">
      <w:pPr>
        <w:pStyle w:val="21"/>
        <w:keepNext w:val="0"/>
        <w:keepLines w:val="0"/>
        <w:pageBreakBefore w:val="0"/>
        <w:widowControl w:val="0"/>
        <w:wordWrap/>
        <w:topLinePunct w:val="0"/>
        <w:bidi w:val="0"/>
        <w:spacing w:line="380" w:lineRule="exact"/>
        <w:ind w:firstLine="525" w:firstLineChars="250"/>
        <w:jc w:val="left"/>
        <w:rPr>
          <w:rFonts w:ascii="宋体" w:hAnsi="宋体" w:cs="宋体"/>
          <w:color w:val="auto"/>
          <w:szCs w:val="21"/>
          <w:highlight w:val="none"/>
        </w:rPr>
      </w:pPr>
      <w:r>
        <w:rPr>
          <w:rFonts w:hint="eastAsia" w:ascii="宋体" w:hAnsi="宋体" w:cs="宋体"/>
          <w:color w:val="auto"/>
          <w:szCs w:val="21"/>
          <w:highlight w:val="none"/>
        </w:rPr>
        <w:t>发包人逾期支付进度款的违约金的计算方式：</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1980E0BB">
      <w:pPr>
        <w:pStyle w:val="21"/>
        <w:keepNext w:val="0"/>
        <w:keepLines w:val="0"/>
        <w:pageBreakBefore w:val="0"/>
        <w:widowControl w:val="0"/>
        <w:wordWrap/>
        <w:topLinePunct w:val="0"/>
        <w:bidi w:val="0"/>
        <w:spacing w:line="380" w:lineRule="exact"/>
        <w:ind w:firstLine="525" w:firstLineChars="250"/>
        <w:jc w:val="left"/>
        <w:rPr>
          <w:rFonts w:ascii="宋体" w:hAnsi="宋体" w:cs="宋体"/>
          <w:color w:val="auto"/>
          <w:szCs w:val="21"/>
          <w:highlight w:val="none"/>
        </w:rPr>
      </w:pPr>
      <w:r>
        <w:rPr>
          <w:rFonts w:hint="eastAsia" w:ascii="宋体" w:hAnsi="宋体" w:cs="宋体"/>
          <w:color w:val="auto"/>
          <w:szCs w:val="21"/>
          <w:highlight w:val="none"/>
        </w:rPr>
        <w:t>进度款支付方式：</w:t>
      </w:r>
      <w:r>
        <w:rPr>
          <w:rFonts w:hint="eastAsia" w:ascii="宋体" w:hAnsi="宋体" w:cs="宋体"/>
          <w:color w:val="auto"/>
          <w:szCs w:val="21"/>
          <w:highlight w:val="none"/>
          <w:u w:val="single"/>
        </w:rPr>
        <w:t>银行转账</w:t>
      </w:r>
      <w:r>
        <w:rPr>
          <w:rFonts w:hint="eastAsia" w:ascii="宋体" w:hAnsi="宋体" w:cs="宋体"/>
          <w:color w:val="auto"/>
          <w:szCs w:val="21"/>
          <w:highlight w:val="none"/>
        </w:rPr>
        <w:t>。</w:t>
      </w:r>
    </w:p>
    <w:p w14:paraId="4BA5B152">
      <w:pPr>
        <w:pStyle w:val="21"/>
        <w:keepNext w:val="0"/>
        <w:keepLines w:val="0"/>
        <w:pageBreakBefore w:val="0"/>
        <w:widowControl w:val="0"/>
        <w:wordWrap/>
        <w:topLinePunct w:val="0"/>
        <w:bidi w:val="0"/>
        <w:spacing w:line="380" w:lineRule="exact"/>
        <w:ind w:firstLine="525" w:firstLineChars="250"/>
        <w:jc w:val="left"/>
        <w:rPr>
          <w:rFonts w:ascii="宋体" w:hAnsi="宋体" w:cs="宋体"/>
          <w:color w:val="auto"/>
          <w:szCs w:val="21"/>
          <w:highlight w:val="none"/>
        </w:rPr>
      </w:pPr>
      <w:r>
        <w:rPr>
          <w:rFonts w:hint="eastAsia" w:ascii="宋体" w:hAnsi="宋体" w:cs="宋体"/>
          <w:color w:val="auto"/>
          <w:szCs w:val="21"/>
          <w:highlight w:val="none"/>
        </w:rPr>
        <w:t>12.4.6 支付分解表的编制</w:t>
      </w:r>
    </w:p>
    <w:p w14:paraId="66BA5244">
      <w:pPr>
        <w:pStyle w:val="21"/>
        <w:keepNext w:val="0"/>
        <w:keepLines w:val="0"/>
        <w:pageBreakBefore w:val="0"/>
        <w:widowControl w:val="0"/>
        <w:wordWrap/>
        <w:topLinePunct w:val="0"/>
        <w:bidi w:val="0"/>
        <w:spacing w:line="380" w:lineRule="exact"/>
        <w:ind w:firstLine="525" w:firstLineChars="250"/>
        <w:jc w:val="left"/>
        <w:rPr>
          <w:rFonts w:ascii="宋体" w:hAnsi="宋体" w:cs="宋体"/>
          <w:color w:val="auto"/>
          <w:szCs w:val="21"/>
          <w:highlight w:val="none"/>
          <w:u w:val="single"/>
        </w:rPr>
      </w:pPr>
      <w:r>
        <w:rPr>
          <w:rFonts w:hint="eastAsia" w:ascii="宋体" w:hAnsi="宋体" w:cs="宋体"/>
          <w:color w:val="auto"/>
          <w:szCs w:val="21"/>
          <w:highlight w:val="none"/>
        </w:rPr>
        <w:t>2. 总价合同支付分解表的编制与审批：</w:t>
      </w:r>
      <w:r>
        <w:rPr>
          <w:rFonts w:hint="eastAsia" w:ascii="宋体" w:hAnsi="宋体" w:cs="宋体"/>
          <w:color w:val="auto"/>
          <w:szCs w:val="21"/>
          <w:highlight w:val="none"/>
          <w:u w:val="single"/>
        </w:rPr>
        <w:t xml:space="preserve"> 无 </w:t>
      </w:r>
      <w:r>
        <w:rPr>
          <w:rFonts w:hint="eastAsia" w:ascii="宋体" w:hAnsi="宋体" w:cs="宋体"/>
          <w:color w:val="auto"/>
          <w:szCs w:val="21"/>
          <w:highlight w:val="none"/>
        </w:rPr>
        <w:t>。</w:t>
      </w:r>
    </w:p>
    <w:p w14:paraId="678AF91C">
      <w:pPr>
        <w:pStyle w:val="21"/>
        <w:keepNext w:val="0"/>
        <w:keepLines w:val="0"/>
        <w:pageBreakBefore w:val="0"/>
        <w:widowControl w:val="0"/>
        <w:wordWrap/>
        <w:topLinePunct w:val="0"/>
        <w:bidi w:val="0"/>
        <w:spacing w:line="380" w:lineRule="exact"/>
        <w:ind w:firstLine="525" w:firstLineChars="250"/>
        <w:jc w:val="left"/>
        <w:rPr>
          <w:rFonts w:ascii="宋体" w:hAnsi="宋体" w:cs="宋体"/>
          <w:color w:val="auto"/>
          <w:szCs w:val="21"/>
          <w:highlight w:val="none"/>
          <w:u w:val="single"/>
        </w:rPr>
      </w:pPr>
      <w:r>
        <w:rPr>
          <w:rFonts w:hint="eastAsia" w:ascii="宋体" w:hAnsi="宋体" w:cs="宋体"/>
          <w:color w:val="auto"/>
          <w:szCs w:val="21"/>
          <w:highlight w:val="none"/>
        </w:rPr>
        <w:t>3. 单价合同的总价项目支付分解表的编制与审批：</w:t>
      </w:r>
      <w:r>
        <w:rPr>
          <w:rFonts w:hint="eastAsia" w:ascii="宋体" w:hAnsi="宋体" w:cs="宋体"/>
          <w:color w:val="auto"/>
          <w:szCs w:val="21"/>
          <w:highlight w:val="none"/>
          <w:u w:val="single"/>
        </w:rPr>
        <w:t>单价项目不采用支付分解表的方式计算，而按《建设工程工程量清单计价规范（GB50500-2013）广西壮族自治区实施细则（修订本）》的规定执行。</w:t>
      </w:r>
    </w:p>
    <w:bookmarkEnd w:id="1082"/>
    <w:p w14:paraId="544EEEF7">
      <w:pPr>
        <w:pStyle w:val="46"/>
        <w:keepNext w:val="0"/>
        <w:keepLines w:val="0"/>
        <w:pageBreakBefore w:val="0"/>
        <w:widowControl w:val="0"/>
        <w:wordWrap/>
        <w:topLinePunct w:val="0"/>
        <w:bidi w:val="0"/>
        <w:spacing w:line="380" w:lineRule="exact"/>
        <w:outlineLvl w:val="2"/>
        <w:rPr>
          <w:rFonts w:ascii="宋体" w:cs="宋体"/>
          <w:color w:val="auto"/>
          <w:highlight w:val="none"/>
        </w:rPr>
      </w:pPr>
      <w:bookmarkStart w:id="1424" w:name="_Toc418752296"/>
      <w:bookmarkStart w:id="1425" w:name="_Toc497747232"/>
      <w:bookmarkStart w:id="1426" w:name="_Toc497746835"/>
      <w:bookmarkStart w:id="1427" w:name="_Toc418751850"/>
      <w:bookmarkStart w:id="1428" w:name="_Toc389065318"/>
      <w:bookmarkStart w:id="1429" w:name="_Toc418061365"/>
      <w:bookmarkStart w:id="1430" w:name="_Toc418518400"/>
      <w:bookmarkStart w:id="1431" w:name="_Toc418518164"/>
      <w:bookmarkStart w:id="1432" w:name="_Toc373478400"/>
      <w:bookmarkStart w:id="1433" w:name="_Toc373227753"/>
      <w:bookmarkStart w:id="1434" w:name="_Toc351203645"/>
      <w:bookmarkStart w:id="1435" w:name="_Toc256000231"/>
      <w:bookmarkStart w:id="1436" w:name="_Toc403578988"/>
      <w:bookmarkStart w:id="1437" w:name="_Toc522201780"/>
      <w:bookmarkStart w:id="1438" w:name="_Toc30972"/>
      <w:bookmarkStart w:id="1439" w:name="_Toc292559424"/>
      <w:bookmarkStart w:id="1440" w:name="_Toc300935015"/>
      <w:bookmarkStart w:id="1441" w:name="_Toc297120519"/>
      <w:bookmarkStart w:id="1442" w:name="_Toc296891259"/>
      <w:bookmarkStart w:id="1443" w:name="_Toc304295593"/>
      <w:bookmarkStart w:id="1444" w:name="_Toc297048405"/>
      <w:bookmarkStart w:id="1445" w:name="_Toc297123564"/>
      <w:bookmarkStart w:id="1446" w:name="_Toc303539172"/>
      <w:bookmarkStart w:id="1447" w:name="_Toc296503219"/>
      <w:bookmarkStart w:id="1448" w:name="_Toc297216223"/>
      <w:bookmarkStart w:id="1449" w:name="_Toc296891047"/>
      <w:bookmarkStart w:id="1450" w:name="_Toc296347218"/>
      <w:bookmarkStart w:id="1451" w:name="_Toc312678053"/>
      <w:bookmarkStart w:id="1452" w:name="_Toc296346720"/>
      <w:bookmarkStart w:id="1453" w:name="_Toc296944558"/>
      <w:bookmarkStart w:id="1454" w:name="_Toc292559929"/>
      <w:r>
        <w:rPr>
          <w:rFonts w:hint="eastAsia" w:ascii="宋体" w:cs="宋体"/>
          <w:color w:val="auto"/>
          <w:highlight w:val="none"/>
        </w:rPr>
        <w:t>13. 验收和工程试车</w:t>
      </w:r>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p>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p w14:paraId="33E9AB0B">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455" w:name="_Toc418752297"/>
      <w:bookmarkStart w:id="1456" w:name="_Toc389065319"/>
      <w:bookmarkStart w:id="1457" w:name="_Toc497746836"/>
      <w:bookmarkStart w:id="1458" w:name="_Toc497747233"/>
      <w:bookmarkStart w:id="1459" w:name="_Toc418751851"/>
      <w:bookmarkStart w:id="1460" w:name="_Toc256000232"/>
      <w:bookmarkStart w:id="1461" w:name="_Toc403578989"/>
      <w:bookmarkStart w:id="1462" w:name="_Toc373227754"/>
      <w:bookmarkStart w:id="1463" w:name="_Toc19468"/>
      <w:bookmarkStart w:id="1464" w:name="_Toc418061366"/>
      <w:bookmarkStart w:id="1465" w:name="_Toc418518401"/>
      <w:bookmarkStart w:id="1466" w:name="_Toc522201781"/>
      <w:bookmarkStart w:id="1467" w:name="_Toc373478401"/>
      <w:bookmarkStart w:id="1468" w:name="_Toc418518165"/>
      <w:r>
        <w:rPr>
          <w:rFonts w:hint="eastAsia" w:ascii="宋体" w:cs="宋体"/>
          <w:color w:val="auto"/>
          <w:highlight w:val="none"/>
        </w:rPr>
        <w:t>13.1 分部分项工程验收</w:t>
      </w:r>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p>
    <w:p w14:paraId="7DE0372C">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13.1.2监理人不能按时进行验收时，应提前</w:t>
      </w:r>
      <w:r>
        <w:rPr>
          <w:rFonts w:hint="eastAsia" w:ascii="宋体" w:hAnsi="宋体" w:cs="宋体"/>
          <w:color w:val="auto"/>
          <w:szCs w:val="21"/>
          <w:highlight w:val="none"/>
          <w:u w:val="single"/>
        </w:rPr>
        <w:t xml:space="preserve"> 24 </w:t>
      </w:r>
      <w:r>
        <w:rPr>
          <w:rFonts w:hint="eastAsia" w:ascii="宋体" w:hAnsi="宋体" w:cs="宋体"/>
          <w:color w:val="auto"/>
          <w:szCs w:val="21"/>
          <w:highlight w:val="none"/>
        </w:rPr>
        <w:t>小时提交书面延期要求。</w:t>
      </w:r>
    </w:p>
    <w:p w14:paraId="7E123BBE">
      <w:pPr>
        <w:pStyle w:val="21"/>
        <w:keepNext w:val="0"/>
        <w:keepLines w:val="0"/>
        <w:pageBreakBefore w:val="0"/>
        <w:widowControl w:val="0"/>
        <w:wordWrap/>
        <w:topLinePunct w:val="0"/>
        <w:bidi w:val="0"/>
        <w:spacing w:line="380" w:lineRule="exact"/>
        <w:ind w:firstLine="420" w:firstLineChars="200"/>
        <w:jc w:val="left"/>
        <w:rPr>
          <w:rFonts w:ascii="宋体" w:hAnsi="宋体" w:cs="宋体"/>
          <w:b/>
          <w:color w:val="auto"/>
          <w:szCs w:val="21"/>
          <w:highlight w:val="none"/>
        </w:rPr>
      </w:pPr>
      <w:r>
        <w:rPr>
          <w:rFonts w:hint="eastAsia" w:ascii="宋体" w:hAnsi="宋体" w:cs="宋体"/>
          <w:color w:val="auto"/>
          <w:szCs w:val="21"/>
          <w:highlight w:val="none"/>
        </w:rPr>
        <w:t>关于延期最长不得超过：</w:t>
      </w:r>
      <w:r>
        <w:rPr>
          <w:rFonts w:hint="eastAsia" w:ascii="宋体" w:hAnsi="宋体" w:cs="宋体"/>
          <w:color w:val="auto"/>
          <w:szCs w:val="21"/>
          <w:highlight w:val="none"/>
          <w:u w:val="single"/>
        </w:rPr>
        <w:t xml:space="preserve"> 48 </w:t>
      </w:r>
      <w:r>
        <w:rPr>
          <w:rFonts w:hint="eastAsia" w:ascii="宋体" w:hAnsi="宋体" w:cs="宋体"/>
          <w:color w:val="auto"/>
          <w:szCs w:val="21"/>
          <w:highlight w:val="none"/>
        </w:rPr>
        <w:t>小时。</w:t>
      </w:r>
    </w:p>
    <w:p w14:paraId="69009FF3">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469" w:name="_Toc403578990"/>
      <w:bookmarkStart w:id="1470" w:name="_Toc256000233"/>
      <w:bookmarkStart w:id="1471" w:name="_Toc522201782"/>
      <w:bookmarkStart w:id="1472" w:name="_Toc418751852"/>
      <w:bookmarkStart w:id="1473" w:name="_Toc373227755"/>
      <w:bookmarkStart w:id="1474" w:name="_Toc418518166"/>
      <w:bookmarkStart w:id="1475" w:name="_Toc497746837"/>
      <w:bookmarkStart w:id="1476" w:name="_Toc418752298"/>
      <w:bookmarkStart w:id="1477" w:name="_Toc373478402"/>
      <w:bookmarkStart w:id="1478" w:name="_Toc418518402"/>
      <w:bookmarkStart w:id="1479" w:name="_Toc418061367"/>
      <w:bookmarkStart w:id="1480" w:name="_Toc389065320"/>
      <w:bookmarkStart w:id="1481" w:name="_Toc497747234"/>
      <w:bookmarkStart w:id="1482" w:name="_Toc7508"/>
      <w:bookmarkStart w:id="1483" w:name="_Toc292559428"/>
      <w:bookmarkStart w:id="1484" w:name="_Toc303539173"/>
      <w:bookmarkStart w:id="1485" w:name="_Toc292559933"/>
      <w:bookmarkStart w:id="1486" w:name="_Toc296891051"/>
      <w:bookmarkStart w:id="1487" w:name="_Toc312678056"/>
      <w:bookmarkStart w:id="1488" w:name="_Toc297048409"/>
      <w:bookmarkStart w:id="1489" w:name="_Toc296346724"/>
      <w:bookmarkStart w:id="1490" w:name="_Toc297120523"/>
      <w:bookmarkStart w:id="1491" w:name="_Toc304295596"/>
      <w:bookmarkStart w:id="1492" w:name="_Toc296503223"/>
      <w:bookmarkStart w:id="1493" w:name="_Toc296944562"/>
      <w:bookmarkStart w:id="1494" w:name="_Toc297123565"/>
      <w:bookmarkStart w:id="1495" w:name="_Toc296891263"/>
      <w:bookmarkStart w:id="1496" w:name="_Toc296347222"/>
      <w:bookmarkStart w:id="1497" w:name="_Toc297216224"/>
      <w:bookmarkStart w:id="1498" w:name="_Toc300935016"/>
      <w:bookmarkStart w:id="1499" w:name="_Toc267251472"/>
      <w:bookmarkStart w:id="1500" w:name="_Toc267251471"/>
      <w:bookmarkStart w:id="1501" w:name="_Toc267251475"/>
      <w:bookmarkStart w:id="1502" w:name="_Toc267251474"/>
      <w:bookmarkStart w:id="1503" w:name="_Toc267251470"/>
      <w:bookmarkStart w:id="1504" w:name="_Toc267251473"/>
      <w:bookmarkStart w:id="1505" w:name="_Toc267251476"/>
      <w:r>
        <w:rPr>
          <w:rFonts w:hint="eastAsia" w:ascii="宋体" w:cs="宋体"/>
          <w:color w:val="auto"/>
          <w:highlight w:val="none"/>
        </w:rPr>
        <w:t>13.2 竣工验收</w:t>
      </w:r>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p>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p w14:paraId="71994053">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bookmarkStart w:id="1506" w:name="_Toc280868704"/>
      <w:bookmarkStart w:id="1507" w:name="_Toc280868705"/>
      <w:bookmarkStart w:id="1508" w:name="_Toc280868706"/>
      <w:bookmarkStart w:id="1509" w:name="_Toc280868707"/>
      <w:bookmarkStart w:id="1510" w:name="_Toc280868708"/>
      <w:bookmarkStart w:id="1511" w:name="_Toc280868709"/>
      <w:r>
        <w:rPr>
          <w:rFonts w:hint="eastAsia" w:ascii="宋体" w:hAnsi="宋体" w:cs="宋体"/>
          <w:color w:val="auto"/>
          <w:szCs w:val="21"/>
          <w:highlight w:val="none"/>
        </w:rPr>
        <w:t>13.2.1竣工验收条件</w:t>
      </w:r>
    </w:p>
    <w:p w14:paraId="1BFFC50C">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（3）承包人负责整理和提交的竣工验收资料应当符合工程所在地建设行政主管部门和(或)城市建设档案管理机构有关施工资料的要求，具体内容包括：</w:t>
      </w:r>
      <w:r>
        <w:rPr>
          <w:rFonts w:hint="eastAsia" w:ascii="宋体" w:hAnsi="宋体" w:cs="宋体"/>
          <w:color w:val="auto"/>
          <w:szCs w:val="21"/>
          <w:highlight w:val="none"/>
          <w:u w:val="single"/>
        </w:rPr>
        <w:t xml:space="preserve"> 1、工程具备竣工验收条件，承包人按工期竣工验收有关规定，向发包人提交符合桂林市城建档案馆归档要求内容装订成册的完整竣工资料及竣工验收报告、工程竣工图。2、承包人所提交的竣工资料必须符合《建设工程归档整理规范》要求，并在结算审批时出具《工程档案验收合格证明》及建设单位接收档案资料清单证明 </w:t>
      </w:r>
      <w:r>
        <w:rPr>
          <w:rFonts w:hint="eastAsia" w:ascii="宋体" w:hAnsi="宋体" w:cs="宋体"/>
          <w:color w:val="auto"/>
          <w:szCs w:val="21"/>
          <w:highlight w:val="none"/>
        </w:rPr>
        <w:t>。</w:t>
      </w:r>
    </w:p>
    <w:p w14:paraId="269090E0">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竣工验收资料的份数：</w:t>
      </w:r>
      <w:r>
        <w:rPr>
          <w:rFonts w:hint="eastAsia" w:ascii="宋体" w:hAnsi="宋体" w:cs="宋体"/>
          <w:color w:val="auto"/>
          <w:szCs w:val="21"/>
          <w:highlight w:val="none"/>
          <w:u w:val="single"/>
        </w:rPr>
        <w:t>肆份，承包人承担竣工验收资料编制、立卷及至档案馆归档等一切费用</w:t>
      </w:r>
      <w:r>
        <w:rPr>
          <w:rFonts w:hint="eastAsia" w:ascii="宋体" w:hAnsi="宋体" w:cs="宋体"/>
          <w:color w:val="auto"/>
          <w:szCs w:val="21"/>
          <w:highlight w:val="none"/>
        </w:rPr>
        <w:t>。</w:t>
      </w:r>
    </w:p>
    <w:p w14:paraId="382597BB">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bCs/>
          <w:color w:val="auto"/>
          <w:szCs w:val="21"/>
          <w:highlight w:val="none"/>
        </w:rPr>
        <w:t>承包人提供竣工图的约定：</w:t>
      </w:r>
      <w:r>
        <w:rPr>
          <w:rFonts w:hint="eastAsia" w:ascii="宋体" w:hAnsi="宋体" w:cs="宋体"/>
          <w:bCs/>
          <w:color w:val="auto"/>
          <w:szCs w:val="21"/>
          <w:highlight w:val="none"/>
          <w:u w:val="single"/>
        </w:rPr>
        <w:t>竣工验收正式通过后15天，提供4套竣工图。</w:t>
      </w:r>
    </w:p>
    <w:p w14:paraId="5000FF4D">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13.2.2竣工验收程序</w:t>
      </w:r>
    </w:p>
    <w:bookmarkEnd w:id="1506"/>
    <w:p w14:paraId="55435FDF">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rPr>
        <w:t>关于竣工验收程序的约定</w:t>
      </w:r>
      <w:r>
        <w:rPr>
          <w:rFonts w:hint="eastAsia" w:ascii="宋体" w:hAnsi="宋体" w:cs="宋体"/>
          <w:color w:val="auto"/>
          <w:kern w:val="0"/>
          <w:szCs w:val="21"/>
          <w:highlight w:val="none"/>
          <w:lang w:eastAsia="zh-CN"/>
        </w:rPr>
        <w:t>：</w:t>
      </w:r>
      <w:r>
        <w:rPr>
          <w:rFonts w:hint="eastAsia" w:ascii="宋体" w:hAnsi="宋体" w:cs="宋体"/>
          <w:color w:val="auto"/>
          <w:szCs w:val="21"/>
          <w:highlight w:val="none"/>
          <w:u w:val="single"/>
        </w:rPr>
        <w:t>由承包人提出申请，经监理工程师及承包人同意后，通知各质检及监督部门进行竣工验收。本工程竣工验收合格后，双方应在验收报告上签字认可，本工程实际竣工日期以建设、设计、勘察、监理、施工五家单位验收小组正式验收签字日期为准。工程保修按合同附件3《工程质量保修书》有关规定执行。</w:t>
      </w:r>
    </w:p>
    <w:p w14:paraId="77D7D60C">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rPr>
        <w:t>发包人不按照本项约定组织竣工验收、颁发工程接收证书的违约金的计算方法：</w:t>
      </w:r>
      <w:r>
        <w:rPr>
          <w:rFonts w:hint="eastAsia" w:ascii="宋体" w:hAnsi="宋体" w:cs="宋体"/>
          <w:color w:val="auto"/>
          <w:szCs w:val="21"/>
          <w:highlight w:val="none"/>
          <w:u w:val="single"/>
        </w:rPr>
        <w:t xml:space="preserve"> 无  </w:t>
      </w:r>
      <w:r>
        <w:rPr>
          <w:rFonts w:hint="eastAsia" w:ascii="宋体" w:hAnsi="宋体" w:cs="宋体"/>
          <w:color w:val="auto"/>
          <w:szCs w:val="21"/>
          <w:highlight w:val="none"/>
        </w:rPr>
        <w:t>。</w:t>
      </w:r>
    </w:p>
    <w:bookmarkEnd w:id="1507"/>
    <w:p w14:paraId="4A9EBA09">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13.2.5移交、接收全部与部分工程</w:t>
      </w:r>
    </w:p>
    <w:bookmarkEnd w:id="1508"/>
    <w:p w14:paraId="4A157AF3">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承包人向发包人移交工程的期限：</w:t>
      </w:r>
      <w:r>
        <w:rPr>
          <w:rFonts w:hint="eastAsia" w:ascii="宋体" w:hAnsi="宋体" w:cs="宋体"/>
          <w:color w:val="auto"/>
          <w:szCs w:val="21"/>
          <w:highlight w:val="none"/>
          <w:u w:val="single"/>
        </w:rPr>
        <w:t xml:space="preserve"> 竣工验收整改完毕三日内 </w:t>
      </w:r>
      <w:r>
        <w:rPr>
          <w:rFonts w:hint="eastAsia" w:ascii="宋体" w:hAnsi="宋体" w:cs="宋体"/>
          <w:color w:val="auto"/>
          <w:szCs w:val="21"/>
          <w:highlight w:val="none"/>
        </w:rPr>
        <w:t>。</w:t>
      </w:r>
    </w:p>
    <w:p w14:paraId="35018EFE">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rPr>
        <w:t>发包人未按本合同约定接收全部或部分工程的，违约金的计算方法为：</w:t>
      </w:r>
      <w:r>
        <w:rPr>
          <w:rFonts w:hint="eastAsia" w:ascii="宋体" w:hAnsi="宋体" w:cs="宋体"/>
          <w:color w:val="auto"/>
          <w:szCs w:val="21"/>
          <w:highlight w:val="none"/>
          <w:u w:val="single"/>
        </w:rPr>
        <w:t xml:space="preserve">  </w:t>
      </w:r>
      <w:r>
        <w:rPr>
          <w:rFonts w:hint="eastAsia" w:ascii="宋体" w:hAnsi="宋体" w:cs="宋体"/>
          <w:bCs/>
          <w:color w:val="auto"/>
          <w:szCs w:val="21"/>
          <w:highlight w:val="none"/>
          <w:u w:val="single"/>
        </w:rPr>
        <w:t>每逾期一天，按</w:t>
      </w:r>
      <w:r>
        <w:rPr>
          <w:rFonts w:hint="eastAsia" w:ascii="宋体" w:hAnsi="宋体" w:cs="宋体"/>
          <w:color w:val="auto"/>
          <w:szCs w:val="21"/>
          <w:highlight w:val="none"/>
          <w:u w:val="single"/>
          <w:lang w:val="zh-CN"/>
        </w:rPr>
        <w:t>签约合同价</w:t>
      </w:r>
      <w:r>
        <w:rPr>
          <w:rFonts w:hint="eastAsia" w:ascii="宋体" w:hAnsi="宋体" w:cs="宋体"/>
          <w:color w:val="auto"/>
          <w:szCs w:val="21"/>
          <w:highlight w:val="none"/>
          <w:u w:val="single"/>
        </w:rPr>
        <w:t>款扣除社会保险费、发包人材料价款、暂估专业工程、暂列金额后的万分之四/天</w:t>
      </w:r>
      <w:r>
        <w:rPr>
          <w:rFonts w:hint="eastAsia" w:ascii="宋体" w:hAnsi="宋体" w:cs="宋体"/>
          <w:bCs/>
          <w:color w:val="auto"/>
          <w:szCs w:val="21"/>
          <w:highlight w:val="none"/>
          <w:u w:val="single"/>
        </w:rPr>
        <w:t>支付违约金，最高限额为结算价的</w:t>
      </w:r>
      <w:r>
        <w:rPr>
          <w:rFonts w:hint="eastAsia" w:ascii="宋体" w:hAnsi="宋体" w:cs="宋体"/>
          <w:bCs/>
          <w:color w:val="auto"/>
          <w:szCs w:val="21"/>
          <w:highlight w:val="none"/>
          <w:u w:val="single"/>
          <w:lang w:val="en-US" w:eastAsia="zh-CN"/>
        </w:rPr>
        <w:t>1</w:t>
      </w:r>
      <w:r>
        <w:rPr>
          <w:rFonts w:hint="eastAsia" w:ascii="宋体" w:hAnsi="宋体" w:cs="宋体"/>
          <w:bCs/>
          <w:color w:val="auto"/>
          <w:szCs w:val="21"/>
          <w:highlight w:val="none"/>
          <w:u w:val="single"/>
        </w:rPr>
        <w:t xml:space="preserve">% </w:t>
      </w:r>
      <w:r>
        <w:rPr>
          <w:rFonts w:hint="eastAsia" w:ascii="宋体" w:hAnsi="宋体" w:cs="宋体"/>
          <w:color w:val="auto"/>
          <w:szCs w:val="21"/>
          <w:highlight w:val="none"/>
        </w:rPr>
        <w:t>。</w:t>
      </w:r>
    </w:p>
    <w:bookmarkEnd w:id="1509"/>
    <w:p w14:paraId="0395C542">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承包人未按时移交工程的，违约金的计算方法为：</w:t>
      </w:r>
      <w:r>
        <w:rPr>
          <w:rFonts w:hint="eastAsia" w:ascii="宋体" w:hAnsi="宋体" w:cs="宋体"/>
          <w:color w:val="auto"/>
          <w:szCs w:val="21"/>
          <w:highlight w:val="none"/>
          <w:u w:val="single"/>
        </w:rPr>
        <w:t xml:space="preserve">  </w:t>
      </w:r>
      <w:r>
        <w:rPr>
          <w:rFonts w:hint="eastAsia" w:ascii="宋体" w:hAnsi="宋体" w:cs="宋体"/>
          <w:bCs/>
          <w:color w:val="auto"/>
          <w:szCs w:val="21"/>
          <w:highlight w:val="none"/>
          <w:u w:val="single"/>
        </w:rPr>
        <w:t>每逾期一天</w:t>
      </w:r>
      <w:r>
        <w:rPr>
          <w:rFonts w:hint="eastAsia" w:ascii="宋体" w:hAnsi="宋体" w:cs="宋体"/>
          <w:color w:val="auto"/>
          <w:szCs w:val="21"/>
          <w:highlight w:val="none"/>
          <w:u w:val="single"/>
        </w:rPr>
        <w:t>，按</w:t>
      </w:r>
      <w:r>
        <w:rPr>
          <w:rFonts w:hint="eastAsia" w:ascii="宋体" w:hAnsi="宋体" w:cs="宋体"/>
          <w:color w:val="auto"/>
          <w:szCs w:val="21"/>
          <w:highlight w:val="none"/>
          <w:u w:val="single"/>
          <w:lang w:val="zh-CN"/>
        </w:rPr>
        <w:t>签约合同价</w:t>
      </w:r>
      <w:r>
        <w:rPr>
          <w:rFonts w:hint="eastAsia" w:ascii="宋体" w:hAnsi="宋体" w:cs="宋体"/>
          <w:color w:val="auto"/>
          <w:szCs w:val="21"/>
          <w:highlight w:val="none"/>
          <w:u w:val="single"/>
        </w:rPr>
        <w:t xml:space="preserve">款扣除社会保险费、发包人材料价款、暂估专业工程、暂列金额后的万分之四/天支付违约金，最高限额为结算价的3%  </w:t>
      </w:r>
      <w:r>
        <w:rPr>
          <w:rFonts w:hint="eastAsia" w:ascii="宋体" w:hAnsi="宋体" w:cs="宋体"/>
          <w:color w:val="auto"/>
          <w:szCs w:val="21"/>
          <w:highlight w:val="none"/>
        </w:rPr>
        <w:t>。</w:t>
      </w:r>
    </w:p>
    <w:p w14:paraId="05E1FF13">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512" w:name="_Toc22147"/>
      <w:bookmarkStart w:id="1513" w:name="_Toc418518167"/>
      <w:bookmarkStart w:id="1514" w:name="_Toc389065321"/>
      <w:bookmarkStart w:id="1515" w:name="_Toc418751853"/>
      <w:bookmarkStart w:id="1516" w:name="_Toc403578991"/>
      <w:bookmarkStart w:id="1517" w:name="_Toc497746838"/>
      <w:bookmarkStart w:id="1518" w:name="_Toc418518403"/>
      <w:bookmarkStart w:id="1519" w:name="_Toc373478403"/>
      <w:bookmarkStart w:id="1520" w:name="_Toc373227756"/>
      <w:bookmarkStart w:id="1521" w:name="_Toc522201783"/>
      <w:bookmarkStart w:id="1522" w:name="_Toc418752299"/>
      <w:bookmarkStart w:id="1523" w:name="_Toc418061368"/>
      <w:bookmarkStart w:id="1524" w:name="_Toc497747235"/>
      <w:bookmarkStart w:id="1525" w:name="_Toc256000234"/>
      <w:r>
        <w:rPr>
          <w:rFonts w:hint="eastAsia" w:ascii="宋体" w:cs="宋体"/>
          <w:color w:val="auto"/>
          <w:highlight w:val="none"/>
        </w:rPr>
        <w:t>13.3 工程试车</w:t>
      </w:r>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p>
    <w:bookmarkEnd w:id="1510"/>
    <w:p w14:paraId="4920B80E">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13.3.1 试车程序</w:t>
      </w:r>
    </w:p>
    <w:p w14:paraId="1519BEC0">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rPr>
        <w:t>工程试车内容：</w:t>
      </w:r>
      <w:r>
        <w:rPr>
          <w:rFonts w:hint="eastAsia" w:ascii="宋体" w:hAnsi="宋体" w:cs="宋体"/>
          <w:color w:val="auto"/>
          <w:szCs w:val="21"/>
          <w:highlight w:val="none"/>
          <w:u w:val="single"/>
        </w:rPr>
        <w:t xml:space="preserve">  为达到本工程的验收标准，工程范围内的设施和承包人安装的设备应进行试运行调试，费用由承包人自行负责并已包括在</w:t>
      </w:r>
      <w:r>
        <w:rPr>
          <w:rFonts w:hint="eastAsia" w:ascii="宋体" w:hAnsi="宋体" w:cs="宋体"/>
          <w:color w:val="auto"/>
          <w:szCs w:val="21"/>
          <w:highlight w:val="none"/>
          <w:u w:val="single"/>
          <w:lang w:eastAsia="zh-CN"/>
        </w:rPr>
        <w:t>投标报价（磋商报价）</w:t>
      </w:r>
      <w:r>
        <w:rPr>
          <w:rFonts w:hint="eastAsia" w:ascii="宋体" w:hAnsi="宋体" w:cs="宋体"/>
          <w:color w:val="auto"/>
          <w:szCs w:val="21"/>
          <w:highlight w:val="none"/>
          <w:u w:val="single"/>
        </w:rPr>
        <w:t xml:space="preserve">中 </w:t>
      </w:r>
      <w:r>
        <w:rPr>
          <w:rFonts w:hint="eastAsia" w:ascii="宋体" w:hAnsi="宋体" w:cs="宋体"/>
          <w:color w:val="auto"/>
          <w:szCs w:val="21"/>
          <w:highlight w:val="none"/>
        </w:rPr>
        <w:t>。</w:t>
      </w:r>
    </w:p>
    <w:p w14:paraId="13ED415B">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（1）单机无负荷试车费用由</w:t>
      </w:r>
      <w:r>
        <w:rPr>
          <w:rFonts w:hint="eastAsia" w:ascii="宋体" w:hAnsi="宋体" w:cs="宋体"/>
          <w:color w:val="auto"/>
          <w:szCs w:val="21"/>
          <w:highlight w:val="none"/>
          <w:u w:val="single"/>
        </w:rPr>
        <w:t xml:space="preserve">  承包人组织试运行，费用由承包人</w:t>
      </w:r>
      <w:r>
        <w:rPr>
          <w:rFonts w:hint="eastAsia" w:ascii="宋体" w:hAnsi="宋体" w:cs="宋体"/>
          <w:color w:val="auto"/>
          <w:kern w:val="0"/>
          <w:szCs w:val="21"/>
          <w:highlight w:val="none"/>
        </w:rPr>
        <w:t>承担；</w:t>
      </w:r>
    </w:p>
    <w:p w14:paraId="60D31CC9">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（2）无负荷联动试车费用由</w:t>
      </w:r>
      <w:r>
        <w:rPr>
          <w:rFonts w:hint="eastAsia" w:ascii="宋体" w:hAnsi="宋体" w:cs="宋体"/>
          <w:color w:val="auto"/>
          <w:szCs w:val="21"/>
          <w:highlight w:val="none"/>
          <w:u w:val="single"/>
        </w:rPr>
        <w:t xml:space="preserve">  承包人组织试运行，费用由承包人</w:t>
      </w:r>
      <w:r>
        <w:rPr>
          <w:rFonts w:hint="eastAsia" w:ascii="宋体" w:hAnsi="宋体" w:cs="宋体"/>
          <w:color w:val="auto"/>
          <w:kern w:val="0"/>
          <w:szCs w:val="21"/>
          <w:highlight w:val="none"/>
        </w:rPr>
        <w:t>承担。</w:t>
      </w:r>
    </w:p>
    <w:p w14:paraId="77D1534F">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13.3.3 投料试车</w:t>
      </w:r>
    </w:p>
    <w:p w14:paraId="11B76A3A">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rPr>
        <w:t>关于投料试车相关事项的约定：</w:t>
      </w:r>
      <w:r>
        <w:rPr>
          <w:rFonts w:hint="eastAsia" w:ascii="宋体" w:hAnsi="宋体" w:cs="宋体"/>
          <w:color w:val="auto"/>
          <w:szCs w:val="21"/>
          <w:highlight w:val="none"/>
          <w:u w:val="single"/>
        </w:rPr>
        <w:t xml:space="preserve"> 由承包人组织试运行，费用由承包人承担 </w:t>
      </w:r>
      <w:r>
        <w:rPr>
          <w:rFonts w:hint="eastAsia" w:ascii="宋体" w:hAnsi="宋体" w:cs="宋体"/>
          <w:color w:val="auto"/>
          <w:szCs w:val="21"/>
          <w:highlight w:val="none"/>
        </w:rPr>
        <w:t>。</w:t>
      </w:r>
    </w:p>
    <w:p w14:paraId="1CBD6B89">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526" w:name="_Toc497747236"/>
      <w:bookmarkStart w:id="1527" w:name="_Toc418061369"/>
      <w:bookmarkStart w:id="1528" w:name="_Toc373478404"/>
      <w:bookmarkStart w:id="1529" w:name="_Toc497746839"/>
      <w:bookmarkStart w:id="1530" w:name="_Toc418751854"/>
      <w:bookmarkStart w:id="1531" w:name="_Toc522201784"/>
      <w:bookmarkStart w:id="1532" w:name="_Toc418752300"/>
      <w:bookmarkStart w:id="1533" w:name="_Toc403578992"/>
      <w:bookmarkStart w:id="1534" w:name="_Toc389065322"/>
      <w:bookmarkStart w:id="1535" w:name="_Toc418518404"/>
      <w:bookmarkStart w:id="1536" w:name="_Toc256000235"/>
      <w:bookmarkStart w:id="1537" w:name="_Toc16016"/>
      <w:bookmarkStart w:id="1538" w:name="_Toc418518168"/>
      <w:bookmarkStart w:id="1539" w:name="_Toc373227757"/>
      <w:r>
        <w:rPr>
          <w:rFonts w:hint="eastAsia" w:ascii="宋体" w:cs="宋体"/>
          <w:color w:val="auto"/>
          <w:highlight w:val="none"/>
        </w:rPr>
        <w:t>13.6 竣工退场</w:t>
      </w:r>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p>
    <w:p w14:paraId="592CBAC2">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13.6.1 竣工退场</w:t>
      </w:r>
    </w:p>
    <w:p w14:paraId="371584F2">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承包人完成竣工退场的期限：</w:t>
      </w:r>
      <w:r>
        <w:rPr>
          <w:rFonts w:hint="eastAsia" w:ascii="宋体" w:hAnsi="宋体" w:cs="宋体"/>
          <w:color w:val="auto"/>
          <w:szCs w:val="21"/>
          <w:highlight w:val="none"/>
          <w:u w:val="single"/>
        </w:rPr>
        <w:t>监理人颁发(出具)工程接收证书后，承包人负责按照通用合同条款本项约定的要求对施工场地进行清理并承担相关费用，直至监理人检验合格后七日内，如承包人到期后不退场，发包人有权安排其他人员进行清理，费用从承包人工程款中扣除。</w:t>
      </w:r>
    </w:p>
    <w:p w14:paraId="4853CFC9">
      <w:pPr>
        <w:pStyle w:val="46"/>
        <w:keepNext w:val="0"/>
        <w:keepLines w:val="0"/>
        <w:pageBreakBefore w:val="0"/>
        <w:widowControl w:val="0"/>
        <w:wordWrap/>
        <w:topLinePunct w:val="0"/>
        <w:bidi w:val="0"/>
        <w:spacing w:line="380" w:lineRule="exact"/>
        <w:outlineLvl w:val="2"/>
        <w:rPr>
          <w:rFonts w:ascii="宋体" w:cs="宋体"/>
          <w:color w:val="auto"/>
          <w:highlight w:val="none"/>
        </w:rPr>
      </w:pPr>
      <w:bookmarkStart w:id="1540" w:name="_Toc351203646"/>
      <w:bookmarkStart w:id="1541" w:name="_Toc389065323"/>
      <w:bookmarkStart w:id="1542" w:name="_Toc418518405"/>
      <w:bookmarkStart w:id="1543" w:name="_Toc497746840"/>
      <w:bookmarkStart w:id="1544" w:name="_Toc497747237"/>
      <w:bookmarkStart w:id="1545" w:name="_Toc373227758"/>
      <w:bookmarkStart w:id="1546" w:name="_Toc418518169"/>
      <w:bookmarkStart w:id="1547" w:name="_Toc418752301"/>
      <w:bookmarkStart w:id="1548" w:name="_Toc256000236"/>
      <w:bookmarkStart w:id="1549" w:name="_Toc522201785"/>
      <w:bookmarkStart w:id="1550" w:name="_Toc418751855"/>
      <w:bookmarkStart w:id="1551" w:name="_Toc15239"/>
      <w:bookmarkStart w:id="1552" w:name="_Toc418061370"/>
      <w:bookmarkStart w:id="1553" w:name="_Toc403578993"/>
      <w:bookmarkStart w:id="1554" w:name="_Toc373478405"/>
      <w:r>
        <w:rPr>
          <w:rFonts w:hint="eastAsia" w:ascii="宋体" w:cs="宋体"/>
          <w:color w:val="auto"/>
          <w:highlight w:val="none"/>
        </w:rPr>
        <w:t xml:space="preserve">14. </w:t>
      </w:r>
      <w:r>
        <w:rPr>
          <w:rFonts w:hint="eastAsia" w:ascii="宋体" w:hAnsi="宋体" w:eastAsia="宋体" w:cs="宋体"/>
          <w:color w:val="auto"/>
          <w:highlight w:val="none"/>
        </w:rPr>
        <w:t>竣工</w:t>
      </w:r>
      <w:r>
        <w:rPr>
          <w:rFonts w:hint="eastAsia" w:ascii="宋体" w:cs="宋体"/>
          <w:color w:val="auto"/>
          <w:highlight w:val="none"/>
        </w:rPr>
        <w:t>结算</w:t>
      </w:r>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p>
    <w:p w14:paraId="5837CD76">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555" w:name="_Toc389065324"/>
      <w:bookmarkStart w:id="1556" w:name="_Toc418752302"/>
      <w:bookmarkStart w:id="1557" w:name="_Toc256000237"/>
      <w:bookmarkStart w:id="1558" w:name="_Toc522201786"/>
      <w:bookmarkStart w:id="1559" w:name="_Toc373478406"/>
      <w:bookmarkStart w:id="1560" w:name="_Toc5496"/>
      <w:bookmarkStart w:id="1561" w:name="_Toc418751856"/>
      <w:bookmarkStart w:id="1562" w:name="_Toc497747238"/>
      <w:bookmarkStart w:id="1563" w:name="_Toc403578994"/>
      <w:bookmarkStart w:id="1564" w:name="_Toc418518406"/>
      <w:bookmarkStart w:id="1565" w:name="_Toc418061371"/>
      <w:bookmarkStart w:id="1566" w:name="_Toc497746841"/>
      <w:bookmarkStart w:id="1567" w:name="_Toc418518170"/>
      <w:bookmarkStart w:id="1568" w:name="_Toc373227759"/>
      <w:r>
        <w:rPr>
          <w:rFonts w:hint="eastAsia" w:ascii="宋体" w:cs="宋体"/>
          <w:color w:val="auto"/>
          <w:highlight w:val="none"/>
        </w:rPr>
        <w:t>14.1 竣工结算申请</w:t>
      </w:r>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p>
    <w:p w14:paraId="1E6A006D">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承包人提交竣工结算申请单的期限：</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u w:val="single"/>
        </w:rPr>
        <w:t>具备竣工收条件后28天内</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2FF83AC0">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竣工结算申请单应包括的内容：</w:t>
      </w:r>
      <w:r>
        <w:rPr>
          <w:rFonts w:hint="eastAsia" w:ascii="宋体" w:hAnsi="宋体" w:cs="宋体"/>
          <w:color w:val="auto"/>
          <w:kern w:val="0"/>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u w:val="single"/>
        </w:rPr>
        <w:t>竣工结算由承包人提交相关结算资料（主要包括合同、工程量计算书、结算书、变更设计通知单、签证单、竣工图）齐全后经监理初审、发包人审核后，</w:t>
      </w:r>
      <w:r>
        <w:rPr>
          <w:rFonts w:hint="eastAsia" w:ascii="宋体" w:hAnsi="宋体" w:cs="宋体"/>
          <w:color w:val="auto"/>
          <w:szCs w:val="21"/>
          <w:highlight w:val="none"/>
          <w:u w:val="single"/>
        </w:rPr>
        <w:t>最终结算以</w:t>
      </w:r>
      <w:r>
        <w:rPr>
          <w:rFonts w:hint="eastAsia" w:ascii="宋体" w:hAnsi="宋体" w:cs="宋体"/>
          <w:color w:val="auto"/>
          <w:szCs w:val="21"/>
          <w:highlight w:val="none"/>
          <w:u w:val="single"/>
          <w:lang w:val="en-US" w:eastAsia="zh-CN"/>
        </w:rPr>
        <w:t>灌阳县</w:t>
      </w:r>
      <w:r>
        <w:rPr>
          <w:rFonts w:hint="eastAsia" w:ascii="宋体" w:hAnsi="宋体" w:cs="宋体"/>
          <w:color w:val="auto"/>
          <w:szCs w:val="21"/>
          <w:highlight w:val="none"/>
          <w:u w:val="single"/>
          <w:lang w:eastAsia="zh-CN"/>
        </w:rPr>
        <w:t>财政局</w:t>
      </w:r>
      <w:r>
        <w:rPr>
          <w:rFonts w:hint="eastAsia" w:ascii="宋体" w:hAnsi="宋体" w:cs="宋体"/>
          <w:color w:val="auto"/>
          <w:szCs w:val="21"/>
          <w:highlight w:val="none"/>
          <w:u w:val="single"/>
        </w:rPr>
        <w:t xml:space="preserve">或发包人委托的造价咨询机构审定并经发包人及承包人双方确认的金额为准 </w:t>
      </w:r>
      <w:r>
        <w:rPr>
          <w:rFonts w:hint="eastAsia" w:ascii="宋体" w:hAnsi="宋体" w:cs="宋体"/>
          <w:color w:val="auto"/>
          <w:szCs w:val="21"/>
          <w:highlight w:val="none"/>
        </w:rPr>
        <w:t>。</w:t>
      </w:r>
    </w:p>
    <w:p w14:paraId="07943756">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569" w:name="_Toc403578995"/>
      <w:bookmarkStart w:id="1570" w:name="_Toc373227760"/>
      <w:bookmarkStart w:id="1571" w:name="_Toc256000238"/>
      <w:bookmarkStart w:id="1572" w:name="_Toc373478407"/>
      <w:bookmarkStart w:id="1573" w:name="_Toc418518407"/>
      <w:bookmarkStart w:id="1574" w:name="_Toc418061372"/>
      <w:bookmarkStart w:id="1575" w:name="_Toc497747239"/>
      <w:bookmarkStart w:id="1576" w:name="_Toc418752303"/>
      <w:bookmarkStart w:id="1577" w:name="_Toc418518171"/>
      <w:bookmarkStart w:id="1578" w:name="_Toc522201787"/>
      <w:bookmarkStart w:id="1579" w:name="_Toc418751857"/>
      <w:bookmarkStart w:id="1580" w:name="_Toc497746842"/>
      <w:bookmarkStart w:id="1581" w:name="_Toc1173"/>
      <w:bookmarkStart w:id="1582" w:name="_Toc389065325"/>
      <w:r>
        <w:rPr>
          <w:rFonts w:hint="eastAsia" w:ascii="宋体" w:cs="宋体"/>
          <w:color w:val="auto"/>
          <w:highlight w:val="none"/>
        </w:rPr>
        <w:t>14.2 竣工结算审核</w:t>
      </w:r>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p>
    <w:p w14:paraId="449D284E">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发包人审批竣工付款申请单的期限：</w:t>
      </w:r>
    </w:p>
    <w:tbl>
      <w:tblPr>
        <w:tblStyle w:val="27"/>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616"/>
        <w:gridCol w:w="5817"/>
      </w:tblGrid>
      <w:tr w14:paraId="1F285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4AC3F6DA">
            <w:pPr>
              <w:pStyle w:val="21"/>
              <w:keepNext w:val="0"/>
              <w:keepLines w:val="0"/>
              <w:pageBreakBefore w:val="0"/>
              <w:widowControl w:val="0"/>
              <w:wordWrap/>
              <w:topLinePunct w:val="0"/>
              <w:bidi w:val="0"/>
              <w:spacing w:line="380" w:lineRule="exact"/>
              <w:jc w:val="center"/>
              <w:rPr>
                <w:rFonts w:ascii="宋体" w:hAnsi="宋体" w:cs="宋体"/>
                <w:bCs/>
                <w:color w:val="auto"/>
                <w:szCs w:val="21"/>
                <w:highlight w:val="none"/>
              </w:rPr>
            </w:pPr>
          </w:p>
        </w:tc>
        <w:tc>
          <w:tcPr>
            <w:tcW w:w="2616" w:type="dxa"/>
            <w:noWrap w:val="0"/>
            <w:vAlign w:val="center"/>
          </w:tcPr>
          <w:p w14:paraId="061E1FE5">
            <w:pPr>
              <w:pStyle w:val="21"/>
              <w:keepNext w:val="0"/>
              <w:keepLines w:val="0"/>
              <w:pageBreakBefore w:val="0"/>
              <w:widowControl w:val="0"/>
              <w:wordWrap/>
              <w:topLinePunct w:val="0"/>
              <w:bidi w:val="0"/>
              <w:spacing w:line="380" w:lineRule="exact"/>
              <w:ind w:firstLine="27" w:firstLineChars="13"/>
              <w:jc w:val="center"/>
              <w:rPr>
                <w:rFonts w:ascii="宋体" w:hAnsi="宋体" w:cs="宋体"/>
                <w:bCs/>
                <w:color w:val="auto"/>
                <w:szCs w:val="21"/>
                <w:highlight w:val="none"/>
              </w:rPr>
            </w:pPr>
            <w:r>
              <w:rPr>
                <w:rFonts w:hint="eastAsia" w:ascii="宋体" w:hAnsi="宋体" w:cs="宋体"/>
                <w:bCs/>
                <w:color w:val="auto"/>
                <w:szCs w:val="21"/>
                <w:highlight w:val="none"/>
              </w:rPr>
              <w:t>工程竣工结算报告金额</w:t>
            </w:r>
          </w:p>
        </w:tc>
        <w:tc>
          <w:tcPr>
            <w:tcW w:w="5817" w:type="dxa"/>
            <w:noWrap w:val="0"/>
            <w:vAlign w:val="center"/>
          </w:tcPr>
          <w:p w14:paraId="4606CF06">
            <w:pPr>
              <w:pStyle w:val="21"/>
              <w:keepNext w:val="0"/>
              <w:keepLines w:val="0"/>
              <w:pageBreakBefore w:val="0"/>
              <w:widowControl w:val="0"/>
              <w:wordWrap/>
              <w:topLinePunct w:val="0"/>
              <w:bidi w:val="0"/>
              <w:spacing w:line="380" w:lineRule="exact"/>
              <w:jc w:val="center"/>
              <w:rPr>
                <w:rFonts w:ascii="宋体" w:hAnsi="宋体" w:cs="宋体"/>
                <w:bCs/>
                <w:color w:val="auto"/>
                <w:szCs w:val="21"/>
                <w:highlight w:val="none"/>
              </w:rPr>
            </w:pPr>
            <w:r>
              <w:rPr>
                <w:rFonts w:hint="eastAsia" w:ascii="宋体" w:hAnsi="宋体" w:cs="宋体"/>
                <w:bCs/>
                <w:color w:val="auto"/>
                <w:szCs w:val="21"/>
                <w:highlight w:val="none"/>
              </w:rPr>
              <w:t>发包人审查时间</w:t>
            </w:r>
          </w:p>
        </w:tc>
      </w:tr>
      <w:tr w14:paraId="03E04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0AB58DE1">
            <w:pPr>
              <w:pStyle w:val="21"/>
              <w:keepNext w:val="0"/>
              <w:keepLines w:val="0"/>
              <w:pageBreakBefore w:val="0"/>
              <w:widowControl w:val="0"/>
              <w:wordWrap/>
              <w:topLinePunct w:val="0"/>
              <w:bidi w:val="0"/>
              <w:spacing w:line="380" w:lineRule="exact"/>
              <w:jc w:val="center"/>
              <w:rPr>
                <w:rFonts w:ascii="宋体" w:hAnsi="宋体" w:cs="宋体"/>
                <w:bCs/>
                <w:color w:val="auto"/>
                <w:szCs w:val="21"/>
                <w:highlight w:val="none"/>
              </w:rPr>
            </w:pPr>
            <w:r>
              <w:rPr>
                <w:rFonts w:hint="eastAsia" w:ascii="宋体" w:hAnsi="宋体" w:cs="宋体"/>
                <w:bCs/>
                <w:color w:val="auto"/>
                <w:szCs w:val="21"/>
                <w:highlight w:val="none"/>
              </w:rPr>
              <w:t>1</w:t>
            </w:r>
          </w:p>
        </w:tc>
        <w:tc>
          <w:tcPr>
            <w:tcW w:w="2616" w:type="dxa"/>
            <w:noWrap w:val="0"/>
            <w:vAlign w:val="center"/>
          </w:tcPr>
          <w:p w14:paraId="45FF3CCB">
            <w:pPr>
              <w:pStyle w:val="21"/>
              <w:keepNext w:val="0"/>
              <w:keepLines w:val="0"/>
              <w:pageBreakBefore w:val="0"/>
              <w:widowControl w:val="0"/>
              <w:wordWrap/>
              <w:topLinePunct w:val="0"/>
              <w:bidi w:val="0"/>
              <w:spacing w:line="380" w:lineRule="exact"/>
              <w:ind w:firstLine="27" w:firstLineChars="13"/>
              <w:jc w:val="center"/>
              <w:rPr>
                <w:rFonts w:ascii="宋体" w:hAnsi="宋体" w:cs="宋体"/>
                <w:bCs/>
                <w:color w:val="auto"/>
                <w:szCs w:val="21"/>
                <w:highlight w:val="none"/>
              </w:rPr>
            </w:pPr>
            <w:r>
              <w:rPr>
                <w:rFonts w:hint="eastAsia" w:ascii="宋体" w:hAnsi="宋体" w:cs="宋体"/>
                <w:bCs/>
                <w:color w:val="auto"/>
                <w:szCs w:val="21"/>
                <w:highlight w:val="none"/>
              </w:rPr>
              <w:t>500万元以下</w:t>
            </w:r>
          </w:p>
        </w:tc>
        <w:tc>
          <w:tcPr>
            <w:tcW w:w="5817" w:type="dxa"/>
            <w:noWrap w:val="0"/>
            <w:vAlign w:val="center"/>
          </w:tcPr>
          <w:p w14:paraId="3859AE90">
            <w:pPr>
              <w:pStyle w:val="21"/>
              <w:keepNext w:val="0"/>
              <w:keepLines w:val="0"/>
              <w:pageBreakBefore w:val="0"/>
              <w:widowControl w:val="0"/>
              <w:wordWrap/>
              <w:topLinePunct w:val="0"/>
              <w:bidi w:val="0"/>
              <w:spacing w:line="380" w:lineRule="exact"/>
              <w:jc w:val="center"/>
              <w:rPr>
                <w:rFonts w:ascii="宋体" w:hAnsi="宋体" w:cs="宋体"/>
                <w:bCs/>
                <w:color w:val="auto"/>
                <w:szCs w:val="21"/>
                <w:highlight w:val="none"/>
              </w:rPr>
            </w:pPr>
            <w:r>
              <w:rPr>
                <w:rFonts w:hint="eastAsia" w:ascii="宋体" w:hAnsi="宋体" w:cs="宋体"/>
                <w:bCs/>
                <w:color w:val="auto"/>
                <w:szCs w:val="21"/>
                <w:highlight w:val="none"/>
              </w:rPr>
              <w:t>从接到竣工结算报告和完整的竣工结算资料之日起20天</w:t>
            </w:r>
          </w:p>
        </w:tc>
      </w:tr>
      <w:tr w14:paraId="2A87D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2361CFD9">
            <w:pPr>
              <w:pStyle w:val="21"/>
              <w:keepNext w:val="0"/>
              <w:keepLines w:val="0"/>
              <w:pageBreakBefore w:val="0"/>
              <w:widowControl w:val="0"/>
              <w:wordWrap/>
              <w:topLinePunct w:val="0"/>
              <w:bidi w:val="0"/>
              <w:spacing w:line="380" w:lineRule="exact"/>
              <w:jc w:val="center"/>
              <w:rPr>
                <w:rFonts w:ascii="宋体" w:hAnsi="宋体" w:cs="宋体"/>
                <w:bCs/>
                <w:color w:val="auto"/>
                <w:szCs w:val="21"/>
                <w:highlight w:val="none"/>
              </w:rPr>
            </w:pPr>
            <w:r>
              <w:rPr>
                <w:rFonts w:hint="eastAsia" w:ascii="宋体" w:hAnsi="宋体" w:cs="宋体"/>
                <w:bCs/>
                <w:color w:val="auto"/>
                <w:szCs w:val="21"/>
                <w:highlight w:val="none"/>
              </w:rPr>
              <w:t>2</w:t>
            </w:r>
          </w:p>
        </w:tc>
        <w:tc>
          <w:tcPr>
            <w:tcW w:w="2616" w:type="dxa"/>
            <w:noWrap w:val="0"/>
            <w:vAlign w:val="center"/>
          </w:tcPr>
          <w:p w14:paraId="5B3AC83C">
            <w:pPr>
              <w:pStyle w:val="21"/>
              <w:keepNext w:val="0"/>
              <w:keepLines w:val="0"/>
              <w:pageBreakBefore w:val="0"/>
              <w:widowControl w:val="0"/>
              <w:wordWrap/>
              <w:topLinePunct w:val="0"/>
              <w:bidi w:val="0"/>
              <w:spacing w:line="380" w:lineRule="exact"/>
              <w:ind w:firstLine="27" w:firstLineChars="13"/>
              <w:jc w:val="center"/>
              <w:rPr>
                <w:rFonts w:ascii="宋体" w:hAnsi="宋体" w:cs="宋体"/>
                <w:bCs/>
                <w:color w:val="auto"/>
                <w:szCs w:val="21"/>
                <w:highlight w:val="none"/>
              </w:rPr>
            </w:pPr>
            <w:r>
              <w:rPr>
                <w:rFonts w:hint="eastAsia" w:ascii="宋体" w:hAnsi="宋体" w:cs="宋体"/>
                <w:bCs/>
                <w:color w:val="auto"/>
                <w:szCs w:val="21"/>
                <w:highlight w:val="none"/>
              </w:rPr>
              <w:t>500万元-2000万元</w:t>
            </w:r>
          </w:p>
        </w:tc>
        <w:tc>
          <w:tcPr>
            <w:tcW w:w="5817" w:type="dxa"/>
            <w:noWrap w:val="0"/>
            <w:vAlign w:val="center"/>
          </w:tcPr>
          <w:p w14:paraId="23885A88">
            <w:pPr>
              <w:pStyle w:val="21"/>
              <w:keepNext w:val="0"/>
              <w:keepLines w:val="0"/>
              <w:pageBreakBefore w:val="0"/>
              <w:widowControl w:val="0"/>
              <w:wordWrap/>
              <w:topLinePunct w:val="0"/>
              <w:bidi w:val="0"/>
              <w:spacing w:line="380" w:lineRule="exact"/>
              <w:jc w:val="center"/>
              <w:rPr>
                <w:rFonts w:ascii="宋体" w:hAnsi="宋体" w:cs="宋体"/>
                <w:bCs/>
                <w:color w:val="auto"/>
                <w:szCs w:val="21"/>
                <w:highlight w:val="none"/>
              </w:rPr>
            </w:pPr>
            <w:r>
              <w:rPr>
                <w:rFonts w:hint="eastAsia" w:ascii="宋体" w:hAnsi="宋体" w:cs="宋体"/>
                <w:bCs/>
                <w:color w:val="auto"/>
                <w:szCs w:val="21"/>
                <w:highlight w:val="none"/>
              </w:rPr>
              <w:t>从接到竣工结算报告和完整的竣工结算资料之日起30天</w:t>
            </w:r>
          </w:p>
        </w:tc>
      </w:tr>
      <w:tr w14:paraId="593EC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16D0DDAD">
            <w:pPr>
              <w:pStyle w:val="21"/>
              <w:keepNext w:val="0"/>
              <w:keepLines w:val="0"/>
              <w:pageBreakBefore w:val="0"/>
              <w:widowControl w:val="0"/>
              <w:wordWrap/>
              <w:topLinePunct w:val="0"/>
              <w:bidi w:val="0"/>
              <w:spacing w:line="380" w:lineRule="exact"/>
              <w:jc w:val="center"/>
              <w:rPr>
                <w:rFonts w:ascii="宋体" w:hAnsi="宋体" w:cs="宋体"/>
                <w:bCs/>
                <w:color w:val="auto"/>
                <w:szCs w:val="21"/>
                <w:highlight w:val="none"/>
              </w:rPr>
            </w:pPr>
            <w:r>
              <w:rPr>
                <w:rFonts w:hint="eastAsia" w:ascii="宋体" w:hAnsi="宋体" w:cs="宋体"/>
                <w:bCs/>
                <w:color w:val="auto"/>
                <w:szCs w:val="21"/>
                <w:highlight w:val="none"/>
              </w:rPr>
              <w:t>3</w:t>
            </w:r>
          </w:p>
        </w:tc>
        <w:tc>
          <w:tcPr>
            <w:tcW w:w="2616" w:type="dxa"/>
            <w:noWrap w:val="0"/>
            <w:vAlign w:val="center"/>
          </w:tcPr>
          <w:p w14:paraId="0E17C2A6">
            <w:pPr>
              <w:pStyle w:val="21"/>
              <w:keepNext w:val="0"/>
              <w:keepLines w:val="0"/>
              <w:pageBreakBefore w:val="0"/>
              <w:widowControl w:val="0"/>
              <w:wordWrap/>
              <w:topLinePunct w:val="0"/>
              <w:bidi w:val="0"/>
              <w:spacing w:line="380" w:lineRule="exact"/>
              <w:ind w:firstLine="27" w:firstLineChars="13"/>
              <w:jc w:val="center"/>
              <w:rPr>
                <w:rFonts w:ascii="宋体" w:hAnsi="宋体" w:cs="宋体"/>
                <w:bCs/>
                <w:color w:val="auto"/>
                <w:szCs w:val="21"/>
                <w:highlight w:val="none"/>
              </w:rPr>
            </w:pPr>
            <w:r>
              <w:rPr>
                <w:rFonts w:hint="eastAsia" w:ascii="宋体" w:hAnsi="宋体" w:cs="宋体"/>
                <w:bCs/>
                <w:color w:val="auto"/>
                <w:szCs w:val="21"/>
                <w:highlight w:val="none"/>
              </w:rPr>
              <w:t>2000万元-5000万元</w:t>
            </w:r>
          </w:p>
        </w:tc>
        <w:tc>
          <w:tcPr>
            <w:tcW w:w="5817" w:type="dxa"/>
            <w:noWrap w:val="0"/>
            <w:vAlign w:val="center"/>
          </w:tcPr>
          <w:p w14:paraId="69AE4699">
            <w:pPr>
              <w:pStyle w:val="21"/>
              <w:keepNext w:val="0"/>
              <w:keepLines w:val="0"/>
              <w:pageBreakBefore w:val="0"/>
              <w:widowControl w:val="0"/>
              <w:wordWrap/>
              <w:topLinePunct w:val="0"/>
              <w:bidi w:val="0"/>
              <w:spacing w:line="380" w:lineRule="exact"/>
              <w:jc w:val="center"/>
              <w:rPr>
                <w:rFonts w:ascii="宋体" w:hAnsi="宋体" w:cs="宋体"/>
                <w:bCs/>
                <w:color w:val="auto"/>
                <w:szCs w:val="21"/>
                <w:highlight w:val="none"/>
              </w:rPr>
            </w:pPr>
            <w:r>
              <w:rPr>
                <w:rFonts w:hint="eastAsia" w:ascii="宋体" w:hAnsi="宋体" w:cs="宋体"/>
                <w:bCs/>
                <w:color w:val="auto"/>
                <w:szCs w:val="21"/>
                <w:highlight w:val="none"/>
              </w:rPr>
              <w:t>从接到竣工结算报告和完整的竣工结算资料之日起45天</w:t>
            </w:r>
          </w:p>
        </w:tc>
      </w:tr>
      <w:tr w14:paraId="10912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100810FB">
            <w:pPr>
              <w:pStyle w:val="21"/>
              <w:keepNext w:val="0"/>
              <w:keepLines w:val="0"/>
              <w:pageBreakBefore w:val="0"/>
              <w:widowControl w:val="0"/>
              <w:wordWrap/>
              <w:topLinePunct w:val="0"/>
              <w:bidi w:val="0"/>
              <w:spacing w:line="380" w:lineRule="exact"/>
              <w:jc w:val="center"/>
              <w:rPr>
                <w:rFonts w:ascii="宋体" w:hAnsi="宋体" w:cs="宋体"/>
                <w:bCs/>
                <w:color w:val="auto"/>
                <w:szCs w:val="21"/>
                <w:highlight w:val="none"/>
              </w:rPr>
            </w:pPr>
            <w:r>
              <w:rPr>
                <w:rFonts w:hint="eastAsia" w:ascii="宋体" w:hAnsi="宋体" w:cs="宋体"/>
                <w:bCs/>
                <w:color w:val="auto"/>
                <w:szCs w:val="21"/>
                <w:highlight w:val="none"/>
              </w:rPr>
              <w:t>4</w:t>
            </w:r>
          </w:p>
        </w:tc>
        <w:tc>
          <w:tcPr>
            <w:tcW w:w="2616" w:type="dxa"/>
            <w:noWrap w:val="0"/>
            <w:vAlign w:val="center"/>
          </w:tcPr>
          <w:p w14:paraId="4EA51B06">
            <w:pPr>
              <w:pStyle w:val="21"/>
              <w:keepNext w:val="0"/>
              <w:keepLines w:val="0"/>
              <w:pageBreakBefore w:val="0"/>
              <w:widowControl w:val="0"/>
              <w:wordWrap/>
              <w:topLinePunct w:val="0"/>
              <w:bidi w:val="0"/>
              <w:spacing w:line="380" w:lineRule="exact"/>
              <w:ind w:firstLine="27" w:firstLineChars="13"/>
              <w:jc w:val="center"/>
              <w:rPr>
                <w:rFonts w:ascii="宋体" w:hAnsi="宋体" w:cs="宋体"/>
                <w:bCs/>
                <w:color w:val="auto"/>
                <w:szCs w:val="21"/>
                <w:highlight w:val="none"/>
              </w:rPr>
            </w:pPr>
            <w:r>
              <w:rPr>
                <w:rFonts w:hint="eastAsia" w:ascii="宋体" w:hAnsi="宋体" w:cs="宋体"/>
                <w:bCs/>
                <w:color w:val="auto"/>
                <w:szCs w:val="21"/>
                <w:highlight w:val="none"/>
              </w:rPr>
              <w:t>5000万元以上</w:t>
            </w:r>
          </w:p>
        </w:tc>
        <w:tc>
          <w:tcPr>
            <w:tcW w:w="5817" w:type="dxa"/>
            <w:noWrap w:val="0"/>
            <w:vAlign w:val="center"/>
          </w:tcPr>
          <w:p w14:paraId="50D2FB30">
            <w:pPr>
              <w:pStyle w:val="21"/>
              <w:keepNext w:val="0"/>
              <w:keepLines w:val="0"/>
              <w:pageBreakBefore w:val="0"/>
              <w:widowControl w:val="0"/>
              <w:wordWrap/>
              <w:topLinePunct w:val="0"/>
              <w:bidi w:val="0"/>
              <w:spacing w:line="380" w:lineRule="exact"/>
              <w:jc w:val="center"/>
              <w:rPr>
                <w:rFonts w:ascii="宋体" w:hAnsi="宋体" w:cs="宋体"/>
                <w:bCs/>
                <w:color w:val="auto"/>
                <w:szCs w:val="21"/>
                <w:highlight w:val="none"/>
              </w:rPr>
            </w:pPr>
            <w:r>
              <w:rPr>
                <w:rFonts w:hint="eastAsia" w:ascii="宋体" w:hAnsi="宋体" w:cs="宋体"/>
                <w:bCs/>
                <w:color w:val="auto"/>
                <w:szCs w:val="21"/>
                <w:highlight w:val="none"/>
              </w:rPr>
              <w:t>从接到竣工结算报告和完整的竣工结算资料之日起60天</w:t>
            </w:r>
          </w:p>
        </w:tc>
      </w:tr>
    </w:tbl>
    <w:p w14:paraId="4F70C601">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bCs/>
          <w:color w:val="auto"/>
          <w:szCs w:val="21"/>
          <w:highlight w:val="none"/>
        </w:rPr>
        <w:t>因承包人提供的结算资料不完整而需要补充或承包人不按时对账耽误时间时，审查时间应相应顺延</w:t>
      </w:r>
      <w:r>
        <w:rPr>
          <w:rFonts w:hint="eastAsia" w:ascii="宋体" w:hAnsi="宋体" w:cs="宋体"/>
          <w:color w:val="auto"/>
          <w:szCs w:val="21"/>
          <w:highlight w:val="none"/>
        </w:rPr>
        <w:t>。</w:t>
      </w:r>
    </w:p>
    <w:p w14:paraId="400CF025">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发包人完成竣工付款的期限：</w:t>
      </w:r>
      <w:r>
        <w:rPr>
          <w:rFonts w:ascii="宋体" w:hAnsi="宋体" w:cs="宋体"/>
          <w:color w:val="auto"/>
          <w:szCs w:val="21"/>
          <w:highlight w:val="none"/>
          <w:u w:val="single"/>
        </w:rPr>
        <w:t>结算审核报告出具</w:t>
      </w:r>
      <w:r>
        <w:rPr>
          <w:rFonts w:hint="eastAsia" w:ascii="宋体" w:hAnsi="宋体" w:cs="宋体"/>
          <w:color w:val="auto"/>
          <w:szCs w:val="21"/>
          <w:highlight w:val="none"/>
          <w:u w:val="single"/>
        </w:rPr>
        <w:t>后且</w:t>
      </w:r>
      <w:r>
        <w:rPr>
          <w:rFonts w:hint="eastAsia" w:ascii="宋体" w:hAnsi="宋体"/>
          <w:color w:val="auto"/>
          <w:szCs w:val="21"/>
          <w:highlight w:val="none"/>
          <w:u w:val="single"/>
        </w:rPr>
        <w:t>审核完承包人的竣工付款申请单30天内</w:t>
      </w:r>
      <w:r>
        <w:rPr>
          <w:rFonts w:hint="eastAsia" w:ascii="宋体" w:hAnsi="宋体" w:cs="宋体"/>
          <w:color w:val="auto"/>
          <w:szCs w:val="21"/>
          <w:highlight w:val="none"/>
        </w:rPr>
        <w:t>。</w:t>
      </w:r>
    </w:p>
    <w:p w14:paraId="3CCE6D33">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关于竣工付款证书异议部分复核的方式和程序：</w:t>
      </w:r>
      <w:r>
        <w:rPr>
          <w:rFonts w:hint="eastAsia" w:ascii="宋体" w:hAnsi="宋体" w:cs="宋体"/>
          <w:color w:val="auto"/>
          <w:szCs w:val="21"/>
          <w:highlight w:val="none"/>
          <w:u w:val="single"/>
        </w:rPr>
        <w:t>存在异议的部分，由承包人核对后对异议部分进行书面描叙，并交由发包人再次审定。</w:t>
      </w:r>
    </w:p>
    <w:p w14:paraId="53EFA87B">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583" w:name="_Toc12829"/>
      <w:bookmarkStart w:id="1584" w:name="_Toc389065326"/>
      <w:bookmarkStart w:id="1585" w:name="_Toc373478408"/>
      <w:bookmarkStart w:id="1586" w:name="_Toc256000239"/>
      <w:bookmarkStart w:id="1587" w:name="_Toc418061373"/>
      <w:bookmarkStart w:id="1588" w:name="_Toc497747240"/>
      <w:bookmarkStart w:id="1589" w:name="_Toc522201788"/>
      <w:bookmarkStart w:id="1590" w:name="_Toc418518172"/>
      <w:bookmarkStart w:id="1591" w:name="_Toc418518408"/>
      <w:bookmarkStart w:id="1592" w:name="_Toc403578996"/>
      <w:bookmarkStart w:id="1593" w:name="_Toc418751858"/>
      <w:bookmarkStart w:id="1594" w:name="_Toc418752304"/>
      <w:bookmarkStart w:id="1595" w:name="_Toc497746843"/>
      <w:bookmarkStart w:id="1596" w:name="_Toc373227761"/>
      <w:r>
        <w:rPr>
          <w:rFonts w:hint="eastAsia" w:ascii="宋体" w:cs="宋体"/>
          <w:color w:val="auto"/>
          <w:highlight w:val="none"/>
        </w:rPr>
        <w:t>14.4 最终结清</w:t>
      </w:r>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p>
    <w:p w14:paraId="055A583A">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14.4.1 最终结清申请单</w:t>
      </w:r>
    </w:p>
    <w:p w14:paraId="24CA09D4">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承包人提交最终结清申请单的份数：</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u w:val="single"/>
        </w:rPr>
        <w:t xml:space="preserve">一式四份 </w:t>
      </w:r>
      <w:r>
        <w:rPr>
          <w:rFonts w:hint="eastAsia" w:ascii="宋体" w:hAnsi="宋体" w:cs="宋体"/>
          <w:color w:val="auto"/>
          <w:szCs w:val="21"/>
          <w:highlight w:val="none"/>
        </w:rPr>
        <w:t>。</w:t>
      </w:r>
    </w:p>
    <w:p w14:paraId="4FE079A7">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rPr>
        <w:t>承包人提交最终结算申请单的期限：</w:t>
      </w:r>
      <w:r>
        <w:rPr>
          <w:rFonts w:hint="eastAsia" w:ascii="宋体" w:hAnsi="宋体" w:cs="宋体"/>
          <w:color w:val="auto"/>
          <w:kern w:val="0"/>
          <w:szCs w:val="21"/>
          <w:highlight w:val="none"/>
          <w:u w:val="single"/>
        </w:rPr>
        <w:t>缺陷责任期终止证书签发后14天内向监理人提交4份竣工付款申请单及相关证明材料</w:t>
      </w:r>
      <w:r>
        <w:rPr>
          <w:rFonts w:hint="eastAsia" w:ascii="宋体" w:hAnsi="宋体" w:cs="宋体"/>
          <w:color w:val="auto"/>
          <w:szCs w:val="21"/>
          <w:highlight w:val="none"/>
        </w:rPr>
        <w:t xml:space="preserve">。 </w:t>
      </w:r>
    </w:p>
    <w:p w14:paraId="619F8D0A">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14.4.2 最终结清证书和支付</w:t>
      </w:r>
    </w:p>
    <w:p w14:paraId="6AC1B793">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（1）发包人完成最终结清申请单的审批并颁发最终结清证书的期限：</w:t>
      </w:r>
      <w:r>
        <w:rPr>
          <w:rFonts w:hint="eastAsia" w:ascii="宋体" w:hAnsi="宋体" w:cs="宋体"/>
          <w:color w:val="auto"/>
          <w:kern w:val="0"/>
          <w:szCs w:val="21"/>
          <w:highlight w:val="none"/>
          <w:u w:val="single"/>
        </w:rPr>
        <w:t xml:space="preserve">按通用条款执行 </w:t>
      </w:r>
      <w:r>
        <w:rPr>
          <w:rFonts w:hint="eastAsia" w:ascii="宋体" w:hAnsi="宋体" w:cs="宋体"/>
          <w:color w:val="auto"/>
          <w:szCs w:val="21"/>
          <w:highlight w:val="none"/>
        </w:rPr>
        <w:t>。</w:t>
      </w:r>
    </w:p>
    <w:p w14:paraId="3A23F0CA">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（2）发包人完成支付的期限：</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u w:val="single"/>
        </w:rPr>
        <w:t xml:space="preserve">在颁发最终结清证书后的30天内 </w:t>
      </w:r>
      <w:r>
        <w:rPr>
          <w:rFonts w:hint="eastAsia" w:ascii="宋体" w:hAnsi="宋体" w:cs="宋体"/>
          <w:color w:val="auto"/>
          <w:szCs w:val="21"/>
          <w:highlight w:val="none"/>
        </w:rPr>
        <w:t>。</w:t>
      </w:r>
    </w:p>
    <w:bookmarkEnd w:id="1499"/>
    <w:bookmarkEnd w:id="1500"/>
    <w:bookmarkEnd w:id="1501"/>
    <w:bookmarkEnd w:id="1502"/>
    <w:bookmarkEnd w:id="1503"/>
    <w:bookmarkEnd w:id="1504"/>
    <w:bookmarkEnd w:id="1505"/>
    <w:bookmarkEnd w:id="1511"/>
    <w:p w14:paraId="78125CEC">
      <w:pPr>
        <w:pStyle w:val="46"/>
        <w:keepNext w:val="0"/>
        <w:keepLines w:val="0"/>
        <w:pageBreakBefore w:val="0"/>
        <w:widowControl w:val="0"/>
        <w:wordWrap/>
        <w:topLinePunct w:val="0"/>
        <w:bidi w:val="0"/>
        <w:spacing w:line="380" w:lineRule="exact"/>
        <w:outlineLvl w:val="2"/>
        <w:rPr>
          <w:rFonts w:ascii="宋体" w:cs="宋体"/>
          <w:color w:val="auto"/>
          <w:highlight w:val="none"/>
        </w:rPr>
      </w:pPr>
      <w:bookmarkStart w:id="1597" w:name="_Toc9180"/>
      <w:bookmarkStart w:id="1598" w:name="_Toc497746844"/>
      <w:bookmarkStart w:id="1599" w:name="_Toc418518409"/>
      <w:bookmarkStart w:id="1600" w:name="_Toc522201789"/>
      <w:bookmarkStart w:id="1601" w:name="_Toc497747241"/>
      <w:bookmarkStart w:id="1602" w:name="_Toc351203647"/>
      <w:bookmarkStart w:id="1603" w:name="_Toc256000240"/>
      <w:bookmarkStart w:id="1604" w:name="_Toc389065327"/>
      <w:bookmarkStart w:id="1605" w:name="_Toc418752305"/>
      <w:bookmarkStart w:id="1606" w:name="_Toc418061374"/>
      <w:bookmarkStart w:id="1607" w:name="_Toc418751859"/>
      <w:bookmarkStart w:id="1608" w:name="_Toc418518173"/>
      <w:bookmarkStart w:id="1609" w:name="_Toc403578997"/>
      <w:bookmarkStart w:id="1610" w:name="_Toc373478409"/>
      <w:bookmarkStart w:id="1611" w:name="_Toc373227762"/>
      <w:bookmarkStart w:id="1612" w:name="_Toc267251483"/>
      <w:bookmarkStart w:id="1613" w:name="_Toc267251484"/>
      <w:bookmarkStart w:id="1614" w:name="_Toc267251482"/>
      <w:bookmarkStart w:id="1615" w:name="_Toc267251485"/>
      <w:bookmarkStart w:id="1616" w:name="_Toc267251486"/>
      <w:bookmarkStart w:id="1617" w:name="_Toc267251490"/>
      <w:bookmarkStart w:id="1618" w:name="_Toc267251488"/>
      <w:bookmarkStart w:id="1619" w:name="_Toc267251489"/>
      <w:bookmarkStart w:id="1620" w:name="_Toc267251497"/>
      <w:bookmarkStart w:id="1621" w:name="_Toc267251503"/>
      <w:bookmarkStart w:id="1622" w:name="_Toc267251496"/>
      <w:bookmarkStart w:id="1623" w:name="_Toc267251495"/>
      <w:bookmarkStart w:id="1624" w:name="_Toc267251494"/>
      <w:bookmarkStart w:id="1625" w:name="_Toc267251492"/>
      <w:bookmarkStart w:id="1626" w:name="_Toc267251501"/>
      <w:bookmarkStart w:id="1627" w:name="_Toc267251499"/>
      <w:bookmarkStart w:id="1628" w:name="_Toc267251502"/>
      <w:bookmarkStart w:id="1629" w:name="_Toc267251493"/>
      <w:bookmarkStart w:id="1630" w:name="_Toc267251491"/>
      <w:bookmarkStart w:id="1631" w:name="_Toc267251498"/>
      <w:bookmarkStart w:id="1632" w:name="_Toc267251506"/>
      <w:bookmarkStart w:id="1633" w:name="_Toc267251504"/>
      <w:bookmarkStart w:id="1634" w:name="_Toc267251507"/>
      <w:bookmarkStart w:id="1635" w:name="_Toc267251508"/>
      <w:bookmarkStart w:id="1636" w:name="_Toc267251510"/>
      <w:bookmarkStart w:id="1637" w:name="_Toc267251511"/>
      <w:bookmarkStart w:id="1638" w:name="_Toc267251509"/>
      <w:bookmarkStart w:id="1639" w:name="_Toc267251515"/>
      <w:bookmarkStart w:id="1640" w:name="_Toc267251513"/>
      <w:bookmarkStart w:id="1641" w:name="_Toc267251514"/>
      <w:r>
        <w:rPr>
          <w:rFonts w:hint="eastAsia" w:ascii="宋体" w:cs="宋体"/>
          <w:color w:val="auto"/>
          <w:highlight w:val="none"/>
        </w:rPr>
        <w:t>15</w:t>
      </w:r>
      <w:r>
        <w:rPr>
          <w:rFonts w:hint="eastAsia" w:ascii="宋体" w:hAnsi="宋体" w:eastAsia="宋体" w:cs="宋体"/>
          <w:color w:val="auto"/>
          <w:highlight w:val="none"/>
        </w:rPr>
        <w:t xml:space="preserve">. </w:t>
      </w:r>
      <w:r>
        <w:rPr>
          <w:rFonts w:hint="eastAsia" w:ascii="宋体" w:cs="宋体"/>
          <w:color w:val="auto"/>
          <w:highlight w:val="none"/>
        </w:rPr>
        <w:t>缺陷责任期与保修</w:t>
      </w:r>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p>
    <w:p w14:paraId="4DEB050D">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642" w:name="_Toc522201790"/>
      <w:bookmarkStart w:id="1643" w:name="_Toc403578998"/>
      <w:bookmarkStart w:id="1644" w:name="_Toc497746845"/>
      <w:bookmarkStart w:id="1645" w:name="_Toc256000241"/>
      <w:bookmarkStart w:id="1646" w:name="_Toc418752306"/>
      <w:bookmarkStart w:id="1647" w:name="_Toc418061375"/>
      <w:bookmarkStart w:id="1648" w:name="_Toc418518174"/>
      <w:bookmarkStart w:id="1649" w:name="_Toc418751860"/>
      <w:bookmarkStart w:id="1650" w:name="_Toc24268"/>
      <w:bookmarkStart w:id="1651" w:name="_Toc373478410"/>
      <w:bookmarkStart w:id="1652" w:name="_Toc373227763"/>
      <w:bookmarkStart w:id="1653" w:name="_Toc389065328"/>
      <w:bookmarkStart w:id="1654" w:name="_Toc418518410"/>
      <w:bookmarkStart w:id="1655" w:name="_Toc497747242"/>
      <w:r>
        <w:rPr>
          <w:rFonts w:hint="eastAsia" w:ascii="宋体" w:cs="宋体"/>
          <w:color w:val="auto"/>
          <w:highlight w:val="none"/>
        </w:rPr>
        <w:t>15.2 缺陷责任期</w:t>
      </w:r>
      <w:bookmarkEnd w:id="1612"/>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p>
    <w:p w14:paraId="5EE79AF3">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缺陷责任期的具体期限：</w:t>
      </w:r>
      <w:r>
        <w:rPr>
          <w:rFonts w:hint="eastAsia" w:ascii="宋体" w:hAnsi="宋体" w:cs="宋体"/>
          <w:color w:val="auto"/>
          <w:szCs w:val="21"/>
          <w:highlight w:val="none"/>
          <w:u w:val="single"/>
        </w:rPr>
        <w:t>24个月，</w:t>
      </w:r>
      <w:r>
        <w:rPr>
          <w:rFonts w:hint="eastAsia" w:ascii="宋体" w:hAnsi="宋体" w:cs="宋体"/>
          <w:color w:val="auto"/>
          <w:kern w:val="0"/>
          <w:szCs w:val="21"/>
          <w:highlight w:val="none"/>
          <w:u w:val="single"/>
        </w:rPr>
        <w:t>工程竣工验收合格，自交付使用之日起计算</w:t>
      </w:r>
      <w:r>
        <w:rPr>
          <w:rFonts w:hint="eastAsia" w:ascii="宋体" w:hAnsi="宋体" w:cs="宋体"/>
          <w:color w:val="auto"/>
          <w:szCs w:val="21"/>
          <w:highlight w:val="none"/>
          <w:u w:val="single"/>
        </w:rPr>
        <w:t>，按照《建设工程质量管理条例》执行，</w:t>
      </w:r>
      <w:r>
        <w:rPr>
          <w:rFonts w:hint="eastAsia" w:ascii="宋体" w:hAnsi="宋体" w:cs="宋体"/>
          <w:bCs/>
          <w:color w:val="auto"/>
          <w:szCs w:val="21"/>
          <w:highlight w:val="none"/>
          <w:u w:val="single"/>
        </w:rPr>
        <w:t xml:space="preserve">详见本合同附件3：《工程质量保修书》 </w:t>
      </w:r>
      <w:r>
        <w:rPr>
          <w:rFonts w:hint="eastAsia" w:ascii="宋体" w:hAnsi="宋体" w:cs="宋体"/>
          <w:color w:val="auto"/>
          <w:szCs w:val="21"/>
          <w:highlight w:val="none"/>
        </w:rPr>
        <w:t>。</w:t>
      </w:r>
    </w:p>
    <w:p w14:paraId="52D9A5D8">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656" w:name="_Toc418061376"/>
      <w:bookmarkStart w:id="1657" w:name="_Toc418752307"/>
      <w:bookmarkStart w:id="1658" w:name="_Toc256000242"/>
      <w:bookmarkStart w:id="1659" w:name="_Toc16353"/>
      <w:bookmarkStart w:id="1660" w:name="_Toc418518175"/>
      <w:bookmarkStart w:id="1661" w:name="_Toc418751861"/>
      <w:bookmarkStart w:id="1662" w:name="_Toc373478411"/>
      <w:bookmarkStart w:id="1663" w:name="_Toc373227764"/>
      <w:bookmarkStart w:id="1664" w:name="_Toc497746846"/>
      <w:bookmarkStart w:id="1665" w:name="_Toc418518411"/>
      <w:bookmarkStart w:id="1666" w:name="_Toc403578999"/>
      <w:bookmarkStart w:id="1667" w:name="_Toc522201791"/>
      <w:bookmarkStart w:id="1668" w:name="_Toc389065329"/>
      <w:bookmarkStart w:id="1669" w:name="_Toc497747243"/>
      <w:r>
        <w:rPr>
          <w:rFonts w:hint="eastAsia" w:ascii="宋体" w:cs="宋体"/>
          <w:color w:val="auto"/>
          <w:highlight w:val="none"/>
        </w:rPr>
        <w:t>15.3 质量保证金</w:t>
      </w:r>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p>
    <w:p w14:paraId="49F0A40C">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关于是否扣留质量保证金的约定：</w:t>
      </w:r>
      <w:r>
        <w:rPr>
          <w:rFonts w:hint="eastAsia" w:ascii="宋体" w:hAnsi="宋体" w:cs="宋体"/>
          <w:color w:val="auto"/>
          <w:kern w:val="0"/>
          <w:szCs w:val="21"/>
          <w:highlight w:val="none"/>
          <w:u w:val="single"/>
        </w:rPr>
        <w:t>按工程价款结算总额的</w:t>
      </w:r>
      <w:r>
        <w:rPr>
          <w:rFonts w:hint="eastAsia" w:ascii="宋体" w:hAnsi="宋体" w:cs="宋体"/>
          <w:color w:val="auto"/>
          <w:kern w:val="0"/>
          <w:szCs w:val="21"/>
          <w:highlight w:val="none"/>
          <w:u w:val="single"/>
          <w:lang w:val="en-US" w:eastAsia="zh-CN"/>
        </w:rPr>
        <w:t>3</w:t>
      </w:r>
      <w:r>
        <w:rPr>
          <w:rFonts w:hint="eastAsia" w:ascii="宋体" w:hAnsi="宋体" w:cs="宋体"/>
          <w:color w:val="auto"/>
          <w:kern w:val="0"/>
          <w:szCs w:val="21"/>
          <w:highlight w:val="none"/>
          <w:u w:val="single"/>
        </w:rPr>
        <w:t xml:space="preserve">%作为质保金 </w:t>
      </w:r>
      <w:r>
        <w:rPr>
          <w:rFonts w:hint="eastAsia" w:ascii="宋体" w:hAnsi="宋体" w:cs="宋体"/>
          <w:color w:val="auto"/>
          <w:szCs w:val="21"/>
          <w:highlight w:val="none"/>
        </w:rPr>
        <w:t>。</w:t>
      </w:r>
    </w:p>
    <w:p w14:paraId="66C321A7">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15.3.1 承包人提供质量保证金的方式</w:t>
      </w:r>
    </w:p>
    <w:p w14:paraId="5215D009">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质量保证金采用以下第</w:t>
      </w:r>
      <w:r>
        <w:rPr>
          <w:rFonts w:hint="eastAsia" w:ascii="宋体" w:hAnsi="宋体" w:cs="宋体"/>
          <w:color w:val="auto"/>
          <w:szCs w:val="21"/>
          <w:highlight w:val="none"/>
          <w:u w:val="single"/>
        </w:rPr>
        <w:t xml:space="preserve">  （2）   </w:t>
      </w:r>
      <w:r>
        <w:rPr>
          <w:rFonts w:hint="eastAsia" w:ascii="宋体" w:hAnsi="宋体" w:cs="宋体"/>
          <w:color w:val="auto"/>
          <w:szCs w:val="21"/>
          <w:highlight w:val="none"/>
        </w:rPr>
        <w:t>种方式：</w:t>
      </w:r>
    </w:p>
    <w:p w14:paraId="4C979AB2">
      <w:pPr>
        <w:pStyle w:val="21"/>
        <w:keepNext w:val="0"/>
        <w:keepLines w:val="0"/>
        <w:pageBreakBefore w:val="0"/>
        <w:widowControl w:val="0"/>
        <w:wordWrap/>
        <w:topLinePunct w:val="0"/>
        <w:autoSpaceDE w:val="0"/>
        <w:autoSpaceDN w:val="0"/>
        <w:bidi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（1）质量保证金保函，保证金额为：</w:t>
      </w:r>
      <w:r>
        <w:rPr>
          <w:rFonts w:hint="eastAsia" w:ascii="宋体" w:hAnsi="宋体" w:cs="宋体"/>
          <w:color w:val="auto"/>
          <w:kern w:val="0"/>
          <w:szCs w:val="21"/>
          <w:highlight w:val="none"/>
          <w:u w:val="single"/>
        </w:rPr>
        <w:t xml:space="preserve">  /   </w:t>
      </w:r>
      <w:r>
        <w:rPr>
          <w:rFonts w:hint="eastAsia" w:ascii="宋体" w:hAnsi="宋体" w:cs="宋体"/>
          <w:color w:val="auto"/>
          <w:kern w:val="0"/>
          <w:szCs w:val="21"/>
          <w:highlight w:val="none"/>
        </w:rPr>
        <w:t>；</w:t>
      </w:r>
    </w:p>
    <w:p w14:paraId="795EBD0D">
      <w:pPr>
        <w:pStyle w:val="21"/>
        <w:keepNext w:val="0"/>
        <w:keepLines w:val="0"/>
        <w:pageBreakBefore w:val="0"/>
        <w:widowControl w:val="0"/>
        <w:wordWrap/>
        <w:topLinePunct w:val="0"/>
        <w:autoSpaceDE w:val="0"/>
        <w:autoSpaceDN w:val="0"/>
        <w:bidi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w:t>
      </w:r>
      <w:r>
        <w:rPr>
          <w:rFonts w:hint="eastAsia" w:ascii="宋体" w:hAnsi="宋体" w:cs="宋体"/>
          <w:bCs/>
          <w:color w:val="auto"/>
          <w:szCs w:val="21"/>
          <w:highlight w:val="none"/>
        </w:rPr>
        <w:t>发包人按工程价款结算总额的</w:t>
      </w:r>
      <w:r>
        <w:rPr>
          <w:rFonts w:hint="eastAsia" w:ascii="宋体" w:hAnsi="宋体" w:cs="宋体"/>
          <w:bCs/>
          <w:color w:val="auto"/>
          <w:szCs w:val="21"/>
          <w:highlight w:val="none"/>
          <w:u w:val="single"/>
        </w:rPr>
        <w:t xml:space="preserve"> 3 </w:t>
      </w:r>
      <w:r>
        <w:rPr>
          <w:rFonts w:hint="eastAsia" w:ascii="宋体" w:hAnsi="宋体" w:cs="宋体"/>
          <w:bCs/>
          <w:color w:val="auto"/>
          <w:szCs w:val="21"/>
          <w:highlight w:val="none"/>
        </w:rPr>
        <w:t>%预留工程</w:t>
      </w:r>
      <w:r>
        <w:rPr>
          <w:rFonts w:hint="eastAsia" w:ascii="宋体" w:hAnsi="宋体" w:cs="宋体"/>
          <w:bCs/>
          <w:color w:val="auto"/>
          <w:szCs w:val="21"/>
          <w:highlight w:val="none"/>
          <w:lang w:eastAsia="zh-CN"/>
        </w:rPr>
        <w:t>质量保证金</w:t>
      </w:r>
      <w:r>
        <w:rPr>
          <w:rFonts w:hint="eastAsia" w:ascii="宋体" w:hAnsi="宋体" w:cs="宋体"/>
          <w:bCs/>
          <w:color w:val="auto"/>
          <w:szCs w:val="21"/>
          <w:highlight w:val="none"/>
        </w:rPr>
        <w:t>，待缺陷责任期满后返还</w:t>
      </w:r>
      <w:r>
        <w:rPr>
          <w:rFonts w:hint="eastAsia" w:ascii="宋体" w:hAnsi="宋体" w:cs="宋体"/>
          <w:color w:val="auto"/>
          <w:kern w:val="0"/>
          <w:szCs w:val="21"/>
          <w:highlight w:val="none"/>
        </w:rPr>
        <w:t>；</w:t>
      </w:r>
    </w:p>
    <w:p w14:paraId="29B9F771">
      <w:pPr>
        <w:pStyle w:val="21"/>
        <w:keepNext w:val="0"/>
        <w:keepLines w:val="0"/>
        <w:pageBreakBefore w:val="0"/>
        <w:widowControl w:val="0"/>
        <w:wordWrap/>
        <w:topLinePunct w:val="0"/>
        <w:autoSpaceDE w:val="0"/>
        <w:autoSpaceDN w:val="0"/>
        <w:bidi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（3）其他方式：</w:t>
      </w:r>
      <w:r>
        <w:rPr>
          <w:rFonts w:hint="eastAsia" w:ascii="宋体" w:hAnsi="宋体" w:cs="宋体"/>
          <w:bCs/>
          <w:color w:val="auto"/>
          <w:szCs w:val="21"/>
          <w:highlight w:val="none"/>
          <w:u w:val="single"/>
        </w:rPr>
        <w:t xml:space="preserve">   /        </w:t>
      </w:r>
      <w:r>
        <w:rPr>
          <w:rFonts w:hint="eastAsia" w:ascii="宋体" w:hAnsi="宋体" w:cs="宋体"/>
          <w:bCs/>
          <w:color w:val="auto"/>
          <w:szCs w:val="21"/>
          <w:highlight w:val="none"/>
        </w:rPr>
        <w:t>。</w:t>
      </w:r>
    </w:p>
    <w:p w14:paraId="437B9ECC">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15.3.2 质量保证金的扣留</w:t>
      </w:r>
    </w:p>
    <w:p w14:paraId="1D112A94">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质量保证金的扣留采取以下第</w:t>
      </w:r>
      <w:r>
        <w:rPr>
          <w:rFonts w:hint="eastAsia" w:ascii="宋体" w:hAnsi="宋体" w:cs="宋体"/>
          <w:color w:val="auto"/>
          <w:szCs w:val="21"/>
          <w:highlight w:val="none"/>
          <w:u w:val="single"/>
        </w:rPr>
        <w:t xml:space="preserve">   （2）   </w:t>
      </w:r>
      <w:r>
        <w:rPr>
          <w:rFonts w:hint="eastAsia" w:ascii="宋体" w:hAnsi="宋体" w:cs="宋体"/>
          <w:color w:val="auto"/>
          <w:szCs w:val="21"/>
          <w:highlight w:val="none"/>
        </w:rPr>
        <w:t>种方式：</w:t>
      </w:r>
    </w:p>
    <w:p w14:paraId="6F9E00FA">
      <w:pPr>
        <w:pStyle w:val="21"/>
        <w:keepNext w:val="0"/>
        <w:keepLines w:val="0"/>
        <w:pageBreakBefore w:val="0"/>
        <w:widowControl w:val="0"/>
        <w:wordWrap/>
        <w:topLinePunct w:val="0"/>
        <w:autoSpaceDE w:val="0"/>
        <w:autoSpaceDN w:val="0"/>
        <w:bidi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（1）在支付工程进度款时逐次扣留，在此情形下，质量保证金的计算基数不包括预付款的支付、扣回以及价格调整的金额；</w:t>
      </w:r>
    </w:p>
    <w:p w14:paraId="52D2C771">
      <w:pPr>
        <w:pStyle w:val="21"/>
        <w:keepNext w:val="0"/>
        <w:keepLines w:val="0"/>
        <w:pageBreakBefore w:val="0"/>
        <w:widowControl w:val="0"/>
        <w:wordWrap/>
        <w:topLinePunct w:val="0"/>
        <w:autoSpaceDE w:val="0"/>
        <w:autoSpaceDN w:val="0"/>
        <w:bidi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（2）工程竣工结算时一次性扣留质量保证金；</w:t>
      </w:r>
    </w:p>
    <w:p w14:paraId="6194C2C4">
      <w:pPr>
        <w:pStyle w:val="21"/>
        <w:keepNext w:val="0"/>
        <w:keepLines w:val="0"/>
        <w:pageBreakBefore w:val="0"/>
        <w:widowControl w:val="0"/>
        <w:wordWrap/>
        <w:topLinePunct w:val="0"/>
        <w:autoSpaceDE w:val="0"/>
        <w:autoSpaceDN w:val="0"/>
        <w:bidi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（3）其他扣留方式</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u w:val="single"/>
        </w:rPr>
        <w:t xml:space="preserve">    /                </w:t>
      </w:r>
      <w:r>
        <w:rPr>
          <w:rFonts w:hint="eastAsia" w:ascii="宋体" w:hAnsi="宋体" w:cs="宋体"/>
          <w:color w:val="auto"/>
          <w:kern w:val="0"/>
          <w:szCs w:val="21"/>
          <w:highlight w:val="none"/>
        </w:rPr>
        <w:t>。</w:t>
      </w:r>
    </w:p>
    <w:p w14:paraId="203F1B04">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u w:val="single"/>
        </w:rPr>
      </w:pPr>
      <w:r>
        <w:rPr>
          <w:rFonts w:hint="eastAsia" w:ascii="宋体" w:hAnsi="宋体" w:cs="宋体"/>
          <w:color w:val="auto"/>
          <w:szCs w:val="21"/>
          <w:highlight w:val="none"/>
        </w:rPr>
        <w:t>关于质量保证金的补充约定：</w:t>
      </w:r>
      <w:r>
        <w:rPr>
          <w:rFonts w:hint="eastAsia" w:ascii="宋体" w:hAnsi="宋体" w:cs="宋体"/>
          <w:color w:val="auto"/>
          <w:szCs w:val="21"/>
          <w:highlight w:val="none"/>
          <w:u w:val="single"/>
        </w:rPr>
        <w:t>承包人未按照法律法规有关规定和合同约定履行质量保修义务的，发包人有权从质量保证金中扣留用于质量保修的各项支出。</w:t>
      </w:r>
      <w:r>
        <w:rPr>
          <w:rFonts w:hint="eastAsia" w:ascii="宋体" w:hAnsi="宋体" w:cs="宋体"/>
          <w:color w:val="auto"/>
          <w:kern w:val="0"/>
          <w:szCs w:val="21"/>
          <w:highlight w:val="none"/>
          <w:u w:val="single"/>
        </w:rPr>
        <w:t>发包人在工程缺陷责任期满后 14 天内将保修金一次性返回给承包人（无息）。质量保证金的返还，并不能免除承包人按照合同约定应承担的质量保修责任和应履行的质量保修义务。</w:t>
      </w:r>
    </w:p>
    <w:bookmarkEnd w:id="1613"/>
    <w:bookmarkEnd w:id="1614"/>
    <w:p w14:paraId="467C1F7B">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670" w:name="_Toc373227765"/>
      <w:bookmarkStart w:id="1671" w:name="_Toc522201792"/>
      <w:bookmarkStart w:id="1672" w:name="_Toc373478412"/>
      <w:bookmarkStart w:id="1673" w:name="_Toc497747244"/>
      <w:bookmarkStart w:id="1674" w:name="_Toc418061377"/>
      <w:bookmarkStart w:id="1675" w:name="_Toc497746847"/>
      <w:bookmarkStart w:id="1676" w:name="_Toc418751862"/>
      <w:bookmarkStart w:id="1677" w:name="_Toc418518412"/>
      <w:bookmarkStart w:id="1678" w:name="_Toc24480"/>
      <w:bookmarkStart w:id="1679" w:name="_Toc256000243"/>
      <w:bookmarkStart w:id="1680" w:name="_Toc403579000"/>
      <w:bookmarkStart w:id="1681" w:name="_Toc418518176"/>
      <w:bookmarkStart w:id="1682" w:name="_Toc418752308"/>
      <w:bookmarkStart w:id="1683" w:name="_Toc389065330"/>
      <w:r>
        <w:rPr>
          <w:rFonts w:hint="eastAsia" w:ascii="宋体" w:cs="宋体"/>
          <w:color w:val="auto"/>
          <w:highlight w:val="none"/>
        </w:rPr>
        <w:t>15.4 保修</w:t>
      </w:r>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p>
    <w:bookmarkEnd w:id="1615"/>
    <w:p w14:paraId="62C43037">
      <w:pPr>
        <w:pStyle w:val="21"/>
        <w:keepNext w:val="0"/>
        <w:keepLines w:val="0"/>
        <w:pageBreakBefore w:val="0"/>
        <w:widowControl w:val="0"/>
        <w:wordWrap/>
        <w:topLinePunct w:val="0"/>
        <w:bidi w:val="0"/>
        <w:spacing w:line="380" w:lineRule="exact"/>
        <w:ind w:firstLine="409" w:firstLineChars="195"/>
        <w:jc w:val="left"/>
        <w:rPr>
          <w:rFonts w:ascii="宋体" w:hAnsi="宋体" w:cs="宋体"/>
          <w:color w:val="auto"/>
          <w:szCs w:val="21"/>
          <w:highlight w:val="none"/>
        </w:rPr>
      </w:pPr>
      <w:r>
        <w:rPr>
          <w:rFonts w:hint="eastAsia" w:ascii="宋体" w:hAnsi="宋体" w:cs="宋体"/>
          <w:color w:val="auto"/>
          <w:szCs w:val="21"/>
          <w:highlight w:val="none"/>
        </w:rPr>
        <w:t>15.4.1 保修责任</w:t>
      </w:r>
    </w:p>
    <w:p w14:paraId="770554D7">
      <w:pPr>
        <w:pStyle w:val="21"/>
        <w:keepNext w:val="0"/>
        <w:keepLines w:val="0"/>
        <w:pageBreakBefore w:val="0"/>
        <w:widowControl w:val="0"/>
        <w:wordWrap/>
        <w:topLinePunct w:val="0"/>
        <w:bidi w:val="0"/>
        <w:spacing w:line="380" w:lineRule="exact"/>
        <w:ind w:firstLine="409" w:firstLineChars="195"/>
        <w:jc w:val="left"/>
        <w:rPr>
          <w:rFonts w:ascii="宋体" w:hAnsi="宋体" w:cs="宋体"/>
          <w:color w:val="auto"/>
          <w:kern w:val="0"/>
          <w:szCs w:val="21"/>
          <w:highlight w:val="none"/>
        </w:rPr>
      </w:pPr>
      <w:r>
        <w:rPr>
          <w:rFonts w:hint="eastAsia" w:ascii="宋体" w:hAnsi="宋体" w:cs="宋体"/>
          <w:color w:val="auto"/>
          <w:szCs w:val="21"/>
          <w:highlight w:val="none"/>
        </w:rPr>
        <w:t>工程保修期为：</w:t>
      </w:r>
      <w:r>
        <w:rPr>
          <w:rFonts w:hint="eastAsia" w:ascii="宋体" w:hAnsi="宋体" w:cs="宋体"/>
          <w:color w:val="auto"/>
          <w:kern w:val="0"/>
          <w:szCs w:val="21"/>
          <w:highlight w:val="none"/>
          <w:u w:val="single"/>
        </w:rPr>
        <w:t xml:space="preserve">  </w:t>
      </w:r>
      <w:r>
        <w:rPr>
          <w:rFonts w:hint="eastAsia" w:ascii="宋体" w:hAnsi="宋体" w:cs="宋体"/>
          <w:color w:val="auto"/>
          <w:szCs w:val="21"/>
          <w:highlight w:val="none"/>
          <w:u w:val="single"/>
        </w:rPr>
        <w:t>根据《建设工程质量管理条例》及有关规定，约定本工程的保修期详见《工程质量保修书》。</w:t>
      </w:r>
    </w:p>
    <w:p w14:paraId="576117E7">
      <w:pPr>
        <w:pStyle w:val="21"/>
        <w:keepNext w:val="0"/>
        <w:keepLines w:val="0"/>
        <w:pageBreakBefore w:val="0"/>
        <w:widowControl w:val="0"/>
        <w:wordWrap/>
        <w:topLinePunct w:val="0"/>
        <w:bidi w:val="0"/>
        <w:spacing w:line="380" w:lineRule="exact"/>
        <w:ind w:firstLine="409" w:firstLineChars="195"/>
        <w:jc w:val="left"/>
        <w:rPr>
          <w:rFonts w:ascii="宋体" w:hAnsi="宋体" w:cs="宋体"/>
          <w:color w:val="auto"/>
          <w:kern w:val="0"/>
          <w:szCs w:val="21"/>
          <w:highlight w:val="none"/>
          <w:u w:val="single"/>
        </w:rPr>
      </w:pPr>
      <w:r>
        <w:rPr>
          <w:rFonts w:hint="eastAsia" w:ascii="宋体" w:hAnsi="宋体" w:cs="宋体"/>
          <w:color w:val="auto"/>
          <w:szCs w:val="21"/>
          <w:highlight w:val="none"/>
        </w:rPr>
        <w:t>工程保修书具体内容见合同附件3。</w:t>
      </w:r>
    </w:p>
    <w:p w14:paraId="72CBBB33">
      <w:pPr>
        <w:pStyle w:val="21"/>
        <w:keepNext w:val="0"/>
        <w:keepLines w:val="0"/>
        <w:pageBreakBefore w:val="0"/>
        <w:widowControl w:val="0"/>
        <w:wordWrap/>
        <w:topLinePunct w:val="0"/>
        <w:bidi w:val="0"/>
        <w:spacing w:line="380" w:lineRule="exact"/>
        <w:ind w:firstLine="409" w:firstLineChars="195"/>
        <w:jc w:val="left"/>
        <w:rPr>
          <w:rFonts w:ascii="宋体" w:hAnsi="宋体" w:cs="宋体"/>
          <w:color w:val="auto"/>
          <w:szCs w:val="21"/>
          <w:highlight w:val="none"/>
        </w:rPr>
      </w:pPr>
      <w:r>
        <w:rPr>
          <w:rFonts w:hint="eastAsia" w:ascii="宋体" w:hAnsi="宋体" w:cs="宋体"/>
          <w:color w:val="auto"/>
          <w:szCs w:val="21"/>
          <w:highlight w:val="none"/>
        </w:rPr>
        <w:t>15.4.3 修复通知</w:t>
      </w:r>
    </w:p>
    <w:p w14:paraId="40552A44">
      <w:pPr>
        <w:pStyle w:val="21"/>
        <w:keepNext w:val="0"/>
        <w:keepLines w:val="0"/>
        <w:pageBreakBefore w:val="0"/>
        <w:widowControl w:val="0"/>
        <w:wordWrap/>
        <w:topLinePunct w:val="0"/>
        <w:bidi w:val="0"/>
        <w:spacing w:line="380" w:lineRule="exact"/>
        <w:ind w:firstLine="409" w:firstLineChars="195"/>
        <w:jc w:val="left"/>
        <w:rPr>
          <w:rFonts w:ascii="宋体" w:hAnsi="宋体" w:cs="宋体"/>
          <w:color w:val="auto"/>
          <w:szCs w:val="21"/>
          <w:highlight w:val="none"/>
          <w:u w:val="single"/>
        </w:rPr>
      </w:pPr>
      <w:r>
        <w:rPr>
          <w:rFonts w:hint="eastAsia" w:ascii="宋体" w:hAnsi="宋体" w:cs="宋体"/>
          <w:color w:val="auto"/>
          <w:kern w:val="0"/>
          <w:szCs w:val="21"/>
          <w:highlight w:val="none"/>
        </w:rPr>
        <w:t>承包人收到保修通知并到达工程现场的合理时间：</w:t>
      </w:r>
      <w:r>
        <w:rPr>
          <w:rFonts w:hint="eastAsia" w:ascii="宋体" w:hAnsi="宋体" w:cs="宋体"/>
          <w:color w:val="auto"/>
          <w:kern w:val="0"/>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kern w:val="0"/>
          <w:highlight w:val="none"/>
          <w:u w:val="single"/>
        </w:rPr>
        <w:t>承包人应当在接到保修通知之日起七天内派人保修。承包人不在约定期限内派人保修的，发包人可以委托他人修理，所产生的费用由承包人承担</w:t>
      </w:r>
      <w:r>
        <w:rPr>
          <w:rFonts w:hint="eastAsia" w:ascii="宋体" w:hAnsi="宋体" w:cs="宋体"/>
          <w:color w:val="auto"/>
          <w:szCs w:val="21"/>
          <w:highlight w:val="none"/>
          <w:u w:val="single"/>
        </w:rPr>
        <w:t>。</w:t>
      </w:r>
    </w:p>
    <w:bookmarkEnd w:id="1616"/>
    <w:bookmarkEnd w:id="1617"/>
    <w:bookmarkEnd w:id="1618"/>
    <w:bookmarkEnd w:id="1619"/>
    <w:p w14:paraId="2CC11659">
      <w:pPr>
        <w:pStyle w:val="46"/>
        <w:keepNext w:val="0"/>
        <w:keepLines w:val="0"/>
        <w:pageBreakBefore w:val="0"/>
        <w:widowControl w:val="0"/>
        <w:wordWrap/>
        <w:topLinePunct w:val="0"/>
        <w:bidi w:val="0"/>
        <w:spacing w:line="380" w:lineRule="exact"/>
        <w:outlineLvl w:val="2"/>
        <w:rPr>
          <w:rFonts w:ascii="宋体" w:cs="宋体"/>
          <w:color w:val="auto"/>
          <w:highlight w:val="none"/>
        </w:rPr>
      </w:pPr>
      <w:bookmarkStart w:id="1684" w:name="_Toc351203648"/>
      <w:bookmarkStart w:id="1685" w:name="_Toc497746848"/>
      <w:bookmarkStart w:id="1686" w:name="_Toc373478413"/>
      <w:bookmarkStart w:id="1687" w:name="_Toc373227766"/>
      <w:bookmarkStart w:id="1688" w:name="_Toc418518413"/>
      <w:bookmarkStart w:id="1689" w:name="_Toc418751863"/>
      <w:bookmarkStart w:id="1690" w:name="_Toc389065331"/>
      <w:bookmarkStart w:id="1691" w:name="_Toc418752309"/>
      <w:bookmarkStart w:id="1692" w:name="_Toc403579001"/>
      <w:bookmarkStart w:id="1693" w:name="_Toc497747245"/>
      <w:bookmarkStart w:id="1694" w:name="_Toc418061378"/>
      <w:bookmarkStart w:id="1695" w:name="_Toc522201793"/>
      <w:bookmarkStart w:id="1696" w:name="_Toc3422"/>
      <w:bookmarkStart w:id="1697" w:name="_Toc418518177"/>
      <w:bookmarkStart w:id="1698" w:name="_Toc256000244"/>
      <w:bookmarkStart w:id="1699" w:name="_Toc280868717"/>
      <w:bookmarkStart w:id="1700" w:name="_Toc280868718"/>
      <w:r>
        <w:rPr>
          <w:rFonts w:hint="eastAsia" w:ascii="宋体" w:cs="宋体"/>
          <w:color w:val="auto"/>
          <w:highlight w:val="none"/>
        </w:rPr>
        <w:t>16. 违约</w:t>
      </w:r>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p>
    <w:p w14:paraId="51AD3942">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701" w:name="_Toc497746849"/>
      <w:bookmarkStart w:id="1702" w:name="_Toc373227767"/>
      <w:bookmarkStart w:id="1703" w:name="_Toc418751864"/>
      <w:bookmarkStart w:id="1704" w:name="_Toc418518178"/>
      <w:bookmarkStart w:id="1705" w:name="_Toc497747246"/>
      <w:bookmarkStart w:id="1706" w:name="_Toc522201794"/>
      <w:bookmarkStart w:id="1707" w:name="_Toc7014"/>
      <w:bookmarkStart w:id="1708" w:name="_Toc418061379"/>
      <w:bookmarkStart w:id="1709" w:name="_Toc389065332"/>
      <w:bookmarkStart w:id="1710" w:name="_Toc373478414"/>
      <w:bookmarkStart w:id="1711" w:name="_Toc256000245"/>
      <w:bookmarkStart w:id="1712" w:name="_Toc418518414"/>
      <w:bookmarkStart w:id="1713" w:name="_Toc403579002"/>
      <w:bookmarkStart w:id="1714" w:name="_Toc418752310"/>
      <w:r>
        <w:rPr>
          <w:rFonts w:hint="eastAsia" w:ascii="宋体" w:cs="宋体"/>
          <w:color w:val="auto"/>
          <w:highlight w:val="none"/>
        </w:rPr>
        <w:t>16.1 发包人违约</w:t>
      </w:r>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p>
    <w:p w14:paraId="6A1FEB4D">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16.1.1发包人违约的情形</w:t>
      </w:r>
    </w:p>
    <w:p w14:paraId="3C22DA85">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发包人违约的其他情形：</w:t>
      </w:r>
      <w:r>
        <w:rPr>
          <w:rFonts w:hint="eastAsia" w:ascii="宋体" w:hAnsi="宋体" w:cs="宋体"/>
          <w:color w:val="auto"/>
          <w:kern w:val="0"/>
          <w:szCs w:val="21"/>
          <w:highlight w:val="none"/>
          <w:u w:val="single"/>
        </w:rPr>
        <w:t xml:space="preserve">    无   </w:t>
      </w:r>
      <w:r>
        <w:rPr>
          <w:rFonts w:hint="eastAsia" w:ascii="宋体" w:hAnsi="宋体" w:cs="宋体"/>
          <w:color w:val="auto"/>
          <w:kern w:val="0"/>
          <w:szCs w:val="21"/>
          <w:highlight w:val="none"/>
        </w:rPr>
        <w:t>。</w:t>
      </w:r>
    </w:p>
    <w:p w14:paraId="1DCD643B">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16.1.2 发包人违约的责任</w:t>
      </w:r>
    </w:p>
    <w:p w14:paraId="64D4C7FE">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发包人违约责任的承担方式和计算方法：</w:t>
      </w:r>
    </w:p>
    <w:p w14:paraId="474C72DE">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u w:val="single"/>
        </w:rPr>
      </w:pPr>
      <w:r>
        <w:rPr>
          <w:rFonts w:hint="eastAsia" w:ascii="宋体" w:hAnsi="宋体" w:cs="宋体"/>
          <w:color w:val="auto"/>
          <w:kern w:val="0"/>
          <w:szCs w:val="21"/>
          <w:highlight w:val="none"/>
        </w:rPr>
        <w:t>（1）因发包人原因未能在计划开工日期前7天内下达开工通知的违约责任：</w:t>
      </w:r>
      <w:r>
        <w:rPr>
          <w:rFonts w:hint="eastAsia" w:ascii="宋体" w:hAnsi="宋体" w:cs="宋体"/>
          <w:color w:val="auto"/>
          <w:kern w:val="0"/>
          <w:szCs w:val="21"/>
          <w:highlight w:val="none"/>
          <w:u w:val="single"/>
        </w:rPr>
        <w:t>工期相应顺延</w:t>
      </w:r>
      <w:r>
        <w:rPr>
          <w:rFonts w:hint="eastAsia" w:ascii="宋体" w:hAnsi="宋体" w:cs="宋体"/>
          <w:color w:val="auto"/>
          <w:kern w:val="0"/>
          <w:szCs w:val="21"/>
          <w:highlight w:val="none"/>
        </w:rPr>
        <w:t>。</w:t>
      </w:r>
    </w:p>
    <w:p w14:paraId="76B9BE2C">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（2）因发包人原因未能按合同约定支付合同价款的违约责任：</w:t>
      </w:r>
      <w:r>
        <w:rPr>
          <w:rFonts w:hint="eastAsia" w:ascii="宋体" w:hAnsi="宋体" w:cs="宋体"/>
          <w:color w:val="auto"/>
          <w:kern w:val="0"/>
          <w:szCs w:val="21"/>
          <w:highlight w:val="none"/>
          <w:u w:val="single"/>
        </w:rPr>
        <w:t xml:space="preserve"> / </w:t>
      </w:r>
      <w:r>
        <w:rPr>
          <w:rFonts w:hint="eastAsia" w:ascii="宋体" w:hAnsi="宋体" w:cs="宋体"/>
          <w:color w:val="auto"/>
          <w:kern w:val="0"/>
          <w:szCs w:val="21"/>
          <w:highlight w:val="none"/>
        </w:rPr>
        <w:t>。</w:t>
      </w:r>
    </w:p>
    <w:p w14:paraId="2B1E6BB6">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（3）发包人违反第10.1款〔变更的范围〕第（2）项约定，自行实施被取消的工作或转由他人实施的违约责任：</w:t>
      </w:r>
      <w:r>
        <w:rPr>
          <w:rFonts w:hint="eastAsia" w:ascii="宋体" w:hAnsi="宋体" w:cs="宋体"/>
          <w:color w:val="auto"/>
          <w:kern w:val="0"/>
          <w:szCs w:val="21"/>
          <w:highlight w:val="none"/>
          <w:u w:val="single"/>
        </w:rPr>
        <w:t xml:space="preserve">  按通用条款执行  </w:t>
      </w:r>
      <w:r>
        <w:rPr>
          <w:rFonts w:hint="eastAsia" w:ascii="宋体" w:hAnsi="宋体" w:cs="宋体"/>
          <w:color w:val="auto"/>
          <w:kern w:val="0"/>
          <w:szCs w:val="21"/>
          <w:highlight w:val="none"/>
        </w:rPr>
        <w:t>。</w:t>
      </w:r>
    </w:p>
    <w:p w14:paraId="3E51FF54">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（4）发包人提供的材料、工程设备的规格、数量或质量不符合合同约定，或因发包人原因导致交货日期延误或交货地点变更等情况的违约责任：</w:t>
      </w:r>
      <w:r>
        <w:rPr>
          <w:rFonts w:hint="eastAsia" w:ascii="宋体" w:hAnsi="宋体" w:cs="宋体"/>
          <w:color w:val="auto"/>
          <w:kern w:val="0"/>
          <w:szCs w:val="21"/>
          <w:highlight w:val="none"/>
          <w:u w:val="single"/>
        </w:rPr>
        <w:t>工期相应顺延</w:t>
      </w:r>
      <w:r>
        <w:rPr>
          <w:rFonts w:hint="eastAsia" w:ascii="宋体" w:hAnsi="宋体" w:cs="宋体"/>
          <w:color w:val="auto"/>
          <w:kern w:val="0"/>
          <w:szCs w:val="21"/>
          <w:highlight w:val="none"/>
        </w:rPr>
        <w:t>。</w:t>
      </w:r>
    </w:p>
    <w:p w14:paraId="5D1B8865">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u w:val="single"/>
        </w:rPr>
      </w:pPr>
      <w:r>
        <w:rPr>
          <w:rFonts w:hint="eastAsia" w:ascii="宋体" w:hAnsi="宋体" w:cs="宋体"/>
          <w:color w:val="auto"/>
          <w:kern w:val="0"/>
          <w:szCs w:val="21"/>
          <w:highlight w:val="none"/>
        </w:rPr>
        <w:t>（5）因发包人违反合同约定造成暂停施工的违约责任：</w:t>
      </w:r>
      <w:r>
        <w:rPr>
          <w:rFonts w:hint="eastAsia" w:ascii="宋体" w:hAnsi="宋体" w:cs="宋体"/>
          <w:color w:val="auto"/>
          <w:kern w:val="0"/>
          <w:szCs w:val="21"/>
          <w:highlight w:val="none"/>
          <w:u w:val="single"/>
        </w:rPr>
        <w:t>按通用条款执行</w:t>
      </w:r>
      <w:r>
        <w:rPr>
          <w:rFonts w:hint="eastAsia" w:ascii="宋体" w:hAnsi="宋体" w:cs="宋体"/>
          <w:color w:val="auto"/>
          <w:kern w:val="0"/>
          <w:szCs w:val="21"/>
          <w:highlight w:val="none"/>
        </w:rPr>
        <w:t>。</w:t>
      </w:r>
    </w:p>
    <w:p w14:paraId="519572EC">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（6）发包人无正当理由没有在约定期限内发出复工指示，导致承包人无法复工的违约责任：</w:t>
      </w:r>
      <w:r>
        <w:rPr>
          <w:rFonts w:hint="eastAsia" w:ascii="宋体" w:hAnsi="宋体" w:cs="宋体"/>
          <w:color w:val="auto"/>
          <w:kern w:val="0"/>
          <w:szCs w:val="21"/>
          <w:highlight w:val="none"/>
          <w:u w:val="single"/>
        </w:rPr>
        <w:t xml:space="preserve"> 按通用条款执行</w:t>
      </w:r>
      <w:r>
        <w:rPr>
          <w:rFonts w:hint="eastAsia" w:ascii="宋体" w:hAnsi="宋体" w:cs="宋体"/>
          <w:color w:val="auto"/>
          <w:kern w:val="0"/>
          <w:szCs w:val="21"/>
          <w:highlight w:val="none"/>
        </w:rPr>
        <w:t>。</w:t>
      </w:r>
    </w:p>
    <w:p w14:paraId="668EF7D6">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（7）其他：</w:t>
      </w:r>
      <w:r>
        <w:rPr>
          <w:rFonts w:hint="eastAsia" w:ascii="宋体" w:hAnsi="宋体" w:cs="宋体"/>
          <w:color w:val="auto"/>
          <w:kern w:val="0"/>
          <w:szCs w:val="21"/>
          <w:highlight w:val="none"/>
          <w:u w:val="single"/>
        </w:rPr>
        <w:t xml:space="preserve">  /  </w:t>
      </w:r>
      <w:r>
        <w:rPr>
          <w:rFonts w:hint="eastAsia" w:ascii="宋体" w:hAnsi="宋体" w:cs="宋体"/>
          <w:color w:val="auto"/>
          <w:kern w:val="0"/>
          <w:szCs w:val="21"/>
          <w:highlight w:val="none"/>
        </w:rPr>
        <w:t>。</w:t>
      </w:r>
    </w:p>
    <w:p w14:paraId="5BDB83CB">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16.1.3 因发包人违约解除合同</w:t>
      </w:r>
    </w:p>
    <w:p w14:paraId="1800B69A">
      <w:pPr>
        <w:pStyle w:val="21"/>
        <w:keepNext w:val="0"/>
        <w:keepLines w:val="0"/>
        <w:pageBreakBefore w:val="0"/>
        <w:widowControl w:val="0"/>
        <w:wordWrap/>
        <w:topLinePunct w:val="0"/>
        <w:autoSpaceDE w:val="0"/>
        <w:autoSpaceDN w:val="0"/>
        <w:bidi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承包人按16.1.1项〔发包人违约的情形〕约定暂停施工满</w:t>
      </w:r>
      <w:r>
        <w:rPr>
          <w:rFonts w:hint="eastAsia" w:ascii="宋体" w:hAnsi="宋体" w:cs="宋体"/>
          <w:color w:val="auto"/>
          <w:kern w:val="0"/>
          <w:szCs w:val="21"/>
          <w:highlight w:val="none"/>
          <w:u w:val="single"/>
        </w:rPr>
        <w:t xml:space="preserve">  /  </w:t>
      </w:r>
      <w:r>
        <w:rPr>
          <w:rFonts w:hint="eastAsia" w:ascii="宋体" w:hAnsi="宋体" w:cs="宋体"/>
          <w:color w:val="auto"/>
          <w:kern w:val="0"/>
          <w:szCs w:val="21"/>
          <w:highlight w:val="none"/>
        </w:rPr>
        <w:t>天后发包人仍不纠正其违约行为并致使合同目的不能实现的，承包人有权解除合同。</w:t>
      </w:r>
    </w:p>
    <w:p w14:paraId="148B3A31">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715" w:name="_Toc12535"/>
      <w:bookmarkStart w:id="1716" w:name="_Toc389065333"/>
      <w:bookmarkStart w:id="1717" w:name="_Toc403579003"/>
      <w:bookmarkStart w:id="1718" w:name="_Toc418518179"/>
      <w:bookmarkStart w:id="1719" w:name="_Toc373478415"/>
      <w:bookmarkStart w:id="1720" w:name="_Toc497746850"/>
      <w:bookmarkStart w:id="1721" w:name="_Toc418751865"/>
      <w:bookmarkStart w:id="1722" w:name="_Toc418752311"/>
      <w:bookmarkStart w:id="1723" w:name="_Toc256000246"/>
      <w:bookmarkStart w:id="1724" w:name="_Toc418518415"/>
      <w:bookmarkStart w:id="1725" w:name="_Toc418061380"/>
      <w:bookmarkStart w:id="1726" w:name="_Toc522201795"/>
      <w:bookmarkStart w:id="1727" w:name="_Toc497747247"/>
      <w:bookmarkStart w:id="1728" w:name="_Toc373227768"/>
      <w:r>
        <w:rPr>
          <w:rFonts w:hint="eastAsia" w:ascii="宋体" w:cs="宋体"/>
          <w:color w:val="auto"/>
          <w:highlight w:val="none"/>
        </w:rPr>
        <w:t>16.2 承包人违约</w:t>
      </w:r>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p>
    <w:p w14:paraId="3FD61AA4">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16.2.1 承包人违约的情形</w:t>
      </w:r>
    </w:p>
    <w:p w14:paraId="41B472C7">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u w:val="single"/>
        </w:rPr>
      </w:pPr>
      <w:r>
        <w:rPr>
          <w:rFonts w:hint="eastAsia" w:ascii="宋体" w:hAnsi="宋体" w:cs="宋体"/>
          <w:color w:val="auto"/>
          <w:kern w:val="0"/>
          <w:szCs w:val="21"/>
          <w:highlight w:val="none"/>
        </w:rPr>
        <w:t>承包人违约的其他情形：</w:t>
      </w:r>
      <w:r>
        <w:rPr>
          <w:rFonts w:hint="eastAsia" w:ascii="宋体" w:hAnsi="宋体" w:cs="宋体"/>
          <w:color w:val="auto"/>
          <w:kern w:val="0"/>
          <w:szCs w:val="21"/>
          <w:highlight w:val="none"/>
          <w:u w:val="single"/>
        </w:rPr>
        <w:t xml:space="preserve">按通用条款执行 </w:t>
      </w:r>
      <w:r>
        <w:rPr>
          <w:rFonts w:hint="eastAsia" w:ascii="宋体" w:hAnsi="宋体" w:cs="宋体"/>
          <w:color w:val="auto"/>
          <w:kern w:val="0"/>
          <w:szCs w:val="21"/>
          <w:highlight w:val="none"/>
        </w:rPr>
        <w:t>。</w:t>
      </w:r>
    </w:p>
    <w:p w14:paraId="2F5B2CF8">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16.2.2承包人违约的责任</w:t>
      </w:r>
    </w:p>
    <w:p w14:paraId="4DC582B5">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承包人违约责任的承担方式和计算方法：</w:t>
      </w:r>
    </w:p>
    <w:p w14:paraId="34B379F0">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承包人未按本合同通用条款第16.2.1（2）、（3）条内容完成的，承包人无条件返工处理，修复至工程质量要求并承担相关费用，并在发包人规定的时间内完成返工，否则发包人有权扣罚该分项工程10%的工程款作为处罚。</w:t>
      </w:r>
    </w:p>
    <w:p w14:paraId="61AE2C99">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（2）承包人有本合同通用条款第16.2.1（6）条情形的，或经监理人检验认为修复质量不合格而承包人拒绝再进行修补的，发包人将扣除承包人全部</w:t>
      </w:r>
      <w:r>
        <w:rPr>
          <w:rFonts w:hint="eastAsia" w:ascii="宋体" w:hAnsi="宋体" w:cs="宋体"/>
          <w:color w:val="auto"/>
          <w:kern w:val="0"/>
          <w:szCs w:val="21"/>
          <w:highlight w:val="none"/>
          <w:lang w:eastAsia="zh-CN"/>
        </w:rPr>
        <w:t>质量保证金</w:t>
      </w:r>
      <w:r>
        <w:rPr>
          <w:rFonts w:hint="eastAsia" w:ascii="宋体" w:hAnsi="宋体" w:cs="宋体"/>
          <w:color w:val="auto"/>
          <w:kern w:val="0"/>
          <w:szCs w:val="21"/>
          <w:highlight w:val="none"/>
        </w:rPr>
        <w:t>。</w:t>
      </w:r>
    </w:p>
    <w:p w14:paraId="6D27732B">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承包人有本专用合同条款3.2、3.3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w:t>
      </w:r>
      <w:r>
        <w:rPr>
          <w:rFonts w:hint="eastAsia" w:ascii="宋体" w:hAnsi="宋体" w:cs="宋体"/>
          <w:color w:val="auto"/>
          <w:szCs w:val="21"/>
          <w:highlight w:val="none"/>
        </w:rPr>
        <w:t>承包人在合同期内，完成合同规定的全部工程，且质量合格，在本工程施工竣工验收后十五天内可申请返还全部或部分罚款，返还金额由监理人审核，发包人批准。罚款金额返还时不包括银行利息。</w:t>
      </w:r>
      <w:r>
        <w:rPr>
          <w:rFonts w:hint="eastAsia" w:ascii="宋体" w:hAnsi="宋体" w:cs="宋体"/>
          <w:color w:val="auto"/>
          <w:kern w:val="0"/>
          <w:szCs w:val="21"/>
          <w:highlight w:val="none"/>
        </w:rPr>
        <w:t>承包人履约保证金被罚款后由发包人从最后一次计量支付时扣除相应金额补足履约保证金。</w:t>
      </w:r>
    </w:p>
    <w:p w14:paraId="7B56602D">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16.2.3 因承包人违约解除合同</w:t>
      </w:r>
    </w:p>
    <w:p w14:paraId="6B0D88A2">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关于承包人违约解除合同的特别约定：</w:t>
      </w:r>
      <w:r>
        <w:rPr>
          <w:rFonts w:hint="eastAsia" w:ascii="宋体" w:hAnsi="宋体" w:cs="宋体"/>
          <w:color w:val="auto"/>
          <w:kern w:val="0"/>
          <w:szCs w:val="21"/>
          <w:highlight w:val="none"/>
          <w:u w:val="single"/>
        </w:rPr>
        <w:t>承包人有违反以下情况之一的，发包人有权解除合同，并没收其全部履约保证金</w:t>
      </w:r>
      <w:r>
        <w:rPr>
          <w:rFonts w:hint="eastAsia" w:ascii="宋体" w:hAnsi="宋体" w:cs="宋体"/>
          <w:color w:val="auto"/>
          <w:kern w:val="0"/>
          <w:szCs w:val="21"/>
          <w:highlight w:val="none"/>
        </w:rPr>
        <w:t>。</w:t>
      </w:r>
    </w:p>
    <w:p w14:paraId="1BACBB1A">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(1)承包人无正当理由不按开工通知的要求及时进场组织施工和不按签订协议书时商定的进度计划有效地开展施工准备，造成工期延误的；</w:t>
      </w:r>
    </w:p>
    <w:p w14:paraId="08EFC151">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(2)承包人违反本合同通用条款第3.5条规定私自将合同或合同的任何部分或任何权利转让给其他人，或私自将工程或工程的一部分分包出去的；</w:t>
      </w:r>
    </w:p>
    <w:p w14:paraId="0E16E757">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(3)未经监理人批准，承包人私自将已按投标文件承诺进入工地的工程设备、施工设备、临时工程或材料撤离工地的；</w:t>
      </w:r>
    </w:p>
    <w:p w14:paraId="259D7C3E">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(4)由于承包人原因拒绝按合同进度计划及时完成合同规定的工程，而又未采取有效措施赶上进度，造成工期延误的；</w:t>
      </w:r>
    </w:p>
    <w:p w14:paraId="6B8757E2">
      <w:pPr>
        <w:pStyle w:val="21"/>
        <w:keepNext w:val="0"/>
        <w:keepLines w:val="0"/>
        <w:pageBreakBefore w:val="0"/>
        <w:widowControl w:val="0"/>
        <w:wordWrap/>
        <w:topLinePunct w:val="0"/>
        <w:bidi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(5)承包人否认合同有效或拒绝履行合同规定的承包人义务，或由于法律、财务等原因导致承包人无法继续履行或实质上已停止履行合同的义务的；</w:t>
      </w:r>
    </w:p>
    <w:p w14:paraId="728E586F">
      <w:pPr>
        <w:pStyle w:val="21"/>
        <w:keepNext w:val="0"/>
        <w:keepLines w:val="0"/>
        <w:pageBreakBefore w:val="0"/>
        <w:widowControl w:val="0"/>
        <w:wordWrap/>
        <w:topLinePunct w:val="0"/>
        <w:bidi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(6)合同签订之日起十五日内，承包人无法按合同规定及投标文件的承诺进场经监理工程师认可的全部人员和机械的。</w:t>
      </w:r>
    </w:p>
    <w:p w14:paraId="09C99FD9">
      <w:pPr>
        <w:pStyle w:val="21"/>
        <w:keepNext w:val="0"/>
        <w:keepLines w:val="0"/>
        <w:pageBreakBefore w:val="0"/>
        <w:widowControl w:val="0"/>
        <w:wordWrap/>
        <w:topLinePunct w:val="0"/>
        <w:bidi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发包人继续使用承包人在施工现场的材料、设备、临时工程、承包人文件和由承包人或以其名义编制的其他文件的费用承担方式：</w:t>
      </w:r>
      <w:r>
        <w:rPr>
          <w:rFonts w:hint="eastAsia" w:ascii="宋体" w:hAnsi="宋体" w:cs="宋体"/>
          <w:color w:val="auto"/>
          <w:kern w:val="0"/>
          <w:szCs w:val="21"/>
          <w:highlight w:val="none"/>
          <w:u w:val="single"/>
        </w:rPr>
        <w:t xml:space="preserve">   协商决定   </w:t>
      </w:r>
      <w:r>
        <w:rPr>
          <w:rFonts w:hint="eastAsia" w:ascii="宋体" w:hAnsi="宋体" w:cs="宋体"/>
          <w:color w:val="auto"/>
          <w:kern w:val="0"/>
          <w:szCs w:val="21"/>
          <w:highlight w:val="none"/>
        </w:rPr>
        <w:t>。</w:t>
      </w:r>
    </w:p>
    <w:p w14:paraId="0F68D95B">
      <w:pPr>
        <w:pStyle w:val="46"/>
        <w:keepNext w:val="0"/>
        <w:keepLines w:val="0"/>
        <w:pageBreakBefore w:val="0"/>
        <w:widowControl w:val="0"/>
        <w:wordWrap/>
        <w:topLinePunct w:val="0"/>
        <w:bidi w:val="0"/>
        <w:spacing w:line="380" w:lineRule="exact"/>
        <w:outlineLvl w:val="2"/>
        <w:rPr>
          <w:rFonts w:ascii="宋体" w:cs="宋体"/>
          <w:color w:val="auto"/>
          <w:highlight w:val="none"/>
        </w:rPr>
      </w:pPr>
      <w:bookmarkStart w:id="1729" w:name="_Toc418752312"/>
      <w:bookmarkStart w:id="1730" w:name="_Toc389065334"/>
      <w:bookmarkStart w:id="1731" w:name="_Toc497747248"/>
      <w:bookmarkStart w:id="1732" w:name="_Toc418061381"/>
      <w:bookmarkStart w:id="1733" w:name="_Toc351203649"/>
      <w:bookmarkStart w:id="1734" w:name="_Toc403579004"/>
      <w:bookmarkStart w:id="1735" w:name="_Toc418751866"/>
      <w:bookmarkStart w:id="1736" w:name="_Toc418518180"/>
      <w:bookmarkStart w:id="1737" w:name="_Toc373227769"/>
      <w:bookmarkStart w:id="1738" w:name="_Toc522201796"/>
      <w:bookmarkStart w:id="1739" w:name="_Toc373478416"/>
      <w:bookmarkStart w:id="1740" w:name="_Toc497746851"/>
      <w:bookmarkStart w:id="1741" w:name="_Toc418518416"/>
      <w:bookmarkStart w:id="1742" w:name="_Toc24826"/>
      <w:bookmarkStart w:id="1743" w:name="_Toc256000247"/>
      <w:r>
        <w:rPr>
          <w:rFonts w:hint="eastAsia" w:ascii="宋体" w:cs="宋体"/>
          <w:color w:val="auto"/>
          <w:highlight w:val="none"/>
        </w:rPr>
        <w:t>17. 不可抗力</w:t>
      </w:r>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r>
        <w:rPr>
          <w:rFonts w:hint="eastAsia" w:ascii="宋体" w:cs="宋体"/>
          <w:color w:val="auto"/>
          <w:highlight w:val="none"/>
        </w:rPr>
        <w:t xml:space="preserve"> </w:t>
      </w:r>
      <w:bookmarkEnd w:id="1699"/>
    </w:p>
    <w:p w14:paraId="3F095711">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744" w:name="_Toc418751867"/>
      <w:bookmarkStart w:id="1745" w:name="_Toc418061382"/>
      <w:bookmarkStart w:id="1746" w:name="_Toc373478417"/>
      <w:bookmarkStart w:id="1747" w:name="_Toc418752313"/>
      <w:bookmarkStart w:id="1748" w:name="_Toc497746852"/>
      <w:bookmarkStart w:id="1749" w:name="_Toc403579005"/>
      <w:bookmarkStart w:id="1750" w:name="_Toc389065335"/>
      <w:bookmarkStart w:id="1751" w:name="_Toc522201797"/>
      <w:bookmarkStart w:id="1752" w:name="_Toc418518181"/>
      <w:bookmarkStart w:id="1753" w:name="_Toc418518417"/>
      <w:bookmarkStart w:id="1754" w:name="_Toc497747249"/>
      <w:bookmarkStart w:id="1755" w:name="_Toc373227770"/>
      <w:bookmarkStart w:id="1756" w:name="_Toc256000248"/>
      <w:bookmarkStart w:id="1757" w:name="_Toc12218"/>
      <w:r>
        <w:rPr>
          <w:rFonts w:hint="eastAsia" w:ascii="宋体" w:cs="宋体"/>
          <w:color w:val="auto"/>
          <w:highlight w:val="none"/>
        </w:rPr>
        <w:t>17.1 不可抗力的确认</w:t>
      </w:r>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p>
    <w:p w14:paraId="0FF66C61">
      <w:pPr>
        <w:pStyle w:val="21"/>
        <w:keepNext w:val="0"/>
        <w:keepLines w:val="0"/>
        <w:pageBreakBefore w:val="0"/>
        <w:widowControl w:val="0"/>
        <w:wordWrap/>
        <w:topLinePunct w:val="0"/>
        <w:bidi w:val="0"/>
        <w:spacing w:line="380" w:lineRule="exact"/>
        <w:ind w:firstLine="420" w:firstLineChars="200"/>
        <w:rPr>
          <w:rFonts w:ascii="宋体" w:hAnsi="宋体" w:cs="宋体"/>
          <w:color w:val="auto"/>
          <w:kern w:val="0"/>
          <w:szCs w:val="21"/>
          <w:highlight w:val="none"/>
          <w:u w:val="single"/>
        </w:rPr>
      </w:pPr>
      <w:r>
        <w:rPr>
          <w:rFonts w:hint="eastAsia" w:ascii="宋体" w:hAnsi="宋体" w:cs="宋体"/>
          <w:color w:val="auto"/>
          <w:szCs w:val="21"/>
          <w:highlight w:val="none"/>
        </w:rPr>
        <w:t>除通用合同条款约定的不可抗力事件之外，视为不可抗力的其他情形：</w:t>
      </w:r>
      <w:r>
        <w:rPr>
          <w:rFonts w:hint="eastAsia" w:ascii="宋体" w:hAnsi="宋体" w:cs="宋体"/>
          <w:color w:val="auto"/>
          <w:kern w:val="0"/>
          <w:highlight w:val="none"/>
          <w:u w:val="single"/>
        </w:rPr>
        <w:t>不可抗力包括因战争、恐怖主义、动乱、空中飞行物体坠落或其他非发包人、承包人责任造成的爆炸、停工、火灾，以及：1、当地气象部门规定的情形；2、当地地震部门规定的情形；3、当地卫生部门规定的情形；4、提供政府相关部门对不可抗力的证明材料</w:t>
      </w:r>
      <w:r>
        <w:rPr>
          <w:rFonts w:hint="eastAsia" w:ascii="宋体" w:hAnsi="宋体" w:cs="宋体"/>
          <w:color w:val="auto"/>
          <w:kern w:val="0"/>
          <w:highlight w:val="none"/>
        </w:rPr>
        <w:t>。</w:t>
      </w:r>
    </w:p>
    <w:p w14:paraId="4FAE7324">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758" w:name="_Toc418518182"/>
      <w:bookmarkStart w:id="1759" w:name="_Toc403579006"/>
      <w:bookmarkStart w:id="1760" w:name="_Toc497747250"/>
      <w:bookmarkStart w:id="1761" w:name="_Toc497746853"/>
      <w:bookmarkStart w:id="1762" w:name="_Toc418752314"/>
      <w:bookmarkStart w:id="1763" w:name="_Toc418061383"/>
      <w:bookmarkStart w:id="1764" w:name="_Toc256000249"/>
      <w:bookmarkStart w:id="1765" w:name="_Toc522201798"/>
      <w:bookmarkStart w:id="1766" w:name="_Toc418518418"/>
      <w:bookmarkStart w:id="1767" w:name="_Toc389065336"/>
      <w:bookmarkStart w:id="1768" w:name="_Toc418751868"/>
      <w:bookmarkStart w:id="1769" w:name="_Toc373227771"/>
      <w:bookmarkStart w:id="1770" w:name="_Toc21582"/>
      <w:bookmarkStart w:id="1771" w:name="_Toc373478418"/>
      <w:r>
        <w:rPr>
          <w:rFonts w:hint="eastAsia" w:ascii="宋体" w:cs="宋体"/>
          <w:color w:val="auto"/>
          <w:highlight w:val="none"/>
        </w:rPr>
        <w:t>17.4 因不可抗力解除合同</w:t>
      </w:r>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p>
    <w:p w14:paraId="3A0AD81A">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合同解除后，发包人应在商定或确定发包人应支付款项后</w:t>
      </w:r>
      <w:r>
        <w:rPr>
          <w:rFonts w:hint="eastAsia" w:ascii="宋体" w:hAnsi="宋体" w:cs="宋体"/>
          <w:color w:val="auto"/>
          <w:szCs w:val="21"/>
          <w:highlight w:val="none"/>
          <w:u w:val="single"/>
        </w:rPr>
        <w:t xml:space="preserve"> 30 </w:t>
      </w:r>
      <w:r>
        <w:rPr>
          <w:rFonts w:hint="eastAsia" w:ascii="宋体" w:hAnsi="宋体" w:cs="宋体"/>
          <w:color w:val="auto"/>
          <w:szCs w:val="21"/>
          <w:highlight w:val="none"/>
        </w:rPr>
        <w:t>天内完成款项的支付。</w:t>
      </w:r>
    </w:p>
    <w:p w14:paraId="7C2E7BF5">
      <w:pPr>
        <w:pStyle w:val="46"/>
        <w:keepNext w:val="0"/>
        <w:keepLines w:val="0"/>
        <w:pageBreakBefore w:val="0"/>
        <w:widowControl w:val="0"/>
        <w:wordWrap/>
        <w:topLinePunct w:val="0"/>
        <w:bidi w:val="0"/>
        <w:spacing w:line="380" w:lineRule="exact"/>
        <w:outlineLvl w:val="2"/>
        <w:rPr>
          <w:rFonts w:ascii="宋体" w:cs="宋体"/>
          <w:color w:val="auto"/>
          <w:highlight w:val="none"/>
        </w:rPr>
      </w:pPr>
      <w:bookmarkStart w:id="1772" w:name="_Toc497747251"/>
      <w:bookmarkStart w:id="1773" w:name="_Toc373227772"/>
      <w:bookmarkStart w:id="1774" w:name="_Toc522201799"/>
      <w:bookmarkStart w:id="1775" w:name="_Toc418752315"/>
      <w:bookmarkStart w:id="1776" w:name="_Toc403579007"/>
      <w:bookmarkStart w:id="1777" w:name="_Toc389065337"/>
      <w:bookmarkStart w:id="1778" w:name="_Toc351203650"/>
      <w:bookmarkStart w:id="1779" w:name="_Toc418518419"/>
      <w:bookmarkStart w:id="1780" w:name="_Toc10404"/>
      <w:bookmarkStart w:id="1781" w:name="_Toc418061384"/>
      <w:bookmarkStart w:id="1782" w:name="_Toc373478419"/>
      <w:bookmarkStart w:id="1783" w:name="_Toc256000250"/>
      <w:bookmarkStart w:id="1784" w:name="_Toc497746854"/>
      <w:bookmarkStart w:id="1785" w:name="_Toc418751869"/>
      <w:bookmarkStart w:id="1786" w:name="_Toc418518183"/>
      <w:r>
        <w:rPr>
          <w:rFonts w:hint="eastAsia" w:ascii="宋体" w:cs="宋体"/>
          <w:color w:val="auto"/>
          <w:highlight w:val="none"/>
        </w:rPr>
        <w:t>18. 保险</w:t>
      </w:r>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p>
    <w:bookmarkEnd w:id="1700"/>
    <w:p w14:paraId="63F7B120">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787" w:name="_Toc403579008"/>
      <w:bookmarkStart w:id="1788" w:name="_Toc373227773"/>
      <w:bookmarkStart w:id="1789" w:name="_Toc373478420"/>
      <w:bookmarkStart w:id="1790" w:name="_Toc418518420"/>
      <w:bookmarkStart w:id="1791" w:name="_Toc389065338"/>
      <w:bookmarkStart w:id="1792" w:name="_Toc418061385"/>
      <w:bookmarkStart w:id="1793" w:name="_Toc25051"/>
      <w:bookmarkStart w:id="1794" w:name="_Toc497747252"/>
      <w:bookmarkStart w:id="1795" w:name="_Toc256000251"/>
      <w:bookmarkStart w:id="1796" w:name="_Toc522201800"/>
      <w:bookmarkStart w:id="1797" w:name="_Toc418751870"/>
      <w:bookmarkStart w:id="1798" w:name="_Toc418752316"/>
      <w:bookmarkStart w:id="1799" w:name="_Toc497746855"/>
      <w:bookmarkStart w:id="1800" w:name="_Toc418518184"/>
      <w:r>
        <w:rPr>
          <w:rFonts w:hint="eastAsia" w:ascii="宋体" w:cs="宋体"/>
          <w:color w:val="auto"/>
          <w:highlight w:val="none"/>
        </w:rPr>
        <w:t>18.1 工程保险</w:t>
      </w:r>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p>
    <w:p w14:paraId="6FEB4DEC">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关于工程保险的特别约定：</w:t>
      </w:r>
      <w:r>
        <w:rPr>
          <w:rFonts w:hint="eastAsia" w:ascii="宋体" w:hAnsi="宋体" w:cs="宋体"/>
          <w:color w:val="auto"/>
          <w:kern w:val="0"/>
          <w:szCs w:val="21"/>
          <w:highlight w:val="none"/>
          <w:u w:val="single"/>
        </w:rPr>
        <w:t>承包人应投保建筑工程一切险并承担与之相关的所有费用</w:t>
      </w:r>
      <w:r>
        <w:rPr>
          <w:rFonts w:hint="eastAsia" w:ascii="宋体" w:hAnsi="宋体" w:cs="宋体"/>
          <w:color w:val="auto"/>
          <w:kern w:val="0"/>
          <w:szCs w:val="21"/>
          <w:highlight w:val="none"/>
        </w:rPr>
        <w:t>。</w:t>
      </w:r>
    </w:p>
    <w:p w14:paraId="1527E427">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801" w:name="_Toc373227774"/>
      <w:bookmarkStart w:id="1802" w:name="_Toc418518421"/>
      <w:bookmarkStart w:id="1803" w:name="_Toc497746856"/>
      <w:bookmarkStart w:id="1804" w:name="_Toc418061386"/>
      <w:bookmarkStart w:id="1805" w:name="_Toc389065339"/>
      <w:bookmarkStart w:id="1806" w:name="_Toc14806"/>
      <w:bookmarkStart w:id="1807" w:name="_Toc418752317"/>
      <w:bookmarkStart w:id="1808" w:name="_Toc497747253"/>
      <w:bookmarkStart w:id="1809" w:name="_Toc418751871"/>
      <w:bookmarkStart w:id="1810" w:name="_Toc418518185"/>
      <w:bookmarkStart w:id="1811" w:name="_Toc373478421"/>
      <w:bookmarkStart w:id="1812" w:name="_Toc403579009"/>
      <w:bookmarkStart w:id="1813" w:name="_Toc256000252"/>
      <w:bookmarkStart w:id="1814" w:name="_Toc522201801"/>
      <w:r>
        <w:rPr>
          <w:rFonts w:hint="eastAsia" w:ascii="宋体" w:cs="宋体"/>
          <w:color w:val="auto"/>
          <w:highlight w:val="none"/>
        </w:rPr>
        <w:t>18.3 其他保险</w:t>
      </w:r>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p>
    <w:p w14:paraId="717C9A54">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szCs w:val="21"/>
          <w:highlight w:val="none"/>
        </w:rPr>
        <w:t>关于其他保险的约定：</w:t>
      </w:r>
      <w:r>
        <w:rPr>
          <w:rFonts w:hint="eastAsia" w:ascii="宋体" w:hAnsi="宋体" w:cs="宋体"/>
          <w:color w:val="auto"/>
          <w:kern w:val="0"/>
          <w:highlight w:val="none"/>
          <w:u w:val="single"/>
        </w:rPr>
        <w:t xml:space="preserve">按相关文件执行 </w:t>
      </w:r>
      <w:r>
        <w:rPr>
          <w:rFonts w:hint="eastAsia" w:ascii="宋体" w:hAnsi="宋体" w:cs="宋体"/>
          <w:bCs/>
          <w:color w:val="auto"/>
          <w:szCs w:val="21"/>
          <w:highlight w:val="none"/>
        </w:rPr>
        <w:t>。</w:t>
      </w:r>
    </w:p>
    <w:p w14:paraId="16D4ACAA">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承包人是否应为其施工设备等办理财产保险：</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u w:val="single"/>
        </w:rPr>
        <w:t>按通用条款执行，无特殊约定</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46B62F57">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815" w:name="_Toc418752318"/>
      <w:bookmarkStart w:id="1816" w:name="_Toc522201802"/>
      <w:bookmarkStart w:id="1817" w:name="_Toc627"/>
      <w:bookmarkStart w:id="1818" w:name="_Toc389065340"/>
      <w:bookmarkStart w:id="1819" w:name="_Toc403579010"/>
      <w:bookmarkStart w:id="1820" w:name="_Toc418061387"/>
      <w:bookmarkStart w:id="1821" w:name="_Toc497747254"/>
      <w:bookmarkStart w:id="1822" w:name="_Toc373478422"/>
      <w:bookmarkStart w:id="1823" w:name="_Toc373227775"/>
      <w:bookmarkStart w:id="1824" w:name="_Toc418518422"/>
      <w:bookmarkStart w:id="1825" w:name="_Toc418518186"/>
      <w:bookmarkStart w:id="1826" w:name="_Toc256000253"/>
      <w:bookmarkStart w:id="1827" w:name="_Toc418751872"/>
      <w:bookmarkStart w:id="1828" w:name="_Toc497746857"/>
      <w:r>
        <w:rPr>
          <w:rFonts w:hint="eastAsia" w:ascii="宋体" w:cs="宋体"/>
          <w:color w:val="auto"/>
          <w:highlight w:val="none"/>
        </w:rPr>
        <w:t>18.7 通知义务</w:t>
      </w:r>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p>
    <w:p w14:paraId="0058EF04">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rPr>
        <w:t>关于变更保险合同时的通知义务的约定：</w:t>
      </w:r>
      <w:r>
        <w:rPr>
          <w:rFonts w:hint="eastAsia" w:ascii="宋体" w:hAnsi="宋体" w:cs="宋体"/>
          <w:color w:val="auto"/>
          <w:szCs w:val="21"/>
          <w:highlight w:val="none"/>
          <w:u w:val="single"/>
        </w:rPr>
        <w:t xml:space="preserve">  变更应通知当事人 </w:t>
      </w:r>
      <w:r>
        <w:rPr>
          <w:rFonts w:hint="eastAsia" w:ascii="宋体" w:hAnsi="宋体" w:cs="宋体"/>
          <w:color w:val="auto"/>
          <w:kern w:val="0"/>
          <w:szCs w:val="21"/>
          <w:highlight w:val="none"/>
          <w:u w:val="single"/>
        </w:rPr>
        <w:t xml:space="preserve"> </w:t>
      </w:r>
      <w:r>
        <w:rPr>
          <w:rFonts w:hint="eastAsia" w:ascii="宋体" w:hAnsi="宋体" w:cs="宋体"/>
          <w:color w:val="auto"/>
          <w:szCs w:val="21"/>
          <w:highlight w:val="none"/>
        </w:rPr>
        <w:t>。</w:t>
      </w:r>
    </w:p>
    <w:bookmarkEnd w:id="1620"/>
    <w:bookmarkEnd w:id="1621"/>
    <w:bookmarkEnd w:id="1622"/>
    <w:bookmarkEnd w:id="1623"/>
    <w:bookmarkEnd w:id="1624"/>
    <w:bookmarkEnd w:id="1625"/>
    <w:bookmarkEnd w:id="1626"/>
    <w:bookmarkEnd w:id="1627"/>
    <w:bookmarkEnd w:id="1628"/>
    <w:bookmarkEnd w:id="1629"/>
    <w:bookmarkEnd w:id="1630"/>
    <w:bookmarkEnd w:id="1631"/>
    <w:p w14:paraId="45BBF2CA">
      <w:pPr>
        <w:pStyle w:val="46"/>
        <w:keepNext w:val="0"/>
        <w:keepLines w:val="0"/>
        <w:pageBreakBefore w:val="0"/>
        <w:widowControl w:val="0"/>
        <w:wordWrap/>
        <w:topLinePunct w:val="0"/>
        <w:bidi w:val="0"/>
        <w:spacing w:line="380" w:lineRule="exact"/>
        <w:outlineLvl w:val="2"/>
        <w:rPr>
          <w:rFonts w:ascii="宋体" w:cs="宋体"/>
          <w:color w:val="auto"/>
          <w:highlight w:val="none"/>
        </w:rPr>
      </w:pPr>
      <w:bookmarkStart w:id="1829" w:name="_Toc351203651"/>
      <w:bookmarkStart w:id="1830" w:name="_Toc25758"/>
      <w:bookmarkStart w:id="1831" w:name="_Toc389065341"/>
      <w:bookmarkStart w:id="1832" w:name="_Toc418518423"/>
      <w:bookmarkStart w:id="1833" w:name="_Toc373478423"/>
      <w:bookmarkStart w:id="1834" w:name="_Toc522201803"/>
      <w:bookmarkStart w:id="1835" w:name="_Toc418061388"/>
      <w:bookmarkStart w:id="1836" w:name="_Toc373227776"/>
      <w:bookmarkStart w:id="1837" w:name="_Toc497746858"/>
      <w:bookmarkStart w:id="1838" w:name="_Toc256000254"/>
      <w:bookmarkStart w:id="1839" w:name="_Toc403579011"/>
      <w:bookmarkStart w:id="1840" w:name="_Toc418518187"/>
      <w:bookmarkStart w:id="1841" w:name="_Toc418752319"/>
      <w:bookmarkStart w:id="1842" w:name="_Toc497747255"/>
      <w:bookmarkStart w:id="1843" w:name="_Toc418751873"/>
      <w:r>
        <w:rPr>
          <w:rFonts w:hint="eastAsia" w:ascii="宋体" w:hAnsi="宋体" w:eastAsia="宋体" w:cs="宋体"/>
          <w:color w:val="auto"/>
          <w:highlight w:val="none"/>
        </w:rPr>
        <w:t>20</w:t>
      </w:r>
      <w:r>
        <w:rPr>
          <w:rFonts w:hint="eastAsia" w:ascii="宋体" w:cs="宋体"/>
          <w:color w:val="auto"/>
          <w:highlight w:val="none"/>
        </w:rPr>
        <w:t>. 争议解决</w:t>
      </w:r>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p>
    <w:bookmarkEnd w:id="1632"/>
    <w:bookmarkEnd w:id="1633"/>
    <w:p w14:paraId="3B6228DF">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844" w:name="_Toc373227777"/>
      <w:bookmarkStart w:id="1845" w:name="_Toc389065342"/>
      <w:bookmarkStart w:id="1846" w:name="_Toc403579012"/>
      <w:bookmarkStart w:id="1847" w:name="_Toc418752320"/>
      <w:bookmarkStart w:id="1848" w:name="_Toc373478424"/>
      <w:bookmarkStart w:id="1849" w:name="_Toc256000255"/>
      <w:bookmarkStart w:id="1850" w:name="_Toc497746859"/>
      <w:bookmarkStart w:id="1851" w:name="_Toc418518424"/>
      <w:bookmarkStart w:id="1852" w:name="_Toc16650"/>
      <w:bookmarkStart w:id="1853" w:name="_Toc522201804"/>
      <w:bookmarkStart w:id="1854" w:name="_Toc497747256"/>
      <w:bookmarkStart w:id="1855" w:name="_Toc418518188"/>
      <w:bookmarkStart w:id="1856" w:name="_Toc418061389"/>
      <w:bookmarkStart w:id="1857" w:name="_Toc418751874"/>
      <w:r>
        <w:rPr>
          <w:rFonts w:hint="eastAsia" w:ascii="宋体" w:cs="宋体"/>
          <w:color w:val="auto"/>
          <w:highlight w:val="none"/>
        </w:rPr>
        <w:t>20.3 争</w:t>
      </w:r>
      <w:bookmarkEnd w:id="1634"/>
      <w:r>
        <w:rPr>
          <w:rFonts w:hint="eastAsia" w:ascii="宋体" w:cs="宋体"/>
          <w:color w:val="auto"/>
          <w:highlight w:val="none"/>
        </w:rPr>
        <w:t>议评审</w:t>
      </w:r>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p>
    <w:p w14:paraId="752BB333">
      <w:pPr>
        <w:pStyle w:val="21"/>
        <w:keepNext w:val="0"/>
        <w:keepLines w:val="0"/>
        <w:pageBreakBefore w:val="0"/>
        <w:widowControl w:val="0"/>
        <w:wordWrap/>
        <w:topLinePunct w:val="0"/>
        <w:bidi w:val="0"/>
        <w:spacing w:line="380" w:lineRule="exact"/>
        <w:ind w:left="149" w:leftChars="71" w:firstLine="315" w:firstLineChars="150"/>
        <w:jc w:val="left"/>
        <w:rPr>
          <w:rFonts w:ascii="宋体" w:hAnsi="宋体" w:cs="宋体"/>
          <w:color w:val="auto"/>
          <w:szCs w:val="21"/>
          <w:highlight w:val="none"/>
          <w:u w:val="single"/>
        </w:rPr>
      </w:pPr>
      <w:r>
        <w:rPr>
          <w:rFonts w:hint="eastAsia" w:ascii="宋体" w:hAnsi="宋体" w:cs="宋体"/>
          <w:color w:val="auto"/>
          <w:szCs w:val="21"/>
          <w:highlight w:val="none"/>
        </w:rPr>
        <w:t>合同当事人是否同意将工程争议提交争议评审小组决定：</w:t>
      </w:r>
      <w:r>
        <w:rPr>
          <w:rFonts w:hint="eastAsia" w:ascii="宋体" w:hAnsi="宋体" w:cs="宋体"/>
          <w:color w:val="auto"/>
          <w:szCs w:val="21"/>
          <w:highlight w:val="none"/>
          <w:u w:val="single"/>
        </w:rPr>
        <w:t xml:space="preserve">  不同意  </w:t>
      </w:r>
      <w:r>
        <w:rPr>
          <w:rFonts w:hint="eastAsia" w:ascii="宋体" w:hAnsi="宋体" w:cs="宋体"/>
          <w:color w:val="auto"/>
          <w:szCs w:val="21"/>
          <w:highlight w:val="none"/>
        </w:rPr>
        <w:t>。</w:t>
      </w:r>
    </w:p>
    <w:p w14:paraId="725DAED9">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20.3.1 争议评审小组的确定</w:t>
      </w:r>
    </w:p>
    <w:p w14:paraId="05F7EC07">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争议评审小组成员的确定：</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2EDAD48F">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选定争议评审员的期限：</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03843370">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争议评审小组成员的报酬承担方式：</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324F3414">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其他事项的约定：</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49C12368">
      <w:pPr>
        <w:pStyle w:val="21"/>
        <w:keepNext w:val="0"/>
        <w:keepLines w:val="0"/>
        <w:pageBreakBefore w:val="0"/>
        <w:widowControl w:val="0"/>
        <w:wordWrap/>
        <w:topLinePunct w:val="0"/>
        <w:autoSpaceDE w:val="0"/>
        <w:autoSpaceDN w:val="0"/>
        <w:bidi w:val="0"/>
        <w:adjustRightInd w:val="0"/>
        <w:spacing w:line="38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20.3.2 争议评审小组的决定</w:t>
      </w:r>
    </w:p>
    <w:p w14:paraId="33EBBB2A">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合同当事人关于本项的约定：</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73D48EF0">
      <w:pPr>
        <w:pStyle w:val="46"/>
        <w:keepNext w:val="0"/>
        <w:keepLines w:val="0"/>
        <w:pageBreakBefore w:val="0"/>
        <w:widowControl w:val="0"/>
        <w:wordWrap/>
        <w:topLinePunct w:val="0"/>
        <w:bidi w:val="0"/>
        <w:spacing w:line="380" w:lineRule="exact"/>
        <w:ind w:firstLine="422" w:firstLineChars="200"/>
        <w:outlineLvl w:val="9"/>
        <w:rPr>
          <w:rFonts w:ascii="宋体" w:cs="宋体"/>
          <w:color w:val="auto"/>
          <w:highlight w:val="none"/>
        </w:rPr>
      </w:pPr>
      <w:bookmarkStart w:id="1858" w:name="_Toc418518189"/>
      <w:bookmarkStart w:id="1859" w:name="_Toc389065343"/>
      <w:bookmarkStart w:id="1860" w:name="_Toc497747257"/>
      <w:bookmarkStart w:id="1861" w:name="_Toc418751875"/>
      <w:bookmarkStart w:id="1862" w:name="_Toc256000256"/>
      <w:bookmarkStart w:id="1863" w:name="_Toc418061390"/>
      <w:bookmarkStart w:id="1864" w:name="_Toc15918"/>
      <w:bookmarkStart w:id="1865" w:name="_Toc373478425"/>
      <w:bookmarkStart w:id="1866" w:name="_Toc418518425"/>
      <w:bookmarkStart w:id="1867" w:name="_Toc403579013"/>
      <w:bookmarkStart w:id="1868" w:name="_Toc418752321"/>
      <w:bookmarkStart w:id="1869" w:name="_Toc522201805"/>
      <w:bookmarkStart w:id="1870" w:name="_Toc497746860"/>
      <w:bookmarkStart w:id="1871" w:name="_Toc373227778"/>
      <w:r>
        <w:rPr>
          <w:rFonts w:hint="eastAsia" w:ascii="宋体" w:cs="宋体"/>
          <w:color w:val="auto"/>
          <w:highlight w:val="none"/>
        </w:rPr>
        <w:t>20.4 仲裁或诉讼</w:t>
      </w:r>
      <w:bookmarkEnd w:id="1635"/>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p>
    <w:p w14:paraId="4A19CF24">
      <w:pPr>
        <w:pStyle w:val="21"/>
        <w:keepNext w:val="0"/>
        <w:keepLines w:val="0"/>
        <w:pageBreakBefore w:val="0"/>
        <w:widowControl w:val="0"/>
        <w:wordWrap/>
        <w:topLinePunct w:val="0"/>
        <w:bidi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因合同及合同有关事项发生的争议，按下列第</w:t>
      </w:r>
      <w:r>
        <w:rPr>
          <w:rFonts w:hint="eastAsia" w:ascii="宋体" w:hAnsi="宋体" w:cs="宋体"/>
          <w:color w:val="auto"/>
          <w:szCs w:val="21"/>
          <w:highlight w:val="none"/>
          <w:u w:val="single"/>
        </w:rPr>
        <w:t xml:space="preserve">  （2）    </w:t>
      </w:r>
      <w:r>
        <w:rPr>
          <w:rFonts w:hint="eastAsia" w:ascii="宋体" w:hAnsi="宋体" w:cs="宋体"/>
          <w:color w:val="auto"/>
          <w:szCs w:val="21"/>
          <w:highlight w:val="none"/>
        </w:rPr>
        <w:t>种方式解决：</w:t>
      </w:r>
    </w:p>
    <w:p w14:paraId="5350352F">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（1）提请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仲裁委员会按照该会仲裁规则进行仲裁，仲裁裁决是终局的，对合同双方均有约束力。</w:t>
      </w:r>
    </w:p>
    <w:p w14:paraId="60DE6678">
      <w:pPr>
        <w:pStyle w:val="21"/>
        <w:keepNext w:val="0"/>
        <w:keepLines w:val="0"/>
        <w:pageBreakBefore w:val="0"/>
        <w:widowControl w:val="0"/>
        <w:wordWrap/>
        <w:topLinePunct w:val="0"/>
        <w:bidi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（2）向</w:t>
      </w:r>
      <w:r>
        <w:rPr>
          <w:rFonts w:hint="eastAsia" w:ascii="宋体" w:hAnsi="宋体" w:cs="宋体"/>
          <w:color w:val="auto"/>
          <w:szCs w:val="21"/>
          <w:highlight w:val="none"/>
          <w:u w:val="single"/>
        </w:rPr>
        <w:t xml:space="preserve">    桂林市本工程辖区内     </w:t>
      </w:r>
      <w:r>
        <w:rPr>
          <w:rFonts w:hint="eastAsia" w:ascii="宋体" w:hAnsi="宋体" w:cs="宋体"/>
          <w:color w:val="auto"/>
          <w:szCs w:val="21"/>
          <w:highlight w:val="none"/>
        </w:rPr>
        <w:t>人民法院起诉。</w:t>
      </w:r>
      <w:bookmarkEnd w:id="1636"/>
      <w:bookmarkEnd w:id="1637"/>
      <w:bookmarkEnd w:id="1638"/>
      <w:bookmarkEnd w:id="1639"/>
      <w:bookmarkEnd w:id="1640"/>
      <w:bookmarkEnd w:id="1641"/>
    </w:p>
    <w:p w14:paraId="7E054AE8">
      <w:pPr>
        <w:pStyle w:val="46"/>
        <w:keepNext w:val="0"/>
        <w:keepLines w:val="0"/>
        <w:pageBreakBefore w:val="0"/>
        <w:widowControl w:val="0"/>
        <w:wordWrap/>
        <w:topLinePunct w:val="0"/>
        <w:bidi w:val="0"/>
        <w:spacing w:line="380" w:lineRule="exact"/>
        <w:outlineLvl w:val="2"/>
        <w:rPr>
          <w:rFonts w:ascii="宋体" w:cs="宋体"/>
          <w:color w:val="auto"/>
          <w:highlight w:val="none"/>
        </w:rPr>
      </w:pPr>
      <w:bookmarkStart w:id="1872" w:name="_Toc497746861"/>
      <w:bookmarkStart w:id="1873" w:name="_Toc256000257"/>
      <w:bookmarkStart w:id="1874" w:name="_Toc32248"/>
      <w:bookmarkStart w:id="1875" w:name="_Toc497747258"/>
      <w:bookmarkStart w:id="1876" w:name="_Toc389065344"/>
      <w:bookmarkStart w:id="1877" w:name="_Toc373478426"/>
      <w:bookmarkStart w:id="1878" w:name="_Toc373227779"/>
      <w:bookmarkStart w:id="1879" w:name="_Toc395382582"/>
      <w:bookmarkStart w:id="1880" w:name="_Toc522201806"/>
      <w:r>
        <w:rPr>
          <w:rFonts w:hint="eastAsia" w:ascii="宋体" w:hAnsi="宋体" w:eastAsia="宋体" w:cs="宋体"/>
          <w:color w:val="auto"/>
          <w:highlight w:val="none"/>
        </w:rPr>
        <w:t>21</w:t>
      </w:r>
      <w:r>
        <w:rPr>
          <w:rFonts w:hint="eastAsia" w:ascii="宋体" w:cs="宋体"/>
          <w:color w:val="auto"/>
          <w:highlight w:val="none"/>
        </w:rPr>
        <w:t>. 补充条款</w:t>
      </w:r>
      <w:bookmarkEnd w:id="1872"/>
      <w:bookmarkEnd w:id="1873"/>
      <w:bookmarkEnd w:id="1874"/>
      <w:bookmarkEnd w:id="1875"/>
      <w:bookmarkEnd w:id="1876"/>
      <w:bookmarkEnd w:id="1877"/>
      <w:bookmarkEnd w:id="1878"/>
      <w:bookmarkEnd w:id="1879"/>
      <w:bookmarkEnd w:id="1880"/>
    </w:p>
    <w:p w14:paraId="54A88BAE">
      <w:pPr>
        <w:pStyle w:val="21"/>
        <w:keepNext w:val="0"/>
        <w:keepLines w:val="0"/>
        <w:pageBreakBefore w:val="0"/>
        <w:widowControl w:val="0"/>
        <w:wordWrap/>
        <w:topLinePunct w:val="0"/>
        <w:autoSpaceDE w:val="0"/>
        <w:autoSpaceDN w:val="0"/>
        <w:bidi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21.1 根据桂劳社[2003]150 号文，承包人在投标时必须在投标文件中承诺，在发包人发出交款通知之日起 7 个工作日内足额将民工工资保障金转入建设行政主管部门设立的农民工工资保障金专用帐号。发包人按节点足额支付工程款后，一旦其承包的建设工程项目中出现拖欠农民工工资情况的，由主管部门从其农民工工资保障金中先予支付。 </w:t>
      </w:r>
    </w:p>
    <w:p w14:paraId="66D734D2">
      <w:pPr>
        <w:pStyle w:val="21"/>
        <w:keepNext w:val="0"/>
        <w:keepLines w:val="0"/>
        <w:pageBreakBefore w:val="0"/>
        <w:widowControl w:val="0"/>
        <w:wordWrap/>
        <w:topLinePunct w:val="0"/>
        <w:autoSpaceDE w:val="0"/>
        <w:autoSpaceDN w:val="0"/>
        <w:bidi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21.2 承包方采用新工艺新材料，必须在使用前 2 个月，向发包方提交相关的技术资料、发明专利、产品证书、样品及应用的实例、单价组成等有关资料；经发包方、设计单位认可后方可使用，凡未经批准擅自使用者除费用自行承担外还应赔偿发包方由此引起的经济损失。 </w:t>
      </w:r>
    </w:p>
    <w:p w14:paraId="036DCCB6">
      <w:pPr>
        <w:pStyle w:val="21"/>
        <w:keepNext w:val="0"/>
        <w:keepLines w:val="0"/>
        <w:pageBreakBefore w:val="0"/>
        <w:widowControl w:val="0"/>
        <w:wordWrap/>
        <w:topLinePunct w:val="0"/>
        <w:autoSpaceDE w:val="0"/>
        <w:autoSpaceDN w:val="0"/>
        <w:bidi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21.3 赶工费、夜间施工费由</w:t>
      </w:r>
      <w:r>
        <w:rPr>
          <w:rFonts w:hint="eastAsia" w:ascii="宋体" w:hAnsi="宋体" w:cs="宋体"/>
          <w:color w:val="auto"/>
          <w:kern w:val="0"/>
          <w:szCs w:val="21"/>
          <w:highlight w:val="none"/>
          <w:lang w:eastAsia="zh-CN"/>
        </w:rPr>
        <w:t>投标人（供应商）</w:t>
      </w:r>
      <w:r>
        <w:rPr>
          <w:rFonts w:hint="eastAsia" w:ascii="宋体" w:hAnsi="宋体" w:cs="宋体"/>
          <w:color w:val="auto"/>
          <w:kern w:val="0"/>
          <w:szCs w:val="21"/>
          <w:highlight w:val="none"/>
        </w:rPr>
        <w:t>结合自身企业的实际情况及对施工现场的考察、提供的图纸等各方面的资料自行报价，并包干使用，今后不作任何调整和签证。</w:t>
      </w:r>
    </w:p>
    <w:p w14:paraId="6CCDB328">
      <w:pPr>
        <w:pStyle w:val="21"/>
        <w:keepNext w:val="0"/>
        <w:keepLines w:val="0"/>
        <w:pageBreakBefore w:val="0"/>
        <w:widowControl w:val="0"/>
        <w:wordWrap/>
        <w:topLinePunct w:val="0"/>
        <w:autoSpaceDE w:val="0"/>
        <w:autoSpaceDN w:val="0"/>
        <w:bidi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21.4 根据《建设工程质量检测管理办法》(住房和城乡建设部令第57号)以及《广西壮族自治区建设工程质量检测管理实施细则》(桂建发[2025]5号)规定，工程质量检测业务由招标人委托有相应资质的检测机构检测。费用从招标人的项目建设经费中支出并直接支付给检测机构，不计入合同价款内。 </w:t>
      </w:r>
    </w:p>
    <w:p w14:paraId="6CC855C3">
      <w:pPr>
        <w:pStyle w:val="21"/>
        <w:keepNext w:val="0"/>
        <w:keepLines w:val="0"/>
        <w:pageBreakBefore w:val="0"/>
        <w:widowControl w:val="0"/>
        <w:wordWrap/>
        <w:topLinePunct w:val="0"/>
        <w:autoSpaceDE w:val="0"/>
        <w:autoSpaceDN w:val="0"/>
        <w:bidi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21.6 发包人需要持散装水泥、多孔砖、砼砌块的材料发票原件到政府有关部门办理退款手续，承包人必须及时提供。否则，发包人有权按政府有关部门收缴标准及数额在承包人工程款中扣罚。 </w:t>
      </w:r>
    </w:p>
    <w:p w14:paraId="23CB541F">
      <w:pPr>
        <w:pStyle w:val="21"/>
        <w:keepNext w:val="0"/>
        <w:keepLines w:val="0"/>
        <w:pageBreakBefore w:val="0"/>
        <w:widowControl w:val="0"/>
        <w:wordWrap/>
        <w:topLinePunct w:val="0"/>
        <w:autoSpaceDE w:val="0"/>
        <w:autoSpaceDN w:val="0"/>
        <w:bidi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21.7 由于承包人不能按时提供属承包人应提供的文件导致发包人不能及时办理施工许可证，所有造成的后果由承包人承担责任。造成发包人损失的，承包人应赔偿发包人损失。 </w:t>
      </w:r>
    </w:p>
    <w:p w14:paraId="2B097354">
      <w:pPr>
        <w:pStyle w:val="21"/>
        <w:keepNext w:val="0"/>
        <w:keepLines w:val="0"/>
        <w:pageBreakBefore w:val="0"/>
        <w:widowControl w:val="0"/>
        <w:wordWrap/>
        <w:topLinePunct w:val="0"/>
        <w:autoSpaceDE w:val="0"/>
        <w:autoSpaceDN w:val="0"/>
        <w:bidi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21.8 已完工程成品保护的特殊要求及费用承担： 已竣工工程未交付发包人之前，承包人负责已完工程的成品保护工作，保护期间发生损坏，承包人自费予以修复。工程已交付发包人或发包人提前使用后的损坏及所需的修理费用、工程成品毁损的风险，由发包人承担。若发包人要求承包人采取特殊措施保护的，由发包人就保护的工程部位和相应的追加合同价款另外进行协商。 </w:t>
      </w:r>
    </w:p>
    <w:p w14:paraId="3800B8F1">
      <w:pPr>
        <w:pStyle w:val="21"/>
        <w:keepNext w:val="0"/>
        <w:keepLines w:val="0"/>
        <w:pageBreakBefore w:val="0"/>
        <w:widowControl w:val="0"/>
        <w:wordWrap/>
        <w:topLinePunct w:val="0"/>
        <w:autoSpaceDE w:val="0"/>
        <w:autoSpaceDN w:val="0"/>
        <w:bidi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21.9 材料严格保证质量，相同类型材料质量应一致，若发现有材料以次品冒充，则该部分所有材料均按次品处理且须重新更换合格材料才能使用。 </w:t>
      </w:r>
    </w:p>
    <w:p w14:paraId="7A7F9544">
      <w:pPr>
        <w:pStyle w:val="21"/>
        <w:keepNext w:val="0"/>
        <w:keepLines w:val="0"/>
        <w:pageBreakBefore w:val="0"/>
        <w:widowControl w:val="0"/>
        <w:wordWrap/>
        <w:topLinePunct w:val="0"/>
        <w:autoSpaceDE w:val="0"/>
        <w:autoSpaceDN w:val="0"/>
        <w:bidi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21.10 承包人必须配合监理工程师和发包人派驻工程师的工作，一切签证事宜均须在规定的时间内作出书面签证申请，过期补签无效，发包人超过规定期限没有签证的视为此签证发包人已同意。夜间施工增加费（含夜间加班加点）已包含在合同价款内，施工期间不予再签证。 </w:t>
      </w:r>
    </w:p>
    <w:p w14:paraId="5DEBE3FF">
      <w:pPr>
        <w:pStyle w:val="21"/>
        <w:keepNext w:val="0"/>
        <w:keepLines w:val="0"/>
        <w:pageBreakBefore w:val="0"/>
        <w:widowControl w:val="0"/>
        <w:wordWrap/>
        <w:topLinePunct w:val="0"/>
        <w:autoSpaceDE w:val="0"/>
        <w:autoSpaceDN w:val="0"/>
        <w:bidi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21.11 承包人有以下情形之一者，视为违约，发包人有权依法解除合同，没收其全部履约保证金，承包人还应承担相应的法律责任。  </w:t>
      </w:r>
    </w:p>
    <w:p w14:paraId="7851028D">
      <w:pPr>
        <w:pStyle w:val="21"/>
        <w:keepNext w:val="0"/>
        <w:keepLines w:val="0"/>
        <w:pageBreakBefore w:val="0"/>
        <w:widowControl w:val="0"/>
        <w:wordWrap/>
        <w:topLinePunct w:val="0"/>
        <w:autoSpaceDE w:val="0"/>
        <w:autoSpaceDN w:val="0"/>
        <w:bidi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① 经有关建设主管部门鉴定确认，承包人有挂靠行为。 </w:t>
      </w:r>
    </w:p>
    <w:p w14:paraId="46A1756B">
      <w:pPr>
        <w:pStyle w:val="21"/>
        <w:keepNext w:val="0"/>
        <w:keepLines w:val="0"/>
        <w:pageBreakBefore w:val="0"/>
        <w:widowControl w:val="0"/>
        <w:wordWrap/>
        <w:topLinePunct w:val="0"/>
        <w:autoSpaceDE w:val="0"/>
        <w:autoSpaceDN w:val="0"/>
        <w:bidi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② 转包工程，以牟取转让费、管理费。  </w:t>
      </w:r>
    </w:p>
    <w:p w14:paraId="63FB495F">
      <w:pPr>
        <w:pStyle w:val="21"/>
        <w:keepNext w:val="0"/>
        <w:keepLines w:val="0"/>
        <w:pageBreakBefore w:val="0"/>
        <w:widowControl w:val="0"/>
        <w:wordWrap/>
        <w:topLinePunct w:val="0"/>
        <w:autoSpaceDE w:val="0"/>
        <w:autoSpaceDN w:val="0"/>
        <w:bidi w:val="0"/>
        <w:adjustRightInd w:val="0"/>
        <w:spacing w:line="380" w:lineRule="exact"/>
        <w:ind w:firstLine="420" w:firstLineChars="20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③ 自签订合同之日起 15 日内，因承包人责任无法组织合同规定的人员、机械进场或进场人员机械与合同严重不符。</w:t>
      </w:r>
    </w:p>
    <w:p w14:paraId="7873387C">
      <w:pPr>
        <w:pStyle w:val="21"/>
        <w:keepNext w:val="0"/>
        <w:keepLines w:val="0"/>
        <w:pageBreakBefore w:val="0"/>
        <w:widowControl w:val="0"/>
        <w:wordWrap/>
        <w:topLinePunct w:val="0"/>
        <w:autoSpaceDE w:val="0"/>
        <w:autoSpaceDN w:val="0"/>
        <w:bidi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21.12 工程竣工验收通过后 14 天之内，承包人必须将临时工棚、建筑垃圾等全部清理出现场，否则从第15天起，每天处以1000元罚款且不办理结算。</w:t>
      </w:r>
    </w:p>
    <w:p w14:paraId="6036981D">
      <w:pPr>
        <w:pStyle w:val="21"/>
        <w:keepNext w:val="0"/>
        <w:keepLines w:val="0"/>
        <w:pageBreakBefore w:val="0"/>
        <w:widowControl w:val="0"/>
        <w:wordWrap/>
        <w:topLinePunct w:val="0"/>
        <w:autoSpaceDE w:val="0"/>
        <w:autoSpaceDN w:val="0"/>
        <w:bidi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21.13 凡进入本工程工作的妇女应持有计生证、否则不准安排工作，禁止使用童工。</w:t>
      </w:r>
    </w:p>
    <w:bookmarkEnd w:id="255"/>
    <w:p w14:paraId="58C3586F">
      <w:pPr>
        <w:pStyle w:val="21"/>
        <w:keepNext w:val="0"/>
        <w:keepLines w:val="0"/>
        <w:pageBreakBefore w:val="0"/>
        <w:widowControl w:val="0"/>
        <w:wordWrap/>
        <w:topLinePunct w:val="0"/>
        <w:autoSpaceDE w:val="0"/>
        <w:autoSpaceDN w:val="0"/>
        <w:bidi w:val="0"/>
        <w:adjustRightInd w:val="0"/>
        <w:spacing w:line="3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21.14 如因政策性原因或者项目暂时（或永久）取消导致开工延误或无法开工，发包人不支付承包人任何赔偿或补偿，并可根据政策要求或项目情况延时开工或取消部分合同内容。</w:t>
      </w:r>
    </w:p>
    <w:p w14:paraId="2339D9A5">
      <w:pPr>
        <w:pStyle w:val="21"/>
        <w:keepNext w:val="0"/>
        <w:keepLines w:val="0"/>
        <w:pageBreakBefore w:val="0"/>
        <w:widowControl w:val="0"/>
        <w:wordWrap/>
        <w:topLinePunct w:val="0"/>
        <w:autoSpaceDE w:val="0"/>
        <w:autoSpaceDN w:val="0"/>
        <w:bidi w:val="0"/>
        <w:adjustRightInd w:val="0"/>
        <w:spacing w:line="380" w:lineRule="exact"/>
        <w:ind w:firstLine="420" w:firstLineChars="200"/>
        <w:rPr>
          <w:rFonts w:hint="eastAsia" w:ascii="宋体" w:hAnsi="宋体" w:eastAsia="宋体" w:cs="宋体"/>
          <w:b/>
          <w:color w:val="auto"/>
          <w:sz w:val="21"/>
          <w:szCs w:val="21"/>
          <w:highlight w:val="none"/>
        </w:rPr>
      </w:pPr>
      <w:r>
        <w:rPr>
          <w:rFonts w:hint="eastAsia" w:ascii="宋体" w:hAnsi="宋体" w:cs="宋体"/>
          <w:color w:val="auto"/>
          <w:kern w:val="0"/>
          <w:szCs w:val="21"/>
          <w:highlight w:val="none"/>
        </w:rPr>
        <w:t>21.15 承包人应自行协调与施工现场周边及村民的关系，确保项目施工顺利进行。发包人不再支付承包人因协调施工现场周边及村民关系而发生的任何费用。如因征地拆迁造成的问题由由发包人负责牵头解决。</w:t>
      </w:r>
    </w:p>
    <w:p w14:paraId="718F29E0">
      <w:pP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br w:type="page"/>
      </w:r>
    </w:p>
    <w:p w14:paraId="1DB008A2">
      <w:pPr>
        <w:keepNext w:val="0"/>
        <w:keepLines w:val="0"/>
        <w:pageBreakBefore w:val="0"/>
        <w:widowControl w:val="0"/>
        <w:kinsoku/>
        <w:wordWrap/>
        <w:overflowPunct/>
        <w:topLinePunct w:val="0"/>
        <w:bidi w:val="0"/>
        <w:snapToGrid/>
        <w:spacing w:line="360" w:lineRule="exact"/>
        <w:ind w:left="0" w:leftChars="0" w:right="0" w:rightChars="0"/>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附件</w:t>
      </w:r>
    </w:p>
    <w:p w14:paraId="06E4F4AD">
      <w:pPr>
        <w:keepNext w:val="0"/>
        <w:keepLines w:val="0"/>
        <w:pageBreakBefore w:val="0"/>
        <w:widowControl w:val="0"/>
        <w:kinsoku/>
        <w:wordWrap/>
        <w:overflowPunct/>
        <w:topLinePunct w:val="0"/>
        <w:bidi w:val="0"/>
        <w:snapToGrid/>
        <w:spacing w:line="360" w:lineRule="exact"/>
        <w:ind w:left="0" w:leftChars="0" w:right="0" w:right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附件1：承包人承揽工程项目一览表</w:t>
      </w:r>
    </w:p>
    <w:p w14:paraId="3AB1C1CF">
      <w:pPr>
        <w:keepNext w:val="0"/>
        <w:keepLines w:val="0"/>
        <w:pageBreakBefore w:val="0"/>
        <w:widowControl w:val="0"/>
        <w:kinsoku/>
        <w:wordWrap/>
        <w:overflowPunct/>
        <w:topLinePunct w:val="0"/>
        <w:bidi w:val="0"/>
        <w:snapToGrid/>
        <w:spacing w:line="360" w:lineRule="exact"/>
        <w:ind w:left="0" w:leftChars="0" w:right="0" w:right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附件2：发包人供应材料设备一览表</w:t>
      </w:r>
    </w:p>
    <w:p w14:paraId="560BAD24">
      <w:pPr>
        <w:keepNext w:val="0"/>
        <w:keepLines w:val="0"/>
        <w:pageBreakBefore w:val="0"/>
        <w:widowControl w:val="0"/>
        <w:kinsoku/>
        <w:wordWrap/>
        <w:overflowPunct/>
        <w:topLinePunct w:val="0"/>
        <w:bidi w:val="0"/>
        <w:snapToGrid/>
        <w:spacing w:line="360" w:lineRule="exact"/>
        <w:ind w:left="0" w:leftChars="0" w:right="0" w:right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附件3：工程质量保修书</w:t>
      </w:r>
    </w:p>
    <w:p w14:paraId="7A4B5C21">
      <w:pPr>
        <w:keepNext w:val="0"/>
        <w:keepLines w:val="0"/>
        <w:pageBreakBefore w:val="0"/>
        <w:widowControl w:val="0"/>
        <w:kinsoku/>
        <w:wordWrap/>
        <w:overflowPunct/>
        <w:topLinePunct w:val="0"/>
        <w:bidi w:val="0"/>
        <w:snapToGrid/>
        <w:spacing w:line="360" w:lineRule="exact"/>
        <w:ind w:left="0" w:leftChars="0" w:right="0" w:right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附件4：主要建设工程文件目录</w:t>
      </w:r>
    </w:p>
    <w:p w14:paraId="243FA811">
      <w:pPr>
        <w:keepNext w:val="0"/>
        <w:keepLines w:val="0"/>
        <w:pageBreakBefore w:val="0"/>
        <w:widowControl w:val="0"/>
        <w:kinsoku/>
        <w:wordWrap/>
        <w:overflowPunct/>
        <w:topLinePunct w:val="0"/>
        <w:bidi w:val="0"/>
        <w:snapToGrid/>
        <w:spacing w:line="360" w:lineRule="exact"/>
        <w:ind w:left="0" w:leftChars="0" w:right="0" w:right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附件5：承包人用于本工程施工的机械设备表</w:t>
      </w:r>
    </w:p>
    <w:p w14:paraId="6E000CD7">
      <w:pPr>
        <w:keepNext w:val="0"/>
        <w:keepLines w:val="0"/>
        <w:pageBreakBefore w:val="0"/>
        <w:widowControl w:val="0"/>
        <w:kinsoku/>
        <w:wordWrap/>
        <w:overflowPunct/>
        <w:topLinePunct w:val="0"/>
        <w:bidi w:val="0"/>
        <w:snapToGrid/>
        <w:spacing w:line="360" w:lineRule="exact"/>
        <w:ind w:left="0" w:leftChars="0" w:right="0" w:right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附件6：承包人主要施工管理人员表</w:t>
      </w:r>
    </w:p>
    <w:p w14:paraId="028EA799">
      <w:pPr>
        <w:keepNext w:val="0"/>
        <w:keepLines w:val="0"/>
        <w:pageBreakBefore w:val="0"/>
        <w:widowControl w:val="0"/>
        <w:kinsoku/>
        <w:wordWrap/>
        <w:overflowPunct/>
        <w:topLinePunct w:val="0"/>
        <w:bidi w:val="0"/>
        <w:snapToGrid/>
        <w:spacing w:line="360" w:lineRule="exact"/>
        <w:ind w:left="0" w:leftChars="0" w:right="0" w:right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附件7：分包人主要施工管理人员表</w:t>
      </w:r>
    </w:p>
    <w:p w14:paraId="39C67155">
      <w:pPr>
        <w:keepNext w:val="0"/>
        <w:keepLines w:val="0"/>
        <w:pageBreakBefore w:val="0"/>
        <w:widowControl w:val="0"/>
        <w:kinsoku/>
        <w:wordWrap/>
        <w:overflowPunct/>
        <w:topLinePunct w:val="0"/>
        <w:bidi w:val="0"/>
        <w:snapToGrid/>
        <w:spacing w:line="360" w:lineRule="exact"/>
        <w:ind w:left="0" w:leftChars="0" w:right="0" w:right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附件8：履约担保格式</w:t>
      </w:r>
    </w:p>
    <w:p w14:paraId="3884F29F">
      <w:pPr>
        <w:keepNext w:val="0"/>
        <w:keepLines w:val="0"/>
        <w:pageBreakBefore w:val="0"/>
        <w:widowControl w:val="0"/>
        <w:kinsoku/>
        <w:wordWrap/>
        <w:overflowPunct/>
        <w:topLinePunct w:val="0"/>
        <w:bidi w:val="0"/>
        <w:snapToGrid/>
        <w:spacing w:line="360" w:lineRule="exact"/>
        <w:ind w:left="0" w:leftChars="0" w:right="0" w:right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附件9：预付款担保格式</w:t>
      </w:r>
    </w:p>
    <w:p w14:paraId="283CC3A9">
      <w:pPr>
        <w:keepNext w:val="0"/>
        <w:keepLines w:val="0"/>
        <w:pageBreakBefore w:val="0"/>
        <w:widowControl w:val="0"/>
        <w:kinsoku/>
        <w:wordWrap/>
        <w:overflowPunct/>
        <w:topLinePunct w:val="0"/>
        <w:bidi w:val="0"/>
        <w:snapToGrid/>
        <w:spacing w:line="360" w:lineRule="exact"/>
        <w:ind w:left="0" w:leftChars="0" w:right="0" w:right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附件10：支付担保格式</w:t>
      </w:r>
    </w:p>
    <w:p w14:paraId="05B94FCD">
      <w:pPr>
        <w:keepNext w:val="0"/>
        <w:keepLines w:val="0"/>
        <w:pageBreakBefore w:val="0"/>
        <w:widowControl w:val="0"/>
        <w:kinsoku/>
        <w:wordWrap/>
        <w:overflowPunct/>
        <w:topLinePunct w:val="0"/>
        <w:bidi w:val="0"/>
        <w:snapToGrid/>
        <w:spacing w:line="360" w:lineRule="exact"/>
        <w:ind w:left="0" w:leftChars="0" w:right="0" w:right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附件11：暂估价一览表</w:t>
      </w:r>
    </w:p>
    <w:p w14:paraId="317E8872">
      <w:pPr>
        <w:pStyle w:val="9"/>
        <w:keepNext w:val="0"/>
        <w:keepLines w:val="0"/>
        <w:pageBreakBefore w:val="0"/>
        <w:widowControl w:val="0"/>
        <w:wordWrap/>
        <w:topLinePunct w:val="0"/>
        <w:bidi w:val="0"/>
        <w:rPr>
          <w:rFonts w:hint="eastAsia" w:ascii="宋体" w:hAnsi="宋体" w:eastAsia="宋体" w:cs="宋体"/>
          <w:color w:val="auto"/>
          <w:sz w:val="21"/>
          <w:szCs w:val="21"/>
          <w:highlight w:val="none"/>
          <w:lang w:val="en-US" w:eastAsia="zh-CN"/>
        </w:rPr>
      </w:pPr>
    </w:p>
    <w:p w14:paraId="225C9503">
      <w:pPr>
        <w:pStyle w:val="9"/>
        <w:keepNext w:val="0"/>
        <w:keepLines w:val="0"/>
        <w:pageBreakBefore w:val="0"/>
        <w:widowControl w:val="0"/>
        <w:wordWrap/>
        <w:topLinePunct w:val="0"/>
        <w:bidi w:val="0"/>
        <w:rPr>
          <w:rFonts w:hint="default" w:ascii="宋体" w:hAnsi="宋体" w:eastAsia="宋体" w:cs="宋体"/>
          <w:color w:val="auto"/>
          <w:sz w:val="21"/>
          <w:szCs w:val="21"/>
          <w:highlight w:val="none"/>
          <w:lang w:val="en-US" w:eastAsia="zh-CN"/>
        </w:rPr>
        <w:sectPr>
          <w:pgSz w:w="11906" w:h="16838"/>
          <w:pgMar w:top="1304" w:right="1115" w:bottom="1191" w:left="1131" w:header="851" w:footer="992" w:gutter="0"/>
          <w:pgNumType w:fmt="decimal"/>
          <w:cols w:space="720" w:num="1"/>
          <w:titlePg/>
          <w:docGrid w:type="lines" w:linePitch="312" w:charSpace="0"/>
        </w:sectPr>
      </w:pPr>
    </w:p>
    <w:p w14:paraId="45B4CC94">
      <w:pPr>
        <w:keepNext w:val="0"/>
        <w:keepLines w:val="0"/>
        <w:pageBreakBefore w:val="0"/>
        <w:widowControl w:val="0"/>
        <w:kinsoku/>
        <w:wordWrap/>
        <w:overflowPunct/>
        <w:topLinePunct w:val="0"/>
        <w:bidi w:val="0"/>
        <w:snapToGrid/>
        <w:spacing w:line="360" w:lineRule="exact"/>
        <w:ind w:left="0" w:leftChars="0" w:right="0" w:right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附件1：</w:t>
      </w:r>
    </w:p>
    <w:p w14:paraId="7FBA39C5">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承包人承揽工程项目一览表</w:t>
      </w:r>
    </w:p>
    <w:tbl>
      <w:tblPr>
        <w:tblStyle w:val="27"/>
        <w:tblW w:w="14317" w:type="dxa"/>
        <w:tblInd w:w="-39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77"/>
        <w:gridCol w:w="1843"/>
        <w:gridCol w:w="1417"/>
        <w:gridCol w:w="2126"/>
        <w:gridCol w:w="850"/>
        <w:gridCol w:w="1560"/>
        <w:gridCol w:w="2126"/>
        <w:gridCol w:w="1417"/>
        <w:gridCol w:w="851"/>
        <w:gridCol w:w="850"/>
      </w:tblGrid>
      <w:tr w14:paraId="6AB474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277" w:type="dxa"/>
            <w:tcBorders>
              <w:top w:val="single" w:color="auto" w:sz="12" w:space="0"/>
              <w:bottom w:val="double" w:color="auto" w:sz="6" w:space="0"/>
            </w:tcBorders>
            <w:noWrap w:val="0"/>
            <w:vAlign w:val="center"/>
          </w:tcPr>
          <w:p w14:paraId="40C707F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单位工程名称</w:t>
            </w:r>
          </w:p>
        </w:tc>
        <w:tc>
          <w:tcPr>
            <w:tcW w:w="1843" w:type="dxa"/>
            <w:tcBorders>
              <w:top w:val="single" w:color="auto" w:sz="12" w:space="0"/>
              <w:bottom w:val="double" w:color="auto" w:sz="6" w:space="0"/>
            </w:tcBorders>
            <w:noWrap w:val="0"/>
            <w:vAlign w:val="center"/>
          </w:tcPr>
          <w:p w14:paraId="056882D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建设规模</w:t>
            </w:r>
          </w:p>
        </w:tc>
        <w:tc>
          <w:tcPr>
            <w:tcW w:w="1417" w:type="dxa"/>
            <w:tcBorders>
              <w:top w:val="single" w:color="auto" w:sz="12" w:space="0"/>
              <w:bottom w:val="double" w:color="auto" w:sz="6" w:space="0"/>
            </w:tcBorders>
            <w:noWrap w:val="0"/>
            <w:vAlign w:val="center"/>
          </w:tcPr>
          <w:p w14:paraId="62A93817">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建筑面积(平方米)</w:t>
            </w:r>
          </w:p>
        </w:tc>
        <w:tc>
          <w:tcPr>
            <w:tcW w:w="2126" w:type="dxa"/>
            <w:tcBorders>
              <w:top w:val="single" w:color="auto" w:sz="12" w:space="0"/>
              <w:bottom w:val="double" w:color="auto" w:sz="6" w:space="0"/>
            </w:tcBorders>
            <w:noWrap w:val="0"/>
            <w:vAlign w:val="center"/>
          </w:tcPr>
          <w:p w14:paraId="0EC5B71E">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结构形式</w:t>
            </w:r>
          </w:p>
        </w:tc>
        <w:tc>
          <w:tcPr>
            <w:tcW w:w="850" w:type="dxa"/>
            <w:tcBorders>
              <w:top w:val="single" w:color="auto" w:sz="12" w:space="0"/>
              <w:bottom w:val="double" w:color="auto" w:sz="6" w:space="0"/>
            </w:tcBorders>
            <w:noWrap w:val="0"/>
            <w:vAlign w:val="center"/>
          </w:tcPr>
          <w:p w14:paraId="7BC302B8">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层数</w:t>
            </w:r>
          </w:p>
        </w:tc>
        <w:tc>
          <w:tcPr>
            <w:tcW w:w="1560" w:type="dxa"/>
            <w:tcBorders>
              <w:top w:val="single" w:color="auto" w:sz="12" w:space="0"/>
              <w:bottom w:val="double" w:color="auto" w:sz="6" w:space="0"/>
            </w:tcBorders>
            <w:noWrap w:val="0"/>
            <w:vAlign w:val="center"/>
          </w:tcPr>
          <w:p w14:paraId="64CC66E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生产能力</w:t>
            </w:r>
          </w:p>
        </w:tc>
        <w:tc>
          <w:tcPr>
            <w:tcW w:w="2126" w:type="dxa"/>
            <w:tcBorders>
              <w:top w:val="single" w:color="auto" w:sz="12" w:space="0"/>
              <w:bottom w:val="double" w:color="auto" w:sz="6" w:space="0"/>
            </w:tcBorders>
            <w:noWrap w:val="0"/>
            <w:vAlign w:val="center"/>
          </w:tcPr>
          <w:p w14:paraId="47D08E4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设备安装内容</w:t>
            </w:r>
          </w:p>
        </w:tc>
        <w:tc>
          <w:tcPr>
            <w:tcW w:w="1417" w:type="dxa"/>
            <w:tcBorders>
              <w:top w:val="single" w:color="auto" w:sz="12" w:space="0"/>
              <w:bottom w:val="double" w:color="auto" w:sz="6" w:space="0"/>
            </w:tcBorders>
            <w:noWrap w:val="0"/>
            <w:vAlign w:val="center"/>
          </w:tcPr>
          <w:p w14:paraId="109DEE1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合同价格（元）</w:t>
            </w:r>
          </w:p>
        </w:tc>
        <w:tc>
          <w:tcPr>
            <w:tcW w:w="851" w:type="dxa"/>
            <w:tcBorders>
              <w:top w:val="single" w:color="auto" w:sz="12" w:space="0"/>
              <w:bottom w:val="double" w:color="auto" w:sz="6" w:space="0"/>
            </w:tcBorders>
            <w:noWrap w:val="0"/>
            <w:vAlign w:val="center"/>
          </w:tcPr>
          <w:p w14:paraId="2D3FE85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开工日期</w:t>
            </w:r>
          </w:p>
        </w:tc>
        <w:tc>
          <w:tcPr>
            <w:tcW w:w="850" w:type="dxa"/>
            <w:tcBorders>
              <w:top w:val="single" w:color="auto" w:sz="12" w:space="0"/>
              <w:bottom w:val="double" w:color="auto" w:sz="6" w:space="0"/>
            </w:tcBorders>
            <w:noWrap w:val="0"/>
            <w:vAlign w:val="center"/>
          </w:tcPr>
          <w:p w14:paraId="632B12E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竣工日期</w:t>
            </w:r>
          </w:p>
        </w:tc>
      </w:tr>
      <w:tr w14:paraId="5807E3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double" w:color="auto" w:sz="6" w:space="0"/>
              <w:bottom w:val="single" w:color="auto" w:sz="6" w:space="0"/>
            </w:tcBorders>
            <w:noWrap w:val="0"/>
            <w:vAlign w:val="center"/>
          </w:tcPr>
          <w:p w14:paraId="176E56C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843" w:type="dxa"/>
            <w:tcBorders>
              <w:top w:val="double" w:color="auto" w:sz="6" w:space="0"/>
              <w:bottom w:val="single" w:color="auto" w:sz="6" w:space="0"/>
            </w:tcBorders>
            <w:noWrap w:val="0"/>
            <w:vAlign w:val="center"/>
          </w:tcPr>
          <w:p w14:paraId="3354603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7" w:type="dxa"/>
            <w:tcBorders>
              <w:top w:val="double" w:color="auto" w:sz="6" w:space="0"/>
              <w:bottom w:val="single" w:color="auto" w:sz="6" w:space="0"/>
            </w:tcBorders>
            <w:noWrap w:val="0"/>
            <w:vAlign w:val="center"/>
          </w:tcPr>
          <w:p w14:paraId="5F88E39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2126" w:type="dxa"/>
            <w:tcBorders>
              <w:top w:val="double" w:color="auto" w:sz="6" w:space="0"/>
              <w:bottom w:val="single" w:color="auto" w:sz="6" w:space="0"/>
            </w:tcBorders>
            <w:noWrap w:val="0"/>
            <w:vAlign w:val="center"/>
          </w:tcPr>
          <w:p w14:paraId="2D56409E">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tcBorders>
              <w:top w:val="double" w:color="auto" w:sz="6" w:space="0"/>
              <w:bottom w:val="single" w:color="auto" w:sz="6" w:space="0"/>
            </w:tcBorders>
            <w:noWrap w:val="0"/>
            <w:vAlign w:val="center"/>
          </w:tcPr>
          <w:p w14:paraId="05BBCF2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560" w:type="dxa"/>
            <w:tcBorders>
              <w:top w:val="double" w:color="auto" w:sz="6" w:space="0"/>
              <w:bottom w:val="single" w:color="auto" w:sz="6" w:space="0"/>
            </w:tcBorders>
            <w:noWrap w:val="0"/>
            <w:vAlign w:val="center"/>
          </w:tcPr>
          <w:p w14:paraId="0205AAC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2126" w:type="dxa"/>
            <w:tcBorders>
              <w:top w:val="double" w:color="auto" w:sz="6" w:space="0"/>
              <w:bottom w:val="single" w:color="auto" w:sz="6" w:space="0"/>
            </w:tcBorders>
            <w:noWrap w:val="0"/>
            <w:vAlign w:val="center"/>
          </w:tcPr>
          <w:p w14:paraId="0F62275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7" w:type="dxa"/>
            <w:tcBorders>
              <w:top w:val="double" w:color="auto" w:sz="6" w:space="0"/>
              <w:bottom w:val="single" w:color="auto" w:sz="6" w:space="0"/>
            </w:tcBorders>
            <w:noWrap w:val="0"/>
            <w:vAlign w:val="center"/>
          </w:tcPr>
          <w:p w14:paraId="7AF0779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1" w:type="dxa"/>
            <w:tcBorders>
              <w:top w:val="double" w:color="auto" w:sz="6" w:space="0"/>
              <w:bottom w:val="single" w:color="auto" w:sz="6" w:space="0"/>
            </w:tcBorders>
            <w:noWrap w:val="0"/>
            <w:vAlign w:val="center"/>
          </w:tcPr>
          <w:p w14:paraId="307F171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tcBorders>
              <w:top w:val="double" w:color="auto" w:sz="6" w:space="0"/>
              <w:bottom w:val="single" w:color="auto" w:sz="6" w:space="0"/>
            </w:tcBorders>
            <w:noWrap w:val="0"/>
            <w:vAlign w:val="center"/>
          </w:tcPr>
          <w:p w14:paraId="50F5BD7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397336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6793879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843" w:type="dxa"/>
            <w:tcBorders>
              <w:top w:val="nil"/>
            </w:tcBorders>
            <w:noWrap w:val="0"/>
            <w:vAlign w:val="center"/>
          </w:tcPr>
          <w:p w14:paraId="0FC9B477">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7" w:type="dxa"/>
            <w:tcBorders>
              <w:top w:val="nil"/>
            </w:tcBorders>
            <w:noWrap w:val="0"/>
            <w:vAlign w:val="center"/>
          </w:tcPr>
          <w:p w14:paraId="7E9EEF4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2126" w:type="dxa"/>
            <w:tcBorders>
              <w:top w:val="nil"/>
            </w:tcBorders>
            <w:noWrap w:val="0"/>
            <w:vAlign w:val="center"/>
          </w:tcPr>
          <w:p w14:paraId="4AF8E65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tcBorders>
              <w:top w:val="nil"/>
            </w:tcBorders>
            <w:noWrap w:val="0"/>
            <w:vAlign w:val="center"/>
          </w:tcPr>
          <w:p w14:paraId="493E697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560" w:type="dxa"/>
            <w:tcBorders>
              <w:top w:val="nil"/>
            </w:tcBorders>
            <w:noWrap w:val="0"/>
            <w:vAlign w:val="center"/>
          </w:tcPr>
          <w:p w14:paraId="22A64A1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2126" w:type="dxa"/>
            <w:tcBorders>
              <w:top w:val="nil"/>
            </w:tcBorders>
            <w:noWrap w:val="0"/>
            <w:vAlign w:val="center"/>
          </w:tcPr>
          <w:p w14:paraId="700C9B6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7" w:type="dxa"/>
            <w:tcBorders>
              <w:top w:val="nil"/>
            </w:tcBorders>
            <w:noWrap w:val="0"/>
            <w:vAlign w:val="center"/>
          </w:tcPr>
          <w:p w14:paraId="211F9C38">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1" w:type="dxa"/>
            <w:tcBorders>
              <w:top w:val="nil"/>
            </w:tcBorders>
            <w:noWrap w:val="0"/>
            <w:vAlign w:val="center"/>
          </w:tcPr>
          <w:p w14:paraId="144033D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tcBorders>
              <w:top w:val="nil"/>
            </w:tcBorders>
            <w:noWrap w:val="0"/>
            <w:vAlign w:val="center"/>
          </w:tcPr>
          <w:p w14:paraId="029887A8">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75F709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7C979DAE">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843" w:type="dxa"/>
            <w:tcBorders>
              <w:top w:val="nil"/>
            </w:tcBorders>
            <w:noWrap w:val="0"/>
            <w:vAlign w:val="center"/>
          </w:tcPr>
          <w:p w14:paraId="40DEB12E">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7" w:type="dxa"/>
            <w:tcBorders>
              <w:top w:val="nil"/>
            </w:tcBorders>
            <w:noWrap w:val="0"/>
            <w:vAlign w:val="center"/>
          </w:tcPr>
          <w:p w14:paraId="45529F7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2126" w:type="dxa"/>
            <w:tcBorders>
              <w:top w:val="nil"/>
            </w:tcBorders>
            <w:noWrap w:val="0"/>
            <w:vAlign w:val="center"/>
          </w:tcPr>
          <w:p w14:paraId="0AFB019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tcBorders>
              <w:top w:val="nil"/>
            </w:tcBorders>
            <w:noWrap w:val="0"/>
            <w:vAlign w:val="center"/>
          </w:tcPr>
          <w:p w14:paraId="5DC07287">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560" w:type="dxa"/>
            <w:tcBorders>
              <w:top w:val="nil"/>
            </w:tcBorders>
            <w:noWrap w:val="0"/>
            <w:vAlign w:val="center"/>
          </w:tcPr>
          <w:p w14:paraId="62CC85C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2126" w:type="dxa"/>
            <w:tcBorders>
              <w:top w:val="nil"/>
            </w:tcBorders>
            <w:noWrap w:val="0"/>
            <w:vAlign w:val="center"/>
          </w:tcPr>
          <w:p w14:paraId="1B3569A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7" w:type="dxa"/>
            <w:tcBorders>
              <w:top w:val="nil"/>
            </w:tcBorders>
            <w:noWrap w:val="0"/>
            <w:vAlign w:val="center"/>
          </w:tcPr>
          <w:p w14:paraId="099D866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1" w:type="dxa"/>
            <w:tcBorders>
              <w:top w:val="nil"/>
            </w:tcBorders>
            <w:noWrap w:val="0"/>
            <w:vAlign w:val="center"/>
          </w:tcPr>
          <w:p w14:paraId="408D1EF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tcBorders>
              <w:top w:val="nil"/>
            </w:tcBorders>
            <w:noWrap w:val="0"/>
            <w:vAlign w:val="center"/>
          </w:tcPr>
          <w:p w14:paraId="7F2DAAB8">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7CE01D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noWrap w:val="0"/>
            <w:vAlign w:val="center"/>
          </w:tcPr>
          <w:p w14:paraId="39F5D2E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843" w:type="dxa"/>
            <w:noWrap w:val="0"/>
            <w:vAlign w:val="center"/>
          </w:tcPr>
          <w:p w14:paraId="45AD993A">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7" w:type="dxa"/>
            <w:noWrap w:val="0"/>
            <w:vAlign w:val="center"/>
          </w:tcPr>
          <w:p w14:paraId="176A688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2126" w:type="dxa"/>
            <w:noWrap w:val="0"/>
            <w:vAlign w:val="center"/>
          </w:tcPr>
          <w:p w14:paraId="362C1CD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noWrap w:val="0"/>
            <w:vAlign w:val="center"/>
          </w:tcPr>
          <w:p w14:paraId="0D96703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560" w:type="dxa"/>
            <w:noWrap w:val="0"/>
            <w:vAlign w:val="center"/>
          </w:tcPr>
          <w:p w14:paraId="44725618">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2126" w:type="dxa"/>
            <w:noWrap w:val="0"/>
            <w:vAlign w:val="center"/>
          </w:tcPr>
          <w:p w14:paraId="050A2A7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7" w:type="dxa"/>
            <w:noWrap w:val="0"/>
            <w:vAlign w:val="center"/>
          </w:tcPr>
          <w:p w14:paraId="50F0AB0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1" w:type="dxa"/>
            <w:noWrap w:val="0"/>
            <w:vAlign w:val="center"/>
          </w:tcPr>
          <w:p w14:paraId="343CF027">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noWrap w:val="0"/>
            <w:vAlign w:val="center"/>
          </w:tcPr>
          <w:p w14:paraId="3CE3D10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0255FC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6D58298A">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843" w:type="dxa"/>
            <w:tcBorders>
              <w:top w:val="nil"/>
            </w:tcBorders>
            <w:noWrap w:val="0"/>
            <w:vAlign w:val="center"/>
          </w:tcPr>
          <w:p w14:paraId="3A92FAC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7" w:type="dxa"/>
            <w:tcBorders>
              <w:top w:val="nil"/>
            </w:tcBorders>
            <w:noWrap w:val="0"/>
            <w:vAlign w:val="center"/>
          </w:tcPr>
          <w:p w14:paraId="35348F9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2126" w:type="dxa"/>
            <w:tcBorders>
              <w:top w:val="nil"/>
            </w:tcBorders>
            <w:noWrap w:val="0"/>
            <w:vAlign w:val="center"/>
          </w:tcPr>
          <w:p w14:paraId="155F6EF8">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tcBorders>
              <w:top w:val="nil"/>
            </w:tcBorders>
            <w:noWrap w:val="0"/>
            <w:vAlign w:val="center"/>
          </w:tcPr>
          <w:p w14:paraId="56F9D97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560" w:type="dxa"/>
            <w:tcBorders>
              <w:top w:val="nil"/>
            </w:tcBorders>
            <w:noWrap w:val="0"/>
            <w:vAlign w:val="center"/>
          </w:tcPr>
          <w:p w14:paraId="05F6408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2126" w:type="dxa"/>
            <w:tcBorders>
              <w:top w:val="nil"/>
            </w:tcBorders>
            <w:noWrap w:val="0"/>
            <w:vAlign w:val="center"/>
          </w:tcPr>
          <w:p w14:paraId="1E2ADE4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7" w:type="dxa"/>
            <w:tcBorders>
              <w:top w:val="nil"/>
            </w:tcBorders>
            <w:noWrap w:val="0"/>
            <w:vAlign w:val="center"/>
          </w:tcPr>
          <w:p w14:paraId="4B148B3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1" w:type="dxa"/>
            <w:tcBorders>
              <w:top w:val="nil"/>
            </w:tcBorders>
            <w:noWrap w:val="0"/>
            <w:vAlign w:val="center"/>
          </w:tcPr>
          <w:p w14:paraId="337B423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tcBorders>
              <w:top w:val="nil"/>
            </w:tcBorders>
            <w:noWrap w:val="0"/>
            <w:vAlign w:val="center"/>
          </w:tcPr>
          <w:p w14:paraId="7507DAC7">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403E88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noWrap w:val="0"/>
            <w:vAlign w:val="center"/>
          </w:tcPr>
          <w:p w14:paraId="1375AE6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843" w:type="dxa"/>
            <w:noWrap w:val="0"/>
            <w:vAlign w:val="center"/>
          </w:tcPr>
          <w:p w14:paraId="0511833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7" w:type="dxa"/>
            <w:noWrap w:val="0"/>
            <w:vAlign w:val="center"/>
          </w:tcPr>
          <w:p w14:paraId="5048076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2126" w:type="dxa"/>
            <w:noWrap w:val="0"/>
            <w:vAlign w:val="center"/>
          </w:tcPr>
          <w:p w14:paraId="3949405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noWrap w:val="0"/>
            <w:vAlign w:val="center"/>
          </w:tcPr>
          <w:p w14:paraId="39AAFB7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560" w:type="dxa"/>
            <w:noWrap w:val="0"/>
            <w:vAlign w:val="center"/>
          </w:tcPr>
          <w:p w14:paraId="5C64056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2126" w:type="dxa"/>
            <w:noWrap w:val="0"/>
            <w:vAlign w:val="center"/>
          </w:tcPr>
          <w:p w14:paraId="13179578">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7" w:type="dxa"/>
            <w:noWrap w:val="0"/>
            <w:vAlign w:val="center"/>
          </w:tcPr>
          <w:p w14:paraId="39F2D30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1" w:type="dxa"/>
            <w:noWrap w:val="0"/>
            <w:vAlign w:val="center"/>
          </w:tcPr>
          <w:p w14:paraId="583F8F8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noWrap w:val="0"/>
            <w:vAlign w:val="center"/>
          </w:tcPr>
          <w:p w14:paraId="217C4B2E">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13C48F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39D24A6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843" w:type="dxa"/>
            <w:tcBorders>
              <w:top w:val="nil"/>
            </w:tcBorders>
            <w:noWrap w:val="0"/>
            <w:vAlign w:val="center"/>
          </w:tcPr>
          <w:p w14:paraId="16D128A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7" w:type="dxa"/>
            <w:tcBorders>
              <w:top w:val="nil"/>
            </w:tcBorders>
            <w:noWrap w:val="0"/>
            <w:vAlign w:val="center"/>
          </w:tcPr>
          <w:p w14:paraId="3E2D963E">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2126" w:type="dxa"/>
            <w:tcBorders>
              <w:top w:val="nil"/>
            </w:tcBorders>
            <w:noWrap w:val="0"/>
            <w:vAlign w:val="center"/>
          </w:tcPr>
          <w:p w14:paraId="45C78D6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tcBorders>
              <w:top w:val="nil"/>
            </w:tcBorders>
            <w:noWrap w:val="0"/>
            <w:vAlign w:val="center"/>
          </w:tcPr>
          <w:p w14:paraId="7B6D9F7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560" w:type="dxa"/>
            <w:tcBorders>
              <w:top w:val="nil"/>
            </w:tcBorders>
            <w:noWrap w:val="0"/>
            <w:vAlign w:val="center"/>
          </w:tcPr>
          <w:p w14:paraId="7CF5992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2126" w:type="dxa"/>
            <w:tcBorders>
              <w:top w:val="nil"/>
            </w:tcBorders>
            <w:noWrap w:val="0"/>
            <w:vAlign w:val="center"/>
          </w:tcPr>
          <w:p w14:paraId="2345552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7" w:type="dxa"/>
            <w:tcBorders>
              <w:top w:val="nil"/>
            </w:tcBorders>
            <w:noWrap w:val="0"/>
            <w:vAlign w:val="center"/>
          </w:tcPr>
          <w:p w14:paraId="139FD8A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1" w:type="dxa"/>
            <w:tcBorders>
              <w:top w:val="nil"/>
            </w:tcBorders>
            <w:noWrap w:val="0"/>
            <w:vAlign w:val="center"/>
          </w:tcPr>
          <w:p w14:paraId="56D63D3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tcBorders>
              <w:top w:val="nil"/>
            </w:tcBorders>
            <w:noWrap w:val="0"/>
            <w:vAlign w:val="center"/>
          </w:tcPr>
          <w:p w14:paraId="6010865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289EBA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368EAA7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843" w:type="dxa"/>
            <w:tcBorders>
              <w:top w:val="nil"/>
            </w:tcBorders>
            <w:noWrap w:val="0"/>
            <w:vAlign w:val="center"/>
          </w:tcPr>
          <w:p w14:paraId="185BD06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7" w:type="dxa"/>
            <w:tcBorders>
              <w:top w:val="nil"/>
            </w:tcBorders>
            <w:noWrap w:val="0"/>
            <w:vAlign w:val="center"/>
          </w:tcPr>
          <w:p w14:paraId="6E77F66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2126" w:type="dxa"/>
            <w:tcBorders>
              <w:top w:val="nil"/>
            </w:tcBorders>
            <w:noWrap w:val="0"/>
            <w:vAlign w:val="center"/>
          </w:tcPr>
          <w:p w14:paraId="7F36E2D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tcBorders>
              <w:top w:val="nil"/>
            </w:tcBorders>
            <w:noWrap w:val="0"/>
            <w:vAlign w:val="center"/>
          </w:tcPr>
          <w:p w14:paraId="1C8A9A7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560" w:type="dxa"/>
            <w:tcBorders>
              <w:top w:val="nil"/>
            </w:tcBorders>
            <w:noWrap w:val="0"/>
            <w:vAlign w:val="center"/>
          </w:tcPr>
          <w:p w14:paraId="71CE544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2126" w:type="dxa"/>
            <w:tcBorders>
              <w:top w:val="nil"/>
            </w:tcBorders>
            <w:noWrap w:val="0"/>
            <w:vAlign w:val="center"/>
          </w:tcPr>
          <w:p w14:paraId="650B64B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7" w:type="dxa"/>
            <w:tcBorders>
              <w:top w:val="nil"/>
            </w:tcBorders>
            <w:noWrap w:val="0"/>
            <w:vAlign w:val="center"/>
          </w:tcPr>
          <w:p w14:paraId="2DAD5A3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1" w:type="dxa"/>
            <w:tcBorders>
              <w:top w:val="nil"/>
            </w:tcBorders>
            <w:noWrap w:val="0"/>
            <w:vAlign w:val="center"/>
          </w:tcPr>
          <w:p w14:paraId="31F17B9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tcBorders>
              <w:top w:val="nil"/>
            </w:tcBorders>
            <w:noWrap w:val="0"/>
            <w:vAlign w:val="center"/>
          </w:tcPr>
          <w:p w14:paraId="41BA4EE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7A828E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noWrap w:val="0"/>
            <w:vAlign w:val="center"/>
          </w:tcPr>
          <w:p w14:paraId="320ACB5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843" w:type="dxa"/>
            <w:noWrap w:val="0"/>
            <w:vAlign w:val="center"/>
          </w:tcPr>
          <w:p w14:paraId="5D02568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7" w:type="dxa"/>
            <w:noWrap w:val="0"/>
            <w:vAlign w:val="center"/>
          </w:tcPr>
          <w:p w14:paraId="0CEF569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2126" w:type="dxa"/>
            <w:noWrap w:val="0"/>
            <w:vAlign w:val="center"/>
          </w:tcPr>
          <w:p w14:paraId="78D5D37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noWrap w:val="0"/>
            <w:vAlign w:val="center"/>
          </w:tcPr>
          <w:p w14:paraId="767CFC2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560" w:type="dxa"/>
            <w:noWrap w:val="0"/>
            <w:vAlign w:val="center"/>
          </w:tcPr>
          <w:p w14:paraId="56DC9C2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2126" w:type="dxa"/>
            <w:noWrap w:val="0"/>
            <w:vAlign w:val="center"/>
          </w:tcPr>
          <w:p w14:paraId="211F7B7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7" w:type="dxa"/>
            <w:noWrap w:val="0"/>
            <w:vAlign w:val="center"/>
          </w:tcPr>
          <w:p w14:paraId="57C2781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1" w:type="dxa"/>
            <w:noWrap w:val="0"/>
            <w:vAlign w:val="center"/>
          </w:tcPr>
          <w:p w14:paraId="72A4B46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noWrap w:val="0"/>
            <w:vAlign w:val="center"/>
          </w:tcPr>
          <w:p w14:paraId="1F719F9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246608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30193AA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843" w:type="dxa"/>
            <w:tcBorders>
              <w:top w:val="nil"/>
            </w:tcBorders>
            <w:noWrap w:val="0"/>
            <w:vAlign w:val="center"/>
          </w:tcPr>
          <w:p w14:paraId="741FD29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7" w:type="dxa"/>
            <w:tcBorders>
              <w:top w:val="nil"/>
            </w:tcBorders>
            <w:noWrap w:val="0"/>
            <w:vAlign w:val="center"/>
          </w:tcPr>
          <w:p w14:paraId="1F9A104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2126" w:type="dxa"/>
            <w:tcBorders>
              <w:top w:val="nil"/>
            </w:tcBorders>
            <w:noWrap w:val="0"/>
            <w:vAlign w:val="center"/>
          </w:tcPr>
          <w:p w14:paraId="4B245F7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tcBorders>
              <w:top w:val="nil"/>
            </w:tcBorders>
            <w:noWrap w:val="0"/>
            <w:vAlign w:val="center"/>
          </w:tcPr>
          <w:p w14:paraId="373934C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560" w:type="dxa"/>
            <w:tcBorders>
              <w:top w:val="nil"/>
            </w:tcBorders>
            <w:noWrap w:val="0"/>
            <w:vAlign w:val="center"/>
          </w:tcPr>
          <w:p w14:paraId="6BE7E1C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2126" w:type="dxa"/>
            <w:tcBorders>
              <w:top w:val="nil"/>
            </w:tcBorders>
            <w:noWrap w:val="0"/>
            <w:vAlign w:val="center"/>
          </w:tcPr>
          <w:p w14:paraId="1B62B8B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7" w:type="dxa"/>
            <w:tcBorders>
              <w:top w:val="nil"/>
            </w:tcBorders>
            <w:noWrap w:val="0"/>
            <w:vAlign w:val="center"/>
          </w:tcPr>
          <w:p w14:paraId="42058DEA">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1" w:type="dxa"/>
            <w:tcBorders>
              <w:top w:val="nil"/>
            </w:tcBorders>
            <w:noWrap w:val="0"/>
            <w:vAlign w:val="center"/>
          </w:tcPr>
          <w:p w14:paraId="2F16489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tcBorders>
              <w:top w:val="nil"/>
            </w:tcBorders>
            <w:noWrap w:val="0"/>
            <w:vAlign w:val="center"/>
          </w:tcPr>
          <w:p w14:paraId="217451F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11A386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noWrap w:val="0"/>
            <w:vAlign w:val="center"/>
          </w:tcPr>
          <w:p w14:paraId="3FD6462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843" w:type="dxa"/>
            <w:noWrap w:val="0"/>
            <w:vAlign w:val="center"/>
          </w:tcPr>
          <w:p w14:paraId="4652D85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7" w:type="dxa"/>
            <w:noWrap w:val="0"/>
            <w:vAlign w:val="center"/>
          </w:tcPr>
          <w:p w14:paraId="3C42553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2126" w:type="dxa"/>
            <w:noWrap w:val="0"/>
            <w:vAlign w:val="center"/>
          </w:tcPr>
          <w:p w14:paraId="3FF759F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noWrap w:val="0"/>
            <w:vAlign w:val="center"/>
          </w:tcPr>
          <w:p w14:paraId="477CE47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560" w:type="dxa"/>
            <w:noWrap w:val="0"/>
            <w:vAlign w:val="center"/>
          </w:tcPr>
          <w:p w14:paraId="6E24565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2126" w:type="dxa"/>
            <w:noWrap w:val="0"/>
            <w:vAlign w:val="center"/>
          </w:tcPr>
          <w:p w14:paraId="40E75AD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7" w:type="dxa"/>
            <w:noWrap w:val="0"/>
            <w:vAlign w:val="center"/>
          </w:tcPr>
          <w:p w14:paraId="6449997A">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1" w:type="dxa"/>
            <w:noWrap w:val="0"/>
            <w:vAlign w:val="center"/>
          </w:tcPr>
          <w:p w14:paraId="2288965A">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noWrap w:val="0"/>
            <w:vAlign w:val="center"/>
          </w:tcPr>
          <w:p w14:paraId="202DF07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bl>
    <w:p w14:paraId="4333F726">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b/>
          <w:color w:val="auto"/>
          <w:sz w:val="21"/>
          <w:szCs w:val="21"/>
          <w:highlight w:val="none"/>
        </w:rPr>
        <w:sectPr>
          <w:pgSz w:w="16838" w:h="11906" w:orient="landscape"/>
          <w:pgMar w:top="1554" w:right="1418" w:bottom="1531" w:left="1418" w:header="851" w:footer="992" w:gutter="0"/>
          <w:pgNumType w:fmt="decimal"/>
          <w:cols w:space="720" w:num="1"/>
          <w:titlePg/>
          <w:docGrid w:type="linesAndChars" w:linePitch="312" w:charSpace="0"/>
        </w:sectPr>
      </w:pPr>
    </w:p>
    <w:p w14:paraId="509721F9">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附件2：</w:t>
      </w:r>
    </w:p>
    <w:p w14:paraId="1867A48B">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发包人供应材料设备一览表</w:t>
      </w:r>
    </w:p>
    <w:tbl>
      <w:tblPr>
        <w:tblStyle w:val="27"/>
        <w:tblW w:w="869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402"/>
        <w:gridCol w:w="1099"/>
        <w:gridCol w:w="1134"/>
        <w:gridCol w:w="620"/>
        <w:gridCol w:w="690"/>
        <w:gridCol w:w="1044"/>
        <w:gridCol w:w="719"/>
        <w:gridCol w:w="716"/>
        <w:gridCol w:w="1487"/>
        <w:gridCol w:w="783"/>
      </w:tblGrid>
      <w:tr w14:paraId="290592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402" w:type="dxa"/>
            <w:tcBorders>
              <w:top w:val="single" w:color="auto" w:sz="12" w:space="0"/>
              <w:bottom w:val="double" w:color="auto" w:sz="6" w:space="0"/>
            </w:tcBorders>
            <w:noWrap w:val="0"/>
            <w:vAlign w:val="center"/>
          </w:tcPr>
          <w:p w14:paraId="3CDC219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序号</w:t>
            </w:r>
          </w:p>
        </w:tc>
        <w:tc>
          <w:tcPr>
            <w:tcW w:w="1099" w:type="dxa"/>
            <w:tcBorders>
              <w:top w:val="single" w:color="auto" w:sz="12" w:space="0"/>
              <w:bottom w:val="double" w:color="auto" w:sz="6" w:space="0"/>
            </w:tcBorders>
            <w:noWrap w:val="0"/>
            <w:vAlign w:val="center"/>
          </w:tcPr>
          <w:p w14:paraId="3D782D7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 xml:space="preserve">  材料、</w:t>
            </w:r>
          </w:p>
          <w:p w14:paraId="4CA1A239">
            <w:pPr>
              <w:pStyle w:val="9"/>
              <w:keepNext w:val="0"/>
              <w:keepLines w:val="0"/>
              <w:pageBreakBefore w:val="0"/>
              <w:widowControl w:val="0"/>
              <w:kinsoku/>
              <w:wordWrap/>
              <w:overflowPunct/>
              <w:topLinePunct w:val="0"/>
              <w:bidi w:val="0"/>
              <w:snapToGrid/>
              <w:spacing w:after="0" w:line="360" w:lineRule="exact"/>
              <w:ind w:left="0" w:leftChars="0" w:right="0" w:rightChars="0"/>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设备品种</w:t>
            </w:r>
          </w:p>
        </w:tc>
        <w:tc>
          <w:tcPr>
            <w:tcW w:w="1134" w:type="dxa"/>
            <w:tcBorders>
              <w:top w:val="single" w:color="auto" w:sz="12" w:space="0"/>
              <w:bottom w:val="double" w:color="auto" w:sz="6" w:space="0"/>
            </w:tcBorders>
            <w:noWrap w:val="0"/>
            <w:vAlign w:val="center"/>
          </w:tcPr>
          <w:p w14:paraId="05C3751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规格型号</w:t>
            </w:r>
          </w:p>
        </w:tc>
        <w:tc>
          <w:tcPr>
            <w:tcW w:w="620" w:type="dxa"/>
            <w:tcBorders>
              <w:top w:val="single" w:color="auto" w:sz="12" w:space="0"/>
              <w:bottom w:val="double" w:color="auto" w:sz="6" w:space="0"/>
            </w:tcBorders>
            <w:noWrap w:val="0"/>
            <w:vAlign w:val="center"/>
          </w:tcPr>
          <w:p w14:paraId="75C9B36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单位</w:t>
            </w:r>
          </w:p>
        </w:tc>
        <w:tc>
          <w:tcPr>
            <w:tcW w:w="690" w:type="dxa"/>
            <w:tcBorders>
              <w:top w:val="single" w:color="auto" w:sz="12" w:space="0"/>
              <w:bottom w:val="double" w:color="auto" w:sz="6" w:space="0"/>
            </w:tcBorders>
            <w:noWrap w:val="0"/>
            <w:vAlign w:val="center"/>
          </w:tcPr>
          <w:p w14:paraId="39F5EDC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数量</w:t>
            </w:r>
          </w:p>
        </w:tc>
        <w:tc>
          <w:tcPr>
            <w:tcW w:w="1044" w:type="dxa"/>
            <w:tcBorders>
              <w:top w:val="single" w:color="auto" w:sz="12" w:space="0"/>
              <w:bottom w:val="double" w:color="auto" w:sz="6" w:space="0"/>
            </w:tcBorders>
            <w:noWrap w:val="0"/>
            <w:vAlign w:val="center"/>
          </w:tcPr>
          <w:p w14:paraId="21F8666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单价（元）</w:t>
            </w:r>
          </w:p>
        </w:tc>
        <w:tc>
          <w:tcPr>
            <w:tcW w:w="719" w:type="dxa"/>
            <w:tcBorders>
              <w:top w:val="single" w:color="auto" w:sz="12" w:space="0"/>
              <w:bottom w:val="double" w:color="auto" w:sz="6" w:space="0"/>
            </w:tcBorders>
            <w:noWrap w:val="0"/>
            <w:vAlign w:val="center"/>
          </w:tcPr>
          <w:p w14:paraId="795AB87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质量等级</w:t>
            </w:r>
          </w:p>
        </w:tc>
        <w:tc>
          <w:tcPr>
            <w:tcW w:w="716" w:type="dxa"/>
            <w:tcBorders>
              <w:top w:val="single" w:color="auto" w:sz="12" w:space="0"/>
              <w:bottom w:val="double" w:color="auto" w:sz="6" w:space="0"/>
            </w:tcBorders>
            <w:noWrap w:val="0"/>
            <w:vAlign w:val="center"/>
          </w:tcPr>
          <w:p w14:paraId="3B49E3B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供应时间</w:t>
            </w:r>
          </w:p>
        </w:tc>
        <w:tc>
          <w:tcPr>
            <w:tcW w:w="1487" w:type="dxa"/>
            <w:tcBorders>
              <w:top w:val="single" w:color="auto" w:sz="12" w:space="0"/>
              <w:bottom w:val="double" w:color="auto" w:sz="6" w:space="0"/>
            </w:tcBorders>
            <w:noWrap w:val="0"/>
            <w:vAlign w:val="center"/>
          </w:tcPr>
          <w:p w14:paraId="49F1EE7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送达地点</w:t>
            </w:r>
          </w:p>
        </w:tc>
        <w:tc>
          <w:tcPr>
            <w:tcW w:w="783" w:type="dxa"/>
            <w:tcBorders>
              <w:top w:val="single" w:color="auto" w:sz="12" w:space="0"/>
              <w:bottom w:val="double" w:color="auto" w:sz="6" w:space="0"/>
            </w:tcBorders>
            <w:noWrap w:val="0"/>
            <w:vAlign w:val="center"/>
          </w:tcPr>
          <w:p w14:paraId="4728796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备注</w:t>
            </w:r>
          </w:p>
        </w:tc>
      </w:tr>
      <w:tr w14:paraId="655D98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tcBorders>
              <w:top w:val="double" w:color="auto" w:sz="6" w:space="0"/>
              <w:bottom w:val="single" w:color="auto" w:sz="6" w:space="0"/>
            </w:tcBorders>
            <w:noWrap w:val="0"/>
            <w:vAlign w:val="center"/>
          </w:tcPr>
          <w:p w14:paraId="4E24A709">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099" w:type="dxa"/>
            <w:tcBorders>
              <w:top w:val="double" w:color="auto" w:sz="6" w:space="0"/>
              <w:bottom w:val="single" w:color="auto" w:sz="6" w:space="0"/>
            </w:tcBorders>
            <w:noWrap w:val="0"/>
            <w:vAlign w:val="center"/>
          </w:tcPr>
          <w:p w14:paraId="215F9785">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134" w:type="dxa"/>
            <w:tcBorders>
              <w:top w:val="double" w:color="auto" w:sz="6" w:space="0"/>
              <w:bottom w:val="single" w:color="auto" w:sz="6" w:space="0"/>
            </w:tcBorders>
            <w:noWrap w:val="0"/>
            <w:vAlign w:val="center"/>
          </w:tcPr>
          <w:p w14:paraId="70D3D8B9">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620" w:type="dxa"/>
            <w:tcBorders>
              <w:top w:val="double" w:color="auto" w:sz="6" w:space="0"/>
              <w:bottom w:val="single" w:color="auto" w:sz="6" w:space="0"/>
            </w:tcBorders>
            <w:noWrap w:val="0"/>
            <w:vAlign w:val="center"/>
          </w:tcPr>
          <w:p w14:paraId="09BD1AF3">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690" w:type="dxa"/>
            <w:tcBorders>
              <w:top w:val="double" w:color="auto" w:sz="6" w:space="0"/>
              <w:bottom w:val="single" w:color="auto" w:sz="6" w:space="0"/>
            </w:tcBorders>
            <w:noWrap w:val="0"/>
            <w:vAlign w:val="center"/>
          </w:tcPr>
          <w:p w14:paraId="52A13E23">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044" w:type="dxa"/>
            <w:tcBorders>
              <w:top w:val="double" w:color="auto" w:sz="6" w:space="0"/>
              <w:bottom w:val="single" w:color="auto" w:sz="6" w:space="0"/>
            </w:tcBorders>
            <w:noWrap w:val="0"/>
            <w:vAlign w:val="center"/>
          </w:tcPr>
          <w:p w14:paraId="40AC9D04">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19" w:type="dxa"/>
            <w:tcBorders>
              <w:top w:val="double" w:color="auto" w:sz="6" w:space="0"/>
              <w:bottom w:val="single" w:color="auto" w:sz="6" w:space="0"/>
            </w:tcBorders>
            <w:noWrap w:val="0"/>
            <w:vAlign w:val="center"/>
          </w:tcPr>
          <w:p w14:paraId="4DEE789E">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16" w:type="dxa"/>
            <w:tcBorders>
              <w:top w:val="double" w:color="auto" w:sz="6" w:space="0"/>
              <w:bottom w:val="single" w:color="auto" w:sz="6" w:space="0"/>
            </w:tcBorders>
            <w:noWrap w:val="0"/>
            <w:vAlign w:val="center"/>
          </w:tcPr>
          <w:p w14:paraId="706BCD49">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487" w:type="dxa"/>
            <w:tcBorders>
              <w:top w:val="double" w:color="auto" w:sz="6" w:space="0"/>
              <w:bottom w:val="single" w:color="auto" w:sz="6" w:space="0"/>
            </w:tcBorders>
            <w:noWrap w:val="0"/>
            <w:vAlign w:val="center"/>
          </w:tcPr>
          <w:p w14:paraId="67387564">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83" w:type="dxa"/>
            <w:tcBorders>
              <w:top w:val="double" w:color="auto" w:sz="6" w:space="0"/>
              <w:bottom w:val="single" w:color="auto" w:sz="6" w:space="0"/>
            </w:tcBorders>
            <w:noWrap w:val="0"/>
            <w:vAlign w:val="center"/>
          </w:tcPr>
          <w:p w14:paraId="140FC386">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r>
      <w:tr w14:paraId="4C3CDF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tcBorders>
              <w:top w:val="nil"/>
            </w:tcBorders>
            <w:noWrap w:val="0"/>
            <w:vAlign w:val="center"/>
          </w:tcPr>
          <w:p w14:paraId="25BBA842">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099" w:type="dxa"/>
            <w:tcBorders>
              <w:top w:val="nil"/>
            </w:tcBorders>
            <w:noWrap w:val="0"/>
            <w:vAlign w:val="center"/>
          </w:tcPr>
          <w:p w14:paraId="0210DB38">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134" w:type="dxa"/>
            <w:tcBorders>
              <w:top w:val="nil"/>
            </w:tcBorders>
            <w:noWrap w:val="0"/>
            <w:vAlign w:val="center"/>
          </w:tcPr>
          <w:p w14:paraId="40DC65DD">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620" w:type="dxa"/>
            <w:tcBorders>
              <w:top w:val="nil"/>
            </w:tcBorders>
            <w:noWrap w:val="0"/>
            <w:vAlign w:val="center"/>
          </w:tcPr>
          <w:p w14:paraId="7F6258DD">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690" w:type="dxa"/>
            <w:tcBorders>
              <w:top w:val="nil"/>
            </w:tcBorders>
            <w:noWrap w:val="0"/>
            <w:vAlign w:val="center"/>
          </w:tcPr>
          <w:p w14:paraId="1569FA0F">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044" w:type="dxa"/>
            <w:tcBorders>
              <w:top w:val="nil"/>
            </w:tcBorders>
            <w:noWrap w:val="0"/>
            <w:vAlign w:val="center"/>
          </w:tcPr>
          <w:p w14:paraId="00F39DE6">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19" w:type="dxa"/>
            <w:tcBorders>
              <w:top w:val="nil"/>
            </w:tcBorders>
            <w:noWrap w:val="0"/>
            <w:vAlign w:val="center"/>
          </w:tcPr>
          <w:p w14:paraId="0670480A">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16" w:type="dxa"/>
            <w:tcBorders>
              <w:top w:val="nil"/>
            </w:tcBorders>
            <w:noWrap w:val="0"/>
            <w:vAlign w:val="center"/>
          </w:tcPr>
          <w:p w14:paraId="5EC4FF19">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487" w:type="dxa"/>
            <w:tcBorders>
              <w:top w:val="nil"/>
            </w:tcBorders>
            <w:noWrap w:val="0"/>
            <w:vAlign w:val="center"/>
          </w:tcPr>
          <w:p w14:paraId="3EBE27CF">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83" w:type="dxa"/>
            <w:tcBorders>
              <w:top w:val="nil"/>
            </w:tcBorders>
            <w:noWrap w:val="0"/>
            <w:vAlign w:val="center"/>
          </w:tcPr>
          <w:p w14:paraId="157A765B">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r>
      <w:tr w14:paraId="31D758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noWrap w:val="0"/>
            <w:vAlign w:val="center"/>
          </w:tcPr>
          <w:p w14:paraId="32BFA051">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099" w:type="dxa"/>
            <w:noWrap w:val="0"/>
            <w:vAlign w:val="center"/>
          </w:tcPr>
          <w:p w14:paraId="62773112">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134" w:type="dxa"/>
            <w:noWrap w:val="0"/>
            <w:vAlign w:val="center"/>
          </w:tcPr>
          <w:p w14:paraId="59ED8892">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620" w:type="dxa"/>
            <w:noWrap w:val="0"/>
            <w:vAlign w:val="center"/>
          </w:tcPr>
          <w:p w14:paraId="4A04E0AA">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690" w:type="dxa"/>
            <w:noWrap w:val="0"/>
            <w:vAlign w:val="center"/>
          </w:tcPr>
          <w:p w14:paraId="13666282">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044" w:type="dxa"/>
            <w:noWrap w:val="0"/>
            <w:vAlign w:val="center"/>
          </w:tcPr>
          <w:p w14:paraId="59E1E9F3">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19" w:type="dxa"/>
            <w:noWrap w:val="0"/>
            <w:vAlign w:val="center"/>
          </w:tcPr>
          <w:p w14:paraId="0ED5B61E">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16" w:type="dxa"/>
            <w:noWrap w:val="0"/>
            <w:vAlign w:val="center"/>
          </w:tcPr>
          <w:p w14:paraId="17D32E3B">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487" w:type="dxa"/>
            <w:noWrap w:val="0"/>
            <w:vAlign w:val="center"/>
          </w:tcPr>
          <w:p w14:paraId="65D6F892">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83" w:type="dxa"/>
            <w:noWrap w:val="0"/>
            <w:vAlign w:val="center"/>
          </w:tcPr>
          <w:p w14:paraId="369A9481">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r>
      <w:tr w14:paraId="7C8F74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noWrap w:val="0"/>
            <w:vAlign w:val="center"/>
          </w:tcPr>
          <w:p w14:paraId="5857A36E">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099" w:type="dxa"/>
            <w:noWrap w:val="0"/>
            <w:vAlign w:val="center"/>
          </w:tcPr>
          <w:p w14:paraId="249782D8">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134" w:type="dxa"/>
            <w:noWrap w:val="0"/>
            <w:vAlign w:val="center"/>
          </w:tcPr>
          <w:p w14:paraId="6F3F562F">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620" w:type="dxa"/>
            <w:noWrap w:val="0"/>
            <w:vAlign w:val="center"/>
          </w:tcPr>
          <w:p w14:paraId="34FE7152">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690" w:type="dxa"/>
            <w:noWrap w:val="0"/>
            <w:vAlign w:val="center"/>
          </w:tcPr>
          <w:p w14:paraId="6515D2C8">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044" w:type="dxa"/>
            <w:noWrap w:val="0"/>
            <w:vAlign w:val="center"/>
          </w:tcPr>
          <w:p w14:paraId="1CF61833">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19" w:type="dxa"/>
            <w:noWrap w:val="0"/>
            <w:vAlign w:val="center"/>
          </w:tcPr>
          <w:p w14:paraId="57F60C5C">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16" w:type="dxa"/>
            <w:noWrap w:val="0"/>
            <w:vAlign w:val="center"/>
          </w:tcPr>
          <w:p w14:paraId="7FBCDC65">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487" w:type="dxa"/>
            <w:noWrap w:val="0"/>
            <w:vAlign w:val="center"/>
          </w:tcPr>
          <w:p w14:paraId="222287A9">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83" w:type="dxa"/>
            <w:noWrap w:val="0"/>
            <w:vAlign w:val="center"/>
          </w:tcPr>
          <w:p w14:paraId="123685CA">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r>
      <w:tr w14:paraId="48210D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noWrap w:val="0"/>
            <w:vAlign w:val="center"/>
          </w:tcPr>
          <w:p w14:paraId="0755C9D1">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099" w:type="dxa"/>
            <w:noWrap w:val="0"/>
            <w:vAlign w:val="center"/>
          </w:tcPr>
          <w:p w14:paraId="27F499EE">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134" w:type="dxa"/>
            <w:noWrap w:val="0"/>
            <w:vAlign w:val="center"/>
          </w:tcPr>
          <w:p w14:paraId="294DB570">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620" w:type="dxa"/>
            <w:noWrap w:val="0"/>
            <w:vAlign w:val="center"/>
          </w:tcPr>
          <w:p w14:paraId="23244271">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690" w:type="dxa"/>
            <w:noWrap w:val="0"/>
            <w:vAlign w:val="center"/>
          </w:tcPr>
          <w:p w14:paraId="2F50AF25">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044" w:type="dxa"/>
            <w:noWrap w:val="0"/>
            <w:vAlign w:val="center"/>
          </w:tcPr>
          <w:p w14:paraId="2CF80A05">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19" w:type="dxa"/>
            <w:noWrap w:val="0"/>
            <w:vAlign w:val="center"/>
          </w:tcPr>
          <w:p w14:paraId="28366B8D">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16" w:type="dxa"/>
            <w:noWrap w:val="0"/>
            <w:vAlign w:val="center"/>
          </w:tcPr>
          <w:p w14:paraId="5A41C04F">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487" w:type="dxa"/>
            <w:noWrap w:val="0"/>
            <w:vAlign w:val="center"/>
          </w:tcPr>
          <w:p w14:paraId="52DE675B">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83" w:type="dxa"/>
            <w:noWrap w:val="0"/>
            <w:vAlign w:val="center"/>
          </w:tcPr>
          <w:p w14:paraId="2D5C5C53">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r>
      <w:tr w14:paraId="0C386E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noWrap w:val="0"/>
            <w:vAlign w:val="center"/>
          </w:tcPr>
          <w:p w14:paraId="1EB772C4">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099" w:type="dxa"/>
            <w:noWrap w:val="0"/>
            <w:vAlign w:val="center"/>
          </w:tcPr>
          <w:p w14:paraId="7B427BE4">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134" w:type="dxa"/>
            <w:noWrap w:val="0"/>
            <w:vAlign w:val="center"/>
          </w:tcPr>
          <w:p w14:paraId="0BB07FD5">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620" w:type="dxa"/>
            <w:noWrap w:val="0"/>
            <w:vAlign w:val="center"/>
          </w:tcPr>
          <w:p w14:paraId="57CBB4A2">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690" w:type="dxa"/>
            <w:noWrap w:val="0"/>
            <w:vAlign w:val="center"/>
          </w:tcPr>
          <w:p w14:paraId="63840AA9">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044" w:type="dxa"/>
            <w:noWrap w:val="0"/>
            <w:vAlign w:val="center"/>
          </w:tcPr>
          <w:p w14:paraId="226AC7CD">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19" w:type="dxa"/>
            <w:noWrap w:val="0"/>
            <w:vAlign w:val="center"/>
          </w:tcPr>
          <w:p w14:paraId="36E02903">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16" w:type="dxa"/>
            <w:noWrap w:val="0"/>
            <w:vAlign w:val="center"/>
          </w:tcPr>
          <w:p w14:paraId="16B99E72">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487" w:type="dxa"/>
            <w:noWrap w:val="0"/>
            <w:vAlign w:val="center"/>
          </w:tcPr>
          <w:p w14:paraId="1DBC476B">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83" w:type="dxa"/>
            <w:noWrap w:val="0"/>
            <w:vAlign w:val="center"/>
          </w:tcPr>
          <w:p w14:paraId="454E4A91">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r>
      <w:tr w14:paraId="7DA4E1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noWrap w:val="0"/>
            <w:vAlign w:val="center"/>
          </w:tcPr>
          <w:p w14:paraId="53707F35">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099" w:type="dxa"/>
            <w:noWrap w:val="0"/>
            <w:vAlign w:val="center"/>
          </w:tcPr>
          <w:p w14:paraId="68798853">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134" w:type="dxa"/>
            <w:noWrap w:val="0"/>
            <w:vAlign w:val="center"/>
          </w:tcPr>
          <w:p w14:paraId="3B684E6D">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620" w:type="dxa"/>
            <w:noWrap w:val="0"/>
            <w:vAlign w:val="center"/>
          </w:tcPr>
          <w:p w14:paraId="1D2BF7CA">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690" w:type="dxa"/>
            <w:noWrap w:val="0"/>
            <w:vAlign w:val="center"/>
          </w:tcPr>
          <w:p w14:paraId="79190259">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044" w:type="dxa"/>
            <w:noWrap w:val="0"/>
            <w:vAlign w:val="center"/>
          </w:tcPr>
          <w:p w14:paraId="143F6FE7">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19" w:type="dxa"/>
            <w:noWrap w:val="0"/>
            <w:vAlign w:val="center"/>
          </w:tcPr>
          <w:p w14:paraId="7808DC0A">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16" w:type="dxa"/>
            <w:noWrap w:val="0"/>
            <w:vAlign w:val="center"/>
          </w:tcPr>
          <w:p w14:paraId="7D6005BC">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487" w:type="dxa"/>
            <w:noWrap w:val="0"/>
            <w:vAlign w:val="center"/>
          </w:tcPr>
          <w:p w14:paraId="41A217B5">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83" w:type="dxa"/>
            <w:noWrap w:val="0"/>
            <w:vAlign w:val="center"/>
          </w:tcPr>
          <w:p w14:paraId="739F5572">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r>
      <w:tr w14:paraId="67B291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noWrap w:val="0"/>
            <w:vAlign w:val="center"/>
          </w:tcPr>
          <w:p w14:paraId="275AEE93">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099" w:type="dxa"/>
            <w:noWrap w:val="0"/>
            <w:vAlign w:val="center"/>
          </w:tcPr>
          <w:p w14:paraId="38E4F043">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134" w:type="dxa"/>
            <w:noWrap w:val="0"/>
            <w:vAlign w:val="center"/>
          </w:tcPr>
          <w:p w14:paraId="70B37105">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620" w:type="dxa"/>
            <w:noWrap w:val="0"/>
            <w:vAlign w:val="center"/>
          </w:tcPr>
          <w:p w14:paraId="50807A75">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690" w:type="dxa"/>
            <w:noWrap w:val="0"/>
            <w:vAlign w:val="center"/>
          </w:tcPr>
          <w:p w14:paraId="3E11421A">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044" w:type="dxa"/>
            <w:noWrap w:val="0"/>
            <w:vAlign w:val="center"/>
          </w:tcPr>
          <w:p w14:paraId="114CA95F">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19" w:type="dxa"/>
            <w:noWrap w:val="0"/>
            <w:vAlign w:val="center"/>
          </w:tcPr>
          <w:p w14:paraId="250F4466">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16" w:type="dxa"/>
            <w:noWrap w:val="0"/>
            <w:vAlign w:val="center"/>
          </w:tcPr>
          <w:p w14:paraId="46D97C33">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487" w:type="dxa"/>
            <w:noWrap w:val="0"/>
            <w:vAlign w:val="center"/>
          </w:tcPr>
          <w:p w14:paraId="7FC00A22">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83" w:type="dxa"/>
            <w:noWrap w:val="0"/>
            <w:vAlign w:val="center"/>
          </w:tcPr>
          <w:p w14:paraId="1638BBD7">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r>
      <w:tr w14:paraId="263D10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noWrap w:val="0"/>
            <w:vAlign w:val="center"/>
          </w:tcPr>
          <w:p w14:paraId="48E1BA9B">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099" w:type="dxa"/>
            <w:noWrap w:val="0"/>
            <w:vAlign w:val="center"/>
          </w:tcPr>
          <w:p w14:paraId="16EFEAA7">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134" w:type="dxa"/>
            <w:noWrap w:val="0"/>
            <w:vAlign w:val="center"/>
          </w:tcPr>
          <w:p w14:paraId="01DC79FC">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620" w:type="dxa"/>
            <w:noWrap w:val="0"/>
            <w:vAlign w:val="center"/>
          </w:tcPr>
          <w:p w14:paraId="4AF42B85">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690" w:type="dxa"/>
            <w:noWrap w:val="0"/>
            <w:vAlign w:val="center"/>
          </w:tcPr>
          <w:p w14:paraId="7BA2986C">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044" w:type="dxa"/>
            <w:noWrap w:val="0"/>
            <w:vAlign w:val="center"/>
          </w:tcPr>
          <w:p w14:paraId="62298813">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19" w:type="dxa"/>
            <w:noWrap w:val="0"/>
            <w:vAlign w:val="center"/>
          </w:tcPr>
          <w:p w14:paraId="400CDE72">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16" w:type="dxa"/>
            <w:noWrap w:val="0"/>
            <w:vAlign w:val="center"/>
          </w:tcPr>
          <w:p w14:paraId="63EBD6A1">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487" w:type="dxa"/>
            <w:noWrap w:val="0"/>
            <w:vAlign w:val="center"/>
          </w:tcPr>
          <w:p w14:paraId="0DFE0925">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83" w:type="dxa"/>
            <w:noWrap w:val="0"/>
            <w:vAlign w:val="center"/>
          </w:tcPr>
          <w:p w14:paraId="17C12AAE">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r>
      <w:tr w14:paraId="56E72D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noWrap w:val="0"/>
            <w:vAlign w:val="center"/>
          </w:tcPr>
          <w:p w14:paraId="15B360C1">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099" w:type="dxa"/>
            <w:noWrap w:val="0"/>
            <w:vAlign w:val="center"/>
          </w:tcPr>
          <w:p w14:paraId="4CD4C6A3">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134" w:type="dxa"/>
            <w:noWrap w:val="0"/>
            <w:vAlign w:val="center"/>
          </w:tcPr>
          <w:p w14:paraId="2C7A08DC">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620" w:type="dxa"/>
            <w:noWrap w:val="0"/>
            <w:vAlign w:val="center"/>
          </w:tcPr>
          <w:p w14:paraId="1A892167">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690" w:type="dxa"/>
            <w:noWrap w:val="0"/>
            <w:vAlign w:val="center"/>
          </w:tcPr>
          <w:p w14:paraId="75BD65F3">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044" w:type="dxa"/>
            <w:noWrap w:val="0"/>
            <w:vAlign w:val="center"/>
          </w:tcPr>
          <w:p w14:paraId="50A0E078">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19" w:type="dxa"/>
            <w:noWrap w:val="0"/>
            <w:vAlign w:val="center"/>
          </w:tcPr>
          <w:p w14:paraId="08720FE3">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16" w:type="dxa"/>
            <w:noWrap w:val="0"/>
            <w:vAlign w:val="center"/>
          </w:tcPr>
          <w:p w14:paraId="3E0B5487">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1487" w:type="dxa"/>
            <w:noWrap w:val="0"/>
            <w:vAlign w:val="center"/>
          </w:tcPr>
          <w:p w14:paraId="6C6EA562">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c>
          <w:tcPr>
            <w:tcW w:w="783" w:type="dxa"/>
            <w:noWrap w:val="0"/>
            <w:vAlign w:val="center"/>
          </w:tcPr>
          <w:p w14:paraId="7A26CF9A">
            <w:pPr>
              <w:pStyle w:val="9"/>
              <w:keepNext w:val="0"/>
              <w:keepLines w:val="0"/>
              <w:pageBreakBefore w:val="0"/>
              <w:widowControl w:val="0"/>
              <w:kinsoku/>
              <w:wordWrap/>
              <w:overflowPunct/>
              <w:topLinePunct w:val="0"/>
              <w:bidi w:val="0"/>
              <w:snapToGrid/>
              <w:spacing w:after="0" w:line="360" w:lineRule="exact"/>
              <w:ind w:left="0" w:leftChars="0" w:right="0" w:rightChars="0"/>
              <w:jc w:val="center"/>
              <w:rPr>
                <w:rFonts w:hint="eastAsia" w:ascii="宋体" w:hAnsi="宋体" w:eastAsia="宋体" w:cs="宋体"/>
                <w:color w:val="auto"/>
                <w:kern w:val="2"/>
                <w:sz w:val="21"/>
                <w:szCs w:val="21"/>
                <w:highlight w:val="none"/>
                <w:lang w:val="en-US" w:eastAsia="zh-CN"/>
              </w:rPr>
            </w:pPr>
          </w:p>
        </w:tc>
      </w:tr>
      <w:tr w14:paraId="6B60C3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noWrap w:val="0"/>
            <w:vAlign w:val="center"/>
          </w:tcPr>
          <w:p w14:paraId="3206551D">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099" w:type="dxa"/>
            <w:noWrap w:val="0"/>
            <w:vAlign w:val="center"/>
          </w:tcPr>
          <w:p w14:paraId="361FAFE8">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134" w:type="dxa"/>
            <w:noWrap w:val="0"/>
            <w:vAlign w:val="center"/>
          </w:tcPr>
          <w:p w14:paraId="50627891">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620" w:type="dxa"/>
            <w:noWrap w:val="0"/>
            <w:vAlign w:val="center"/>
          </w:tcPr>
          <w:p w14:paraId="1F9166B3">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690" w:type="dxa"/>
            <w:noWrap w:val="0"/>
            <w:vAlign w:val="center"/>
          </w:tcPr>
          <w:p w14:paraId="047F468E">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044" w:type="dxa"/>
            <w:noWrap w:val="0"/>
            <w:vAlign w:val="center"/>
          </w:tcPr>
          <w:p w14:paraId="31BAA5A9">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19" w:type="dxa"/>
            <w:noWrap w:val="0"/>
            <w:vAlign w:val="center"/>
          </w:tcPr>
          <w:p w14:paraId="238C8DDE">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16" w:type="dxa"/>
            <w:noWrap w:val="0"/>
            <w:vAlign w:val="center"/>
          </w:tcPr>
          <w:p w14:paraId="0BF6AB86">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487" w:type="dxa"/>
            <w:noWrap w:val="0"/>
            <w:vAlign w:val="center"/>
          </w:tcPr>
          <w:p w14:paraId="6630AD38">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83" w:type="dxa"/>
            <w:noWrap w:val="0"/>
            <w:vAlign w:val="center"/>
          </w:tcPr>
          <w:p w14:paraId="7D056FC3">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r>
      <w:tr w14:paraId="41AA55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noWrap w:val="0"/>
            <w:vAlign w:val="center"/>
          </w:tcPr>
          <w:p w14:paraId="7C92A7D2">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099" w:type="dxa"/>
            <w:noWrap w:val="0"/>
            <w:vAlign w:val="center"/>
          </w:tcPr>
          <w:p w14:paraId="6EF74C3C">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134" w:type="dxa"/>
            <w:noWrap w:val="0"/>
            <w:vAlign w:val="center"/>
          </w:tcPr>
          <w:p w14:paraId="118D9966">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620" w:type="dxa"/>
            <w:noWrap w:val="0"/>
            <w:vAlign w:val="center"/>
          </w:tcPr>
          <w:p w14:paraId="360C71F2">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690" w:type="dxa"/>
            <w:noWrap w:val="0"/>
            <w:vAlign w:val="center"/>
          </w:tcPr>
          <w:p w14:paraId="19F9A7E9">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044" w:type="dxa"/>
            <w:noWrap w:val="0"/>
            <w:vAlign w:val="center"/>
          </w:tcPr>
          <w:p w14:paraId="525C63EC">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19" w:type="dxa"/>
            <w:noWrap w:val="0"/>
            <w:vAlign w:val="center"/>
          </w:tcPr>
          <w:p w14:paraId="21A87632">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16" w:type="dxa"/>
            <w:noWrap w:val="0"/>
            <w:vAlign w:val="center"/>
          </w:tcPr>
          <w:p w14:paraId="411C8E17">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487" w:type="dxa"/>
            <w:noWrap w:val="0"/>
            <w:vAlign w:val="center"/>
          </w:tcPr>
          <w:p w14:paraId="7E9DBE4E">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83" w:type="dxa"/>
            <w:noWrap w:val="0"/>
            <w:vAlign w:val="center"/>
          </w:tcPr>
          <w:p w14:paraId="0A020E27">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r>
      <w:tr w14:paraId="282BA9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noWrap w:val="0"/>
            <w:vAlign w:val="center"/>
          </w:tcPr>
          <w:p w14:paraId="70691779">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099" w:type="dxa"/>
            <w:noWrap w:val="0"/>
            <w:vAlign w:val="center"/>
          </w:tcPr>
          <w:p w14:paraId="68B82702">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134" w:type="dxa"/>
            <w:noWrap w:val="0"/>
            <w:vAlign w:val="center"/>
          </w:tcPr>
          <w:p w14:paraId="52BDCDF0">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620" w:type="dxa"/>
            <w:noWrap w:val="0"/>
            <w:vAlign w:val="center"/>
          </w:tcPr>
          <w:p w14:paraId="08813917">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690" w:type="dxa"/>
            <w:noWrap w:val="0"/>
            <w:vAlign w:val="center"/>
          </w:tcPr>
          <w:p w14:paraId="5EC4FDE3">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044" w:type="dxa"/>
            <w:noWrap w:val="0"/>
            <w:vAlign w:val="center"/>
          </w:tcPr>
          <w:p w14:paraId="34390DDD">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19" w:type="dxa"/>
            <w:noWrap w:val="0"/>
            <w:vAlign w:val="center"/>
          </w:tcPr>
          <w:p w14:paraId="292BBA1F">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16" w:type="dxa"/>
            <w:noWrap w:val="0"/>
            <w:vAlign w:val="center"/>
          </w:tcPr>
          <w:p w14:paraId="290D3C57">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487" w:type="dxa"/>
            <w:noWrap w:val="0"/>
            <w:vAlign w:val="center"/>
          </w:tcPr>
          <w:p w14:paraId="6CC693CE">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83" w:type="dxa"/>
            <w:noWrap w:val="0"/>
            <w:vAlign w:val="center"/>
          </w:tcPr>
          <w:p w14:paraId="52ED1773">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r>
      <w:tr w14:paraId="2F52A4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noWrap w:val="0"/>
            <w:vAlign w:val="center"/>
          </w:tcPr>
          <w:p w14:paraId="12031E89">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099" w:type="dxa"/>
            <w:noWrap w:val="0"/>
            <w:vAlign w:val="center"/>
          </w:tcPr>
          <w:p w14:paraId="23DC245D">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134" w:type="dxa"/>
            <w:noWrap w:val="0"/>
            <w:vAlign w:val="center"/>
          </w:tcPr>
          <w:p w14:paraId="3F984CAA">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620" w:type="dxa"/>
            <w:noWrap w:val="0"/>
            <w:vAlign w:val="center"/>
          </w:tcPr>
          <w:p w14:paraId="6A39C8DD">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690" w:type="dxa"/>
            <w:noWrap w:val="0"/>
            <w:vAlign w:val="center"/>
          </w:tcPr>
          <w:p w14:paraId="64F9E707">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044" w:type="dxa"/>
            <w:noWrap w:val="0"/>
            <w:vAlign w:val="center"/>
          </w:tcPr>
          <w:p w14:paraId="111ED899">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19" w:type="dxa"/>
            <w:noWrap w:val="0"/>
            <w:vAlign w:val="center"/>
          </w:tcPr>
          <w:p w14:paraId="31CCC1B6">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16" w:type="dxa"/>
            <w:noWrap w:val="0"/>
            <w:vAlign w:val="center"/>
          </w:tcPr>
          <w:p w14:paraId="276CE7A8">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487" w:type="dxa"/>
            <w:noWrap w:val="0"/>
            <w:vAlign w:val="center"/>
          </w:tcPr>
          <w:p w14:paraId="15A2F646">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83" w:type="dxa"/>
            <w:noWrap w:val="0"/>
            <w:vAlign w:val="center"/>
          </w:tcPr>
          <w:p w14:paraId="727720CA">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r>
      <w:tr w14:paraId="40DE8D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noWrap w:val="0"/>
            <w:vAlign w:val="center"/>
          </w:tcPr>
          <w:p w14:paraId="668F4CA8">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099" w:type="dxa"/>
            <w:noWrap w:val="0"/>
            <w:vAlign w:val="center"/>
          </w:tcPr>
          <w:p w14:paraId="63B2DDB1">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134" w:type="dxa"/>
            <w:noWrap w:val="0"/>
            <w:vAlign w:val="center"/>
          </w:tcPr>
          <w:p w14:paraId="50C18089">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620" w:type="dxa"/>
            <w:noWrap w:val="0"/>
            <w:vAlign w:val="center"/>
          </w:tcPr>
          <w:p w14:paraId="0477E427">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690" w:type="dxa"/>
            <w:noWrap w:val="0"/>
            <w:vAlign w:val="center"/>
          </w:tcPr>
          <w:p w14:paraId="3633D431">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044" w:type="dxa"/>
            <w:noWrap w:val="0"/>
            <w:vAlign w:val="center"/>
          </w:tcPr>
          <w:p w14:paraId="37F8CC2F">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19" w:type="dxa"/>
            <w:noWrap w:val="0"/>
            <w:vAlign w:val="center"/>
          </w:tcPr>
          <w:p w14:paraId="58A4DCEE">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16" w:type="dxa"/>
            <w:noWrap w:val="0"/>
            <w:vAlign w:val="center"/>
          </w:tcPr>
          <w:p w14:paraId="6B809B75">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487" w:type="dxa"/>
            <w:noWrap w:val="0"/>
            <w:vAlign w:val="center"/>
          </w:tcPr>
          <w:p w14:paraId="457BF61F">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83" w:type="dxa"/>
            <w:noWrap w:val="0"/>
            <w:vAlign w:val="center"/>
          </w:tcPr>
          <w:p w14:paraId="5D03ADCE">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r>
      <w:tr w14:paraId="21DA39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noWrap w:val="0"/>
            <w:vAlign w:val="center"/>
          </w:tcPr>
          <w:p w14:paraId="0AB5658B">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099" w:type="dxa"/>
            <w:noWrap w:val="0"/>
            <w:vAlign w:val="center"/>
          </w:tcPr>
          <w:p w14:paraId="5758312B">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134" w:type="dxa"/>
            <w:noWrap w:val="0"/>
            <w:vAlign w:val="center"/>
          </w:tcPr>
          <w:p w14:paraId="64B7A1E9">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620" w:type="dxa"/>
            <w:noWrap w:val="0"/>
            <w:vAlign w:val="center"/>
          </w:tcPr>
          <w:p w14:paraId="04938AFF">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690" w:type="dxa"/>
            <w:noWrap w:val="0"/>
            <w:vAlign w:val="center"/>
          </w:tcPr>
          <w:p w14:paraId="73E7F9BD">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044" w:type="dxa"/>
            <w:noWrap w:val="0"/>
            <w:vAlign w:val="center"/>
          </w:tcPr>
          <w:p w14:paraId="5F3A0095">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19" w:type="dxa"/>
            <w:noWrap w:val="0"/>
            <w:vAlign w:val="center"/>
          </w:tcPr>
          <w:p w14:paraId="269DCAC6">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16" w:type="dxa"/>
            <w:noWrap w:val="0"/>
            <w:vAlign w:val="center"/>
          </w:tcPr>
          <w:p w14:paraId="5317F367">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487" w:type="dxa"/>
            <w:noWrap w:val="0"/>
            <w:vAlign w:val="center"/>
          </w:tcPr>
          <w:p w14:paraId="0AC938BD">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83" w:type="dxa"/>
            <w:noWrap w:val="0"/>
            <w:vAlign w:val="center"/>
          </w:tcPr>
          <w:p w14:paraId="63C0055F">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r>
      <w:tr w14:paraId="3D036F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noWrap w:val="0"/>
            <w:vAlign w:val="center"/>
          </w:tcPr>
          <w:p w14:paraId="3E95793A">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099" w:type="dxa"/>
            <w:noWrap w:val="0"/>
            <w:vAlign w:val="center"/>
          </w:tcPr>
          <w:p w14:paraId="419F5209">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134" w:type="dxa"/>
            <w:noWrap w:val="0"/>
            <w:vAlign w:val="center"/>
          </w:tcPr>
          <w:p w14:paraId="068DCDBA">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620" w:type="dxa"/>
            <w:noWrap w:val="0"/>
            <w:vAlign w:val="center"/>
          </w:tcPr>
          <w:p w14:paraId="07EEBCFA">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690" w:type="dxa"/>
            <w:noWrap w:val="0"/>
            <w:vAlign w:val="center"/>
          </w:tcPr>
          <w:p w14:paraId="32F69426">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044" w:type="dxa"/>
            <w:noWrap w:val="0"/>
            <w:vAlign w:val="center"/>
          </w:tcPr>
          <w:p w14:paraId="0D9BB4A6">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19" w:type="dxa"/>
            <w:noWrap w:val="0"/>
            <w:vAlign w:val="center"/>
          </w:tcPr>
          <w:p w14:paraId="0DE548D3">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16" w:type="dxa"/>
            <w:noWrap w:val="0"/>
            <w:vAlign w:val="center"/>
          </w:tcPr>
          <w:p w14:paraId="7F67CFA7">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487" w:type="dxa"/>
            <w:noWrap w:val="0"/>
            <w:vAlign w:val="center"/>
          </w:tcPr>
          <w:p w14:paraId="61CE8BE2">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83" w:type="dxa"/>
            <w:noWrap w:val="0"/>
            <w:vAlign w:val="center"/>
          </w:tcPr>
          <w:p w14:paraId="7D5EE8AE">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r>
      <w:tr w14:paraId="73D3F8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noWrap w:val="0"/>
            <w:vAlign w:val="center"/>
          </w:tcPr>
          <w:p w14:paraId="2432B920">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099" w:type="dxa"/>
            <w:noWrap w:val="0"/>
            <w:vAlign w:val="center"/>
          </w:tcPr>
          <w:p w14:paraId="3871F68E">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134" w:type="dxa"/>
            <w:noWrap w:val="0"/>
            <w:vAlign w:val="center"/>
          </w:tcPr>
          <w:p w14:paraId="4BE59F53">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620" w:type="dxa"/>
            <w:noWrap w:val="0"/>
            <w:vAlign w:val="center"/>
          </w:tcPr>
          <w:p w14:paraId="601162C4">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690" w:type="dxa"/>
            <w:noWrap w:val="0"/>
            <w:vAlign w:val="center"/>
          </w:tcPr>
          <w:p w14:paraId="6C6A2CE6">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044" w:type="dxa"/>
            <w:noWrap w:val="0"/>
            <w:vAlign w:val="center"/>
          </w:tcPr>
          <w:p w14:paraId="0A42B876">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19" w:type="dxa"/>
            <w:noWrap w:val="0"/>
            <w:vAlign w:val="center"/>
          </w:tcPr>
          <w:p w14:paraId="4D188AB9">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16" w:type="dxa"/>
            <w:noWrap w:val="0"/>
            <w:vAlign w:val="center"/>
          </w:tcPr>
          <w:p w14:paraId="0673A08A">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1487" w:type="dxa"/>
            <w:noWrap w:val="0"/>
            <w:vAlign w:val="center"/>
          </w:tcPr>
          <w:p w14:paraId="455648D8">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c>
          <w:tcPr>
            <w:tcW w:w="783" w:type="dxa"/>
            <w:noWrap w:val="0"/>
            <w:vAlign w:val="center"/>
          </w:tcPr>
          <w:p w14:paraId="245A37F7">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p>
        </w:tc>
      </w:tr>
    </w:tbl>
    <w:p w14:paraId="143BCCAF">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20B5C67A">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附件3：    </w:t>
      </w:r>
    </w:p>
    <w:p w14:paraId="45868814">
      <w:pPr>
        <w:pStyle w:val="51"/>
        <w:keepNext w:val="0"/>
        <w:keepLines w:val="0"/>
        <w:pageBreakBefore w:val="0"/>
        <w:widowControl w:val="0"/>
        <w:tabs>
          <w:tab w:val="left" w:pos="0"/>
        </w:tabs>
        <w:wordWrap/>
        <w:topLinePunct w:val="0"/>
        <w:bidi w:val="0"/>
        <w:spacing w:line="276" w:lineRule="auto"/>
        <w:ind w:firstLine="0" w:firstLineChars="0"/>
        <w:rPr>
          <w:color w:val="auto"/>
          <w:sz w:val="30"/>
          <w:szCs w:val="30"/>
          <w:highlight w:val="none"/>
        </w:rPr>
      </w:pPr>
      <w:r>
        <w:rPr>
          <w:color w:val="auto"/>
          <w:sz w:val="30"/>
          <w:szCs w:val="30"/>
          <w:highlight w:val="none"/>
        </w:rPr>
        <w:t xml:space="preserve">  </w:t>
      </w:r>
    </w:p>
    <w:p w14:paraId="505F0DC9">
      <w:pPr>
        <w:pStyle w:val="21"/>
        <w:keepNext w:val="0"/>
        <w:keepLines w:val="0"/>
        <w:pageBreakBefore w:val="0"/>
        <w:widowControl w:val="0"/>
        <w:wordWrap/>
        <w:topLinePunct w:val="0"/>
        <w:bidi w:val="0"/>
        <w:jc w:val="center"/>
        <w:rPr>
          <w:rFonts w:ascii="宋体" w:hAnsi="宋体"/>
          <w:color w:val="auto"/>
          <w:sz w:val="28"/>
          <w:szCs w:val="28"/>
          <w:highlight w:val="none"/>
        </w:rPr>
      </w:pPr>
      <w:r>
        <w:rPr>
          <w:rFonts w:ascii="宋体" w:hAnsi="宋体"/>
          <w:color w:val="auto"/>
          <w:sz w:val="28"/>
          <w:szCs w:val="28"/>
          <w:highlight w:val="none"/>
        </w:rPr>
        <w:t>工程质量保修书</w:t>
      </w:r>
    </w:p>
    <w:p w14:paraId="469A5C88">
      <w:pPr>
        <w:pStyle w:val="20"/>
        <w:keepNext w:val="0"/>
        <w:keepLines w:val="0"/>
        <w:pageBreakBefore w:val="0"/>
        <w:widowControl w:val="0"/>
        <w:wordWrap/>
        <w:topLinePunct w:val="0"/>
        <w:bidi w:val="0"/>
        <w:rPr>
          <w:color w:val="auto"/>
          <w:highlight w:val="none"/>
        </w:rPr>
      </w:pPr>
    </w:p>
    <w:p w14:paraId="198E1265">
      <w:pPr>
        <w:pStyle w:val="51"/>
        <w:keepNext w:val="0"/>
        <w:keepLines w:val="0"/>
        <w:pageBreakBefore w:val="0"/>
        <w:widowControl w:val="0"/>
        <w:wordWrap/>
        <w:topLinePunct w:val="0"/>
        <w:bidi w:val="0"/>
        <w:spacing w:line="320" w:lineRule="exact"/>
        <w:ind w:firstLine="0" w:firstLineChars="0"/>
        <w:rPr>
          <w:rFonts w:ascii="宋体" w:hAnsi="宋体" w:cs="宋体"/>
          <w:color w:val="auto"/>
          <w:highlight w:val="none"/>
        </w:rPr>
      </w:pPr>
      <w:r>
        <w:rPr>
          <w:rFonts w:hint="eastAsia" w:ascii="宋体" w:hAnsi="宋体" w:cs="宋体"/>
          <w:color w:val="auto"/>
          <w:highlight w:val="none"/>
        </w:rPr>
        <w:t>发包人（全称）：</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rPr>
        <w:t xml:space="preserve"> </w:t>
      </w:r>
    </w:p>
    <w:p w14:paraId="0F7295A3">
      <w:pPr>
        <w:pStyle w:val="51"/>
        <w:keepNext w:val="0"/>
        <w:keepLines w:val="0"/>
        <w:pageBreakBefore w:val="0"/>
        <w:widowControl w:val="0"/>
        <w:wordWrap/>
        <w:topLinePunct w:val="0"/>
        <w:bidi w:val="0"/>
        <w:spacing w:line="320" w:lineRule="exact"/>
        <w:ind w:firstLine="0" w:firstLineChars="0"/>
        <w:rPr>
          <w:rFonts w:ascii="宋体" w:hAnsi="宋体" w:cs="宋体"/>
          <w:color w:val="auto"/>
          <w:highlight w:val="none"/>
        </w:rPr>
      </w:pPr>
      <w:r>
        <w:rPr>
          <w:rFonts w:hint="eastAsia" w:ascii="宋体" w:hAnsi="宋体" w:cs="宋体"/>
          <w:color w:val="auto"/>
          <w:highlight w:val="none"/>
        </w:rPr>
        <w:t>承包人（全称）：</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rPr>
        <w:t xml:space="preserve"> </w:t>
      </w:r>
    </w:p>
    <w:p w14:paraId="54019034">
      <w:pPr>
        <w:pStyle w:val="21"/>
        <w:keepNext w:val="0"/>
        <w:keepLines w:val="0"/>
        <w:pageBreakBefore w:val="0"/>
        <w:widowControl w:val="0"/>
        <w:wordWrap/>
        <w:topLinePunct w:val="0"/>
        <w:bidi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为保证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none"/>
          <w:lang w:eastAsia="zh-CN"/>
        </w:rPr>
        <w:t>工程</w:t>
      </w:r>
      <w:r>
        <w:rPr>
          <w:rFonts w:hint="eastAsia" w:ascii="宋体" w:hAnsi="宋体" w:cs="宋体"/>
          <w:color w:val="auto"/>
          <w:szCs w:val="21"/>
          <w:highlight w:val="none"/>
        </w:rPr>
        <w:t>在合理使用期限内正常使用，经发包人、承包人协商一致签订本工程质量保修书。承包人在质量保修期内按照有关管理规定及双方约定承担工程质量保修责任。</w:t>
      </w:r>
    </w:p>
    <w:p w14:paraId="261803FE">
      <w:pPr>
        <w:pStyle w:val="54"/>
        <w:keepNext w:val="0"/>
        <w:keepLines w:val="0"/>
        <w:pageBreakBefore w:val="0"/>
        <w:widowControl w:val="0"/>
        <w:wordWrap/>
        <w:topLinePunct w:val="0"/>
        <w:bidi w:val="0"/>
        <w:spacing w:line="400" w:lineRule="exact"/>
        <w:ind w:firstLine="420" w:firstLineChars="200"/>
        <w:outlineLvl w:val="9"/>
        <w:rPr>
          <w:rFonts w:ascii="宋体" w:hAnsi="宋体" w:cs="宋体"/>
          <w:color w:val="auto"/>
          <w:szCs w:val="21"/>
          <w:highlight w:val="none"/>
        </w:rPr>
      </w:pPr>
      <w:bookmarkStart w:id="1881" w:name="_Toc522201808"/>
      <w:bookmarkStart w:id="1882" w:name="_Toc3496"/>
      <w:r>
        <w:rPr>
          <w:rFonts w:hint="eastAsia" w:ascii="宋体" w:hAnsi="宋体" w:cs="宋体"/>
          <w:color w:val="auto"/>
          <w:szCs w:val="21"/>
          <w:highlight w:val="none"/>
        </w:rPr>
        <w:t>一、工程保修范围和内容</w:t>
      </w:r>
      <w:bookmarkEnd w:id="1881"/>
      <w:bookmarkEnd w:id="1882"/>
    </w:p>
    <w:p w14:paraId="66A117ED">
      <w:pPr>
        <w:pStyle w:val="21"/>
        <w:keepNext w:val="0"/>
        <w:keepLines w:val="0"/>
        <w:pageBreakBefore w:val="0"/>
        <w:widowControl w:val="0"/>
        <w:wordWrap/>
        <w:topLinePunct w:val="0"/>
        <w:bidi w:val="0"/>
        <w:spacing w:line="400" w:lineRule="exact"/>
        <w:ind w:firstLine="420" w:firstLineChars="200"/>
        <w:rPr>
          <w:rFonts w:ascii="宋体" w:hAnsi="宋体" w:cs="宋体"/>
          <w:color w:val="auto"/>
          <w:szCs w:val="21"/>
          <w:highlight w:val="none"/>
        </w:rPr>
      </w:pPr>
      <w:r>
        <w:rPr>
          <w:rFonts w:hint="eastAsia" w:ascii="宋体" w:hAnsi="宋体" w:cs="宋体"/>
          <w:color w:val="auto"/>
          <w:highlight w:val="none"/>
        </w:rPr>
        <w:t>质量保修范围为施工图纸所包括的工程内容</w:t>
      </w:r>
      <w:r>
        <w:rPr>
          <w:rFonts w:hint="eastAsia" w:ascii="宋体" w:hAnsi="宋体" w:cs="宋体"/>
          <w:color w:val="auto"/>
          <w:highlight w:val="none"/>
          <w:lang w:eastAsia="zh-CN"/>
        </w:rPr>
        <w:t>，</w:t>
      </w:r>
      <w:r>
        <w:rPr>
          <w:rFonts w:hint="eastAsia" w:ascii="宋体" w:hAnsi="宋体" w:cs="宋体"/>
          <w:color w:val="auto"/>
          <w:szCs w:val="21"/>
          <w:highlight w:val="none"/>
        </w:rPr>
        <w:t>具体质量保修内容双方约定如下：</w:t>
      </w:r>
      <w:r>
        <w:rPr>
          <w:rFonts w:hint="eastAsia" w:ascii="宋体" w:hAnsi="宋体" w:cs="宋体"/>
          <w:color w:val="auto"/>
          <w:szCs w:val="21"/>
          <w:highlight w:val="none"/>
          <w:u w:val="single"/>
        </w:rPr>
        <w:t xml:space="preserve"> 承包方所承包施工的全部工程内容 </w:t>
      </w:r>
      <w:r>
        <w:rPr>
          <w:rFonts w:hint="eastAsia" w:ascii="宋体" w:hAnsi="宋体" w:cs="宋体"/>
          <w:color w:val="auto"/>
          <w:szCs w:val="21"/>
          <w:highlight w:val="none"/>
        </w:rPr>
        <w:t>。</w:t>
      </w:r>
    </w:p>
    <w:p w14:paraId="21F6AE8C">
      <w:pPr>
        <w:pStyle w:val="54"/>
        <w:keepNext w:val="0"/>
        <w:keepLines w:val="0"/>
        <w:pageBreakBefore w:val="0"/>
        <w:widowControl w:val="0"/>
        <w:wordWrap/>
        <w:topLinePunct w:val="0"/>
        <w:bidi w:val="0"/>
        <w:spacing w:line="400" w:lineRule="exact"/>
        <w:ind w:firstLine="420" w:firstLineChars="200"/>
        <w:outlineLvl w:val="9"/>
        <w:rPr>
          <w:rFonts w:ascii="宋体" w:hAnsi="宋体" w:cs="宋体"/>
          <w:color w:val="auto"/>
          <w:szCs w:val="21"/>
          <w:highlight w:val="none"/>
        </w:rPr>
      </w:pPr>
      <w:bookmarkStart w:id="1883" w:name="_Toc522201809"/>
      <w:bookmarkStart w:id="1884" w:name="_Toc21338"/>
      <w:r>
        <w:rPr>
          <w:rFonts w:hint="eastAsia" w:ascii="宋体" w:hAnsi="宋体" w:cs="宋体"/>
          <w:color w:val="auto"/>
          <w:szCs w:val="21"/>
          <w:highlight w:val="none"/>
        </w:rPr>
        <w:t>二、</w:t>
      </w:r>
      <w:r>
        <w:rPr>
          <w:rFonts w:hint="eastAsia" w:ascii="宋体" w:hAnsi="宋体" w:cs="宋体"/>
          <w:color w:val="auto"/>
          <w:szCs w:val="21"/>
          <w:highlight w:val="none"/>
          <w:lang w:eastAsia="zh-CN"/>
        </w:rPr>
        <w:t>质量</w:t>
      </w:r>
      <w:r>
        <w:rPr>
          <w:rFonts w:hint="eastAsia" w:ascii="宋体" w:hAnsi="宋体" w:cs="宋体"/>
          <w:color w:val="auto"/>
          <w:szCs w:val="21"/>
          <w:highlight w:val="none"/>
        </w:rPr>
        <w:t>保修期</w:t>
      </w:r>
      <w:bookmarkEnd w:id="1883"/>
      <w:bookmarkEnd w:id="1884"/>
    </w:p>
    <w:p w14:paraId="63547F56">
      <w:pPr>
        <w:pStyle w:val="55"/>
        <w:keepNext w:val="0"/>
        <w:keepLines w:val="0"/>
        <w:pageBreakBefore w:val="0"/>
        <w:widowControl w:val="0"/>
        <w:wordWrap/>
        <w:topLinePunct w:val="0"/>
        <w:bidi w:val="0"/>
        <w:spacing w:line="360" w:lineRule="auto"/>
        <w:ind w:firstLine="540"/>
        <w:rPr>
          <w:rFonts w:hint="eastAsia" w:ascii="宋体" w:hAnsi="宋体" w:cs="宋体"/>
          <w:color w:val="auto"/>
          <w:highlight w:val="none"/>
        </w:rPr>
      </w:pPr>
      <w:r>
        <w:rPr>
          <w:rFonts w:hint="eastAsia" w:ascii="宋体" w:hAnsi="宋体" w:cs="宋体"/>
          <w:color w:val="auto"/>
          <w:highlight w:val="none"/>
        </w:rPr>
        <w:t>质量保修期从工程实际竣工验收通过之日算起。分单项竣工验收的工程，按单项工程分别计算质量保修期。</w:t>
      </w:r>
    </w:p>
    <w:p w14:paraId="65A830E3">
      <w:pPr>
        <w:pStyle w:val="22"/>
        <w:keepNext w:val="0"/>
        <w:keepLines w:val="0"/>
        <w:pageBreakBefore w:val="0"/>
        <w:widowControl w:val="0"/>
        <w:wordWrap/>
        <w:topLinePunct w:val="0"/>
        <w:bidi w:val="0"/>
        <w:spacing w:line="360" w:lineRule="auto"/>
        <w:ind w:firstLine="420"/>
        <w:rPr>
          <w:rStyle w:val="29"/>
          <w:rFonts w:ascii="Times New Roman" w:hAnsi="宋体" w:eastAsia="宋体" w:cs="Times New Roman"/>
          <w:color w:val="auto"/>
          <w:szCs w:val="21"/>
          <w:highlight w:val="none"/>
        </w:rPr>
      </w:pPr>
      <w:r>
        <w:rPr>
          <w:rStyle w:val="29"/>
          <w:rFonts w:hint="eastAsia" w:ascii="Times New Roman" w:hAnsi="宋体" w:eastAsia="宋体" w:cs="宋体"/>
          <w:color w:val="auto"/>
          <w:szCs w:val="21"/>
          <w:highlight w:val="none"/>
        </w:rPr>
        <w:t>根据《建设工程质量管理条例》及有关规定，工程的质量保修期如下：</w:t>
      </w:r>
    </w:p>
    <w:p w14:paraId="6FFDAF66">
      <w:pPr>
        <w:pStyle w:val="56"/>
        <w:keepNext w:val="0"/>
        <w:keepLines w:val="0"/>
        <w:pageBreakBefore w:val="0"/>
        <w:widowControl w:val="0"/>
        <w:wordWrap/>
        <w:topLinePunct w:val="0"/>
        <w:bidi w:val="0"/>
        <w:spacing w:line="360" w:lineRule="auto"/>
        <w:ind w:firstLine="420"/>
        <w:rPr>
          <w:rStyle w:val="29"/>
          <w:rFonts w:ascii="Calibri" w:hAnsi="宋体" w:eastAsia="宋体" w:cs="Times New Roman"/>
          <w:color w:val="auto"/>
          <w:highlight w:val="none"/>
        </w:rPr>
      </w:pPr>
      <w:r>
        <w:rPr>
          <w:rStyle w:val="29"/>
          <w:rFonts w:ascii="Calibri" w:hAnsi="Calibri" w:eastAsia="宋体" w:cs="Times New Roman"/>
          <w:color w:val="auto"/>
          <w:highlight w:val="none"/>
        </w:rPr>
        <w:t>1</w:t>
      </w:r>
      <w:r>
        <w:rPr>
          <w:rStyle w:val="29"/>
          <w:rFonts w:hint="eastAsia" w:ascii="Calibri" w:hAnsi="宋体" w:eastAsia="宋体" w:cs="宋体"/>
          <w:color w:val="auto"/>
          <w:highlight w:val="none"/>
        </w:rPr>
        <w:t>．地基基础工程和主体结构工程为设计文件规定的工程合理使用年限；</w:t>
      </w:r>
    </w:p>
    <w:p w14:paraId="50BCB5A6">
      <w:pPr>
        <w:pStyle w:val="56"/>
        <w:keepNext w:val="0"/>
        <w:keepLines w:val="0"/>
        <w:pageBreakBefore w:val="0"/>
        <w:widowControl w:val="0"/>
        <w:wordWrap/>
        <w:topLinePunct w:val="0"/>
        <w:bidi w:val="0"/>
        <w:spacing w:line="360" w:lineRule="auto"/>
        <w:ind w:firstLine="420"/>
        <w:rPr>
          <w:rStyle w:val="29"/>
          <w:rFonts w:ascii="Calibri" w:hAnsi="宋体" w:eastAsia="宋体" w:cs="Times New Roman"/>
          <w:color w:val="auto"/>
          <w:highlight w:val="none"/>
        </w:rPr>
      </w:pPr>
      <w:r>
        <w:rPr>
          <w:rStyle w:val="29"/>
          <w:rFonts w:ascii="Calibri" w:hAnsi="Calibri" w:eastAsia="宋体" w:cs="Times New Roman"/>
          <w:color w:val="auto"/>
          <w:highlight w:val="none"/>
        </w:rPr>
        <w:t>2</w:t>
      </w:r>
      <w:r>
        <w:rPr>
          <w:rStyle w:val="29"/>
          <w:rFonts w:hint="eastAsia" w:ascii="Calibri" w:hAnsi="宋体" w:eastAsia="宋体" w:cs="宋体"/>
          <w:color w:val="auto"/>
          <w:highlight w:val="none"/>
        </w:rPr>
        <w:t>．屋面防水工程、有防水要求的卫生间、房间和外墙面的防渗为</w:t>
      </w:r>
      <w:r>
        <w:rPr>
          <w:rStyle w:val="29"/>
          <w:rFonts w:ascii="Calibri" w:hAnsi="Calibri" w:eastAsia="宋体" w:cs="Times New Roman"/>
          <w:color w:val="auto"/>
          <w:highlight w:val="none"/>
          <w:u w:val="single"/>
        </w:rPr>
        <w:t xml:space="preserve"> </w:t>
      </w:r>
      <w:r>
        <w:rPr>
          <w:rStyle w:val="29"/>
          <w:rFonts w:hint="eastAsia" w:ascii="Calibri" w:hAnsi="Calibri" w:eastAsia="宋体" w:cs="Times New Roman"/>
          <w:color w:val="auto"/>
          <w:highlight w:val="none"/>
          <w:u w:val="single"/>
        </w:rPr>
        <w:t>5</w:t>
      </w:r>
      <w:r>
        <w:rPr>
          <w:rStyle w:val="29"/>
          <w:rFonts w:ascii="Calibri" w:hAnsi="Calibri" w:eastAsia="宋体" w:cs="Times New Roman"/>
          <w:color w:val="auto"/>
          <w:highlight w:val="none"/>
          <w:u w:val="single"/>
        </w:rPr>
        <w:t xml:space="preserve">  </w:t>
      </w:r>
      <w:r>
        <w:rPr>
          <w:rStyle w:val="29"/>
          <w:rFonts w:hint="eastAsia" w:ascii="Calibri" w:hAnsi="宋体" w:eastAsia="宋体" w:cs="宋体"/>
          <w:color w:val="auto"/>
          <w:highlight w:val="none"/>
        </w:rPr>
        <w:t>年；</w:t>
      </w:r>
    </w:p>
    <w:p w14:paraId="2FD62066">
      <w:pPr>
        <w:pStyle w:val="56"/>
        <w:keepNext w:val="0"/>
        <w:keepLines w:val="0"/>
        <w:pageBreakBefore w:val="0"/>
        <w:widowControl w:val="0"/>
        <w:wordWrap/>
        <w:topLinePunct w:val="0"/>
        <w:bidi w:val="0"/>
        <w:spacing w:line="360" w:lineRule="auto"/>
        <w:ind w:firstLine="420"/>
        <w:rPr>
          <w:rStyle w:val="29"/>
          <w:rFonts w:ascii="Calibri" w:hAnsi="宋体" w:eastAsia="宋体" w:cs="Times New Roman"/>
          <w:color w:val="auto"/>
          <w:highlight w:val="none"/>
        </w:rPr>
      </w:pPr>
      <w:r>
        <w:rPr>
          <w:rStyle w:val="29"/>
          <w:rFonts w:ascii="Calibri" w:hAnsi="Calibri" w:eastAsia="宋体" w:cs="Times New Roman"/>
          <w:color w:val="auto"/>
          <w:highlight w:val="none"/>
        </w:rPr>
        <w:t>3</w:t>
      </w:r>
      <w:r>
        <w:rPr>
          <w:rStyle w:val="29"/>
          <w:rFonts w:hint="eastAsia" w:ascii="Calibri" w:hAnsi="宋体" w:eastAsia="宋体" w:cs="宋体"/>
          <w:color w:val="auto"/>
          <w:highlight w:val="none"/>
        </w:rPr>
        <w:t>．装修工程为</w:t>
      </w:r>
      <w:r>
        <w:rPr>
          <w:rStyle w:val="29"/>
          <w:rFonts w:ascii="Calibri" w:hAnsi="Calibri" w:eastAsia="宋体" w:cs="Times New Roman"/>
          <w:color w:val="auto"/>
          <w:highlight w:val="none"/>
          <w:u w:val="single"/>
        </w:rPr>
        <w:t xml:space="preserve"> </w:t>
      </w:r>
      <w:r>
        <w:rPr>
          <w:rStyle w:val="29"/>
          <w:rFonts w:hint="eastAsia" w:ascii="Calibri" w:hAnsi="Calibri" w:eastAsia="宋体" w:cs="Times New Roman"/>
          <w:color w:val="auto"/>
          <w:highlight w:val="none"/>
          <w:u w:val="single"/>
        </w:rPr>
        <w:t>2</w:t>
      </w:r>
      <w:r>
        <w:rPr>
          <w:rStyle w:val="29"/>
          <w:rFonts w:ascii="Calibri" w:hAnsi="Calibri" w:eastAsia="宋体" w:cs="Times New Roman"/>
          <w:color w:val="auto"/>
          <w:highlight w:val="none"/>
          <w:u w:val="single"/>
        </w:rPr>
        <w:t xml:space="preserve"> </w:t>
      </w:r>
      <w:r>
        <w:rPr>
          <w:rStyle w:val="29"/>
          <w:rFonts w:hint="eastAsia" w:ascii="Calibri" w:hAnsi="宋体" w:eastAsia="宋体" w:cs="宋体"/>
          <w:color w:val="auto"/>
          <w:highlight w:val="none"/>
        </w:rPr>
        <w:t>年；</w:t>
      </w:r>
    </w:p>
    <w:p w14:paraId="0E104AFA">
      <w:pPr>
        <w:pStyle w:val="56"/>
        <w:keepNext w:val="0"/>
        <w:keepLines w:val="0"/>
        <w:pageBreakBefore w:val="0"/>
        <w:widowControl w:val="0"/>
        <w:wordWrap/>
        <w:topLinePunct w:val="0"/>
        <w:bidi w:val="0"/>
        <w:spacing w:line="360" w:lineRule="auto"/>
        <w:ind w:firstLine="420"/>
        <w:rPr>
          <w:rStyle w:val="29"/>
          <w:rFonts w:ascii="Calibri" w:hAnsi="宋体" w:eastAsia="宋体" w:cs="Times New Roman"/>
          <w:color w:val="auto"/>
          <w:highlight w:val="none"/>
        </w:rPr>
      </w:pPr>
      <w:r>
        <w:rPr>
          <w:rStyle w:val="29"/>
          <w:rFonts w:ascii="Calibri" w:hAnsi="Calibri" w:eastAsia="宋体" w:cs="Times New Roman"/>
          <w:color w:val="auto"/>
          <w:highlight w:val="none"/>
        </w:rPr>
        <w:t>4</w:t>
      </w:r>
      <w:r>
        <w:rPr>
          <w:rStyle w:val="29"/>
          <w:rFonts w:hint="eastAsia" w:ascii="Calibri" w:hAnsi="宋体" w:eastAsia="宋体" w:cs="宋体"/>
          <w:color w:val="auto"/>
          <w:highlight w:val="none"/>
        </w:rPr>
        <w:t>．电气管线、给排水管道、设备安装工程为</w:t>
      </w:r>
      <w:r>
        <w:rPr>
          <w:rStyle w:val="29"/>
          <w:rFonts w:ascii="Calibri" w:hAnsi="Calibri" w:eastAsia="宋体" w:cs="Times New Roman"/>
          <w:color w:val="auto"/>
          <w:highlight w:val="none"/>
          <w:u w:val="single"/>
        </w:rPr>
        <w:t xml:space="preserve"> </w:t>
      </w:r>
      <w:r>
        <w:rPr>
          <w:rStyle w:val="29"/>
          <w:rFonts w:hint="eastAsia" w:ascii="Calibri" w:hAnsi="Calibri" w:eastAsia="宋体" w:cs="Times New Roman"/>
          <w:color w:val="auto"/>
          <w:highlight w:val="none"/>
          <w:u w:val="single"/>
        </w:rPr>
        <w:t>2</w:t>
      </w:r>
      <w:r>
        <w:rPr>
          <w:rStyle w:val="29"/>
          <w:rFonts w:ascii="Calibri" w:hAnsi="Calibri" w:eastAsia="宋体" w:cs="Times New Roman"/>
          <w:color w:val="auto"/>
          <w:highlight w:val="none"/>
          <w:u w:val="single"/>
        </w:rPr>
        <w:t xml:space="preserve"> </w:t>
      </w:r>
      <w:r>
        <w:rPr>
          <w:rStyle w:val="29"/>
          <w:rFonts w:hint="eastAsia" w:ascii="Calibri" w:hAnsi="宋体" w:eastAsia="宋体" w:cs="宋体"/>
          <w:color w:val="auto"/>
          <w:highlight w:val="none"/>
        </w:rPr>
        <w:t>年；</w:t>
      </w:r>
    </w:p>
    <w:p w14:paraId="15CF8AFC">
      <w:pPr>
        <w:pStyle w:val="56"/>
        <w:keepNext w:val="0"/>
        <w:keepLines w:val="0"/>
        <w:pageBreakBefore w:val="0"/>
        <w:widowControl w:val="0"/>
        <w:wordWrap/>
        <w:topLinePunct w:val="0"/>
        <w:bidi w:val="0"/>
        <w:spacing w:line="360" w:lineRule="auto"/>
        <w:ind w:firstLine="420"/>
        <w:rPr>
          <w:rStyle w:val="29"/>
          <w:rFonts w:ascii="Calibri" w:hAnsi="宋体" w:eastAsia="宋体" w:cs="Times New Roman"/>
          <w:color w:val="auto"/>
          <w:highlight w:val="none"/>
        </w:rPr>
      </w:pPr>
      <w:r>
        <w:rPr>
          <w:rStyle w:val="29"/>
          <w:rFonts w:ascii="Calibri" w:hAnsi="Calibri" w:eastAsia="宋体" w:cs="Times New Roman"/>
          <w:color w:val="auto"/>
          <w:highlight w:val="none"/>
        </w:rPr>
        <w:t>5</w:t>
      </w:r>
      <w:r>
        <w:rPr>
          <w:rStyle w:val="29"/>
          <w:rFonts w:hint="eastAsia" w:ascii="Calibri" w:hAnsi="宋体" w:eastAsia="宋体" w:cs="宋体"/>
          <w:color w:val="auto"/>
          <w:highlight w:val="none"/>
        </w:rPr>
        <w:t>．供热与供冷系统为</w:t>
      </w:r>
      <w:r>
        <w:rPr>
          <w:rStyle w:val="29"/>
          <w:rFonts w:ascii="Calibri" w:hAnsi="Calibri" w:eastAsia="宋体" w:cs="Times New Roman"/>
          <w:color w:val="auto"/>
          <w:highlight w:val="none"/>
          <w:u w:val="single"/>
        </w:rPr>
        <w:t xml:space="preserve"> </w:t>
      </w:r>
      <w:r>
        <w:rPr>
          <w:rStyle w:val="29"/>
          <w:rFonts w:hint="eastAsia" w:ascii="Calibri" w:hAnsi="Calibri" w:eastAsia="宋体" w:cs="Times New Roman"/>
          <w:color w:val="auto"/>
          <w:highlight w:val="none"/>
          <w:u w:val="single"/>
        </w:rPr>
        <w:t>2</w:t>
      </w:r>
      <w:r>
        <w:rPr>
          <w:rStyle w:val="29"/>
          <w:rFonts w:ascii="Calibri" w:hAnsi="Calibri" w:eastAsia="宋体" w:cs="Times New Roman"/>
          <w:color w:val="auto"/>
          <w:highlight w:val="none"/>
          <w:u w:val="single"/>
        </w:rPr>
        <w:t xml:space="preserve"> </w:t>
      </w:r>
      <w:r>
        <w:rPr>
          <w:rStyle w:val="29"/>
          <w:rFonts w:hint="eastAsia" w:ascii="Calibri" w:hAnsi="宋体" w:eastAsia="宋体" w:cs="宋体"/>
          <w:color w:val="auto"/>
          <w:highlight w:val="none"/>
        </w:rPr>
        <w:t>个采暖期、供冷期；</w:t>
      </w:r>
    </w:p>
    <w:p w14:paraId="4AE75F68">
      <w:pPr>
        <w:pStyle w:val="22"/>
        <w:keepNext w:val="0"/>
        <w:keepLines w:val="0"/>
        <w:pageBreakBefore w:val="0"/>
        <w:widowControl w:val="0"/>
        <w:wordWrap/>
        <w:topLinePunct w:val="0"/>
        <w:bidi w:val="0"/>
        <w:spacing w:line="360" w:lineRule="auto"/>
        <w:ind w:firstLine="420"/>
        <w:rPr>
          <w:rStyle w:val="29"/>
          <w:rFonts w:ascii="Calibri" w:hAnsi="宋体" w:eastAsia="宋体" w:cs="Times New Roman"/>
          <w:color w:val="auto"/>
          <w:highlight w:val="none"/>
        </w:rPr>
      </w:pPr>
      <w:r>
        <w:rPr>
          <w:rStyle w:val="29"/>
          <w:rFonts w:ascii="Calibri" w:hAnsi="Calibri" w:eastAsia="宋体" w:cs="Times New Roman"/>
          <w:color w:val="auto"/>
          <w:highlight w:val="none"/>
        </w:rPr>
        <w:t>6</w:t>
      </w:r>
      <w:r>
        <w:rPr>
          <w:rStyle w:val="29"/>
          <w:rFonts w:hint="eastAsia" w:ascii="Calibri" w:hAnsi="宋体" w:eastAsia="宋体" w:cs="宋体"/>
          <w:color w:val="auto"/>
          <w:highlight w:val="none"/>
        </w:rPr>
        <w:t>．住宅小区内的给排水设施、道路等配套工程为</w:t>
      </w:r>
      <w:r>
        <w:rPr>
          <w:rStyle w:val="29"/>
          <w:rFonts w:ascii="Calibri" w:hAnsi="Calibri" w:eastAsia="宋体" w:cs="Times New Roman"/>
          <w:color w:val="auto"/>
          <w:highlight w:val="none"/>
          <w:u w:val="single"/>
        </w:rPr>
        <w:t xml:space="preserve"> </w:t>
      </w:r>
      <w:r>
        <w:rPr>
          <w:rStyle w:val="29"/>
          <w:rFonts w:hint="eastAsia" w:ascii="Calibri" w:hAnsi="Calibri" w:eastAsia="宋体" w:cs="Times New Roman"/>
          <w:color w:val="auto"/>
          <w:highlight w:val="none"/>
          <w:u w:val="single"/>
        </w:rPr>
        <w:t>2</w:t>
      </w:r>
      <w:r>
        <w:rPr>
          <w:rStyle w:val="29"/>
          <w:rFonts w:ascii="Calibri" w:hAnsi="Calibri" w:eastAsia="宋体" w:cs="Times New Roman"/>
          <w:color w:val="auto"/>
          <w:highlight w:val="none"/>
          <w:u w:val="single"/>
        </w:rPr>
        <w:t xml:space="preserve"> </w:t>
      </w:r>
      <w:r>
        <w:rPr>
          <w:rStyle w:val="29"/>
          <w:rFonts w:hint="eastAsia" w:ascii="Calibri" w:hAnsi="宋体" w:eastAsia="宋体" w:cs="宋体"/>
          <w:color w:val="auto"/>
          <w:highlight w:val="none"/>
        </w:rPr>
        <w:t>年；</w:t>
      </w:r>
    </w:p>
    <w:p w14:paraId="2478F1E7">
      <w:pPr>
        <w:pStyle w:val="56"/>
        <w:keepNext w:val="0"/>
        <w:keepLines w:val="0"/>
        <w:pageBreakBefore w:val="0"/>
        <w:widowControl w:val="0"/>
        <w:wordWrap/>
        <w:topLinePunct w:val="0"/>
        <w:bidi w:val="0"/>
        <w:spacing w:line="360" w:lineRule="auto"/>
        <w:ind w:firstLine="420"/>
        <w:rPr>
          <w:rStyle w:val="29"/>
          <w:rFonts w:hint="eastAsia" w:ascii="Times New Roman" w:hAnsi="宋体" w:eastAsia="宋体" w:cs="宋体"/>
          <w:color w:val="auto"/>
          <w:szCs w:val="21"/>
          <w:highlight w:val="none"/>
        </w:rPr>
      </w:pPr>
      <w:r>
        <w:rPr>
          <w:rStyle w:val="29"/>
          <w:rFonts w:hint="eastAsia" w:ascii="Times New Roman" w:hAnsi="宋体" w:eastAsia="宋体" w:cs="宋体"/>
          <w:color w:val="auto"/>
          <w:szCs w:val="21"/>
          <w:highlight w:val="none"/>
        </w:rPr>
        <w:t>7．桥梁工程为  /  年（桥梁隧道主体结构工程为设计文件规定的合理使用年限）；</w:t>
      </w:r>
    </w:p>
    <w:p w14:paraId="6A5CC944">
      <w:pPr>
        <w:pStyle w:val="56"/>
        <w:keepNext w:val="0"/>
        <w:keepLines w:val="0"/>
        <w:pageBreakBefore w:val="0"/>
        <w:widowControl w:val="0"/>
        <w:wordWrap/>
        <w:topLinePunct w:val="0"/>
        <w:bidi w:val="0"/>
        <w:spacing w:line="360" w:lineRule="auto"/>
        <w:ind w:firstLine="420"/>
        <w:rPr>
          <w:rStyle w:val="29"/>
          <w:rFonts w:hint="eastAsia" w:ascii="Times New Roman" w:hAnsi="宋体" w:eastAsia="宋体" w:cs="宋体"/>
          <w:color w:val="auto"/>
          <w:szCs w:val="21"/>
          <w:highlight w:val="none"/>
        </w:rPr>
      </w:pPr>
      <w:r>
        <w:rPr>
          <w:rStyle w:val="29"/>
          <w:rFonts w:hint="eastAsia" w:ascii="Times New Roman" w:hAnsi="宋体" w:eastAsia="宋体" w:cs="宋体"/>
          <w:color w:val="auto"/>
          <w:szCs w:val="21"/>
          <w:highlight w:val="none"/>
        </w:rPr>
        <w:t xml:space="preserve">8．道路工程为 </w:t>
      </w:r>
      <w:r>
        <w:rPr>
          <w:rStyle w:val="29"/>
          <w:rFonts w:hint="eastAsia" w:ascii="Times New Roman" w:hAnsi="宋体" w:eastAsia="宋体" w:cs="宋体"/>
          <w:color w:val="auto"/>
          <w:szCs w:val="21"/>
          <w:highlight w:val="none"/>
          <w:u w:val="single"/>
        </w:rPr>
        <w:t xml:space="preserve">  2  </w:t>
      </w:r>
      <w:r>
        <w:rPr>
          <w:rStyle w:val="29"/>
          <w:rFonts w:hint="eastAsia" w:ascii="Times New Roman" w:hAnsi="宋体" w:eastAsia="宋体" w:cs="宋体"/>
          <w:color w:val="auto"/>
          <w:szCs w:val="21"/>
          <w:highlight w:val="none"/>
        </w:rPr>
        <w:t>年（建议路基、路面、桥面为2年）；</w:t>
      </w:r>
    </w:p>
    <w:p w14:paraId="48D20981">
      <w:pPr>
        <w:pStyle w:val="56"/>
        <w:keepNext w:val="0"/>
        <w:keepLines w:val="0"/>
        <w:pageBreakBefore w:val="0"/>
        <w:widowControl w:val="0"/>
        <w:wordWrap/>
        <w:topLinePunct w:val="0"/>
        <w:bidi w:val="0"/>
        <w:spacing w:line="360" w:lineRule="auto"/>
        <w:ind w:firstLine="420"/>
        <w:rPr>
          <w:rStyle w:val="29"/>
          <w:rFonts w:hint="eastAsia" w:ascii="Times New Roman" w:hAnsi="宋体" w:eastAsia="宋体" w:cs="宋体"/>
          <w:color w:val="auto"/>
          <w:szCs w:val="21"/>
          <w:highlight w:val="none"/>
        </w:rPr>
      </w:pPr>
      <w:r>
        <w:rPr>
          <w:rStyle w:val="29"/>
          <w:rFonts w:hint="eastAsia" w:ascii="Times New Roman" w:hAnsi="宋体" w:eastAsia="宋体" w:cs="宋体"/>
          <w:color w:val="auto"/>
          <w:szCs w:val="21"/>
          <w:highlight w:val="none"/>
        </w:rPr>
        <w:t xml:space="preserve">9．排水（雨水）工程为 </w:t>
      </w:r>
      <w:r>
        <w:rPr>
          <w:rStyle w:val="29"/>
          <w:rFonts w:hint="eastAsia" w:ascii="Times New Roman" w:hAnsi="宋体" w:eastAsia="宋体" w:cs="宋体"/>
          <w:color w:val="auto"/>
          <w:szCs w:val="21"/>
          <w:highlight w:val="none"/>
          <w:u w:val="single"/>
        </w:rPr>
        <w:t xml:space="preserve"> 3 </w:t>
      </w:r>
      <w:r>
        <w:rPr>
          <w:rStyle w:val="29"/>
          <w:rFonts w:hint="eastAsia" w:ascii="Times New Roman" w:hAnsi="宋体" w:eastAsia="宋体" w:cs="宋体"/>
          <w:color w:val="auto"/>
          <w:szCs w:val="21"/>
          <w:highlight w:val="none"/>
        </w:rPr>
        <w:t xml:space="preserve">  年（建议道路工程中的排水工程为3年）；</w:t>
      </w:r>
    </w:p>
    <w:p w14:paraId="34DEDB89">
      <w:pPr>
        <w:pStyle w:val="56"/>
        <w:keepNext w:val="0"/>
        <w:keepLines w:val="0"/>
        <w:pageBreakBefore w:val="0"/>
        <w:widowControl w:val="0"/>
        <w:wordWrap/>
        <w:topLinePunct w:val="0"/>
        <w:bidi w:val="0"/>
        <w:spacing w:line="360" w:lineRule="auto"/>
        <w:ind w:firstLine="420"/>
        <w:rPr>
          <w:rStyle w:val="29"/>
          <w:rFonts w:hint="eastAsia" w:ascii="Times New Roman" w:hAnsi="宋体" w:eastAsia="宋体" w:cs="宋体"/>
          <w:color w:val="auto"/>
          <w:szCs w:val="21"/>
          <w:highlight w:val="none"/>
        </w:rPr>
      </w:pPr>
      <w:r>
        <w:rPr>
          <w:rStyle w:val="29"/>
          <w:rFonts w:hint="eastAsia" w:ascii="Times New Roman" w:hAnsi="宋体" w:eastAsia="宋体" w:cs="宋体"/>
          <w:color w:val="auto"/>
          <w:szCs w:val="21"/>
          <w:highlight w:val="none"/>
        </w:rPr>
        <w:t>10．绿化工程为单位工程竣工验收合格后  1 年；</w:t>
      </w:r>
    </w:p>
    <w:p w14:paraId="0300B94A">
      <w:pPr>
        <w:pStyle w:val="56"/>
        <w:keepNext w:val="0"/>
        <w:keepLines w:val="0"/>
        <w:pageBreakBefore w:val="0"/>
        <w:widowControl w:val="0"/>
        <w:wordWrap/>
        <w:topLinePunct w:val="0"/>
        <w:bidi w:val="0"/>
        <w:spacing w:line="360" w:lineRule="auto"/>
        <w:ind w:firstLine="420"/>
        <w:rPr>
          <w:rStyle w:val="29"/>
          <w:rFonts w:hint="eastAsia" w:ascii="Times New Roman" w:hAnsi="宋体" w:eastAsia="宋体" w:cs="宋体"/>
          <w:color w:val="auto"/>
          <w:szCs w:val="21"/>
          <w:highlight w:val="none"/>
        </w:rPr>
      </w:pPr>
      <w:r>
        <w:rPr>
          <w:rStyle w:val="29"/>
          <w:rFonts w:hint="eastAsia" w:ascii="Times New Roman" w:hAnsi="宋体" w:eastAsia="宋体" w:cs="宋体"/>
          <w:color w:val="auto"/>
          <w:szCs w:val="21"/>
          <w:highlight w:val="none"/>
        </w:rPr>
        <w:t xml:space="preserve">11. 地下防水工程为 </w:t>
      </w:r>
      <w:r>
        <w:rPr>
          <w:rStyle w:val="29"/>
          <w:rFonts w:hint="eastAsia" w:ascii="Times New Roman" w:hAnsi="宋体" w:eastAsia="宋体" w:cs="宋体"/>
          <w:color w:val="auto"/>
          <w:szCs w:val="21"/>
          <w:highlight w:val="none"/>
          <w:u w:val="single"/>
        </w:rPr>
        <w:t xml:space="preserve">  5 </w:t>
      </w:r>
      <w:r>
        <w:rPr>
          <w:rStyle w:val="29"/>
          <w:rFonts w:hint="eastAsia" w:ascii="Times New Roman" w:hAnsi="宋体" w:eastAsia="宋体" w:cs="宋体"/>
          <w:color w:val="auto"/>
          <w:szCs w:val="21"/>
          <w:highlight w:val="none"/>
        </w:rPr>
        <w:t xml:space="preserve"> 年（建议为5年）；</w:t>
      </w:r>
    </w:p>
    <w:p w14:paraId="4292B379">
      <w:pPr>
        <w:pStyle w:val="21"/>
        <w:keepNext w:val="0"/>
        <w:keepLines w:val="0"/>
        <w:pageBreakBefore w:val="0"/>
        <w:widowControl w:val="0"/>
        <w:wordWrap/>
        <w:topLinePunct w:val="0"/>
        <w:bidi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其他项目保修期限约定如下：</w:t>
      </w:r>
      <w:r>
        <w:rPr>
          <w:rFonts w:hint="eastAsia" w:ascii="宋体" w:hAnsi="宋体" w:cs="宋体"/>
          <w:color w:val="auto"/>
          <w:szCs w:val="21"/>
          <w:highlight w:val="none"/>
          <w:u w:val="single"/>
        </w:rPr>
        <w:t xml:space="preserve"> 本工程其余项目质保期均为两年，质量保修规范如国家有新规定，则按新规定执行 </w:t>
      </w:r>
      <w:r>
        <w:rPr>
          <w:rFonts w:hint="eastAsia" w:ascii="宋体" w:hAnsi="宋体" w:cs="宋体"/>
          <w:color w:val="auto"/>
          <w:szCs w:val="21"/>
          <w:highlight w:val="none"/>
        </w:rPr>
        <w:t>。</w:t>
      </w:r>
    </w:p>
    <w:p w14:paraId="2DBDEA5C">
      <w:pPr>
        <w:pStyle w:val="21"/>
        <w:keepNext w:val="0"/>
        <w:keepLines w:val="0"/>
        <w:pageBreakBefore w:val="0"/>
        <w:widowControl w:val="0"/>
        <w:wordWrap/>
        <w:topLinePunct w:val="0"/>
        <w:bidi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质量保修期自工程竣工验收合格之日起计算。 </w:t>
      </w:r>
    </w:p>
    <w:p w14:paraId="72149736">
      <w:pPr>
        <w:pStyle w:val="54"/>
        <w:keepNext w:val="0"/>
        <w:keepLines w:val="0"/>
        <w:pageBreakBefore w:val="0"/>
        <w:widowControl w:val="0"/>
        <w:wordWrap/>
        <w:topLinePunct w:val="0"/>
        <w:bidi w:val="0"/>
        <w:spacing w:line="400" w:lineRule="exact"/>
        <w:ind w:firstLine="420" w:firstLineChars="200"/>
        <w:outlineLvl w:val="9"/>
        <w:rPr>
          <w:rFonts w:ascii="宋体" w:hAnsi="宋体" w:cs="宋体"/>
          <w:color w:val="auto"/>
          <w:szCs w:val="21"/>
          <w:highlight w:val="none"/>
        </w:rPr>
      </w:pPr>
      <w:bookmarkStart w:id="1885" w:name="_Toc15923"/>
      <w:r>
        <w:rPr>
          <w:rFonts w:hint="eastAsia" w:ascii="宋体" w:hAnsi="宋体" w:cs="宋体"/>
          <w:color w:val="auto"/>
          <w:szCs w:val="21"/>
          <w:highlight w:val="none"/>
        </w:rPr>
        <w:t>三、缺陷责任期</w:t>
      </w:r>
      <w:bookmarkEnd w:id="1885"/>
    </w:p>
    <w:p w14:paraId="13ABF88A">
      <w:pPr>
        <w:pStyle w:val="21"/>
        <w:keepNext w:val="0"/>
        <w:keepLines w:val="0"/>
        <w:pageBreakBefore w:val="0"/>
        <w:widowControl w:val="0"/>
        <w:wordWrap/>
        <w:topLinePunct w:val="0"/>
        <w:bidi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工程缺陷责任期为</w:t>
      </w:r>
      <w:r>
        <w:rPr>
          <w:rFonts w:hint="eastAsia" w:ascii="宋体" w:hAnsi="宋体" w:cs="宋体"/>
          <w:color w:val="auto"/>
          <w:szCs w:val="21"/>
          <w:highlight w:val="none"/>
          <w:u w:val="single"/>
        </w:rPr>
        <w:t xml:space="preserve"> 24 </w:t>
      </w:r>
      <w:r>
        <w:rPr>
          <w:rFonts w:hint="eastAsia" w:ascii="宋体" w:hAnsi="宋体" w:cs="宋体"/>
          <w:color w:val="auto"/>
          <w:szCs w:val="21"/>
          <w:highlight w:val="none"/>
        </w:rPr>
        <w:t>个月（最长不超过24个月），缺陷责任期自工程竣工验收合格之日起计算。单位工程先于全部工程进行验收，单位工程缺陷责任期自单位工程验收合格之日起算。</w:t>
      </w:r>
    </w:p>
    <w:p w14:paraId="458923CA">
      <w:pPr>
        <w:pStyle w:val="21"/>
        <w:keepNext w:val="0"/>
        <w:keepLines w:val="0"/>
        <w:pageBreakBefore w:val="0"/>
        <w:widowControl w:val="0"/>
        <w:wordWrap/>
        <w:topLinePunct w:val="0"/>
        <w:bidi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缺陷责任期终止后，发包人应退还剩余的质量保证金。</w:t>
      </w:r>
    </w:p>
    <w:p w14:paraId="6598D9D0">
      <w:pPr>
        <w:pStyle w:val="54"/>
        <w:keepNext w:val="0"/>
        <w:keepLines w:val="0"/>
        <w:pageBreakBefore w:val="0"/>
        <w:widowControl w:val="0"/>
        <w:wordWrap/>
        <w:topLinePunct w:val="0"/>
        <w:bidi w:val="0"/>
        <w:spacing w:line="400" w:lineRule="exact"/>
        <w:ind w:firstLine="420" w:firstLineChars="200"/>
        <w:outlineLvl w:val="9"/>
        <w:rPr>
          <w:rFonts w:ascii="宋体" w:hAnsi="宋体" w:cs="宋体"/>
          <w:color w:val="auto"/>
          <w:szCs w:val="21"/>
          <w:highlight w:val="none"/>
        </w:rPr>
      </w:pPr>
      <w:bookmarkStart w:id="1886" w:name="_Toc15183"/>
      <w:r>
        <w:rPr>
          <w:rFonts w:hint="eastAsia" w:ascii="宋体" w:hAnsi="宋体" w:cs="宋体"/>
          <w:color w:val="auto"/>
          <w:szCs w:val="21"/>
          <w:highlight w:val="none"/>
        </w:rPr>
        <w:t>四、质量保修责任</w:t>
      </w:r>
      <w:bookmarkEnd w:id="1886"/>
    </w:p>
    <w:p w14:paraId="2D2FE143">
      <w:pPr>
        <w:pStyle w:val="21"/>
        <w:keepNext w:val="0"/>
        <w:keepLines w:val="0"/>
        <w:pageBreakBefore w:val="0"/>
        <w:widowControl w:val="0"/>
        <w:wordWrap/>
        <w:topLinePunct w:val="0"/>
        <w:bidi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1．属于保修范围、内容的项目，承包人应当在接到保修通知之日起</w:t>
      </w:r>
      <w:r>
        <w:rPr>
          <w:rFonts w:hint="eastAsia" w:ascii="宋体" w:hAnsi="宋体" w:cs="宋体"/>
          <w:color w:val="auto"/>
          <w:szCs w:val="21"/>
          <w:highlight w:val="none"/>
          <w:u w:val="single"/>
        </w:rPr>
        <w:t xml:space="preserve">  三 </w:t>
      </w:r>
      <w:r>
        <w:rPr>
          <w:rFonts w:hint="eastAsia" w:ascii="宋体" w:hAnsi="宋体" w:cs="宋体"/>
          <w:color w:val="auto"/>
          <w:szCs w:val="21"/>
          <w:highlight w:val="none"/>
        </w:rPr>
        <w:t>天内派人保修。承包人不在约定期限内派人保修的，发包人可以委托他人修理，修理费用从</w:t>
      </w:r>
      <w:r>
        <w:rPr>
          <w:rFonts w:hint="eastAsia" w:ascii="宋体" w:hAnsi="宋体" w:cs="宋体"/>
          <w:color w:val="auto"/>
          <w:szCs w:val="21"/>
          <w:highlight w:val="none"/>
          <w:lang w:eastAsia="zh-CN"/>
        </w:rPr>
        <w:t>质量保证金</w:t>
      </w:r>
      <w:r>
        <w:rPr>
          <w:rFonts w:hint="eastAsia" w:ascii="宋体" w:hAnsi="宋体" w:cs="宋体"/>
          <w:color w:val="auto"/>
          <w:szCs w:val="21"/>
          <w:highlight w:val="none"/>
        </w:rPr>
        <w:t>内扣除。</w:t>
      </w:r>
    </w:p>
    <w:p w14:paraId="1EBCA79C">
      <w:pPr>
        <w:pStyle w:val="21"/>
        <w:keepNext w:val="0"/>
        <w:keepLines w:val="0"/>
        <w:pageBreakBefore w:val="0"/>
        <w:widowControl w:val="0"/>
        <w:wordWrap/>
        <w:topLinePunct w:val="0"/>
        <w:bidi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2．发生紧急事故需抢修的，承包人在接到事故通知后，应当立即到达事故现场抢修。</w:t>
      </w:r>
    </w:p>
    <w:p w14:paraId="532EDAD5">
      <w:pPr>
        <w:pStyle w:val="21"/>
        <w:keepNext w:val="0"/>
        <w:keepLines w:val="0"/>
        <w:pageBreakBefore w:val="0"/>
        <w:widowControl w:val="0"/>
        <w:wordWrap/>
        <w:topLinePunct w:val="0"/>
        <w:bidi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5F190A17">
      <w:pPr>
        <w:pStyle w:val="21"/>
        <w:keepNext w:val="0"/>
        <w:keepLines w:val="0"/>
        <w:pageBreakBefore w:val="0"/>
        <w:widowControl w:val="0"/>
        <w:wordWrap/>
        <w:topLinePunct w:val="0"/>
        <w:bidi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4．质量保修完成后，由发包人组织验收。</w:t>
      </w:r>
    </w:p>
    <w:p w14:paraId="603FB120">
      <w:pPr>
        <w:pStyle w:val="54"/>
        <w:keepNext w:val="0"/>
        <w:keepLines w:val="0"/>
        <w:pageBreakBefore w:val="0"/>
        <w:widowControl w:val="0"/>
        <w:wordWrap/>
        <w:topLinePunct w:val="0"/>
        <w:bidi w:val="0"/>
        <w:spacing w:line="400" w:lineRule="exact"/>
        <w:ind w:firstLine="420" w:firstLineChars="200"/>
        <w:outlineLvl w:val="9"/>
        <w:rPr>
          <w:rFonts w:ascii="宋体" w:hAnsi="宋体" w:cs="宋体"/>
          <w:color w:val="auto"/>
          <w:szCs w:val="21"/>
          <w:highlight w:val="none"/>
        </w:rPr>
      </w:pPr>
      <w:bookmarkStart w:id="1887" w:name="_Toc30389"/>
      <w:r>
        <w:rPr>
          <w:rFonts w:hint="eastAsia" w:ascii="宋体" w:hAnsi="宋体" w:cs="宋体"/>
          <w:color w:val="auto"/>
          <w:szCs w:val="21"/>
          <w:highlight w:val="none"/>
        </w:rPr>
        <w:t>五、保修费用</w:t>
      </w:r>
      <w:bookmarkEnd w:id="1887"/>
    </w:p>
    <w:p w14:paraId="12B3C674">
      <w:pPr>
        <w:pStyle w:val="21"/>
        <w:keepNext w:val="0"/>
        <w:keepLines w:val="0"/>
        <w:pageBreakBefore w:val="0"/>
        <w:widowControl w:val="0"/>
        <w:wordWrap/>
        <w:topLinePunct w:val="0"/>
        <w:bidi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保修费用由造成质量缺陷的责任方承担。</w:t>
      </w:r>
    </w:p>
    <w:p w14:paraId="6AD0EF09">
      <w:pPr>
        <w:pStyle w:val="51"/>
        <w:keepNext w:val="0"/>
        <w:keepLines w:val="0"/>
        <w:pageBreakBefore w:val="0"/>
        <w:widowControl w:val="0"/>
        <w:numPr>
          <w:ilvl w:val="0"/>
          <w:numId w:val="7"/>
        </w:numPr>
        <w:wordWrap/>
        <w:topLinePunct w:val="0"/>
        <w:bidi w:val="0"/>
        <w:spacing w:line="400" w:lineRule="exact"/>
        <w:rPr>
          <w:rFonts w:ascii="宋体" w:hAnsi="宋体" w:cs="宋体"/>
          <w:color w:val="auto"/>
          <w:highlight w:val="none"/>
          <w:u w:val="single"/>
        </w:rPr>
      </w:pPr>
      <w:r>
        <w:rPr>
          <w:rFonts w:hint="eastAsia" w:ascii="宋体" w:hAnsi="宋体" w:cs="宋体"/>
          <w:color w:val="auto"/>
          <w:highlight w:val="none"/>
        </w:rPr>
        <w:t xml:space="preserve">双方约定的其他工程质量保修事项：  1. </w:t>
      </w:r>
      <w:r>
        <w:rPr>
          <w:rFonts w:hint="eastAsia" w:ascii="宋体" w:hAnsi="宋体" w:cs="宋体"/>
          <w:color w:val="auto"/>
          <w:highlight w:val="none"/>
          <w:u w:val="single"/>
        </w:rPr>
        <w:t>承包人未按照法律法规有关规定和合同约定履行质量保修义务的，发包人有权从质量保证金中扣留用于质量保修的各项支出。</w:t>
      </w:r>
    </w:p>
    <w:p w14:paraId="0A64A48C">
      <w:pPr>
        <w:pStyle w:val="51"/>
        <w:keepNext w:val="0"/>
        <w:keepLines w:val="0"/>
        <w:pageBreakBefore w:val="0"/>
        <w:widowControl w:val="0"/>
        <w:numPr>
          <w:ilvl w:val="0"/>
          <w:numId w:val="8"/>
        </w:numPr>
        <w:wordWrap/>
        <w:topLinePunct w:val="0"/>
        <w:bidi w:val="0"/>
        <w:spacing w:line="400" w:lineRule="exact"/>
        <w:rPr>
          <w:rFonts w:ascii="宋体" w:hAnsi="宋体" w:cs="宋体"/>
          <w:color w:val="auto"/>
          <w:highlight w:val="none"/>
          <w:u w:val="single"/>
        </w:rPr>
      </w:pPr>
      <w:r>
        <w:rPr>
          <w:rFonts w:hint="eastAsia" w:ascii="宋体" w:hAnsi="宋体" w:cs="宋体"/>
          <w:color w:val="auto"/>
          <w:highlight w:val="none"/>
          <w:u w:val="single"/>
          <w:lang w:eastAsia="zh-CN"/>
        </w:rPr>
        <w:t>质量保证金</w:t>
      </w:r>
      <w:r>
        <w:rPr>
          <w:rFonts w:hint="eastAsia" w:ascii="宋体" w:hAnsi="宋体" w:cs="宋体"/>
          <w:color w:val="auto"/>
          <w:highlight w:val="none"/>
          <w:u w:val="single"/>
        </w:rPr>
        <w:t>比例：工程结算价的</w:t>
      </w:r>
      <w:r>
        <w:rPr>
          <w:rFonts w:hint="eastAsia" w:ascii="宋体" w:hAnsi="宋体" w:cs="宋体"/>
          <w:color w:val="auto"/>
          <w:highlight w:val="none"/>
          <w:u w:val="single"/>
          <w:lang w:val="en-US" w:eastAsia="zh-CN"/>
        </w:rPr>
        <w:t>3</w:t>
      </w:r>
      <w:r>
        <w:rPr>
          <w:rFonts w:hint="eastAsia" w:ascii="宋体" w:hAnsi="宋体" w:cs="宋体"/>
          <w:color w:val="auto"/>
          <w:highlight w:val="none"/>
          <w:u w:val="single"/>
        </w:rPr>
        <w:t>%。</w:t>
      </w:r>
    </w:p>
    <w:p w14:paraId="109CBD80">
      <w:pPr>
        <w:pStyle w:val="51"/>
        <w:keepNext w:val="0"/>
        <w:keepLines w:val="0"/>
        <w:pageBreakBefore w:val="0"/>
        <w:widowControl w:val="0"/>
        <w:numPr>
          <w:ilvl w:val="0"/>
          <w:numId w:val="8"/>
        </w:numPr>
        <w:wordWrap/>
        <w:topLinePunct w:val="0"/>
        <w:bidi w:val="0"/>
        <w:spacing w:line="400" w:lineRule="exact"/>
        <w:rPr>
          <w:rFonts w:ascii="宋体" w:hAnsi="宋体" w:cs="宋体"/>
          <w:color w:val="auto"/>
          <w:highlight w:val="none"/>
        </w:rPr>
      </w:pPr>
      <w:r>
        <w:rPr>
          <w:rFonts w:hint="eastAsia" w:ascii="宋体" w:hAnsi="宋体" w:cs="宋体"/>
          <w:color w:val="auto"/>
          <w:highlight w:val="none"/>
          <w:u w:val="single"/>
          <w:lang w:eastAsia="zh-CN"/>
        </w:rPr>
        <w:t>质量保证金</w:t>
      </w:r>
      <w:r>
        <w:rPr>
          <w:rFonts w:hint="eastAsia" w:ascii="宋体" w:hAnsi="宋体" w:cs="宋体"/>
          <w:color w:val="auto"/>
          <w:highlight w:val="none"/>
          <w:u w:val="single"/>
        </w:rPr>
        <w:t>返还：发包人在工程竣工验收合格之日起满两年后14天内将保修金（无息）的返回给承包人，</w:t>
      </w:r>
      <w:r>
        <w:rPr>
          <w:rFonts w:hint="eastAsia" w:ascii="宋体" w:hAnsi="宋体" w:cs="宋体"/>
          <w:color w:val="auto"/>
          <w:highlight w:val="none"/>
          <w:u w:val="single"/>
          <w:lang w:eastAsia="zh-CN"/>
        </w:rPr>
        <w:t>质量保证金</w:t>
      </w:r>
      <w:r>
        <w:rPr>
          <w:rFonts w:hint="eastAsia" w:ascii="宋体" w:hAnsi="宋体" w:cs="宋体"/>
          <w:color w:val="auto"/>
          <w:highlight w:val="none"/>
          <w:u w:val="single"/>
        </w:rPr>
        <w:t xml:space="preserve">的返还，并不能免除承包人按照合同约定应承担的质量保修责任和应履行的质量保修义务  </w:t>
      </w:r>
      <w:r>
        <w:rPr>
          <w:rFonts w:hint="eastAsia" w:ascii="宋体" w:hAnsi="宋体" w:cs="宋体"/>
          <w:color w:val="auto"/>
          <w:highlight w:val="none"/>
        </w:rPr>
        <w:t>。</w:t>
      </w:r>
    </w:p>
    <w:p w14:paraId="644281D4">
      <w:pPr>
        <w:pStyle w:val="21"/>
        <w:keepNext w:val="0"/>
        <w:keepLines w:val="0"/>
        <w:pageBreakBefore w:val="0"/>
        <w:widowControl w:val="0"/>
        <w:wordWrap/>
        <w:topLinePunct w:val="0"/>
        <w:bidi w:val="0"/>
        <w:spacing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工程质量保修书由发包人、承包人在工程竣工验收前共同签署，作为施工合同附件，其有效期限至保修期满。</w:t>
      </w:r>
    </w:p>
    <w:p w14:paraId="321EA6D8">
      <w:pPr>
        <w:pStyle w:val="21"/>
        <w:keepNext w:val="0"/>
        <w:keepLines w:val="0"/>
        <w:pageBreakBefore w:val="0"/>
        <w:widowControl w:val="0"/>
        <w:wordWrap/>
        <w:topLinePunct w:val="0"/>
        <w:bidi w:val="0"/>
        <w:spacing w:line="320" w:lineRule="exact"/>
        <w:ind w:firstLine="420" w:firstLineChars="200"/>
        <w:rPr>
          <w:rFonts w:ascii="宋体" w:hAnsi="宋体" w:cs="宋体"/>
          <w:color w:val="auto"/>
          <w:szCs w:val="21"/>
          <w:highlight w:val="none"/>
        </w:rPr>
      </w:pPr>
    </w:p>
    <w:p w14:paraId="42AA8A7C">
      <w:pPr>
        <w:pStyle w:val="20"/>
        <w:keepNext w:val="0"/>
        <w:keepLines w:val="0"/>
        <w:pageBreakBefore w:val="0"/>
        <w:widowControl w:val="0"/>
        <w:wordWrap/>
        <w:topLinePunct w:val="0"/>
        <w:bidi w:val="0"/>
        <w:ind w:left="63" w:right="63"/>
        <w:rPr>
          <w:rFonts w:hint="eastAsia"/>
          <w:color w:val="auto"/>
          <w:highlight w:val="none"/>
          <w:lang w:val="en-US" w:eastAsia="zh-CN"/>
        </w:rPr>
      </w:pPr>
    </w:p>
    <w:p w14:paraId="50009CF8">
      <w:pPr>
        <w:pStyle w:val="51"/>
        <w:keepNext w:val="0"/>
        <w:keepLines w:val="0"/>
        <w:pageBreakBefore w:val="0"/>
        <w:widowControl w:val="0"/>
        <w:wordWrap/>
        <w:topLinePunct w:val="0"/>
        <w:bidi w:val="0"/>
        <w:spacing w:line="320" w:lineRule="exact"/>
        <w:ind w:left="0" w:leftChars="0" w:firstLine="0" w:firstLineChars="0"/>
        <w:rPr>
          <w:rFonts w:hint="default" w:ascii="宋体" w:hAnsi="宋体" w:eastAsia="宋体" w:cs="宋体"/>
          <w:color w:val="auto"/>
          <w:highlight w:val="none"/>
          <w:u w:val="single"/>
          <w:lang w:val="en-US" w:eastAsia="zh-CN"/>
        </w:rPr>
      </w:pPr>
      <w:r>
        <w:rPr>
          <w:rFonts w:hint="eastAsia" w:ascii="宋体" w:hAnsi="宋体" w:cs="宋体"/>
          <w:color w:val="auto"/>
          <w:highlight w:val="none"/>
        </w:rPr>
        <w:t>发包人(公章)：</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u w:val="none"/>
          <w:lang w:val="en-US" w:eastAsia="zh-CN"/>
        </w:rPr>
        <w:t xml:space="preserve">                </w:t>
      </w:r>
      <w:r>
        <w:rPr>
          <w:rFonts w:hint="eastAsia" w:ascii="宋体" w:hAnsi="宋体" w:cs="宋体"/>
          <w:color w:val="auto"/>
          <w:highlight w:val="none"/>
        </w:rPr>
        <w:t>承包人(公章)：</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u w:val="none"/>
          <w:lang w:val="en-US" w:eastAsia="zh-CN"/>
        </w:rPr>
        <w:t xml:space="preserve"> </w:t>
      </w:r>
    </w:p>
    <w:p w14:paraId="22DA710D">
      <w:pPr>
        <w:pStyle w:val="51"/>
        <w:keepNext w:val="0"/>
        <w:keepLines w:val="0"/>
        <w:pageBreakBefore w:val="0"/>
        <w:widowControl w:val="0"/>
        <w:wordWrap/>
        <w:topLinePunct w:val="0"/>
        <w:bidi w:val="0"/>
        <w:spacing w:line="320" w:lineRule="exact"/>
        <w:ind w:left="0" w:leftChars="0" w:firstLine="0" w:firstLineChars="0"/>
        <w:rPr>
          <w:rFonts w:ascii="宋体" w:hAnsi="宋体" w:cs="宋体"/>
          <w:color w:val="auto"/>
          <w:highlight w:val="none"/>
        </w:rPr>
      </w:pPr>
      <w:r>
        <w:rPr>
          <w:rFonts w:hint="eastAsia" w:ascii="宋体" w:hAnsi="宋体" w:cs="宋体"/>
          <w:color w:val="auto"/>
          <w:highlight w:val="none"/>
        </w:rPr>
        <w:t xml:space="preserve"> </w:t>
      </w:r>
    </w:p>
    <w:p w14:paraId="674669BD">
      <w:pPr>
        <w:pStyle w:val="51"/>
        <w:keepNext w:val="0"/>
        <w:keepLines w:val="0"/>
        <w:pageBreakBefore w:val="0"/>
        <w:widowControl w:val="0"/>
        <w:wordWrap/>
        <w:topLinePunct w:val="0"/>
        <w:bidi w:val="0"/>
        <w:spacing w:line="320" w:lineRule="exact"/>
        <w:ind w:left="0" w:leftChars="0" w:firstLine="0" w:firstLineChars="0"/>
        <w:rPr>
          <w:rFonts w:hint="eastAsia" w:ascii="宋体" w:hAnsi="宋体" w:eastAsia="宋体" w:cs="宋体"/>
          <w:color w:val="auto"/>
          <w:highlight w:val="none"/>
          <w:lang w:eastAsia="zh-CN"/>
        </w:rPr>
      </w:pPr>
      <w:r>
        <w:rPr>
          <w:rFonts w:hint="eastAsia" w:ascii="宋体" w:hAnsi="宋体" w:cs="宋体"/>
          <w:color w:val="auto"/>
          <w:highlight w:val="none"/>
        </w:rPr>
        <w:t>地  址：</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rPr>
        <w:t xml:space="preserve"> </w:t>
      </w:r>
      <w:r>
        <w:rPr>
          <w:rFonts w:hint="eastAsia" w:ascii="宋体" w:hAnsi="宋体" w:cs="宋体"/>
          <w:color w:val="auto"/>
          <w:highlight w:val="none"/>
          <w:lang w:val="en-US" w:eastAsia="zh-CN"/>
        </w:rPr>
        <w:t xml:space="preserve">  </w:t>
      </w:r>
      <w:r>
        <w:rPr>
          <w:rFonts w:hint="eastAsia" w:ascii="宋体" w:hAnsi="宋体" w:cs="宋体"/>
          <w:color w:val="auto"/>
          <w:highlight w:val="none"/>
        </w:rPr>
        <w:t xml:space="preserve">   </w:t>
      </w:r>
      <w:r>
        <w:rPr>
          <w:rFonts w:hint="eastAsia" w:ascii="宋体" w:hAnsi="宋体" w:cs="宋体"/>
          <w:color w:val="auto"/>
          <w:highlight w:val="none"/>
          <w:lang w:val="en-US" w:eastAsia="zh-CN"/>
        </w:rPr>
        <w:t xml:space="preserve">          </w:t>
      </w:r>
      <w:r>
        <w:rPr>
          <w:rFonts w:hint="eastAsia" w:ascii="宋体" w:hAnsi="宋体" w:cs="宋体"/>
          <w:color w:val="auto"/>
          <w:highlight w:val="none"/>
        </w:rPr>
        <w:t>地  址：</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u w:val="none"/>
          <w:lang w:val="en-US" w:eastAsia="zh-CN"/>
        </w:rPr>
        <w:t xml:space="preserve"> </w:t>
      </w:r>
    </w:p>
    <w:p w14:paraId="6EAE4714">
      <w:pPr>
        <w:pStyle w:val="51"/>
        <w:keepNext w:val="0"/>
        <w:keepLines w:val="0"/>
        <w:pageBreakBefore w:val="0"/>
        <w:widowControl w:val="0"/>
        <w:wordWrap/>
        <w:topLinePunct w:val="0"/>
        <w:bidi w:val="0"/>
        <w:spacing w:line="320" w:lineRule="exact"/>
        <w:ind w:left="0" w:leftChars="0" w:firstLine="0" w:firstLineChars="0"/>
        <w:rPr>
          <w:rFonts w:hint="eastAsia" w:ascii="宋体" w:hAnsi="宋体" w:cs="宋体"/>
          <w:color w:val="auto"/>
          <w:highlight w:val="none"/>
        </w:rPr>
      </w:pPr>
    </w:p>
    <w:p w14:paraId="3EE7E3F3">
      <w:pPr>
        <w:pStyle w:val="51"/>
        <w:keepNext w:val="0"/>
        <w:keepLines w:val="0"/>
        <w:pageBreakBefore w:val="0"/>
        <w:widowControl w:val="0"/>
        <w:wordWrap/>
        <w:topLinePunct w:val="0"/>
        <w:bidi w:val="0"/>
        <w:spacing w:line="320" w:lineRule="exact"/>
        <w:ind w:left="0" w:leftChars="0" w:firstLine="0" w:firstLineChars="0"/>
        <w:rPr>
          <w:rFonts w:hint="eastAsia" w:ascii="宋体" w:hAnsi="宋体" w:eastAsia="宋体" w:cs="宋体"/>
          <w:color w:val="auto"/>
          <w:highlight w:val="none"/>
          <w:lang w:eastAsia="zh-CN"/>
        </w:rPr>
      </w:pPr>
      <w:r>
        <w:rPr>
          <w:rFonts w:hint="eastAsia" w:ascii="宋体" w:hAnsi="宋体" w:cs="宋体"/>
          <w:color w:val="auto"/>
          <w:highlight w:val="none"/>
        </w:rPr>
        <w:t>法定代表人</w:t>
      </w:r>
      <w:r>
        <w:rPr>
          <w:rFonts w:hint="eastAsia" w:ascii="宋体" w:hAnsi="宋体" w:cs="宋体"/>
          <w:color w:val="auto"/>
          <w:highlight w:val="none"/>
          <w:lang w:eastAsia="zh-CN"/>
        </w:rPr>
        <w:t>或</w:t>
      </w:r>
      <w:r>
        <w:rPr>
          <w:rFonts w:hint="eastAsia" w:ascii="宋体" w:hAnsi="宋体" w:cs="宋体"/>
          <w:color w:val="auto"/>
          <w:highlight w:val="none"/>
        </w:rPr>
        <w:t xml:space="preserve">委托代理人    </w:t>
      </w:r>
      <w:r>
        <w:rPr>
          <w:rFonts w:hint="eastAsia" w:ascii="宋体" w:hAnsi="宋体" w:cs="宋体"/>
          <w:color w:val="auto"/>
          <w:highlight w:val="none"/>
          <w:lang w:val="en-US" w:eastAsia="zh-CN"/>
        </w:rPr>
        <w:t xml:space="preserve">                   </w:t>
      </w:r>
      <w:r>
        <w:rPr>
          <w:rFonts w:hint="eastAsia" w:ascii="宋体" w:hAnsi="宋体" w:cs="宋体"/>
          <w:color w:val="auto"/>
          <w:highlight w:val="none"/>
        </w:rPr>
        <w:t xml:space="preserve"> 法定代表人</w:t>
      </w:r>
      <w:r>
        <w:rPr>
          <w:rFonts w:hint="eastAsia" w:ascii="宋体" w:hAnsi="宋体" w:cs="宋体"/>
          <w:color w:val="auto"/>
          <w:highlight w:val="none"/>
          <w:lang w:eastAsia="zh-CN"/>
        </w:rPr>
        <w:t>或</w:t>
      </w:r>
      <w:r>
        <w:rPr>
          <w:rFonts w:hint="eastAsia" w:ascii="宋体" w:hAnsi="宋体" w:cs="宋体"/>
          <w:color w:val="auto"/>
          <w:highlight w:val="none"/>
        </w:rPr>
        <w:t>委托代理人</w:t>
      </w:r>
    </w:p>
    <w:p w14:paraId="62ABC13A">
      <w:pPr>
        <w:pStyle w:val="51"/>
        <w:keepNext w:val="0"/>
        <w:keepLines w:val="0"/>
        <w:pageBreakBefore w:val="0"/>
        <w:widowControl w:val="0"/>
        <w:wordWrap/>
        <w:topLinePunct w:val="0"/>
        <w:bidi w:val="0"/>
        <w:spacing w:line="320" w:lineRule="exact"/>
        <w:ind w:left="0" w:leftChars="0" w:firstLine="0" w:firstLineChars="0"/>
        <w:rPr>
          <w:rFonts w:hint="eastAsia" w:ascii="宋体" w:hAnsi="宋体" w:eastAsia="宋体" w:cs="宋体"/>
          <w:color w:val="auto"/>
          <w:highlight w:val="none"/>
          <w:lang w:val="en-US" w:eastAsia="zh-CN"/>
        </w:rPr>
      </w:pPr>
      <w:r>
        <w:rPr>
          <w:rFonts w:hint="eastAsia" w:ascii="宋体" w:hAnsi="宋体" w:cs="宋体"/>
          <w:color w:val="auto"/>
          <w:highlight w:val="none"/>
        </w:rPr>
        <w:t>(签字</w:t>
      </w:r>
      <w:r>
        <w:rPr>
          <w:rFonts w:hint="eastAsia" w:ascii="宋体" w:hAnsi="宋体" w:cs="宋体"/>
          <w:color w:val="auto"/>
          <w:highlight w:val="none"/>
          <w:lang w:eastAsia="zh-CN"/>
        </w:rPr>
        <w:t>或盖章</w:t>
      </w:r>
      <w:r>
        <w:rPr>
          <w:rFonts w:hint="eastAsia" w:ascii="宋体" w:hAnsi="宋体" w:cs="宋体"/>
          <w:color w:val="auto"/>
          <w:highlight w:val="none"/>
        </w:rPr>
        <w:t>)：</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w:t>
      </w:r>
      <w:r>
        <w:rPr>
          <w:rFonts w:hint="eastAsia" w:ascii="宋体" w:hAnsi="宋体" w:cs="宋体"/>
          <w:color w:val="auto"/>
          <w:highlight w:val="none"/>
          <w:lang w:val="en-US" w:eastAsia="zh-CN"/>
        </w:rPr>
        <w:t xml:space="preserve">                </w:t>
      </w:r>
      <w:r>
        <w:rPr>
          <w:rFonts w:hint="eastAsia" w:ascii="宋体" w:hAnsi="宋体" w:cs="宋体"/>
          <w:color w:val="auto"/>
          <w:highlight w:val="none"/>
        </w:rPr>
        <w:t>(签字</w:t>
      </w:r>
      <w:r>
        <w:rPr>
          <w:rFonts w:hint="eastAsia" w:ascii="宋体" w:hAnsi="宋体" w:cs="宋体"/>
          <w:color w:val="auto"/>
          <w:highlight w:val="none"/>
          <w:lang w:eastAsia="zh-CN"/>
        </w:rPr>
        <w:t>或盖章</w:t>
      </w:r>
      <w:r>
        <w:rPr>
          <w:rFonts w:hint="eastAsia" w:ascii="宋体" w:hAnsi="宋体" w:cs="宋体"/>
          <w:color w:val="auto"/>
          <w:highlight w:val="none"/>
        </w:rPr>
        <w:t>)：</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u w:val="none"/>
          <w:lang w:val="en-US" w:eastAsia="zh-CN"/>
        </w:rPr>
        <w:t xml:space="preserve"> </w:t>
      </w:r>
    </w:p>
    <w:p w14:paraId="3FD010D3">
      <w:pPr>
        <w:pStyle w:val="51"/>
        <w:keepNext w:val="0"/>
        <w:keepLines w:val="0"/>
        <w:pageBreakBefore w:val="0"/>
        <w:widowControl w:val="0"/>
        <w:wordWrap/>
        <w:topLinePunct w:val="0"/>
        <w:bidi w:val="0"/>
        <w:spacing w:line="320" w:lineRule="exact"/>
        <w:ind w:left="0" w:leftChars="0" w:firstLine="0" w:firstLineChars="0"/>
        <w:rPr>
          <w:rFonts w:hint="eastAsia" w:ascii="宋体" w:hAnsi="宋体" w:cs="宋体"/>
          <w:color w:val="auto"/>
          <w:highlight w:val="none"/>
        </w:rPr>
      </w:pPr>
    </w:p>
    <w:p w14:paraId="05E2CC1C">
      <w:pPr>
        <w:pStyle w:val="51"/>
        <w:keepNext w:val="0"/>
        <w:keepLines w:val="0"/>
        <w:pageBreakBefore w:val="0"/>
        <w:widowControl w:val="0"/>
        <w:wordWrap/>
        <w:topLinePunct w:val="0"/>
        <w:bidi w:val="0"/>
        <w:spacing w:line="320" w:lineRule="exact"/>
        <w:ind w:left="0" w:leftChars="0" w:firstLine="0" w:firstLineChars="0"/>
        <w:rPr>
          <w:rFonts w:ascii="宋体" w:hAnsi="宋体" w:cs="宋体"/>
          <w:color w:val="auto"/>
          <w:highlight w:val="none"/>
        </w:rPr>
      </w:pPr>
      <w:r>
        <w:rPr>
          <w:rFonts w:hint="eastAsia" w:ascii="宋体" w:hAnsi="宋体" w:cs="宋体"/>
          <w:color w:val="auto"/>
          <w:highlight w:val="none"/>
        </w:rPr>
        <w:t>电  话：</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rPr>
        <w:t xml:space="preserve">     </w:t>
      </w:r>
      <w:r>
        <w:rPr>
          <w:rFonts w:hint="eastAsia" w:ascii="宋体" w:hAnsi="宋体" w:cs="宋体"/>
          <w:color w:val="auto"/>
          <w:highlight w:val="none"/>
          <w:lang w:val="en-US" w:eastAsia="zh-CN"/>
        </w:rPr>
        <w:t xml:space="preserve">                </w:t>
      </w:r>
      <w:r>
        <w:rPr>
          <w:rFonts w:hint="eastAsia" w:ascii="宋体" w:hAnsi="宋体" w:cs="宋体"/>
          <w:color w:val="auto"/>
          <w:highlight w:val="none"/>
        </w:rPr>
        <w:t>电  话：</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u w:val="none"/>
          <w:lang w:val="en-US" w:eastAsia="zh-CN"/>
        </w:rPr>
        <w:t xml:space="preserve"> </w:t>
      </w:r>
    </w:p>
    <w:p w14:paraId="451B2C78">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p w14:paraId="2D35C062">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br w:type="page"/>
      </w:r>
      <w:r>
        <w:rPr>
          <w:rFonts w:hint="eastAsia" w:ascii="宋体" w:hAnsi="宋体" w:eastAsia="宋体" w:cs="宋体"/>
          <w:color w:val="auto"/>
          <w:sz w:val="21"/>
          <w:szCs w:val="21"/>
          <w:highlight w:val="none"/>
        </w:rPr>
        <w:t>附件4：</w:t>
      </w:r>
    </w:p>
    <w:p w14:paraId="53B92A2B">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主要建设工程文件目录</w:t>
      </w:r>
    </w:p>
    <w:p w14:paraId="133C9516">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bl>
      <w:tblPr>
        <w:tblStyle w:val="27"/>
        <w:tblpPr w:leftFromText="180" w:rightFromText="180" w:vertAnchor="text" w:horzAnchor="page" w:tblpX="1430" w:tblpY="14"/>
        <w:tblOverlap w:val="never"/>
        <w:tblW w:w="8727"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067"/>
        <w:gridCol w:w="1450"/>
        <w:gridCol w:w="1243"/>
        <w:gridCol w:w="1450"/>
        <w:gridCol w:w="1564"/>
      </w:tblGrid>
      <w:tr w14:paraId="5BBC4D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953" w:type="dxa"/>
            <w:tcBorders>
              <w:top w:val="single" w:color="auto" w:sz="12" w:space="0"/>
              <w:bottom w:val="double" w:color="auto" w:sz="6" w:space="0"/>
            </w:tcBorders>
            <w:noWrap w:val="0"/>
            <w:vAlign w:val="center"/>
          </w:tcPr>
          <w:p w14:paraId="4FA791EA">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文件名称</w:t>
            </w:r>
          </w:p>
        </w:tc>
        <w:tc>
          <w:tcPr>
            <w:tcW w:w="1067" w:type="dxa"/>
            <w:tcBorders>
              <w:top w:val="single" w:color="auto" w:sz="12" w:space="0"/>
              <w:bottom w:val="double" w:color="auto" w:sz="6" w:space="0"/>
            </w:tcBorders>
            <w:noWrap w:val="0"/>
            <w:vAlign w:val="center"/>
          </w:tcPr>
          <w:p w14:paraId="559433BE">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套数</w:t>
            </w:r>
          </w:p>
        </w:tc>
        <w:tc>
          <w:tcPr>
            <w:tcW w:w="1450" w:type="dxa"/>
            <w:tcBorders>
              <w:top w:val="single" w:color="auto" w:sz="12" w:space="0"/>
              <w:bottom w:val="double" w:color="auto" w:sz="6" w:space="0"/>
            </w:tcBorders>
            <w:noWrap w:val="0"/>
            <w:vAlign w:val="center"/>
          </w:tcPr>
          <w:p w14:paraId="0A7DF4B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费用（元）</w:t>
            </w:r>
          </w:p>
        </w:tc>
        <w:tc>
          <w:tcPr>
            <w:tcW w:w="1243" w:type="dxa"/>
            <w:tcBorders>
              <w:top w:val="single" w:color="auto" w:sz="12" w:space="0"/>
              <w:bottom w:val="double" w:color="auto" w:sz="6" w:space="0"/>
            </w:tcBorders>
            <w:noWrap w:val="0"/>
            <w:vAlign w:val="center"/>
          </w:tcPr>
          <w:p w14:paraId="1656484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质量</w:t>
            </w:r>
          </w:p>
        </w:tc>
        <w:tc>
          <w:tcPr>
            <w:tcW w:w="1450" w:type="dxa"/>
            <w:tcBorders>
              <w:top w:val="single" w:color="auto" w:sz="12" w:space="0"/>
              <w:bottom w:val="double" w:color="auto" w:sz="6" w:space="0"/>
            </w:tcBorders>
            <w:noWrap w:val="0"/>
            <w:vAlign w:val="top"/>
          </w:tcPr>
          <w:p w14:paraId="1AC2EB92">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移交时间</w:t>
            </w:r>
          </w:p>
        </w:tc>
        <w:tc>
          <w:tcPr>
            <w:tcW w:w="1564" w:type="dxa"/>
            <w:tcBorders>
              <w:top w:val="single" w:color="auto" w:sz="12" w:space="0"/>
              <w:bottom w:val="double" w:color="auto" w:sz="6" w:space="0"/>
            </w:tcBorders>
            <w:noWrap w:val="0"/>
            <w:vAlign w:val="top"/>
          </w:tcPr>
          <w:p w14:paraId="43509EA5">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责任人</w:t>
            </w:r>
          </w:p>
        </w:tc>
      </w:tr>
      <w:tr w14:paraId="742339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tcBorders>
              <w:top w:val="double" w:color="auto" w:sz="6" w:space="0"/>
              <w:bottom w:val="single" w:color="auto" w:sz="6" w:space="0"/>
            </w:tcBorders>
            <w:noWrap w:val="0"/>
            <w:vAlign w:val="center"/>
          </w:tcPr>
          <w:p w14:paraId="28AEA3F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067" w:type="dxa"/>
            <w:tcBorders>
              <w:top w:val="double" w:color="auto" w:sz="6" w:space="0"/>
              <w:bottom w:val="single" w:color="auto" w:sz="6" w:space="0"/>
            </w:tcBorders>
            <w:noWrap w:val="0"/>
            <w:vAlign w:val="center"/>
          </w:tcPr>
          <w:p w14:paraId="38BFE6CE">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50" w:type="dxa"/>
            <w:tcBorders>
              <w:top w:val="double" w:color="auto" w:sz="6" w:space="0"/>
              <w:bottom w:val="single" w:color="auto" w:sz="6" w:space="0"/>
            </w:tcBorders>
            <w:noWrap w:val="0"/>
            <w:vAlign w:val="center"/>
          </w:tcPr>
          <w:p w14:paraId="36141E4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243" w:type="dxa"/>
            <w:tcBorders>
              <w:top w:val="double" w:color="auto" w:sz="6" w:space="0"/>
              <w:bottom w:val="single" w:color="auto" w:sz="6" w:space="0"/>
            </w:tcBorders>
            <w:noWrap w:val="0"/>
            <w:vAlign w:val="center"/>
          </w:tcPr>
          <w:p w14:paraId="2576C7F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50" w:type="dxa"/>
            <w:tcBorders>
              <w:top w:val="double" w:color="auto" w:sz="6" w:space="0"/>
              <w:bottom w:val="single" w:color="auto" w:sz="6" w:space="0"/>
            </w:tcBorders>
            <w:noWrap w:val="0"/>
            <w:vAlign w:val="center"/>
          </w:tcPr>
          <w:p w14:paraId="282B15C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564" w:type="dxa"/>
            <w:tcBorders>
              <w:top w:val="double" w:color="auto" w:sz="6" w:space="0"/>
              <w:bottom w:val="single" w:color="auto" w:sz="6" w:space="0"/>
            </w:tcBorders>
            <w:noWrap w:val="0"/>
            <w:vAlign w:val="center"/>
          </w:tcPr>
          <w:p w14:paraId="43348F9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0444A5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tcBorders>
              <w:top w:val="nil"/>
            </w:tcBorders>
            <w:noWrap w:val="0"/>
            <w:vAlign w:val="center"/>
          </w:tcPr>
          <w:p w14:paraId="1E5C661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067" w:type="dxa"/>
            <w:tcBorders>
              <w:top w:val="nil"/>
            </w:tcBorders>
            <w:noWrap w:val="0"/>
            <w:vAlign w:val="center"/>
          </w:tcPr>
          <w:p w14:paraId="2C28885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50" w:type="dxa"/>
            <w:tcBorders>
              <w:top w:val="nil"/>
            </w:tcBorders>
            <w:noWrap w:val="0"/>
            <w:vAlign w:val="center"/>
          </w:tcPr>
          <w:p w14:paraId="02D9173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243" w:type="dxa"/>
            <w:tcBorders>
              <w:top w:val="nil"/>
            </w:tcBorders>
            <w:noWrap w:val="0"/>
            <w:vAlign w:val="center"/>
          </w:tcPr>
          <w:p w14:paraId="1C4EB9BE">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50" w:type="dxa"/>
            <w:tcBorders>
              <w:top w:val="nil"/>
            </w:tcBorders>
            <w:noWrap w:val="0"/>
            <w:vAlign w:val="center"/>
          </w:tcPr>
          <w:p w14:paraId="7612C16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564" w:type="dxa"/>
            <w:tcBorders>
              <w:top w:val="nil"/>
            </w:tcBorders>
            <w:noWrap w:val="0"/>
            <w:vAlign w:val="center"/>
          </w:tcPr>
          <w:p w14:paraId="30DDD38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6EB625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center"/>
          </w:tcPr>
          <w:p w14:paraId="2F86BC8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067" w:type="dxa"/>
            <w:noWrap w:val="0"/>
            <w:vAlign w:val="center"/>
          </w:tcPr>
          <w:p w14:paraId="194E4B9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50" w:type="dxa"/>
            <w:noWrap w:val="0"/>
            <w:vAlign w:val="center"/>
          </w:tcPr>
          <w:p w14:paraId="417E0EF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243" w:type="dxa"/>
            <w:noWrap w:val="0"/>
            <w:vAlign w:val="center"/>
          </w:tcPr>
          <w:p w14:paraId="4A2F69C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50" w:type="dxa"/>
            <w:noWrap w:val="0"/>
            <w:vAlign w:val="center"/>
          </w:tcPr>
          <w:p w14:paraId="0332753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564" w:type="dxa"/>
            <w:noWrap w:val="0"/>
            <w:vAlign w:val="center"/>
          </w:tcPr>
          <w:p w14:paraId="7426B30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41E1DE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center"/>
          </w:tcPr>
          <w:p w14:paraId="767884A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067" w:type="dxa"/>
            <w:noWrap w:val="0"/>
            <w:vAlign w:val="center"/>
          </w:tcPr>
          <w:p w14:paraId="024AE85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50" w:type="dxa"/>
            <w:noWrap w:val="0"/>
            <w:vAlign w:val="center"/>
          </w:tcPr>
          <w:p w14:paraId="3E544DF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243" w:type="dxa"/>
            <w:noWrap w:val="0"/>
            <w:vAlign w:val="center"/>
          </w:tcPr>
          <w:p w14:paraId="0860BA9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50" w:type="dxa"/>
            <w:noWrap w:val="0"/>
            <w:vAlign w:val="center"/>
          </w:tcPr>
          <w:p w14:paraId="131E6C6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564" w:type="dxa"/>
            <w:noWrap w:val="0"/>
            <w:vAlign w:val="center"/>
          </w:tcPr>
          <w:p w14:paraId="188462D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0822EC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center"/>
          </w:tcPr>
          <w:p w14:paraId="2752FADA">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067" w:type="dxa"/>
            <w:noWrap w:val="0"/>
            <w:vAlign w:val="center"/>
          </w:tcPr>
          <w:p w14:paraId="03E3A2E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50" w:type="dxa"/>
            <w:noWrap w:val="0"/>
            <w:vAlign w:val="center"/>
          </w:tcPr>
          <w:p w14:paraId="7D416A77">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243" w:type="dxa"/>
            <w:noWrap w:val="0"/>
            <w:vAlign w:val="center"/>
          </w:tcPr>
          <w:p w14:paraId="76D7488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50" w:type="dxa"/>
            <w:noWrap w:val="0"/>
            <w:vAlign w:val="center"/>
          </w:tcPr>
          <w:p w14:paraId="25F47BCE">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564" w:type="dxa"/>
            <w:noWrap w:val="0"/>
            <w:vAlign w:val="center"/>
          </w:tcPr>
          <w:p w14:paraId="6F18594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0CD7C0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center"/>
          </w:tcPr>
          <w:p w14:paraId="09DC2F8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067" w:type="dxa"/>
            <w:noWrap w:val="0"/>
            <w:vAlign w:val="center"/>
          </w:tcPr>
          <w:p w14:paraId="6EF6E09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50" w:type="dxa"/>
            <w:noWrap w:val="0"/>
            <w:vAlign w:val="center"/>
          </w:tcPr>
          <w:p w14:paraId="459E5A0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243" w:type="dxa"/>
            <w:noWrap w:val="0"/>
            <w:vAlign w:val="center"/>
          </w:tcPr>
          <w:p w14:paraId="0B94AF1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50" w:type="dxa"/>
            <w:noWrap w:val="0"/>
            <w:vAlign w:val="center"/>
          </w:tcPr>
          <w:p w14:paraId="7C26315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564" w:type="dxa"/>
            <w:noWrap w:val="0"/>
            <w:vAlign w:val="center"/>
          </w:tcPr>
          <w:p w14:paraId="79646368">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69505F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center"/>
          </w:tcPr>
          <w:p w14:paraId="150EAD7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067" w:type="dxa"/>
            <w:noWrap w:val="0"/>
            <w:vAlign w:val="center"/>
          </w:tcPr>
          <w:p w14:paraId="681975E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50" w:type="dxa"/>
            <w:noWrap w:val="0"/>
            <w:vAlign w:val="center"/>
          </w:tcPr>
          <w:p w14:paraId="16A3C0A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243" w:type="dxa"/>
            <w:noWrap w:val="0"/>
            <w:vAlign w:val="center"/>
          </w:tcPr>
          <w:p w14:paraId="558F1C1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50" w:type="dxa"/>
            <w:noWrap w:val="0"/>
            <w:vAlign w:val="center"/>
          </w:tcPr>
          <w:p w14:paraId="1090C22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564" w:type="dxa"/>
            <w:noWrap w:val="0"/>
            <w:vAlign w:val="center"/>
          </w:tcPr>
          <w:p w14:paraId="2F6EAC7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3F483B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center"/>
          </w:tcPr>
          <w:p w14:paraId="35BC834E">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067" w:type="dxa"/>
            <w:noWrap w:val="0"/>
            <w:vAlign w:val="center"/>
          </w:tcPr>
          <w:p w14:paraId="464B607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50" w:type="dxa"/>
            <w:noWrap w:val="0"/>
            <w:vAlign w:val="center"/>
          </w:tcPr>
          <w:p w14:paraId="383A807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243" w:type="dxa"/>
            <w:noWrap w:val="0"/>
            <w:vAlign w:val="center"/>
          </w:tcPr>
          <w:p w14:paraId="0CD63DD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50" w:type="dxa"/>
            <w:noWrap w:val="0"/>
            <w:vAlign w:val="center"/>
          </w:tcPr>
          <w:p w14:paraId="7C6A48DA">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564" w:type="dxa"/>
            <w:noWrap w:val="0"/>
            <w:vAlign w:val="center"/>
          </w:tcPr>
          <w:p w14:paraId="5C9253C7">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4C7C3D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top"/>
          </w:tcPr>
          <w:p w14:paraId="34EC9BBB">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067" w:type="dxa"/>
            <w:noWrap w:val="0"/>
            <w:vAlign w:val="top"/>
          </w:tcPr>
          <w:p w14:paraId="0F73D460">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50" w:type="dxa"/>
            <w:noWrap w:val="0"/>
            <w:vAlign w:val="top"/>
          </w:tcPr>
          <w:p w14:paraId="5967D154">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243" w:type="dxa"/>
            <w:noWrap w:val="0"/>
            <w:vAlign w:val="top"/>
          </w:tcPr>
          <w:p w14:paraId="597C4527">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50" w:type="dxa"/>
            <w:noWrap w:val="0"/>
            <w:vAlign w:val="top"/>
          </w:tcPr>
          <w:p w14:paraId="7463074C">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564" w:type="dxa"/>
            <w:noWrap w:val="0"/>
            <w:vAlign w:val="top"/>
          </w:tcPr>
          <w:p w14:paraId="3B194677">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r>
      <w:tr w14:paraId="13B165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center"/>
          </w:tcPr>
          <w:p w14:paraId="4144BAD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067" w:type="dxa"/>
            <w:noWrap w:val="0"/>
            <w:vAlign w:val="center"/>
          </w:tcPr>
          <w:p w14:paraId="6B6740B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50" w:type="dxa"/>
            <w:noWrap w:val="0"/>
            <w:vAlign w:val="center"/>
          </w:tcPr>
          <w:p w14:paraId="13DFF59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243" w:type="dxa"/>
            <w:noWrap w:val="0"/>
            <w:vAlign w:val="center"/>
          </w:tcPr>
          <w:p w14:paraId="58C697DE">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50" w:type="dxa"/>
            <w:noWrap w:val="0"/>
            <w:vAlign w:val="center"/>
          </w:tcPr>
          <w:p w14:paraId="5AF0E72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564" w:type="dxa"/>
            <w:noWrap w:val="0"/>
            <w:vAlign w:val="center"/>
          </w:tcPr>
          <w:p w14:paraId="3C24963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5A83FB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top"/>
          </w:tcPr>
          <w:p w14:paraId="0BD03905">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067" w:type="dxa"/>
            <w:noWrap w:val="0"/>
            <w:vAlign w:val="top"/>
          </w:tcPr>
          <w:p w14:paraId="0B87E794">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50" w:type="dxa"/>
            <w:noWrap w:val="0"/>
            <w:vAlign w:val="top"/>
          </w:tcPr>
          <w:p w14:paraId="25672F70">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243" w:type="dxa"/>
            <w:noWrap w:val="0"/>
            <w:vAlign w:val="top"/>
          </w:tcPr>
          <w:p w14:paraId="17073CE2">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50" w:type="dxa"/>
            <w:noWrap w:val="0"/>
            <w:vAlign w:val="top"/>
          </w:tcPr>
          <w:p w14:paraId="559274E0">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564" w:type="dxa"/>
            <w:noWrap w:val="0"/>
            <w:vAlign w:val="top"/>
          </w:tcPr>
          <w:p w14:paraId="3312A731">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r>
      <w:tr w14:paraId="716B06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top"/>
          </w:tcPr>
          <w:p w14:paraId="05D255D5">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067" w:type="dxa"/>
            <w:noWrap w:val="0"/>
            <w:vAlign w:val="top"/>
          </w:tcPr>
          <w:p w14:paraId="0D5D4389">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50" w:type="dxa"/>
            <w:noWrap w:val="0"/>
            <w:vAlign w:val="top"/>
          </w:tcPr>
          <w:p w14:paraId="20EABE27">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243" w:type="dxa"/>
            <w:noWrap w:val="0"/>
            <w:vAlign w:val="top"/>
          </w:tcPr>
          <w:p w14:paraId="71B1959F">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50" w:type="dxa"/>
            <w:noWrap w:val="0"/>
            <w:vAlign w:val="top"/>
          </w:tcPr>
          <w:p w14:paraId="3D74D0D1">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564" w:type="dxa"/>
            <w:noWrap w:val="0"/>
            <w:vAlign w:val="top"/>
          </w:tcPr>
          <w:p w14:paraId="15E6B849">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r>
      <w:tr w14:paraId="778FF4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top"/>
          </w:tcPr>
          <w:p w14:paraId="1A37FEDB">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067" w:type="dxa"/>
            <w:noWrap w:val="0"/>
            <w:vAlign w:val="top"/>
          </w:tcPr>
          <w:p w14:paraId="3DFD054B">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50" w:type="dxa"/>
            <w:noWrap w:val="0"/>
            <w:vAlign w:val="top"/>
          </w:tcPr>
          <w:p w14:paraId="5C774B65">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243" w:type="dxa"/>
            <w:noWrap w:val="0"/>
            <w:vAlign w:val="top"/>
          </w:tcPr>
          <w:p w14:paraId="251C346A">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50" w:type="dxa"/>
            <w:noWrap w:val="0"/>
            <w:vAlign w:val="top"/>
          </w:tcPr>
          <w:p w14:paraId="7F8ED1C3">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564" w:type="dxa"/>
            <w:noWrap w:val="0"/>
            <w:vAlign w:val="top"/>
          </w:tcPr>
          <w:p w14:paraId="500A3269">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r>
      <w:tr w14:paraId="3D9A25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top"/>
          </w:tcPr>
          <w:p w14:paraId="43642CC1">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067" w:type="dxa"/>
            <w:noWrap w:val="0"/>
            <w:vAlign w:val="top"/>
          </w:tcPr>
          <w:p w14:paraId="77D906E4">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50" w:type="dxa"/>
            <w:noWrap w:val="0"/>
            <w:vAlign w:val="top"/>
          </w:tcPr>
          <w:p w14:paraId="016EBDB3">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243" w:type="dxa"/>
            <w:noWrap w:val="0"/>
            <w:vAlign w:val="top"/>
          </w:tcPr>
          <w:p w14:paraId="08B7227A">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50" w:type="dxa"/>
            <w:noWrap w:val="0"/>
            <w:vAlign w:val="top"/>
          </w:tcPr>
          <w:p w14:paraId="7224672B">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564" w:type="dxa"/>
            <w:noWrap w:val="0"/>
            <w:vAlign w:val="top"/>
          </w:tcPr>
          <w:p w14:paraId="629A5289">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r>
      <w:tr w14:paraId="79929C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top"/>
          </w:tcPr>
          <w:p w14:paraId="616FC1EC">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067" w:type="dxa"/>
            <w:noWrap w:val="0"/>
            <w:vAlign w:val="top"/>
          </w:tcPr>
          <w:p w14:paraId="0631E520">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50" w:type="dxa"/>
            <w:noWrap w:val="0"/>
            <w:vAlign w:val="top"/>
          </w:tcPr>
          <w:p w14:paraId="068EC69E">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243" w:type="dxa"/>
            <w:noWrap w:val="0"/>
            <w:vAlign w:val="top"/>
          </w:tcPr>
          <w:p w14:paraId="7B5D7118">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50" w:type="dxa"/>
            <w:noWrap w:val="0"/>
            <w:vAlign w:val="top"/>
          </w:tcPr>
          <w:p w14:paraId="0153CEF1">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564" w:type="dxa"/>
            <w:noWrap w:val="0"/>
            <w:vAlign w:val="top"/>
          </w:tcPr>
          <w:p w14:paraId="61E835CC">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r>
      <w:tr w14:paraId="324A3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top"/>
          </w:tcPr>
          <w:p w14:paraId="6BF06954">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067" w:type="dxa"/>
            <w:noWrap w:val="0"/>
            <w:vAlign w:val="top"/>
          </w:tcPr>
          <w:p w14:paraId="42087EDC">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50" w:type="dxa"/>
            <w:noWrap w:val="0"/>
            <w:vAlign w:val="top"/>
          </w:tcPr>
          <w:p w14:paraId="5B71C93B">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243" w:type="dxa"/>
            <w:noWrap w:val="0"/>
            <w:vAlign w:val="top"/>
          </w:tcPr>
          <w:p w14:paraId="2482DF4C">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50" w:type="dxa"/>
            <w:noWrap w:val="0"/>
            <w:vAlign w:val="top"/>
          </w:tcPr>
          <w:p w14:paraId="24F613CF">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564" w:type="dxa"/>
            <w:noWrap w:val="0"/>
            <w:vAlign w:val="top"/>
          </w:tcPr>
          <w:p w14:paraId="1B5C4B50">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r>
      <w:tr w14:paraId="7C3F8C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top"/>
          </w:tcPr>
          <w:p w14:paraId="289F56CD">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067" w:type="dxa"/>
            <w:noWrap w:val="0"/>
            <w:vAlign w:val="top"/>
          </w:tcPr>
          <w:p w14:paraId="40C910FB">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50" w:type="dxa"/>
            <w:noWrap w:val="0"/>
            <w:vAlign w:val="top"/>
          </w:tcPr>
          <w:p w14:paraId="6E8243C1">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243" w:type="dxa"/>
            <w:noWrap w:val="0"/>
            <w:vAlign w:val="top"/>
          </w:tcPr>
          <w:p w14:paraId="65ACFB7D">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50" w:type="dxa"/>
            <w:noWrap w:val="0"/>
            <w:vAlign w:val="top"/>
          </w:tcPr>
          <w:p w14:paraId="0F102D0C">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564" w:type="dxa"/>
            <w:noWrap w:val="0"/>
            <w:vAlign w:val="top"/>
          </w:tcPr>
          <w:p w14:paraId="6A2DC75D">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r>
      <w:tr w14:paraId="34D7B3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top"/>
          </w:tcPr>
          <w:p w14:paraId="131FCDFA">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067" w:type="dxa"/>
            <w:noWrap w:val="0"/>
            <w:vAlign w:val="top"/>
          </w:tcPr>
          <w:p w14:paraId="2B99524C">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50" w:type="dxa"/>
            <w:noWrap w:val="0"/>
            <w:vAlign w:val="top"/>
          </w:tcPr>
          <w:p w14:paraId="485ABCA7">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243" w:type="dxa"/>
            <w:noWrap w:val="0"/>
            <w:vAlign w:val="top"/>
          </w:tcPr>
          <w:p w14:paraId="65BF303A">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50" w:type="dxa"/>
            <w:noWrap w:val="0"/>
            <w:vAlign w:val="top"/>
          </w:tcPr>
          <w:p w14:paraId="7CFCB54D">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564" w:type="dxa"/>
            <w:noWrap w:val="0"/>
            <w:vAlign w:val="top"/>
          </w:tcPr>
          <w:p w14:paraId="45C28F07">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r>
      <w:tr w14:paraId="06C053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top"/>
          </w:tcPr>
          <w:p w14:paraId="0445C0E0">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067" w:type="dxa"/>
            <w:noWrap w:val="0"/>
            <w:vAlign w:val="top"/>
          </w:tcPr>
          <w:p w14:paraId="07E54150">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50" w:type="dxa"/>
            <w:noWrap w:val="0"/>
            <w:vAlign w:val="top"/>
          </w:tcPr>
          <w:p w14:paraId="4944A743">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243" w:type="dxa"/>
            <w:noWrap w:val="0"/>
            <w:vAlign w:val="top"/>
          </w:tcPr>
          <w:p w14:paraId="33D37297">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50" w:type="dxa"/>
            <w:noWrap w:val="0"/>
            <w:vAlign w:val="top"/>
          </w:tcPr>
          <w:p w14:paraId="1D6E2F35">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564" w:type="dxa"/>
            <w:noWrap w:val="0"/>
            <w:vAlign w:val="top"/>
          </w:tcPr>
          <w:p w14:paraId="5D29DD32">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r>
    </w:tbl>
    <w:p w14:paraId="267387E0">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r>
        <w:rPr>
          <w:rFonts w:hint="eastAsia" w:ascii="宋体" w:hAnsi="宋体" w:eastAsia="宋体" w:cs="宋体"/>
          <w:color w:val="auto"/>
          <w:sz w:val="21"/>
          <w:szCs w:val="21"/>
          <w:highlight w:val="none"/>
        </w:rPr>
        <w:t>附</w:t>
      </w:r>
      <w:bookmarkStart w:id="1888" w:name="_Toc296891267"/>
      <w:bookmarkStart w:id="1889" w:name="_Toc296891055"/>
      <w:bookmarkStart w:id="1890" w:name="_Toc296944566"/>
      <w:bookmarkStart w:id="1891" w:name="_Toc296346728"/>
      <w:bookmarkStart w:id="1892" w:name="_Toc267261698"/>
      <w:bookmarkStart w:id="1893" w:name="_Toc296503227"/>
      <w:bookmarkStart w:id="1894" w:name="_Toc296347226"/>
      <w:r>
        <w:rPr>
          <w:rFonts w:hint="eastAsia" w:ascii="宋体" w:hAnsi="宋体" w:eastAsia="宋体" w:cs="宋体"/>
          <w:color w:val="auto"/>
          <w:sz w:val="21"/>
          <w:szCs w:val="21"/>
          <w:highlight w:val="none"/>
        </w:rPr>
        <w:t>件5：</w:t>
      </w:r>
    </w:p>
    <w:bookmarkEnd w:id="1888"/>
    <w:bookmarkEnd w:id="1889"/>
    <w:bookmarkEnd w:id="1890"/>
    <w:bookmarkEnd w:id="1891"/>
    <w:bookmarkEnd w:id="1892"/>
    <w:bookmarkEnd w:id="1893"/>
    <w:bookmarkEnd w:id="1894"/>
    <w:p w14:paraId="7E6CBCE8">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承包人用于本工程施工的机械设备表</w:t>
      </w:r>
    </w:p>
    <w:tbl>
      <w:tblPr>
        <w:tblStyle w:val="27"/>
        <w:tblW w:w="850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629"/>
        <w:gridCol w:w="1418"/>
        <w:gridCol w:w="850"/>
        <w:gridCol w:w="1058"/>
        <w:gridCol w:w="880"/>
        <w:gridCol w:w="806"/>
        <w:gridCol w:w="1310"/>
        <w:gridCol w:w="906"/>
        <w:gridCol w:w="652"/>
      </w:tblGrid>
      <w:tr w14:paraId="454A5D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629" w:type="dxa"/>
            <w:tcBorders>
              <w:top w:val="single" w:color="auto" w:sz="12" w:space="0"/>
              <w:bottom w:val="double" w:color="auto" w:sz="6" w:space="0"/>
            </w:tcBorders>
            <w:noWrap w:val="0"/>
            <w:vAlign w:val="center"/>
          </w:tcPr>
          <w:p w14:paraId="5B305C8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序号</w:t>
            </w:r>
          </w:p>
        </w:tc>
        <w:tc>
          <w:tcPr>
            <w:tcW w:w="1418" w:type="dxa"/>
            <w:tcBorders>
              <w:top w:val="single" w:color="auto" w:sz="12" w:space="0"/>
              <w:bottom w:val="double" w:color="auto" w:sz="6" w:space="0"/>
            </w:tcBorders>
            <w:noWrap w:val="0"/>
            <w:vAlign w:val="center"/>
          </w:tcPr>
          <w:p w14:paraId="4A90F6F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机械或设备名称</w:t>
            </w:r>
          </w:p>
        </w:tc>
        <w:tc>
          <w:tcPr>
            <w:tcW w:w="850" w:type="dxa"/>
            <w:tcBorders>
              <w:top w:val="single" w:color="auto" w:sz="12" w:space="0"/>
              <w:bottom w:val="double" w:color="auto" w:sz="6" w:space="0"/>
            </w:tcBorders>
            <w:noWrap w:val="0"/>
            <w:vAlign w:val="center"/>
          </w:tcPr>
          <w:p w14:paraId="0647E0D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规格型号</w:t>
            </w:r>
          </w:p>
        </w:tc>
        <w:tc>
          <w:tcPr>
            <w:tcW w:w="1058" w:type="dxa"/>
            <w:tcBorders>
              <w:top w:val="single" w:color="auto" w:sz="12" w:space="0"/>
              <w:bottom w:val="double" w:color="auto" w:sz="6" w:space="0"/>
            </w:tcBorders>
            <w:noWrap w:val="0"/>
            <w:vAlign w:val="center"/>
          </w:tcPr>
          <w:p w14:paraId="177E779A">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数量</w:t>
            </w:r>
          </w:p>
        </w:tc>
        <w:tc>
          <w:tcPr>
            <w:tcW w:w="880" w:type="dxa"/>
            <w:tcBorders>
              <w:top w:val="single" w:color="auto" w:sz="12" w:space="0"/>
              <w:bottom w:val="double" w:color="auto" w:sz="6" w:space="0"/>
            </w:tcBorders>
            <w:noWrap w:val="0"/>
            <w:vAlign w:val="center"/>
          </w:tcPr>
          <w:p w14:paraId="165894F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产地</w:t>
            </w:r>
          </w:p>
        </w:tc>
        <w:tc>
          <w:tcPr>
            <w:tcW w:w="806" w:type="dxa"/>
            <w:tcBorders>
              <w:top w:val="single" w:color="auto" w:sz="12" w:space="0"/>
              <w:bottom w:val="double" w:color="auto" w:sz="6" w:space="0"/>
            </w:tcBorders>
            <w:noWrap w:val="0"/>
            <w:vAlign w:val="center"/>
          </w:tcPr>
          <w:p w14:paraId="36FF1DE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制造年份</w:t>
            </w:r>
          </w:p>
        </w:tc>
        <w:tc>
          <w:tcPr>
            <w:tcW w:w="1310" w:type="dxa"/>
            <w:tcBorders>
              <w:top w:val="single" w:color="auto" w:sz="12" w:space="0"/>
              <w:bottom w:val="double" w:color="auto" w:sz="6" w:space="0"/>
            </w:tcBorders>
            <w:noWrap w:val="0"/>
            <w:vAlign w:val="center"/>
          </w:tcPr>
          <w:p w14:paraId="4D7F9B7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额定功率(kW)</w:t>
            </w:r>
          </w:p>
        </w:tc>
        <w:tc>
          <w:tcPr>
            <w:tcW w:w="906" w:type="dxa"/>
            <w:tcBorders>
              <w:top w:val="single" w:color="auto" w:sz="12" w:space="0"/>
              <w:bottom w:val="double" w:color="auto" w:sz="6" w:space="0"/>
            </w:tcBorders>
            <w:noWrap w:val="0"/>
            <w:vAlign w:val="center"/>
          </w:tcPr>
          <w:p w14:paraId="5EA3D81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生产能力</w:t>
            </w:r>
          </w:p>
        </w:tc>
        <w:tc>
          <w:tcPr>
            <w:tcW w:w="652" w:type="dxa"/>
            <w:tcBorders>
              <w:top w:val="single" w:color="auto" w:sz="12" w:space="0"/>
              <w:bottom w:val="double" w:color="auto" w:sz="6" w:space="0"/>
            </w:tcBorders>
            <w:noWrap w:val="0"/>
            <w:vAlign w:val="center"/>
          </w:tcPr>
          <w:p w14:paraId="54BED0E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备注</w:t>
            </w:r>
          </w:p>
        </w:tc>
      </w:tr>
      <w:tr w14:paraId="5A5873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tcBorders>
              <w:top w:val="double" w:color="auto" w:sz="6" w:space="0"/>
              <w:bottom w:val="single" w:color="auto" w:sz="6" w:space="0"/>
            </w:tcBorders>
            <w:noWrap w:val="0"/>
            <w:vAlign w:val="center"/>
          </w:tcPr>
          <w:p w14:paraId="69CC51D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8" w:type="dxa"/>
            <w:tcBorders>
              <w:top w:val="double" w:color="auto" w:sz="6" w:space="0"/>
              <w:bottom w:val="single" w:color="auto" w:sz="6" w:space="0"/>
            </w:tcBorders>
            <w:noWrap w:val="0"/>
            <w:vAlign w:val="center"/>
          </w:tcPr>
          <w:p w14:paraId="1AC83C07">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tcBorders>
              <w:top w:val="double" w:color="auto" w:sz="6" w:space="0"/>
              <w:bottom w:val="single" w:color="auto" w:sz="6" w:space="0"/>
            </w:tcBorders>
            <w:noWrap w:val="0"/>
            <w:vAlign w:val="center"/>
          </w:tcPr>
          <w:p w14:paraId="2828DFB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058" w:type="dxa"/>
            <w:tcBorders>
              <w:top w:val="double" w:color="auto" w:sz="6" w:space="0"/>
              <w:bottom w:val="single" w:color="auto" w:sz="6" w:space="0"/>
            </w:tcBorders>
            <w:noWrap w:val="0"/>
            <w:vAlign w:val="center"/>
          </w:tcPr>
          <w:p w14:paraId="7A03C948">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80" w:type="dxa"/>
            <w:tcBorders>
              <w:top w:val="double" w:color="auto" w:sz="6" w:space="0"/>
              <w:bottom w:val="single" w:color="auto" w:sz="6" w:space="0"/>
            </w:tcBorders>
            <w:noWrap w:val="0"/>
            <w:vAlign w:val="center"/>
          </w:tcPr>
          <w:p w14:paraId="7B36950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06" w:type="dxa"/>
            <w:tcBorders>
              <w:top w:val="double" w:color="auto" w:sz="6" w:space="0"/>
              <w:bottom w:val="single" w:color="auto" w:sz="6" w:space="0"/>
            </w:tcBorders>
            <w:noWrap w:val="0"/>
            <w:vAlign w:val="center"/>
          </w:tcPr>
          <w:p w14:paraId="4A1B742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310" w:type="dxa"/>
            <w:tcBorders>
              <w:top w:val="double" w:color="auto" w:sz="6" w:space="0"/>
              <w:bottom w:val="single" w:color="auto" w:sz="6" w:space="0"/>
            </w:tcBorders>
            <w:noWrap w:val="0"/>
            <w:vAlign w:val="center"/>
          </w:tcPr>
          <w:p w14:paraId="2256F48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6" w:type="dxa"/>
            <w:tcBorders>
              <w:top w:val="double" w:color="auto" w:sz="6" w:space="0"/>
              <w:bottom w:val="single" w:color="auto" w:sz="6" w:space="0"/>
            </w:tcBorders>
            <w:noWrap w:val="0"/>
            <w:vAlign w:val="center"/>
          </w:tcPr>
          <w:p w14:paraId="3F5141A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652" w:type="dxa"/>
            <w:tcBorders>
              <w:top w:val="double" w:color="auto" w:sz="6" w:space="0"/>
              <w:bottom w:val="single" w:color="auto" w:sz="6" w:space="0"/>
            </w:tcBorders>
            <w:noWrap w:val="0"/>
            <w:vAlign w:val="center"/>
          </w:tcPr>
          <w:p w14:paraId="1CC5DF2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435395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tcBorders>
              <w:top w:val="nil"/>
            </w:tcBorders>
            <w:noWrap w:val="0"/>
            <w:vAlign w:val="center"/>
          </w:tcPr>
          <w:p w14:paraId="28E9012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8" w:type="dxa"/>
            <w:tcBorders>
              <w:top w:val="nil"/>
            </w:tcBorders>
            <w:noWrap w:val="0"/>
            <w:vAlign w:val="center"/>
          </w:tcPr>
          <w:p w14:paraId="10581AE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tcBorders>
              <w:top w:val="nil"/>
            </w:tcBorders>
            <w:noWrap w:val="0"/>
            <w:vAlign w:val="center"/>
          </w:tcPr>
          <w:p w14:paraId="4F2F7FE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058" w:type="dxa"/>
            <w:tcBorders>
              <w:top w:val="nil"/>
            </w:tcBorders>
            <w:noWrap w:val="0"/>
            <w:vAlign w:val="center"/>
          </w:tcPr>
          <w:p w14:paraId="2C58F38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80" w:type="dxa"/>
            <w:tcBorders>
              <w:top w:val="nil"/>
            </w:tcBorders>
            <w:noWrap w:val="0"/>
            <w:vAlign w:val="center"/>
          </w:tcPr>
          <w:p w14:paraId="2EA2001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06" w:type="dxa"/>
            <w:tcBorders>
              <w:top w:val="nil"/>
            </w:tcBorders>
            <w:noWrap w:val="0"/>
            <w:vAlign w:val="center"/>
          </w:tcPr>
          <w:p w14:paraId="32D7A41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310" w:type="dxa"/>
            <w:tcBorders>
              <w:top w:val="nil"/>
            </w:tcBorders>
            <w:noWrap w:val="0"/>
            <w:vAlign w:val="center"/>
          </w:tcPr>
          <w:p w14:paraId="606732C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6" w:type="dxa"/>
            <w:tcBorders>
              <w:top w:val="nil"/>
            </w:tcBorders>
            <w:noWrap w:val="0"/>
            <w:vAlign w:val="center"/>
          </w:tcPr>
          <w:p w14:paraId="3A7177EA">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652" w:type="dxa"/>
            <w:tcBorders>
              <w:top w:val="nil"/>
            </w:tcBorders>
            <w:noWrap w:val="0"/>
            <w:vAlign w:val="center"/>
          </w:tcPr>
          <w:p w14:paraId="6D78EA3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04D89F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center"/>
          </w:tcPr>
          <w:p w14:paraId="748CA78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8" w:type="dxa"/>
            <w:noWrap w:val="0"/>
            <w:vAlign w:val="center"/>
          </w:tcPr>
          <w:p w14:paraId="15ECF4B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noWrap w:val="0"/>
            <w:vAlign w:val="center"/>
          </w:tcPr>
          <w:p w14:paraId="35665EB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058" w:type="dxa"/>
            <w:noWrap w:val="0"/>
            <w:vAlign w:val="center"/>
          </w:tcPr>
          <w:p w14:paraId="77019F0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80" w:type="dxa"/>
            <w:noWrap w:val="0"/>
            <w:vAlign w:val="center"/>
          </w:tcPr>
          <w:p w14:paraId="764AEE6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06" w:type="dxa"/>
            <w:noWrap w:val="0"/>
            <w:vAlign w:val="center"/>
          </w:tcPr>
          <w:p w14:paraId="64371D6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310" w:type="dxa"/>
            <w:noWrap w:val="0"/>
            <w:vAlign w:val="center"/>
          </w:tcPr>
          <w:p w14:paraId="71E5581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6" w:type="dxa"/>
            <w:noWrap w:val="0"/>
            <w:vAlign w:val="center"/>
          </w:tcPr>
          <w:p w14:paraId="309C478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652" w:type="dxa"/>
            <w:noWrap w:val="0"/>
            <w:vAlign w:val="center"/>
          </w:tcPr>
          <w:p w14:paraId="018C4B3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155EFA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center"/>
          </w:tcPr>
          <w:p w14:paraId="65F360A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8" w:type="dxa"/>
            <w:noWrap w:val="0"/>
            <w:vAlign w:val="center"/>
          </w:tcPr>
          <w:p w14:paraId="20CE901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noWrap w:val="0"/>
            <w:vAlign w:val="center"/>
          </w:tcPr>
          <w:p w14:paraId="7C982DCA">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058" w:type="dxa"/>
            <w:noWrap w:val="0"/>
            <w:vAlign w:val="center"/>
          </w:tcPr>
          <w:p w14:paraId="20121B0A">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80" w:type="dxa"/>
            <w:noWrap w:val="0"/>
            <w:vAlign w:val="center"/>
          </w:tcPr>
          <w:p w14:paraId="4F8F3CA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06" w:type="dxa"/>
            <w:noWrap w:val="0"/>
            <w:vAlign w:val="center"/>
          </w:tcPr>
          <w:p w14:paraId="10A1B3E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310" w:type="dxa"/>
            <w:noWrap w:val="0"/>
            <w:vAlign w:val="center"/>
          </w:tcPr>
          <w:p w14:paraId="08F61A8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6" w:type="dxa"/>
            <w:noWrap w:val="0"/>
            <w:vAlign w:val="center"/>
          </w:tcPr>
          <w:p w14:paraId="0E537B9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652" w:type="dxa"/>
            <w:noWrap w:val="0"/>
            <w:vAlign w:val="center"/>
          </w:tcPr>
          <w:p w14:paraId="42E866D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395C56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center"/>
          </w:tcPr>
          <w:p w14:paraId="5F08547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8" w:type="dxa"/>
            <w:noWrap w:val="0"/>
            <w:vAlign w:val="center"/>
          </w:tcPr>
          <w:p w14:paraId="01D43D1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noWrap w:val="0"/>
            <w:vAlign w:val="center"/>
          </w:tcPr>
          <w:p w14:paraId="7645FAF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058" w:type="dxa"/>
            <w:noWrap w:val="0"/>
            <w:vAlign w:val="center"/>
          </w:tcPr>
          <w:p w14:paraId="110309D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80" w:type="dxa"/>
            <w:noWrap w:val="0"/>
            <w:vAlign w:val="center"/>
          </w:tcPr>
          <w:p w14:paraId="2C7D1C8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06" w:type="dxa"/>
            <w:noWrap w:val="0"/>
            <w:vAlign w:val="center"/>
          </w:tcPr>
          <w:p w14:paraId="7496A12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310" w:type="dxa"/>
            <w:noWrap w:val="0"/>
            <w:vAlign w:val="center"/>
          </w:tcPr>
          <w:p w14:paraId="2E0FE4B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6" w:type="dxa"/>
            <w:noWrap w:val="0"/>
            <w:vAlign w:val="center"/>
          </w:tcPr>
          <w:p w14:paraId="64DA002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652" w:type="dxa"/>
            <w:noWrap w:val="0"/>
            <w:vAlign w:val="center"/>
          </w:tcPr>
          <w:p w14:paraId="3EF4716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74C413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center"/>
          </w:tcPr>
          <w:p w14:paraId="0C01C6A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8" w:type="dxa"/>
            <w:noWrap w:val="0"/>
            <w:vAlign w:val="center"/>
          </w:tcPr>
          <w:p w14:paraId="0A5420C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noWrap w:val="0"/>
            <w:vAlign w:val="center"/>
          </w:tcPr>
          <w:p w14:paraId="1BDDD4F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058" w:type="dxa"/>
            <w:noWrap w:val="0"/>
            <w:vAlign w:val="center"/>
          </w:tcPr>
          <w:p w14:paraId="0C4918C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80" w:type="dxa"/>
            <w:noWrap w:val="0"/>
            <w:vAlign w:val="center"/>
          </w:tcPr>
          <w:p w14:paraId="5F36488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06" w:type="dxa"/>
            <w:noWrap w:val="0"/>
            <w:vAlign w:val="center"/>
          </w:tcPr>
          <w:p w14:paraId="367622FE">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310" w:type="dxa"/>
            <w:noWrap w:val="0"/>
            <w:vAlign w:val="center"/>
          </w:tcPr>
          <w:p w14:paraId="1FB9705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6" w:type="dxa"/>
            <w:noWrap w:val="0"/>
            <w:vAlign w:val="center"/>
          </w:tcPr>
          <w:p w14:paraId="49B1A63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652" w:type="dxa"/>
            <w:noWrap w:val="0"/>
            <w:vAlign w:val="center"/>
          </w:tcPr>
          <w:p w14:paraId="553F72E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04F782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center"/>
          </w:tcPr>
          <w:p w14:paraId="58591BC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8" w:type="dxa"/>
            <w:noWrap w:val="0"/>
            <w:vAlign w:val="center"/>
          </w:tcPr>
          <w:p w14:paraId="7365EA0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noWrap w:val="0"/>
            <w:vAlign w:val="center"/>
          </w:tcPr>
          <w:p w14:paraId="1D478A1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058" w:type="dxa"/>
            <w:noWrap w:val="0"/>
            <w:vAlign w:val="center"/>
          </w:tcPr>
          <w:p w14:paraId="6E86BC5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80" w:type="dxa"/>
            <w:noWrap w:val="0"/>
            <w:vAlign w:val="center"/>
          </w:tcPr>
          <w:p w14:paraId="58A4163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06" w:type="dxa"/>
            <w:noWrap w:val="0"/>
            <w:vAlign w:val="center"/>
          </w:tcPr>
          <w:p w14:paraId="5FD7199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310" w:type="dxa"/>
            <w:noWrap w:val="0"/>
            <w:vAlign w:val="center"/>
          </w:tcPr>
          <w:p w14:paraId="28831428">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6" w:type="dxa"/>
            <w:noWrap w:val="0"/>
            <w:vAlign w:val="center"/>
          </w:tcPr>
          <w:p w14:paraId="229D71F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652" w:type="dxa"/>
            <w:noWrap w:val="0"/>
            <w:vAlign w:val="center"/>
          </w:tcPr>
          <w:p w14:paraId="7A286B1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2121D3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center"/>
          </w:tcPr>
          <w:p w14:paraId="44DE010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8" w:type="dxa"/>
            <w:noWrap w:val="0"/>
            <w:vAlign w:val="center"/>
          </w:tcPr>
          <w:p w14:paraId="7CDD135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noWrap w:val="0"/>
            <w:vAlign w:val="center"/>
          </w:tcPr>
          <w:p w14:paraId="47E193A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058" w:type="dxa"/>
            <w:noWrap w:val="0"/>
            <w:vAlign w:val="center"/>
          </w:tcPr>
          <w:p w14:paraId="76E791BA">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80" w:type="dxa"/>
            <w:noWrap w:val="0"/>
            <w:vAlign w:val="center"/>
          </w:tcPr>
          <w:p w14:paraId="53D8F3A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06" w:type="dxa"/>
            <w:noWrap w:val="0"/>
            <w:vAlign w:val="center"/>
          </w:tcPr>
          <w:p w14:paraId="4244EEF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310" w:type="dxa"/>
            <w:noWrap w:val="0"/>
            <w:vAlign w:val="center"/>
          </w:tcPr>
          <w:p w14:paraId="5A07B5F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6" w:type="dxa"/>
            <w:noWrap w:val="0"/>
            <w:vAlign w:val="center"/>
          </w:tcPr>
          <w:p w14:paraId="69AC43D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652" w:type="dxa"/>
            <w:noWrap w:val="0"/>
            <w:vAlign w:val="center"/>
          </w:tcPr>
          <w:p w14:paraId="46C2072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593D07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top"/>
          </w:tcPr>
          <w:p w14:paraId="6BC70866">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18" w:type="dxa"/>
            <w:noWrap w:val="0"/>
            <w:vAlign w:val="top"/>
          </w:tcPr>
          <w:p w14:paraId="361FA151">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50" w:type="dxa"/>
            <w:noWrap w:val="0"/>
            <w:vAlign w:val="top"/>
          </w:tcPr>
          <w:p w14:paraId="1EAC6489">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058" w:type="dxa"/>
            <w:noWrap w:val="0"/>
            <w:vAlign w:val="top"/>
          </w:tcPr>
          <w:p w14:paraId="0ACC8985">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80" w:type="dxa"/>
            <w:noWrap w:val="0"/>
            <w:vAlign w:val="top"/>
          </w:tcPr>
          <w:p w14:paraId="334BB894">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06" w:type="dxa"/>
            <w:noWrap w:val="0"/>
            <w:vAlign w:val="top"/>
          </w:tcPr>
          <w:p w14:paraId="64C373A7">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310" w:type="dxa"/>
            <w:noWrap w:val="0"/>
            <w:vAlign w:val="top"/>
          </w:tcPr>
          <w:p w14:paraId="6333F868">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906" w:type="dxa"/>
            <w:noWrap w:val="0"/>
            <w:vAlign w:val="top"/>
          </w:tcPr>
          <w:p w14:paraId="519F179A">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652" w:type="dxa"/>
            <w:noWrap w:val="0"/>
            <w:vAlign w:val="top"/>
          </w:tcPr>
          <w:p w14:paraId="22EFF242">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r>
      <w:tr w14:paraId="38E947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center"/>
          </w:tcPr>
          <w:p w14:paraId="7BB7BA48">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8" w:type="dxa"/>
            <w:noWrap w:val="0"/>
            <w:vAlign w:val="center"/>
          </w:tcPr>
          <w:p w14:paraId="470FE7D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50" w:type="dxa"/>
            <w:noWrap w:val="0"/>
            <w:vAlign w:val="center"/>
          </w:tcPr>
          <w:p w14:paraId="487D76CA">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058" w:type="dxa"/>
            <w:noWrap w:val="0"/>
            <w:vAlign w:val="center"/>
          </w:tcPr>
          <w:p w14:paraId="6B94CA7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80" w:type="dxa"/>
            <w:noWrap w:val="0"/>
            <w:vAlign w:val="center"/>
          </w:tcPr>
          <w:p w14:paraId="335A4CD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806" w:type="dxa"/>
            <w:noWrap w:val="0"/>
            <w:vAlign w:val="center"/>
          </w:tcPr>
          <w:p w14:paraId="06A80AC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310" w:type="dxa"/>
            <w:noWrap w:val="0"/>
            <w:vAlign w:val="center"/>
          </w:tcPr>
          <w:p w14:paraId="1FC44C0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6" w:type="dxa"/>
            <w:noWrap w:val="0"/>
            <w:vAlign w:val="center"/>
          </w:tcPr>
          <w:p w14:paraId="0E7A691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652" w:type="dxa"/>
            <w:noWrap w:val="0"/>
            <w:vAlign w:val="center"/>
          </w:tcPr>
          <w:p w14:paraId="621BDA27">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476F54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top"/>
          </w:tcPr>
          <w:p w14:paraId="6B0E9CFF">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18" w:type="dxa"/>
            <w:noWrap w:val="0"/>
            <w:vAlign w:val="top"/>
          </w:tcPr>
          <w:p w14:paraId="2383CBFE">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50" w:type="dxa"/>
            <w:noWrap w:val="0"/>
            <w:vAlign w:val="top"/>
          </w:tcPr>
          <w:p w14:paraId="21FE00AC">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058" w:type="dxa"/>
            <w:noWrap w:val="0"/>
            <w:vAlign w:val="top"/>
          </w:tcPr>
          <w:p w14:paraId="067103C8">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80" w:type="dxa"/>
            <w:noWrap w:val="0"/>
            <w:vAlign w:val="top"/>
          </w:tcPr>
          <w:p w14:paraId="43FF16E4">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06" w:type="dxa"/>
            <w:noWrap w:val="0"/>
            <w:vAlign w:val="top"/>
          </w:tcPr>
          <w:p w14:paraId="6AE40999">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310" w:type="dxa"/>
            <w:noWrap w:val="0"/>
            <w:vAlign w:val="top"/>
          </w:tcPr>
          <w:p w14:paraId="6E61EBD4">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906" w:type="dxa"/>
            <w:noWrap w:val="0"/>
            <w:vAlign w:val="top"/>
          </w:tcPr>
          <w:p w14:paraId="1F314A7A">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652" w:type="dxa"/>
            <w:noWrap w:val="0"/>
            <w:vAlign w:val="top"/>
          </w:tcPr>
          <w:p w14:paraId="60B4A42E">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r>
      <w:tr w14:paraId="6D5C79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top"/>
          </w:tcPr>
          <w:p w14:paraId="0F5A5167">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18" w:type="dxa"/>
            <w:noWrap w:val="0"/>
            <w:vAlign w:val="top"/>
          </w:tcPr>
          <w:p w14:paraId="1F64A77F">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50" w:type="dxa"/>
            <w:noWrap w:val="0"/>
            <w:vAlign w:val="top"/>
          </w:tcPr>
          <w:p w14:paraId="37E139A1">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058" w:type="dxa"/>
            <w:noWrap w:val="0"/>
            <w:vAlign w:val="top"/>
          </w:tcPr>
          <w:p w14:paraId="72077655">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80" w:type="dxa"/>
            <w:noWrap w:val="0"/>
            <w:vAlign w:val="top"/>
          </w:tcPr>
          <w:p w14:paraId="3203F34D">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06" w:type="dxa"/>
            <w:noWrap w:val="0"/>
            <w:vAlign w:val="top"/>
          </w:tcPr>
          <w:p w14:paraId="0617B665">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310" w:type="dxa"/>
            <w:noWrap w:val="0"/>
            <w:vAlign w:val="top"/>
          </w:tcPr>
          <w:p w14:paraId="1A9C8E03">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906" w:type="dxa"/>
            <w:noWrap w:val="0"/>
            <w:vAlign w:val="top"/>
          </w:tcPr>
          <w:p w14:paraId="51C1E99F">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652" w:type="dxa"/>
            <w:noWrap w:val="0"/>
            <w:vAlign w:val="top"/>
          </w:tcPr>
          <w:p w14:paraId="1AE75120">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r>
      <w:tr w14:paraId="36EC51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top"/>
          </w:tcPr>
          <w:p w14:paraId="34BB0AEC">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18" w:type="dxa"/>
            <w:noWrap w:val="0"/>
            <w:vAlign w:val="top"/>
          </w:tcPr>
          <w:p w14:paraId="599D4448">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50" w:type="dxa"/>
            <w:noWrap w:val="0"/>
            <w:vAlign w:val="top"/>
          </w:tcPr>
          <w:p w14:paraId="6D86B564">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058" w:type="dxa"/>
            <w:noWrap w:val="0"/>
            <w:vAlign w:val="top"/>
          </w:tcPr>
          <w:p w14:paraId="1294D05E">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80" w:type="dxa"/>
            <w:noWrap w:val="0"/>
            <w:vAlign w:val="top"/>
          </w:tcPr>
          <w:p w14:paraId="20E8B683">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06" w:type="dxa"/>
            <w:noWrap w:val="0"/>
            <w:vAlign w:val="top"/>
          </w:tcPr>
          <w:p w14:paraId="379477D2">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310" w:type="dxa"/>
            <w:noWrap w:val="0"/>
            <w:vAlign w:val="top"/>
          </w:tcPr>
          <w:p w14:paraId="75765577">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906" w:type="dxa"/>
            <w:noWrap w:val="0"/>
            <w:vAlign w:val="top"/>
          </w:tcPr>
          <w:p w14:paraId="20D78A9D">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652" w:type="dxa"/>
            <w:noWrap w:val="0"/>
            <w:vAlign w:val="top"/>
          </w:tcPr>
          <w:p w14:paraId="5476626E">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r>
      <w:tr w14:paraId="7857A4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top"/>
          </w:tcPr>
          <w:p w14:paraId="6ABB34D9">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18" w:type="dxa"/>
            <w:noWrap w:val="0"/>
            <w:vAlign w:val="top"/>
          </w:tcPr>
          <w:p w14:paraId="7DF98152">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50" w:type="dxa"/>
            <w:noWrap w:val="0"/>
            <w:vAlign w:val="top"/>
          </w:tcPr>
          <w:p w14:paraId="1CE57FD2">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058" w:type="dxa"/>
            <w:noWrap w:val="0"/>
            <w:vAlign w:val="top"/>
          </w:tcPr>
          <w:p w14:paraId="492F4572">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80" w:type="dxa"/>
            <w:noWrap w:val="0"/>
            <w:vAlign w:val="top"/>
          </w:tcPr>
          <w:p w14:paraId="2BD85816">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06" w:type="dxa"/>
            <w:noWrap w:val="0"/>
            <w:vAlign w:val="top"/>
          </w:tcPr>
          <w:p w14:paraId="0BECD4F4">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310" w:type="dxa"/>
            <w:noWrap w:val="0"/>
            <w:vAlign w:val="top"/>
          </w:tcPr>
          <w:p w14:paraId="6106CE1C">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906" w:type="dxa"/>
            <w:noWrap w:val="0"/>
            <w:vAlign w:val="top"/>
          </w:tcPr>
          <w:p w14:paraId="221708D4">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652" w:type="dxa"/>
            <w:noWrap w:val="0"/>
            <w:vAlign w:val="top"/>
          </w:tcPr>
          <w:p w14:paraId="3C1D2863">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r>
      <w:tr w14:paraId="3A4DC8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top"/>
          </w:tcPr>
          <w:p w14:paraId="26B2BA32">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18" w:type="dxa"/>
            <w:noWrap w:val="0"/>
            <w:vAlign w:val="top"/>
          </w:tcPr>
          <w:p w14:paraId="5F2A914B">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50" w:type="dxa"/>
            <w:noWrap w:val="0"/>
            <w:vAlign w:val="top"/>
          </w:tcPr>
          <w:p w14:paraId="772F5D0D">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058" w:type="dxa"/>
            <w:noWrap w:val="0"/>
            <w:vAlign w:val="top"/>
          </w:tcPr>
          <w:p w14:paraId="4AE0E1C7">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80" w:type="dxa"/>
            <w:noWrap w:val="0"/>
            <w:vAlign w:val="top"/>
          </w:tcPr>
          <w:p w14:paraId="3B11FFD6">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06" w:type="dxa"/>
            <w:noWrap w:val="0"/>
            <w:vAlign w:val="top"/>
          </w:tcPr>
          <w:p w14:paraId="129AE585">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310" w:type="dxa"/>
            <w:noWrap w:val="0"/>
            <w:vAlign w:val="top"/>
          </w:tcPr>
          <w:p w14:paraId="1AB896C8">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906" w:type="dxa"/>
            <w:noWrap w:val="0"/>
            <w:vAlign w:val="top"/>
          </w:tcPr>
          <w:p w14:paraId="718097CE">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652" w:type="dxa"/>
            <w:noWrap w:val="0"/>
            <w:vAlign w:val="top"/>
          </w:tcPr>
          <w:p w14:paraId="52452A83">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r>
      <w:tr w14:paraId="1E8B8A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top"/>
          </w:tcPr>
          <w:p w14:paraId="48430B56">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18" w:type="dxa"/>
            <w:noWrap w:val="0"/>
            <w:vAlign w:val="top"/>
          </w:tcPr>
          <w:p w14:paraId="738ACB79">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50" w:type="dxa"/>
            <w:noWrap w:val="0"/>
            <w:vAlign w:val="top"/>
          </w:tcPr>
          <w:p w14:paraId="6221A35B">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058" w:type="dxa"/>
            <w:noWrap w:val="0"/>
            <w:vAlign w:val="top"/>
          </w:tcPr>
          <w:p w14:paraId="77206D15">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80" w:type="dxa"/>
            <w:noWrap w:val="0"/>
            <w:vAlign w:val="top"/>
          </w:tcPr>
          <w:p w14:paraId="26ABF95B">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06" w:type="dxa"/>
            <w:noWrap w:val="0"/>
            <w:vAlign w:val="top"/>
          </w:tcPr>
          <w:p w14:paraId="0FCBDDCE">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310" w:type="dxa"/>
            <w:noWrap w:val="0"/>
            <w:vAlign w:val="top"/>
          </w:tcPr>
          <w:p w14:paraId="19F0F488">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906" w:type="dxa"/>
            <w:noWrap w:val="0"/>
            <w:vAlign w:val="top"/>
          </w:tcPr>
          <w:p w14:paraId="785FAB30">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652" w:type="dxa"/>
            <w:noWrap w:val="0"/>
            <w:vAlign w:val="top"/>
          </w:tcPr>
          <w:p w14:paraId="756D8030">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r>
      <w:tr w14:paraId="0E13D1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top"/>
          </w:tcPr>
          <w:p w14:paraId="70D30F12">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18" w:type="dxa"/>
            <w:noWrap w:val="0"/>
            <w:vAlign w:val="top"/>
          </w:tcPr>
          <w:p w14:paraId="5819B825">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50" w:type="dxa"/>
            <w:noWrap w:val="0"/>
            <w:vAlign w:val="top"/>
          </w:tcPr>
          <w:p w14:paraId="25E5A614">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058" w:type="dxa"/>
            <w:noWrap w:val="0"/>
            <w:vAlign w:val="top"/>
          </w:tcPr>
          <w:p w14:paraId="4E24A9A2">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80" w:type="dxa"/>
            <w:noWrap w:val="0"/>
            <w:vAlign w:val="top"/>
          </w:tcPr>
          <w:p w14:paraId="1282D6E9">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06" w:type="dxa"/>
            <w:noWrap w:val="0"/>
            <w:vAlign w:val="top"/>
          </w:tcPr>
          <w:p w14:paraId="220AF3A9">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310" w:type="dxa"/>
            <w:noWrap w:val="0"/>
            <w:vAlign w:val="top"/>
          </w:tcPr>
          <w:p w14:paraId="4B0B0FE5">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906" w:type="dxa"/>
            <w:noWrap w:val="0"/>
            <w:vAlign w:val="top"/>
          </w:tcPr>
          <w:p w14:paraId="41D63587">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652" w:type="dxa"/>
            <w:noWrap w:val="0"/>
            <w:vAlign w:val="top"/>
          </w:tcPr>
          <w:p w14:paraId="23B2BCC7">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r>
      <w:tr w14:paraId="786CAA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top"/>
          </w:tcPr>
          <w:p w14:paraId="47DA7D7E">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18" w:type="dxa"/>
            <w:noWrap w:val="0"/>
            <w:vAlign w:val="top"/>
          </w:tcPr>
          <w:p w14:paraId="2D4F00C4">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50" w:type="dxa"/>
            <w:noWrap w:val="0"/>
            <w:vAlign w:val="top"/>
          </w:tcPr>
          <w:p w14:paraId="3B66F1C4">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058" w:type="dxa"/>
            <w:noWrap w:val="0"/>
            <w:vAlign w:val="top"/>
          </w:tcPr>
          <w:p w14:paraId="629A4AF3">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80" w:type="dxa"/>
            <w:noWrap w:val="0"/>
            <w:vAlign w:val="top"/>
          </w:tcPr>
          <w:p w14:paraId="124B5911">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06" w:type="dxa"/>
            <w:noWrap w:val="0"/>
            <w:vAlign w:val="top"/>
          </w:tcPr>
          <w:p w14:paraId="1848469E">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310" w:type="dxa"/>
            <w:noWrap w:val="0"/>
            <w:vAlign w:val="top"/>
          </w:tcPr>
          <w:p w14:paraId="4D4A9F22">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906" w:type="dxa"/>
            <w:noWrap w:val="0"/>
            <w:vAlign w:val="top"/>
          </w:tcPr>
          <w:p w14:paraId="49B05547">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652" w:type="dxa"/>
            <w:noWrap w:val="0"/>
            <w:vAlign w:val="top"/>
          </w:tcPr>
          <w:p w14:paraId="6DA3E13C">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r>
      <w:tr w14:paraId="0FDB65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top"/>
          </w:tcPr>
          <w:p w14:paraId="6E9D2263">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418" w:type="dxa"/>
            <w:noWrap w:val="0"/>
            <w:vAlign w:val="top"/>
          </w:tcPr>
          <w:p w14:paraId="586D2D58">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50" w:type="dxa"/>
            <w:noWrap w:val="0"/>
            <w:vAlign w:val="top"/>
          </w:tcPr>
          <w:p w14:paraId="4F162462">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058" w:type="dxa"/>
            <w:noWrap w:val="0"/>
            <w:vAlign w:val="top"/>
          </w:tcPr>
          <w:p w14:paraId="47C99FED">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80" w:type="dxa"/>
            <w:noWrap w:val="0"/>
            <w:vAlign w:val="top"/>
          </w:tcPr>
          <w:p w14:paraId="4E0FF4D7">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806" w:type="dxa"/>
            <w:noWrap w:val="0"/>
            <w:vAlign w:val="top"/>
          </w:tcPr>
          <w:p w14:paraId="2A26CB29">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1310" w:type="dxa"/>
            <w:noWrap w:val="0"/>
            <w:vAlign w:val="top"/>
          </w:tcPr>
          <w:p w14:paraId="6760F474">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906" w:type="dxa"/>
            <w:noWrap w:val="0"/>
            <w:vAlign w:val="top"/>
          </w:tcPr>
          <w:p w14:paraId="2E3120E5">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c>
          <w:tcPr>
            <w:tcW w:w="652" w:type="dxa"/>
            <w:noWrap w:val="0"/>
            <w:vAlign w:val="top"/>
          </w:tcPr>
          <w:p w14:paraId="10D6FD20">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tc>
      </w:tr>
    </w:tbl>
    <w:p w14:paraId="29A54B02">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p w14:paraId="54C128B4">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141AD453">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附件6：</w:t>
      </w:r>
    </w:p>
    <w:p w14:paraId="06F61551">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承包人主要施工管理人员表</w:t>
      </w:r>
    </w:p>
    <w:tbl>
      <w:tblPr>
        <w:tblStyle w:val="27"/>
        <w:tblW w:w="875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148"/>
        <w:gridCol w:w="941"/>
        <w:gridCol w:w="1134"/>
        <w:gridCol w:w="3660"/>
      </w:tblGrid>
      <w:tr w14:paraId="3E4A8E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1871" w:type="dxa"/>
            <w:tcBorders>
              <w:top w:val="single" w:color="auto" w:sz="12" w:space="0"/>
              <w:bottom w:val="double" w:color="auto" w:sz="6" w:space="0"/>
            </w:tcBorders>
            <w:noWrap w:val="0"/>
            <w:vAlign w:val="center"/>
          </w:tcPr>
          <w:p w14:paraId="058FA1E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名    称</w:t>
            </w:r>
          </w:p>
        </w:tc>
        <w:tc>
          <w:tcPr>
            <w:tcW w:w="1148" w:type="dxa"/>
            <w:tcBorders>
              <w:top w:val="single" w:color="auto" w:sz="12" w:space="0"/>
              <w:bottom w:val="double" w:color="auto" w:sz="6" w:space="0"/>
            </w:tcBorders>
            <w:noWrap w:val="0"/>
            <w:vAlign w:val="center"/>
          </w:tcPr>
          <w:p w14:paraId="7AB2517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姓名</w:t>
            </w:r>
          </w:p>
        </w:tc>
        <w:tc>
          <w:tcPr>
            <w:tcW w:w="941" w:type="dxa"/>
            <w:tcBorders>
              <w:top w:val="single" w:color="auto" w:sz="12" w:space="0"/>
              <w:bottom w:val="double" w:color="auto" w:sz="6" w:space="0"/>
            </w:tcBorders>
            <w:noWrap w:val="0"/>
            <w:vAlign w:val="center"/>
          </w:tcPr>
          <w:p w14:paraId="42A4C598">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职务</w:t>
            </w:r>
          </w:p>
        </w:tc>
        <w:tc>
          <w:tcPr>
            <w:tcW w:w="1134" w:type="dxa"/>
            <w:tcBorders>
              <w:top w:val="single" w:color="auto" w:sz="12" w:space="0"/>
              <w:bottom w:val="double" w:color="auto" w:sz="6" w:space="0"/>
            </w:tcBorders>
            <w:noWrap w:val="0"/>
            <w:vAlign w:val="center"/>
          </w:tcPr>
          <w:p w14:paraId="4214C03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职称</w:t>
            </w:r>
          </w:p>
        </w:tc>
        <w:tc>
          <w:tcPr>
            <w:tcW w:w="3660" w:type="dxa"/>
            <w:tcBorders>
              <w:top w:val="single" w:color="auto" w:sz="12" w:space="0"/>
              <w:bottom w:val="double" w:color="auto" w:sz="6" w:space="0"/>
            </w:tcBorders>
            <w:noWrap w:val="0"/>
            <w:vAlign w:val="center"/>
          </w:tcPr>
          <w:p w14:paraId="33A5F4C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主要资历、经验及承担过的项目</w:t>
            </w:r>
          </w:p>
        </w:tc>
      </w:tr>
      <w:tr w14:paraId="377811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54" w:type="dxa"/>
            <w:gridSpan w:val="5"/>
            <w:tcBorders>
              <w:top w:val="double" w:color="auto" w:sz="6" w:space="0"/>
              <w:bottom w:val="single" w:color="auto" w:sz="6" w:space="0"/>
            </w:tcBorders>
            <w:noWrap w:val="0"/>
            <w:vAlign w:val="center"/>
          </w:tcPr>
          <w:p w14:paraId="4DB26E9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一、总部人员</w:t>
            </w:r>
          </w:p>
        </w:tc>
      </w:tr>
      <w:tr w14:paraId="6B3490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7E0261C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项目主管</w:t>
            </w:r>
          </w:p>
        </w:tc>
        <w:tc>
          <w:tcPr>
            <w:tcW w:w="1148" w:type="dxa"/>
            <w:tcBorders>
              <w:top w:val="nil"/>
            </w:tcBorders>
            <w:noWrap w:val="0"/>
            <w:vAlign w:val="center"/>
          </w:tcPr>
          <w:p w14:paraId="170ACEA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41" w:type="dxa"/>
            <w:tcBorders>
              <w:top w:val="nil"/>
            </w:tcBorders>
            <w:noWrap w:val="0"/>
            <w:vAlign w:val="center"/>
          </w:tcPr>
          <w:p w14:paraId="3E0B5D5A">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134" w:type="dxa"/>
            <w:tcBorders>
              <w:top w:val="nil"/>
            </w:tcBorders>
            <w:noWrap w:val="0"/>
            <w:vAlign w:val="center"/>
          </w:tcPr>
          <w:p w14:paraId="14F19A4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660" w:type="dxa"/>
            <w:tcBorders>
              <w:top w:val="nil"/>
            </w:tcBorders>
            <w:noWrap w:val="0"/>
            <w:vAlign w:val="center"/>
          </w:tcPr>
          <w:p w14:paraId="49F4D29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402280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nil"/>
            </w:tcBorders>
            <w:noWrap w:val="0"/>
            <w:vAlign w:val="center"/>
          </w:tcPr>
          <w:p w14:paraId="103F1B4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148" w:type="dxa"/>
            <w:noWrap w:val="0"/>
            <w:vAlign w:val="center"/>
          </w:tcPr>
          <w:p w14:paraId="7361466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41" w:type="dxa"/>
            <w:noWrap w:val="0"/>
            <w:vAlign w:val="center"/>
          </w:tcPr>
          <w:p w14:paraId="2258463E">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134" w:type="dxa"/>
            <w:noWrap w:val="0"/>
            <w:vAlign w:val="center"/>
          </w:tcPr>
          <w:p w14:paraId="1DF4BFA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660" w:type="dxa"/>
            <w:noWrap w:val="0"/>
            <w:vAlign w:val="center"/>
          </w:tcPr>
          <w:p w14:paraId="70F9ABF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2FF5A9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279C2D5A">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其他人员</w:t>
            </w:r>
          </w:p>
        </w:tc>
        <w:tc>
          <w:tcPr>
            <w:tcW w:w="1148" w:type="dxa"/>
            <w:noWrap w:val="0"/>
            <w:vAlign w:val="center"/>
          </w:tcPr>
          <w:p w14:paraId="0BCF1FC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41" w:type="dxa"/>
            <w:noWrap w:val="0"/>
            <w:vAlign w:val="center"/>
          </w:tcPr>
          <w:p w14:paraId="6ECCE44A">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134" w:type="dxa"/>
            <w:noWrap w:val="0"/>
            <w:vAlign w:val="center"/>
          </w:tcPr>
          <w:p w14:paraId="18994C3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660" w:type="dxa"/>
            <w:noWrap w:val="0"/>
            <w:vAlign w:val="center"/>
          </w:tcPr>
          <w:p w14:paraId="663977B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09C1BB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02DCC2DA">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148" w:type="dxa"/>
            <w:noWrap w:val="0"/>
            <w:vAlign w:val="center"/>
          </w:tcPr>
          <w:p w14:paraId="1C5DE6FE">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41" w:type="dxa"/>
            <w:noWrap w:val="0"/>
            <w:vAlign w:val="center"/>
          </w:tcPr>
          <w:p w14:paraId="38D0AA18">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134" w:type="dxa"/>
            <w:noWrap w:val="0"/>
            <w:vAlign w:val="center"/>
          </w:tcPr>
          <w:p w14:paraId="0C3252A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660" w:type="dxa"/>
            <w:noWrap w:val="0"/>
            <w:vAlign w:val="center"/>
          </w:tcPr>
          <w:p w14:paraId="2C3CB46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1999C1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54" w:type="dxa"/>
            <w:gridSpan w:val="5"/>
            <w:tcBorders>
              <w:top w:val="single" w:color="auto" w:sz="6" w:space="0"/>
              <w:bottom w:val="single" w:color="auto" w:sz="6" w:space="0"/>
            </w:tcBorders>
            <w:noWrap w:val="0"/>
            <w:vAlign w:val="center"/>
          </w:tcPr>
          <w:p w14:paraId="5FE931E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二、现场人员</w:t>
            </w:r>
          </w:p>
        </w:tc>
      </w:tr>
      <w:tr w14:paraId="394BF7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5135C00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项目经理</w:t>
            </w:r>
          </w:p>
        </w:tc>
        <w:tc>
          <w:tcPr>
            <w:tcW w:w="1148" w:type="dxa"/>
            <w:noWrap w:val="0"/>
            <w:vAlign w:val="center"/>
          </w:tcPr>
          <w:p w14:paraId="0E0E440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41" w:type="dxa"/>
            <w:noWrap w:val="0"/>
            <w:vAlign w:val="center"/>
          </w:tcPr>
          <w:p w14:paraId="1D9060B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134" w:type="dxa"/>
            <w:noWrap w:val="0"/>
            <w:vAlign w:val="center"/>
          </w:tcPr>
          <w:p w14:paraId="09CCBD8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660" w:type="dxa"/>
            <w:noWrap w:val="0"/>
            <w:vAlign w:val="center"/>
          </w:tcPr>
          <w:p w14:paraId="4DE6A2B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17BA11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3042EBD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项目副经理</w:t>
            </w:r>
          </w:p>
        </w:tc>
        <w:tc>
          <w:tcPr>
            <w:tcW w:w="1148" w:type="dxa"/>
            <w:noWrap w:val="0"/>
            <w:vAlign w:val="center"/>
          </w:tcPr>
          <w:p w14:paraId="1B66F37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41" w:type="dxa"/>
            <w:noWrap w:val="0"/>
            <w:vAlign w:val="center"/>
          </w:tcPr>
          <w:p w14:paraId="39EB271E">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134" w:type="dxa"/>
            <w:noWrap w:val="0"/>
            <w:vAlign w:val="center"/>
          </w:tcPr>
          <w:p w14:paraId="707654A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660" w:type="dxa"/>
            <w:noWrap w:val="0"/>
            <w:vAlign w:val="center"/>
          </w:tcPr>
          <w:p w14:paraId="0585E1C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6C91D8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770729BE">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技术负责人</w:t>
            </w:r>
          </w:p>
        </w:tc>
        <w:tc>
          <w:tcPr>
            <w:tcW w:w="1148" w:type="dxa"/>
            <w:noWrap w:val="0"/>
            <w:vAlign w:val="center"/>
          </w:tcPr>
          <w:p w14:paraId="237281D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41" w:type="dxa"/>
            <w:noWrap w:val="0"/>
            <w:vAlign w:val="center"/>
          </w:tcPr>
          <w:p w14:paraId="6843AD3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134" w:type="dxa"/>
            <w:noWrap w:val="0"/>
            <w:vAlign w:val="center"/>
          </w:tcPr>
          <w:p w14:paraId="3FE10EA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660" w:type="dxa"/>
            <w:noWrap w:val="0"/>
            <w:vAlign w:val="center"/>
          </w:tcPr>
          <w:p w14:paraId="1B82302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4B54FA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34BF4C68">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造价管理</w:t>
            </w:r>
          </w:p>
        </w:tc>
        <w:tc>
          <w:tcPr>
            <w:tcW w:w="1148" w:type="dxa"/>
            <w:noWrap w:val="0"/>
            <w:vAlign w:val="center"/>
          </w:tcPr>
          <w:p w14:paraId="4C438CE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41" w:type="dxa"/>
            <w:noWrap w:val="0"/>
            <w:vAlign w:val="center"/>
          </w:tcPr>
          <w:p w14:paraId="75CA571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134" w:type="dxa"/>
            <w:noWrap w:val="0"/>
            <w:vAlign w:val="center"/>
          </w:tcPr>
          <w:p w14:paraId="2F1C3C4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660" w:type="dxa"/>
            <w:noWrap w:val="0"/>
            <w:vAlign w:val="center"/>
          </w:tcPr>
          <w:p w14:paraId="3B3639E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4630F2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2700648A">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质量管理</w:t>
            </w:r>
          </w:p>
        </w:tc>
        <w:tc>
          <w:tcPr>
            <w:tcW w:w="1148" w:type="dxa"/>
            <w:noWrap w:val="0"/>
            <w:vAlign w:val="center"/>
          </w:tcPr>
          <w:p w14:paraId="30EF083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41" w:type="dxa"/>
            <w:noWrap w:val="0"/>
            <w:vAlign w:val="center"/>
          </w:tcPr>
          <w:p w14:paraId="66C7FA0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134" w:type="dxa"/>
            <w:noWrap w:val="0"/>
            <w:vAlign w:val="center"/>
          </w:tcPr>
          <w:p w14:paraId="76BBDCE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660" w:type="dxa"/>
            <w:noWrap w:val="0"/>
            <w:vAlign w:val="center"/>
          </w:tcPr>
          <w:p w14:paraId="30DB682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69643B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43C50AA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材料管理</w:t>
            </w:r>
          </w:p>
        </w:tc>
        <w:tc>
          <w:tcPr>
            <w:tcW w:w="1148" w:type="dxa"/>
            <w:noWrap w:val="0"/>
            <w:vAlign w:val="center"/>
          </w:tcPr>
          <w:p w14:paraId="3E564A1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41" w:type="dxa"/>
            <w:noWrap w:val="0"/>
            <w:vAlign w:val="center"/>
          </w:tcPr>
          <w:p w14:paraId="43E7B9F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134" w:type="dxa"/>
            <w:noWrap w:val="0"/>
            <w:vAlign w:val="center"/>
          </w:tcPr>
          <w:p w14:paraId="17CDC67E">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660" w:type="dxa"/>
            <w:noWrap w:val="0"/>
            <w:vAlign w:val="center"/>
          </w:tcPr>
          <w:p w14:paraId="04956B3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4F5E87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024C44A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计划管理</w:t>
            </w:r>
          </w:p>
        </w:tc>
        <w:tc>
          <w:tcPr>
            <w:tcW w:w="1148" w:type="dxa"/>
            <w:noWrap w:val="0"/>
            <w:vAlign w:val="center"/>
          </w:tcPr>
          <w:p w14:paraId="5057B80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41" w:type="dxa"/>
            <w:noWrap w:val="0"/>
            <w:vAlign w:val="center"/>
          </w:tcPr>
          <w:p w14:paraId="44A5DF88">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134" w:type="dxa"/>
            <w:noWrap w:val="0"/>
            <w:vAlign w:val="center"/>
          </w:tcPr>
          <w:p w14:paraId="4424E3F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660" w:type="dxa"/>
            <w:noWrap w:val="0"/>
            <w:vAlign w:val="center"/>
          </w:tcPr>
          <w:p w14:paraId="1F4B7E8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46213C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6BB86D97">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安全管理</w:t>
            </w:r>
          </w:p>
        </w:tc>
        <w:tc>
          <w:tcPr>
            <w:tcW w:w="1148" w:type="dxa"/>
            <w:noWrap w:val="0"/>
            <w:vAlign w:val="center"/>
          </w:tcPr>
          <w:p w14:paraId="2C997CE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41" w:type="dxa"/>
            <w:noWrap w:val="0"/>
            <w:vAlign w:val="center"/>
          </w:tcPr>
          <w:p w14:paraId="44461F1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134" w:type="dxa"/>
            <w:noWrap w:val="0"/>
            <w:vAlign w:val="center"/>
          </w:tcPr>
          <w:p w14:paraId="0AFF008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660" w:type="dxa"/>
            <w:noWrap w:val="0"/>
            <w:vAlign w:val="center"/>
          </w:tcPr>
          <w:p w14:paraId="478EA73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77B3B7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tcBorders>
              <w:top w:val="single" w:color="auto" w:sz="6" w:space="0"/>
            </w:tcBorders>
            <w:noWrap w:val="0"/>
            <w:vAlign w:val="center"/>
          </w:tcPr>
          <w:p w14:paraId="0DC4531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其他人员</w:t>
            </w:r>
          </w:p>
        </w:tc>
        <w:tc>
          <w:tcPr>
            <w:tcW w:w="1148" w:type="dxa"/>
            <w:noWrap w:val="0"/>
            <w:vAlign w:val="center"/>
          </w:tcPr>
          <w:p w14:paraId="6EAA968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41" w:type="dxa"/>
            <w:noWrap w:val="0"/>
            <w:vAlign w:val="center"/>
          </w:tcPr>
          <w:p w14:paraId="13C4DDD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134" w:type="dxa"/>
            <w:noWrap w:val="0"/>
            <w:vAlign w:val="center"/>
          </w:tcPr>
          <w:p w14:paraId="3FDBE33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660" w:type="dxa"/>
            <w:noWrap w:val="0"/>
            <w:vAlign w:val="center"/>
          </w:tcPr>
          <w:p w14:paraId="25BD610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0CC206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1BF7FE5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148" w:type="dxa"/>
            <w:tcBorders>
              <w:bottom w:val="nil"/>
            </w:tcBorders>
            <w:noWrap w:val="0"/>
            <w:vAlign w:val="center"/>
          </w:tcPr>
          <w:p w14:paraId="134269A7">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41" w:type="dxa"/>
            <w:tcBorders>
              <w:bottom w:val="nil"/>
            </w:tcBorders>
            <w:noWrap w:val="0"/>
            <w:vAlign w:val="center"/>
          </w:tcPr>
          <w:p w14:paraId="2CB3988A">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134" w:type="dxa"/>
            <w:tcBorders>
              <w:bottom w:val="nil"/>
            </w:tcBorders>
            <w:noWrap w:val="0"/>
            <w:vAlign w:val="center"/>
          </w:tcPr>
          <w:p w14:paraId="0E46D8A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660" w:type="dxa"/>
            <w:tcBorders>
              <w:bottom w:val="nil"/>
            </w:tcBorders>
            <w:noWrap w:val="0"/>
            <w:vAlign w:val="center"/>
          </w:tcPr>
          <w:p w14:paraId="14BFAA3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4F04C2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5D0A97C7">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148" w:type="dxa"/>
            <w:noWrap w:val="0"/>
            <w:vAlign w:val="center"/>
          </w:tcPr>
          <w:p w14:paraId="224B4A3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41" w:type="dxa"/>
            <w:noWrap w:val="0"/>
            <w:vAlign w:val="center"/>
          </w:tcPr>
          <w:p w14:paraId="111178F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134" w:type="dxa"/>
            <w:noWrap w:val="0"/>
            <w:vAlign w:val="center"/>
          </w:tcPr>
          <w:p w14:paraId="68102E0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660" w:type="dxa"/>
            <w:noWrap w:val="0"/>
            <w:vAlign w:val="center"/>
          </w:tcPr>
          <w:p w14:paraId="192E52A8">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0F3E6D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22F0390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148" w:type="dxa"/>
            <w:noWrap w:val="0"/>
            <w:vAlign w:val="center"/>
          </w:tcPr>
          <w:p w14:paraId="509DFE9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41" w:type="dxa"/>
            <w:noWrap w:val="0"/>
            <w:vAlign w:val="center"/>
          </w:tcPr>
          <w:p w14:paraId="6A3DD32A">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134" w:type="dxa"/>
            <w:noWrap w:val="0"/>
            <w:vAlign w:val="center"/>
          </w:tcPr>
          <w:p w14:paraId="1AEEADA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660" w:type="dxa"/>
            <w:noWrap w:val="0"/>
            <w:vAlign w:val="center"/>
          </w:tcPr>
          <w:p w14:paraId="493728D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5E4066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717100A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148" w:type="dxa"/>
            <w:noWrap w:val="0"/>
            <w:vAlign w:val="center"/>
          </w:tcPr>
          <w:p w14:paraId="1164DC2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41" w:type="dxa"/>
            <w:noWrap w:val="0"/>
            <w:vAlign w:val="center"/>
          </w:tcPr>
          <w:p w14:paraId="71B15E2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134" w:type="dxa"/>
            <w:noWrap w:val="0"/>
            <w:vAlign w:val="center"/>
          </w:tcPr>
          <w:p w14:paraId="74DE0DFE">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660" w:type="dxa"/>
            <w:noWrap w:val="0"/>
            <w:vAlign w:val="center"/>
          </w:tcPr>
          <w:p w14:paraId="1C6CB43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4C9DA6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bottom w:val="single" w:color="auto" w:sz="12" w:space="0"/>
            </w:tcBorders>
            <w:noWrap w:val="0"/>
            <w:vAlign w:val="center"/>
          </w:tcPr>
          <w:p w14:paraId="70C58B7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148" w:type="dxa"/>
            <w:tcBorders>
              <w:bottom w:val="single" w:color="auto" w:sz="12" w:space="0"/>
            </w:tcBorders>
            <w:noWrap w:val="0"/>
            <w:vAlign w:val="center"/>
          </w:tcPr>
          <w:p w14:paraId="3BF29EF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41" w:type="dxa"/>
            <w:tcBorders>
              <w:bottom w:val="single" w:color="auto" w:sz="12" w:space="0"/>
            </w:tcBorders>
            <w:noWrap w:val="0"/>
            <w:vAlign w:val="center"/>
          </w:tcPr>
          <w:p w14:paraId="7554895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134" w:type="dxa"/>
            <w:tcBorders>
              <w:bottom w:val="single" w:color="auto" w:sz="12" w:space="0"/>
            </w:tcBorders>
            <w:noWrap w:val="0"/>
            <w:vAlign w:val="center"/>
          </w:tcPr>
          <w:p w14:paraId="30D1E57E">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660" w:type="dxa"/>
            <w:tcBorders>
              <w:bottom w:val="single" w:color="auto" w:sz="12" w:space="0"/>
            </w:tcBorders>
            <w:noWrap w:val="0"/>
            <w:vAlign w:val="center"/>
          </w:tcPr>
          <w:p w14:paraId="139D5CF7">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bl>
    <w:p w14:paraId="373687F6">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r>
        <w:rPr>
          <w:rFonts w:hint="eastAsia" w:ascii="宋体" w:hAnsi="宋体" w:eastAsia="宋体" w:cs="宋体"/>
          <w:color w:val="auto"/>
          <w:sz w:val="21"/>
          <w:szCs w:val="21"/>
          <w:highlight w:val="none"/>
        </w:rPr>
        <w:t>附件7：</w:t>
      </w:r>
    </w:p>
    <w:p w14:paraId="2A38FEB9">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分包人主要施工管理人员表</w:t>
      </w:r>
    </w:p>
    <w:tbl>
      <w:tblPr>
        <w:tblStyle w:val="27"/>
        <w:tblW w:w="862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63"/>
        <w:gridCol w:w="1418"/>
        <w:gridCol w:w="928"/>
        <w:gridCol w:w="902"/>
        <w:gridCol w:w="3814"/>
      </w:tblGrid>
      <w:tr w14:paraId="75047E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12" w:space="0"/>
              <w:bottom w:val="double" w:color="auto" w:sz="6" w:space="0"/>
            </w:tcBorders>
            <w:noWrap w:val="0"/>
            <w:vAlign w:val="center"/>
          </w:tcPr>
          <w:p w14:paraId="5B95106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名    称</w:t>
            </w:r>
          </w:p>
        </w:tc>
        <w:tc>
          <w:tcPr>
            <w:tcW w:w="1418" w:type="dxa"/>
            <w:tcBorders>
              <w:top w:val="single" w:color="auto" w:sz="12" w:space="0"/>
              <w:bottom w:val="double" w:color="auto" w:sz="6" w:space="0"/>
            </w:tcBorders>
            <w:noWrap w:val="0"/>
            <w:vAlign w:val="center"/>
          </w:tcPr>
          <w:p w14:paraId="511AD0B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姓名</w:t>
            </w:r>
          </w:p>
        </w:tc>
        <w:tc>
          <w:tcPr>
            <w:tcW w:w="928" w:type="dxa"/>
            <w:tcBorders>
              <w:top w:val="single" w:color="auto" w:sz="12" w:space="0"/>
              <w:bottom w:val="double" w:color="auto" w:sz="6" w:space="0"/>
            </w:tcBorders>
            <w:noWrap w:val="0"/>
            <w:vAlign w:val="center"/>
          </w:tcPr>
          <w:p w14:paraId="556AE38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职务</w:t>
            </w:r>
          </w:p>
        </w:tc>
        <w:tc>
          <w:tcPr>
            <w:tcW w:w="902" w:type="dxa"/>
            <w:tcBorders>
              <w:top w:val="single" w:color="auto" w:sz="12" w:space="0"/>
              <w:bottom w:val="double" w:color="auto" w:sz="6" w:space="0"/>
            </w:tcBorders>
            <w:noWrap w:val="0"/>
            <w:vAlign w:val="center"/>
          </w:tcPr>
          <w:p w14:paraId="43223B4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职称</w:t>
            </w:r>
          </w:p>
        </w:tc>
        <w:tc>
          <w:tcPr>
            <w:tcW w:w="3814" w:type="dxa"/>
            <w:tcBorders>
              <w:top w:val="single" w:color="auto" w:sz="12" w:space="0"/>
              <w:bottom w:val="double" w:color="auto" w:sz="6" w:space="0"/>
            </w:tcBorders>
            <w:noWrap w:val="0"/>
            <w:vAlign w:val="center"/>
          </w:tcPr>
          <w:p w14:paraId="2EAFF8D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主要资历、经验及承担过的项目</w:t>
            </w:r>
          </w:p>
        </w:tc>
      </w:tr>
      <w:tr w14:paraId="0282BE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625" w:type="dxa"/>
            <w:gridSpan w:val="5"/>
            <w:tcBorders>
              <w:top w:val="double" w:color="auto" w:sz="6" w:space="0"/>
              <w:bottom w:val="single" w:color="auto" w:sz="6" w:space="0"/>
            </w:tcBorders>
            <w:noWrap w:val="0"/>
            <w:vAlign w:val="center"/>
          </w:tcPr>
          <w:p w14:paraId="18A1107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一、总部人员</w:t>
            </w:r>
          </w:p>
        </w:tc>
      </w:tr>
      <w:tr w14:paraId="5DFB4E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nil"/>
              <w:bottom w:val="nil"/>
            </w:tcBorders>
            <w:noWrap w:val="0"/>
            <w:vAlign w:val="center"/>
          </w:tcPr>
          <w:p w14:paraId="41B6FFE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项目主管</w:t>
            </w:r>
          </w:p>
        </w:tc>
        <w:tc>
          <w:tcPr>
            <w:tcW w:w="1418" w:type="dxa"/>
            <w:tcBorders>
              <w:top w:val="nil"/>
            </w:tcBorders>
            <w:noWrap w:val="0"/>
            <w:vAlign w:val="center"/>
          </w:tcPr>
          <w:p w14:paraId="16D7700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28" w:type="dxa"/>
            <w:tcBorders>
              <w:top w:val="nil"/>
            </w:tcBorders>
            <w:noWrap w:val="0"/>
            <w:vAlign w:val="center"/>
          </w:tcPr>
          <w:p w14:paraId="700B53E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2" w:type="dxa"/>
            <w:tcBorders>
              <w:top w:val="nil"/>
            </w:tcBorders>
            <w:noWrap w:val="0"/>
            <w:vAlign w:val="center"/>
          </w:tcPr>
          <w:p w14:paraId="5EB175B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814" w:type="dxa"/>
            <w:tcBorders>
              <w:top w:val="nil"/>
            </w:tcBorders>
            <w:noWrap w:val="0"/>
            <w:vAlign w:val="center"/>
          </w:tcPr>
          <w:p w14:paraId="1E7D35C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25D5C2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nil"/>
            </w:tcBorders>
            <w:noWrap w:val="0"/>
            <w:vAlign w:val="center"/>
          </w:tcPr>
          <w:p w14:paraId="0FC4F498">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8" w:type="dxa"/>
            <w:noWrap w:val="0"/>
            <w:vAlign w:val="center"/>
          </w:tcPr>
          <w:p w14:paraId="482C090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28" w:type="dxa"/>
            <w:noWrap w:val="0"/>
            <w:vAlign w:val="center"/>
          </w:tcPr>
          <w:p w14:paraId="7913504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2" w:type="dxa"/>
            <w:noWrap w:val="0"/>
            <w:vAlign w:val="center"/>
          </w:tcPr>
          <w:p w14:paraId="01DDB14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814" w:type="dxa"/>
            <w:noWrap w:val="0"/>
            <w:vAlign w:val="center"/>
          </w:tcPr>
          <w:p w14:paraId="334027F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6510E2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nil"/>
              <w:bottom w:val="nil"/>
            </w:tcBorders>
            <w:noWrap w:val="0"/>
            <w:vAlign w:val="center"/>
          </w:tcPr>
          <w:p w14:paraId="23449A9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其他人员</w:t>
            </w:r>
          </w:p>
        </w:tc>
        <w:tc>
          <w:tcPr>
            <w:tcW w:w="1418" w:type="dxa"/>
            <w:noWrap w:val="0"/>
            <w:vAlign w:val="center"/>
          </w:tcPr>
          <w:p w14:paraId="0D0BF6C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28" w:type="dxa"/>
            <w:noWrap w:val="0"/>
            <w:vAlign w:val="center"/>
          </w:tcPr>
          <w:p w14:paraId="281E078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2" w:type="dxa"/>
            <w:noWrap w:val="0"/>
            <w:vAlign w:val="center"/>
          </w:tcPr>
          <w:p w14:paraId="1CFF0F5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814" w:type="dxa"/>
            <w:noWrap w:val="0"/>
            <w:vAlign w:val="center"/>
          </w:tcPr>
          <w:p w14:paraId="21941BB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5F2747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nil"/>
              <w:bottom w:val="nil"/>
            </w:tcBorders>
            <w:noWrap w:val="0"/>
            <w:vAlign w:val="center"/>
          </w:tcPr>
          <w:p w14:paraId="3647F017">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8" w:type="dxa"/>
            <w:noWrap w:val="0"/>
            <w:vAlign w:val="center"/>
          </w:tcPr>
          <w:p w14:paraId="17430567">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28" w:type="dxa"/>
            <w:noWrap w:val="0"/>
            <w:vAlign w:val="center"/>
          </w:tcPr>
          <w:p w14:paraId="3BFB104E">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2" w:type="dxa"/>
            <w:noWrap w:val="0"/>
            <w:vAlign w:val="center"/>
          </w:tcPr>
          <w:p w14:paraId="72D4A68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814" w:type="dxa"/>
            <w:noWrap w:val="0"/>
            <w:vAlign w:val="center"/>
          </w:tcPr>
          <w:p w14:paraId="46D2EDE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52A4CE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625" w:type="dxa"/>
            <w:gridSpan w:val="5"/>
            <w:tcBorders>
              <w:top w:val="single" w:color="auto" w:sz="6" w:space="0"/>
              <w:bottom w:val="single" w:color="auto" w:sz="6" w:space="0"/>
            </w:tcBorders>
            <w:noWrap w:val="0"/>
            <w:vAlign w:val="center"/>
          </w:tcPr>
          <w:p w14:paraId="112C743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二、现场人员</w:t>
            </w:r>
          </w:p>
        </w:tc>
      </w:tr>
      <w:tr w14:paraId="7E4CE0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single" w:color="auto" w:sz="6" w:space="0"/>
            </w:tcBorders>
            <w:noWrap w:val="0"/>
            <w:vAlign w:val="center"/>
          </w:tcPr>
          <w:p w14:paraId="64D1747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项目经理</w:t>
            </w:r>
          </w:p>
        </w:tc>
        <w:tc>
          <w:tcPr>
            <w:tcW w:w="1418" w:type="dxa"/>
            <w:noWrap w:val="0"/>
            <w:vAlign w:val="center"/>
          </w:tcPr>
          <w:p w14:paraId="3385476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28" w:type="dxa"/>
            <w:noWrap w:val="0"/>
            <w:vAlign w:val="center"/>
          </w:tcPr>
          <w:p w14:paraId="35F3CB6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2" w:type="dxa"/>
            <w:noWrap w:val="0"/>
            <w:vAlign w:val="center"/>
          </w:tcPr>
          <w:p w14:paraId="46504DB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814" w:type="dxa"/>
            <w:noWrap w:val="0"/>
            <w:vAlign w:val="center"/>
          </w:tcPr>
          <w:p w14:paraId="51E2801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76C7ED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single" w:color="auto" w:sz="6" w:space="0"/>
            </w:tcBorders>
            <w:noWrap w:val="0"/>
            <w:vAlign w:val="center"/>
          </w:tcPr>
          <w:p w14:paraId="6B4814A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项目副经理</w:t>
            </w:r>
          </w:p>
        </w:tc>
        <w:tc>
          <w:tcPr>
            <w:tcW w:w="1418" w:type="dxa"/>
            <w:noWrap w:val="0"/>
            <w:vAlign w:val="center"/>
          </w:tcPr>
          <w:p w14:paraId="0497EA3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28" w:type="dxa"/>
            <w:noWrap w:val="0"/>
            <w:vAlign w:val="center"/>
          </w:tcPr>
          <w:p w14:paraId="269C95B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2" w:type="dxa"/>
            <w:noWrap w:val="0"/>
            <w:vAlign w:val="center"/>
          </w:tcPr>
          <w:p w14:paraId="118CE1BA">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814" w:type="dxa"/>
            <w:noWrap w:val="0"/>
            <w:vAlign w:val="center"/>
          </w:tcPr>
          <w:p w14:paraId="08AF0E0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289F86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single" w:color="auto" w:sz="6" w:space="0"/>
            </w:tcBorders>
            <w:noWrap w:val="0"/>
            <w:vAlign w:val="center"/>
          </w:tcPr>
          <w:p w14:paraId="4C7B7BA7">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技术负责人</w:t>
            </w:r>
          </w:p>
        </w:tc>
        <w:tc>
          <w:tcPr>
            <w:tcW w:w="1418" w:type="dxa"/>
            <w:noWrap w:val="0"/>
            <w:vAlign w:val="center"/>
          </w:tcPr>
          <w:p w14:paraId="2A82343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28" w:type="dxa"/>
            <w:noWrap w:val="0"/>
            <w:vAlign w:val="center"/>
          </w:tcPr>
          <w:p w14:paraId="0FB7E62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2" w:type="dxa"/>
            <w:noWrap w:val="0"/>
            <w:vAlign w:val="center"/>
          </w:tcPr>
          <w:p w14:paraId="24496E8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814" w:type="dxa"/>
            <w:noWrap w:val="0"/>
            <w:vAlign w:val="center"/>
          </w:tcPr>
          <w:p w14:paraId="2F4A39FA">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425313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single" w:color="auto" w:sz="6" w:space="0"/>
            </w:tcBorders>
            <w:noWrap w:val="0"/>
            <w:vAlign w:val="center"/>
          </w:tcPr>
          <w:p w14:paraId="605AC78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造价管理</w:t>
            </w:r>
          </w:p>
        </w:tc>
        <w:tc>
          <w:tcPr>
            <w:tcW w:w="1418" w:type="dxa"/>
            <w:noWrap w:val="0"/>
            <w:vAlign w:val="center"/>
          </w:tcPr>
          <w:p w14:paraId="345649A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28" w:type="dxa"/>
            <w:noWrap w:val="0"/>
            <w:vAlign w:val="center"/>
          </w:tcPr>
          <w:p w14:paraId="11EADFC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2" w:type="dxa"/>
            <w:noWrap w:val="0"/>
            <w:vAlign w:val="center"/>
          </w:tcPr>
          <w:p w14:paraId="4426E5F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814" w:type="dxa"/>
            <w:noWrap w:val="0"/>
            <w:vAlign w:val="center"/>
          </w:tcPr>
          <w:p w14:paraId="12BD3DA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7C910D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single" w:color="auto" w:sz="6" w:space="0"/>
            </w:tcBorders>
            <w:noWrap w:val="0"/>
            <w:vAlign w:val="center"/>
          </w:tcPr>
          <w:p w14:paraId="50F4DAD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质量管理</w:t>
            </w:r>
          </w:p>
        </w:tc>
        <w:tc>
          <w:tcPr>
            <w:tcW w:w="1418" w:type="dxa"/>
            <w:noWrap w:val="0"/>
            <w:vAlign w:val="center"/>
          </w:tcPr>
          <w:p w14:paraId="286D7162">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28" w:type="dxa"/>
            <w:noWrap w:val="0"/>
            <w:vAlign w:val="center"/>
          </w:tcPr>
          <w:p w14:paraId="079759A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2" w:type="dxa"/>
            <w:noWrap w:val="0"/>
            <w:vAlign w:val="center"/>
          </w:tcPr>
          <w:p w14:paraId="247090B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814" w:type="dxa"/>
            <w:noWrap w:val="0"/>
            <w:vAlign w:val="center"/>
          </w:tcPr>
          <w:p w14:paraId="3A4F6A4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18FFB2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single" w:color="auto" w:sz="6" w:space="0"/>
            </w:tcBorders>
            <w:noWrap w:val="0"/>
            <w:vAlign w:val="center"/>
          </w:tcPr>
          <w:p w14:paraId="0E2F6278">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材料管理</w:t>
            </w:r>
          </w:p>
        </w:tc>
        <w:tc>
          <w:tcPr>
            <w:tcW w:w="1418" w:type="dxa"/>
            <w:noWrap w:val="0"/>
            <w:vAlign w:val="center"/>
          </w:tcPr>
          <w:p w14:paraId="6368036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28" w:type="dxa"/>
            <w:noWrap w:val="0"/>
            <w:vAlign w:val="center"/>
          </w:tcPr>
          <w:p w14:paraId="0450350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2" w:type="dxa"/>
            <w:noWrap w:val="0"/>
            <w:vAlign w:val="center"/>
          </w:tcPr>
          <w:p w14:paraId="17039A9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814" w:type="dxa"/>
            <w:noWrap w:val="0"/>
            <w:vAlign w:val="center"/>
          </w:tcPr>
          <w:p w14:paraId="3F52456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66A041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single" w:color="auto" w:sz="6" w:space="0"/>
            </w:tcBorders>
            <w:noWrap w:val="0"/>
            <w:vAlign w:val="center"/>
          </w:tcPr>
          <w:p w14:paraId="7AD030FE">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计划管理</w:t>
            </w:r>
          </w:p>
        </w:tc>
        <w:tc>
          <w:tcPr>
            <w:tcW w:w="1418" w:type="dxa"/>
            <w:noWrap w:val="0"/>
            <w:vAlign w:val="center"/>
          </w:tcPr>
          <w:p w14:paraId="67B1F01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28" w:type="dxa"/>
            <w:noWrap w:val="0"/>
            <w:vAlign w:val="center"/>
          </w:tcPr>
          <w:p w14:paraId="62150B2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2" w:type="dxa"/>
            <w:noWrap w:val="0"/>
            <w:vAlign w:val="center"/>
          </w:tcPr>
          <w:p w14:paraId="4DA0860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814" w:type="dxa"/>
            <w:noWrap w:val="0"/>
            <w:vAlign w:val="center"/>
          </w:tcPr>
          <w:p w14:paraId="71EB1C6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4D7F0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single" w:color="auto" w:sz="6" w:space="0"/>
            </w:tcBorders>
            <w:noWrap w:val="0"/>
            <w:vAlign w:val="center"/>
          </w:tcPr>
          <w:p w14:paraId="55092D7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安全管理</w:t>
            </w:r>
          </w:p>
        </w:tc>
        <w:tc>
          <w:tcPr>
            <w:tcW w:w="1418" w:type="dxa"/>
            <w:noWrap w:val="0"/>
            <w:vAlign w:val="center"/>
          </w:tcPr>
          <w:p w14:paraId="7D7CB99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28" w:type="dxa"/>
            <w:noWrap w:val="0"/>
            <w:vAlign w:val="center"/>
          </w:tcPr>
          <w:p w14:paraId="443B504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2" w:type="dxa"/>
            <w:noWrap w:val="0"/>
            <w:vAlign w:val="center"/>
          </w:tcPr>
          <w:p w14:paraId="69CF5A2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814" w:type="dxa"/>
            <w:noWrap w:val="0"/>
            <w:vAlign w:val="center"/>
          </w:tcPr>
          <w:p w14:paraId="7162E25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39F4E3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vMerge w:val="restart"/>
            <w:tcBorders>
              <w:top w:val="single" w:color="auto" w:sz="6" w:space="0"/>
            </w:tcBorders>
            <w:noWrap w:val="0"/>
            <w:vAlign w:val="center"/>
          </w:tcPr>
          <w:p w14:paraId="768228AE">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其他人员</w:t>
            </w:r>
          </w:p>
        </w:tc>
        <w:tc>
          <w:tcPr>
            <w:tcW w:w="1418" w:type="dxa"/>
            <w:noWrap w:val="0"/>
            <w:vAlign w:val="center"/>
          </w:tcPr>
          <w:p w14:paraId="1CA648F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28" w:type="dxa"/>
            <w:noWrap w:val="0"/>
            <w:vAlign w:val="center"/>
          </w:tcPr>
          <w:p w14:paraId="23F1337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2" w:type="dxa"/>
            <w:noWrap w:val="0"/>
            <w:vAlign w:val="center"/>
          </w:tcPr>
          <w:p w14:paraId="52A7DAB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814" w:type="dxa"/>
            <w:noWrap w:val="0"/>
            <w:vAlign w:val="center"/>
          </w:tcPr>
          <w:p w14:paraId="244A88D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0D0C43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vMerge w:val="continue"/>
            <w:noWrap w:val="0"/>
            <w:vAlign w:val="center"/>
          </w:tcPr>
          <w:p w14:paraId="5559DB2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8" w:type="dxa"/>
            <w:tcBorders>
              <w:bottom w:val="nil"/>
            </w:tcBorders>
            <w:noWrap w:val="0"/>
            <w:vAlign w:val="center"/>
          </w:tcPr>
          <w:p w14:paraId="78BE067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28" w:type="dxa"/>
            <w:tcBorders>
              <w:bottom w:val="nil"/>
            </w:tcBorders>
            <w:noWrap w:val="0"/>
            <w:vAlign w:val="center"/>
          </w:tcPr>
          <w:p w14:paraId="4B66B28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2" w:type="dxa"/>
            <w:tcBorders>
              <w:bottom w:val="nil"/>
            </w:tcBorders>
            <w:noWrap w:val="0"/>
            <w:vAlign w:val="center"/>
          </w:tcPr>
          <w:p w14:paraId="79ED7985">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814" w:type="dxa"/>
            <w:tcBorders>
              <w:bottom w:val="nil"/>
            </w:tcBorders>
            <w:noWrap w:val="0"/>
            <w:vAlign w:val="center"/>
          </w:tcPr>
          <w:p w14:paraId="52EA2CE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14E5F4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vMerge w:val="continue"/>
            <w:noWrap w:val="0"/>
            <w:vAlign w:val="center"/>
          </w:tcPr>
          <w:p w14:paraId="1D12F738">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8" w:type="dxa"/>
            <w:noWrap w:val="0"/>
            <w:vAlign w:val="center"/>
          </w:tcPr>
          <w:p w14:paraId="5C04DF6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28" w:type="dxa"/>
            <w:noWrap w:val="0"/>
            <w:vAlign w:val="center"/>
          </w:tcPr>
          <w:p w14:paraId="0C5E24E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2" w:type="dxa"/>
            <w:noWrap w:val="0"/>
            <w:vAlign w:val="center"/>
          </w:tcPr>
          <w:p w14:paraId="29628986">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814" w:type="dxa"/>
            <w:noWrap w:val="0"/>
            <w:vAlign w:val="center"/>
          </w:tcPr>
          <w:p w14:paraId="7DFA134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117FFC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vMerge w:val="continue"/>
            <w:noWrap w:val="0"/>
            <w:vAlign w:val="center"/>
          </w:tcPr>
          <w:p w14:paraId="66E7B333">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8" w:type="dxa"/>
            <w:noWrap w:val="0"/>
            <w:vAlign w:val="center"/>
          </w:tcPr>
          <w:p w14:paraId="024D33CD">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28" w:type="dxa"/>
            <w:noWrap w:val="0"/>
            <w:vAlign w:val="center"/>
          </w:tcPr>
          <w:p w14:paraId="2D5F33E7">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2" w:type="dxa"/>
            <w:noWrap w:val="0"/>
            <w:vAlign w:val="center"/>
          </w:tcPr>
          <w:p w14:paraId="6116075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814" w:type="dxa"/>
            <w:noWrap w:val="0"/>
            <w:vAlign w:val="center"/>
          </w:tcPr>
          <w:p w14:paraId="3CD50A10">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394A34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vMerge w:val="continue"/>
            <w:noWrap w:val="0"/>
            <w:vAlign w:val="center"/>
          </w:tcPr>
          <w:p w14:paraId="7DF9B81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8" w:type="dxa"/>
            <w:noWrap w:val="0"/>
            <w:vAlign w:val="center"/>
          </w:tcPr>
          <w:p w14:paraId="6794C9A1">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28" w:type="dxa"/>
            <w:noWrap w:val="0"/>
            <w:vAlign w:val="center"/>
          </w:tcPr>
          <w:p w14:paraId="48BE5C5B">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2" w:type="dxa"/>
            <w:noWrap w:val="0"/>
            <w:vAlign w:val="center"/>
          </w:tcPr>
          <w:p w14:paraId="438ABBFE">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814" w:type="dxa"/>
            <w:noWrap w:val="0"/>
            <w:vAlign w:val="center"/>
          </w:tcPr>
          <w:p w14:paraId="6CCB2F97">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r w14:paraId="04628C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vMerge w:val="continue"/>
            <w:tcBorders>
              <w:bottom w:val="single" w:color="auto" w:sz="12" w:space="0"/>
            </w:tcBorders>
            <w:noWrap w:val="0"/>
            <w:vAlign w:val="center"/>
          </w:tcPr>
          <w:p w14:paraId="1A5D99A7">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1418" w:type="dxa"/>
            <w:tcBorders>
              <w:bottom w:val="single" w:color="auto" w:sz="12" w:space="0"/>
            </w:tcBorders>
            <w:noWrap w:val="0"/>
            <w:vAlign w:val="center"/>
          </w:tcPr>
          <w:p w14:paraId="78E35914">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28" w:type="dxa"/>
            <w:tcBorders>
              <w:bottom w:val="single" w:color="auto" w:sz="12" w:space="0"/>
            </w:tcBorders>
            <w:noWrap w:val="0"/>
            <w:vAlign w:val="center"/>
          </w:tcPr>
          <w:p w14:paraId="4A50C2AC">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902" w:type="dxa"/>
            <w:tcBorders>
              <w:bottom w:val="single" w:color="auto" w:sz="12" w:space="0"/>
            </w:tcBorders>
            <w:noWrap w:val="0"/>
            <w:vAlign w:val="center"/>
          </w:tcPr>
          <w:p w14:paraId="4DBA021F">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c>
          <w:tcPr>
            <w:tcW w:w="3814" w:type="dxa"/>
            <w:tcBorders>
              <w:bottom w:val="single" w:color="auto" w:sz="12" w:space="0"/>
            </w:tcBorders>
            <w:noWrap w:val="0"/>
            <w:vAlign w:val="center"/>
          </w:tcPr>
          <w:p w14:paraId="7A4D6799">
            <w:pPr>
              <w:pStyle w:val="9"/>
              <w:keepNext w:val="0"/>
              <w:keepLines w:val="0"/>
              <w:pageBreakBefore w:val="0"/>
              <w:widowControl w:val="0"/>
              <w:kinsoku/>
              <w:wordWrap/>
              <w:overflowPunct/>
              <w:topLinePunct w:val="0"/>
              <w:bidi w:val="0"/>
              <w:snapToGrid/>
              <w:spacing w:after="0" w:line="360" w:lineRule="exact"/>
              <w:ind w:left="0" w:leftChars="0" w:right="0" w:rightChars="0"/>
              <w:rPr>
                <w:rFonts w:hint="eastAsia" w:ascii="宋体" w:hAnsi="宋体" w:eastAsia="宋体" w:cs="宋体"/>
                <w:color w:val="auto"/>
                <w:kern w:val="2"/>
                <w:sz w:val="21"/>
                <w:szCs w:val="21"/>
                <w:highlight w:val="none"/>
                <w:lang w:val="en-US" w:eastAsia="zh-CN"/>
              </w:rPr>
            </w:pPr>
          </w:p>
        </w:tc>
      </w:tr>
    </w:tbl>
    <w:p w14:paraId="68F0D2A0">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r>
        <w:rPr>
          <w:rFonts w:hint="eastAsia" w:ascii="宋体" w:hAnsi="宋体" w:eastAsia="宋体" w:cs="宋体"/>
          <w:color w:val="auto"/>
          <w:sz w:val="21"/>
          <w:szCs w:val="21"/>
          <w:highlight w:val="none"/>
        </w:rPr>
        <w:t>附件8：</w:t>
      </w:r>
    </w:p>
    <w:p w14:paraId="0193C597">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履约担保</w:t>
      </w:r>
    </w:p>
    <w:p w14:paraId="144D98B5">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rPr>
        <w:t>（发包人名称）：</w:t>
      </w:r>
    </w:p>
    <w:p w14:paraId="6933D4CB">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p w14:paraId="0CCA25A3">
      <w:pPr>
        <w:keepNext w:val="0"/>
        <w:keepLines w:val="0"/>
        <w:pageBreakBefore w:val="0"/>
        <w:widowControl w:val="0"/>
        <w:kinsoku/>
        <w:wordWrap/>
        <w:overflowPunct/>
        <w:topLinePunct w:val="0"/>
        <w:bidi w:val="0"/>
        <w:snapToGrid/>
        <w:spacing w:line="36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鉴于</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（发包人名称，以下简称“发包人”）与</w:t>
      </w:r>
    </w:p>
    <w:p w14:paraId="1843E64C">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（承包人名称）（以下称“承包人”）于</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（工程名称）施工及有关事项协商一致共同签订《建设工程施工合同》。我方愿意无条件地、不可撤销地就承包人履行与你方签订的合同，向你方提供连带责任担保。 </w:t>
      </w:r>
    </w:p>
    <w:p w14:paraId="2C167172">
      <w:pPr>
        <w:keepNext w:val="0"/>
        <w:keepLines w:val="0"/>
        <w:pageBreakBefore w:val="0"/>
        <w:widowControl w:val="0"/>
        <w:kinsoku/>
        <w:wordWrap/>
        <w:overflowPunct/>
        <w:topLinePunct w:val="0"/>
        <w:bidi w:val="0"/>
        <w:snapToGrid/>
        <w:spacing w:line="36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担保金额人民币（大写）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A699561">
      <w:pPr>
        <w:keepNext w:val="0"/>
        <w:keepLines w:val="0"/>
        <w:pageBreakBefore w:val="0"/>
        <w:widowControl w:val="0"/>
        <w:kinsoku/>
        <w:wordWrap/>
        <w:overflowPunct/>
        <w:topLinePunct w:val="0"/>
        <w:bidi w:val="0"/>
        <w:snapToGrid/>
        <w:spacing w:line="36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担保有效期自你方与承包人签订的合同生效之日起至你方签发或应签发工程接收证书之日止。</w:t>
      </w:r>
    </w:p>
    <w:p w14:paraId="396B005C">
      <w:pPr>
        <w:keepNext w:val="0"/>
        <w:keepLines w:val="0"/>
        <w:pageBreakBefore w:val="0"/>
        <w:widowControl w:val="0"/>
        <w:kinsoku/>
        <w:wordWrap/>
        <w:overflowPunct/>
        <w:topLinePunct w:val="0"/>
        <w:bidi w:val="0"/>
        <w:snapToGrid/>
        <w:spacing w:line="36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在本担保有效期内，因承包人违反合同约定的义务给你方造成经济损失时，我方在收到你方以书面形式提出的在担保金额内的赔偿要求后，在7天内无条件支付。</w:t>
      </w:r>
    </w:p>
    <w:p w14:paraId="2BFFB368">
      <w:pPr>
        <w:keepNext w:val="0"/>
        <w:keepLines w:val="0"/>
        <w:pageBreakBefore w:val="0"/>
        <w:widowControl w:val="0"/>
        <w:kinsoku/>
        <w:wordWrap/>
        <w:overflowPunct/>
        <w:topLinePunct w:val="0"/>
        <w:bidi w:val="0"/>
        <w:snapToGrid/>
        <w:spacing w:line="36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你方和承包人按合同约定变更合同时，我方承担本担保规定的义务不变。</w:t>
      </w:r>
    </w:p>
    <w:p w14:paraId="178FFAF1">
      <w:pPr>
        <w:keepNext w:val="0"/>
        <w:keepLines w:val="0"/>
        <w:pageBreakBefore w:val="0"/>
        <w:widowControl w:val="0"/>
        <w:kinsoku/>
        <w:wordWrap/>
        <w:overflowPunct/>
        <w:topLinePunct w:val="0"/>
        <w:bidi w:val="0"/>
        <w:snapToGrid/>
        <w:spacing w:line="36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 因本保函发生的纠纷，可由双方协商解决，协商不成的，任何一方均可提请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仲裁委员会仲裁。</w:t>
      </w:r>
    </w:p>
    <w:p w14:paraId="2E4DD333">
      <w:pPr>
        <w:keepNext w:val="0"/>
        <w:keepLines w:val="0"/>
        <w:pageBreakBefore w:val="0"/>
        <w:widowControl w:val="0"/>
        <w:kinsoku/>
        <w:wordWrap/>
        <w:overflowPunct/>
        <w:topLinePunct w:val="0"/>
        <w:bidi w:val="0"/>
        <w:snapToGrid/>
        <w:spacing w:line="36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 本保函自我方法定代表人（或其授权代理人）签字并加盖公章之日起生效。</w:t>
      </w:r>
    </w:p>
    <w:p w14:paraId="5A683C4E">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p w14:paraId="51B11C4C">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担 保 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（盖单位章）</w:t>
      </w:r>
    </w:p>
    <w:p w14:paraId="257C290C">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法定代表人或其委托代理人：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（签字）</w:t>
      </w:r>
    </w:p>
    <w:p w14:paraId="71AAECC6">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single"/>
        </w:rPr>
        <w:t xml:space="preserve">                                      </w:t>
      </w:r>
    </w:p>
    <w:p w14:paraId="4BB2D1D5">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 xml:space="preserve">                                      </w:t>
      </w:r>
    </w:p>
    <w:p w14:paraId="5CA58D98">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电    话：</w:t>
      </w:r>
      <w:r>
        <w:rPr>
          <w:rFonts w:hint="eastAsia" w:ascii="宋体" w:hAnsi="宋体" w:eastAsia="宋体" w:cs="宋体"/>
          <w:color w:val="auto"/>
          <w:sz w:val="21"/>
          <w:szCs w:val="21"/>
          <w:highlight w:val="none"/>
          <w:u w:val="single"/>
        </w:rPr>
        <w:t xml:space="preserve">                                      </w:t>
      </w:r>
    </w:p>
    <w:p w14:paraId="4896C4F2">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    真：</w:t>
      </w:r>
      <w:r>
        <w:rPr>
          <w:rFonts w:hint="eastAsia" w:ascii="宋体" w:hAnsi="宋体" w:eastAsia="宋体" w:cs="宋体"/>
          <w:color w:val="auto"/>
          <w:sz w:val="21"/>
          <w:szCs w:val="21"/>
          <w:highlight w:val="none"/>
          <w:u w:val="single"/>
        </w:rPr>
        <w:t xml:space="preserve">                                      </w:t>
      </w:r>
    </w:p>
    <w:p w14:paraId="5F842784">
      <w:pPr>
        <w:keepNext w:val="0"/>
        <w:keepLines w:val="0"/>
        <w:pageBreakBefore w:val="0"/>
        <w:widowControl w:val="0"/>
        <w:kinsoku/>
        <w:wordWrap/>
        <w:overflowPunct/>
        <w:topLinePunct w:val="0"/>
        <w:bidi w:val="0"/>
        <w:snapToGrid/>
        <w:spacing w:line="360" w:lineRule="exact"/>
        <w:ind w:left="0" w:leftChars="0" w:right="0" w:rightChars="0"/>
        <w:jc w:val="left"/>
        <w:rPr>
          <w:rFonts w:hint="eastAsia" w:ascii="宋体" w:hAnsi="宋体" w:eastAsia="宋体" w:cs="宋体"/>
          <w:color w:val="auto"/>
          <w:sz w:val="21"/>
          <w:szCs w:val="21"/>
          <w:highlight w:val="none"/>
          <w:u w:val="single"/>
        </w:rPr>
      </w:pPr>
    </w:p>
    <w:p w14:paraId="56816643">
      <w:pPr>
        <w:keepNext w:val="0"/>
        <w:keepLines w:val="0"/>
        <w:pageBreakBefore w:val="0"/>
        <w:widowControl w:val="0"/>
        <w:kinsoku/>
        <w:wordWrap/>
        <w:overflowPunct/>
        <w:topLinePunct w:val="0"/>
        <w:bidi w:val="0"/>
        <w:snapToGrid/>
        <w:spacing w:line="360" w:lineRule="exact"/>
        <w:ind w:left="1329" w:leftChars="0" w:right="0" w:rightChars="0" w:hanging="1329" w:hangingChars="63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725B9DEE">
      <w:pPr>
        <w:keepNext w:val="0"/>
        <w:keepLines w:val="0"/>
        <w:pageBreakBefore w:val="0"/>
        <w:widowControl w:val="0"/>
        <w:kinsoku/>
        <w:wordWrap/>
        <w:overflowPunct/>
        <w:topLinePunct w:val="0"/>
        <w:bidi w:val="0"/>
        <w:snapToGrid/>
        <w:spacing w:line="360" w:lineRule="exact"/>
        <w:ind w:left="1329" w:leftChars="0" w:right="0" w:rightChars="0" w:hanging="1329" w:hangingChars="633"/>
        <w:rPr>
          <w:rFonts w:hint="eastAsia" w:ascii="宋体" w:hAnsi="宋体" w:eastAsia="宋体" w:cs="宋体"/>
          <w:color w:val="auto"/>
          <w:sz w:val="21"/>
          <w:szCs w:val="21"/>
          <w:highlight w:val="none"/>
        </w:rPr>
      </w:pPr>
    </w:p>
    <w:p w14:paraId="067A4565">
      <w:pPr>
        <w:keepNext w:val="0"/>
        <w:keepLines w:val="0"/>
        <w:pageBreakBefore w:val="0"/>
        <w:widowControl w:val="0"/>
        <w:kinsoku/>
        <w:wordWrap/>
        <w:overflowPunct/>
        <w:topLinePunct w:val="0"/>
        <w:bidi w:val="0"/>
        <w:snapToGrid/>
        <w:spacing w:line="360" w:lineRule="exact"/>
        <w:ind w:left="1329" w:leftChars="0" w:right="0" w:rightChars="0" w:hanging="1329" w:hangingChars="633"/>
        <w:rPr>
          <w:rFonts w:hint="eastAsia" w:ascii="宋体" w:hAnsi="宋体" w:eastAsia="宋体" w:cs="宋体"/>
          <w:color w:val="auto"/>
          <w:sz w:val="21"/>
          <w:szCs w:val="21"/>
          <w:highlight w:val="none"/>
        </w:rPr>
      </w:pPr>
    </w:p>
    <w:p w14:paraId="267A9F90">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7E6C5291">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w:t>
      </w:r>
      <w:bookmarkStart w:id="1895" w:name="_Toc296944571"/>
      <w:bookmarkStart w:id="1896" w:name="_Toc296347231"/>
      <w:bookmarkStart w:id="1897" w:name="_Toc296891060"/>
      <w:bookmarkStart w:id="1898" w:name="_Toc296891272"/>
      <w:bookmarkStart w:id="1899" w:name="_Toc296346733"/>
      <w:bookmarkStart w:id="1900" w:name="_Toc267261702"/>
      <w:bookmarkStart w:id="1901" w:name="_Toc296503232"/>
      <w:r>
        <w:rPr>
          <w:rFonts w:hint="eastAsia" w:ascii="宋体" w:hAnsi="宋体" w:eastAsia="宋体" w:cs="宋体"/>
          <w:color w:val="auto"/>
          <w:sz w:val="21"/>
          <w:szCs w:val="21"/>
          <w:highlight w:val="none"/>
        </w:rPr>
        <w:t>件9 ：</w:t>
      </w:r>
    </w:p>
    <w:bookmarkEnd w:id="1895"/>
    <w:bookmarkEnd w:id="1896"/>
    <w:bookmarkEnd w:id="1897"/>
    <w:bookmarkEnd w:id="1898"/>
    <w:bookmarkEnd w:id="1899"/>
    <w:bookmarkEnd w:id="1900"/>
    <w:bookmarkEnd w:id="1901"/>
    <w:p w14:paraId="2DB1918B">
      <w:pPr>
        <w:keepNext w:val="0"/>
        <w:keepLines w:val="0"/>
        <w:pageBreakBefore w:val="0"/>
        <w:widowControl w:val="0"/>
        <w:kinsoku/>
        <w:wordWrap/>
        <w:overflowPunct/>
        <w:topLinePunct w:val="0"/>
        <w:bidi w:val="0"/>
        <w:snapToGrid/>
        <w:spacing w:line="360" w:lineRule="exact"/>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预付款担保</w:t>
      </w:r>
    </w:p>
    <w:p w14:paraId="229947B3">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（发包人名称）：</w:t>
      </w:r>
    </w:p>
    <w:p w14:paraId="1620CACB">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p w14:paraId="45C0290E">
      <w:pPr>
        <w:keepNext w:val="0"/>
        <w:keepLines w:val="0"/>
        <w:pageBreakBefore w:val="0"/>
        <w:widowControl w:val="0"/>
        <w:kinsoku/>
        <w:wordWrap/>
        <w:overflowPunct/>
        <w:topLinePunct w:val="0"/>
        <w:bidi w:val="0"/>
        <w:snapToGrid/>
        <w:spacing w:line="36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（承包人名称）（以下称“承包人”）与</w:t>
      </w:r>
    </w:p>
    <w:p w14:paraId="4EDD39A9">
      <w:pPr>
        <w:keepNext w:val="0"/>
        <w:keepLines w:val="0"/>
        <w:pageBreakBefore w:val="0"/>
        <w:widowControl w:val="0"/>
        <w:kinsoku/>
        <w:wordWrap/>
        <w:overflowPunct/>
        <w:topLinePunct w:val="0"/>
        <w:bidi w:val="0"/>
        <w:snapToGrid/>
        <w:spacing w:line="360" w:lineRule="exact"/>
        <w:ind w:left="0" w:leftChars="0" w:right="0" w:rightChars="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bookmarkStart w:id="1902" w:name="_Toc10563"/>
      <w:bookmarkStart w:id="1903" w:name="_Toc23079"/>
      <w:bookmarkStart w:id="1904" w:name="_Toc29110"/>
      <w:bookmarkStart w:id="1905" w:name="_Toc19561"/>
      <w:r>
        <w:rPr>
          <w:rFonts w:hint="eastAsia" w:ascii="宋体" w:hAnsi="宋体" w:eastAsia="宋体" w:cs="宋体"/>
          <w:color w:val="auto"/>
          <w:sz w:val="21"/>
          <w:szCs w:val="21"/>
          <w:highlight w:val="none"/>
        </w:rPr>
        <w:t>（发包人名称）（以下简称“发包人”）</w:t>
      </w:r>
      <w:bookmarkEnd w:id="1902"/>
      <w:bookmarkEnd w:id="1903"/>
      <w:bookmarkEnd w:id="1904"/>
      <w:bookmarkEnd w:id="1905"/>
    </w:p>
    <w:p w14:paraId="0BE465D2">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于</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日签订的</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（工程名称）《建设工程施工合同》，承包人按约定的金额向你方提交一份预付款担保，即有权得到你方支付相等金额的预付款。我方愿意就你方提供给承包人的预付款为承包人提供连带责任担保。</w:t>
      </w:r>
    </w:p>
    <w:p w14:paraId="668C430B">
      <w:pPr>
        <w:keepNext w:val="0"/>
        <w:keepLines w:val="0"/>
        <w:pageBreakBefore w:val="0"/>
        <w:widowControl w:val="0"/>
        <w:kinsoku/>
        <w:wordWrap/>
        <w:overflowPunct/>
        <w:topLinePunct w:val="0"/>
        <w:bidi w:val="0"/>
        <w:snapToGrid/>
        <w:spacing w:line="36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担保金额人民币（大写）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2CD9CE7">
      <w:pPr>
        <w:keepNext w:val="0"/>
        <w:keepLines w:val="0"/>
        <w:pageBreakBefore w:val="0"/>
        <w:widowControl w:val="0"/>
        <w:kinsoku/>
        <w:wordWrap/>
        <w:overflowPunct/>
        <w:topLinePunct w:val="0"/>
        <w:bidi w:val="0"/>
        <w:snapToGrid/>
        <w:spacing w:line="36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担保有效期自预付款支付给承包人起生效，至你方签发的进度款支付证书说明已完全扣清止。</w:t>
      </w:r>
    </w:p>
    <w:p w14:paraId="328B6341">
      <w:pPr>
        <w:keepNext w:val="0"/>
        <w:keepLines w:val="0"/>
        <w:pageBreakBefore w:val="0"/>
        <w:widowControl w:val="0"/>
        <w:kinsoku/>
        <w:wordWrap/>
        <w:overflowPunct/>
        <w:topLinePunct w:val="0"/>
        <w:bidi w:val="0"/>
        <w:snapToGrid/>
        <w:spacing w:line="36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在本保函有效期内，因承包人违反合同约定的义务而要求收回预付款时，我方在收到你方的书面通知后，在７天内无条件支付。但本保函的担保金额，在任何时候不应超过预付款金额减去你方按合同约定在向承包人签发的进度款支付证书中扣除的金额。</w:t>
      </w:r>
    </w:p>
    <w:p w14:paraId="27800B14">
      <w:pPr>
        <w:keepNext w:val="0"/>
        <w:keepLines w:val="0"/>
        <w:pageBreakBefore w:val="0"/>
        <w:widowControl w:val="0"/>
        <w:kinsoku/>
        <w:wordWrap/>
        <w:overflowPunct/>
        <w:topLinePunct w:val="0"/>
        <w:bidi w:val="0"/>
        <w:snapToGrid/>
        <w:spacing w:line="36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你方和承包人按合同约定变更合同时，我方承担本保函规定的义务不变。</w:t>
      </w:r>
    </w:p>
    <w:p w14:paraId="6B734788">
      <w:pPr>
        <w:keepNext w:val="0"/>
        <w:keepLines w:val="0"/>
        <w:pageBreakBefore w:val="0"/>
        <w:widowControl w:val="0"/>
        <w:kinsoku/>
        <w:wordWrap/>
        <w:overflowPunct/>
        <w:topLinePunct w:val="0"/>
        <w:bidi w:val="0"/>
        <w:snapToGrid/>
        <w:spacing w:line="360" w:lineRule="exact"/>
        <w:ind w:left="0" w:leftChars="0" w:right="0" w:righ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 因本保函发生的纠纷，可由双方协商解决，协商不成的，任何一方均可提请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仲裁委员会仲裁。</w:t>
      </w:r>
    </w:p>
    <w:p w14:paraId="267686DC">
      <w:pPr>
        <w:keepNext w:val="0"/>
        <w:keepLines w:val="0"/>
        <w:pageBreakBefore w:val="0"/>
        <w:widowControl w:val="0"/>
        <w:kinsoku/>
        <w:wordWrap/>
        <w:overflowPunct/>
        <w:topLinePunct w:val="0"/>
        <w:bidi w:val="0"/>
        <w:snapToGrid/>
        <w:spacing w:line="360" w:lineRule="exact"/>
        <w:ind w:left="0" w:leftChars="0" w:right="0" w:righ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 本保函自我方法定代表人（或其授权代理人）签字并加盖公章之日起生效。</w:t>
      </w:r>
    </w:p>
    <w:p w14:paraId="2C301526">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p w14:paraId="2828925E">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p>
    <w:p w14:paraId="0394FF66">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担保人：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（盖单位章）</w:t>
      </w:r>
    </w:p>
    <w:p w14:paraId="17BD7324">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法定代表人或其委托代理人：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（签字）</w:t>
      </w:r>
    </w:p>
    <w:p w14:paraId="4541E123">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rPr>
        <w:tab/>
      </w:r>
    </w:p>
    <w:p w14:paraId="371EC27D">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rPr>
        <w:tab/>
      </w:r>
    </w:p>
    <w:p w14:paraId="653B3B7C">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电    话：</w:t>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rPr>
        <w:tab/>
      </w:r>
    </w:p>
    <w:p w14:paraId="5F04A0F8">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传    真：</w:t>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rPr>
        <w:tab/>
      </w:r>
    </w:p>
    <w:p w14:paraId="735F00D0">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203C4AFD">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u w:val="single"/>
        </w:rPr>
      </w:pPr>
    </w:p>
    <w:p w14:paraId="486CA43F">
      <w:pPr>
        <w:keepNext w:val="0"/>
        <w:keepLines w:val="0"/>
        <w:pageBreakBefore w:val="0"/>
        <w:widowControl w:val="0"/>
        <w:kinsoku/>
        <w:wordWrap/>
        <w:overflowPunct/>
        <w:topLinePunct w:val="0"/>
        <w:bidi w:val="0"/>
        <w:snapToGrid/>
        <w:spacing w:line="360" w:lineRule="exact"/>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339639D2">
      <w:pPr>
        <w:keepNext w:val="0"/>
        <w:keepLines w:val="0"/>
        <w:pageBreakBefore w:val="0"/>
        <w:widowControl w:val="0"/>
        <w:wordWrap/>
        <w:topLinePunct w:val="0"/>
        <w:bidi w:val="0"/>
        <w:spacing w:line="440" w:lineRule="exact"/>
        <w:rPr>
          <w:rFonts w:hint="eastAsia" w:ascii="宋体" w:hAnsi="宋体" w:eastAsia="宋体" w:cs="宋体"/>
          <w:color w:val="auto"/>
          <w:sz w:val="21"/>
          <w:szCs w:val="21"/>
          <w:highlight w:val="none"/>
        </w:rPr>
      </w:pPr>
      <w:r>
        <w:rPr>
          <w:rFonts w:eastAsia="仿宋_GB2312"/>
          <w:b/>
          <w:color w:val="auto"/>
          <w:sz w:val="30"/>
          <w:szCs w:val="30"/>
          <w:highlight w:val="none"/>
        </w:rPr>
        <w:br w:type="page"/>
      </w:r>
      <w:r>
        <w:rPr>
          <w:rFonts w:hint="eastAsia" w:ascii="宋体" w:hAnsi="宋体" w:eastAsia="宋体" w:cs="宋体"/>
          <w:color w:val="auto"/>
          <w:sz w:val="21"/>
          <w:szCs w:val="21"/>
          <w:highlight w:val="none"/>
        </w:rPr>
        <w:t>附件10</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 xml:space="preserve">  </w:t>
      </w:r>
    </w:p>
    <w:p w14:paraId="12284FB9">
      <w:pPr>
        <w:keepNext w:val="0"/>
        <w:keepLines w:val="0"/>
        <w:pageBreakBefore w:val="0"/>
        <w:widowControl w:val="0"/>
        <w:wordWrap/>
        <w:topLinePunct w:val="0"/>
        <w:bidi w:val="0"/>
        <w:spacing w:before="120" w:beforeLines="50" w:after="120" w:afterLines="50"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支付担保</w:t>
      </w:r>
    </w:p>
    <w:p w14:paraId="3F165ADD">
      <w:pPr>
        <w:keepNext w:val="0"/>
        <w:keepLines w:val="0"/>
        <w:pageBreakBefore w:val="0"/>
        <w:widowControl w:val="0"/>
        <w:wordWrap/>
        <w:topLinePunct w:val="0"/>
        <w:bidi w:val="0"/>
        <w:spacing w:line="44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（承包人）：</w:t>
      </w:r>
    </w:p>
    <w:p w14:paraId="679C9CB7">
      <w:pPr>
        <w:keepNext w:val="0"/>
        <w:keepLines w:val="0"/>
        <w:pageBreakBefore w:val="0"/>
        <w:widowControl w:val="0"/>
        <w:wordWrap/>
        <w:topLinePunct w:val="0"/>
        <w:bidi w:val="0"/>
        <w:spacing w:line="440" w:lineRule="exact"/>
        <w:jc w:val="left"/>
        <w:rPr>
          <w:rFonts w:hint="eastAsia" w:ascii="宋体" w:hAnsi="宋体" w:eastAsia="宋体" w:cs="宋体"/>
          <w:color w:val="auto"/>
          <w:sz w:val="21"/>
          <w:szCs w:val="21"/>
          <w:highlight w:val="none"/>
        </w:rPr>
      </w:pPr>
    </w:p>
    <w:p w14:paraId="1D3FE84D">
      <w:pPr>
        <w:keepNext w:val="0"/>
        <w:keepLines w:val="0"/>
        <w:pageBreakBefore w:val="0"/>
        <w:widowControl w:val="0"/>
        <w:wordWrap/>
        <w:topLinePunct w:val="0"/>
        <w:bidi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鉴于你方作为承包人已经与</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（发包人名称）（以下称“发包人”）于</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日签订了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（工程名称）《建设工程施工合同》（以下称“主合同”），应发包人的申请，我方愿就发包人履行主合同约定的工程款支付义务以保证的方式向你方提供如下担保：</w:t>
      </w:r>
    </w:p>
    <w:p w14:paraId="66927A6B">
      <w:pPr>
        <w:keepNext w:val="0"/>
        <w:keepLines w:val="0"/>
        <w:pageBreakBefore w:val="0"/>
        <w:widowControl w:val="0"/>
        <w:wordWrap/>
        <w:topLinePunct w:val="0"/>
        <w:bidi w:val="0"/>
        <w:spacing w:line="360" w:lineRule="auto"/>
        <w:ind w:firstLine="420" w:firstLineChars="200"/>
        <w:jc w:val="left"/>
        <w:outlineLvl w:val="9"/>
        <w:rPr>
          <w:rFonts w:hint="eastAsia" w:ascii="宋体" w:hAnsi="宋体" w:eastAsia="宋体" w:cs="宋体"/>
          <w:color w:val="auto"/>
          <w:sz w:val="21"/>
          <w:szCs w:val="21"/>
          <w:highlight w:val="none"/>
        </w:rPr>
      </w:pPr>
      <w:bookmarkStart w:id="1906" w:name="_Toc20380"/>
      <w:bookmarkStart w:id="1907" w:name="_Toc25964"/>
      <w:bookmarkStart w:id="1908" w:name="_Toc31131"/>
      <w:bookmarkStart w:id="1909" w:name="_Toc11400"/>
      <w:r>
        <w:rPr>
          <w:rFonts w:hint="eastAsia" w:ascii="宋体" w:hAnsi="宋体" w:eastAsia="宋体" w:cs="宋体"/>
          <w:color w:val="auto"/>
          <w:sz w:val="21"/>
          <w:szCs w:val="21"/>
          <w:highlight w:val="none"/>
        </w:rPr>
        <w:t>一、保证的范围及保证金额</w:t>
      </w:r>
      <w:bookmarkEnd w:id="1906"/>
      <w:bookmarkEnd w:id="1907"/>
      <w:bookmarkEnd w:id="1908"/>
      <w:bookmarkEnd w:id="1909"/>
    </w:p>
    <w:p w14:paraId="040ADDA1">
      <w:pPr>
        <w:keepNext w:val="0"/>
        <w:keepLines w:val="0"/>
        <w:pageBreakBefore w:val="0"/>
        <w:widowControl w:val="0"/>
        <w:wordWrap/>
        <w:topLinePunct w:val="0"/>
        <w:bidi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我方的保证范围是主合同约定的工程款。</w:t>
      </w:r>
    </w:p>
    <w:p w14:paraId="6FBADF99">
      <w:pPr>
        <w:keepNext w:val="0"/>
        <w:keepLines w:val="0"/>
        <w:pageBreakBefore w:val="0"/>
        <w:widowControl w:val="0"/>
        <w:wordWrap/>
        <w:topLinePunct w:val="0"/>
        <w:bidi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本保函所称主合同约定的工程款是指主合同约定的除工程质量保证金以外的合同价款。</w:t>
      </w:r>
    </w:p>
    <w:p w14:paraId="0AAD72A8">
      <w:pPr>
        <w:keepNext w:val="0"/>
        <w:keepLines w:val="0"/>
        <w:pageBreakBefore w:val="0"/>
        <w:widowControl w:val="0"/>
        <w:wordWrap/>
        <w:topLinePunct w:val="0"/>
        <w:bidi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我方保证的金额是主合同约定的工程款的</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%，数额最高不超过人民币元（大写：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397FB28">
      <w:pPr>
        <w:keepNext w:val="0"/>
        <w:keepLines w:val="0"/>
        <w:pageBreakBefore w:val="0"/>
        <w:widowControl w:val="0"/>
        <w:wordWrap/>
        <w:topLinePunct w:val="0"/>
        <w:bidi w:val="0"/>
        <w:spacing w:line="360" w:lineRule="auto"/>
        <w:ind w:firstLine="420" w:firstLineChars="200"/>
        <w:jc w:val="left"/>
        <w:outlineLvl w:val="9"/>
        <w:rPr>
          <w:rFonts w:hint="eastAsia" w:ascii="宋体" w:hAnsi="宋体" w:eastAsia="宋体" w:cs="宋体"/>
          <w:color w:val="auto"/>
          <w:sz w:val="21"/>
          <w:szCs w:val="21"/>
          <w:highlight w:val="none"/>
        </w:rPr>
      </w:pPr>
      <w:bookmarkStart w:id="1910" w:name="_Toc10162"/>
      <w:bookmarkStart w:id="1911" w:name="_Toc13918"/>
      <w:bookmarkStart w:id="1912" w:name="_Toc16286"/>
      <w:bookmarkStart w:id="1913" w:name="_Toc31793"/>
      <w:r>
        <w:rPr>
          <w:rFonts w:hint="eastAsia" w:ascii="宋体" w:hAnsi="宋体" w:eastAsia="宋体" w:cs="宋体"/>
          <w:color w:val="auto"/>
          <w:sz w:val="21"/>
          <w:szCs w:val="21"/>
          <w:highlight w:val="none"/>
        </w:rPr>
        <w:t>二、保证的方式及保证期间</w:t>
      </w:r>
      <w:bookmarkEnd w:id="1910"/>
      <w:bookmarkEnd w:id="1911"/>
      <w:bookmarkEnd w:id="1912"/>
      <w:bookmarkEnd w:id="1913"/>
    </w:p>
    <w:p w14:paraId="34C48C16">
      <w:pPr>
        <w:keepNext w:val="0"/>
        <w:keepLines w:val="0"/>
        <w:pageBreakBefore w:val="0"/>
        <w:widowControl w:val="0"/>
        <w:wordWrap/>
        <w:topLinePunct w:val="0"/>
        <w:bidi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我方保证的方式为：连带责任保证。</w:t>
      </w:r>
    </w:p>
    <w:p w14:paraId="4ACE1FBB">
      <w:pPr>
        <w:keepNext w:val="0"/>
        <w:keepLines w:val="0"/>
        <w:pageBreakBefore w:val="0"/>
        <w:widowControl w:val="0"/>
        <w:wordWrap/>
        <w:topLinePunct w:val="0"/>
        <w:bidi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我方保证的期间为：自本合同生效之日起至主合同约定的工程款支付完毕之日后</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日内。</w:t>
      </w:r>
    </w:p>
    <w:p w14:paraId="75CE5871">
      <w:pPr>
        <w:keepNext w:val="0"/>
        <w:keepLines w:val="0"/>
        <w:pageBreakBefore w:val="0"/>
        <w:widowControl w:val="0"/>
        <w:wordWrap/>
        <w:topLinePunct w:val="0"/>
        <w:bidi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你方与发包人协议变更工程款支付日期的，经我方书面同意后，保证期间按照变更后的支付日期做相应调整。</w:t>
      </w:r>
    </w:p>
    <w:p w14:paraId="6DB5FB4C">
      <w:pPr>
        <w:keepNext w:val="0"/>
        <w:keepLines w:val="0"/>
        <w:pageBreakBefore w:val="0"/>
        <w:widowControl w:val="0"/>
        <w:wordWrap/>
        <w:topLinePunct w:val="0"/>
        <w:bidi w:val="0"/>
        <w:spacing w:line="360" w:lineRule="auto"/>
        <w:ind w:firstLine="420" w:firstLineChars="200"/>
        <w:jc w:val="left"/>
        <w:outlineLvl w:val="9"/>
        <w:rPr>
          <w:rFonts w:hint="eastAsia" w:ascii="宋体" w:hAnsi="宋体" w:eastAsia="宋体" w:cs="宋体"/>
          <w:color w:val="auto"/>
          <w:sz w:val="21"/>
          <w:szCs w:val="21"/>
          <w:highlight w:val="none"/>
        </w:rPr>
      </w:pPr>
      <w:bookmarkStart w:id="1914" w:name="_Toc30010"/>
      <w:bookmarkStart w:id="1915" w:name="_Toc30478"/>
      <w:bookmarkStart w:id="1916" w:name="_Toc28829"/>
      <w:bookmarkStart w:id="1917" w:name="_Toc3217"/>
      <w:r>
        <w:rPr>
          <w:rFonts w:hint="eastAsia" w:ascii="宋体" w:hAnsi="宋体" w:eastAsia="宋体" w:cs="宋体"/>
          <w:color w:val="auto"/>
          <w:sz w:val="21"/>
          <w:szCs w:val="21"/>
          <w:highlight w:val="none"/>
        </w:rPr>
        <w:t>三、承担保证责任的形式</w:t>
      </w:r>
      <w:bookmarkEnd w:id="1914"/>
      <w:bookmarkEnd w:id="1915"/>
      <w:bookmarkEnd w:id="1916"/>
      <w:bookmarkEnd w:id="1917"/>
    </w:p>
    <w:p w14:paraId="73EA49E2">
      <w:pPr>
        <w:keepNext w:val="0"/>
        <w:keepLines w:val="0"/>
        <w:pageBreakBefore w:val="0"/>
        <w:widowControl w:val="0"/>
        <w:wordWrap/>
        <w:topLinePunct w:val="0"/>
        <w:bidi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我方承担保证责任的形式是代为支付。发包人未按主合同约定向你方支付工程款的，由我方在保证金额内代为支付。</w:t>
      </w:r>
    </w:p>
    <w:p w14:paraId="215B41FE">
      <w:pPr>
        <w:keepNext w:val="0"/>
        <w:keepLines w:val="0"/>
        <w:pageBreakBefore w:val="0"/>
        <w:widowControl w:val="0"/>
        <w:wordWrap/>
        <w:topLinePunct w:val="0"/>
        <w:bidi w:val="0"/>
        <w:spacing w:line="360" w:lineRule="auto"/>
        <w:ind w:firstLine="420" w:firstLineChars="200"/>
        <w:jc w:val="left"/>
        <w:outlineLvl w:val="9"/>
        <w:rPr>
          <w:rFonts w:hint="eastAsia" w:ascii="宋体" w:hAnsi="宋体" w:eastAsia="宋体" w:cs="宋体"/>
          <w:color w:val="auto"/>
          <w:sz w:val="21"/>
          <w:szCs w:val="21"/>
          <w:highlight w:val="none"/>
        </w:rPr>
      </w:pPr>
      <w:bookmarkStart w:id="1918" w:name="_Toc11312"/>
      <w:bookmarkStart w:id="1919" w:name="_Toc19016"/>
      <w:bookmarkStart w:id="1920" w:name="_Toc17037"/>
      <w:bookmarkStart w:id="1921" w:name="_Toc4883"/>
      <w:r>
        <w:rPr>
          <w:rFonts w:hint="eastAsia" w:ascii="宋体" w:hAnsi="宋体" w:eastAsia="宋体" w:cs="宋体"/>
          <w:color w:val="auto"/>
          <w:sz w:val="21"/>
          <w:szCs w:val="21"/>
          <w:highlight w:val="none"/>
        </w:rPr>
        <w:t>四、代偿的安排</w:t>
      </w:r>
      <w:bookmarkEnd w:id="1918"/>
      <w:bookmarkEnd w:id="1919"/>
      <w:bookmarkEnd w:id="1920"/>
      <w:bookmarkEnd w:id="1921"/>
    </w:p>
    <w:p w14:paraId="30CDF85B">
      <w:pPr>
        <w:keepNext w:val="0"/>
        <w:keepLines w:val="0"/>
        <w:pageBreakBefore w:val="0"/>
        <w:widowControl w:val="0"/>
        <w:wordWrap/>
        <w:topLinePunct w:val="0"/>
        <w:bidi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你方要求我方承担保证责任的，应向我方发出书面索赔通知及发包人未支付主合同约定工程款的证明材料。索赔通知应写明要求索赔的金额，支付款项应到达的账号。</w:t>
      </w:r>
    </w:p>
    <w:p w14:paraId="77885C19">
      <w:pPr>
        <w:keepNext w:val="0"/>
        <w:keepLines w:val="0"/>
        <w:pageBreakBefore w:val="0"/>
        <w:widowControl w:val="0"/>
        <w:wordWrap/>
        <w:topLinePunct w:val="0"/>
        <w:bidi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在出现你方与发包人因工程质量发生争议，发包人拒绝向你方支付工程款的情形时，你方要求我方履行保证责任代为支付的，需提供符合相应条件要求的工程质量检测机构出具的质量说明材料。</w:t>
      </w:r>
    </w:p>
    <w:p w14:paraId="273C0730">
      <w:pPr>
        <w:keepNext w:val="0"/>
        <w:keepLines w:val="0"/>
        <w:pageBreakBefore w:val="0"/>
        <w:widowControl w:val="0"/>
        <w:wordWrap/>
        <w:topLinePunct w:val="0"/>
        <w:bidi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我方收到你方的书面索赔通知及相应的证明材料后７天内无条件支付。</w:t>
      </w:r>
    </w:p>
    <w:p w14:paraId="3E7D77D9">
      <w:pPr>
        <w:keepNext w:val="0"/>
        <w:keepLines w:val="0"/>
        <w:pageBreakBefore w:val="0"/>
        <w:widowControl w:val="0"/>
        <w:wordWrap/>
        <w:topLinePunct w:val="0"/>
        <w:bidi w:val="0"/>
        <w:spacing w:line="360" w:lineRule="auto"/>
        <w:ind w:firstLine="420" w:firstLineChars="200"/>
        <w:jc w:val="left"/>
        <w:outlineLvl w:val="9"/>
        <w:rPr>
          <w:rFonts w:hint="eastAsia" w:ascii="宋体" w:hAnsi="宋体" w:eastAsia="宋体" w:cs="宋体"/>
          <w:color w:val="auto"/>
          <w:sz w:val="21"/>
          <w:szCs w:val="21"/>
          <w:highlight w:val="none"/>
        </w:rPr>
      </w:pPr>
      <w:bookmarkStart w:id="1922" w:name="_Toc30624"/>
      <w:bookmarkStart w:id="1923" w:name="_Toc1507"/>
      <w:bookmarkStart w:id="1924" w:name="_Toc25107"/>
      <w:bookmarkStart w:id="1925" w:name="_Toc29416"/>
      <w:r>
        <w:rPr>
          <w:rFonts w:hint="eastAsia" w:ascii="宋体" w:hAnsi="宋体" w:eastAsia="宋体" w:cs="宋体"/>
          <w:color w:val="auto"/>
          <w:sz w:val="21"/>
          <w:szCs w:val="21"/>
          <w:highlight w:val="none"/>
        </w:rPr>
        <w:t>五、保证责任的解除</w:t>
      </w:r>
      <w:bookmarkEnd w:id="1922"/>
      <w:bookmarkEnd w:id="1923"/>
      <w:bookmarkEnd w:id="1924"/>
      <w:bookmarkEnd w:id="1925"/>
    </w:p>
    <w:p w14:paraId="14D1E275">
      <w:pPr>
        <w:keepNext w:val="0"/>
        <w:keepLines w:val="0"/>
        <w:pageBreakBefore w:val="0"/>
        <w:widowControl w:val="0"/>
        <w:wordWrap/>
        <w:topLinePunct w:val="0"/>
        <w:bidi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在本保函承诺的保证期间内，你方未书面向我方主张保证责任的，自保证期间届满次日起，我方保证责任解除。</w:t>
      </w:r>
    </w:p>
    <w:p w14:paraId="13B3C168">
      <w:pPr>
        <w:keepNext w:val="0"/>
        <w:keepLines w:val="0"/>
        <w:pageBreakBefore w:val="0"/>
        <w:widowControl w:val="0"/>
        <w:wordWrap/>
        <w:topLinePunct w:val="0"/>
        <w:bidi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发包人按主合同约定履行了工程款的全部支付义务的，自本保函承诺的保证期间届满次日起，我方保证责任解除。</w:t>
      </w:r>
    </w:p>
    <w:p w14:paraId="569D41CD">
      <w:pPr>
        <w:keepNext w:val="0"/>
        <w:keepLines w:val="0"/>
        <w:pageBreakBefore w:val="0"/>
        <w:widowControl w:val="0"/>
        <w:wordWrap/>
        <w:topLinePunct w:val="0"/>
        <w:bidi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我方按照本保函向你方履行保证责任所支付金额达到本保函保证金额时，自我方向你方支付（支付款项从我方账户划出）之日起，保证责任即解除。</w:t>
      </w:r>
    </w:p>
    <w:p w14:paraId="5C674C2D">
      <w:pPr>
        <w:keepNext w:val="0"/>
        <w:keepLines w:val="0"/>
        <w:pageBreakBefore w:val="0"/>
        <w:widowControl w:val="0"/>
        <w:wordWrap/>
        <w:topLinePunct w:val="0"/>
        <w:bidi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按照法律法规的规定或出现应解除我方保证责任的其他情形的，我方在本保函项下的保证责任亦解除。</w:t>
      </w:r>
    </w:p>
    <w:p w14:paraId="4823E074">
      <w:pPr>
        <w:keepNext w:val="0"/>
        <w:keepLines w:val="0"/>
        <w:pageBreakBefore w:val="0"/>
        <w:widowControl w:val="0"/>
        <w:wordWrap/>
        <w:topLinePunct w:val="0"/>
        <w:bidi w:val="0"/>
        <w:spacing w:line="360" w:lineRule="auto"/>
        <w:jc w:val="left"/>
        <w:rPr>
          <w:rFonts w:hint="eastAsia" w:ascii="宋体" w:hAnsi="宋体" w:eastAsia="宋体" w:cs="宋体"/>
          <w:color w:val="auto"/>
          <w:sz w:val="21"/>
          <w:szCs w:val="21"/>
          <w:highlight w:val="none"/>
        </w:rPr>
      </w:pPr>
    </w:p>
    <w:p w14:paraId="6A45C4F5">
      <w:pPr>
        <w:keepNext w:val="0"/>
        <w:keepLines w:val="0"/>
        <w:pageBreakBefore w:val="0"/>
        <w:widowControl w:val="0"/>
        <w:wordWrap/>
        <w:topLinePunct w:val="0"/>
        <w:bidi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 我方解除保证责任后，你方应自我方保证责任解除之日起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个工作日内，将本保函原件返还我方。</w:t>
      </w:r>
    </w:p>
    <w:p w14:paraId="28706656">
      <w:pPr>
        <w:keepNext w:val="0"/>
        <w:keepLines w:val="0"/>
        <w:pageBreakBefore w:val="0"/>
        <w:widowControl w:val="0"/>
        <w:wordWrap/>
        <w:topLinePunct w:val="0"/>
        <w:bidi w:val="0"/>
        <w:spacing w:line="360" w:lineRule="auto"/>
        <w:ind w:firstLine="420" w:firstLineChars="200"/>
        <w:jc w:val="left"/>
        <w:outlineLvl w:val="9"/>
        <w:rPr>
          <w:rFonts w:hint="eastAsia" w:ascii="宋体" w:hAnsi="宋体" w:eastAsia="宋体" w:cs="宋体"/>
          <w:color w:val="auto"/>
          <w:sz w:val="21"/>
          <w:szCs w:val="21"/>
          <w:highlight w:val="none"/>
        </w:rPr>
      </w:pPr>
      <w:bookmarkStart w:id="1926" w:name="_Toc14021"/>
      <w:bookmarkStart w:id="1927" w:name="_Toc3962"/>
      <w:bookmarkStart w:id="1928" w:name="_Toc11064"/>
      <w:bookmarkStart w:id="1929" w:name="_Toc23407"/>
      <w:r>
        <w:rPr>
          <w:rFonts w:hint="eastAsia" w:ascii="宋体" w:hAnsi="宋体" w:eastAsia="宋体" w:cs="宋体"/>
          <w:color w:val="auto"/>
          <w:sz w:val="21"/>
          <w:szCs w:val="21"/>
          <w:highlight w:val="none"/>
        </w:rPr>
        <w:t>六、免责条款</w:t>
      </w:r>
      <w:bookmarkEnd w:id="1926"/>
      <w:bookmarkEnd w:id="1927"/>
      <w:bookmarkEnd w:id="1928"/>
      <w:bookmarkEnd w:id="1929"/>
    </w:p>
    <w:p w14:paraId="17F12D7D">
      <w:pPr>
        <w:keepNext w:val="0"/>
        <w:keepLines w:val="0"/>
        <w:pageBreakBefore w:val="0"/>
        <w:widowControl w:val="0"/>
        <w:wordWrap/>
        <w:topLinePunct w:val="0"/>
        <w:bidi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因你方违约致使发包人不能履行义务的，我方不承担保证责任。</w:t>
      </w:r>
    </w:p>
    <w:p w14:paraId="2BF29768">
      <w:pPr>
        <w:keepNext w:val="0"/>
        <w:keepLines w:val="0"/>
        <w:pageBreakBefore w:val="0"/>
        <w:widowControl w:val="0"/>
        <w:wordWrap/>
        <w:topLinePunct w:val="0"/>
        <w:bidi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依照法律法规的规定或你方与发包人的另行约定，免除发包人部分或全部义务的，我方亦免除其相应的保证责任。</w:t>
      </w:r>
    </w:p>
    <w:p w14:paraId="4803B688">
      <w:pPr>
        <w:keepNext w:val="0"/>
        <w:keepLines w:val="0"/>
        <w:pageBreakBefore w:val="0"/>
        <w:widowControl w:val="0"/>
        <w:wordWrap/>
        <w:topLinePunct w:val="0"/>
        <w:bidi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你方与发包人协议变更主合同的，如加重发包人责任致使我方保证责任加重的，需征得我方书面同意，否则我方不再承担因此而加重部分的保证责任，但主合同第10条〔变更〕约定的变更不受本款限制。</w:t>
      </w:r>
    </w:p>
    <w:p w14:paraId="3CE3C947">
      <w:pPr>
        <w:keepNext w:val="0"/>
        <w:keepLines w:val="0"/>
        <w:pageBreakBefore w:val="0"/>
        <w:widowControl w:val="0"/>
        <w:wordWrap/>
        <w:topLinePunct w:val="0"/>
        <w:bidi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因不可抗力造成发包人不能履行义务的，我方不承担保证责任。</w:t>
      </w:r>
    </w:p>
    <w:p w14:paraId="69F69B86">
      <w:pPr>
        <w:keepNext w:val="0"/>
        <w:keepLines w:val="0"/>
        <w:pageBreakBefore w:val="0"/>
        <w:widowControl w:val="0"/>
        <w:wordWrap/>
        <w:topLinePunct w:val="0"/>
        <w:bidi w:val="0"/>
        <w:spacing w:line="360" w:lineRule="auto"/>
        <w:ind w:firstLine="420" w:firstLineChars="200"/>
        <w:jc w:val="left"/>
        <w:outlineLvl w:val="9"/>
        <w:rPr>
          <w:rFonts w:hint="eastAsia" w:ascii="宋体" w:hAnsi="宋体" w:eastAsia="宋体" w:cs="宋体"/>
          <w:color w:val="auto"/>
          <w:sz w:val="21"/>
          <w:szCs w:val="21"/>
          <w:highlight w:val="none"/>
        </w:rPr>
      </w:pPr>
      <w:bookmarkStart w:id="1930" w:name="_Toc5169"/>
      <w:bookmarkStart w:id="1931" w:name="_Toc22034"/>
      <w:bookmarkStart w:id="1932" w:name="_Toc28001"/>
      <w:bookmarkStart w:id="1933" w:name="_Toc20106"/>
      <w:r>
        <w:rPr>
          <w:rFonts w:hint="eastAsia" w:ascii="宋体" w:hAnsi="宋体" w:eastAsia="宋体" w:cs="宋体"/>
          <w:color w:val="auto"/>
          <w:sz w:val="21"/>
          <w:szCs w:val="21"/>
          <w:highlight w:val="none"/>
        </w:rPr>
        <w:t>七、争议解决</w:t>
      </w:r>
      <w:bookmarkEnd w:id="1930"/>
      <w:bookmarkEnd w:id="1931"/>
      <w:bookmarkEnd w:id="1932"/>
      <w:bookmarkEnd w:id="1933"/>
    </w:p>
    <w:p w14:paraId="7B716719">
      <w:pPr>
        <w:keepNext w:val="0"/>
        <w:keepLines w:val="0"/>
        <w:pageBreakBefore w:val="0"/>
        <w:widowControl w:val="0"/>
        <w:wordWrap/>
        <w:topLinePunct w:val="0"/>
        <w:bidi w:val="0"/>
        <w:spacing w:after="12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因本保函或本保函相关事项发生的纠纷，可由双方协商解决，协商不成的，按下列第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种方式解决：</w:t>
      </w:r>
    </w:p>
    <w:p w14:paraId="4345EF1A">
      <w:pPr>
        <w:keepNext w:val="0"/>
        <w:keepLines w:val="0"/>
        <w:pageBreakBefore w:val="0"/>
        <w:widowControl w:val="0"/>
        <w:wordWrap/>
        <w:topLinePunct w:val="0"/>
        <w:bidi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（1）向</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仲裁委员会申请仲裁；</w:t>
      </w:r>
    </w:p>
    <w:p w14:paraId="6D4E10E8">
      <w:pPr>
        <w:keepNext w:val="0"/>
        <w:keepLines w:val="0"/>
        <w:pageBreakBefore w:val="0"/>
        <w:widowControl w:val="0"/>
        <w:wordWrap/>
        <w:topLinePunct w:val="0"/>
        <w:bidi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（2）向</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人民法院起诉。</w:t>
      </w:r>
    </w:p>
    <w:p w14:paraId="455B408D">
      <w:pPr>
        <w:keepNext w:val="0"/>
        <w:keepLines w:val="0"/>
        <w:pageBreakBefore w:val="0"/>
        <w:widowControl w:val="0"/>
        <w:wordWrap/>
        <w:topLinePunct w:val="0"/>
        <w:bidi w:val="0"/>
        <w:spacing w:line="360" w:lineRule="auto"/>
        <w:ind w:firstLine="420" w:firstLineChars="200"/>
        <w:jc w:val="left"/>
        <w:outlineLvl w:val="9"/>
        <w:rPr>
          <w:rFonts w:hint="eastAsia" w:ascii="宋体" w:hAnsi="宋体" w:eastAsia="宋体" w:cs="宋体"/>
          <w:color w:val="auto"/>
          <w:sz w:val="21"/>
          <w:szCs w:val="21"/>
          <w:highlight w:val="none"/>
        </w:rPr>
      </w:pPr>
      <w:bookmarkStart w:id="1934" w:name="_Toc5124"/>
      <w:bookmarkStart w:id="1935" w:name="_Toc24785"/>
      <w:bookmarkStart w:id="1936" w:name="_Toc14959"/>
      <w:bookmarkStart w:id="1937" w:name="_Toc29914"/>
      <w:r>
        <w:rPr>
          <w:rFonts w:hint="eastAsia" w:ascii="宋体" w:hAnsi="宋体" w:eastAsia="宋体" w:cs="宋体"/>
          <w:color w:val="auto"/>
          <w:sz w:val="21"/>
          <w:szCs w:val="21"/>
          <w:highlight w:val="none"/>
        </w:rPr>
        <w:t>八、保函的生效</w:t>
      </w:r>
      <w:bookmarkEnd w:id="1934"/>
      <w:bookmarkEnd w:id="1935"/>
      <w:bookmarkEnd w:id="1936"/>
      <w:bookmarkEnd w:id="1937"/>
    </w:p>
    <w:p w14:paraId="67433D15">
      <w:pPr>
        <w:keepNext w:val="0"/>
        <w:keepLines w:val="0"/>
        <w:pageBreakBefore w:val="0"/>
        <w:widowControl w:val="0"/>
        <w:wordWrap/>
        <w:topLinePunct w:val="0"/>
        <w:bidi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本保函自我方法定代表人（或其授权代理人）签字并加盖公章之日起生效。</w:t>
      </w:r>
    </w:p>
    <w:p w14:paraId="50DC2E94">
      <w:pPr>
        <w:keepNext w:val="0"/>
        <w:keepLines w:val="0"/>
        <w:pageBreakBefore w:val="0"/>
        <w:widowControl w:val="0"/>
        <w:wordWrap/>
        <w:topLinePunct w:val="0"/>
        <w:bidi w:val="0"/>
        <w:spacing w:line="360" w:lineRule="auto"/>
        <w:ind w:firstLine="420" w:firstLineChars="200"/>
        <w:jc w:val="left"/>
        <w:rPr>
          <w:rFonts w:hint="eastAsia" w:ascii="宋体" w:hAnsi="宋体" w:eastAsia="宋体" w:cs="宋体"/>
          <w:color w:val="auto"/>
          <w:sz w:val="21"/>
          <w:szCs w:val="21"/>
          <w:highlight w:val="none"/>
        </w:rPr>
      </w:pPr>
    </w:p>
    <w:p w14:paraId="2FC7ED87">
      <w:pPr>
        <w:keepNext w:val="0"/>
        <w:keepLines w:val="0"/>
        <w:pageBreakBefore w:val="0"/>
        <w:widowControl w:val="0"/>
        <w:wordWrap/>
        <w:topLinePunct w:val="0"/>
        <w:bidi w:val="0"/>
        <w:spacing w:line="360" w:lineRule="auto"/>
        <w:ind w:right="600"/>
        <w:jc w:val="left"/>
        <w:rPr>
          <w:rFonts w:hint="eastAsia" w:ascii="宋体" w:hAnsi="宋体" w:eastAsia="宋体" w:cs="宋体"/>
          <w:color w:val="auto"/>
          <w:sz w:val="21"/>
          <w:szCs w:val="21"/>
          <w:highlight w:val="none"/>
        </w:rPr>
      </w:pPr>
    </w:p>
    <w:p w14:paraId="6E545AF3">
      <w:pPr>
        <w:keepNext w:val="0"/>
        <w:keepLines w:val="0"/>
        <w:pageBreakBefore w:val="0"/>
        <w:widowControl w:val="0"/>
        <w:kinsoku/>
        <w:wordWrap/>
        <w:overflowPunct/>
        <w:topLinePunct w:val="0"/>
        <w:autoSpaceDE/>
        <w:autoSpaceDN/>
        <w:bidi w:val="0"/>
        <w:adjustRightInd/>
        <w:snapToGrid/>
        <w:spacing w:line="480" w:lineRule="auto"/>
        <w:ind w:right="6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担保人：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（盖章）</w:t>
      </w:r>
    </w:p>
    <w:p w14:paraId="556DA831">
      <w:pPr>
        <w:keepNext w:val="0"/>
        <w:keepLines w:val="0"/>
        <w:pageBreakBefore w:val="0"/>
        <w:widowControl w:val="0"/>
        <w:kinsoku/>
        <w:wordWrap/>
        <w:overflowPunct/>
        <w:topLinePunct w:val="0"/>
        <w:autoSpaceDE/>
        <w:autoSpaceDN/>
        <w:bidi w:val="0"/>
        <w:adjustRightInd/>
        <w:snapToGrid/>
        <w:spacing w:line="480" w:lineRule="auto"/>
        <w:ind w:right="1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法定代表人或委托代理人：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（签字）</w:t>
      </w:r>
    </w:p>
    <w:p w14:paraId="7175BF6F">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single"/>
        </w:rPr>
        <w:t xml:space="preserve">                                        </w:t>
      </w:r>
    </w:p>
    <w:p w14:paraId="5196A904">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 xml:space="preserve">                                        </w:t>
      </w:r>
    </w:p>
    <w:p w14:paraId="14A6AAC1">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    真：</w:t>
      </w:r>
      <w:r>
        <w:rPr>
          <w:rFonts w:hint="eastAsia" w:ascii="宋体" w:hAnsi="宋体" w:eastAsia="宋体" w:cs="宋体"/>
          <w:color w:val="auto"/>
          <w:sz w:val="21"/>
          <w:szCs w:val="21"/>
          <w:highlight w:val="none"/>
          <w:u w:val="single"/>
        </w:rPr>
        <w:t xml:space="preserve">                                        </w:t>
      </w:r>
    </w:p>
    <w:p w14:paraId="6B23BCFD">
      <w:pPr>
        <w:keepNext w:val="0"/>
        <w:keepLines w:val="0"/>
        <w:pageBreakBefore w:val="0"/>
        <w:widowControl w:val="0"/>
        <w:wordWrap/>
        <w:topLinePunct w:val="0"/>
        <w:bidi w:val="0"/>
        <w:spacing w:line="360" w:lineRule="auto"/>
        <w:ind w:right="150" w:firstLine="420" w:firstLineChars="200"/>
        <w:jc w:val="left"/>
        <w:rPr>
          <w:rFonts w:hint="eastAsia" w:ascii="宋体" w:hAnsi="宋体" w:eastAsia="宋体" w:cs="宋体"/>
          <w:color w:val="auto"/>
          <w:sz w:val="21"/>
          <w:szCs w:val="21"/>
          <w:highlight w:val="none"/>
          <w:u w:val="single"/>
        </w:rPr>
      </w:pPr>
    </w:p>
    <w:p w14:paraId="3017E026">
      <w:pPr>
        <w:keepNext w:val="0"/>
        <w:keepLines w:val="0"/>
        <w:pageBreakBefore w:val="0"/>
        <w:widowControl w:val="0"/>
        <w:wordWrap/>
        <w:topLinePunct w:val="0"/>
        <w:bidi w:val="0"/>
        <w:spacing w:line="360" w:lineRule="auto"/>
        <w:ind w:right="15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109B0B28">
      <w:pPr>
        <w:keepNext w:val="0"/>
        <w:keepLines w:val="0"/>
        <w:pageBreakBefore w:val="0"/>
        <w:widowControl w:val="0"/>
        <w:wordWrap/>
        <w:topLinePunct w:val="0"/>
        <w:bidi w:val="0"/>
        <w:spacing w:line="440" w:lineRule="exact"/>
        <w:rPr>
          <w:rFonts w:eastAsia="黑体"/>
          <w:color w:val="auto"/>
          <w:sz w:val="30"/>
          <w:szCs w:val="30"/>
          <w:highlight w:val="none"/>
        </w:rPr>
      </w:pPr>
      <w:r>
        <w:rPr>
          <w:rFonts w:eastAsia="仿宋_GB2312"/>
          <w:color w:val="auto"/>
          <w:sz w:val="30"/>
          <w:szCs w:val="30"/>
          <w:highlight w:val="none"/>
        </w:rPr>
        <w:br w:type="page"/>
      </w:r>
      <w:r>
        <w:rPr>
          <w:rFonts w:hint="eastAsia" w:ascii="宋体" w:hAnsi="宋体" w:eastAsia="宋体" w:cs="宋体"/>
          <w:color w:val="auto"/>
          <w:sz w:val="21"/>
          <w:szCs w:val="21"/>
          <w:highlight w:val="none"/>
        </w:rPr>
        <w:t>附件11：</w:t>
      </w:r>
    </w:p>
    <w:p w14:paraId="485C0C9E">
      <w:pPr>
        <w:keepNext w:val="0"/>
        <w:keepLines w:val="0"/>
        <w:pageBreakBefore w:val="0"/>
        <w:widowControl w:val="0"/>
        <w:wordWrap/>
        <w:topLinePunct w:val="0"/>
        <w:bidi w:val="0"/>
        <w:spacing w:before="120" w:beforeLines="50" w:after="120" w:afterLines="50" w:line="440" w:lineRule="exact"/>
        <w:jc w:val="center"/>
        <w:outlineLvl w:val="9"/>
        <w:rPr>
          <w:rFonts w:hint="eastAsia" w:ascii="宋体" w:hAnsi="宋体" w:eastAsia="宋体" w:cs="宋体"/>
          <w:color w:val="auto"/>
          <w:sz w:val="21"/>
          <w:szCs w:val="21"/>
          <w:highlight w:val="none"/>
        </w:rPr>
      </w:pPr>
      <w:bookmarkStart w:id="1938" w:name="_Toc20900"/>
      <w:bookmarkStart w:id="1939" w:name="_Toc18176"/>
      <w:bookmarkStart w:id="1940" w:name="_Toc32186"/>
      <w:bookmarkStart w:id="1941" w:name="_Toc15518"/>
      <w:r>
        <w:rPr>
          <w:rFonts w:hint="eastAsia" w:ascii="宋体" w:hAnsi="宋体" w:eastAsia="宋体" w:cs="宋体"/>
          <w:color w:val="auto"/>
          <w:sz w:val="21"/>
          <w:szCs w:val="21"/>
          <w:highlight w:val="none"/>
        </w:rPr>
        <w:t>11-1：材料暂估价表</w:t>
      </w:r>
      <w:bookmarkEnd w:id="1938"/>
      <w:bookmarkEnd w:id="1939"/>
      <w:bookmarkEnd w:id="1940"/>
      <w:bookmarkEnd w:id="1941"/>
    </w:p>
    <w:tbl>
      <w:tblPr>
        <w:tblStyle w:val="27"/>
        <w:tblW w:w="867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303"/>
      </w:tblGrid>
      <w:tr w14:paraId="6DDE4B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12" w:space="0"/>
              <w:bottom w:val="double" w:color="auto" w:sz="6" w:space="0"/>
            </w:tcBorders>
            <w:noWrap w:val="0"/>
            <w:vAlign w:val="top"/>
          </w:tcPr>
          <w:p w14:paraId="58750A2A">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r>
              <w:rPr>
                <w:rFonts w:ascii="等线" w:hAnsi="等线" w:eastAsia="仿宋_GB2312"/>
                <w:color w:val="auto"/>
                <w:kern w:val="2"/>
                <w:sz w:val="24"/>
                <w:szCs w:val="24"/>
                <w:highlight w:val="none"/>
                <w:lang w:val="en-US" w:eastAsia="zh-CN"/>
              </w:rPr>
              <w:t>序号</w:t>
            </w:r>
          </w:p>
        </w:tc>
        <w:tc>
          <w:tcPr>
            <w:tcW w:w="1984" w:type="dxa"/>
            <w:tcBorders>
              <w:top w:val="single" w:color="auto" w:sz="12" w:space="0"/>
              <w:bottom w:val="double" w:color="auto" w:sz="6" w:space="0"/>
            </w:tcBorders>
            <w:noWrap w:val="0"/>
            <w:vAlign w:val="top"/>
          </w:tcPr>
          <w:p w14:paraId="585FF61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r>
              <w:rPr>
                <w:rFonts w:ascii="等线" w:hAnsi="等线" w:eastAsia="仿宋_GB2312"/>
                <w:color w:val="auto"/>
                <w:kern w:val="2"/>
                <w:sz w:val="24"/>
                <w:szCs w:val="24"/>
                <w:highlight w:val="none"/>
                <w:lang w:val="en-US" w:eastAsia="zh-CN"/>
              </w:rPr>
              <w:t>名称</w:t>
            </w:r>
          </w:p>
        </w:tc>
        <w:tc>
          <w:tcPr>
            <w:tcW w:w="851" w:type="dxa"/>
            <w:tcBorders>
              <w:top w:val="single" w:color="auto" w:sz="12" w:space="0"/>
              <w:bottom w:val="double" w:color="auto" w:sz="6" w:space="0"/>
            </w:tcBorders>
            <w:noWrap w:val="0"/>
            <w:vAlign w:val="top"/>
          </w:tcPr>
          <w:p w14:paraId="54F5A65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r>
              <w:rPr>
                <w:rFonts w:ascii="等线" w:hAnsi="等线" w:eastAsia="仿宋_GB2312"/>
                <w:color w:val="auto"/>
                <w:kern w:val="2"/>
                <w:sz w:val="24"/>
                <w:szCs w:val="24"/>
                <w:highlight w:val="none"/>
                <w:lang w:val="en-US" w:eastAsia="zh-CN"/>
              </w:rPr>
              <w:t>单位</w:t>
            </w:r>
          </w:p>
        </w:tc>
        <w:tc>
          <w:tcPr>
            <w:tcW w:w="774" w:type="dxa"/>
            <w:tcBorders>
              <w:top w:val="single" w:color="auto" w:sz="12" w:space="0"/>
              <w:bottom w:val="double" w:color="auto" w:sz="6" w:space="0"/>
            </w:tcBorders>
            <w:noWrap w:val="0"/>
            <w:vAlign w:val="top"/>
          </w:tcPr>
          <w:p w14:paraId="22265E52">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r>
              <w:rPr>
                <w:rFonts w:ascii="等线" w:hAnsi="等线" w:eastAsia="仿宋_GB2312"/>
                <w:color w:val="auto"/>
                <w:kern w:val="2"/>
                <w:sz w:val="24"/>
                <w:szCs w:val="24"/>
                <w:highlight w:val="none"/>
                <w:lang w:val="en-US" w:eastAsia="zh-CN"/>
              </w:rPr>
              <w:t>数量</w:t>
            </w:r>
          </w:p>
        </w:tc>
        <w:tc>
          <w:tcPr>
            <w:tcW w:w="1352" w:type="dxa"/>
            <w:tcBorders>
              <w:top w:val="single" w:color="auto" w:sz="12" w:space="0"/>
              <w:bottom w:val="double" w:color="auto" w:sz="6" w:space="0"/>
            </w:tcBorders>
            <w:noWrap w:val="0"/>
            <w:vAlign w:val="top"/>
          </w:tcPr>
          <w:p w14:paraId="419B435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r>
              <w:rPr>
                <w:rFonts w:ascii="等线" w:hAnsi="等线" w:eastAsia="仿宋_GB2312"/>
                <w:color w:val="auto"/>
                <w:kern w:val="2"/>
                <w:sz w:val="24"/>
                <w:szCs w:val="24"/>
                <w:highlight w:val="none"/>
                <w:lang w:val="en-US" w:eastAsia="zh-CN"/>
              </w:rPr>
              <w:t>单价</w:t>
            </w:r>
            <w:r>
              <w:rPr>
                <w:rFonts w:hint="eastAsia" w:ascii="等线" w:hAnsi="等线" w:eastAsia="仿宋_GB2312"/>
                <w:color w:val="auto"/>
                <w:kern w:val="2"/>
                <w:sz w:val="24"/>
                <w:szCs w:val="24"/>
                <w:highlight w:val="none"/>
                <w:lang w:val="en-US" w:eastAsia="zh-CN"/>
              </w:rPr>
              <w:t>（元）</w:t>
            </w:r>
          </w:p>
        </w:tc>
        <w:tc>
          <w:tcPr>
            <w:tcW w:w="1418" w:type="dxa"/>
            <w:tcBorders>
              <w:top w:val="single" w:color="auto" w:sz="12" w:space="0"/>
              <w:bottom w:val="double" w:color="auto" w:sz="6" w:space="0"/>
            </w:tcBorders>
            <w:noWrap w:val="0"/>
            <w:vAlign w:val="top"/>
          </w:tcPr>
          <w:p w14:paraId="02F64FB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r>
              <w:rPr>
                <w:rFonts w:ascii="等线" w:hAnsi="等线" w:eastAsia="仿宋_GB2312"/>
                <w:color w:val="auto"/>
                <w:kern w:val="2"/>
                <w:sz w:val="24"/>
                <w:szCs w:val="24"/>
                <w:highlight w:val="none"/>
                <w:lang w:val="en-US" w:eastAsia="zh-CN"/>
              </w:rPr>
              <w:t>合价</w:t>
            </w:r>
            <w:r>
              <w:rPr>
                <w:rFonts w:hint="eastAsia" w:ascii="等线" w:hAnsi="等线" w:eastAsia="仿宋_GB2312"/>
                <w:color w:val="auto"/>
                <w:kern w:val="2"/>
                <w:sz w:val="24"/>
                <w:szCs w:val="24"/>
                <w:highlight w:val="none"/>
                <w:lang w:val="en-US" w:eastAsia="zh-CN"/>
              </w:rPr>
              <w:t>（元）</w:t>
            </w:r>
          </w:p>
        </w:tc>
        <w:tc>
          <w:tcPr>
            <w:tcW w:w="1303" w:type="dxa"/>
            <w:tcBorders>
              <w:top w:val="single" w:color="auto" w:sz="12" w:space="0"/>
              <w:bottom w:val="double" w:color="auto" w:sz="6" w:space="0"/>
            </w:tcBorders>
            <w:noWrap w:val="0"/>
            <w:vAlign w:val="top"/>
          </w:tcPr>
          <w:p w14:paraId="08F524E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r>
              <w:rPr>
                <w:rFonts w:ascii="等线" w:hAnsi="等线" w:eastAsia="仿宋_GB2312"/>
                <w:color w:val="auto"/>
                <w:kern w:val="2"/>
                <w:sz w:val="24"/>
                <w:szCs w:val="24"/>
                <w:highlight w:val="none"/>
                <w:lang w:val="en-US" w:eastAsia="zh-CN"/>
              </w:rPr>
              <w:t>备注</w:t>
            </w:r>
          </w:p>
        </w:tc>
      </w:tr>
      <w:tr w14:paraId="47FC1C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double" w:color="auto" w:sz="6" w:space="0"/>
              <w:bottom w:val="single" w:color="auto" w:sz="6" w:space="0"/>
            </w:tcBorders>
            <w:noWrap w:val="0"/>
            <w:vAlign w:val="top"/>
          </w:tcPr>
          <w:p w14:paraId="5103FAFB">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tcBorders>
              <w:top w:val="double" w:color="auto" w:sz="6" w:space="0"/>
              <w:bottom w:val="single" w:color="auto" w:sz="6" w:space="0"/>
            </w:tcBorders>
            <w:noWrap w:val="0"/>
            <w:vAlign w:val="top"/>
          </w:tcPr>
          <w:p w14:paraId="31E34698">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tcBorders>
              <w:top w:val="double" w:color="auto" w:sz="6" w:space="0"/>
              <w:bottom w:val="single" w:color="auto" w:sz="6" w:space="0"/>
            </w:tcBorders>
            <w:noWrap w:val="0"/>
            <w:vAlign w:val="top"/>
          </w:tcPr>
          <w:p w14:paraId="07E9D35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tcBorders>
              <w:top w:val="double" w:color="auto" w:sz="6" w:space="0"/>
              <w:bottom w:val="single" w:color="auto" w:sz="6" w:space="0"/>
            </w:tcBorders>
            <w:noWrap w:val="0"/>
            <w:vAlign w:val="top"/>
          </w:tcPr>
          <w:p w14:paraId="0F79997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tcBorders>
              <w:top w:val="double" w:color="auto" w:sz="6" w:space="0"/>
              <w:bottom w:val="single" w:color="auto" w:sz="6" w:space="0"/>
            </w:tcBorders>
            <w:noWrap w:val="0"/>
            <w:vAlign w:val="top"/>
          </w:tcPr>
          <w:p w14:paraId="35D2AE1E">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tcBorders>
              <w:top w:val="double" w:color="auto" w:sz="6" w:space="0"/>
              <w:bottom w:val="single" w:color="auto" w:sz="6" w:space="0"/>
            </w:tcBorders>
            <w:noWrap w:val="0"/>
            <w:vAlign w:val="top"/>
          </w:tcPr>
          <w:p w14:paraId="5524B02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tcBorders>
              <w:top w:val="double" w:color="auto" w:sz="6" w:space="0"/>
              <w:bottom w:val="single" w:color="auto" w:sz="6" w:space="0"/>
            </w:tcBorders>
            <w:noWrap w:val="0"/>
            <w:vAlign w:val="top"/>
          </w:tcPr>
          <w:p w14:paraId="1B8C91D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28E375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nil"/>
            </w:tcBorders>
            <w:noWrap w:val="0"/>
            <w:vAlign w:val="top"/>
          </w:tcPr>
          <w:p w14:paraId="201D810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tcBorders>
              <w:top w:val="nil"/>
            </w:tcBorders>
            <w:noWrap w:val="0"/>
            <w:vAlign w:val="top"/>
          </w:tcPr>
          <w:p w14:paraId="6E6FE1A7">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tcBorders>
              <w:top w:val="nil"/>
            </w:tcBorders>
            <w:noWrap w:val="0"/>
            <w:vAlign w:val="top"/>
          </w:tcPr>
          <w:p w14:paraId="4790B72A">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tcBorders>
              <w:top w:val="nil"/>
            </w:tcBorders>
            <w:noWrap w:val="0"/>
            <w:vAlign w:val="top"/>
          </w:tcPr>
          <w:p w14:paraId="7FA1F17B">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tcBorders>
              <w:top w:val="nil"/>
            </w:tcBorders>
            <w:noWrap w:val="0"/>
            <w:vAlign w:val="top"/>
          </w:tcPr>
          <w:p w14:paraId="3F1906C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tcBorders>
              <w:top w:val="nil"/>
            </w:tcBorders>
            <w:noWrap w:val="0"/>
            <w:vAlign w:val="top"/>
          </w:tcPr>
          <w:p w14:paraId="24211618">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tcBorders>
              <w:top w:val="nil"/>
            </w:tcBorders>
            <w:noWrap w:val="0"/>
            <w:vAlign w:val="top"/>
          </w:tcPr>
          <w:p w14:paraId="3168D128">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2A724D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BFDB793">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39E26E5A">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49B4AF80">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63057587">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1316222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2DBFDA28">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68830392">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6F7D73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44658A8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5745FFBA">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7887BDC2">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3006108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38674DBB">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7E474CCA">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22C8B30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482773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39B1AF9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74C9D8B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03D12E7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46BDA6BE">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08DBFA94">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0B4B59F8">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500DBA9E">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6BB432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44A737B4">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1FF34480">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75023B48">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10BDC40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72281651">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3305372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56EAC64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6FFAA6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4409504D">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7ED5C1BA">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2535E3F3">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39545BA8">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261A2474">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56AFB6F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62E66287">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23991C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58B300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7F66D02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36219B18">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1A38DCD8">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4E970DA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5339C4E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71C67AA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3BAD76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3B8F844">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43F9ECA6">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237C27D0">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422C0316">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494E70B2">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6931E27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7CCA49F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25F38D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5D6BCF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15AB3797">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624EB0BD">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6EA5E241">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169418B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6E82A91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4BD2C8A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7BF594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CD1CD1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7D12FDC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4B854258">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39ED2940">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3C5FEBAA">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5159E421">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7D8AF451">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78B5F6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BA0B906">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1FC1D79A">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3CC7B9E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062D1B7D">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1A732973">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661B3503">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73A244A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76A501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39DEB03">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1E0A3E8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3274E33E">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70D41AD3">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3F9D0B36">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1285EA5E">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0D20A951">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152325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424262E6">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3394315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63589C5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281A3C6A">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768BF85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4B9B0661">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7985CFD6">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7F2760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882B752">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40500EE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27A44691">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5A120438">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2AB69A8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0D4AC80E">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5E13126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2DC10D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4DFDEEFD">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64730C01">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69E40F7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65A8B6BA">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54ABEE3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54A1D661">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28E0309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2D1614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52CF601">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7F9C5C1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2214A0CD">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4CAA0DC1">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59BC8B5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72BA0F47">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521332E2">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5040DE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A064EA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579FDD3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287CF1DE">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50F66E1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6CD8ABA1">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6FC55967">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08B19D51">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5020EC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29377E8">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4602F77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35EBDAFD">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2ED8089A">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4C42D7D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576C0984">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16B772F6">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0C6B76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4465C85D">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60990E61">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4158F0B2">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6E3E88D6">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30F21814">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71CC6E4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05E5A393">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41B09D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A1B3672">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49A314DB">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2DF09516">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53B56DBD">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06D8098E">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0118963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061D11C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0A5A28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3D48B2E">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24F9FE0B">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16262D2E">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0ABF9C1D">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1E0F400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580E7D9D">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17288547">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3F2EA2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78C2466">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184B9768">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11EEE633">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74121EC7">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0337C31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57F9400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771DF588">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241898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327FEC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59AAE85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42F2700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0C3CF72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6D80C536">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45D277E0">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7860FDA1">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66AF28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0613630">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6CCBE434">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5F9CEE54">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3BB4B8C8">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38515C6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62FBE35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3EC41DFA">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bl>
    <w:p w14:paraId="59FE14A3">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28EA42DD">
      <w:pPr>
        <w:keepNext w:val="0"/>
        <w:keepLines w:val="0"/>
        <w:pageBreakBefore w:val="0"/>
        <w:widowControl w:val="0"/>
        <w:wordWrap/>
        <w:topLinePunct w:val="0"/>
        <w:bidi w:val="0"/>
        <w:spacing w:before="120" w:beforeLines="50" w:after="120" w:afterLines="50"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11-2：工程设备暂估价表</w:t>
      </w:r>
    </w:p>
    <w:tbl>
      <w:tblPr>
        <w:tblStyle w:val="27"/>
        <w:tblW w:w="867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303"/>
      </w:tblGrid>
      <w:tr w14:paraId="3151B6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993" w:type="dxa"/>
            <w:tcBorders>
              <w:top w:val="single" w:color="auto" w:sz="12" w:space="0"/>
              <w:bottom w:val="double" w:color="auto" w:sz="6" w:space="0"/>
            </w:tcBorders>
            <w:noWrap w:val="0"/>
            <w:vAlign w:val="top"/>
          </w:tcPr>
          <w:p w14:paraId="28716C00">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r>
              <w:rPr>
                <w:rFonts w:ascii="等线" w:hAnsi="等线" w:eastAsia="仿宋_GB2312"/>
                <w:color w:val="auto"/>
                <w:kern w:val="2"/>
                <w:sz w:val="24"/>
                <w:szCs w:val="24"/>
                <w:highlight w:val="none"/>
                <w:lang w:val="en-US" w:eastAsia="zh-CN"/>
              </w:rPr>
              <w:t>序号</w:t>
            </w:r>
          </w:p>
        </w:tc>
        <w:tc>
          <w:tcPr>
            <w:tcW w:w="1984" w:type="dxa"/>
            <w:tcBorders>
              <w:top w:val="single" w:color="auto" w:sz="12" w:space="0"/>
              <w:bottom w:val="double" w:color="auto" w:sz="6" w:space="0"/>
            </w:tcBorders>
            <w:noWrap w:val="0"/>
            <w:vAlign w:val="top"/>
          </w:tcPr>
          <w:p w14:paraId="412EEF11">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r>
              <w:rPr>
                <w:rFonts w:ascii="等线" w:hAnsi="等线" w:eastAsia="仿宋_GB2312"/>
                <w:color w:val="auto"/>
                <w:kern w:val="2"/>
                <w:sz w:val="24"/>
                <w:szCs w:val="24"/>
                <w:highlight w:val="none"/>
                <w:lang w:val="en-US" w:eastAsia="zh-CN"/>
              </w:rPr>
              <w:t>名称</w:t>
            </w:r>
          </w:p>
        </w:tc>
        <w:tc>
          <w:tcPr>
            <w:tcW w:w="851" w:type="dxa"/>
            <w:tcBorders>
              <w:top w:val="single" w:color="auto" w:sz="12" w:space="0"/>
              <w:bottom w:val="double" w:color="auto" w:sz="6" w:space="0"/>
            </w:tcBorders>
            <w:noWrap w:val="0"/>
            <w:vAlign w:val="top"/>
          </w:tcPr>
          <w:p w14:paraId="4EC744F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r>
              <w:rPr>
                <w:rFonts w:ascii="等线" w:hAnsi="等线" w:eastAsia="仿宋_GB2312"/>
                <w:color w:val="auto"/>
                <w:kern w:val="2"/>
                <w:sz w:val="24"/>
                <w:szCs w:val="24"/>
                <w:highlight w:val="none"/>
                <w:lang w:val="en-US" w:eastAsia="zh-CN"/>
              </w:rPr>
              <w:t>单位</w:t>
            </w:r>
          </w:p>
        </w:tc>
        <w:tc>
          <w:tcPr>
            <w:tcW w:w="774" w:type="dxa"/>
            <w:tcBorders>
              <w:top w:val="single" w:color="auto" w:sz="12" w:space="0"/>
              <w:bottom w:val="double" w:color="auto" w:sz="6" w:space="0"/>
            </w:tcBorders>
            <w:noWrap w:val="0"/>
            <w:vAlign w:val="top"/>
          </w:tcPr>
          <w:p w14:paraId="68CD9FB6">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r>
              <w:rPr>
                <w:rFonts w:ascii="等线" w:hAnsi="等线" w:eastAsia="仿宋_GB2312"/>
                <w:color w:val="auto"/>
                <w:kern w:val="2"/>
                <w:sz w:val="24"/>
                <w:szCs w:val="24"/>
                <w:highlight w:val="none"/>
                <w:lang w:val="en-US" w:eastAsia="zh-CN"/>
              </w:rPr>
              <w:t>数量</w:t>
            </w:r>
          </w:p>
        </w:tc>
        <w:tc>
          <w:tcPr>
            <w:tcW w:w="1352" w:type="dxa"/>
            <w:tcBorders>
              <w:top w:val="single" w:color="auto" w:sz="12" w:space="0"/>
              <w:bottom w:val="double" w:color="auto" w:sz="6" w:space="0"/>
            </w:tcBorders>
            <w:noWrap w:val="0"/>
            <w:vAlign w:val="top"/>
          </w:tcPr>
          <w:p w14:paraId="5398910A">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r>
              <w:rPr>
                <w:rFonts w:ascii="等线" w:hAnsi="等线" w:eastAsia="仿宋_GB2312"/>
                <w:color w:val="auto"/>
                <w:kern w:val="2"/>
                <w:sz w:val="24"/>
                <w:szCs w:val="24"/>
                <w:highlight w:val="none"/>
                <w:lang w:val="en-US" w:eastAsia="zh-CN"/>
              </w:rPr>
              <w:t>单价</w:t>
            </w:r>
            <w:r>
              <w:rPr>
                <w:rFonts w:hint="eastAsia" w:ascii="等线" w:hAnsi="等线" w:eastAsia="仿宋_GB2312"/>
                <w:color w:val="auto"/>
                <w:kern w:val="2"/>
                <w:sz w:val="24"/>
                <w:szCs w:val="24"/>
                <w:highlight w:val="none"/>
                <w:lang w:val="en-US" w:eastAsia="zh-CN"/>
              </w:rPr>
              <w:t>（元）</w:t>
            </w:r>
          </w:p>
        </w:tc>
        <w:tc>
          <w:tcPr>
            <w:tcW w:w="1418" w:type="dxa"/>
            <w:tcBorders>
              <w:top w:val="single" w:color="auto" w:sz="12" w:space="0"/>
              <w:bottom w:val="double" w:color="auto" w:sz="6" w:space="0"/>
            </w:tcBorders>
            <w:noWrap w:val="0"/>
            <w:vAlign w:val="top"/>
          </w:tcPr>
          <w:p w14:paraId="05FDF92A">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r>
              <w:rPr>
                <w:rFonts w:ascii="等线" w:hAnsi="等线" w:eastAsia="仿宋_GB2312"/>
                <w:color w:val="auto"/>
                <w:kern w:val="2"/>
                <w:sz w:val="24"/>
                <w:szCs w:val="24"/>
                <w:highlight w:val="none"/>
                <w:lang w:val="en-US" w:eastAsia="zh-CN"/>
              </w:rPr>
              <w:t>合价</w:t>
            </w:r>
            <w:r>
              <w:rPr>
                <w:rFonts w:hint="eastAsia" w:ascii="等线" w:hAnsi="等线" w:eastAsia="仿宋_GB2312"/>
                <w:color w:val="auto"/>
                <w:kern w:val="2"/>
                <w:sz w:val="24"/>
                <w:szCs w:val="24"/>
                <w:highlight w:val="none"/>
                <w:lang w:val="en-US" w:eastAsia="zh-CN"/>
              </w:rPr>
              <w:t>（元）</w:t>
            </w:r>
          </w:p>
        </w:tc>
        <w:tc>
          <w:tcPr>
            <w:tcW w:w="1303" w:type="dxa"/>
            <w:tcBorders>
              <w:top w:val="single" w:color="auto" w:sz="12" w:space="0"/>
              <w:bottom w:val="double" w:color="auto" w:sz="6" w:space="0"/>
            </w:tcBorders>
            <w:noWrap w:val="0"/>
            <w:vAlign w:val="top"/>
          </w:tcPr>
          <w:p w14:paraId="7712257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r>
              <w:rPr>
                <w:rFonts w:ascii="等线" w:hAnsi="等线" w:eastAsia="仿宋_GB2312"/>
                <w:color w:val="auto"/>
                <w:kern w:val="2"/>
                <w:sz w:val="24"/>
                <w:szCs w:val="24"/>
                <w:highlight w:val="none"/>
                <w:lang w:val="en-US" w:eastAsia="zh-CN"/>
              </w:rPr>
              <w:t>备注</w:t>
            </w:r>
          </w:p>
        </w:tc>
      </w:tr>
      <w:tr w14:paraId="49EE7A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double" w:color="auto" w:sz="6" w:space="0"/>
              <w:bottom w:val="single" w:color="auto" w:sz="6" w:space="0"/>
            </w:tcBorders>
            <w:noWrap w:val="0"/>
            <w:vAlign w:val="top"/>
          </w:tcPr>
          <w:p w14:paraId="3F3AC880">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tcBorders>
              <w:top w:val="double" w:color="auto" w:sz="6" w:space="0"/>
              <w:bottom w:val="single" w:color="auto" w:sz="6" w:space="0"/>
            </w:tcBorders>
            <w:noWrap w:val="0"/>
            <w:vAlign w:val="top"/>
          </w:tcPr>
          <w:p w14:paraId="1CD63DD2">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tcBorders>
              <w:top w:val="double" w:color="auto" w:sz="6" w:space="0"/>
              <w:bottom w:val="single" w:color="auto" w:sz="6" w:space="0"/>
            </w:tcBorders>
            <w:noWrap w:val="0"/>
            <w:vAlign w:val="top"/>
          </w:tcPr>
          <w:p w14:paraId="78545A84">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tcBorders>
              <w:top w:val="double" w:color="auto" w:sz="6" w:space="0"/>
              <w:bottom w:val="single" w:color="auto" w:sz="6" w:space="0"/>
            </w:tcBorders>
            <w:noWrap w:val="0"/>
            <w:vAlign w:val="top"/>
          </w:tcPr>
          <w:p w14:paraId="7833F39D">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tcBorders>
              <w:top w:val="double" w:color="auto" w:sz="6" w:space="0"/>
              <w:bottom w:val="single" w:color="auto" w:sz="6" w:space="0"/>
            </w:tcBorders>
            <w:noWrap w:val="0"/>
            <w:vAlign w:val="top"/>
          </w:tcPr>
          <w:p w14:paraId="27ED86FA">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tcBorders>
              <w:top w:val="double" w:color="auto" w:sz="6" w:space="0"/>
              <w:bottom w:val="single" w:color="auto" w:sz="6" w:space="0"/>
            </w:tcBorders>
            <w:noWrap w:val="0"/>
            <w:vAlign w:val="top"/>
          </w:tcPr>
          <w:p w14:paraId="38BE9371">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tcBorders>
              <w:top w:val="double" w:color="auto" w:sz="6" w:space="0"/>
              <w:bottom w:val="single" w:color="auto" w:sz="6" w:space="0"/>
            </w:tcBorders>
            <w:noWrap w:val="0"/>
            <w:vAlign w:val="top"/>
          </w:tcPr>
          <w:p w14:paraId="277FF4E6">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411C84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nil"/>
            </w:tcBorders>
            <w:noWrap w:val="0"/>
            <w:vAlign w:val="top"/>
          </w:tcPr>
          <w:p w14:paraId="5C8F1CB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tcBorders>
              <w:top w:val="nil"/>
            </w:tcBorders>
            <w:noWrap w:val="0"/>
            <w:vAlign w:val="top"/>
          </w:tcPr>
          <w:p w14:paraId="4B0AD201">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tcBorders>
              <w:top w:val="nil"/>
            </w:tcBorders>
            <w:noWrap w:val="0"/>
            <w:vAlign w:val="top"/>
          </w:tcPr>
          <w:p w14:paraId="72081B24">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tcBorders>
              <w:top w:val="nil"/>
            </w:tcBorders>
            <w:noWrap w:val="0"/>
            <w:vAlign w:val="top"/>
          </w:tcPr>
          <w:p w14:paraId="0309E180">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tcBorders>
              <w:top w:val="nil"/>
            </w:tcBorders>
            <w:noWrap w:val="0"/>
            <w:vAlign w:val="top"/>
          </w:tcPr>
          <w:p w14:paraId="1DE53126">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tcBorders>
              <w:top w:val="nil"/>
            </w:tcBorders>
            <w:noWrap w:val="0"/>
            <w:vAlign w:val="top"/>
          </w:tcPr>
          <w:p w14:paraId="424E082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tcBorders>
              <w:top w:val="nil"/>
            </w:tcBorders>
            <w:noWrap w:val="0"/>
            <w:vAlign w:val="top"/>
          </w:tcPr>
          <w:p w14:paraId="54001774">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5835A2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A515937">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2CC23E8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5129E66E">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6FFB0B5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4DE192D3">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377E8D84">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50D8F260">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3C06BD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8CC2B6B">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42C80072">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39BFEEA0">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76BBA490">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58B4AAC8">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779BDADB">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4A77DD77">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4D1B3A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EC4754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19F5A1C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78E19193">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21EE677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0F7A12D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2DC62C4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27F64CB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6E40D9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426D0E7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3A907E7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17E2B3E7">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677FDEE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2DBF9C5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0862C86B">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3DDE4AA8">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78CAAE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A904AD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79D26E98">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0445957E">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2B44958E">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1218875D">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7DA15D02">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0CC2CB3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4C185B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A3C7D5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17CC165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58517B8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0E4F4AE1">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12550D4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2DFBE44E">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658E260A">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18F199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328185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10E553E1">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5C09F426">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7056739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0277179B">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3EC8155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330C5C7E">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6FF373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24C7AAD">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3305E5EA">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5A1452D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637D4B88">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6A407FD8">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107E1076">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75CB7B9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507B5D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04E0138">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631F0CC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7F671C5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210EB7F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1EC8ACE0">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4C01779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3E7A79F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07ACA7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A223CE7">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086DF56B">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123FB0C6">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4512DBF1">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4232244E">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77AD9E5A">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764021C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5A8E99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4FDF368">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5EF2FCB7">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26535117">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64426F30">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674A286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7B1E0E2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0F384F12">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29D936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EAA2294">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5A37A7FB">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6ED6543E">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72E4B3D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53026593">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1966B58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456FD8E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2F0F14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C0AA35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34D24293">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3FF9FDD3">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64176FB6">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751FDEDD">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08F139B2">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4B8D7AA1">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2D035C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B0383F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018E9FF0">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58EF6B43">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79CAC1CB">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68E537A2">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0BF7A46E">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5F90A53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4BC5AC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F88F6C4">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06DDCC03">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09D12C5D">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34B01647">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1EF7BD83">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5B3B3723">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78E527A6">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7E30F5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A1D5C9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57F9457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1A8494CE">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5804B5B8">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23E5B3CA">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2B530A64">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048A8FCB">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3FFA46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3B6EBA53">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5AE72061">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4503F922">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55030484">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3EA1C6D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0A7EFFE1">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7FAA4F06">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527B33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CC0F2A0">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02EA46EE">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0715BA14">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3DDDCF3A">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2360542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74EE0481">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53E57EF3">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184073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439519A">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55E0AA02">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402226D7">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30B35C10">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74B654B1">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3196009D">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2F42B85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379427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2263CE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7BA612B3">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33330F03">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7ADA239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133E7512">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562F2057">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5BE1876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0F7194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EFC9F4D">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6A37BFEE">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745F55BC">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72EBE9ED">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7E1C47A0">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694E71C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307D9FEA">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24EC1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32116A98">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54174A0F">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2CAD0CF3">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1BAD4B66">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07F8D82B">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65F5A1F7">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4ECD5363">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r w14:paraId="662BD3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20B1DCE">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984" w:type="dxa"/>
            <w:noWrap w:val="0"/>
            <w:vAlign w:val="top"/>
          </w:tcPr>
          <w:p w14:paraId="77CCC8D3">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851" w:type="dxa"/>
            <w:noWrap w:val="0"/>
            <w:vAlign w:val="top"/>
          </w:tcPr>
          <w:p w14:paraId="0981354B">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774" w:type="dxa"/>
            <w:noWrap w:val="0"/>
            <w:vAlign w:val="top"/>
          </w:tcPr>
          <w:p w14:paraId="6BACE8F3">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52" w:type="dxa"/>
            <w:noWrap w:val="0"/>
            <w:vAlign w:val="top"/>
          </w:tcPr>
          <w:p w14:paraId="0AA86EA6">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418" w:type="dxa"/>
            <w:noWrap w:val="0"/>
            <w:vAlign w:val="top"/>
          </w:tcPr>
          <w:p w14:paraId="0EE8B225">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c>
          <w:tcPr>
            <w:tcW w:w="1303" w:type="dxa"/>
            <w:noWrap w:val="0"/>
            <w:vAlign w:val="top"/>
          </w:tcPr>
          <w:p w14:paraId="57BAC239">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p>
        </w:tc>
      </w:tr>
    </w:tbl>
    <w:p w14:paraId="43DD8EE3">
      <w:pPr>
        <w:keepNext w:val="0"/>
        <w:keepLines w:val="0"/>
        <w:pageBreakBefore w:val="0"/>
        <w:widowControl w:val="0"/>
        <w:wordWrap/>
        <w:topLinePunct w:val="0"/>
        <w:bidi w:val="0"/>
        <w:spacing w:line="440" w:lineRule="exact"/>
        <w:rPr>
          <w:rFonts w:eastAsia="仿宋_GB2312"/>
          <w:color w:val="auto"/>
          <w:sz w:val="30"/>
          <w:szCs w:val="30"/>
          <w:highlight w:val="none"/>
        </w:rPr>
      </w:pPr>
    </w:p>
    <w:p w14:paraId="7B3B4ACD">
      <w:pPr>
        <w:keepNext w:val="0"/>
        <w:keepLines w:val="0"/>
        <w:pageBreakBefore w:val="0"/>
        <w:widowControl w:val="0"/>
        <w:wordWrap/>
        <w:topLinePunct w:val="0"/>
        <w:bidi w:val="0"/>
        <w:spacing w:before="120" w:beforeLines="50" w:after="120" w:afterLines="50" w:line="440" w:lineRule="exact"/>
        <w:jc w:val="center"/>
        <w:rPr>
          <w:rFonts w:eastAsia="黑体"/>
          <w:color w:val="auto"/>
          <w:sz w:val="30"/>
          <w:szCs w:val="30"/>
          <w:highlight w:val="none"/>
        </w:rPr>
      </w:pPr>
      <w:r>
        <w:rPr>
          <w:rFonts w:eastAsia="仿宋_GB2312"/>
          <w:color w:val="auto"/>
          <w:sz w:val="30"/>
          <w:szCs w:val="30"/>
          <w:highlight w:val="none"/>
        </w:rPr>
        <w:br w:type="page"/>
      </w:r>
      <w:r>
        <w:rPr>
          <w:rFonts w:hint="eastAsia" w:ascii="宋体" w:hAnsi="宋体" w:eastAsia="宋体" w:cs="宋体"/>
          <w:color w:val="auto"/>
          <w:sz w:val="21"/>
          <w:szCs w:val="21"/>
          <w:highlight w:val="none"/>
        </w:rPr>
        <w:t>11-3：专业工程暂估价表</w:t>
      </w:r>
    </w:p>
    <w:tbl>
      <w:tblPr>
        <w:tblStyle w:val="27"/>
        <w:tblW w:w="867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79"/>
        <w:gridCol w:w="1984"/>
        <w:gridCol w:w="4395"/>
        <w:gridCol w:w="1417"/>
      </w:tblGrid>
      <w:tr w14:paraId="4F2B19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single" w:color="auto" w:sz="12" w:space="0"/>
              <w:bottom w:val="double" w:color="auto" w:sz="6" w:space="0"/>
            </w:tcBorders>
            <w:noWrap w:val="0"/>
            <w:vAlign w:val="top"/>
          </w:tcPr>
          <w:p w14:paraId="1B139D24">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r>
              <w:rPr>
                <w:rFonts w:ascii="等线" w:hAnsi="等线" w:eastAsia="仿宋_GB2312"/>
                <w:color w:val="auto"/>
                <w:kern w:val="2"/>
                <w:sz w:val="24"/>
                <w:szCs w:val="24"/>
                <w:highlight w:val="none"/>
                <w:lang w:val="en-US" w:eastAsia="zh-CN"/>
              </w:rPr>
              <w:t>序号</w:t>
            </w:r>
          </w:p>
        </w:tc>
        <w:tc>
          <w:tcPr>
            <w:tcW w:w="1984" w:type="dxa"/>
            <w:tcBorders>
              <w:top w:val="single" w:color="auto" w:sz="12" w:space="0"/>
              <w:bottom w:val="double" w:color="auto" w:sz="6" w:space="0"/>
            </w:tcBorders>
            <w:noWrap w:val="0"/>
            <w:vAlign w:val="top"/>
          </w:tcPr>
          <w:p w14:paraId="663A7D76">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r>
              <w:rPr>
                <w:rFonts w:ascii="等线" w:hAnsi="等线" w:eastAsia="仿宋_GB2312"/>
                <w:color w:val="auto"/>
                <w:kern w:val="2"/>
                <w:sz w:val="24"/>
                <w:szCs w:val="24"/>
                <w:highlight w:val="none"/>
                <w:lang w:val="en-US" w:eastAsia="zh-CN"/>
              </w:rPr>
              <w:t>专业工程名称</w:t>
            </w:r>
          </w:p>
        </w:tc>
        <w:tc>
          <w:tcPr>
            <w:tcW w:w="4395" w:type="dxa"/>
            <w:tcBorders>
              <w:top w:val="single" w:color="auto" w:sz="12" w:space="0"/>
              <w:bottom w:val="double" w:color="auto" w:sz="6" w:space="0"/>
            </w:tcBorders>
            <w:noWrap w:val="0"/>
            <w:vAlign w:val="top"/>
          </w:tcPr>
          <w:p w14:paraId="0D4A824D">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r>
              <w:rPr>
                <w:rFonts w:ascii="等线" w:hAnsi="等线" w:eastAsia="仿宋_GB2312"/>
                <w:color w:val="auto"/>
                <w:kern w:val="2"/>
                <w:sz w:val="24"/>
                <w:szCs w:val="24"/>
                <w:highlight w:val="none"/>
                <w:lang w:val="en-US" w:eastAsia="zh-CN"/>
              </w:rPr>
              <w:t>工程内容</w:t>
            </w:r>
          </w:p>
        </w:tc>
        <w:tc>
          <w:tcPr>
            <w:tcW w:w="1417" w:type="dxa"/>
            <w:tcBorders>
              <w:top w:val="single" w:color="auto" w:sz="12" w:space="0"/>
              <w:bottom w:val="double" w:color="auto" w:sz="6" w:space="0"/>
            </w:tcBorders>
            <w:noWrap w:val="0"/>
            <w:vAlign w:val="top"/>
          </w:tcPr>
          <w:p w14:paraId="45796218">
            <w:pPr>
              <w:pStyle w:val="9"/>
              <w:keepNext w:val="0"/>
              <w:keepLines w:val="0"/>
              <w:pageBreakBefore w:val="0"/>
              <w:widowControl w:val="0"/>
              <w:wordWrap/>
              <w:topLinePunct w:val="0"/>
              <w:bidi w:val="0"/>
              <w:spacing w:after="0" w:line="440" w:lineRule="exact"/>
              <w:ind w:left="63" w:right="63"/>
              <w:rPr>
                <w:rFonts w:ascii="等线" w:hAnsi="等线" w:eastAsia="仿宋_GB2312"/>
                <w:color w:val="auto"/>
                <w:kern w:val="2"/>
                <w:sz w:val="24"/>
                <w:szCs w:val="24"/>
                <w:highlight w:val="none"/>
                <w:lang w:val="en-US" w:eastAsia="zh-CN"/>
              </w:rPr>
            </w:pPr>
            <w:r>
              <w:rPr>
                <w:rFonts w:ascii="等线" w:hAnsi="等线" w:eastAsia="仿宋_GB2312"/>
                <w:color w:val="auto"/>
                <w:kern w:val="2"/>
                <w:sz w:val="24"/>
                <w:szCs w:val="24"/>
                <w:highlight w:val="none"/>
                <w:lang w:val="en-US" w:eastAsia="zh-CN"/>
              </w:rPr>
              <w:t>金额</w:t>
            </w:r>
          </w:p>
        </w:tc>
      </w:tr>
      <w:tr w14:paraId="139F56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double" w:color="auto" w:sz="6" w:space="0"/>
              <w:bottom w:val="single" w:color="auto" w:sz="6" w:space="0"/>
            </w:tcBorders>
            <w:noWrap w:val="0"/>
            <w:vAlign w:val="top"/>
          </w:tcPr>
          <w:p w14:paraId="40C4218B">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984" w:type="dxa"/>
            <w:tcBorders>
              <w:top w:val="double" w:color="auto" w:sz="6" w:space="0"/>
              <w:bottom w:val="single" w:color="auto" w:sz="6" w:space="0"/>
            </w:tcBorders>
            <w:noWrap w:val="0"/>
            <w:vAlign w:val="top"/>
          </w:tcPr>
          <w:p w14:paraId="480AF528">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4395" w:type="dxa"/>
            <w:tcBorders>
              <w:top w:val="double" w:color="auto" w:sz="6" w:space="0"/>
              <w:bottom w:val="single" w:color="auto" w:sz="6" w:space="0"/>
            </w:tcBorders>
            <w:noWrap w:val="0"/>
            <w:vAlign w:val="top"/>
          </w:tcPr>
          <w:p w14:paraId="6F803667">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417" w:type="dxa"/>
            <w:tcBorders>
              <w:top w:val="double" w:color="auto" w:sz="6" w:space="0"/>
              <w:bottom w:val="single" w:color="auto" w:sz="6" w:space="0"/>
            </w:tcBorders>
            <w:noWrap w:val="0"/>
            <w:vAlign w:val="top"/>
          </w:tcPr>
          <w:p w14:paraId="580B560B">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r>
      <w:tr w14:paraId="24368B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nil"/>
            </w:tcBorders>
            <w:noWrap w:val="0"/>
            <w:vAlign w:val="top"/>
          </w:tcPr>
          <w:p w14:paraId="24B32E1F">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984" w:type="dxa"/>
            <w:tcBorders>
              <w:top w:val="nil"/>
            </w:tcBorders>
            <w:noWrap w:val="0"/>
            <w:vAlign w:val="top"/>
          </w:tcPr>
          <w:p w14:paraId="4A02E010">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4395" w:type="dxa"/>
            <w:tcBorders>
              <w:top w:val="nil"/>
            </w:tcBorders>
            <w:noWrap w:val="0"/>
            <w:vAlign w:val="top"/>
          </w:tcPr>
          <w:p w14:paraId="575F17C4">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417" w:type="dxa"/>
            <w:tcBorders>
              <w:top w:val="nil"/>
            </w:tcBorders>
            <w:noWrap w:val="0"/>
            <w:vAlign w:val="top"/>
          </w:tcPr>
          <w:p w14:paraId="631FAC74">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r>
      <w:tr w14:paraId="365C10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nil"/>
            </w:tcBorders>
            <w:noWrap w:val="0"/>
            <w:vAlign w:val="top"/>
          </w:tcPr>
          <w:p w14:paraId="578AEF89">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984" w:type="dxa"/>
            <w:tcBorders>
              <w:top w:val="nil"/>
            </w:tcBorders>
            <w:noWrap w:val="0"/>
            <w:vAlign w:val="top"/>
          </w:tcPr>
          <w:p w14:paraId="69C38718">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4395" w:type="dxa"/>
            <w:tcBorders>
              <w:top w:val="nil"/>
            </w:tcBorders>
            <w:noWrap w:val="0"/>
            <w:vAlign w:val="top"/>
          </w:tcPr>
          <w:p w14:paraId="1B433B52">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417" w:type="dxa"/>
            <w:tcBorders>
              <w:top w:val="nil"/>
            </w:tcBorders>
            <w:noWrap w:val="0"/>
            <w:vAlign w:val="top"/>
          </w:tcPr>
          <w:p w14:paraId="12D3D1C3">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r>
      <w:tr w14:paraId="4940FD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4BA2E4CB">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984" w:type="dxa"/>
            <w:noWrap w:val="0"/>
            <w:vAlign w:val="top"/>
          </w:tcPr>
          <w:p w14:paraId="1CEA8A26">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4395" w:type="dxa"/>
            <w:noWrap w:val="0"/>
            <w:vAlign w:val="top"/>
          </w:tcPr>
          <w:p w14:paraId="13F5F7B0">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417" w:type="dxa"/>
            <w:noWrap w:val="0"/>
            <w:vAlign w:val="top"/>
          </w:tcPr>
          <w:p w14:paraId="0001D2BF">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r>
      <w:tr w14:paraId="4B1D8A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63E75152">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984" w:type="dxa"/>
            <w:noWrap w:val="0"/>
            <w:vAlign w:val="top"/>
          </w:tcPr>
          <w:p w14:paraId="26B79D61">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4395" w:type="dxa"/>
            <w:noWrap w:val="0"/>
            <w:vAlign w:val="top"/>
          </w:tcPr>
          <w:p w14:paraId="326B968C">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417" w:type="dxa"/>
            <w:noWrap w:val="0"/>
            <w:vAlign w:val="top"/>
          </w:tcPr>
          <w:p w14:paraId="5F70B881">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r>
      <w:tr w14:paraId="6091C0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0A6E9729">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984" w:type="dxa"/>
            <w:noWrap w:val="0"/>
            <w:vAlign w:val="top"/>
          </w:tcPr>
          <w:p w14:paraId="55F4D7B3">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4395" w:type="dxa"/>
            <w:noWrap w:val="0"/>
            <w:vAlign w:val="top"/>
          </w:tcPr>
          <w:p w14:paraId="47A5015C">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417" w:type="dxa"/>
            <w:noWrap w:val="0"/>
            <w:vAlign w:val="top"/>
          </w:tcPr>
          <w:p w14:paraId="5C4AA08C">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r>
      <w:tr w14:paraId="046453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17BD0E5F">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984" w:type="dxa"/>
            <w:noWrap w:val="0"/>
            <w:vAlign w:val="top"/>
          </w:tcPr>
          <w:p w14:paraId="59F5E8B3">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4395" w:type="dxa"/>
            <w:noWrap w:val="0"/>
            <w:vAlign w:val="top"/>
          </w:tcPr>
          <w:p w14:paraId="5F17B877">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417" w:type="dxa"/>
            <w:noWrap w:val="0"/>
            <w:vAlign w:val="top"/>
          </w:tcPr>
          <w:p w14:paraId="5C158548">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r>
      <w:tr w14:paraId="2A24DE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7311C413">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984" w:type="dxa"/>
            <w:noWrap w:val="0"/>
            <w:vAlign w:val="top"/>
          </w:tcPr>
          <w:p w14:paraId="0351D62B">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4395" w:type="dxa"/>
            <w:noWrap w:val="0"/>
            <w:vAlign w:val="top"/>
          </w:tcPr>
          <w:p w14:paraId="1D2E8823">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417" w:type="dxa"/>
            <w:noWrap w:val="0"/>
            <w:vAlign w:val="top"/>
          </w:tcPr>
          <w:p w14:paraId="372F772C">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r>
      <w:tr w14:paraId="59DA0D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45FDA552">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984" w:type="dxa"/>
            <w:noWrap w:val="0"/>
            <w:vAlign w:val="top"/>
          </w:tcPr>
          <w:p w14:paraId="6E30998E">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4395" w:type="dxa"/>
            <w:noWrap w:val="0"/>
            <w:vAlign w:val="top"/>
          </w:tcPr>
          <w:p w14:paraId="172D77FE">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417" w:type="dxa"/>
            <w:noWrap w:val="0"/>
            <w:vAlign w:val="top"/>
          </w:tcPr>
          <w:p w14:paraId="07FFD4C9">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r>
      <w:tr w14:paraId="173481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767A6F5B">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984" w:type="dxa"/>
            <w:noWrap w:val="0"/>
            <w:vAlign w:val="top"/>
          </w:tcPr>
          <w:p w14:paraId="31E16D78">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4395" w:type="dxa"/>
            <w:noWrap w:val="0"/>
            <w:vAlign w:val="top"/>
          </w:tcPr>
          <w:p w14:paraId="293162ED">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417" w:type="dxa"/>
            <w:noWrap w:val="0"/>
            <w:vAlign w:val="top"/>
          </w:tcPr>
          <w:p w14:paraId="3E20AC3A">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r>
      <w:tr w14:paraId="578D31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19F1B64D">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984" w:type="dxa"/>
            <w:noWrap w:val="0"/>
            <w:vAlign w:val="top"/>
          </w:tcPr>
          <w:p w14:paraId="227DC547">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4395" w:type="dxa"/>
            <w:noWrap w:val="0"/>
            <w:vAlign w:val="top"/>
          </w:tcPr>
          <w:p w14:paraId="087583C6">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417" w:type="dxa"/>
            <w:noWrap w:val="0"/>
            <w:vAlign w:val="top"/>
          </w:tcPr>
          <w:p w14:paraId="4A590365">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r>
      <w:tr w14:paraId="688234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5F859958">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984" w:type="dxa"/>
            <w:noWrap w:val="0"/>
            <w:vAlign w:val="top"/>
          </w:tcPr>
          <w:p w14:paraId="60DBAA03">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4395" w:type="dxa"/>
            <w:noWrap w:val="0"/>
            <w:vAlign w:val="top"/>
          </w:tcPr>
          <w:p w14:paraId="2622584E">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417" w:type="dxa"/>
            <w:noWrap w:val="0"/>
            <w:vAlign w:val="top"/>
          </w:tcPr>
          <w:p w14:paraId="51296DC3">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r>
      <w:tr w14:paraId="348712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4CC3A78C">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984" w:type="dxa"/>
            <w:noWrap w:val="0"/>
            <w:vAlign w:val="top"/>
          </w:tcPr>
          <w:p w14:paraId="3D0295C9">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4395" w:type="dxa"/>
            <w:noWrap w:val="0"/>
            <w:vAlign w:val="top"/>
          </w:tcPr>
          <w:p w14:paraId="7898B30F">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417" w:type="dxa"/>
            <w:noWrap w:val="0"/>
            <w:vAlign w:val="top"/>
          </w:tcPr>
          <w:p w14:paraId="0DCE5A9E">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r>
      <w:tr w14:paraId="0CF114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0A90A884">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984" w:type="dxa"/>
            <w:noWrap w:val="0"/>
            <w:vAlign w:val="top"/>
          </w:tcPr>
          <w:p w14:paraId="044E0F2D">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4395" w:type="dxa"/>
            <w:noWrap w:val="0"/>
            <w:vAlign w:val="top"/>
          </w:tcPr>
          <w:p w14:paraId="08DF2B7E">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417" w:type="dxa"/>
            <w:noWrap w:val="0"/>
            <w:vAlign w:val="top"/>
          </w:tcPr>
          <w:p w14:paraId="2C90404B">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r>
      <w:tr w14:paraId="0ABCE9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47EE1D9F">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984" w:type="dxa"/>
            <w:noWrap w:val="0"/>
            <w:vAlign w:val="top"/>
          </w:tcPr>
          <w:p w14:paraId="22354233">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4395" w:type="dxa"/>
            <w:noWrap w:val="0"/>
            <w:vAlign w:val="top"/>
          </w:tcPr>
          <w:p w14:paraId="66005D71">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417" w:type="dxa"/>
            <w:noWrap w:val="0"/>
            <w:vAlign w:val="top"/>
          </w:tcPr>
          <w:p w14:paraId="35F2CFDE">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r>
      <w:tr w14:paraId="4CE2A9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0C268DE2">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984" w:type="dxa"/>
            <w:noWrap w:val="0"/>
            <w:vAlign w:val="top"/>
          </w:tcPr>
          <w:p w14:paraId="32343A68">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4395" w:type="dxa"/>
            <w:noWrap w:val="0"/>
            <w:vAlign w:val="top"/>
          </w:tcPr>
          <w:p w14:paraId="14E3D443">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417" w:type="dxa"/>
            <w:noWrap w:val="0"/>
            <w:vAlign w:val="top"/>
          </w:tcPr>
          <w:p w14:paraId="0C307874">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r>
      <w:tr w14:paraId="5AFBB6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6F714901">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984" w:type="dxa"/>
            <w:noWrap w:val="0"/>
            <w:vAlign w:val="top"/>
          </w:tcPr>
          <w:p w14:paraId="71A63E3F">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4395" w:type="dxa"/>
            <w:noWrap w:val="0"/>
            <w:vAlign w:val="top"/>
          </w:tcPr>
          <w:p w14:paraId="5292C61D">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417" w:type="dxa"/>
            <w:noWrap w:val="0"/>
            <w:vAlign w:val="top"/>
          </w:tcPr>
          <w:p w14:paraId="755B1BB0">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r>
      <w:tr w14:paraId="4462D0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24630D55">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984" w:type="dxa"/>
            <w:noWrap w:val="0"/>
            <w:vAlign w:val="top"/>
          </w:tcPr>
          <w:p w14:paraId="386FCA95">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4395" w:type="dxa"/>
            <w:noWrap w:val="0"/>
            <w:vAlign w:val="top"/>
          </w:tcPr>
          <w:p w14:paraId="6092850A">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417" w:type="dxa"/>
            <w:noWrap w:val="0"/>
            <w:vAlign w:val="top"/>
          </w:tcPr>
          <w:p w14:paraId="5E96CCB9">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r>
      <w:tr w14:paraId="35ECD3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49BC928D">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984" w:type="dxa"/>
            <w:noWrap w:val="0"/>
            <w:vAlign w:val="top"/>
          </w:tcPr>
          <w:p w14:paraId="7D2648ED">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4395" w:type="dxa"/>
            <w:noWrap w:val="0"/>
            <w:vAlign w:val="top"/>
          </w:tcPr>
          <w:p w14:paraId="0B5B076A">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417" w:type="dxa"/>
            <w:noWrap w:val="0"/>
            <w:vAlign w:val="top"/>
          </w:tcPr>
          <w:p w14:paraId="2E965C82">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r>
      <w:tr w14:paraId="32EB9B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59A57DC7">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984" w:type="dxa"/>
            <w:noWrap w:val="0"/>
            <w:vAlign w:val="top"/>
          </w:tcPr>
          <w:p w14:paraId="7FD34245">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4395" w:type="dxa"/>
            <w:noWrap w:val="0"/>
            <w:vAlign w:val="top"/>
          </w:tcPr>
          <w:p w14:paraId="0B7642A5">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417" w:type="dxa"/>
            <w:noWrap w:val="0"/>
            <w:vAlign w:val="top"/>
          </w:tcPr>
          <w:p w14:paraId="33E78B55">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r>
      <w:tr w14:paraId="3EB130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416F5597">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984" w:type="dxa"/>
            <w:noWrap w:val="0"/>
            <w:vAlign w:val="top"/>
          </w:tcPr>
          <w:p w14:paraId="2A423B8C">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4395" w:type="dxa"/>
            <w:noWrap w:val="0"/>
            <w:vAlign w:val="top"/>
          </w:tcPr>
          <w:p w14:paraId="0D85C2A3">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417" w:type="dxa"/>
            <w:noWrap w:val="0"/>
            <w:vAlign w:val="top"/>
          </w:tcPr>
          <w:p w14:paraId="247C549C">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r>
      <w:tr w14:paraId="7C4F43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3859825A">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984" w:type="dxa"/>
            <w:noWrap w:val="0"/>
            <w:vAlign w:val="top"/>
          </w:tcPr>
          <w:p w14:paraId="1E67F5E0">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4395" w:type="dxa"/>
            <w:noWrap w:val="0"/>
            <w:vAlign w:val="top"/>
          </w:tcPr>
          <w:p w14:paraId="59AE9F67">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417" w:type="dxa"/>
            <w:noWrap w:val="0"/>
            <w:vAlign w:val="top"/>
          </w:tcPr>
          <w:p w14:paraId="4B7C9596">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r>
      <w:tr w14:paraId="60FAA1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3A82B646">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984" w:type="dxa"/>
            <w:noWrap w:val="0"/>
            <w:vAlign w:val="top"/>
          </w:tcPr>
          <w:p w14:paraId="566A5673">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4395" w:type="dxa"/>
            <w:noWrap w:val="0"/>
            <w:vAlign w:val="top"/>
          </w:tcPr>
          <w:p w14:paraId="6A40D5B4">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417" w:type="dxa"/>
            <w:noWrap w:val="0"/>
            <w:vAlign w:val="top"/>
          </w:tcPr>
          <w:p w14:paraId="5A12CE82">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r>
      <w:tr w14:paraId="69846C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57E4F949">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984" w:type="dxa"/>
            <w:noWrap w:val="0"/>
            <w:vAlign w:val="top"/>
          </w:tcPr>
          <w:p w14:paraId="284B5284">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4395" w:type="dxa"/>
            <w:noWrap w:val="0"/>
            <w:vAlign w:val="top"/>
          </w:tcPr>
          <w:p w14:paraId="683A47BF">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417" w:type="dxa"/>
            <w:noWrap w:val="0"/>
            <w:vAlign w:val="top"/>
          </w:tcPr>
          <w:p w14:paraId="353BB2D4">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r>
      <w:tr w14:paraId="042313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31D8CEA7">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984" w:type="dxa"/>
            <w:noWrap w:val="0"/>
            <w:vAlign w:val="top"/>
          </w:tcPr>
          <w:p w14:paraId="3DEF389F">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4395" w:type="dxa"/>
            <w:noWrap w:val="0"/>
            <w:vAlign w:val="top"/>
          </w:tcPr>
          <w:p w14:paraId="7EEAA893">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417" w:type="dxa"/>
            <w:noWrap w:val="0"/>
            <w:vAlign w:val="top"/>
          </w:tcPr>
          <w:p w14:paraId="392D93D3">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r>
      <w:tr w14:paraId="3959D8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0453321A">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984" w:type="dxa"/>
            <w:noWrap w:val="0"/>
            <w:vAlign w:val="top"/>
          </w:tcPr>
          <w:p w14:paraId="38B7EC0F">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4395" w:type="dxa"/>
            <w:noWrap w:val="0"/>
            <w:vAlign w:val="top"/>
          </w:tcPr>
          <w:p w14:paraId="3CC01BC7">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c>
          <w:tcPr>
            <w:tcW w:w="1417" w:type="dxa"/>
            <w:noWrap w:val="0"/>
            <w:vAlign w:val="top"/>
          </w:tcPr>
          <w:p w14:paraId="153B9B62">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p>
        </w:tc>
      </w:tr>
      <w:tr w14:paraId="7D6E0B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675" w:type="dxa"/>
            <w:gridSpan w:val="4"/>
            <w:noWrap w:val="0"/>
            <w:vAlign w:val="top"/>
          </w:tcPr>
          <w:p w14:paraId="00809607">
            <w:pPr>
              <w:pStyle w:val="9"/>
              <w:keepNext w:val="0"/>
              <w:keepLines w:val="0"/>
              <w:pageBreakBefore w:val="0"/>
              <w:widowControl w:val="0"/>
              <w:wordWrap/>
              <w:topLinePunct w:val="0"/>
              <w:bidi w:val="0"/>
              <w:spacing w:after="0" w:line="440" w:lineRule="exact"/>
              <w:ind w:left="63" w:right="63"/>
              <w:rPr>
                <w:rFonts w:ascii="等线" w:hAnsi="等线"/>
                <w:color w:val="auto"/>
                <w:kern w:val="2"/>
                <w:sz w:val="24"/>
                <w:szCs w:val="24"/>
                <w:highlight w:val="none"/>
                <w:lang w:val="en-US" w:eastAsia="zh-CN"/>
              </w:rPr>
            </w:pPr>
            <w:r>
              <w:rPr>
                <w:rFonts w:ascii="等线" w:hAnsi="等线" w:eastAsia="仿宋_GB2312"/>
                <w:color w:val="auto"/>
                <w:kern w:val="2"/>
                <w:sz w:val="24"/>
                <w:szCs w:val="24"/>
                <w:highlight w:val="none"/>
                <w:lang w:val="en-US" w:eastAsia="zh-CN"/>
              </w:rPr>
              <w:t>小计：</w:t>
            </w:r>
          </w:p>
        </w:tc>
      </w:tr>
    </w:tbl>
    <w:p w14:paraId="754AD564">
      <w:pPr>
        <w:keepNext w:val="0"/>
        <w:keepLines w:val="0"/>
        <w:pageBreakBefore w:val="0"/>
        <w:widowControl w:val="0"/>
        <w:wordWrap/>
        <w:topLinePunct w:val="0"/>
        <w:bidi w:val="0"/>
        <w:spacing w:line="480" w:lineRule="auto"/>
        <w:rPr>
          <w:rFonts w:hAnsi="宋体"/>
          <w:color w:val="auto"/>
          <w:highlight w:val="none"/>
        </w:rPr>
      </w:pPr>
    </w:p>
    <w:p w14:paraId="24F29F06">
      <w:pPr>
        <w:pStyle w:val="2"/>
        <w:keepNext w:val="0"/>
        <w:keepLines w:val="0"/>
        <w:pageBreakBefore w:val="0"/>
        <w:widowControl w:val="0"/>
        <w:tabs>
          <w:tab w:val="left" w:pos="567"/>
        </w:tabs>
        <w:wordWrap/>
        <w:topLinePunct w:val="0"/>
        <w:bidi w:val="0"/>
        <w:ind w:left="0" w:leftChars="0" w:firstLine="0" w:firstLineChars="0"/>
        <w:jc w:val="center"/>
        <w:outlineLvl w:val="0"/>
        <w:rPr>
          <w:rFonts w:hint="eastAsia" w:ascii="宋体" w:hAnsi="宋体" w:eastAsia="宋体" w:cs="宋体"/>
          <w:b/>
          <w:bCs/>
          <w:color w:val="auto"/>
          <w:highlight w:val="none"/>
        </w:rPr>
      </w:pPr>
      <w:bookmarkStart w:id="1942" w:name="_Toc24304"/>
      <w:bookmarkStart w:id="1943" w:name="_Toc2274"/>
      <w:r>
        <w:rPr>
          <w:rFonts w:hint="eastAsia" w:ascii="宋体" w:hAnsi="宋体" w:eastAsia="宋体" w:cs="宋体"/>
          <w:b/>
          <w:bCs/>
          <w:color w:val="auto"/>
          <w:kern w:val="44"/>
          <w:sz w:val="32"/>
          <w:szCs w:val="32"/>
          <w:highlight w:val="none"/>
        </w:rPr>
        <w:t xml:space="preserve">第六章 </w:t>
      </w:r>
      <w:bookmarkEnd w:id="155"/>
      <w:bookmarkEnd w:id="156"/>
      <w:bookmarkStart w:id="1944" w:name="_Toc13185"/>
      <w:r>
        <w:rPr>
          <w:rFonts w:hint="eastAsia" w:ascii="宋体" w:hAnsi="宋体" w:eastAsia="宋体" w:cs="宋体"/>
          <w:b/>
          <w:bCs/>
          <w:color w:val="auto"/>
          <w:sz w:val="32"/>
          <w:szCs w:val="32"/>
          <w:highlight w:val="none"/>
        </w:rPr>
        <w:t>响应文件（格式）</w:t>
      </w:r>
      <w:bookmarkEnd w:id="1942"/>
      <w:bookmarkEnd w:id="1943"/>
      <w:bookmarkEnd w:id="1944"/>
    </w:p>
    <w:p w14:paraId="68BB77F7">
      <w:pPr>
        <w:keepNext w:val="0"/>
        <w:keepLines w:val="0"/>
        <w:pageBreakBefore w:val="0"/>
        <w:widowControl w:val="0"/>
        <w:wordWrap/>
        <w:topLinePunct w:val="0"/>
        <w:bidi w:val="0"/>
        <w:rPr>
          <w:rFonts w:hint="eastAsia" w:ascii="宋体" w:hAnsi="宋体" w:eastAsia="宋体" w:cs="宋体"/>
          <w:color w:val="auto"/>
          <w:highlight w:val="none"/>
        </w:rPr>
      </w:pPr>
    </w:p>
    <w:p w14:paraId="67617D30">
      <w:pPr>
        <w:pStyle w:val="12"/>
        <w:keepNext w:val="0"/>
        <w:keepLines w:val="0"/>
        <w:pageBreakBefore w:val="0"/>
        <w:widowControl w:val="0"/>
        <w:wordWrap/>
        <w:topLinePunct w:val="0"/>
        <w:bidi w:val="0"/>
        <w:jc w:val="both"/>
        <w:rPr>
          <w:rFonts w:hint="eastAsia" w:ascii="宋体" w:hAnsi="宋体" w:eastAsia="宋体" w:cs="宋体"/>
          <w:b/>
          <w:color w:val="auto"/>
          <w:sz w:val="32"/>
          <w:highlight w:val="none"/>
          <w:lang w:eastAsia="zh-CN"/>
        </w:rPr>
      </w:pPr>
      <w:bookmarkStart w:id="1945" w:name="_Toc18351"/>
      <w:bookmarkStart w:id="1946" w:name="_Toc21496"/>
      <w:bookmarkStart w:id="1947" w:name="_Toc497927069"/>
      <w:r>
        <w:rPr>
          <w:rFonts w:hint="eastAsia" w:ascii="宋体" w:hAnsi="宋体" w:eastAsia="宋体" w:cs="宋体"/>
          <w:b/>
          <w:color w:val="auto"/>
          <w:sz w:val="32"/>
          <w:highlight w:val="none"/>
          <w:lang w:eastAsia="zh-CN"/>
        </w:rPr>
        <w:t>一、响应文件标记</w:t>
      </w:r>
      <w:bookmarkEnd w:id="1945"/>
      <w:bookmarkEnd w:id="1946"/>
      <w:bookmarkEnd w:id="1947"/>
    </w:p>
    <w:p w14:paraId="3B0A7AFC">
      <w:pPr>
        <w:keepNext w:val="0"/>
        <w:keepLines w:val="0"/>
        <w:pageBreakBefore w:val="0"/>
        <w:widowControl w:val="0"/>
        <w:wordWrap/>
        <w:topLinePunct w:val="0"/>
        <w:bidi w:val="0"/>
        <w:adjustRightInd w:val="0"/>
        <w:snapToGrid w:val="0"/>
        <w:rPr>
          <w:rFonts w:hint="eastAsia" w:ascii="宋体" w:hAnsi="宋体" w:eastAsia="宋体" w:cs="宋体"/>
          <w:b/>
          <w:color w:val="auto"/>
          <w:sz w:val="44"/>
          <w:szCs w:val="44"/>
          <w:highlight w:val="none"/>
        </w:rPr>
      </w:pPr>
    </w:p>
    <w:p w14:paraId="47C63FC0">
      <w:pPr>
        <w:pStyle w:val="40"/>
        <w:keepNext w:val="0"/>
        <w:keepLines w:val="0"/>
        <w:pageBreakBefore w:val="0"/>
        <w:widowControl w:val="0"/>
        <w:wordWrap/>
        <w:topLinePunct w:val="0"/>
        <w:bidi w:val="0"/>
        <w:rPr>
          <w:rFonts w:hint="eastAsia" w:ascii="宋体" w:hAnsi="宋体" w:eastAsia="宋体" w:cs="宋体"/>
          <w:color w:val="auto"/>
          <w:highlight w:val="none"/>
        </w:rPr>
      </w:pPr>
    </w:p>
    <w:p w14:paraId="6DAA7CCF">
      <w:pPr>
        <w:keepNext w:val="0"/>
        <w:keepLines w:val="0"/>
        <w:pageBreakBefore w:val="0"/>
        <w:widowControl w:val="0"/>
        <w:wordWrap/>
        <w:topLinePunct w:val="0"/>
        <w:bidi w:val="0"/>
        <w:snapToGrid w:val="0"/>
        <w:spacing w:before="156" w:beforeLines="50" w:after="50"/>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响 应 文 件</w:t>
      </w:r>
    </w:p>
    <w:p w14:paraId="6E53CEEE">
      <w:pPr>
        <w:keepNext w:val="0"/>
        <w:keepLines w:val="0"/>
        <w:pageBreakBefore w:val="0"/>
        <w:widowControl w:val="0"/>
        <w:wordWrap/>
        <w:topLinePunct w:val="0"/>
        <w:bidi w:val="0"/>
        <w:snapToGrid w:val="0"/>
        <w:spacing w:before="156" w:beforeLines="50" w:after="50"/>
        <w:ind w:firstLine="480" w:firstLineChars="150"/>
        <w:jc w:val="both"/>
        <w:rPr>
          <w:rFonts w:hint="eastAsia" w:ascii="宋体" w:hAnsi="宋体" w:eastAsia="宋体" w:cs="宋体"/>
          <w:b/>
          <w:color w:val="auto"/>
          <w:sz w:val="28"/>
          <w:szCs w:val="28"/>
          <w:highlight w:val="none"/>
        </w:rPr>
      </w:pPr>
      <w:r>
        <w:rPr>
          <w:rFonts w:hint="eastAsia" w:ascii="宋体" w:hAnsi="宋体" w:eastAsia="宋体" w:cs="宋体"/>
          <w:color w:val="auto"/>
          <w:sz w:val="32"/>
          <w:szCs w:val="32"/>
          <w:highlight w:val="none"/>
          <w:lang w:val="en-US" w:eastAsia="zh-CN"/>
        </w:rPr>
        <w:t xml:space="preserve">                       </w:t>
      </w:r>
    </w:p>
    <w:p w14:paraId="04396AD0">
      <w:pPr>
        <w:keepNext w:val="0"/>
        <w:keepLines w:val="0"/>
        <w:pageBreakBefore w:val="0"/>
        <w:widowControl w:val="0"/>
        <w:wordWrap/>
        <w:topLinePunct w:val="0"/>
        <w:bidi w:val="0"/>
        <w:snapToGrid w:val="0"/>
        <w:spacing w:before="156" w:beforeLines="50" w:after="50"/>
        <w:ind w:firstLine="422" w:firstLineChars="150"/>
        <w:rPr>
          <w:rFonts w:hint="eastAsia" w:ascii="宋体" w:hAnsi="宋体" w:eastAsia="宋体" w:cs="宋体"/>
          <w:b/>
          <w:color w:val="auto"/>
          <w:sz w:val="28"/>
          <w:szCs w:val="28"/>
          <w:highlight w:val="none"/>
        </w:rPr>
      </w:pPr>
    </w:p>
    <w:p w14:paraId="72DE435B">
      <w:pPr>
        <w:keepNext w:val="0"/>
        <w:keepLines w:val="0"/>
        <w:pageBreakBefore w:val="0"/>
        <w:widowControl w:val="0"/>
        <w:wordWrap/>
        <w:topLinePunct w:val="0"/>
        <w:bidi w:val="0"/>
        <w:snapToGrid w:val="0"/>
        <w:spacing w:before="156" w:beforeLines="50" w:after="50"/>
        <w:ind w:firstLine="422" w:firstLineChars="150"/>
        <w:rPr>
          <w:rFonts w:hint="eastAsia" w:ascii="宋体" w:hAnsi="宋体" w:eastAsia="宋体" w:cs="宋体"/>
          <w:b/>
          <w:color w:val="auto"/>
          <w:sz w:val="28"/>
          <w:szCs w:val="28"/>
          <w:highlight w:val="none"/>
        </w:rPr>
      </w:pPr>
    </w:p>
    <w:p w14:paraId="2510027D">
      <w:pPr>
        <w:keepNext w:val="0"/>
        <w:keepLines w:val="0"/>
        <w:pageBreakBefore w:val="0"/>
        <w:widowControl w:val="0"/>
        <w:wordWrap/>
        <w:topLinePunct w:val="0"/>
        <w:bidi w:val="0"/>
        <w:snapToGrid w:val="0"/>
        <w:spacing w:before="156" w:beforeLines="50" w:after="50"/>
        <w:ind w:left="4317" w:leftChars="1330" w:hanging="1524" w:hangingChars="542"/>
        <w:rPr>
          <w:rFonts w:hint="eastAsia" w:ascii="宋体" w:hAnsi="宋体" w:eastAsia="宋体" w:cs="宋体"/>
          <w:b/>
          <w:bCs w:val="0"/>
          <w:color w:val="auto"/>
          <w:sz w:val="28"/>
          <w:szCs w:val="28"/>
          <w:highlight w:val="none"/>
          <w:u w:val="single"/>
          <w:lang w:eastAsia="zh-CN"/>
        </w:rPr>
      </w:pPr>
      <w:r>
        <w:rPr>
          <w:rFonts w:hint="eastAsia" w:ascii="宋体" w:hAnsi="宋体" w:eastAsia="宋体" w:cs="宋体"/>
          <w:b/>
          <w:bCs w:val="0"/>
          <w:color w:val="auto"/>
          <w:sz w:val="28"/>
          <w:szCs w:val="28"/>
          <w:highlight w:val="none"/>
        </w:rPr>
        <w:t>项目名称：</w:t>
      </w:r>
      <w:r>
        <w:rPr>
          <w:rFonts w:hint="eastAsia" w:ascii="宋体" w:hAnsi="宋体" w:cs="宋体"/>
          <w:b/>
          <w:bCs/>
          <w:color w:val="auto"/>
          <w:sz w:val="28"/>
          <w:szCs w:val="28"/>
          <w:highlight w:val="none"/>
          <w:u w:val="single"/>
          <w:lang w:val="en-US" w:eastAsia="zh-CN"/>
        </w:rPr>
        <w:t xml:space="preserve">                     </w:t>
      </w:r>
      <w:r>
        <w:rPr>
          <w:rFonts w:hint="eastAsia" w:ascii="宋体" w:hAnsi="宋体" w:eastAsia="宋体" w:cs="宋体"/>
          <w:b/>
          <w:bCs/>
          <w:color w:val="auto"/>
          <w:sz w:val="28"/>
          <w:szCs w:val="28"/>
          <w:highlight w:val="none"/>
          <w:u w:val="single"/>
        </w:rPr>
        <w:t xml:space="preserve">  </w:t>
      </w:r>
      <w:r>
        <w:rPr>
          <w:rFonts w:hint="eastAsia" w:ascii="宋体" w:hAnsi="宋体" w:eastAsia="宋体" w:cs="宋体"/>
          <w:color w:val="auto"/>
          <w:sz w:val="18"/>
          <w:szCs w:val="18"/>
          <w:highlight w:val="none"/>
        </w:rPr>
        <w:t xml:space="preserve">  </w:t>
      </w:r>
    </w:p>
    <w:p w14:paraId="413FA204">
      <w:pPr>
        <w:keepNext w:val="0"/>
        <w:keepLines w:val="0"/>
        <w:pageBreakBefore w:val="0"/>
        <w:widowControl w:val="0"/>
        <w:wordWrap/>
        <w:topLinePunct w:val="0"/>
        <w:bidi w:val="0"/>
        <w:snapToGrid w:val="0"/>
        <w:spacing w:before="156" w:beforeLines="50" w:after="50"/>
        <w:ind w:firstLine="2704" w:firstLineChars="962"/>
        <w:rPr>
          <w:rFonts w:hint="eastAsia" w:ascii="宋体" w:hAnsi="宋体" w:eastAsia="宋体" w:cs="宋体"/>
          <w:b/>
          <w:bCs w:val="0"/>
          <w:color w:val="auto"/>
          <w:sz w:val="28"/>
          <w:szCs w:val="28"/>
          <w:highlight w:val="none"/>
        </w:rPr>
      </w:pPr>
    </w:p>
    <w:p w14:paraId="6B40AEA6">
      <w:pPr>
        <w:keepNext w:val="0"/>
        <w:keepLines w:val="0"/>
        <w:pageBreakBefore w:val="0"/>
        <w:widowControl w:val="0"/>
        <w:wordWrap/>
        <w:topLinePunct w:val="0"/>
        <w:bidi w:val="0"/>
        <w:snapToGrid w:val="0"/>
        <w:spacing w:before="156" w:beforeLines="50" w:after="50"/>
        <w:ind w:left="4317" w:leftChars="1330" w:hanging="1524" w:hangingChars="542"/>
        <w:rPr>
          <w:rFonts w:hint="default" w:ascii="宋体" w:hAnsi="宋体" w:eastAsia="宋体" w:cs="宋体"/>
          <w:b/>
          <w:bCs w:val="0"/>
          <w:color w:val="auto"/>
          <w:sz w:val="28"/>
          <w:szCs w:val="28"/>
          <w:highlight w:val="none"/>
          <w:lang w:val="en-US" w:eastAsia="zh-CN"/>
        </w:rPr>
      </w:pPr>
      <w:r>
        <w:rPr>
          <w:rFonts w:hint="eastAsia" w:ascii="宋体" w:hAnsi="宋体" w:eastAsia="宋体" w:cs="宋体"/>
          <w:b/>
          <w:bCs w:val="0"/>
          <w:color w:val="auto"/>
          <w:sz w:val="28"/>
          <w:szCs w:val="28"/>
          <w:highlight w:val="none"/>
        </w:rPr>
        <w:t>项目编号：</w:t>
      </w:r>
      <w:r>
        <w:rPr>
          <w:rFonts w:hint="eastAsia" w:ascii="宋体" w:hAnsi="宋体" w:cs="宋体"/>
          <w:b/>
          <w:bCs w:val="0"/>
          <w:color w:val="auto"/>
          <w:sz w:val="28"/>
          <w:szCs w:val="28"/>
          <w:highlight w:val="none"/>
          <w:u w:val="single"/>
          <w:lang w:val="en-US" w:eastAsia="zh-CN"/>
        </w:rPr>
        <w:t xml:space="preserve">                       </w:t>
      </w:r>
    </w:p>
    <w:p w14:paraId="0B8B1EFF">
      <w:pPr>
        <w:keepNext w:val="0"/>
        <w:keepLines w:val="0"/>
        <w:pageBreakBefore w:val="0"/>
        <w:widowControl w:val="0"/>
        <w:wordWrap/>
        <w:topLinePunct w:val="0"/>
        <w:bidi w:val="0"/>
        <w:rPr>
          <w:rFonts w:hint="eastAsia" w:ascii="宋体" w:hAnsi="宋体" w:eastAsia="宋体" w:cs="宋体"/>
          <w:b/>
          <w:color w:val="auto"/>
          <w:highlight w:val="none"/>
        </w:rPr>
      </w:pPr>
    </w:p>
    <w:p w14:paraId="2BEA8FBC">
      <w:pPr>
        <w:keepNext w:val="0"/>
        <w:keepLines w:val="0"/>
        <w:pageBreakBefore w:val="0"/>
        <w:widowControl w:val="0"/>
        <w:wordWrap/>
        <w:topLinePunct w:val="0"/>
        <w:bidi w:val="0"/>
        <w:spacing w:line="400" w:lineRule="exact"/>
        <w:ind w:firstLine="2704" w:firstLineChars="962"/>
        <w:rPr>
          <w:rFonts w:hint="eastAsia" w:ascii="宋体" w:hAnsi="宋体" w:eastAsia="宋体" w:cs="宋体"/>
          <w:b/>
          <w:color w:val="auto"/>
          <w:sz w:val="28"/>
          <w:szCs w:val="28"/>
          <w:highlight w:val="none"/>
        </w:rPr>
      </w:pPr>
    </w:p>
    <w:p w14:paraId="31EAFD0F">
      <w:pPr>
        <w:pStyle w:val="40"/>
        <w:keepNext w:val="0"/>
        <w:keepLines w:val="0"/>
        <w:pageBreakBefore w:val="0"/>
        <w:widowControl w:val="0"/>
        <w:wordWrap/>
        <w:topLinePunct w:val="0"/>
        <w:bidi w:val="0"/>
        <w:rPr>
          <w:rFonts w:hint="eastAsia" w:ascii="宋体" w:hAnsi="宋体" w:eastAsia="宋体" w:cs="宋体"/>
          <w:b/>
          <w:color w:val="auto"/>
          <w:sz w:val="28"/>
          <w:szCs w:val="28"/>
          <w:highlight w:val="none"/>
        </w:rPr>
      </w:pPr>
    </w:p>
    <w:p w14:paraId="0583EA7C">
      <w:pPr>
        <w:pStyle w:val="40"/>
        <w:keepNext w:val="0"/>
        <w:keepLines w:val="0"/>
        <w:pageBreakBefore w:val="0"/>
        <w:widowControl w:val="0"/>
        <w:wordWrap/>
        <w:topLinePunct w:val="0"/>
        <w:bidi w:val="0"/>
        <w:rPr>
          <w:rFonts w:hint="eastAsia" w:ascii="宋体" w:hAnsi="宋体" w:eastAsia="宋体" w:cs="宋体"/>
          <w:b/>
          <w:color w:val="auto"/>
          <w:sz w:val="28"/>
          <w:szCs w:val="28"/>
          <w:highlight w:val="none"/>
        </w:rPr>
      </w:pPr>
    </w:p>
    <w:p w14:paraId="695FA92D">
      <w:pPr>
        <w:keepNext w:val="0"/>
        <w:keepLines w:val="0"/>
        <w:pageBreakBefore w:val="0"/>
        <w:widowControl w:val="0"/>
        <w:wordWrap/>
        <w:topLinePunct w:val="0"/>
        <w:bidi w:val="0"/>
        <w:snapToGrid w:val="0"/>
        <w:spacing w:before="156" w:beforeLines="50" w:after="50"/>
        <w:jc w:val="center"/>
        <w:rPr>
          <w:rFonts w:hint="eastAsia" w:ascii="宋体" w:hAnsi="宋体" w:eastAsia="宋体" w:cs="宋体"/>
          <w:b/>
          <w:color w:val="auto"/>
          <w:sz w:val="28"/>
          <w:szCs w:val="28"/>
          <w:highlight w:val="none"/>
          <w:u w:val="single"/>
        </w:rPr>
      </w:pPr>
      <w:r>
        <w:rPr>
          <w:rFonts w:hint="eastAsia" w:ascii="宋体" w:hAnsi="宋体" w:eastAsia="宋体" w:cs="宋体"/>
          <w:b/>
          <w:color w:val="auto"/>
          <w:sz w:val="28"/>
          <w:szCs w:val="28"/>
          <w:highlight w:val="none"/>
        </w:rPr>
        <w:t>采购代理机构：</w:t>
      </w:r>
      <w:r>
        <w:rPr>
          <w:rFonts w:hint="eastAsia" w:ascii="宋体" w:hAnsi="宋体" w:eastAsia="宋体" w:cs="宋体"/>
          <w:b/>
          <w:color w:val="auto"/>
          <w:sz w:val="28"/>
          <w:szCs w:val="28"/>
          <w:highlight w:val="none"/>
          <w:u w:val="single"/>
        </w:rPr>
        <w:t xml:space="preserve"> </w:t>
      </w:r>
      <w:r>
        <w:rPr>
          <w:rFonts w:hint="eastAsia" w:ascii="宋体" w:hAnsi="宋体" w:cs="宋体"/>
          <w:b/>
          <w:color w:val="auto"/>
          <w:sz w:val="28"/>
          <w:szCs w:val="28"/>
          <w:highlight w:val="none"/>
          <w:u w:val="single"/>
          <w:lang w:eastAsia="zh-CN"/>
        </w:rPr>
        <w:t>广西北部湾宏亚建设管理有限公司</w:t>
      </w:r>
    </w:p>
    <w:p w14:paraId="6EB09288">
      <w:pPr>
        <w:keepNext w:val="0"/>
        <w:keepLines w:val="0"/>
        <w:pageBreakBefore w:val="0"/>
        <w:widowControl w:val="0"/>
        <w:wordWrap/>
        <w:topLinePunct w:val="0"/>
        <w:bidi w:val="0"/>
        <w:outlineLvl w:val="9"/>
        <w:rPr>
          <w:rFonts w:hint="eastAsia" w:eastAsia="宋体"/>
          <w:color w:val="auto"/>
          <w:highlight w:val="none"/>
          <w:lang w:val="en-US" w:eastAsia="zh-CN"/>
        </w:rPr>
      </w:pPr>
    </w:p>
    <w:p w14:paraId="1EA879E3">
      <w:pPr>
        <w:keepNext w:val="0"/>
        <w:keepLines w:val="0"/>
        <w:pageBreakBefore w:val="0"/>
        <w:widowControl w:val="0"/>
        <w:wordWrap/>
        <w:topLinePunct w:val="0"/>
        <w:bidi w:val="0"/>
        <w:outlineLvl w:val="9"/>
        <w:rPr>
          <w:rFonts w:hint="eastAsia" w:eastAsia="宋体"/>
          <w:color w:val="auto"/>
          <w:highlight w:val="none"/>
          <w:lang w:val="en-US" w:eastAsia="zh-CN"/>
        </w:rPr>
      </w:pPr>
    </w:p>
    <w:p w14:paraId="406E3F69">
      <w:pPr>
        <w:keepNext w:val="0"/>
        <w:keepLines w:val="0"/>
        <w:pageBreakBefore w:val="0"/>
        <w:widowControl w:val="0"/>
        <w:wordWrap/>
        <w:topLinePunct w:val="0"/>
        <w:bidi w:val="0"/>
        <w:outlineLvl w:val="9"/>
        <w:rPr>
          <w:rFonts w:hint="eastAsia" w:eastAsia="宋体"/>
          <w:color w:val="auto"/>
          <w:highlight w:val="none"/>
          <w:lang w:val="en-US" w:eastAsia="zh-CN"/>
        </w:rPr>
      </w:pPr>
    </w:p>
    <w:p w14:paraId="719419A5">
      <w:pPr>
        <w:keepNext w:val="0"/>
        <w:keepLines w:val="0"/>
        <w:pageBreakBefore w:val="0"/>
        <w:widowControl w:val="0"/>
        <w:wordWrap/>
        <w:topLinePunct w:val="0"/>
        <w:bidi w:val="0"/>
        <w:outlineLvl w:val="9"/>
        <w:rPr>
          <w:rFonts w:hint="eastAsia" w:eastAsia="宋体"/>
          <w:color w:val="auto"/>
          <w:highlight w:val="none"/>
          <w:lang w:val="en-US" w:eastAsia="zh-CN"/>
        </w:rPr>
      </w:pPr>
    </w:p>
    <w:p w14:paraId="7A7F5C64">
      <w:pPr>
        <w:keepNext w:val="0"/>
        <w:keepLines w:val="0"/>
        <w:pageBreakBefore w:val="0"/>
        <w:widowControl w:val="0"/>
        <w:wordWrap/>
        <w:topLinePunct w:val="0"/>
        <w:bidi w:val="0"/>
        <w:outlineLvl w:val="9"/>
        <w:rPr>
          <w:rFonts w:hint="eastAsia" w:eastAsia="宋体"/>
          <w:color w:val="auto"/>
          <w:highlight w:val="none"/>
          <w:lang w:val="en-US" w:eastAsia="zh-CN"/>
        </w:rPr>
      </w:pPr>
    </w:p>
    <w:p w14:paraId="4EE5B1E8">
      <w:pPr>
        <w:keepNext w:val="0"/>
        <w:keepLines w:val="0"/>
        <w:pageBreakBefore w:val="0"/>
        <w:widowControl w:val="0"/>
        <w:wordWrap/>
        <w:topLinePunct w:val="0"/>
        <w:bidi w:val="0"/>
        <w:outlineLvl w:val="9"/>
        <w:rPr>
          <w:rFonts w:hint="eastAsia" w:eastAsia="宋体"/>
          <w:color w:val="auto"/>
          <w:highlight w:val="none"/>
          <w:lang w:val="en-US" w:eastAsia="zh-CN"/>
        </w:rPr>
      </w:pPr>
    </w:p>
    <w:p w14:paraId="67ABD058">
      <w:pPr>
        <w:keepNext w:val="0"/>
        <w:keepLines w:val="0"/>
        <w:pageBreakBefore w:val="0"/>
        <w:widowControl w:val="0"/>
        <w:wordWrap/>
        <w:topLinePunct w:val="0"/>
        <w:bidi w:val="0"/>
        <w:outlineLvl w:val="9"/>
        <w:rPr>
          <w:rFonts w:hint="eastAsia" w:eastAsia="宋体"/>
          <w:color w:val="auto"/>
          <w:highlight w:val="none"/>
          <w:lang w:val="en-US" w:eastAsia="zh-CN"/>
        </w:rPr>
      </w:pPr>
    </w:p>
    <w:p w14:paraId="047E4843">
      <w:pPr>
        <w:pStyle w:val="10"/>
        <w:keepNext w:val="0"/>
        <w:keepLines w:val="0"/>
        <w:pageBreakBefore w:val="0"/>
        <w:widowControl w:val="0"/>
        <w:kinsoku/>
        <w:wordWrap/>
        <w:overflowPunct/>
        <w:topLinePunct w:val="0"/>
        <w:autoSpaceDE/>
        <w:autoSpaceDN/>
        <w:bidi w:val="0"/>
        <w:adjustRightInd/>
        <w:snapToGrid/>
        <w:spacing w:line="440" w:lineRule="exact"/>
        <w:ind w:left="980" w:hanging="480" w:hangingChars="200"/>
        <w:textAlignment w:val="auto"/>
        <w:rPr>
          <w:rFonts w:hint="eastAsia" w:ascii="宋体" w:hAnsi="宋体" w:eastAsia="宋体" w:cs="宋体"/>
          <w:bCs/>
          <w:color w:val="auto"/>
          <w:sz w:val="24"/>
          <w:szCs w:val="24"/>
          <w:highlight w:val="none"/>
        </w:rPr>
      </w:pPr>
      <w:bookmarkStart w:id="1948" w:name="_Toc4932_WPSOffice_Level2"/>
      <w:bookmarkStart w:id="1949" w:name="_Toc20319_WPSOffice_Level2"/>
      <w:r>
        <w:rPr>
          <w:rFonts w:hint="eastAsia" w:ascii="宋体" w:hAnsi="宋体" w:eastAsia="宋体" w:cs="宋体"/>
          <w:bCs/>
          <w:color w:val="auto"/>
          <w:sz w:val="24"/>
          <w:szCs w:val="24"/>
          <w:highlight w:val="none"/>
          <w:lang w:eastAsia="zh-CN"/>
        </w:rPr>
        <w:t>磋商供应商</w:t>
      </w:r>
      <w:r>
        <w:rPr>
          <w:rFonts w:hint="eastAsia" w:ascii="宋体" w:hAnsi="宋体" w:eastAsia="宋体" w:cs="宋体"/>
          <w:bCs/>
          <w:color w:val="auto"/>
          <w:sz w:val="24"/>
          <w:szCs w:val="24"/>
          <w:highlight w:val="none"/>
          <w:lang w:val="en-US" w:eastAsia="zh-CN"/>
        </w:rPr>
        <w:t>[</w:t>
      </w:r>
      <w:r>
        <w:rPr>
          <w:rFonts w:hint="eastAsia" w:ascii="宋体" w:hAnsi="宋体" w:eastAsia="宋体" w:cs="宋体"/>
          <w:bCs/>
          <w:color w:val="auto"/>
          <w:sz w:val="24"/>
          <w:szCs w:val="24"/>
          <w:highlight w:val="none"/>
        </w:rPr>
        <w:t>公章</w:t>
      </w:r>
      <w:r>
        <w:rPr>
          <w:rFonts w:hint="eastAsia" w:ascii="宋体" w:hAnsi="宋体" w:eastAsia="宋体" w:cs="宋体"/>
          <w:bCs/>
          <w:color w:val="auto"/>
          <w:sz w:val="24"/>
          <w:szCs w:val="24"/>
          <w:highlight w:val="none"/>
          <w:lang w:val="en-US" w:eastAsia="zh-CN"/>
        </w:rPr>
        <w:t>(CA签章)</w:t>
      </w:r>
      <w:r>
        <w:rPr>
          <w:rFonts w:hint="eastAsia" w:ascii="宋体" w:hAnsi="宋体" w:eastAsia="宋体" w:cs="宋体"/>
          <w:bCs/>
          <w:color w:val="auto"/>
          <w:sz w:val="24"/>
          <w:szCs w:val="24"/>
          <w:highlight w:val="none"/>
        </w:rPr>
        <w:t>、自然人除外</w:t>
      </w:r>
      <w:r>
        <w:rPr>
          <w:rFonts w:hint="eastAsia" w:ascii="宋体" w:hAnsi="宋体" w:eastAsia="宋体" w:cs="宋体"/>
          <w:bCs/>
          <w:color w:val="auto"/>
          <w:sz w:val="24"/>
          <w:szCs w:val="24"/>
          <w:highlight w:val="none"/>
          <w:lang w:val="en-US" w:eastAsia="zh-CN"/>
        </w:rPr>
        <w:t>]</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u w:val="single"/>
        </w:rPr>
        <w:t xml:space="preserve">                       </w:t>
      </w:r>
      <w:bookmarkEnd w:id="1948"/>
      <w:bookmarkEnd w:id="1949"/>
      <w:r>
        <w:rPr>
          <w:rFonts w:hint="eastAsia" w:ascii="宋体" w:hAnsi="宋体" w:eastAsia="宋体" w:cs="宋体"/>
          <w:bCs/>
          <w:color w:val="auto"/>
          <w:sz w:val="24"/>
          <w:szCs w:val="24"/>
          <w:highlight w:val="none"/>
          <w:u w:val="single"/>
        </w:rPr>
        <w:t xml:space="preserve">       </w:t>
      </w:r>
    </w:p>
    <w:p w14:paraId="7BA744D8">
      <w:pPr>
        <w:pStyle w:val="12"/>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color w:val="auto"/>
          <w:sz w:val="24"/>
          <w:szCs w:val="24"/>
          <w:highlight w:val="none"/>
          <w:lang w:val="en-US" w:eastAsia="zh-CN"/>
        </w:rPr>
      </w:pPr>
      <w:bookmarkStart w:id="1950" w:name="_Toc32056_WPSOffice_Level2"/>
      <w:bookmarkStart w:id="1951" w:name="_Toc9622_WPSOffice_Level2"/>
      <w:r>
        <w:rPr>
          <w:rFonts w:hint="eastAsia" w:ascii="宋体" w:hAnsi="宋体" w:eastAsia="宋体" w:cs="宋体"/>
          <w:color w:val="auto"/>
          <w:sz w:val="24"/>
          <w:szCs w:val="24"/>
          <w:highlight w:val="none"/>
        </w:rPr>
        <w:t>法定代表人、负责人、自然人或相应的委托代理人签字</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或盖章</w:t>
      </w:r>
      <w:r>
        <w:rPr>
          <w:rFonts w:hint="eastAsia" w:ascii="宋体" w:hAnsi="宋体" w:eastAsia="宋体" w:cs="宋体"/>
          <w:color w:val="auto"/>
          <w:sz w:val="24"/>
          <w:szCs w:val="24"/>
          <w:highlight w:val="none"/>
          <w:lang w:val="en-US" w:eastAsia="zh-CN"/>
        </w:rPr>
        <w:t>(CA签章)]</w:t>
      </w:r>
    </w:p>
    <w:p w14:paraId="65FE0F3C">
      <w:pPr>
        <w:pStyle w:val="10"/>
        <w:keepNext w:val="0"/>
        <w:keepLines w:val="0"/>
        <w:pageBreakBefore w:val="0"/>
        <w:widowControl w:val="0"/>
        <w:kinsoku/>
        <w:wordWrap/>
        <w:overflowPunct/>
        <w:topLinePunct w:val="0"/>
        <w:autoSpaceDE/>
        <w:autoSpaceDN/>
        <w:bidi w:val="0"/>
        <w:adjustRightInd/>
        <w:snapToGrid/>
        <w:spacing w:line="440" w:lineRule="exact"/>
        <w:ind w:left="980" w:hanging="480" w:hanging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（属自然人的应在签名处加盖大拇指指印</w:t>
      </w:r>
      <w:r>
        <w:rPr>
          <w:rFonts w:hint="eastAsia" w:ascii="宋体" w:hAnsi="宋体" w:eastAsia="宋体" w:cs="宋体"/>
          <w:color w:val="auto"/>
          <w:sz w:val="24"/>
          <w:szCs w:val="24"/>
          <w:highlight w:val="none"/>
          <w:lang w:eastAsia="zh-CN"/>
        </w:rPr>
        <w:t>或</w:t>
      </w:r>
      <w:r>
        <w:rPr>
          <w:rFonts w:hint="eastAsia" w:ascii="宋体" w:hAnsi="宋体" w:eastAsia="宋体" w:cs="宋体"/>
          <w:color w:val="auto"/>
          <w:sz w:val="24"/>
          <w:szCs w:val="24"/>
          <w:highlight w:val="none"/>
          <w:lang w:val="en-US" w:eastAsia="zh-CN"/>
        </w:rPr>
        <w:t>个人CA签章</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p w14:paraId="007AE39A">
      <w:pPr>
        <w:pStyle w:val="10"/>
        <w:keepNext w:val="0"/>
        <w:keepLines w:val="0"/>
        <w:pageBreakBefore w:val="0"/>
        <w:widowControl w:val="0"/>
        <w:kinsoku/>
        <w:wordWrap/>
        <w:overflowPunct/>
        <w:topLinePunct w:val="0"/>
        <w:autoSpaceDE/>
        <w:autoSpaceDN/>
        <w:bidi w:val="0"/>
        <w:adjustRightInd/>
        <w:snapToGrid/>
        <w:spacing w:line="440" w:lineRule="exact"/>
        <w:ind w:left="980" w:hanging="480" w:hanging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联系电话：</w:t>
      </w:r>
      <w:bookmarkEnd w:id="1950"/>
      <w:bookmarkEnd w:id="1951"/>
      <w:r>
        <w:rPr>
          <w:rFonts w:hint="eastAsia" w:ascii="宋体" w:hAnsi="宋体" w:eastAsia="宋体" w:cs="宋体"/>
          <w:bCs/>
          <w:color w:val="auto"/>
          <w:sz w:val="24"/>
          <w:szCs w:val="24"/>
          <w:highlight w:val="none"/>
          <w:u w:val="single"/>
        </w:rPr>
        <w:t xml:space="preserve">                                                </w:t>
      </w:r>
    </w:p>
    <w:p w14:paraId="5B806E89">
      <w:pPr>
        <w:pStyle w:val="10"/>
        <w:keepNext w:val="0"/>
        <w:keepLines w:val="0"/>
        <w:pageBreakBefore w:val="0"/>
        <w:widowControl w:val="0"/>
        <w:kinsoku/>
        <w:wordWrap/>
        <w:overflowPunct/>
        <w:topLinePunct w:val="0"/>
        <w:autoSpaceDE/>
        <w:autoSpaceDN/>
        <w:bidi w:val="0"/>
        <w:adjustRightInd/>
        <w:snapToGrid/>
        <w:spacing w:line="440" w:lineRule="exact"/>
        <w:ind w:left="980" w:hanging="480" w:hangingChars="200"/>
        <w:textAlignment w:val="auto"/>
        <w:rPr>
          <w:rFonts w:hint="eastAsia" w:ascii="宋体" w:hAnsi="宋体" w:eastAsia="宋体" w:cs="宋体"/>
          <w:bCs/>
          <w:color w:val="auto"/>
          <w:sz w:val="24"/>
          <w:szCs w:val="24"/>
          <w:highlight w:val="none"/>
        </w:rPr>
      </w:pPr>
      <w:bookmarkStart w:id="1952" w:name="_Toc15933_WPSOffice_Level2"/>
      <w:bookmarkStart w:id="1953" w:name="_Toc26465_WPSOffice_Level2"/>
      <w:r>
        <w:rPr>
          <w:rFonts w:hint="eastAsia" w:ascii="宋体" w:hAnsi="宋体" w:eastAsia="宋体" w:cs="宋体"/>
          <w:bCs/>
          <w:color w:val="auto"/>
          <w:sz w:val="24"/>
          <w:szCs w:val="24"/>
          <w:highlight w:val="none"/>
        </w:rPr>
        <w:t>日期：</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年</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月</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日</w:t>
      </w:r>
      <w:bookmarkEnd w:id="1952"/>
      <w:bookmarkEnd w:id="1953"/>
    </w:p>
    <w:p w14:paraId="2142A182">
      <w:pPr>
        <w:rPr>
          <w:rFonts w:hint="eastAsia" w:ascii="宋体" w:hAnsi="宋体" w:eastAsia="宋体" w:cs="宋体"/>
          <w:b/>
          <w:bCs/>
          <w:color w:val="auto"/>
          <w:sz w:val="32"/>
          <w:szCs w:val="32"/>
          <w:highlight w:val="none"/>
        </w:rPr>
      </w:pPr>
      <w:bookmarkStart w:id="1954" w:name="_Toc21615"/>
      <w:bookmarkStart w:id="1955" w:name="_Toc19430"/>
      <w:bookmarkStart w:id="1956" w:name="_Toc497927070"/>
      <w:r>
        <w:rPr>
          <w:rFonts w:hint="eastAsia" w:ascii="宋体" w:hAnsi="宋体" w:eastAsia="宋体" w:cs="宋体"/>
          <w:b/>
          <w:bCs/>
          <w:color w:val="auto"/>
          <w:sz w:val="32"/>
          <w:szCs w:val="32"/>
          <w:highlight w:val="none"/>
        </w:rPr>
        <w:br w:type="page"/>
      </w:r>
    </w:p>
    <w:p w14:paraId="126A6AA9">
      <w:pPr>
        <w:pStyle w:val="12"/>
        <w:keepNext w:val="0"/>
        <w:keepLines w:val="0"/>
        <w:pageBreakBefore w:val="0"/>
        <w:widowControl w:val="0"/>
        <w:wordWrap/>
        <w:topLinePunct w:val="0"/>
        <w:bidi w:val="0"/>
        <w:jc w:val="both"/>
        <w:rPr>
          <w:rFonts w:hint="eastAsia" w:ascii="宋体" w:hAnsi="宋体" w:eastAsia="宋体" w:cs="宋体"/>
          <w:b/>
          <w:color w:val="auto"/>
          <w:sz w:val="32"/>
          <w:highlight w:val="none"/>
          <w:lang w:eastAsia="zh-CN"/>
        </w:rPr>
      </w:pPr>
      <w:r>
        <w:rPr>
          <w:rFonts w:hint="eastAsia" w:ascii="宋体" w:hAnsi="宋体" w:eastAsia="宋体" w:cs="宋体"/>
          <w:b/>
          <w:color w:val="auto"/>
          <w:sz w:val="32"/>
          <w:highlight w:val="none"/>
          <w:lang w:val="en-US" w:eastAsia="zh-CN"/>
        </w:rPr>
        <w:t>二、</w:t>
      </w:r>
      <w:r>
        <w:rPr>
          <w:rFonts w:hint="eastAsia" w:ascii="宋体" w:hAnsi="宋体" w:eastAsia="宋体" w:cs="宋体"/>
          <w:b/>
          <w:color w:val="auto"/>
          <w:sz w:val="32"/>
          <w:highlight w:val="none"/>
          <w:lang w:eastAsia="zh-CN"/>
        </w:rPr>
        <w:t>响应文件组成</w:t>
      </w:r>
      <w:bookmarkEnd w:id="1954"/>
      <w:bookmarkEnd w:id="1955"/>
      <w:bookmarkEnd w:id="1956"/>
    </w:p>
    <w:p w14:paraId="162058FD">
      <w:pPr>
        <w:pStyle w:val="12"/>
        <w:keepNext w:val="0"/>
        <w:keepLines w:val="0"/>
        <w:pageBreakBefore w:val="0"/>
        <w:widowControl w:val="0"/>
        <w:wordWrap/>
        <w:topLinePunct w:val="0"/>
        <w:bidi w:val="0"/>
        <w:jc w:val="both"/>
        <w:rPr>
          <w:rFonts w:hint="eastAsia" w:ascii="宋体" w:hAnsi="宋体" w:eastAsia="宋体" w:cs="宋体"/>
          <w:color w:val="auto"/>
          <w:highlight w:val="none"/>
        </w:rPr>
      </w:pPr>
    </w:p>
    <w:p w14:paraId="5B533141">
      <w:pPr>
        <w:pStyle w:val="9"/>
        <w:keepNext w:val="0"/>
        <w:keepLines w:val="0"/>
        <w:pageBreakBefore w:val="0"/>
        <w:widowControl w:val="0"/>
        <w:numPr>
          <w:ilvl w:val="0"/>
          <w:numId w:val="0"/>
        </w:numPr>
        <w:wordWrap/>
        <w:topLinePunct w:val="0"/>
        <w:bidi w:val="0"/>
        <w:rPr>
          <w:rFonts w:hint="eastAsia" w:ascii="宋体" w:hAnsi="宋体" w:eastAsia="宋体" w:cs="宋体"/>
          <w:color w:val="auto"/>
          <w:highlight w:val="none"/>
        </w:rPr>
      </w:pPr>
    </w:p>
    <w:p w14:paraId="592A34C9">
      <w:pPr>
        <w:keepNext w:val="0"/>
        <w:keepLines w:val="0"/>
        <w:pageBreakBefore w:val="0"/>
        <w:widowControl w:val="0"/>
        <w:numPr>
          <w:ilvl w:val="0"/>
          <w:numId w:val="0"/>
        </w:numPr>
        <w:wordWrap/>
        <w:topLinePunct w:val="0"/>
        <w:bidi w:val="0"/>
        <w:spacing w:line="400" w:lineRule="exact"/>
        <w:rPr>
          <w:rFonts w:hint="eastAsia" w:ascii="宋体" w:hAnsi="宋体" w:eastAsia="宋体" w:cs="宋体"/>
          <w:b/>
          <w:bCs/>
          <w:color w:val="auto"/>
          <w:sz w:val="28"/>
          <w:szCs w:val="28"/>
          <w:highlight w:val="none"/>
        </w:rPr>
      </w:pPr>
    </w:p>
    <w:p w14:paraId="1B73E6DF">
      <w:pPr>
        <w:pStyle w:val="9"/>
        <w:keepNext w:val="0"/>
        <w:keepLines w:val="0"/>
        <w:pageBreakBefore w:val="0"/>
        <w:widowControl w:val="0"/>
        <w:wordWrap/>
        <w:topLinePunct w:val="0"/>
        <w:bidi w:val="0"/>
        <w:rPr>
          <w:rFonts w:hint="eastAsia" w:ascii="宋体" w:hAnsi="宋体" w:eastAsia="宋体" w:cs="宋体"/>
          <w:b/>
          <w:bCs/>
          <w:color w:val="auto"/>
          <w:sz w:val="28"/>
          <w:szCs w:val="28"/>
          <w:highlight w:val="none"/>
          <w:lang w:eastAsia="zh-CN"/>
        </w:rPr>
      </w:pPr>
    </w:p>
    <w:p w14:paraId="13ED9F04">
      <w:pPr>
        <w:keepNext w:val="0"/>
        <w:keepLines w:val="0"/>
        <w:pageBreakBefore w:val="0"/>
        <w:widowControl w:val="0"/>
        <w:numPr>
          <w:ilvl w:val="0"/>
          <w:numId w:val="9"/>
        </w:numPr>
        <w:wordWrap/>
        <w:topLinePunct w:val="0"/>
        <w:bidi w:val="0"/>
        <w:spacing w:line="400" w:lineRule="exact"/>
        <w:ind w:left="482" w:leftChars="0" w:firstLine="568" w:firstLineChars="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资格性响应证明材料</w:t>
      </w:r>
    </w:p>
    <w:p w14:paraId="329CB773">
      <w:pPr>
        <w:pStyle w:val="9"/>
        <w:keepNext w:val="0"/>
        <w:keepLines w:val="0"/>
        <w:pageBreakBefore w:val="0"/>
        <w:widowControl w:val="0"/>
        <w:wordWrap/>
        <w:topLinePunct w:val="0"/>
        <w:bidi w:val="0"/>
        <w:rPr>
          <w:rFonts w:hint="eastAsia" w:ascii="宋体" w:hAnsi="宋体" w:eastAsia="宋体" w:cs="宋体"/>
          <w:b/>
          <w:bCs/>
          <w:color w:val="auto"/>
          <w:sz w:val="28"/>
          <w:szCs w:val="28"/>
          <w:highlight w:val="none"/>
        </w:rPr>
      </w:pPr>
    </w:p>
    <w:p w14:paraId="2BF1C847">
      <w:pPr>
        <w:pStyle w:val="9"/>
        <w:keepNext w:val="0"/>
        <w:keepLines w:val="0"/>
        <w:pageBreakBefore w:val="0"/>
        <w:widowControl w:val="0"/>
        <w:wordWrap/>
        <w:topLinePunct w:val="0"/>
        <w:bidi w:val="0"/>
        <w:rPr>
          <w:rFonts w:hint="eastAsia" w:ascii="宋体" w:hAnsi="宋体" w:eastAsia="宋体" w:cs="宋体"/>
          <w:b/>
          <w:bCs/>
          <w:color w:val="auto"/>
          <w:sz w:val="28"/>
          <w:szCs w:val="28"/>
          <w:highlight w:val="none"/>
        </w:rPr>
      </w:pPr>
    </w:p>
    <w:p w14:paraId="0612E0AF">
      <w:pPr>
        <w:keepNext w:val="0"/>
        <w:keepLines w:val="0"/>
        <w:pageBreakBefore w:val="0"/>
        <w:widowControl w:val="0"/>
        <w:numPr>
          <w:ilvl w:val="0"/>
          <w:numId w:val="9"/>
        </w:numPr>
        <w:wordWrap/>
        <w:topLinePunct w:val="0"/>
        <w:bidi w:val="0"/>
        <w:spacing w:line="400" w:lineRule="exact"/>
        <w:ind w:left="482" w:leftChars="0" w:firstLine="568" w:firstLineChars="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符合性响应证明材料</w:t>
      </w:r>
    </w:p>
    <w:p w14:paraId="3160D78E">
      <w:pPr>
        <w:pStyle w:val="9"/>
        <w:keepNext w:val="0"/>
        <w:keepLines w:val="0"/>
        <w:pageBreakBefore w:val="0"/>
        <w:widowControl w:val="0"/>
        <w:wordWrap/>
        <w:topLinePunct w:val="0"/>
        <w:bidi w:val="0"/>
        <w:rPr>
          <w:rFonts w:hint="eastAsia" w:ascii="宋体" w:hAnsi="宋体" w:eastAsia="宋体" w:cs="宋体"/>
          <w:b/>
          <w:bCs/>
          <w:color w:val="auto"/>
          <w:sz w:val="28"/>
          <w:szCs w:val="28"/>
          <w:highlight w:val="none"/>
        </w:rPr>
      </w:pPr>
    </w:p>
    <w:p w14:paraId="1480E213">
      <w:pPr>
        <w:pStyle w:val="9"/>
        <w:keepNext w:val="0"/>
        <w:keepLines w:val="0"/>
        <w:pageBreakBefore w:val="0"/>
        <w:widowControl w:val="0"/>
        <w:wordWrap/>
        <w:topLinePunct w:val="0"/>
        <w:bidi w:val="0"/>
        <w:rPr>
          <w:rFonts w:hint="eastAsia" w:ascii="宋体" w:hAnsi="宋体" w:eastAsia="宋体" w:cs="宋体"/>
          <w:b/>
          <w:bCs/>
          <w:color w:val="auto"/>
          <w:sz w:val="28"/>
          <w:szCs w:val="28"/>
          <w:highlight w:val="none"/>
        </w:rPr>
      </w:pPr>
    </w:p>
    <w:p w14:paraId="582EEB96">
      <w:pPr>
        <w:keepNext w:val="0"/>
        <w:keepLines w:val="0"/>
        <w:pageBreakBefore w:val="0"/>
        <w:widowControl w:val="0"/>
        <w:numPr>
          <w:ilvl w:val="0"/>
          <w:numId w:val="9"/>
        </w:numPr>
        <w:wordWrap/>
        <w:topLinePunct w:val="0"/>
        <w:bidi w:val="0"/>
        <w:spacing w:line="400" w:lineRule="exact"/>
        <w:ind w:left="482" w:leftChars="0" w:firstLine="568" w:firstLineChars="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其</w:t>
      </w:r>
      <w:r>
        <w:rPr>
          <w:rFonts w:hint="eastAsia" w:ascii="宋体" w:hAnsi="宋体" w:eastAsia="宋体" w:cs="宋体"/>
          <w:b/>
          <w:bCs/>
          <w:color w:val="auto"/>
          <w:sz w:val="28"/>
          <w:szCs w:val="28"/>
          <w:highlight w:val="none"/>
          <w:lang w:eastAsia="zh-CN"/>
        </w:rPr>
        <w:t>他</w:t>
      </w:r>
      <w:r>
        <w:rPr>
          <w:rFonts w:hint="eastAsia" w:ascii="宋体" w:hAnsi="宋体" w:eastAsia="宋体" w:cs="宋体"/>
          <w:b/>
          <w:bCs/>
          <w:color w:val="auto"/>
          <w:sz w:val="28"/>
          <w:szCs w:val="28"/>
          <w:highlight w:val="none"/>
        </w:rPr>
        <w:t>有效证明材料</w:t>
      </w:r>
    </w:p>
    <w:p w14:paraId="5936A632">
      <w:pPr>
        <w:pStyle w:val="40"/>
        <w:keepNext w:val="0"/>
        <w:keepLines w:val="0"/>
        <w:pageBreakBefore w:val="0"/>
        <w:widowControl w:val="0"/>
        <w:wordWrap/>
        <w:topLinePunct w:val="0"/>
        <w:bidi w:val="0"/>
        <w:rPr>
          <w:rFonts w:hint="eastAsia" w:ascii="宋体" w:hAnsi="宋体" w:eastAsia="宋体" w:cs="宋体"/>
          <w:color w:val="auto"/>
          <w:highlight w:val="none"/>
        </w:rPr>
      </w:pPr>
    </w:p>
    <w:p w14:paraId="7B000225">
      <w:pPr>
        <w:keepNext w:val="0"/>
        <w:keepLines w:val="0"/>
        <w:pageBreakBefore w:val="0"/>
        <w:widowControl w:val="0"/>
        <w:tabs>
          <w:tab w:val="left" w:pos="5040"/>
        </w:tabs>
        <w:wordWrap/>
        <w:topLinePunct w:val="0"/>
        <w:bidi w:val="0"/>
        <w:spacing w:line="400" w:lineRule="exact"/>
        <w:rPr>
          <w:rFonts w:hint="eastAsia" w:ascii="宋体" w:hAnsi="宋体" w:eastAsia="宋体" w:cs="宋体"/>
          <w:color w:val="auto"/>
          <w:szCs w:val="21"/>
          <w:highlight w:val="none"/>
        </w:rPr>
      </w:pPr>
    </w:p>
    <w:p w14:paraId="08F9670A">
      <w:pPr>
        <w:rPr>
          <w:rFonts w:hint="eastAsia" w:ascii="宋体" w:hAnsi="宋体" w:eastAsia="宋体" w:cs="宋体"/>
          <w:color w:val="auto"/>
          <w:sz w:val="32"/>
          <w:szCs w:val="32"/>
          <w:highlight w:val="none"/>
          <w:lang w:eastAsia="zh-CN"/>
        </w:rPr>
      </w:pPr>
      <w:bookmarkStart w:id="1957" w:name="_Toc497927071"/>
      <w:bookmarkStart w:id="1958" w:name="_Toc11067"/>
      <w:bookmarkStart w:id="1959" w:name="_Toc7185"/>
      <w:r>
        <w:rPr>
          <w:rFonts w:hint="eastAsia" w:ascii="宋体" w:hAnsi="宋体" w:eastAsia="宋体" w:cs="宋体"/>
          <w:color w:val="auto"/>
          <w:sz w:val="32"/>
          <w:szCs w:val="32"/>
          <w:highlight w:val="none"/>
          <w:lang w:eastAsia="zh-CN"/>
        </w:rPr>
        <w:br w:type="page"/>
      </w:r>
    </w:p>
    <w:p w14:paraId="113D7915">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1"/>
        <w:rPr>
          <w:rFonts w:hint="eastAsia" w:ascii="宋体" w:hAnsi="宋体" w:eastAsia="宋体" w:cs="宋体"/>
          <w:color w:val="auto"/>
          <w:sz w:val="32"/>
          <w:szCs w:val="32"/>
          <w:highlight w:val="none"/>
          <w:lang w:eastAsia="zh-CN"/>
        </w:rPr>
      </w:pPr>
      <w:bookmarkStart w:id="1960" w:name="_Toc32344"/>
      <w:r>
        <w:rPr>
          <w:rFonts w:hint="eastAsia" w:ascii="宋体" w:hAnsi="宋体" w:eastAsia="宋体" w:cs="宋体"/>
          <w:color w:val="auto"/>
          <w:sz w:val="32"/>
          <w:szCs w:val="32"/>
          <w:highlight w:val="none"/>
          <w:lang w:eastAsia="zh-CN"/>
        </w:rPr>
        <w:t>（</w:t>
      </w:r>
      <w:r>
        <w:rPr>
          <w:rFonts w:hint="eastAsia" w:ascii="宋体" w:hAnsi="宋体" w:cs="宋体"/>
          <w:color w:val="auto"/>
          <w:sz w:val="32"/>
          <w:szCs w:val="32"/>
          <w:highlight w:val="none"/>
          <w:lang w:eastAsia="zh-CN"/>
        </w:rPr>
        <w:t>一</w:t>
      </w:r>
      <w:r>
        <w:rPr>
          <w:rFonts w:hint="eastAsia" w:ascii="宋体" w:hAnsi="宋体" w:eastAsia="宋体" w:cs="宋体"/>
          <w:color w:val="auto"/>
          <w:sz w:val="32"/>
          <w:szCs w:val="32"/>
          <w:highlight w:val="none"/>
          <w:lang w:eastAsia="zh-CN"/>
        </w:rPr>
        <w:t>）</w:t>
      </w:r>
      <w:r>
        <w:rPr>
          <w:rFonts w:hint="eastAsia" w:ascii="宋体" w:hAnsi="宋体" w:eastAsia="宋体" w:cs="宋体"/>
          <w:color w:val="auto"/>
          <w:sz w:val="32"/>
          <w:szCs w:val="32"/>
          <w:highlight w:val="none"/>
        </w:rPr>
        <w:t>资格性响应证明材料目录</w:t>
      </w:r>
      <w:bookmarkEnd w:id="1957"/>
      <w:bookmarkEnd w:id="1958"/>
      <w:bookmarkEnd w:id="1959"/>
      <w:r>
        <w:rPr>
          <w:rFonts w:hint="eastAsia" w:ascii="宋体" w:hAnsi="宋体" w:eastAsia="宋体" w:cs="宋体"/>
          <w:color w:val="auto"/>
          <w:sz w:val="32"/>
          <w:szCs w:val="32"/>
          <w:highlight w:val="none"/>
          <w:lang w:eastAsia="zh-CN"/>
        </w:rPr>
        <w:t>（根据所提供内容自行编写）</w:t>
      </w:r>
      <w:bookmarkEnd w:id="1960"/>
    </w:p>
    <w:p w14:paraId="310A8317">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供应商相应的法定代表人、负责人、自然人身份证正反两面复印件</w:t>
      </w:r>
      <w:r>
        <w:rPr>
          <w:rFonts w:hint="eastAsia" w:ascii="宋体" w:hAnsi="宋体" w:eastAsia="宋体" w:cs="宋体"/>
          <w:b/>
          <w:bCs/>
          <w:color w:val="auto"/>
          <w:szCs w:val="21"/>
          <w:highlight w:val="none"/>
        </w:rPr>
        <w:t>（必须提供）</w:t>
      </w:r>
      <w:r>
        <w:rPr>
          <w:rFonts w:hint="eastAsia" w:ascii="宋体" w:hAnsi="宋体" w:eastAsia="宋体" w:cs="宋体"/>
          <w:color w:val="auto"/>
          <w:szCs w:val="21"/>
          <w:highlight w:val="none"/>
        </w:rPr>
        <w:t>；</w:t>
      </w:r>
    </w:p>
    <w:p w14:paraId="68EEBB21">
      <w:pPr>
        <w:keepNext w:val="0"/>
        <w:keepLines w:val="0"/>
        <w:pageBreakBefore w:val="0"/>
        <w:widowControl w:val="0"/>
        <w:tabs>
          <w:tab w:val="left" w:pos="1635"/>
        </w:tabs>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供应商的授权委托书原件、委托代理人身份证正反面复印件以及由县级以上（含县级）社会养老保险经办机构出具的供应商为委托代理人交纳的响应文件递交截止时间前</w:t>
      </w:r>
      <w:r>
        <w:rPr>
          <w:rFonts w:hint="eastAsia" w:ascii="宋体" w:hAnsi="宋体" w:cs="宋体"/>
          <w:color w:val="auto"/>
          <w:szCs w:val="21"/>
          <w:highlight w:val="none"/>
          <w:lang w:eastAsia="zh-CN"/>
        </w:rPr>
        <w:t>半年内任意一个月</w:t>
      </w:r>
      <w:r>
        <w:rPr>
          <w:rFonts w:hint="eastAsia" w:ascii="宋体" w:hAnsi="宋体" w:eastAsia="宋体" w:cs="宋体"/>
          <w:color w:val="auto"/>
          <w:szCs w:val="21"/>
          <w:highlight w:val="none"/>
        </w:rPr>
        <w:t>社保证明复印件</w:t>
      </w:r>
      <w:r>
        <w:rPr>
          <w:rFonts w:hint="eastAsia" w:ascii="宋体" w:hAnsi="宋体" w:eastAsia="宋体" w:cs="宋体"/>
          <w:color w:val="auto"/>
          <w:szCs w:val="21"/>
          <w:highlight w:val="none"/>
          <w:lang w:eastAsia="zh-CN"/>
        </w:rPr>
        <w:t>；</w:t>
      </w:r>
      <w:r>
        <w:rPr>
          <w:rFonts w:hint="eastAsia" w:ascii="宋体" w:hAnsi="宋体" w:eastAsia="宋体" w:cs="宋体"/>
          <w:b/>
          <w:bCs/>
          <w:color w:val="auto"/>
          <w:szCs w:val="21"/>
          <w:highlight w:val="none"/>
        </w:rPr>
        <w:t>（委托代理时必须提供）</w:t>
      </w:r>
      <w:r>
        <w:rPr>
          <w:rFonts w:hint="eastAsia" w:ascii="宋体" w:hAnsi="宋体" w:eastAsia="宋体" w:cs="宋体"/>
          <w:b/>
          <w:bCs/>
          <w:color w:val="auto"/>
          <w:szCs w:val="21"/>
          <w:highlight w:val="none"/>
          <w:lang w:eastAsia="zh-CN"/>
        </w:rPr>
        <w:t>。</w:t>
      </w:r>
      <w:r>
        <w:rPr>
          <w:rFonts w:hint="eastAsia" w:ascii="宋体" w:hAnsi="宋体" w:eastAsia="宋体" w:cs="宋体"/>
          <w:color w:val="auto"/>
          <w:szCs w:val="21"/>
          <w:highlight w:val="none"/>
        </w:rPr>
        <w:t>除供应商为以下三种情形的：</w:t>
      </w:r>
    </w:p>
    <w:p w14:paraId="19A22BC8">
      <w:pPr>
        <w:keepNext w:val="0"/>
        <w:keepLines w:val="0"/>
        <w:pageBreakBefore w:val="0"/>
        <w:widowControl w:val="0"/>
        <w:kinsoku/>
        <w:wordWrap/>
        <w:overflowPunct/>
        <w:topLinePunct w:val="0"/>
        <w:bidi w:val="0"/>
        <w:spacing w:line="440" w:lineRule="exact"/>
        <w:ind w:firstLine="630" w:firstLineChars="3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①如供应商为截标时间前60日以内成立的公司，可以提供供应商与委托代理人签订的劳动合同复印件代替社保证明复印件；</w:t>
      </w:r>
    </w:p>
    <w:p w14:paraId="2D828B30">
      <w:pPr>
        <w:keepNext w:val="0"/>
        <w:keepLines w:val="0"/>
        <w:pageBreakBefore w:val="0"/>
        <w:widowControl w:val="0"/>
        <w:kinsoku/>
        <w:wordWrap/>
        <w:overflowPunct/>
        <w:topLinePunct w:val="0"/>
        <w:bidi w:val="0"/>
        <w:spacing w:line="440" w:lineRule="exact"/>
        <w:ind w:firstLine="630" w:firstLineChars="3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②如供应商为事业单位，可以提供事业单位机构编制管理证复印件或事业单位机构为其发放工资的工资条复印件代替社保证明复印件；</w:t>
      </w:r>
    </w:p>
    <w:p w14:paraId="6E72739A">
      <w:pPr>
        <w:keepNext w:val="0"/>
        <w:keepLines w:val="0"/>
        <w:pageBreakBefore w:val="0"/>
        <w:widowControl w:val="0"/>
        <w:kinsoku/>
        <w:wordWrap/>
        <w:overflowPunct/>
        <w:topLinePunct w:val="0"/>
        <w:bidi w:val="0"/>
        <w:spacing w:line="440" w:lineRule="exact"/>
        <w:ind w:firstLine="630" w:firstLineChars="3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③如委托代理人为免缴纳社保人员，提供免缴纳社保的证明材料复印件及供应商与委托代理人签订的劳动合同复印件代替社保证明复印件。</w:t>
      </w:r>
    </w:p>
    <w:p w14:paraId="76E3C346">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【属自然人的应提供由县级以上（含县级）社会养老保险经办机构出具的自然人本人及委托代理人所交纳的响应文件递交截止时间前</w:t>
      </w:r>
      <w:r>
        <w:rPr>
          <w:rFonts w:hint="eastAsia" w:ascii="宋体" w:hAnsi="宋体" w:cs="宋体"/>
          <w:b/>
          <w:bCs/>
          <w:color w:val="auto"/>
          <w:szCs w:val="21"/>
          <w:highlight w:val="none"/>
          <w:lang w:eastAsia="zh-CN"/>
        </w:rPr>
        <w:t>半年内任意一个月</w:t>
      </w:r>
      <w:r>
        <w:rPr>
          <w:rFonts w:hint="eastAsia" w:ascii="宋体" w:hAnsi="宋体" w:eastAsia="宋体" w:cs="宋体"/>
          <w:b/>
          <w:bCs/>
          <w:color w:val="auto"/>
          <w:szCs w:val="21"/>
          <w:highlight w:val="none"/>
        </w:rPr>
        <w:t>社保证明复印件</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（委托代理时必须提供）</w:t>
      </w:r>
    </w:p>
    <w:p w14:paraId="1A3F1A58">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供应商参加政府采购活动前3年内在经营活动中没有重大违法记录及有关信用信息的书面声明</w:t>
      </w:r>
      <w:r>
        <w:rPr>
          <w:rFonts w:hint="eastAsia" w:ascii="宋体" w:hAnsi="宋体" w:eastAsia="宋体" w:cs="宋体"/>
          <w:b/>
          <w:bCs/>
          <w:color w:val="auto"/>
          <w:szCs w:val="21"/>
          <w:highlight w:val="none"/>
        </w:rPr>
        <w:t>（必须提供）；</w:t>
      </w:r>
    </w:p>
    <w:p w14:paraId="004066A0">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供应商的法人或者其他组织营业执照等证明文件复印件</w:t>
      </w:r>
      <w:r>
        <w:rPr>
          <w:rFonts w:hint="eastAsia" w:ascii="宋体" w:hAnsi="宋体" w:eastAsia="宋体" w:cs="宋体"/>
          <w:b/>
          <w:bCs/>
          <w:color w:val="auto"/>
          <w:szCs w:val="21"/>
          <w:highlight w:val="none"/>
        </w:rPr>
        <w:t>（必须提供，自然人除外）；</w:t>
      </w:r>
    </w:p>
    <w:p w14:paraId="79E01A50">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注：①法人包括企业法人、机关法人、事业单位法人和社会团体法人；其他组织主要包括合伙企业、非企业专业服务机构、个体工商户、农村承包经营户。②如供应商为企业（包括合伙企业），应提供工商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40FB245C">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lang w:val="en-US" w:eastAsia="zh-CN"/>
        </w:rPr>
        <w:t>5.</w:t>
      </w:r>
      <w:r>
        <w:rPr>
          <w:rFonts w:hint="eastAsia" w:ascii="宋体" w:hAnsi="宋体" w:eastAsia="宋体" w:cs="宋体"/>
          <w:bCs/>
          <w:color w:val="auto"/>
          <w:kern w:val="0"/>
          <w:szCs w:val="21"/>
          <w:highlight w:val="none"/>
          <w:lang w:val="en-US" w:eastAsia="zh-CN"/>
        </w:rPr>
        <w:t>供应商有效的资质证书复印件及供应商有效的安全生产许可证书复印件</w:t>
      </w:r>
      <w:r>
        <w:rPr>
          <w:rFonts w:hint="eastAsia" w:ascii="宋体" w:hAnsi="宋体" w:eastAsia="宋体" w:cs="宋体"/>
          <w:b/>
          <w:bCs w:val="0"/>
          <w:color w:val="auto"/>
          <w:kern w:val="0"/>
          <w:szCs w:val="21"/>
          <w:highlight w:val="none"/>
          <w:lang w:val="en-US" w:eastAsia="zh-CN"/>
        </w:rPr>
        <w:t>（必须提供）；</w:t>
      </w:r>
    </w:p>
    <w:p w14:paraId="606E1C9F">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cs="宋体"/>
          <w:bCs/>
          <w:color w:val="auto"/>
          <w:kern w:val="0"/>
          <w:sz w:val="21"/>
          <w:szCs w:val="21"/>
          <w:highlight w:val="none"/>
          <w:lang w:val="en-US" w:eastAsia="zh-CN" w:bidi="ar-SA"/>
        </w:rPr>
      </w:pPr>
      <w:r>
        <w:rPr>
          <w:rFonts w:hint="eastAsia" w:ascii="宋体" w:hAnsi="宋体" w:cs="宋体"/>
          <w:bCs/>
          <w:color w:val="auto"/>
          <w:kern w:val="0"/>
          <w:sz w:val="21"/>
          <w:szCs w:val="21"/>
          <w:highlight w:val="none"/>
          <w:lang w:val="en-US" w:eastAsia="zh-CN" w:bidi="ar-SA"/>
        </w:rPr>
        <w:t>6.</w:t>
      </w:r>
      <w:r>
        <w:rPr>
          <w:rFonts w:hint="eastAsia" w:ascii="宋体" w:hAnsi="宋体" w:cs="宋体"/>
          <w:bCs/>
          <w:color w:val="auto"/>
          <w:sz w:val="21"/>
          <w:szCs w:val="21"/>
          <w:highlight w:val="none"/>
          <w:lang w:eastAsia="zh-CN"/>
        </w:rPr>
        <w:t>拟派项目负责人的注册二级建造师证书复印件、安全生产考核B证证书复印件及项目经理无在建工程承诺书</w:t>
      </w:r>
      <w:r>
        <w:rPr>
          <w:rFonts w:hint="eastAsia" w:ascii="宋体" w:hAnsi="宋体" w:cs="宋体"/>
          <w:bCs/>
          <w:color w:val="auto"/>
          <w:kern w:val="0"/>
          <w:szCs w:val="21"/>
          <w:highlight w:val="none"/>
          <w:lang w:val="en-US" w:eastAsia="zh-CN"/>
        </w:rPr>
        <w:t>（格式自拟）</w:t>
      </w:r>
      <w:r>
        <w:rPr>
          <w:rFonts w:hint="eastAsia" w:ascii="宋体" w:hAnsi="宋体" w:eastAsia="宋体" w:cs="宋体"/>
          <w:b/>
          <w:bCs w:val="0"/>
          <w:color w:val="auto"/>
          <w:kern w:val="0"/>
          <w:szCs w:val="21"/>
          <w:highlight w:val="none"/>
          <w:lang w:val="en-US" w:eastAsia="zh-CN"/>
        </w:rPr>
        <w:t>（必须提供）</w:t>
      </w:r>
    </w:p>
    <w:p w14:paraId="54709245">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lang w:val="en-US" w:eastAsia="zh-CN"/>
        </w:rPr>
        <w:t>7.</w:t>
      </w:r>
      <w:r>
        <w:rPr>
          <w:rFonts w:hint="eastAsia" w:ascii="宋体" w:hAnsi="宋体" w:cs="宋体"/>
          <w:bCs/>
          <w:color w:val="auto"/>
          <w:kern w:val="0"/>
          <w:szCs w:val="21"/>
          <w:highlight w:val="none"/>
          <w:lang w:eastAsia="zh-CN"/>
        </w:rPr>
        <w:t>供应商2025年度财务状况报告</w:t>
      </w:r>
      <w:r>
        <w:rPr>
          <w:rFonts w:hint="eastAsia" w:ascii="宋体" w:hAnsi="宋体" w:eastAsia="宋体" w:cs="宋体"/>
          <w:b/>
          <w:bCs/>
          <w:color w:val="auto"/>
          <w:sz w:val="21"/>
          <w:szCs w:val="21"/>
          <w:highlight w:val="none"/>
          <w:lang w:val="en-US" w:eastAsia="zh-CN"/>
        </w:rPr>
        <w:t>（必须提供</w:t>
      </w:r>
      <w:r>
        <w:rPr>
          <w:rFonts w:hint="eastAsia" w:ascii="宋体" w:hAnsi="宋体" w:cs="宋体"/>
          <w:b/>
          <w:bCs/>
          <w:color w:val="auto"/>
          <w:szCs w:val="21"/>
          <w:highlight w:val="none"/>
          <w:lang w:eastAsia="zh-CN"/>
        </w:rPr>
        <w:t>，</w:t>
      </w:r>
      <w:r>
        <w:rPr>
          <w:rFonts w:ascii="宋体" w:hAnsi="宋体" w:cs="宋体"/>
          <w:b/>
          <w:bCs/>
          <w:color w:val="auto"/>
          <w:szCs w:val="21"/>
          <w:highlight w:val="none"/>
        </w:rPr>
        <w:t>可</w:t>
      </w:r>
      <w:r>
        <w:rPr>
          <w:rFonts w:hint="eastAsia" w:ascii="宋体" w:hAnsi="宋体" w:cs="宋体"/>
          <w:b/>
          <w:bCs/>
          <w:color w:val="auto"/>
          <w:szCs w:val="21"/>
          <w:highlight w:val="none"/>
          <w:lang w:eastAsia="zh-CN"/>
        </w:rPr>
        <w:t>以是磋商供应商</w:t>
      </w:r>
      <w:r>
        <w:rPr>
          <w:rFonts w:ascii="宋体" w:hAnsi="宋体" w:cs="宋体"/>
          <w:b/>
          <w:bCs/>
          <w:color w:val="auto"/>
          <w:szCs w:val="21"/>
          <w:highlight w:val="none"/>
        </w:rPr>
        <w:t>自行编制也可</w:t>
      </w:r>
      <w:r>
        <w:rPr>
          <w:rFonts w:hint="eastAsia" w:ascii="宋体" w:hAnsi="宋体" w:cs="宋体"/>
          <w:b/>
          <w:bCs/>
          <w:color w:val="auto"/>
          <w:szCs w:val="21"/>
          <w:highlight w:val="none"/>
          <w:lang w:eastAsia="zh-CN"/>
        </w:rPr>
        <w:t>是</w:t>
      </w:r>
      <w:r>
        <w:rPr>
          <w:rFonts w:ascii="宋体" w:hAnsi="宋体" w:cs="宋体"/>
          <w:b/>
          <w:bCs/>
          <w:color w:val="auto"/>
          <w:szCs w:val="21"/>
          <w:highlight w:val="none"/>
        </w:rPr>
        <w:t>通过</w:t>
      </w:r>
      <w:r>
        <w:rPr>
          <w:rFonts w:hint="eastAsia" w:ascii="宋体" w:hAnsi="宋体" w:cs="宋体"/>
          <w:b/>
          <w:bCs/>
          <w:color w:val="auto"/>
          <w:szCs w:val="21"/>
          <w:highlight w:val="none"/>
          <w:lang w:eastAsia="zh-CN"/>
        </w:rPr>
        <w:t>第三方</w:t>
      </w:r>
      <w:r>
        <w:rPr>
          <w:rFonts w:ascii="宋体" w:hAnsi="宋体" w:cs="宋体"/>
          <w:b/>
          <w:bCs/>
          <w:color w:val="auto"/>
          <w:szCs w:val="21"/>
          <w:highlight w:val="none"/>
        </w:rPr>
        <w:t>审计公司编制，如为自行编制至少须提供现金流量表、负债表及利润表</w:t>
      </w:r>
      <w:r>
        <w:rPr>
          <w:rFonts w:hint="eastAsia" w:ascii="宋体" w:hAnsi="宋体" w:eastAsia="宋体" w:cs="宋体"/>
          <w:b/>
          <w:bCs/>
          <w:color w:val="auto"/>
          <w:sz w:val="21"/>
          <w:szCs w:val="21"/>
          <w:highlight w:val="none"/>
          <w:lang w:val="en-US" w:eastAsia="zh-CN"/>
        </w:rPr>
        <w:t>）</w:t>
      </w:r>
      <w:r>
        <w:rPr>
          <w:rFonts w:hint="eastAsia" w:ascii="宋体" w:hAnsi="宋体" w:eastAsia="宋体" w:cs="宋体"/>
          <w:b/>
          <w:bCs w:val="0"/>
          <w:color w:val="auto"/>
          <w:kern w:val="0"/>
          <w:szCs w:val="21"/>
          <w:highlight w:val="none"/>
          <w:lang w:val="en-US" w:eastAsia="zh-CN"/>
        </w:rPr>
        <w:t>；</w:t>
      </w:r>
    </w:p>
    <w:p w14:paraId="3BF85AA1">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highlight w:val="none"/>
        </w:rPr>
      </w:pPr>
      <w:r>
        <w:rPr>
          <w:rFonts w:hint="eastAsia" w:ascii="宋体" w:hAnsi="宋体" w:cs="宋体"/>
          <w:bCs/>
          <w:color w:val="auto"/>
          <w:kern w:val="0"/>
          <w:szCs w:val="21"/>
          <w:highlight w:val="none"/>
          <w:lang w:val="en-US" w:eastAsia="zh-CN"/>
        </w:rPr>
        <w:t>8.</w:t>
      </w:r>
      <w:r>
        <w:rPr>
          <w:rFonts w:hint="eastAsia" w:ascii="宋体" w:hAnsi="宋体" w:cs="宋体"/>
          <w:color w:val="auto"/>
          <w:szCs w:val="21"/>
          <w:highlight w:val="none"/>
          <w:lang w:eastAsia="zh-CN"/>
        </w:rPr>
        <w:t>供应商近半年内任意一个月依法缴纳税收的证明材料[增值税缴纳发票(税收完税证明)或企业所得税完税证明或税务部门出具的免税证明]复印件</w:t>
      </w:r>
      <w:r>
        <w:rPr>
          <w:rFonts w:hint="eastAsia" w:ascii="宋体" w:hAnsi="宋体" w:eastAsia="宋体" w:cs="宋体"/>
          <w:color w:val="auto"/>
          <w:szCs w:val="21"/>
          <w:highlight w:val="none"/>
        </w:rPr>
        <w:t>(税收完税证明)或企业所得税完税证明或税务部门出具的免税证明</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复印件</w:t>
      </w:r>
      <w:r>
        <w:rPr>
          <w:rFonts w:hint="eastAsia" w:ascii="宋体" w:hAnsi="宋体" w:eastAsia="宋体" w:cs="宋体"/>
          <w:b/>
          <w:bCs/>
          <w:color w:val="auto"/>
          <w:szCs w:val="21"/>
          <w:highlight w:val="none"/>
        </w:rPr>
        <w:t>（必须提供）</w:t>
      </w:r>
      <w:r>
        <w:rPr>
          <w:rFonts w:hint="eastAsia" w:ascii="宋体" w:hAnsi="宋体" w:eastAsia="宋体" w:cs="宋体"/>
          <w:color w:val="auto"/>
          <w:szCs w:val="21"/>
          <w:highlight w:val="none"/>
        </w:rPr>
        <w:t>；</w:t>
      </w:r>
    </w:p>
    <w:p w14:paraId="56DB2C41">
      <w:pPr>
        <w:keepNext w:val="0"/>
        <w:keepLines w:val="0"/>
        <w:pageBreakBefore w:val="0"/>
        <w:widowControl w:val="0"/>
        <w:wordWrap/>
        <w:topLinePunct w:val="0"/>
        <w:bidi w:val="0"/>
        <w:spacing w:line="360" w:lineRule="auto"/>
        <w:ind w:firstLine="420" w:firstLineChars="200"/>
        <w:rPr>
          <w:rFonts w:hint="eastAsia" w:ascii="宋体" w:hAnsi="宋体" w:eastAsia="宋体" w:cs="宋体"/>
          <w:b w:val="0"/>
          <w:bCs w:val="0"/>
          <w:color w:val="auto"/>
          <w:sz w:val="21"/>
          <w:szCs w:val="21"/>
          <w:highlight w:val="none"/>
          <w:lang w:val="en-US" w:eastAsia="zh-CN"/>
        </w:rPr>
      </w:pPr>
      <w:r>
        <w:rPr>
          <w:rFonts w:hint="eastAsia" w:ascii="宋体" w:hAnsi="宋体" w:cs="宋体"/>
          <w:color w:val="auto"/>
          <w:szCs w:val="21"/>
          <w:highlight w:val="none"/>
          <w:lang w:val="en-US" w:eastAsia="zh-CN"/>
        </w:rPr>
        <w:t>9.</w:t>
      </w:r>
      <w:r>
        <w:rPr>
          <w:rFonts w:hint="eastAsia" w:ascii="宋体" w:hAnsi="宋体" w:eastAsia="宋体" w:cs="宋体"/>
          <w:bCs/>
          <w:color w:val="auto"/>
          <w:kern w:val="0"/>
          <w:sz w:val="21"/>
          <w:szCs w:val="21"/>
          <w:highlight w:val="none"/>
          <w:lang w:val="en-US" w:eastAsia="zh-CN" w:bidi="ar-SA"/>
        </w:rPr>
        <w:t>《中小企业声明函》或《残疾人福利性单位声明函》或省级以上监狱管理局、戒毒管理局（含新疆生产建设兵团）出具的属于监狱企业的证明文件复印件</w:t>
      </w:r>
      <w:r>
        <w:rPr>
          <w:rFonts w:hint="eastAsia" w:ascii="宋体" w:hAnsi="宋体" w:eastAsia="宋体" w:cs="宋体"/>
          <w:b/>
          <w:bCs w:val="0"/>
          <w:color w:val="auto"/>
          <w:kern w:val="0"/>
          <w:sz w:val="21"/>
          <w:szCs w:val="21"/>
          <w:highlight w:val="none"/>
          <w:lang w:val="en-US" w:eastAsia="zh-CN" w:bidi="ar-SA"/>
        </w:rPr>
        <w:t>（必须提供其中一项）</w:t>
      </w:r>
      <w:r>
        <w:rPr>
          <w:rFonts w:hint="eastAsia" w:ascii="宋体" w:hAnsi="宋体" w:eastAsia="宋体" w:cs="宋体"/>
          <w:b/>
          <w:bCs/>
          <w:color w:val="auto"/>
          <w:szCs w:val="21"/>
          <w:highlight w:val="none"/>
        </w:rPr>
        <w:t>。</w:t>
      </w:r>
    </w:p>
    <w:p w14:paraId="5797E132">
      <w:pPr>
        <w:keepNext w:val="0"/>
        <w:keepLines w:val="0"/>
        <w:pageBreakBefore w:val="0"/>
        <w:widowControl w:val="0"/>
        <w:wordWrap/>
        <w:topLinePunct w:val="0"/>
        <w:bidi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5B65C505">
      <w:pPr>
        <w:keepNext w:val="0"/>
        <w:keepLines w:val="0"/>
        <w:pageBreakBefore w:val="0"/>
        <w:widowControl w:val="0"/>
        <w:numPr>
          <w:ilvl w:val="0"/>
          <w:numId w:val="0"/>
        </w:numPr>
        <w:wordWrap/>
        <w:topLinePunct w:val="0"/>
        <w:bidi w:val="0"/>
        <w:spacing w:line="440" w:lineRule="atLeast"/>
        <w:outlineLvl w:val="2"/>
        <w:rPr>
          <w:rFonts w:hint="eastAsia" w:ascii="宋体" w:hAnsi="宋体" w:eastAsia="宋体" w:cs="宋体"/>
          <w:b/>
          <w:color w:val="auto"/>
          <w:sz w:val="28"/>
          <w:szCs w:val="28"/>
          <w:highlight w:val="none"/>
        </w:rPr>
      </w:pPr>
      <w:r>
        <w:rPr>
          <w:rFonts w:hint="eastAsia" w:ascii="宋体" w:hAnsi="宋体" w:cs="宋体"/>
          <w:b/>
          <w:color w:val="auto"/>
          <w:sz w:val="28"/>
          <w:szCs w:val="28"/>
          <w:highlight w:val="none"/>
          <w:lang w:val="en-US" w:eastAsia="zh-CN"/>
        </w:rPr>
        <w:t>1.</w:t>
      </w:r>
      <w:r>
        <w:rPr>
          <w:rFonts w:hint="eastAsia" w:ascii="宋体" w:hAnsi="宋体" w:eastAsia="宋体" w:cs="宋体"/>
          <w:b/>
          <w:color w:val="auto"/>
          <w:sz w:val="28"/>
          <w:szCs w:val="28"/>
          <w:highlight w:val="none"/>
        </w:rPr>
        <w:t>供应商相应的法定代表人、负责人、自然人身份证正反两面复印件（必须提供）；</w:t>
      </w:r>
    </w:p>
    <w:p w14:paraId="64C35D71">
      <w:pPr>
        <w:keepNext w:val="0"/>
        <w:keepLines w:val="0"/>
        <w:pageBreakBefore w:val="0"/>
        <w:widowControl w:val="0"/>
        <w:numPr>
          <w:ilvl w:val="0"/>
          <w:numId w:val="0"/>
        </w:numPr>
        <w:wordWrap/>
        <w:topLinePunct w:val="0"/>
        <w:bidi w:val="0"/>
        <w:spacing w:line="440" w:lineRule="atLeast"/>
        <w:outlineLvl w:val="9"/>
        <w:rPr>
          <w:rFonts w:hint="eastAsia"/>
          <w:color w:val="auto"/>
          <w:highlight w:val="none"/>
        </w:rPr>
      </w:pPr>
    </w:p>
    <w:p w14:paraId="3F6EE362">
      <w:pPr>
        <w:keepNext w:val="0"/>
        <w:keepLines w:val="0"/>
        <w:pageBreakBefore w:val="0"/>
        <w:widowControl w:val="0"/>
        <w:numPr>
          <w:ilvl w:val="0"/>
          <w:numId w:val="0"/>
        </w:numPr>
        <w:wordWrap/>
        <w:topLinePunct w:val="0"/>
        <w:bidi w:val="0"/>
        <w:spacing w:line="440" w:lineRule="atLeast"/>
        <w:outlineLvl w:val="2"/>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2</w:t>
      </w:r>
      <w:r>
        <w:rPr>
          <w:rFonts w:hint="eastAsia" w:ascii="宋体" w:hAnsi="宋体" w:eastAsia="宋体" w:cs="宋体"/>
          <w:b/>
          <w:color w:val="auto"/>
          <w:sz w:val="28"/>
          <w:szCs w:val="28"/>
          <w:highlight w:val="none"/>
        </w:rPr>
        <w:t>.</w:t>
      </w:r>
      <w:r>
        <w:rPr>
          <w:rFonts w:hint="eastAsia" w:ascii="宋体" w:hAnsi="宋体" w:eastAsia="宋体" w:cs="宋体"/>
          <w:b/>
          <w:color w:val="auto"/>
          <w:sz w:val="28"/>
          <w:szCs w:val="28"/>
          <w:highlight w:val="none"/>
          <w:lang w:val="en-US" w:eastAsia="zh-CN"/>
        </w:rPr>
        <w:t>供应商</w:t>
      </w:r>
      <w:r>
        <w:rPr>
          <w:rFonts w:hint="eastAsia" w:ascii="宋体" w:hAnsi="宋体" w:eastAsia="宋体" w:cs="宋体"/>
          <w:b/>
          <w:color w:val="auto"/>
          <w:sz w:val="28"/>
          <w:szCs w:val="28"/>
          <w:highlight w:val="none"/>
        </w:rPr>
        <w:t>的授权委托书</w:t>
      </w:r>
      <w:r>
        <w:rPr>
          <w:rFonts w:hint="eastAsia" w:ascii="宋体" w:hAnsi="宋体" w:eastAsia="宋体" w:cs="宋体"/>
          <w:b/>
          <w:color w:val="auto"/>
          <w:sz w:val="28"/>
          <w:szCs w:val="28"/>
          <w:highlight w:val="none"/>
          <w:lang w:eastAsia="zh-CN"/>
        </w:rPr>
        <w:t>原件</w:t>
      </w:r>
      <w:r>
        <w:rPr>
          <w:rFonts w:hint="eastAsia" w:ascii="宋体" w:hAnsi="宋体" w:eastAsia="宋体" w:cs="宋体"/>
          <w:b/>
          <w:color w:val="auto"/>
          <w:sz w:val="28"/>
          <w:szCs w:val="28"/>
          <w:highlight w:val="none"/>
        </w:rPr>
        <w:t>、委托代理人身份证正反面复印件以及由县级以上（含县级）社会养老保险经办机构出具的供应商为委托代理人交纳的响应文件递交截止时间前</w:t>
      </w:r>
      <w:r>
        <w:rPr>
          <w:rFonts w:hint="eastAsia" w:ascii="宋体" w:hAnsi="宋体" w:cs="宋体"/>
          <w:b/>
          <w:color w:val="auto"/>
          <w:sz w:val="28"/>
          <w:szCs w:val="28"/>
          <w:highlight w:val="none"/>
          <w:lang w:eastAsia="zh-CN"/>
        </w:rPr>
        <w:t>半年内任意一个月</w:t>
      </w:r>
      <w:r>
        <w:rPr>
          <w:rFonts w:hint="eastAsia" w:ascii="宋体" w:hAnsi="宋体" w:eastAsia="宋体" w:cs="宋体"/>
          <w:b/>
          <w:color w:val="auto"/>
          <w:sz w:val="28"/>
          <w:szCs w:val="28"/>
          <w:highlight w:val="none"/>
        </w:rPr>
        <w:t>社保证明复印件</w:t>
      </w:r>
      <w:r>
        <w:rPr>
          <w:rFonts w:hint="eastAsia" w:ascii="宋体" w:hAnsi="宋体" w:eastAsia="宋体" w:cs="宋体"/>
          <w:b/>
          <w:color w:val="auto"/>
          <w:sz w:val="28"/>
          <w:szCs w:val="28"/>
          <w:highlight w:val="none"/>
          <w:lang w:eastAsia="zh-CN"/>
        </w:rPr>
        <w:t>（委托代理时必须提供）。</w:t>
      </w:r>
      <w:r>
        <w:rPr>
          <w:rFonts w:hint="eastAsia" w:ascii="宋体" w:hAnsi="宋体" w:eastAsia="宋体" w:cs="宋体"/>
          <w:b/>
          <w:color w:val="auto"/>
          <w:sz w:val="28"/>
          <w:szCs w:val="28"/>
          <w:highlight w:val="none"/>
        </w:rPr>
        <w:t>除供应商为以下三种情形的：</w:t>
      </w:r>
    </w:p>
    <w:p w14:paraId="05F16B42">
      <w:pPr>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 如供应商为截标时间前60日以内成立的公司，可以提供供应商与委托代理人签订的劳动合同复印件代替社保证明复印件；</w:t>
      </w:r>
    </w:p>
    <w:p w14:paraId="6A129ABA">
      <w:pPr>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（2）如供应商为事业单位，可以提供事业单位机构编制管理证复印件或事业单位机构为其发放工资的工资条复印件代替社保证明复印件；</w:t>
      </w:r>
    </w:p>
    <w:p w14:paraId="108350E6">
      <w:pPr>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（3）如委托代理人为免缴纳社保人员，提供免缴纳社保的证明材料复印件及供应商与委托代理人签订的劳动合同复印件代替社保证明复印件。</w:t>
      </w:r>
    </w:p>
    <w:p w14:paraId="75D1DA5D">
      <w:pPr>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eastAsia="zh-CN"/>
        </w:rPr>
        <w:t>属</w:t>
      </w:r>
      <w:r>
        <w:rPr>
          <w:rFonts w:hint="eastAsia" w:ascii="宋体" w:hAnsi="宋体" w:eastAsia="宋体" w:cs="宋体"/>
          <w:b/>
          <w:color w:val="auto"/>
          <w:sz w:val="21"/>
          <w:szCs w:val="21"/>
          <w:highlight w:val="none"/>
        </w:rPr>
        <w:t>自然人的应提供由县级以上（含县级）社会养老保险经办机构出具的自然人本人及委托代理人所交纳的响应文件递交截止时间前</w:t>
      </w:r>
      <w:r>
        <w:rPr>
          <w:rFonts w:hint="eastAsia" w:ascii="宋体" w:hAnsi="宋体" w:cs="宋体"/>
          <w:b/>
          <w:color w:val="auto"/>
          <w:sz w:val="21"/>
          <w:szCs w:val="21"/>
          <w:highlight w:val="none"/>
          <w:lang w:eastAsia="zh-CN"/>
        </w:rPr>
        <w:t>半年内任意一个月</w:t>
      </w:r>
      <w:r>
        <w:rPr>
          <w:rFonts w:hint="eastAsia" w:ascii="宋体" w:hAnsi="宋体" w:eastAsia="宋体" w:cs="宋体"/>
          <w:b/>
          <w:color w:val="auto"/>
          <w:sz w:val="21"/>
          <w:szCs w:val="21"/>
          <w:highlight w:val="none"/>
        </w:rPr>
        <w:t>社保证明复印件】（委托代理时必须提供）</w:t>
      </w:r>
    </w:p>
    <w:p w14:paraId="250E9A60">
      <w:pPr>
        <w:pStyle w:val="12"/>
        <w:keepNext w:val="0"/>
        <w:keepLines w:val="0"/>
        <w:pageBreakBefore w:val="0"/>
        <w:widowControl w:val="0"/>
        <w:wordWrap/>
        <w:topLinePunct w:val="0"/>
        <w:bidi w:val="0"/>
        <w:outlineLvl w:val="9"/>
        <w:rPr>
          <w:rFonts w:hint="eastAsia" w:ascii="宋体" w:hAnsi="宋体" w:eastAsia="宋体" w:cs="宋体"/>
          <w:b/>
          <w:color w:val="auto"/>
          <w:sz w:val="32"/>
          <w:highlight w:val="none"/>
        </w:rPr>
      </w:pPr>
      <w:r>
        <w:rPr>
          <w:rFonts w:hint="eastAsia" w:ascii="宋体" w:hAnsi="宋体" w:eastAsia="宋体" w:cs="宋体"/>
          <w:b/>
          <w:color w:val="auto"/>
          <w:sz w:val="32"/>
          <w:highlight w:val="none"/>
        </w:rPr>
        <w:t xml:space="preserve">附件：            </w:t>
      </w:r>
    </w:p>
    <w:p w14:paraId="78AC5371">
      <w:pPr>
        <w:pStyle w:val="12"/>
        <w:keepNext w:val="0"/>
        <w:keepLines w:val="0"/>
        <w:pageBreakBefore w:val="0"/>
        <w:widowControl w:val="0"/>
        <w:wordWrap/>
        <w:topLinePunct w:val="0"/>
        <w:bidi w:val="0"/>
        <w:ind w:firstLine="630" w:firstLineChars="196"/>
        <w:jc w:val="center"/>
        <w:outlineLvl w:val="9"/>
        <w:rPr>
          <w:rFonts w:hint="eastAsia" w:ascii="宋体" w:hAnsi="宋体" w:eastAsia="宋体" w:cs="宋体"/>
          <w:b/>
          <w:color w:val="auto"/>
          <w:sz w:val="32"/>
          <w:highlight w:val="none"/>
        </w:rPr>
      </w:pPr>
      <w:bookmarkStart w:id="1961" w:name="_Toc964_WPSOffice_Level1"/>
      <w:bookmarkStart w:id="1962" w:name="_Toc5420_WPSOffice_Level1"/>
      <w:r>
        <w:rPr>
          <w:rFonts w:hint="eastAsia" w:ascii="宋体" w:hAnsi="宋体" w:eastAsia="宋体" w:cs="宋体"/>
          <w:b/>
          <w:color w:val="auto"/>
          <w:sz w:val="32"/>
          <w:highlight w:val="none"/>
        </w:rPr>
        <w:t>授权委托书（格式一）</w:t>
      </w:r>
      <w:bookmarkEnd w:id="1961"/>
      <w:bookmarkEnd w:id="1962"/>
    </w:p>
    <w:p w14:paraId="35FCE388">
      <w:pPr>
        <w:pStyle w:val="12"/>
        <w:keepNext w:val="0"/>
        <w:keepLines w:val="0"/>
        <w:pageBreakBefore w:val="0"/>
        <w:widowControl w:val="0"/>
        <w:wordWrap/>
        <w:topLinePunct w:val="0"/>
        <w:bidi w:val="0"/>
        <w:outlineLvl w:val="9"/>
        <w:rPr>
          <w:rFonts w:hint="eastAsia" w:ascii="宋体" w:hAnsi="宋体" w:eastAsia="宋体" w:cs="宋体"/>
          <w:color w:val="auto"/>
          <w:highlight w:val="none"/>
        </w:rPr>
      </w:pPr>
    </w:p>
    <w:p w14:paraId="2F88A4D0">
      <w:pPr>
        <w:keepNext w:val="0"/>
        <w:keepLines w:val="0"/>
        <w:pageBreakBefore w:val="0"/>
        <w:widowControl w:val="0"/>
        <w:wordWrap/>
        <w:topLinePunct w:val="0"/>
        <w:bidi w:val="0"/>
        <w:spacing w:line="400" w:lineRule="exact"/>
        <w:outlineLvl w:val="9"/>
        <w:rPr>
          <w:rFonts w:hint="eastAsia" w:ascii="宋体" w:hAnsi="宋体" w:eastAsia="宋体" w:cs="宋体"/>
          <w:color w:val="auto"/>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eastAsia="zh-CN"/>
        </w:rPr>
        <w:t xml:space="preserve">广西北部湾宏亚建设管理有限公司 </w:t>
      </w:r>
    </w:p>
    <w:p w14:paraId="2B4F6CF6">
      <w:pPr>
        <w:keepNext w:val="0"/>
        <w:keepLines w:val="0"/>
        <w:pageBreakBefore w:val="0"/>
        <w:widowControl w:val="0"/>
        <w:wordWrap/>
        <w:topLinePunct w:val="0"/>
        <w:bidi w:val="0"/>
        <w:spacing w:line="400" w:lineRule="exact"/>
        <w:outlineLvl w:val="9"/>
        <w:rPr>
          <w:rFonts w:hint="eastAsia" w:ascii="宋体" w:hAnsi="宋体" w:eastAsia="宋体" w:cs="宋体"/>
          <w:color w:val="auto"/>
          <w:szCs w:val="21"/>
          <w:highlight w:val="none"/>
        </w:rPr>
      </w:pPr>
    </w:p>
    <w:p w14:paraId="189FB697">
      <w:pPr>
        <w:pStyle w:val="12"/>
        <w:keepNext w:val="0"/>
        <w:keepLines w:val="0"/>
        <w:pageBreakBefore w:val="0"/>
        <w:widowControl w:val="0"/>
        <w:wordWrap/>
        <w:topLinePunct w:val="0"/>
        <w:bidi w:val="0"/>
        <w:spacing w:line="400" w:lineRule="exact"/>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kern w:val="0"/>
          <w:highlight w:val="none"/>
        </w:rPr>
        <w:t>我</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（姓名）系</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（供应商名称）的法定代表人（负责人），现授权委托本单位在职职工</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（姓 名）以我公司名义参加</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highlight w:val="none"/>
          <w:u w:val="single"/>
        </w:rPr>
        <w:t xml:space="preserve">（项目名称及项目编号）        </w:t>
      </w:r>
      <w:r>
        <w:rPr>
          <w:rFonts w:hint="eastAsia" w:ascii="宋体" w:hAnsi="宋体" w:eastAsia="宋体" w:cs="宋体"/>
          <w:color w:val="auto"/>
          <w:highlight w:val="none"/>
        </w:rPr>
        <w:t>项目的磋商活动，并代表我方全权办理针对上述项目的磋商、签约等具体事务和签署相关文件。</w:t>
      </w:r>
    </w:p>
    <w:p w14:paraId="359664F4">
      <w:pPr>
        <w:pStyle w:val="12"/>
        <w:keepNext w:val="0"/>
        <w:keepLines w:val="0"/>
        <w:pageBreakBefore w:val="0"/>
        <w:widowControl w:val="0"/>
        <w:wordWrap/>
        <w:topLinePunct w:val="0"/>
        <w:bidi w:val="0"/>
        <w:spacing w:line="400" w:lineRule="exact"/>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rPr>
        <w:t>我方对被授权人的签字事项负全部责任。</w:t>
      </w:r>
    </w:p>
    <w:p w14:paraId="5F81FE92">
      <w:pPr>
        <w:pStyle w:val="12"/>
        <w:keepNext w:val="0"/>
        <w:keepLines w:val="0"/>
        <w:pageBreakBefore w:val="0"/>
        <w:widowControl w:val="0"/>
        <w:wordWrap/>
        <w:topLinePunct w:val="0"/>
        <w:bidi w:val="0"/>
        <w:spacing w:line="400" w:lineRule="exact"/>
        <w:ind w:firstLine="420" w:firstLineChars="200"/>
        <w:outlineLvl w:val="9"/>
        <w:rPr>
          <w:rFonts w:hint="eastAsia" w:ascii="宋体" w:hAnsi="宋体" w:eastAsia="宋体" w:cs="宋体"/>
          <w:color w:val="auto"/>
          <w:highlight w:val="none"/>
          <w:u w:val="single"/>
        </w:rPr>
      </w:pPr>
      <w:r>
        <w:rPr>
          <w:rFonts w:hint="eastAsia" w:ascii="宋体" w:hAnsi="宋体" w:eastAsia="宋体" w:cs="宋体"/>
          <w:color w:val="auto"/>
          <w:highlight w:val="none"/>
        </w:rPr>
        <w:t>授权委托代理期限：从</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月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日起至</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月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日止。</w:t>
      </w:r>
    </w:p>
    <w:p w14:paraId="1931A4F9">
      <w:pPr>
        <w:pStyle w:val="12"/>
        <w:keepNext w:val="0"/>
        <w:keepLines w:val="0"/>
        <w:pageBreakBefore w:val="0"/>
        <w:widowControl w:val="0"/>
        <w:kinsoku/>
        <w:wordWrap/>
        <w:overflowPunct/>
        <w:topLinePunct w:val="0"/>
        <w:autoSpaceDE/>
        <w:autoSpaceDN/>
        <w:bidi w:val="0"/>
        <w:adjustRightInd/>
        <w:spacing w:line="380" w:lineRule="exact"/>
        <w:textAlignment w:val="auto"/>
        <w:outlineLvl w:val="9"/>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w:t>
      </w:r>
    </w:p>
    <w:p w14:paraId="1C2585FD">
      <w:pPr>
        <w:keepNext w:val="0"/>
        <w:keepLines w:val="0"/>
        <w:pageBreakBefore w:val="0"/>
        <w:widowControl w:val="0"/>
        <w:kinsoku/>
        <w:wordWrap/>
        <w:overflowPunct/>
        <w:topLinePunct w:val="0"/>
        <w:autoSpaceDE/>
        <w:autoSpaceDN/>
        <w:bidi w:val="0"/>
        <w:adjustRightInd/>
        <w:spacing w:line="380" w:lineRule="exact"/>
        <w:ind w:firstLine="420" w:firstLineChars="200"/>
        <w:textAlignment w:val="auto"/>
        <w:outlineLvl w:val="9"/>
        <w:rPr>
          <w:rFonts w:hint="eastAsia" w:ascii="宋体" w:hAnsi="宋体" w:eastAsia="宋体" w:cs="宋体"/>
          <w:color w:val="auto"/>
          <w:kern w:val="0"/>
          <w:highlight w:val="none"/>
        </w:rPr>
      </w:pPr>
      <w:r>
        <w:rPr>
          <w:rFonts w:hint="eastAsia" w:ascii="宋体" w:hAnsi="宋体" w:eastAsia="宋体" w:cs="宋体"/>
          <w:color w:val="auto"/>
          <w:kern w:val="0"/>
          <w:highlight w:val="none"/>
        </w:rPr>
        <w:t xml:space="preserve">代理人无转委托权,特此委托。 </w:t>
      </w:r>
    </w:p>
    <w:p w14:paraId="0F09A0CD">
      <w:pPr>
        <w:keepNext w:val="0"/>
        <w:keepLines w:val="0"/>
        <w:pageBreakBefore w:val="0"/>
        <w:widowControl w:val="0"/>
        <w:kinsoku/>
        <w:wordWrap/>
        <w:overflowPunct/>
        <w:topLinePunct w:val="0"/>
        <w:autoSpaceDE/>
        <w:autoSpaceDN/>
        <w:bidi w:val="0"/>
        <w:adjustRightInd/>
        <w:spacing w:line="380" w:lineRule="exact"/>
        <w:ind w:firstLine="420" w:firstLineChars="200"/>
        <w:textAlignment w:val="auto"/>
        <w:outlineLvl w:val="9"/>
        <w:rPr>
          <w:rFonts w:hint="eastAsia" w:ascii="宋体" w:hAnsi="宋体" w:eastAsia="宋体" w:cs="宋体"/>
          <w:color w:val="auto"/>
          <w:kern w:val="0"/>
          <w:highlight w:val="none"/>
        </w:rPr>
      </w:pPr>
    </w:p>
    <w:p w14:paraId="7260876A">
      <w:pPr>
        <w:keepNext w:val="0"/>
        <w:keepLines w:val="0"/>
        <w:pageBreakBefore w:val="0"/>
        <w:widowControl w:val="0"/>
        <w:kinsoku/>
        <w:wordWrap/>
        <w:overflowPunct/>
        <w:topLinePunct w:val="0"/>
        <w:autoSpaceDE/>
        <w:autoSpaceDN/>
        <w:bidi w:val="0"/>
        <w:adjustRightInd/>
        <w:spacing w:line="380" w:lineRule="exac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我已在下面签字，以资证明。</w:t>
      </w:r>
    </w:p>
    <w:p w14:paraId="7037CC6F">
      <w:pPr>
        <w:keepNext w:val="0"/>
        <w:keepLines w:val="0"/>
        <w:pageBreakBefore w:val="0"/>
        <w:widowControl w:val="0"/>
        <w:kinsoku/>
        <w:wordWrap/>
        <w:overflowPunct/>
        <w:topLinePunct w:val="0"/>
        <w:autoSpaceDE/>
        <w:autoSpaceDN/>
        <w:bidi w:val="0"/>
        <w:adjustRightInd/>
        <w:spacing w:line="380" w:lineRule="exact"/>
        <w:ind w:firstLine="420" w:firstLineChars="200"/>
        <w:textAlignment w:val="auto"/>
        <w:outlineLvl w:val="9"/>
        <w:rPr>
          <w:rFonts w:hint="eastAsia" w:ascii="宋体" w:hAnsi="宋体" w:eastAsia="宋体" w:cs="宋体"/>
          <w:color w:val="auto"/>
          <w:szCs w:val="21"/>
          <w:highlight w:val="none"/>
        </w:rPr>
      </w:pPr>
    </w:p>
    <w:p w14:paraId="15CC21B3">
      <w:pPr>
        <w:keepNext w:val="0"/>
        <w:keepLines w:val="0"/>
        <w:pageBreakBefore w:val="0"/>
        <w:widowControl w:val="0"/>
        <w:kinsoku/>
        <w:wordWrap/>
        <w:overflowPunct/>
        <w:topLinePunct w:val="0"/>
        <w:autoSpaceDE/>
        <w:autoSpaceDN/>
        <w:bidi w:val="0"/>
        <w:adjustRightInd/>
        <w:snapToGrid w:val="0"/>
        <w:spacing w:line="380" w:lineRule="exact"/>
        <w:ind w:left="0" w:leftChars="0" w:firstLine="1880" w:firstLineChars="0"/>
        <w:textAlignment w:val="auto"/>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lang w:eastAsia="zh-CN"/>
        </w:rPr>
        <w:t>磋商供应商</w:t>
      </w:r>
      <w:r>
        <w:rPr>
          <w:rFonts w:hint="eastAsia" w:ascii="宋体" w:hAnsi="宋体" w:eastAsia="宋体" w:cs="宋体"/>
          <w:color w:val="auto"/>
          <w:szCs w:val="21"/>
          <w:highlight w:val="none"/>
          <w:lang w:val="en-US" w:eastAsia="zh-CN"/>
        </w:rPr>
        <w:t>[公章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5D535106">
      <w:pPr>
        <w:keepNext w:val="0"/>
        <w:keepLines w:val="0"/>
        <w:pageBreakBefore w:val="0"/>
        <w:widowControl w:val="0"/>
        <w:kinsoku/>
        <w:wordWrap/>
        <w:overflowPunct/>
        <w:topLinePunct w:val="0"/>
        <w:autoSpaceDE/>
        <w:autoSpaceDN/>
        <w:bidi w:val="0"/>
        <w:adjustRightInd/>
        <w:snapToGrid w:val="0"/>
        <w:spacing w:line="380" w:lineRule="exact"/>
        <w:ind w:left="0" w:leftChars="0" w:firstLine="1880" w:firstLineChars="0"/>
        <w:textAlignment w:val="auto"/>
        <w:outlineLvl w:val="9"/>
        <w:rPr>
          <w:rFonts w:hint="eastAsia" w:ascii="宋体" w:hAnsi="宋体" w:eastAsia="宋体" w:cs="宋体"/>
          <w:color w:val="auto"/>
          <w:szCs w:val="21"/>
          <w:highlight w:val="none"/>
        </w:rPr>
      </w:pPr>
    </w:p>
    <w:p w14:paraId="6F272543">
      <w:pPr>
        <w:keepNext w:val="0"/>
        <w:keepLines w:val="0"/>
        <w:pageBreakBefore w:val="0"/>
        <w:widowControl w:val="0"/>
        <w:kinsoku/>
        <w:wordWrap/>
        <w:overflowPunct/>
        <w:topLinePunct w:val="0"/>
        <w:autoSpaceDE/>
        <w:autoSpaceDN/>
        <w:bidi w:val="0"/>
        <w:adjustRightInd/>
        <w:snapToGrid w:val="0"/>
        <w:spacing w:line="380" w:lineRule="exact"/>
        <w:ind w:left="0" w:leftChars="0" w:firstLine="1880" w:firstLineChars="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法定代表人（负责人）签字（或</w:t>
      </w:r>
      <w:r>
        <w:rPr>
          <w:rFonts w:hint="eastAsia" w:ascii="宋体" w:hAnsi="宋体" w:eastAsia="宋体" w:cs="宋体"/>
          <w:color w:val="auto"/>
          <w:szCs w:val="21"/>
          <w:highlight w:val="none"/>
          <w:lang w:eastAsia="zh-CN"/>
        </w:rPr>
        <w:t>个人</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1BF86103">
      <w:pPr>
        <w:keepNext w:val="0"/>
        <w:keepLines w:val="0"/>
        <w:pageBreakBefore w:val="0"/>
        <w:widowControl w:val="0"/>
        <w:kinsoku/>
        <w:wordWrap/>
        <w:overflowPunct/>
        <w:topLinePunct w:val="0"/>
        <w:autoSpaceDE/>
        <w:autoSpaceDN/>
        <w:bidi w:val="0"/>
        <w:adjustRightInd/>
        <w:snapToGrid w:val="0"/>
        <w:spacing w:line="380" w:lineRule="exact"/>
        <w:ind w:firstLine="1890" w:firstLineChars="900"/>
        <w:textAlignment w:val="auto"/>
        <w:outlineLvl w:val="9"/>
        <w:rPr>
          <w:rFonts w:hint="eastAsia" w:ascii="宋体" w:hAnsi="宋体" w:eastAsia="宋体" w:cs="宋体"/>
          <w:color w:val="auto"/>
          <w:szCs w:val="21"/>
          <w:highlight w:val="none"/>
        </w:rPr>
      </w:pPr>
    </w:p>
    <w:p w14:paraId="4C4D91AE">
      <w:pPr>
        <w:keepNext w:val="0"/>
        <w:keepLines w:val="0"/>
        <w:pageBreakBefore w:val="0"/>
        <w:widowControl w:val="0"/>
        <w:kinsoku/>
        <w:wordWrap/>
        <w:overflowPunct/>
        <w:topLinePunct w:val="0"/>
        <w:autoSpaceDE/>
        <w:autoSpaceDN/>
        <w:bidi w:val="0"/>
        <w:adjustRightInd/>
        <w:snapToGrid w:val="0"/>
        <w:spacing w:line="380" w:lineRule="exact"/>
        <w:ind w:firstLine="4200" w:firstLineChars="20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highlight w:val="none"/>
        </w:rPr>
        <w:t>日          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4AD825A1">
      <w:pPr>
        <w:pStyle w:val="12"/>
        <w:keepNext w:val="0"/>
        <w:keepLines w:val="0"/>
        <w:pageBreakBefore w:val="0"/>
        <w:widowControl w:val="0"/>
        <w:wordWrap/>
        <w:topLinePunct w:val="0"/>
        <w:bidi w:val="0"/>
        <w:jc w:val="both"/>
        <w:outlineLvl w:val="9"/>
        <w:rPr>
          <w:rFonts w:hint="eastAsia" w:ascii="宋体" w:hAnsi="宋体" w:eastAsia="宋体" w:cs="宋体"/>
          <w:b/>
          <w:color w:val="auto"/>
          <w:szCs w:val="21"/>
          <w:highlight w:val="none"/>
        </w:rPr>
      </w:pPr>
      <w:bookmarkStart w:id="1963" w:name="_Toc21370_WPSOffice_Level1"/>
      <w:bookmarkStart w:id="1964" w:name="_Toc6975_WPSOffice_Level1"/>
      <w:r>
        <w:rPr>
          <w:rFonts w:hint="eastAsia" w:ascii="宋体" w:hAnsi="宋体" w:eastAsia="宋体" w:cs="宋体"/>
          <w:b/>
          <w:color w:val="auto"/>
          <w:szCs w:val="21"/>
          <w:highlight w:val="none"/>
        </w:rPr>
        <w:t>附：委托代理人身份证正反面复印件</w:t>
      </w:r>
    </w:p>
    <w:p w14:paraId="185C02A6">
      <w:pPr>
        <w:pStyle w:val="7"/>
        <w:rPr>
          <w:rFonts w:hint="eastAsia"/>
          <w:color w:val="auto"/>
        </w:rPr>
      </w:pPr>
    </w:p>
    <w:p w14:paraId="033C6AFD">
      <w:pPr>
        <w:jc w:val="center"/>
        <w:rPr>
          <w:rFonts w:hint="eastAsia" w:ascii="宋体" w:hAnsi="宋体" w:eastAsia="宋体" w:cs="宋体"/>
          <w:b/>
          <w:color w:val="auto"/>
          <w:sz w:val="32"/>
          <w:highlight w:val="none"/>
        </w:rPr>
      </w:pPr>
      <w:r>
        <w:rPr>
          <w:rFonts w:hint="eastAsia" w:ascii="宋体" w:hAnsi="宋体" w:eastAsia="宋体" w:cs="宋体"/>
          <w:b/>
          <w:color w:val="auto"/>
          <w:szCs w:val="21"/>
          <w:highlight w:val="none"/>
        </w:rPr>
        <w:br w:type="page"/>
      </w:r>
      <w:r>
        <w:rPr>
          <w:rFonts w:hint="eastAsia" w:ascii="宋体" w:hAnsi="宋体" w:eastAsia="宋体" w:cs="宋体"/>
          <w:b/>
          <w:color w:val="auto"/>
          <w:sz w:val="32"/>
          <w:highlight w:val="none"/>
        </w:rPr>
        <w:t>授权委托书（格式二）</w:t>
      </w:r>
      <w:bookmarkEnd w:id="1963"/>
      <w:bookmarkEnd w:id="1964"/>
    </w:p>
    <w:p w14:paraId="73DB8F3A">
      <w:pPr>
        <w:pStyle w:val="12"/>
        <w:keepNext w:val="0"/>
        <w:keepLines w:val="0"/>
        <w:pageBreakBefore w:val="0"/>
        <w:widowControl w:val="0"/>
        <w:wordWrap/>
        <w:topLinePunct w:val="0"/>
        <w:bidi w:val="0"/>
        <w:jc w:val="both"/>
        <w:outlineLvl w:val="9"/>
        <w:rPr>
          <w:rFonts w:hint="eastAsia" w:ascii="宋体" w:hAnsi="宋体" w:eastAsia="宋体" w:cs="宋体"/>
          <w:b/>
          <w:color w:val="auto"/>
          <w:sz w:val="32"/>
          <w:highlight w:val="none"/>
        </w:rPr>
      </w:pPr>
    </w:p>
    <w:p w14:paraId="77A033F4">
      <w:pPr>
        <w:pStyle w:val="12"/>
        <w:keepNext w:val="0"/>
        <w:keepLines w:val="0"/>
        <w:pageBreakBefore w:val="0"/>
        <w:widowControl w:val="0"/>
        <w:wordWrap/>
        <w:topLinePunct w:val="0"/>
        <w:bidi w:val="0"/>
        <w:jc w:val="both"/>
        <w:outlineLvl w:val="9"/>
        <w:rPr>
          <w:rFonts w:hint="eastAsia" w:ascii="宋体" w:hAnsi="宋体" w:eastAsia="宋体" w:cs="宋体"/>
          <w:color w:val="auto"/>
          <w:szCs w:val="21"/>
          <w:highlight w:val="none"/>
          <w:u w:val="single"/>
        </w:rPr>
      </w:pPr>
      <w:r>
        <w:rPr>
          <w:rFonts w:hint="eastAsia" w:ascii="宋体" w:hAnsi="宋体" w:eastAsia="宋体" w:cs="宋体"/>
          <w:b/>
          <w:color w:val="auto"/>
          <w:szCs w:val="21"/>
          <w:highlight w:val="none"/>
        </w:rPr>
        <w:t>致</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hAnsi="宋体" w:cs="宋体"/>
          <w:color w:val="auto"/>
          <w:szCs w:val="21"/>
          <w:highlight w:val="none"/>
          <w:u w:val="single"/>
          <w:lang w:eastAsia="zh-CN"/>
        </w:rPr>
        <w:t xml:space="preserve">广西北部湾宏亚建设管理有限公司 </w:t>
      </w:r>
    </w:p>
    <w:p w14:paraId="5F4DA068">
      <w:pPr>
        <w:keepNext w:val="0"/>
        <w:keepLines w:val="0"/>
        <w:pageBreakBefore w:val="0"/>
        <w:widowControl w:val="0"/>
        <w:wordWrap/>
        <w:topLinePunct w:val="0"/>
        <w:bidi w:val="0"/>
        <w:outlineLvl w:val="9"/>
        <w:rPr>
          <w:rFonts w:hint="eastAsia" w:ascii="宋体" w:hAnsi="宋体" w:eastAsia="宋体" w:cs="宋体"/>
          <w:color w:val="auto"/>
          <w:highlight w:val="none"/>
        </w:rPr>
      </w:pPr>
    </w:p>
    <w:p w14:paraId="46BBC1C0">
      <w:pPr>
        <w:pStyle w:val="12"/>
        <w:keepNext w:val="0"/>
        <w:keepLines w:val="0"/>
        <w:pageBreakBefore w:val="0"/>
        <w:widowControl w:val="0"/>
        <w:wordWrap/>
        <w:topLinePunct w:val="0"/>
        <w:bidi w:val="0"/>
        <w:spacing w:line="340" w:lineRule="exact"/>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kern w:val="0"/>
          <w:highlight w:val="none"/>
        </w:rPr>
        <w:t>我</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（姓名）系自然人，现授权委托</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（姓 名）以本人名义参加</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highlight w:val="none"/>
          <w:u w:val="single"/>
        </w:rPr>
        <w:t xml:space="preserve">（项目名称及项目编号）        </w:t>
      </w:r>
      <w:r>
        <w:rPr>
          <w:rFonts w:hint="eastAsia" w:ascii="宋体" w:hAnsi="宋体" w:eastAsia="宋体" w:cs="宋体"/>
          <w:color w:val="auto"/>
          <w:highlight w:val="none"/>
        </w:rPr>
        <w:t>项目的磋商活动，并代表本人全权办理针对上述项目的磋商、签约等具体事务和签署相关文件。</w:t>
      </w:r>
    </w:p>
    <w:p w14:paraId="6CDFC4F1">
      <w:pPr>
        <w:pStyle w:val="12"/>
        <w:keepNext w:val="0"/>
        <w:keepLines w:val="0"/>
        <w:pageBreakBefore w:val="0"/>
        <w:widowControl w:val="0"/>
        <w:wordWrap/>
        <w:topLinePunct w:val="0"/>
        <w:bidi w:val="0"/>
        <w:spacing w:line="340" w:lineRule="exact"/>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rPr>
        <w:t>本人对被授权人的签字事项负全部责任。</w:t>
      </w:r>
    </w:p>
    <w:p w14:paraId="144A56A9">
      <w:pPr>
        <w:pStyle w:val="12"/>
        <w:keepNext w:val="0"/>
        <w:keepLines w:val="0"/>
        <w:pageBreakBefore w:val="0"/>
        <w:widowControl w:val="0"/>
        <w:wordWrap/>
        <w:topLinePunct w:val="0"/>
        <w:bidi w:val="0"/>
        <w:spacing w:line="340" w:lineRule="exact"/>
        <w:ind w:firstLine="420" w:firstLineChars="200"/>
        <w:outlineLvl w:val="9"/>
        <w:rPr>
          <w:rFonts w:hint="eastAsia" w:ascii="宋体" w:hAnsi="宋体" w:eastAsia="宋体" w:cs="宋体"/>
          <w:color w:val="auto"/>
          <w:highlight w:val="none"/>
          <w:u w:val="single"/>
        </w:rPr>
      </w:pPr>
      <w:r>
        <w:rPr>
          <w:rFonts w:hint="eastAsia" w:ascii="宋体" w:hAnsi="宋体" w:eastAsia="宋体" w:cs="宋体"/>
          <w:color w:val="auto"/>
          <w:highlight w:val="none"/>
        </w:rPr>
        <w:t>授权委托代理期限：从</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月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日起至</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月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日止。</w:t>
      </w:r>
    </w:p>
    <w:p w14:paraId="58692AEB">
      <w:pPr>
        <w:pStyle w:val="12"/>
        <w:keepNext w:val="0"/>
        <w:keepLines w:val="0"/>
        <w:pageBreakBefore w:val="0"/>
        <w:widowControl w:val="0"/>
        <w:wordWrap/>
        <w:topLinePunct w:val="0"/>
        <w:bidi w:val="0"/>
        <w:spacing w:line="340" w:lineRule="exact"/>
        <w:outlineLvl w:val="9"/>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w:t>
      </w:r>
    </w:p>
    <w:p w14:paraId="0C671DC1">
      <w:pPr>
        <w:keepNext w:val="0"/>
        <w:keepLines w:val="0"/>
        <w:pageBreakBefore w:val="0"/>
        <w:widowControl w:val="0"/>
        <w:wordWrap/>
        <w:topLinePunct w:val="0"/>
        <w:bidi w:val="0"/>
        <w:spacing w:line="340" w:lineRule="exact"/>
        <w:ind w:firstLine="420" w:firstLineChars="200"/>
        <w:outlineLvl w:val="9"/>
        <w:rPr>
          <w:rFonts w:hint="eastAsia" w:ascii="宋体" w:hAnsi="宋体" w:eastAsia="宋体" w:cs="宋体"/>
          <w:color w:val="auto"/>
          <w:kern w:val="0"/>
          <w:highlight w:val="none"/>
        </w:rPr>
      </w:pPr>
      <w:r>
        <w:rPr>
          <w:rFonts w:hint="eastAsia" w:ascii="宋体" w:hAnsi="宋体" w:eastAsia="宋体" w:cs="宋体"/>
          <w:color w:val="auto"/>
          <w:kern w:val="0"/>
          <w:highlight w:val="none"/>
        </w:rPr>
        <w:t xml:space="preserve">代理人无转委托权,特此委托。 </w:t>
      </w:r>
    </w:p>
    <w:p w14:paraId="21F1FF4B">
      <w:pPr>
        <w:keepNext w:val="0"/>
        <w:keepLines w:val="0"/>
        <w:pageBreakBefore w:val="0"/>
        <w:widowControl w:val="0"/>
        <w:wordWrap/>
        <w:topLinePunct w:val="0"/>
        <w:bidi w:val="0"/>
        <w:spacing w:line="340" w:lineRule="exact"/>
        <w:ind w:firstLine="420" w:firstLineChars="200"/>
        <w:outlineLvl w:val="9"/>
        <w:rPr>
          <w:rFonts w:hint="eastAsia" w:ascii="宋体" w:hAnsi="宋体" w:eastAsia="宋体" w:cs="宋体"/>
          <w:color w:val="auto"/>
          <w:kern w:val="0"/>
          <w:highlight w:val="none"/>
        </w:rPr>
      </w:pPr>
    </w:p>
    <w:p w14:paraId="3B82B9A4">
      <w:pPr>
        <w:keepNext w:val="0"/>
        <w:keepLines w:val="0"/>
        <w:pageBreakBefore w:val="0"/>
        <w:widowControl w:val="0"/>
        <w:wordWrap/>
        <w:topLinePunct w:val="0"/>
        <w:bidi w:val="0"/>
        <w:spacing w:line="340" w:lineRule="exact"/>
        <w:ind w:firstLine="420" w:firstLineChars="20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我已在下面签字，以资证明。</w:t>
      </w:r>
    </w:p>
    <w:p w14:paraId="40522366">
      <w:pPr>
        <w:keepNext w:val="0"/>
        <w:keepLines w:val="0"/>
        <w:pageBreakBefore w:val="0"/>
        <w:widowControl w:val="0"/>
        <w:wordWrap/>
        <w:topLinePunct w:val="0"/>
        <w:bidi w:val="0"/>
        <w:spacing w:line="340" w:lineRule="exact"/>
        <w:ind w:firstLine="420" w:firstLineChars="200"/>
        <w:outlineLvl w:val="9"/>
        <w:rPr>
          <w:rFonts w:hint="eastAsia" w:ascii="宋体" w:hAnsi="宋体" w:eastAsia="宋体" w:cs="宋体"/>
          <w:color w:val="auto"/>
          <w:szCs w:val="21"/>
          <w:highlight w:val="none"/>
        </w:rPr>
      </w:pPr>
    </w:p>
    <w:p w14:paraId="4E3B30DA">
      <w:pPr>
        <w:keepNext w:val="0"/>
        <w:keepLines w:val="0"/>
        <w:pageBreakBefore w:val="0"/>
        <w:widowControl w:val="0"/>
        <w:wordWrap/>
        <w:topLinePunct w:val="0"/>
        <w:bidi w:val="0"/>
        <w:snapToGrid w:val="0"/>
        <w:spacing w:line="340" w:lineRule="exact"/>
        <w:ind w:left="0" w:leftChars="0" w:firstLine="1879" w:firstLineChars="895"/>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自然人签字并在签名处加盖大拇指指印</w:t>
      </w:r>
      <w:r>
        <w:rPr>
          <w:rFonts w:hint="eastAsia" w:ascii="宋体" w:hAnsi="宋体" w:eastAsia="宋体" w:cs="宋体"/>
          <w:color w:val="auto"/>
          <w:szCs w:val="21"/>
          <w:highlight w:val="none"/>
          <w:lang w:eastAsia="zh-CN"/>
        </w:rPr>
        <w:t>或个人</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18153003">
      <w:pPr>
        <w:keepNext w:val="0"/>
        <w:keepLines w:val="0"/>
        <w:pageBreakBefore w:val="0"/>
        <w:widowControl w:val="0"/>
        <w:wordWrap/>
        <w:topLinePunct w:val="0"/>
        <w:bidi w:val="0"/>
        <w:snapToGrid w:val="0"/>
        <w:spacing w:line="340" w:lineRule="exact"/>
        <w:ind w:left="0" w:leftChars="0" w:firstLine="1879" w:firstLineChars="895"/>
        <w:outlineLvl w:val="9"/>
        <w:rPr>
          <w:rFonts w:hint="eastAsia" w:ascii="宋体" w:hAnsi="宋体" w:eastAsia="宋体" w:cs="宋体"/>
          <w:color w:val="auto"/>
          <w:szCs w:val="21"/>
          <w:highlight w:val="none"/>
        </w:rPr>
      </w:pPr>
    </w:p>
    <w:p w14:paraId="0E346F93">
      <w:pPr>
        <w:keepNext w:val="0"/>
        <w:keepLines w:val="0"/>
        <w:pageBreakBefore w:val="0"/>
        <w:widowControl w:val="0"/>
        <w:wordWrap/>
        <w:topLinePunct w:val="0"/>
        <w:bidi w:val="0"/>
        <w:snapToGrid w:val="0"/>
        <w:spacing w:line="340" w:lineRule="exact"/>
        <w:ind w:left="0" w:leftChars="0" w:firstLine="5025" w:firstLineChars="2393"/>
        <w:outlineLvl w:val="9"/>
        <w:rPr>
          <w:rFonts w:hint="eastAsia" w:ascii="宋体" w:hAnsi="宋体" w:eastAsia="宋体" w:cs="宋体"/>
          <w:color w:val="auto"/>
          <w:szCs w:val="21"/>
          <w:highlight w:val="none"/>
        </w:rPr>
      </w:pPr>
      <w:r>
        <w:rPr>
          <w:rFonts w:hint="eastAsia" w:ascii="宋体" w:hAnsi="宋体" w:eastAsia="宋体" w:cs="宋体"/>
          <w:color w:val="auto"/>
          <w:highlight w:val="none"/>
        </w:rPr>
        <w:t>日          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2CCC6119">
      <w:pPr>
        <w:pStyle w:val="12"/>
        <w:keepNext w:val="0"/>
        <w:keepLines w:val="0"/>
        <w:pageBreakBefore w:val="0"/>
        <w:widowControl w:val="0"/>
        <w:wordWrap/>
        <w:topLinePunct w:val="0"/>
        <w:bidi w:val="0"/>
        <w:spacing w:line="400" w:lineRule="exact"/>
        <w:ind w:left="420" w:leftChars="200"/>
        <w:outlineLvl w:val="9"/>
        <w:rPr>
          <w:rFonts w:hint="eastAsia" w:ascii="宋体" w:hAnsi="宋体" w:eastAsia="宋体" w:cs="宋体"/>
          <w:color w:val="auto"/>
          <w:szCs w:val="21"/>
          <w:highlight w:val="none"/>
        </w:rPr>
      </w:pPr>
    </w:p>
    <w:p w14:paraId="057556CF">
      <w:pPr>
        <w:pStyle w:val="12"/>
        <w:keepNext w:val="0"/>
        <w:keepLines w:val="0"/>
        <w:pageBreakBefore w:val="0"/>
        <w:widowControl w:val="0"/>
        <w:wordWrap/>
        <w:topLinePunct w:val="0"/>
        <w:bidi w:val="0"/>
        <w:spacing w:line="400" w:lineRule="exact"/>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附：委托代理人身份证正反面复印件</w:t>
      </w:r>
    </w:p>
    <w:p w14:paraId="5038650D">
      <w:pPr>
        <w:keepNext w:val="0"/>
        <w:keepLines w:val="0"/>
        <w:pageBreakBefore w:val="0"/>
        <w:widowControl w:val="0"/>
        <w:wordWrap/>
        <w:topLinePunct w:val="0"/>
        <w:bidi w:val="0"/>
        <w:outlineLvl w:val="9"/>
        <w:rPr>
          <w:rFonts w:hint="eastAsia" w:ascii="宋体" w:hAnsi="宋体" w:eastAsia="宋体" w:cs="宋体"/>
          <w:b/>
          <w:color w:val="auto"/>
          <w:szCs w:val="21"/>
          <w:highlight w:val="none"/>
        </w:rPr>
      </w:pPr>
    </w:p>
    <w:p w14:paraId="740901A2">
      <w:pPr>
        <w:pStyle w:val="9"/>
        <w:keepNext w:val="0"/>
        <w:keepLines w:val="0"/>
        <w:pageBreakBefore w:val="0"/>
        <w:widowControl w:val="0"/>
        <w:wordWrap/>
        <w:topLinePunct w:val="0"/>
        <w:bidi w:val="0"/>
        <w:outlineLvl w:val="9"/>
        <w:rPr>
          <w:rFonts w:hint="eastAsia" w:ascii="宋体" w:hAnsi="宋体" w:eastAsia="宋体" w:cs="宋体"/>
          <w:b/>
          <w:color w:val="auto"/>
          <w:szCs w:val="21"/>
          <w:highlight w:val="none"/>
        </w:rPr>
      </w:pPr>
    </w:p>
    <w:p w14:paraId="57EF6046">
      <w:pPr>
        <w:keepNext w:val="0"/>
        <w:keepLines w:val="0"/>
        <w:pageBreakBefore w:val="0"/>
        <w:widowControl w:val="0"/>
        <w:numPr>
          <w:ilvl w:val="0"/>
          <w:numId w:val="0"/>
        </w:numPr>
        <w:wordWrap/>
        <w:topLinePunct w:val="0"/>
        <w:bidi w:val="0"/>
        <w:spacing w:line="440" w:lineRule="atLeast"/>
        <w:outlineLvl w:val="2"/>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3</w:t>
      </w:r>
      <w:r>
        <w:rPr>
          <w:rFonts w:hint="eastAsia" w:ascii="宋体" w:hAnsi="宋体" w:eastAsia="宋体" w:cs="宋体"/>
          <w:b/>
          <w:color w:val="auto"/>
          <w:sz w:val="28"/>
          <w:szCs w:val="28"/>
          <w:highlight w:val="none"/>
        </w:rPr>
        <w:t>.</w:t>
      </w:r>
      <w:r>
        <w:rPr>
          <w:rFonts w:hint="eastAsia" w:ascii="宋体" w:hAnsi="宋体" w:eastAsia="宋体" w:cs="宋体"/>
          <w:b/>
          <w:color w:val="auto"/>
          <w:kern w:val="2"/>
          <w:sz w:val="28"/>
          <w:szCs w:val="28"/>
          <w:highlight w:val="none"/>
          <w:lang w:val="en-US" w:eastAsia="zh-CN" w:bidi="ar-SA"/>
        </w:rPr>
        <w:t>供应商</w:t>
      </w:r>
      <w:r>
        <w:rPr>
          <w:rFonts w:hint="eastAsia" w:ascii="宋体" w:hAnsi="宋体" w:eastAsia="宋体" w:cs="宋体"/>
          <w:b/>
          <w:color w:val="auto"/>
          <w:sz w:val="28"/>
          <w:szCs w:val="28"/>
          <w:highlight w:val="none"/>
        </w:rPr>
        <w:t>参加政府采购活动前3年内在经营活动中没有重大违法记录及有关信用信息的书面声明（必须提供）；</w:t>
      </w:r>
    </w:p>
    <w:p w14:paraId="776F6502">
      <w:pPr>
        <w:pStyle w:val="12"/>
        <w:keepNext w:val="0"/>
        <w:keepLines w:val="0"/>
        <w:pageBreakBefore w:val="0"/>
        <w:widowControl w:val="0"/>
        <w:wordWrap/>
        <w:topLinePunct w:val="0"/>
        <w:bidi w:val="0"/>
        <w:spacing w:line="400" w:lineRule="exact"/>
        <w:ind w:left="420" w:leftChars="200" w:firstLine="157" w:firstLineChars="49"/>
        <w:outlineLvl w:val="9"/>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 xml:space="preserve"> 附件：</w:t>
      </w:r>
    </w:p>
    <w:p w14:paraId="352B8683">
      <w:pPr>
        <w:pStyle w:val="12"/>
        <w:keepNext w:val="0"/>
        <w:keepLines w:val="0"/>
        <w:pageBreakBefore w:val="0"/>
        <w:widowControl w:val="0"/>
        <w:wordWrap/>
        <w:topLinePunct w:val="0"/>
        <w:bidi w:val="0"/>
        <w:spacing w:line="400" w:lineRule="exact"/>
        <w:jc w:val="center"/>
        <w:outlineLvl w:val="9"/>
        <w:rPr>
          <w:rFonts w:hint="eastAsia" w:ascii="宋体" w:hAnsi="宋体" w:eastAsia="宋体" w:cs="宋体"/>
          <w:b/>
          <w:color w:val="auto"/>
          <w:sz w:val="32"/>
          <w:szCs w:val="32"/>
          <w:highlight w:val="none"/>
        </w:rPr>
      </w:pPr>
      <w:bookmarkStart w:id="1965" w:name="_Toc30890_WPSOffice_Level1"/>
      <w:bookmarkStart w:id="1966" w:name="_Toc30304_WPSOffice_Level1"/>
      <w:r>
        <w:rPr>
          <w:rFonts w:hint="eastAsia" w:ascii="宋体" w:hAnsi="宋体" w:eastAsia="宋体" w:cs="宋体"/>
          <w:b/>
          <w:color w:val="auto"/>
          <w:sz w:val="32"/>
          <w:szCs w:val="32"/>
          <w:highlight w:val="none"/>
        </w:rPr>
        <w:t>声   明</w:t>
      </w:r>
      <w:bookmarkEnd w:id="1965"/>
      <w:bookmarkEnd w:id="1966"/>
    </w:p>
    <w:p w14:paraId="3408EAEA">
      <w:pPr>
        <w:pStyle w:val="12"/>
        <w:keepNext w:val="0"/>
        <w:keepLines w:val="0"/>
        <w:pageBreakBefore w:val="0"/>
        <w:widowControl w:val="0"/>
        <w:wordWrap/>
        <w:topLinePunct w:val="0"/>
        <w:bidi w:val="0"/>
        <w:spacing w:line="400" w:lineRule="exact"/>
        <w:jc w:val="both"/>
        <w:outlineLvl w:val="9"/>
        <w:rPr>
          <w:rFonts w:hint="eastAsia" w:ascii="宋体" w:hAnsi="宋体" w:eastAsia="宋体" w:cs="宋体"/>
          <w:b/>
          <w:color w:val="auto"/>
          <w:sz w:val="32"/>
          <w:szCs w:val="32"/>
          <w:highlight w:val="none"/>
        </w:rPr>
      </w:pPr>
    </w:p>
    <w:p w14:paraId="66655BC3">
      <w:pPr>
        <w:pStyle w:val="12"/>
        <w:keepNext w:val="0"/>
        <w:keepLines w:val="0"/>
        <w:pageBreakBefore w:val="0"/>
        <w:widowControl w:val="0"/>
        <w:wordWrap/>
        <w:topLinePunct w:val="0"/>
        <w:bidi w:val="0"/>
        <w:spacing w:line="400" w:lineRule="exact"/>
        <w:jc w:val="both"/>
        <w:outlineLvl w:val="9"/>
        <w:rPr>
          <w:rFonts w:hint="eastAsia" w:ascii="宋体" w:hAnsi="宋体" w:eastAsia="宋体" w:cs="宋体"/>
          <w:color w:val="auto"/>
          <w:szCs w:val="21"/>
          <w:highlight w:val="none"/>
          <w:u w:val="single"/>
        </w:rPr>
      </w:pPr>
      <w:r>
        <w:rPr>
          <w:rFonts w:hint="eastAsia" w:ascii="宋体" w:hAnsi="宋体" w:eastAsia="宋体" w:cs="宋体"/>
          <w:b/>
          <w:color w:val="auto"/>
          <w:szCs w:val="21"/>
          <w:highlight w:val="none"/>
        </w:rPr>
        <w:t>致</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hAnsi="宋体" w:cs="宋体"/>
          <w:color w:val="auto"/>
          <w:szCs w:val="21"/>
          <w:highlight w:val="none"/>
          <w:u w:val="single"/>
          <w:lang w:eastAsia="zh-CN"/>
        </w:rPr>
        <w:t xml:space="preserve">广西北部湾宏亚建设管理有限公司 </w:t>
      </w:r>
    </w:p>
    <w:p w14:paraId="08691958">
      <w:pPr>
        <w:keepNext w:val="0"/>
        <w:keepLines w:val="0"/>
        <w:pageBreakBefore w:val="0"/>
        <w:widowControl w:val="0"/>
        <w:wordWrap/>
        <w:topLinePunct w:val="0"/>
        <w:bidi w:val="0"/>
        <w:outlineLvl w:val="9"/>
        <w:rPr>
          <w:rFonts w:hint="eastAsia" w:ascii="宋体" w:hAnsi="宋体" w:eastAsia="宋体" w:cs="宋体"/>
          <w:color w:val="auto"/>
          <w:szCs w:val="21"/>
          <w:highlight w:val="none"/>
          <w:u w:val="single"/>
        </w:rPr>
      </w:pPr>
    </w:p>
    <w:p w14:paraId="6ED87007">
      <w:pPr>
        <w:pStyle w:val="12"/>
        <w:keepNext w:val="0"/>
        <w:keepLines w:val="0"/>
        <w:pageBreakBefore w:val="0"/>
        <w:widowControl w:val="0"/>
        <w:wordWrap/>
        <w:topLinePunct w:val="0"/>
        <w:bidi w:val="0"/>
        <w:spacing w:line="400" w:lineRule="exact"/>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rPr>
        <w:t>我（公司）郑重声明，在参加本项目政府采购活动前3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63C58220">
      <w:pPr>
        <w:keepNext w:val="0"/>
        <w:keepLines w:val="0"/>
        <w:pageBreakBefore w:val="0"/>
        <w:widowControl w:val="0"/>
        <w:wordWrap/>
        <w:topLinePunct w:val="0"/>
        <w:bidi w:val="0"/>
        <w:outlineLvl w:val="9"/>
        <w:rPr>
          <w:rFonts w:hint="eastAsia" w:ascii="宋体" w:hAnsi="宋体" w:eastAsia="宋体" w:cs="宋体"/>
          <w:color w:val="auto"/>
          <w:highlight w:val="none"/>
        </w:rPr>
      </w:pPr>
    </w:p>
    <w:p w14:paraId="1791B154">
      <w:pPr>
        <w:keepNext w:val="0"/>
        <w:keepLines w:val="0"/>
        <w:pageBreakBefore w:val="0"/>
        <w:widowControl w:val="0"/>
        <w:wordWrap/>
        <w:topLinePunct w:val="0"/>
        <w:bidi w:val="0"/>
        <w:snapToGrid w:val="0"/>
        <w:spacing w:line="400" w:lineRule="exact"/>
        <w:ind w:firstLine="1890" w:firstLineChars="900"/>
        <w:outlineLvl w:val="9"/>
        <w:rPr>
          <w:rFonts w:hint="eastAsia" w:ascii="宋体" w:hAnsi="宋体" w:eastAsia="宋体" w:cs="宋体"/>
          <w:color w:val="auto"/>
          <w:highlight w:val="none"/>
        </w:rPr>
      </w:pPr>
      <w:r>
        <w:rPr>
          <w:rFonts w:hint="eastAsia" w:ascii="宋体" w:hAnsi="宋体" w:eastAsia="宋体" w:cs="宋体"/>
          <w:color w:val="auto"/>
          <w:szCs w:val="21"/>
          <w:highlight w:val="none"/>
          <w:lang w:eastAsia="zh-CN"/>
        </w:rPr>
        <w:t>磋商供应商</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，自然人</w:t>
      </w:r>
      <w:r>
        <w:rPr>
          <w:rFonts w:hint="eastAsia" w:ascii="宋体" w:hAnsi="宋体" w:eastAsia="宋体" w:cs="宋体"/>
          <w:color w:val="auto"/>
          <w:szCs w:val="21"/>
          <w:highlight w:val="none"/>
          <w:lang w:eastAsia="zh-CN"/>
        </w:rPr>
        <w:t>签字或个人</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22601A1D">
      <w:pPr>
        <w:pStyle w:val="12"/>
        <w:keepNext w:val="0"/>
        <w:keepLines w:val="0"/>
        <w:pageBreakBefore w:val="0"/>
        <w:widowControl w:val="0"/>
        <w:wordWrap/>
        <w:topLinePunct w:val="0"/>
        <w:bidi w:val="0"/>
        <w:ind w:firstLine="3990" w:firstLineChars="1900"/>
        <w:outlineLvl w:val="9"/>
        <w:rPr>
          <w:rFonts w:hint="eastAsia" w:ascii="宋体" w:hAnsi="宋体" w:eastAsia="宋体" w:cs="宋体"/>
          <w:color w:val="auto"/>
          <w:highlight w:val="none"/>
        </w:rPr>
      </w:pPr>
    </w:p>
    <w:p w14:paraId="7EAC71D7">
      <w:pPr>
        <w:pStyle w:val="12"/>
        <w:keepNext w:val="0"/>
        <w:keepLines w:val="0"/>
        <w:pageBreakBefore w:val="0"/>
        <w:widowControl w:val="0"/>
        <w:wordWrap/>
        <w:topLinePunct w:val="0"/>
        <w:bidi w:val="0"/>
        <w:ind w:firstLine="3990" w:firstLineChars="1900"/>
        <w:outlineLvl w:val="9"/>
        <w:rPr>
          <w:rFonts w:hint="eastAsia" w:ascii="宋体" w:hAnsi="宋体" w:eastAsia="宋体" w:cs="宋体"/>
          <w:color w:val="auto"/>
          <w:highlight w:val="none"/>
          <w:u w:val="single"/>
        </w:rPr>
      </w:pPr>
      <w:r>
        <w:rPr>
          <w:rFonts w:hint="eastAsia" w:ascii="宋体" w:hAnsi="宋体" w:eastAsia="宋体" w:cs="宋体"/>
          <w:color w:val="auto"/>
          <w:highlight w:val="none"/>
        </w:rPr>
        <w:t>日          期：</w:t>
      </w:r>
      <w:r>
        <w:rPr>
          <w:rFonts w:hint="eastAsia" w:ascii="宋体" w:hAnsi="宋体" w:eastAsia="宋体" w:cs="宋体"/>
          <w:color w:val="auto"/>
          <w:highlight w:val="none"/>
          <w:u w:val="single"/>
        </w:rPr>
        <w:t xml:space="preserve">                            </w:t>
      </w:r>
    </w:p>
    <w:p w14:paraId="5D69BDBB">
      <w:pPr>
        <w:pStyle w:val="7"/>
        <w:rPr>
          <w:rFonts w:hint="eastAsia"/>
          <w:color w:val="auto"/>
        </w:rPr>
      </w:pPr>
    </w:p>
    <w:p w14:paraId="35C6F8F7">
      <w:pPr>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br w:type="page"/>
      </w:r>
    </w:p>
    <w:p w14:paraId="5A9AB4F6">
      <w:pPr>
        <w:keepNext w:val="0"/>
        <w:keepLines w:val="0"/>
        <w:pageBreakBefore w:val="0"/>
        <w:widowControl w:val="0"/>
        <w:numPr>
          <w:ilvl w:val="0"/>
          <w:numId w:val="0"/>
        </w:numPr>
        <w:wordWrap/>
        <w:topLinePunct w:val="0"/>
        <w:bidi w:val="0"/>
        <w:spacing w:line="440" w:lineRule="atLeast"/>
        <w:outlineLvl w:val="2"/>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4</w:t>
      </w:r>
      <w:r>
        <w:rPr>
          <w:rFonts w:hint="eastAsia" w:ascii="宋体" w:hAnsi="宋体" w:eastAsia="宋体" w:cs="宋体"/>
          <w:b/>
          <w:color w:val="auto"/>
          <w:sz w:val="28"/>
          <w:szCs w:val="28"/>
          <w:highlight w:val="none"/>
        </w:rPr>
        <w:t>.</w:t>
      </w:r>
      <w:r>
        <w:rPr>
          <w:rFonts w:hint="eastAsia" w:ascii="宋体" w:hAnsi="宋体" w:eastAsia="宋体" w:cs="宋体"/>
          <w:b/>
          <w:color w:val="auto"/>
          <w:sz w:val="28"/>
          <w:szCs w:val="28"/>
          <w:highlight w:val="none"/>
          <w:lang w:val="en-US" w:eastAsia="zh-CN"/>
        </w:rPr>
        <w:t>供应商</w:t>
      </w:r>
      <w:r>
        <w:rPr>
          <w:rFonts w:hint="eastAsia" w:ascii="宋体" w:hAnsi="宋体" w:eastAsia="宋体" w:cs="宋体"/>
          <w:b/>
          <w:color w:val="auto"/>
          <w:sz w:val="28"/>
          <w:szCs w:val="28"/>
          <w:highlight w:val="none"/>
        </w:rPr>
        <w:t>的法人或者其他组织营业执照等证明文件复印件（必须提供，自然人除外）；</w:t>
      </w:r>
    </w:p>
    <w:p w14:paraId="4ADA1F86">
      <w:pPr>
        <w:keepNext w:val="0"/>
        <w:keepLines w:val="0"/>
        <w:pageBreakBefore w:val="0"/>
        <w:widowControl w:val="0"/>
        <w:tabs>
          <w:tab w:val="left" w:pos="1305"/>
        </w:tabs>
        <w:wordWrap/>
        <w:topLinePunct w:val="0"/>
        <w:bidi w:val="0"/>
        <w:spacing w:line="340" w:lineRule="exact"/>
        <w:outlineLvl w:val="9"/>
        <w:rPr>
          <w:rFonts w:hint="eastAsia" w:ascii="宋体" w:hAnsi="宋体" w:eastAsia="宋体" w:cs="宋体"/>
          <w:b/>
          <w:color w:val="auto"/>
          <w:szCs w:val="21"/>
          <w:highlight w:val="none"/>
        </w:rPr>
      </w:pPr>
    </w:p>
    <w:p w14:paraId="04C77A74">
      <w:pPr>
        <w:keepNext w:val="0"/>
        <w:keepLines w:val="0"/>
        <w:pageBreakBefore w:val="0"/>
        <w:widowControl w:val="0"/>
        <w:tabs>
          <w:tab w:val="left" w:pos="1305"/>
        </w:tabs>
        <w:wordWrap/>
        <w:topLinePunct w:val="0"/>
        <w:bidi w:val="0"/>
        <w:spacing w:line="400" w:lineRule="exact"/>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①法人包括企业法人、机关法人、事业单位法人和社会团体法人；其他组织主要包括合伙企业、非企业专业服务机构、个体工商户、农村承包经营户。②如供应商为企业（包括合伙企业），应提供工商部门注册的有效“企业法人营业执照”或“营业执照</w:t>
      </w:r>
      <w:r>
        <w:rPr>
          <w:rFonts w:hint="eastAsia" w:ascii="宋体" w:hAnsi="宋体" w:eastAsia="宋体" w:cs="宋体"/>
          <w:b/>
          <w:color w:val="auto"/>
          <w:szCs w:val="21"/>
          <w:highlight w:val="none"/>
          <w:lang w:eastAsia="zh-CN"/>
        </w:rPr>
        <w:t>”</w:t>
      </w:r>
      <w:r>
        <w:rPr>
          <w:rFonts w:hint="eastAsia" w:ascii="宋体" w:hAnsi="宋体" w:eastAsia="宋体" w:cs="宋体"/>
          <w:b/>
          <w:color w:val="auto"/>
          <w:szCs w:val="21"/>
          <w:highlight w:val="none"/>
        </w:rPr>
        <w:t>；供应商为事业单位，应提供有效的“事业单位法人证书”；供应商为非企业专业服务机构的，应提供执业许可证等证明文件；供应商为个体工商户，应提供有效的“个体工商户营业执照”。</w:t>
      </w:r>
    </w:p>
    <w:p w14:paraId="48CEED0D">
      <w:pPr>
        <w:keepNext w:val="0"/>
        <w:keepLines w:val="0"/>
        <w:pageBreakBefore w:val="0"/>
        <w:widowControl w:val="0"/>
        <w:wordWrap/>
        <w:topLinePunct w:val="0"/>
        <w:bidi w:val="0"/>
        <w:outlineLvl w:val="9"/>
        <w:rPr>
          <w:rFonts w:hint="eastAsia" w:ascii="宋体" w:hAnsi="宋体" w:eastAsia="宋体" w:cs="宋体"/>
          <w:b/>
          <w:bCs/>
          <w:color w:val="auto"/>
          <w:sz w:val="28"/>
          <w:szCs w:val="28"/>
          <w:highlight w:val="none"/>
        </w:rPr>
      </w:pPr>
    </w:p>
    <w:p w14:paraId="39272095">
      <w:pPr>
        <w:keepNext w:val="0"/>
        <w:keepLines w:val="0"/>
        <w:pageBreakBefore w:val="0"/>
        <w:widowControl w:val="0"/>
        <w:numPr>
          <w:ilvl w:val="0"/>
          <w:numId w:val="0"/>
        </w:numPr>
        <w:wordWrap/>
        <w:topLinePunct w:val="0"/>
        <w:bidi w:val="0"/>
        <w:spacing w:line="440" w:lineRule="atLeast"/>
        <w:outlineLvl w:val="2"/>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5.供应商有效的资质证书复印件及供应商有效的安全生产许可证书复印件（必须提供）</w:t>
      </w:r>
      <w:r>
        <w:rPr>
          <w:rFonts w:hint="eastAsia" w:ascii="宋体" w:hAnsi="宋体" w:cs="宋体"/>
          <w:b/>
          <w:color w:val="auto"/>
          <w:sz w:val="28"/>
          <w:szCs w:val="28"/>
          <w:highlight w:val="none"/>
          <w:lang w:val="en-US" w:eastAsia="zh-CN"/>
        </w:rPr>
        <w:t>；</w:t>
      </w:r>
    </w:p>
    <w:p w14:paraId="7738632A">
      <w:pPr>
        <w:keepNext w:val="0"/>
        <w:keepLines w:val="0"/>
        <w:pageBreakBefore w:val="0"/>
        <w:widowControl w:val="0"/>
        <w:wordWrap/>
        <w:topLinePunct w:val="0"/>
        <w:bidi w:val="0"/>
        <w:outlineLvl w:val="9"/>
        <w:rPr>
          <w:rFonts w:hint="eastAsia"/>
          <w:color w:val="auto"/>
          <w:highlight w:val="none"/>
          <w:lang w:val="en-US" w:eastAsia="zh-CN"/>
        </w:rPr>
      </w:pPr>
    </w:p>
    <w:p w14:paraId="490ABD36">
      <w:pPr>
        <w:keepNext w:val="0"/>
        <w:keepLines w:val="0"/>
        <w:pageBreakBefore w:val="0"/>
        <w:widowControl w:val="0"/>
        <w:numPr>
          <w:ilvl w:val="0"/>
          <w:numId w:val="0"/>
        </w:numPr>
        <w:wordWrap/>
        <w:topLinePunct w:val="0"/>
        <w:bidi w:val="0"/>
        <w:spacing w:line="440" w:lineRule="atLeast"/>
        <w:outlineLvl w:val="2"/>
        <w:rPr>
          <w:rFonts w:hint="eastAsia" w:ascii="宋体" w:hAnsi="宋体" w:eastAsia="宋体" w:cs="宋体"/>
          <w:b/>
          <w:color w:val="auto"/>
          <w:sz w:val="28"/>
          <w:szCs w:val="28"/>
          <w:highlight w:val="none"/>
          <w:lang w:val="en-US" w:eastAsia="zh-CN"/>
        </w:rPr>
      </w:pPr>
      <w:r>
        <w:rPr>
          <w:rFonts w:hint="eastAsia" w:ascii="宋体" w:hAnsi="宋体" w:eastAsia="宋体" w:cs="宋体"/>
          <w:b/>
          <w:bCs/>
          <w:iCs/>
          <w:color w:val="auto"/>
          <w:kern w:val="2"/>
          <w:sz w:val="28"/>
          <w:szCs w:val="28"/>
          <w:highlight w:val="none"/>
          <w:lang w:val="en-US" w:eastAsia="zh-CN" w:bidi="ar-SA"/>
        </w:rPr>
        <w:t>6.</w:t>
      </w:r>
      <w:r>
        <w:rPr>
          <w:rFonts w:hint="eastAsia" w:ascii="宋体" w:hAnsi="宋体" w:cs="宋体"/>
          <w:b/>
          <w:color w:val="auto"/>
          <w:sz w:val="28"/>
          <w:szCs w:val="28"/>
          <w:highlight w:val="none"/>
          <w:lang w:val="en-US" w:eastAsia="zh-CN"/>
        </w:rPr>
        <w:t>拟派项目负责人的注册二级建造师证书复印件、安全生产考核B证证书复印件及项目经理无在建工程承诺书（格式自拟）</w:t>
      </w:r>
      <w:r>
        <w:rPr>
          <w:rFonts w:hint="eastAsia" w:ascii="宋体" w:hAnsi="宋体" w:eastAsia="宋体" w:cs="宋体"/>
          <w:b/>
          <w:color w:val="auto"/>
          <w:sz w:val="28"/>
          <w:szCs w:val="28"/>
          <w:highlight w:val="none"/>
          <w:lang w:val="en-US" w:eastAsia="zh-CN"/>
        </w:rPr>
        <w:t>（必须提供）；</w:t>
      </w:r>
    </w:p>
    <w:p w14:paraId="5934ECCA">
      <w:pPr>
        <w:keepNext w:val="0"/>
        <w:keepLines w:val="0"/>
        <w:pageBreakBefore w:val="0"/>
        <w:widowControl w:val="0"/>
        <w:numPr>
          <w:ilvl w:val="0"/>
          <w:numId w:val="0"/>
        </w:numPr>
        <w:wordWrap/>
        <w:topLinePunct w:val="0"/>
        <w:bidi w:val="0"/>
        <w:spacing w:line="440" w:lineRule="atLeast"/>
        <w:outlineLvl w:val="9"/>
        <w:rPr>
          <w:rFonts w:hint="eastAsia" w:ascii="宋体" w:hAnsi="宋体" w:eastAsia="宋体" w:cs="宋体"/>
          <w:b/>
          <w:color w:val="auto"/>
          <w:sz w:val="28"/>
          <w:szCs w:val="28"/>
          <w:highlight w:val="none"/>
          <w:lang w:val="en-US" w:eastAsia="zh-CN"/>
        </w:rPr>
      </w:pPr>
    </w:p>
    <w:p w14:paraId="3568C99A">
      <w:pPr>
        <w:pStyle w:val="9"/>
        <w:keepNext w:val="0"/>
        <w:keepLines w:val="0"/>
        <w:pageBreakBefore w:val="0"/>
        <w:widowControl w:val="0"/>
        <w:wordWrap/>
        <w:topLinePunct w:val="0"/>
        <w:bidi w:val="0"/>
        <w:rPr>
          <w:rFonts w:hint="eastAsia" w:hAnsi="宋体" w:eastAsia="宋体" w:cs="宋体"/>
          <w:b/>
          <w:color w:val="auto"/>
          <w:sz w:val="28"/>
          <w:szCs w:val="28"/>
          <w:highlight w:val="none"/>
          <w:lang w:val="en-US" w:eastAsia="zh-CN"/>
        </w:rPr>
      </w:pPr>
    </w:p>
    <w:p w14:paraId="72D2F9F3">
      <w:pPr>
        <w:keepNext w:val="0"/>
        <w:keepLines w:val="0"/>
        <w:pageBreakBefore w:val="0"/>
        <w:widowControl w:val="0"/>
        <w:numPr>
          <w:ilvl w:val="0"/>
          <w:numId w:val="0"/>
        </w:numPr>
        <w:wordWrap/>
        <w:topLinePunct w:val="0"/>
        <w:bidi w:val="0"/>
        <w:spacing w:line="440" w:lineRule="atLeast"/>
        <w:outlineLvl w:val="2"/>
        <w:rPr>
          <w:rFonts w:hint="eastAsia" w:ascii="宋体" w:hAnsi="宋体" w:eastAsia="宋体" w:cs="宋体"/>
          <w:b/>
          <w:color w:val="auto"/>
          <w:sz w:val="28"/>
          <w:szCs w:val="28"/>
          <w:highlight w:val="none"/>
          <w:lang w:val="en-US" w:eastAsia="zh-CN"/>
        </w:rPr>
      </w:pPr>
      <w:r>
        <w:rPr>
          <w:rFonts w:hint="eastAsia" w:hAnsi="宋体" w:cs="宋体"/>
          <w:b/>
          <w:color w:val="auto"/>
          <w:sz w:val="28"/>
          <w:szCs w:val="28"/>
          <w:highlight w:val="none"/>
          <w:lang w:val="en-US" w:eastAsia="zh-CN"/>
        </w:rPr>
        <w:t>7</w:t>
      </w:r>
      <w:r>
        <w:rPr>
          <w:rFonts w:hint="eastAsia" w:ascii="宋体" w:hAnsi="宋体" w:eastAsia="宋体" w:cs="宋体"/>
          <w:b/>
          <w:color w:val="auto"/>
          <w:sz w:val="28"/>
          <w:szCs w:val="28"/>
          <w:highlight w:val="none"/>
          <w:lang w:val="en-US" w:eastAsia="zh-CN"/>
        </w:rPr>
        <w:t>.</w:t>
      </w:r>
      <w:r>
        <w:rPr>
          <w:rFonts w:hint="eastAsia" w:ascii="宋体" w:hAnsi="宋体" w:cs="宋体"/>
          <w:b/>
          <w:color w:val="auto"/>
          <w:sz w:val="28"/>
          <w:szCs w:val="28"/>
          <w:highlight w:val="none"/>
          <w:lang w:val="en-US" w:eastAsia="zh-CN"/>
        </w:rPr>
        <w:t>供应商2025年度财务状况报告</w:t>
      </w:r>
      <w:r>
        <w:rPr>
          <w:rFonts w:hint="eastAsia" w:ascii="宋体" w:hAnsi="宋体" w:eastAsia="宋体" w:cs="宋体"/>
          <w:b/>
          <w:color w:val="auto"/>
          <w:sz w:val="28"/>
          <w:szCs w:val="28"/>
          <w:highlight w:val="none"/>
          <w:lang w:val="en-US" w:eastAsia="zh-CN"/>
        </w:rPr>
        <w:t>（必须提供，可以是磋商供应商自行编制也可是通过第三方审计公司编制，如为自行编制至少须提供现金流量表、负债表及利润表）；</w:t>
      </w:r>
    </w:p>
    <w:p w14:paraId="04E6D569">
      <w:pPr>
        <w:pStyle w:val="9"/>
        <w:keepNext w:val="0"/>
        <w:keepLines w:val="0"/>
        <w:pageBreakBefore w:val="0"/>
        <w:widowControl w:val="0"/>
        <w:wordWrap/>
        <w:topLinePunct w:val="0"/>
        <w:bidi w:val="0"/>
        <w:rPr>
          <w:rFonts w:hint="eastAsia" w:ascii="宋体" w:hAnsi="宋体" w:eastAsia="宋体" w:cs="宋体"/>
          <w:b/>
          <w:color w:val="auto"/>
          <w:sz w:val="28"/>
          <w:szCs w:val="28"/>
          <w:highlight w:val="none"/>
          <w:lang w:val="en-US" w:eastAsia="zh-CN"/>
        </w:rPr>
      </w:pPr>
    </w:p>
    <w:p w14:paraId="5AB83F6E">
      <w:pPr>
        <w:pStyle w:val="9"/>
        <w:keepNext w:val="0"/>
        <w:keepLines w:val="0"/>
        <w:pageBreakBefore w:val="0"/>
        <w:widowControl w:val="0"/>
        <w:wordWrap/>
        <w:topLinePunct w:val="0"/>
        <w:bidi w:val="0"/>
        <w:rPr>
          <w:rFonts w:hint="eastAsia"/>
          <w:color w:val="auto"/>
          <w:highlight w:val="none"/>
          <w:lang w:val="en-US" w:eastAsia="zh-CN"/>
        </w:rPr>
      </w:pPr>
    </w:p>
    <w:p w14:paraId="419805B9">
      <w:pPr>
        <w:keepNext w:val="0"/>
        <w:keepLines w:val="0"/>
        <w:pageBreakBefore w:val="0"/>
        <w:widowControl w:val="0"/>
        <w:numPr>
          <w:ilvl w:val="0"/>
          <w:numId w:val="0"/>
        </w:numPr>
        <w:wordWrap/>
        <w:topLinePunct w:val="0"/>
        <w:bidi w:val="0"/>
        <w:spacing w:line="440" w:lineRule="atLeast"/>
        <w:outlineLvl w:val="2"/>
        <w:rPr>
          <w:rFonts w:hint="eastAsia"/>
          <w:color w:val="auto"/>
          <w:highlight w:val="none"/>
          <w:lang w:val="en-US" w:eastAsia="zh-CN"/>
        </w:rPr>
      </w:pPr>
      <w:r>
        <w:rPr>
          <w:rFonts w:hint="eastAsia" w:ascii="宋体" w:hAnsi="宋体" w:cs="宋体"/>
          <w:b/>
          <w:color w:val="auto"/>
          <w:sz w:val="28"/>
          <w:szCs w:val="28"/>
          <w:highlight w:val="none"/>
          <w:lang w:val="en-US" w:eastAsia="zh-CN"/>
        </w:rPr>
        <w:t>8</w:t>
      </w:r>
      <w:r>
        <w:rPr>
          <w:rFonts w:hint="eastAsia" w:ascii="宋体" w:hAnsi="宋体" w:eastAsia="宋体" w:cs="宋体"/>
          <w:b/>
          <w:color w:val="auto"/>
          <w:sz w:val="28"/>
          <w:szCs w:val="28"/>
          <w:highlight w:val="none"/>
          <w:lang w:val="en-US" w:eastAsia="zh-CN"/>
        </w:rPr>
        <w:t>.供应商近半年内任意一个月依法缴纳税收的证明材料[增值税缴纳发票(税收完税证明)或企业所得税完税证明或税务部门出具的免税证明]复印件(税收完税证明)或企业所得税完税证明或税务部门出具的免税证明]复印件（必须提供）</w:t>
      </w:r>
      <w:r>
        <w:rPr>
          <w:rFonts w:hint="eastAsia" w:ascii="宋体" w:hAnsi="宋体" w:cs="宋体"/>
          <w:b/>
          <w:color w:val="auto"/>
          <w:sz w:val="28"/>
          <w:szCs w:val="28"/>
          <w:highlight w:val="none"/>
          <w:lang w:val="en-US" w:eastAsia="zh-CN"/>
        </w:rPr>
        <w:t>；</w:t>
      </w:r>
    </w:p>
    <w:p w14:paraId="6A2E58AE">
      <w:pPr>
        <w:pStyle w:val="9"/>
        <w:keepNext w:val="0"/>
        <w:keepLines w:val="0"/>
        <w:pageBreakBefore w:val="0"/>
        <w:widowControl w:val="0"/>
        <w:wordWrap/>
        <w:topLinePunct w:val="0"/>
        <w:bidi w:val="0"/>
        <w:rPr>
          <w:rFonts w:hint="eastAsia"/>
          <w:color w:val="auto"/>
          <w:highlight w:val="none"/>
          <w:lang w:val="en-US" w:eastAsia="zh-CN"/>
        </w:rPr>
      </w:pPr>
    </w:p>
    <w:p w14:paraId="4B5D4972">
      <w:pPr>
        <w:rPr>
          <w:rFonts w:hint="eastAsia" w:ascii="宋体" w:hAnsi="宋体" w:cs="宋体"/>
          <w:b/>
          <w:bCs/>
          <w:iCs/>
          <w:color w:val="auto"/>
          <w:kern w:val="2"/>
          <w:sz w:val="28"/>
          <w:szCs w:val="28"/>
          <w:highlight w:val="none"/>
          <w:lang w:val="en-US" w:eastAsia="zh-CN" w:bidi="ar-SA"/>
        </w:rPr>
      </w:pPr>
      <w:r>
        <w:rPr>
          <w:rFonts w:hint="eastAsia" w:ascii="宋体" w:hAnsi="宋体" w:cs="宋体"/>
          <w:b/>
          <w:bCs/>
          <w:iCs/>
          <w:color w:val="auto"/>
          <w:kern w:val="2"/>
          <w:sz w:val="28"/>
          <w:szCs w:val="28"/>
          <w:highlight w:val="none"/>
          <w:lang w:val="en-US" w:eastAsia="zh-CN" w:bidi="ar-SA"/>
        </w:rPr>
        <w:br w:type="page"/>
      </w:r>
    </w:p>
    <w:p w14:paraId="4CC665CF">
      <w:pPr>
        <w:keepNext w:val="0"/>
        <w:keepLines w:val="0"/>
        <w:pageBreakBefore w:val="0"/>
        <w:widowControl w:val="0"/>
        <w:numPr>
          <w:ilvl w:val="0"/>
          <w:numId w:val="0"/>
        </w:numPr>
        <w:wordWrap/>
        <w:topLinePunct w:val="0"/>
        <w:bidi w:val="0"/>
        <w:spacing w:line="440" w:lineRule="atLeast"/>
        <w:outlineLvl w:val="2"/>
        <w:rPr>
          <w:rFonts w:hint="eastAsia" w:ascii="宋体" w:hAnsi="宋体" w:eastAsia="宋体" w:cs="宋体"/>
          <w:b/>
          <w:bCs/>
          <w:iCs/>
          <w:color w:val="auto"/>
          <w:kern w:val="2"/>
          <w:sz w:val="28"/>
          <w:szCs w:val="28"/>
          <w:highlight w:val="none"/>
          <w:lang w:val="en-US" w:eastAsia="zh-CN" w:bidi="ar-SA"/>
        </w:rPr>
      </w:pPr>
      <w:r>
        <w:rPr>
          <w:rFonts w:hint="eastAsia" w:ascii="宋体" w:hAnsi="宋体" w:cs="宋体"/>
          <w:b/>
          <w:bCs/>
          <w:iCs/>
          <w:color w:val="auto"/>
          <w:kern w:val="2"/>
          <w:sz w:val="28"/>
          <w:szCs w:val="28"/>
          <w:highlight w:val="none"/>
          <w:lang w:val="en-US" w:eastAsia="zh-CN" w:bidi="ar-SA"/>
        </w:rPr>
        <w:t>9.</w:t>
      </w:r>
      <w:r>
        <w:rPr>
          <w:rFonts w:hint="eastAsia" w:ascii="宋体" w:hAnsi="宋体" w:eastAsia="宋体" w:cs="宋体"/>
          <w:b/>
          <w:bCs/>
          <w:iCs/>
          <w:color w:val="auto"/>
          <w:kern w:val="2"/>
          <w:sz w:val="28"/>
          <w:szCs w:val="28"/>
          <w:highlight w:val="none"/>
          <w:lang w:val="en-US" w:eastAsia="zh-CN" w:bidi="ar-SA"/>
        </w:rPr>
        <w:t>《</w:t>
      </w:r>
      <w:r>
        <w:rPr>
          <w:rFonts w:hint="eastAsia" w:ascii="宋体" w:hAnsi="宋体" w:eastAsia="宋体" w:cs="宋体"/>
          <w:b/>
          <w:color w:val="auto"/>
          <w:sz w:val="28"/>
          <w:szCs w:val="28"/>
          <w:highlight w:val="none"/>
          <w:lang w:val="en-US" w:eastAsia="zh-CN"/>
        </w:rPr>
        <w:t>中小企业</w:t>
      </w:r>
      <w:r>
        <w:rPr>
          <w:rFonts w:hint="eastAsia" w:ascii="宋体" w:hAnsi="宋体" w:eastAsia="宋体" w:cs="宋体"/>
          <w:b/>
          <w:bCs/>
          <w:iCs/>
          <w:color w:val="auto"/>
          <w:kern w:val="2"/>
          <w:sz w:val="28"/>
          <w:szCs w:val="28"/>
          <w:highlight w:val="none"/>
          <w:lang w:val="en-US" w:eastAsia="zh-CN" w:bidi="ar-SA"/>
        </w:rPr>
        <w:t>声明函》或《残疾人福利性单位声明函》或省级以上监狱管理局、戒毒管理局（含新疆生产建设兵团）出具的属于监狱企业的证明文件复印件（必须提供其中一项）</w:t>
      </w:r>
      <w:r>
        <w:rPr>
          <w:rFonts w:hint="eastAsia" w:ascii="宋体" w:hAnsi="宋体" w:cs="宋体"/>
          <w:b/>
          <w:bCs/>
          <w:iCs/>
          <w:color w:val="auto"/>
          <w:kern w:val="2"/>
          <w:sz w:val="28"/>
          <w:szCs w:val="28"/>
          <w:highlight w:val="none"/>
          <w:lang w:val="en-US" w:eastAsia="zh-CN" w:bidi="ar-SA"/>
        </w:rPr>
        <w:t>。</w:t>
      </w:r>
    </w:p>
    <w:p w14:paraId="7DF8F374">
      <w:pPr>
        <w:keepNext w:val="0"/>
        <w:keepLines w:val="0"/>
        <w:pageBreakBefore w:val="0"/>
        <w:widowControl w:val="0"/>
        <w:wordWrap/>
        <w:topLinePunct w:val="0"/>
        <w:bidi w:val="0"/>
        <w:jc w:val="center"/>
        <w:outlineLvl w:val="9"/>
        <w:rPr>
          <w:rStyle w:val="57"/>
          <w:rFonts w:ascii="宋体" w:hAnsi="宋体" w:cs="宋体"/>
          <w:b/>
          <w:bCs/>
          <w:color w:val="auto"/>
          <w:kern w:val="0"/>
          <w:sz w:val="21"/>
          <w:szCs w:val="21"/>
          <w:highlight w:val="none"/>
        </w:rPr>
      </w:pPr>
    </w:p>
    <w:p w14:paraId="6DB5D52D">
      <w:pPr>
        <w:keepNext w:val="0"/>
        <w:keepLines w:val="0"/>
        <w:pageBreakBefore w:val="0"/>
        <w:widowControl w:val="0"/>
        <w:wordWrap/>
        <w:topLinePunct w:val="0"/>
        <w:bidi w:val="0"/>
        <w:jc w:val="center"/>
        <w:outlineLvl w:val="9"/>
        <w:rPr>
          <w:rStyle w:val="57"/>
          <w:rFonts w:ascii="宋体" w:hAnsi="宋体" w:cs="宋体"/>
          <w:b/>
          <w:bCs/>
          <w:color w:val="auto"/>
          <w:kern w:val="0"/>
          <w:sz w:val="24"/>
          <w:szCs w:val="24"/>
          <w:highlight w:val="none"/>
        </w:rPr>
      </w:pPr>
      <w:r>
        <w:rPr>
          <w:rStyle w:val="57"/>
          <w:rFonts w:hint="eastAsia" w:ascii="宋体" w:hAnsi="宋体" w:cs="宋体"/>
          <w:b/>
          <w:bCs/>
          <w:color w:val="auto"/>
          <w:kern w:val="0"/>
          <w:sz w:val="24"/>
          <w:szCs w:val="24"/>
          <w:highlight w:val="none"/>
          <w:lang w:eastAsia="zh-CN"/>
        </w:rPr>
        <w:t>（</w:t>
      </w:r>
      <w:r>
        <w:rPr>
          <w:rStyle w:val="57"/>
          <w:rFonts w:hint="eastAsia" w:ascii="宋体" w:hAnsi="宋体" w:cs="宋体"/>
          <w:b/>
          <w:bCs/>
          <w:color w:val="auto"/>
          <w:kern w:val="0"/>
          <w:sz w:val="24"/>
          <w:szCs w:val="24"/>
          <w:highlight w:val="none"/>
          <w:lang w:val="en-US" w:eastAsia="zh-CN"/>
        </w:rPr>
        <w:t>1</w:t>
      </w:r>
      <w:r>
        <w:rPr>
          <w:rStyle w:val="57"/>
          <w:rFonts w:hint="eastAsia" w:ascii="宋体" w:hAnsi="宋体" w:cs="宋体"/>
          <w:b/>
          <w:bCs/>
          <w:color w:val="auto"/>
          <w:kern w:val="0"/>
          <w:sz w:val="24"/>
          <w:szCs w:val="24"/>
          <w:highlight w:val="none"/>
          <w:lang w:eastAsia="zh-CN"/>
        </w:rPr>
        <w:t>）</w:t>
      </w:r>
      <w:r>
        <w:rPr>
          <w:rStyle w:val="57"/>
          <w:rFonts w:ascii="宋体" w:hAnsi="宋体" w:cs="宋体"/>
          <w:b/>
          <w:bCs/>
          <w:color w:val="auto"/>
          <w:kern w:val="0"/>
          <w:sz w:val="24"/>
          <w:szCs w:val="24"/>
          <w:highlight w:val="none"/>
        </w:rPr>
        <w:t>中小企业声明函（</w:t>
      </w:r>
      <w:r>
        <w:rPr>
          <w:rStyle w:val="57"/>
          <w:rFonts w:hint="eastAsia" w:ascii="宋体" w:hAnsi="宋体" w:cs="宋体"/>
          <w:b/>
          <w:bCs/>
          <w:color w:val="auto"/>
          <w:kern w:val="0"/>
          <w:sz w:val="24"/>
          <w:szCs w:val="24"/>
          <w:highlight w:val="none"/>
        </w:rPr>
        <w:t>工程</w:t>
      </w:r>
      <w:r>
        <w:rPr>
          <w:rStyle w:val="57"/>
          <w:rFonts w:ascii="宋体" w:hAnsi="宋体" w:cs="宋体"/>
          <w:b/>
          <w:bCs/>
          <w:color w:val="auto"/>
          <w:kern w:val="0"/>
          <w:sz w:val="24"/>
          <w:szCs w:val="24"/>
          <w:highlight w:val="none"/>
        </w:rPr>
        <w:t>）</w:t>
      </w:r>
    </w:p>
    <w:p w14:paraId="6F4B297A">
      <w:pPr>
        <w:pStyle w:val="58"/>
        <w:keepNext w:val="0"/>
        <w:keepLines w:val="0"/>
        <w:pageBreakBefore w:val="0"/>
        <w:widowControl w:val="0"/>
        <w:wordWrap/>
        <w:topLinePunct w:val="0"/>
        <w:bidi w:val="0"/>
        <w:ind w:left="63" w:right="63"/>
        <w:outlineLvl w:val="9"/>
        <w:rPr>
          <w:color w:val="auto"/>
          <w:sz w:val="21"/>
          <w:szCs w:val="21"/>
          <w:highlight w:val="none"/>
        </w:rPr>
      </w:pPr>
    </w:p>
    <w:p w14:paraId="0D3DBC69">
      <w:pPr>
        <w:keepNext w:val="0"/>
        <w:keepLines w:val="0"/>
        <w:pageBreakBefore w:val="0"/>
        <w:widowControl w:val="0"/>
        <w:kinsoku/>
        <w:wordWrap/>
        <w:overflowPunct/>
        <w:topLinePunct w:val="0"/>
        <w:autoSpaceDE/>
        <w:autoSpaceDN/>
        <w:bidi w:val="0"/>
        <w:adjustRightInd/>
        <w:snapToGrid/>
        <w:spacing w:line="360" w:lineRule="exact"/>
        <w:ind w:firstLine="482"/>
        <w:jc w:val="left"/>
        <w:textAlignment w:val="auto"/>
        <w:outlineLvl w:val="9"/>
        <w:rPr>
          <w:rStyle w:val="57"/>
          <w:rFonts w:ascii="宋体" w:hAnsi="宋体"/>
          <w:color w:val="auto"/>
          <w:kern w:val="0"/>
          <w:sz w:val="21"/>
          <w:szCs w:val="21"/>
          <w:highlight w:val="none"/>
        </w:rPr>
      </w:pPr>
      <w:r>
        <w:rPr>
          <w:rStyle w:val="57"/>
          <w:rFonts w:ascii="宋体" w:hAnsi="宋体"/>
          <w:color w:val="auto"/>
          <w:kern w:val="0"/>
          <w:sz w:val="21"/>
          <w:szCs w:val="21"/>
          <w:highlight w:val="none"/>
        </w:rPr>
        <w:t>本公司郑重声明，根据《政府采购促进中小企业发展管理办法》（财库﹝2020﹞46 号）的规定，本公司参加</w:t>
      </w:r>
      <w:r>
        <w:rPr>
          <w:rStyle w:val="57"/>
          <w:rFonts w:ascii="宋体" w:hAnsi="宋体"/>
          <w:color w:val="auto"/>
          <w:kern w:val="0"/>
          <w:sz w:val="21"/>
          <w:szCs w:val="21"/>
          <w:highlight w:val="none"/>
          <w:u w:val="single" w:color="000000"/>
        </w:rPr>
        <w:t>（单位名称）</w:t>
      </w:r>
      <w:r>
        <w:rPr>
          <w:rStyle w:val="57"/>
          <w:rFonts w:ascii="宋体" w:hAnsi="宋体"/>
          <w:color w:val="auto"/>
          <w:kern w:val="0"/>
          <w:sz w:val="21"/>
          <w:szCs w:val="21"/>
          <w:highlight w:val="none"/>
        </w:rPr>
        <w:t>的</w:t>
      </w:r>
      <w:r>
        <w:rPr>
          <w:rStyle w:val="57"/>
          <w:rFonts w:ascii="宋体" w:hAnsi="宋体"/>
          <w:color w:val="auto"/>
          <w:kern w:val="0"/>
          <w:sz w:val="21"/>
          <w:szCs w:val="21"/>
          <w:highlight w:val="none"/>
          <w:u w:val="single" w:color="000000"/>
        </w:rPr>
        <w:t>（项目名称）</w:t>
      </w:r>
      <w:r>
        <w:rPr>
          <w:rStyle w:val="57"/>
          <w:rFonts w:ascii="宋体" w:hAnsi="宋体"/>
          <w:color w:val="auto"/>
          <w:kern w:val="0"/>
          <w:sz w:val="21"/>
          <w:szCs w:val="21"/>
          <w:highlight w:val="none"/>
        </w:rPr>
        <w:t>采购活动，</w:t>
      </w:r>
      <w:r>
        <w:rPr>
          <w:rStyle w:val="57"/>
          <w:rFonts w:hint="eastAsia" w:ascii="宋体" w:hAnsi="宋体" w:eastAsia="宋体"/>
          <w:color w:val="auto"/>
          <w:kern w:val="0"/>
          <w:sz w:val="21"/>
          <w:szCs w:val="21"/>
          <w:highlight w:val="none"/>
          <w:lang w:val="en-US" w:eastAsia="zh-CN"/>
        </w:rPr>
        <w:t>工程的施工单位</w:t>
      </w:r>
      <w:r>
        <w:rPr>
          <w:rStyle w:val="57"/>
          <w:rFonts w:ascii="宋体" w:hAnsi="宋体"/>
          <w:color w:val="auto"/>
          <w:kern w:val="0"/>
          <w:sz w:val="21"/>
          <w:szCs w:val="21"/>
          <w:highlight w:val="none"/>
        </w:rPr>
        <w:t>全部</w:t>
      </w:r>
      <w:r>
        <w:rPr>
          <w:rStyle w:val="57"/>
          <w:rFonts w:hint="eastAsia" w:ascii="宋体" w:hAnsi="宋体" w:eastAsia="宋体"/>
          <w:color w:val="auto"/>
          <w:kern w:val="0"/>
          <w:sz w:val="21"/>
          <w:szCs w:val="21"/>
          <w:highlight w:val="none"/>
          <w:lang w:val="en-US" w:eastAsia="zh-CN"/>
        </w:rPr>
        <w:t>为</w:t>
      </w:r>
      <w:r>
        <w:rPr>
          <w:rStyle w:val="57"/>
          <w:rFonts w:ascii="宋体" w:hAnsi="宋体"/>
          <w:color w:val="auto"/>
          <w:kern w:val="0"/>
          <w:sz w:val="21"/>
          <w:szCs w:val="21"/>
          <w:highlight w:val="none"/>
        </w:rPr>
        <w:t>符合政策要求的中小企业。相关企业（含联合体中的中小企业、签订分包意向协议的中小企业）的具体情况如下：</w:t>
      </w:r>
    </w:p>
    <w:p w14:paraId="3DB1E270">
      <w:pPr>
        <w:keepNext w:val="0"/>
        <w:keepLines w:val="0"/>
        <w:pageBreakBefore w:val="0"/>
        <w:widowControl w:val="0"/>
        <w:kinsoku/>
        <w:wordWrap/>
        <w:overflowPunct/>
        <w:topLinePunct w:val="0"/>
        <w:autoSpaceDE/>
        <w:autoSpaceDN/>
        <w:bidi w:val="0"/>
        <w:adjustRightInd/>
        <w:snapToGrid/>
        <w:spacing w:line="360" w:lineRule="exact"/>
        <w:ind w:firstLine="482"/>
        <w:jc w:val="left"/>
        <w:textAlignment w:val="auto"/>
        <w:outlineLvl w:val="9"/>
        <w:rPr>
          <w:rStyle w:val="57"/>
          <w:rFonts w:ascii="宋体" w:hAnsi="宋体"/>
          <w:color w:val="auto"/>
          <w:kern w:val="0"/>
          <w:sz w:val="21"/>
          <w:szCs w:val="21"/>
          <w:highlight w:val="none"/>
        </w:rPr>
      </w:pPr>
      <w:r>
        <w:rPr>
          <w:rStyle w:val="57"/>
          <w:rFonts w:ascii="宋体" w:hAnsi="宋体"/>
          <w:color w:val="auto"/>
          <w:kern w:val="0"/>
          <w:sz w:val="21"/>
          <w:szCs w:val="21"/>
          <w:highlight w:val="none"/>
        </w:rPr>
        <w:t xml:space="preserve">1. </w:t>
      </w:r>
      <w:r>
        <w:rPr>
          <w:rStyle w:val="57"/>
          <w:rFonts w:ascii="宋体" w:hAnsi="宋体"/>
          <w:color w:val="auto"/>
          <w:kern w:val="0"/>
          <w:sz w:val="21"/>
          <w:szCs w:val="21"/>
          <w:highlight w:val="none"/>
          <w:u w:val="single" w:color="000000"/>
        </w:rPr>
        <w:t xml:space="preserve">（标的名称） </w:t>
      </w:r>
      <w:r>
        <w:rPr>
          <w:rStyle w:val="57"/>
          <w:rFonts w:ascii="宋体" w:hAnsi="宋体"/>
          <w:color w:val="auto"/>
          <w:kern w:val="0"/>
          <w:sz w:val="21"/>
          <w:szCs w:val="21"/>
          <w:highlight w:val="none"/>
        </w:rPr>
        <w:t xml:space="preserve">，属于 </w:t>
      </w:r>
      <w:r>
        <w:rPr>
          <w:rStyle w:val="57"/>
          <w:rFonts w:ascii="宋体" w:hAnsi="宋体"/>
          <w:color w:val="auto"/>
          <w:kern w:val="0"/>
          <w:sz w:val="21"/>
          <w:szCs w:val="21"/>
          <w:highlight w:val="none"/>
          <w:u w:val="single" w:color="000000"/>
        </w:rPr>
        <w:t>（</w:t>
      </w:r>
      <w:r>
        <w:rPr>
          <w:rStyle w:val="57"/>
          <w:rFonts w:hint="eastAsia" w:ascii="宋体" w:hAnsi="宋体"/>
          <w:color w:val="auto"/>
          <w:kern w:val="0"/>
          <w:sz w:val="21"/>
          <w:szCs w:val="21"/>
          <w:highlight w:val="none"/>
          <w:u w:val="single" w:color="000000"/>
        </w:rPr>
        <w:t>招标</w:t>
      </w:r>
      <w:r>
        <w:rPr>
          <w:rStyle w:val="57"/>
          <w:rFonts w:ascii="宋体" w:hAnsi="宋体"/>
          <w:color w:val="auto"/>
          <w:kern w:val="0"/>
          <w:sz w:val="21"/>
          <w:szCs w:val="21"/>
          <w:highlight w:val="none"/>
          <w:u w:val="single" w:color="000000"/>
        </w:rPr>
        <w:t xml:space="preserve">文件中明确的所属行业） </w:t>
      </w:r>
      <w:r>
        <w:rPr>
          <w:rStyle w:val="57"/>
          <w:rFonts w:ascii="宋体" w:hAnsi="宋体"/>
          <w:color w:val="auto"/>
          <w:kern w:val="0"/>
          <w:sz w:val="21"/>
          <w:szCs w:val="21"/>
          <w:highlight w:val="none"/>
        </w:rPr>
        <w:t>； 承接企业为</w:t>
      </w:r>
      <w:r>
        <w:rPr>
          <w:rStyle w:val="57"/>
          <w:rFonts w:ascii="宋体" w:hAnsi="宋体"/>
          <w:color w:val="auto"/>
          <w:kern w:val="0"/>
          <w:sz w:val="21"/>
          <w:szCs w:val="21"/>
          <w:highlight w:val="none"/>
          <w:u w:val="single" w:color="000000"/>
        </w:rPr>
        <w:t>（企业名称）</w:t>
      </w:r>
      <w:r>
        <w:rPr>
          <w:rStyle w:val="57"/>
          <w:rFonts w:ascii="宋体" w:hAnsi="宋体"/>
          <w:color w:val="auto"/>
          <w:kern w:val="0"/>
          <w:sz w:val="21"/>
          <w:szCs w:val="21"/>
          <w:highlight w:val="none"/>
        </w:rPr>
        <w:t>，从业人员</w:t>
      </w:r>
      <w:r>
        <w:rPr>
          <w:rStyle w:val="57"/>
          <w:rFonts w:ascii="宋体" w:hAnsi="宋体"/>
          <w:color w:val="auto"/>
          <w:kern w:val="0"/>
          <w:sz w:val="21"/>
          <w:szCs w:val="21"/>
          <w:highlight w:val="none"/>
          <w:u w:val="single" w:color="000000"/>
        </w:rPr>
        <w:t xml:space="preserve">    </w:t>
      </w:r>
      <w:r>
        <w:rPr>
          <w:rStyle w:val="57"/>
          <w:rFonts w:ascii="宋体" w:hAnsi="宋体"/>
          <w:color w:val="auto"/>
          <w:kern w:val="0"/>
          <w:sz w:val="21"/>
          <w:szCs w:val="21"/>
          <w:highlight w:val="none"/>
        </w:rPr>
        <w:t>人，营业收入为</w:t>
      </w:r>
      <w:r>
        <w:rPr>
          <w:rStyle w:val="57"/>
          <w:rFonts w:ascii="宋体" w:hAnsi="宋体"/>
          <w:color w:val="auto"/>
          <w:kern w:val="0"/>
          <w:sz w:val="21"/>
          <w:szCs w:val="21"/>
          <w:highlight w:val="none"/>
          <w:u w:val="single" w:color="000000"/>
        </w:rPr>
        <w:t xml:space="preserve">    </w:t>
      </w:r>
      <w:r>
        <w:rPr>
          <w:rStyle w:val="57"/>
          <w:rFonts w:ascii="宋体" w:hAnsi="宋体"/>
          <w:color w:val="auto"/>
          <w:kern w:val="0"/>
          <w:sz w:val="21"/>
          <w:szCs w:val="21"/>
          <w:highlight w:val="none"/>
        </w:rPr>
        <w:t>万元，资产总额为</w:t>
      </w:r>
      <w:r>
        <w:rPr>
          <w:rStyle w:val="57"/>
          <w:rFonts w:ascii="宋体" w:hAnsi="宋体"/>
          <w:color w:val="auto"/>
          <w:kern w:val="0"/>
          <w:sz w:val="21"/>
          <w:szCs w:val="21"/>
          <w:highlight w:val="none"/>
          <w:u w:val="single" w:color="000000"/>
        </w:rPr>
        <w:t xml:space="preserve">    </w:t>
      </w:r>
      <w:r>
        <w:rPr>
          <w:rStyle w:val="57"/>
          <w:rFonts w:ascii="宋体" w:hAnsi="宋体"/>
          <w:color w:val="auto"/>
          <w:kern w:val="0"/>
          <w:sz w:val="21"/>
          <w:szCs w:val="21"/>
          <w:highlight w:val="none"/>
        </w:rPr>
        <w:t>万元，属于</w:t>
      </w:r>
      <w:r>
        <w:rPr>
          <w:rStyle w:val="57"/>
          <w:rFonts w:ascii="宋体" w:hAnsi="宋体"/>
          <w:color w:val="auto"/>
          <w:kern w:val="0"/>
          <w:sz w:val="21"/>
          <w:szCs w:val="21"/>
          <w:highlight w:val="none"/>
          <w:u w:val="single" w:color="000000"/>
        </w:rPr>
        <w:t>（中型企业、 小型企业、微型企业）</w:t>
      </w:r>
      <w:r>
        <w:rPr>
          <w:rStyle w:val="57"/>
          <w:rFonts w:ascii="宋体" w:hAnsi="宋体"/>
          <w:color w:val="auto"/>
          <w:kern w:val="0"/>
          <w:sz w:val="21"/>
          <w:szCs w:val="21"/>
          <w:highlight w:val="none"/>
        </w:rPr>
        <w:t xml:space="preserve">； </w:t>
      </w:r>
    </w:p>
    <w:p w14:paraId="41BA7345">
      <w:pPr>
        <w:keepNext w:val="0"/>
        <w:keepLines w:val="0"/>
        <w:pageBreakBefore w:val="0"/>
        <w:widowControl w:val="0"/>
        <w:kinsoku/>
        <w:wordWrap/>
        <w:overflowPunct/>
        <w:topLinePunct w:val="0"/>
        <w:autoSpaceDE/>
        <w:autoSpaceDN/>
        <w:bidi w:val="0"/>
        <w:adjustRightInd/>
        <w:snapToGrid/>
        <w:spacing w:line="360" w:lineRule="exact"/>
        <w:ind w:firstLine="482"/>
        <w:jc w:val="left"/>
        <w:textAlignment w:val="auto"/>
        <w:outlineLvl w:val="9"/>
        <w:rPr>
          <w:rStyle w:val="57"/>
          <w:rFonts w:ascii="宋体" w:hAnsi="宋体"/>
          <w:color w:val="auto"/>
          <w:kern w:val="0"/>
          <w:sz w:val="21"/>
          <w:szCs w:val="21"/>
          <w:highlight w:val="none"/>
        </w:rPr>
      </w:pPr>
      <w:r>
        <w:rPr>
          <w:rStyle w:val="57"/>
          <w:rFonts w:ascii="宋体" w:hAnsi="宋体"/>
          <w:color w:val="auto"/>
          <w:kern w:val="0"/>
          <w:sz w:val="21"/>
          <w:szCs w:val="21"/>
          <w:highlight w:val="none"/>
        </w:rPr>
        <w:t>以上企业，不属于大企业的分支机构，不存在控股股东 为大企业的情形，也不存在与大企业的负责人为同一人的情形。</w:t>
      </w:r>
    </w:p>
    <w:p w14:paraId="64C9BA6C">
      <w:pPr>
        <w:keepNext w:val="0"/>
        <w:keepLines w:val="0"/>
        <w:pageBreakBefore w:val="0"/>
        <w:widowControl w:val="0"/>
        <w:kinsoku/>
        <w:wordWrap/>
        <w:overflowPunct/>
        <w:topLinePunct w:val="0"/>
        <w:autoSpaceDE/>
        <w:autoSpaceDN/>
        <w:bidi w:val="0"/>
        <w:adjustRightInd/>
        <w:snapToGrid/>
        <w:spacing w:line="360" w:lineRule="exact"/>
        <w:ind w:firstLine="482"/>
        <w:jc w:val="left"/>
        <w:textAlignment w:val="auto"/>
        <w:outlineLvl w:val="9"/>
        <w:rPr>
          <w:rStyle w:val="57"/>
          <w:rFonts w:ascii="宋体" w:hAnsi="宋体"/>
          <w:color w:val="auto"/>
          <w:kern w:val="0"/>
          <w:sz w:val="21"/>
          <w:szCs w:val="21"/>
          <w:highlight w:val="none"/>
        </w:rPr>
      </w:pPr>
      <w:r>
        <w:rPr>
          <w:rStyle w:val="57"/>
          <w:rFonts w:ascii="宋体" w:hAnsi="宋体"/>
          <w:color w:val="auto"/>
          <w:kern w:val="0"/>
          <w:sz w:val="21"/>
          <w:szCs w:val="21"/>
          <w:highlight w:val="none"/>
        </w:rPr>
        <w:t xml:space="preserve">本企业对上述声明内容的真实性负责。如有虚假，将依法承担相应责任。 </w:t>
      </w:r>
    </w:p>
    <w:p w14:paraId="7E4401CA">
      <w:pPr>
        <w:keepNext w:val="0"/>
        <w:keepLines w:val="0"/>
        <w:pageBreakBefore w:val="0"/>
        <w:widowControl w:val="0"/>
        <w:kinsoku/>
        <w:wordWrap/>
        <w:overflowPunct/>
        <w:topLinePunct w:val="0"/>
        <w:autoSpaceDE/>
        <w:autoSpaceDN/>
        <w:bidi w:val="0"/>
        <w:adjustRightInd/>
        <w:snapToGrid/>
        <w:spacing w:line="360" w:lineRule="exact"/>
        <w:ind w:firstLine="482"/>
        <w:jc w:val="left"/>
        <w:textAlignment w:val="auto"/>
        <w:outlineLvl w:val="9"/>
        <w:rPr>
          <w:rStyle w:val="57"/>
          <w:rFonts w:ascii="宋体" w:hAnsi="宋体"/>
          <w:color w:val="auto"/>
          <w:kern w:val="0"/>
          <w:sz w:val="21"/>
          <w:szCs w:val="21"/>
          <w:highlight w:val="none"/>
        </w:rPr>
      </w:pPr>
    </w:p>
    <w:p w14:paraId="31203DFD">
      <w:pPr>
        <w:keepNext w:val="0"/>
        <w:keepLines w:val="0"/>
        <w:pageBreakBefore w:val="0"/>
        <w:widowControl w:val="0"/>
        <w:wordWrap/>
        <w:topLinePunct w:val="0"/>
        <w:bidi w:val="0"/>
        <w:ind w:firstLine="2310" w:firstLineChars="1100"/>
        <w:jc w:val="left"/>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磋商供应商</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29AF1A3A">
      <w:pPr>
        <w:pStyle w:val="12"/>
        <w:keepNext w:val="0"/>
        <w:keepLines w:val="0"/>
        <w:pageBreakBefore w:val="0"/>
        <w:widowControl w:val="0"/>
        <w:wordWrap/>
        <w:topLinePunct w:val="0"/>
        <w:bidi w:val="0"/>
        <w:spacing w:line="300" w:lineRule="exact"/>
        <w:ind w:left="2940" w:leftChars="1400" w:firstLine="630" w:firstLineChars="300"/>
        <w:outlineLvl w:val="9"/>
        <w:rPr>
          <w:rFonts w:hint="eastAsia" w:ascii="宋体" w:hAnsi="宋体" w:eastAsia="宋体" w:cs="宋体"/>
          <w:color w:val="auto"/>
          <w:highlight w:val="none"/>
        </w:rPr>
      </w:pPr>
    </w:p>
    <w:p w14:paraId="48B5BE05">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420" w:leftChars="0"/>
        <w:jc w:val="center"/>
        <w:textAlignment w:val="auto"/>
        <w:outlineLvl w:val="9"/>
        <w:rPr>
          <w:rFonts w:hint="eastAsia"/>
          <w:color w:val="auto"/>
          <w:highlight w:val="none"/>
        </w:rPr>
      </w:pPr>
      <w:r>
        <w:rPr>
          <w:rFonts w:hint="eastAsia" w:ascii="宋体" w:hAnsi="宋体" w:eastAsia="宋体" w:cs="宋体"/>
          <w:color w:val="auto"/>
          <w:highlight w:val="none"/>
        </w:rPr>
        <w:t>日          期：</w:t>
      </w:r>
      <w:r>
        <w:rPr>
          <w:rFonts w:hint="eastAsia" w:ascii="宋体" w:hAnsi="宋体" w:eastAsia="宋体" w:cs="宋体"/>
          <w:color w:val="auto"/>
          <w:highlight w:val="none"/>
          <w:u w:val="single"/>
        </w:rPr>
        <w:t xml:space="preserve">                         </w:t>
      </w:r>
    </w:p>
    <w:p w14:paraId="53859393">
      <w:pPr>
        <w:keepNext w:val="0"/>
        <w:keepLines w:val="0"/>
        <w:pageBreakBefore w:val="0"/>
        <w:widowControl w:val="0"/>
        <w:wordWrap/>
        <w:topLinePunct w:val="0"/>
        <w:bidi w:val="0"/>
        <w:outlineLvl w:val="9"/>
        <w:rPr>
          <w:rFonts w:hint="eastAsia" w:ascii="宋体" w:hAnsi="宋体" w:eastAsia="宋体" w:cs="宋体"/>
          <w:b/>
          <w:color w:val="auto"/>
          <w:sz w:val="21"/>
          <w:szCs w:val="21"/>
          <w:highlight w:val="none"/>
        </w:rPr>
      </w:pPr>
    </w:p>
    <w:p w14:paraId="79FD66BE">
      <w:pPr>
        <w:keepNext w:val="0"/>
        <w:keepLines w:val="0"/>
        <w:pageBreakBefore w:val="0"/>
        <w:widowControl w:val="0"/>
        <w:wordWrap/>
        <w:topLinePunct w:val="0"/>
        <w:bidi w:val="0"/>
        <w:outlineLvl w:val="9"/>
        <w:rPr>
          <w:rStyle w:val="57"/>
          <w:rFonts w:ascii="宋体" w:hAnsi="宋体" w:cs="宋体"/>
          <w:b/>
          <w:bCs/>
          <w:color w:val="auto"/>
          <w:sz w:val="30"/>
          <w:szCs w:val="30"/>
          <w:highlight w:val="none"/>
        </w:rPr>
      </w:pPr>
      <w:r>
        <w:rPr>
          <w:rFonts w:hint="eastAsia" w:ascii="宋体" w:hAnsi="宋体" w:eastAsia="宋体" w:cs="宋体"/>
          <w:b/>
          <w:color w:val="auto"/>
          <w:sz w:val="21"/>
          <w:szCs w:val="21"/>
          <w:highlight w:val="none"/>
        </w:rPr>
        <w:t>备注：供应商应按照</w:t>
      </w:r>
      <w:r>
        <w:rPr>
          <w:rFonts w:hint="eastAsia" w:ascii="宋体" w:hAnsi="宋体" w:eastAsia="宋体" w:cs="宋体"/>
          <w:b/>
          <w:color w:val="auto"/>
          <w:sz w:val="21"/>
          <w:szCs w:val="21"/>
          <w:highlight w:val="none"/>
          <w:lang w:val="en-US" w:eastAsia="zh-CN"/>
        </w:rPr>
        <w:t>中小微型企业划分标准按照《国家统计局关于印发《统计上大中小微型企业划分办法〔2017〕》的通知》（国统字〔2017〕213号）</w:t>
      </w:r>
      <w:r>
        <w:rPr>
          <w:rFonts w:hint="eastAsia" w:ascii="宋体" w:hAnsi="宋体" w:eastAsia="宋体" w:cs="宋体"/>
          <w:b/>
          <w:color w:val="auto"/>
          <w:sz w:val="21"/>
          <w:szCs w:val="21"/>
          <w:highlight w:val="none"/>
        </w:rPr>
        <w:t>的划分标准进行如实申明，如提供虚假申明应依法承担相应法律责任。如成交人为小型和微型企业的，</w:t>
      </w:r>
      <w:r>
        <w:rPr>
          <w:rFonts w:hint="eastAsia" w:eastAsia="宋体" w:cs="宋体"/>
          <w:b/>
          <w:color w:val="auto"/>
          <w:sz w:val="21"/>
          <w:szCs w:val="21"/>
          <w:highlight w:val="none"/>
          <w:lang w:val="en-US" w:eastAsia="zh-CN"/>
        </w:rPr>
        <w:t>成交</w:t>
      </w:r>
      <w:r>
        <w:rPr>
          <w:rFonts w:hint="eastAsia" w:ascii="宋体" w:hAnsi="宋体" w:eastAsia="宋体" w:cs="宋体"/>
          <w:b/>
          <w:color w:val="auto"/>
          <w:sz w:val="21"/>
          <w:szCs w:val="21"/>
          <w:highlight w:val="none"/>
        </w:rPr>
        <w:t>结果将同时公告（或成交人的《中小企业声明函》，接受社会监督。</w:t>
      </w:r>
      <w:r>
        <w:rPr>
          <w:rStyle w:val="57"/>
          <w:rFonts w:ascii="宋体" w:hAnsi="宋体" w:cs="宋体"/>
          <w:b/>
          <w:bCs/>
          <w:color w:val="auto"/>
          <w:sz w:val="30"/>
          <w:szCs w:val="30"/>
          <w:highlight w:val="none"/>
        </w:rPr>
        <w:br w:type="page"/>
      </w:r>
    </w:p>
    <w:p w14:paraId="255D7030">
      <w:pPr>
        <w:keepNext w:val="0"/>
        <w:keepLines w:val="0"/>
        <w:pageBreakBefore w:val="0"/>
        <w:widowControl w:val="0"/>
        <w:wordWrap/>
        <w:topLinePunct w:val="0"/>
        <w:bidi w:val="0"/>
        <w:outlineLvl w:val="9"/>
        <w:rPr>
          <w:rStyle w:val="57"/>
          <w:rFonts w:ascii="宋体" w:hAnsi="宋体" w:cs="宋体"/>
          <w:b/>
          <w:bCs/>
          <w:color w:val="auto"/>
          <w:highlight w:val="none"/>
        </w:rPr>
      </w:pPr>
      <w:r>
        <w:rPr>
          <w:rStyle w:val="57"/>
          <w:rFonts w:ascii="宋体" w:hAnsi="宋体" w:cs="宋体"/>
          <w:b/>
          <w:bCs/>
          <w:color w:val="auto"/>
          <w:sz w:val="30"/>
          <w:szCs w:val="30"/>
          <w:highlight w:val="none"/>
        </w:rPr>
        <w:t>附表</w:t>
      </w:r>
    </w:p>
    <w:p w14:paraId="1E7B230F">
      <w:pPr>
        <w:keepNext w:val="0"/>
        <w:keepLines w:val="0"/>
        <w:pageBreakBefore w:val="0"/>
        <w:widowControl w:val="0"/>
        <w:wordWrap/>
        <w:topLinePunct w:val="0"/>
        <w:bidi w:val="0"/>
        <w:spacing w:before="120" w:after="120" w:line="400" w:lineRule="exact"/>
        <w:jc w:val="center"/>
        <w:outlineLvl w:val="9"/>
        <w:rPr>
          <w:rStyle w:val="57"/>
          <w:rFonts w:ascii="宋体" w:hAnsi="宋体" w:cs="宋体"/>
          <w:b/>
          <w:bCs/>
          <w:color w:val="auto"/>
          <w:kern w:val="0"/>
          <w:sz w:val="30"/>
          <w:szCs w:val="30"/>
          <w:highlight w:val="none"/>
        </w:rPr>
      </w:pPr>
      <w:r>
        <w:rPr>
          <w:rStyle w:val="57"/>
          <w:rFonts w:ascii="宋体" w:hAnsi="宋体" w:cs="宋体"/>
          <w:b/>
          <w:bCs/>
          <w:color w:val="auto"/>
          <w:kern w:val="0"/>
          <w:sz w:val="30"/>
          <w:szCs w:val="30"/>
          <w:highlight w:val="none"/>
        </w:rPr>
        <w:t>统计上大中小微型企业划分标准</w:t>
      </w:r>
    </w:p>
    <w:tbl>
      <w:tblPr>
        <w:tblStyle w:val="27"/>
        <w:tblW w:w="943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13"/>
        <w:gridCol w:w="1369"/>
        <w:gridCol w:w="709"/>
        <w:gridCol w:w="1125"/>
        <w:gridCol w:w="1701"/>
        <w:gridCol w:w="1426"/>
        <w:gridCol w:w="992"/>
      </w:tblGrid>
      <w:tr w14:paraId="067B6A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exact"/>
          <w:tblHeader/>
        </w:trPr>
        <w:tc>
          <w:tcPr>
            <w:tcW w:w="2113" w:type="dxa"/>
            <w:tcBorders>
              <w:top w:val="single" w:color="000000" w:sz="4" w:space="0"/>
              <w:left w:val="single" w:color="000000" w:sz="4" w:space="0"/>
              <w:bottom w:val="single" w:color="000000" w:sz="4" w:space="0"/>
              <w:right w:val="single" w:color="000000" w:sz="4" w:space="0"/>
            </w:tcBorders>
            <w:shd w:val="clear" w:color="auto" w:fill="8DB3E2"/>
            <w:noWrap w:val="0"/>
            <w:vAlign w:val="center"/>
          </w:tcPr>
          <w:p w14:paraId="4EED85C8">
            <w:pPr>
              <w:keepNext w:val="0"/>
              <w:keepLines w:val="0"/>
              <w:pageBreakBefore w:val="0"/>
              <w:widowControl w:val="0"/>
              <w:wordWrap/>
              <w:topLinePunct w:val="0"/>
              <w:bidi w:val="0"/>
              <w:spacing w:line="240" w:lineRule="exact"/>
              <w:jc w:val="center"/>
              <w:outlineLvl w:val="9"/>
              <w:rPr>
                <w:rStyle w:val="57"/>
                <w:rFonts w:ascii="宋体" w:hAnsi="宋体" w:cs="宋体"/>
                <w:b/>
                <w:bCs/>
                <w:color w:val="auto"/>
                <w:kern w:val="0"/>
                <w:sz w:val="18"/>
                <w:szCs w:val="21"/>
                <w:highlight w:val="none"/>
              </w:rPr>
            </w:pPr>
            <w:r>
              <w:rPr>
                <w:rStyle w:val="57"/>
                <w:rFonts w:ascii="宋体" w:hAnsi="宋体" w:cs="宋体"/>
                <w:b/>
                <w:bCs/>
                <w:color w:val="auto"/>
                <w:kern w:val="0"/>
                <w:sz w:val="18"/>
                <w:szCs w:val="21"/>
                <w:highlight w:val="none"/>
              </w:rPr>
              <w:t>行业名称</w:t>
            </w:r>
          </w:p>
        </w:tc>
        <w:tc>
          <w:tcPr>
            <w:tcW w:w="1369" w:type="dxa"/>
            <w:tcBorders>
              <w:top w:val="single" w:color="000000" w:sz="4" w:space="0"/>
              <w:left w:val="single" w:color="000000" w:sz="4" w:space="0"/>
              <w:bottom w:val="single" w:color="000000" w:sz="4" w:space="0"/>
              <w:right w:val="single" w:color="000000" w:sz="4" w:space="0"/>
            </w:tcBorders>
            <w:shd w:val="clear" w:color="auto" w:fill="8DB3E2"/>
            <w:noWrap w:val="0"/>
            <w:vAlign w:val="center"/>
          </w:tcPr>
          <w:p w14:paraId="0DB7C8F8">
            <w:pPr>
              <w:keepNext w:val="0"/>
              <w:keepLines w:val="0"/>
              <w:pageBreakBefore w:val="0"/>
              <w:widowControl w:val="0"/>
              <w:wordWrap/>
              <w:topLinePunct w:val="0"/>
              <w:bidi w:val="0"/>
              <w:jc w:val="center"/>
              <w:outlineLvl w:val="9"/>
              <w:rPr>
                <w:rStyle w:val="57"/>
                <w:rFonts w:ascii="宋体" w:hAnsi="宋体" w:cs="宋体"/>
                <w:b/>
                <w:bCs/>
                <w:color w:val="auto"/>
                <w:kern w:val="0"/>
                <w:sz w:val="18"/>
                <w:szCs w:val="18"/>
                <w:highlight w:val="none"/>
              </w:rPr>
            </w:pPr>
            <w:r>
              <w:rPr>
                <w:rStyle w:val="57"/>
                <w:rFonts w:ascii="宋体" w:hAnsi="宋体" w:cs="宋体"/>
                <w:b/>
                <w:bCs/>
                <w:color w:val="auto"/>
                <w:kern w:val="0"/>
                <w:sz w:val="18"/>
                <w:szCs w:val="18"/>
                <w:highlight w:val="none"/>
              </w:rPr>
              <w:t>指标名称</w:t>
            </w:r>
          </w:p>
        </w:tc>
        <w:tc>
          <w:tcPr>
            <w:tcW w:w="709" w:type="dxa"/>
            <w:tcBorders>
              <w:top w:val="single" w:color="000000" w:sz="4" w:space="0"/>
              <w:left w:val="single" w:color="000000" w:sz="4" w:space="0"/>
              <w:bottom w:val="single" w:color="000000" w:sz="4" w:space="0"/>
              <w:right w:val="single" w:color="000000" w:sz="4" w:space="0"/>
            </w:tcBorders>
            <w:shd w:val="clear" w:color="auto" w:fill="8DB3E2"/>
            <w:noWrap w:val="0"/>
            <w:vAlign w:val="center"/>
          </w:tcPr>
          <w:p w14:paraId="50EB4279">
            <w:pPr>
              <w:keepNext w:val="0"/>
              <w:keepLines w:val="0"/>
              <w:pageBreakBefore w:val="0"/>
              <w:widowControl w:val="0"/>
              <w:wordWrap/>
              <w:topLinePunct w:val="0"/>
              <w:bidi w:val="0"/>
              <w:jc w:val="center"/>
              <w:outlineLvl w:val="9"/>
              <w:rPr>
                <w:rStyle w:val="57"/>
                <w:rFonts w:hint="eastAsia" w:ascii="宋体" w:hAnsi="宋体" w:eastAsia="宋体" w:cs="宋体"/>
                <w:b/>
                <w:bCs/>
                <w:color w:val="auto"/>
                <w:kern w:val="0"/>
                <w:sz w:val="18"/>
                <w:szCs w:val="18"/>
                <w:highlight w:val="none"/>
                <w:lang w:eastAsia="zh-CN"/>
              </w:rPr>
            </w:pPr>
            <w:r>
              <w:rPr>
                <w:rStyle w:val="57"/>
                <w:rFonts w:ascii="宋体" w:hAnsi="宋体" w:cs="宋体"/>
                <w:b/>
                <w:bCs/>
                <w:color w:val="auto"/>
                <w:kern w:val="0"/>
                <w:sz w:val="18"/>
                <w:szCs w:val="18"/>
                <w:highlight w:val="none"/>
              </w:rPr>
              <w:t>计量</w:t>
            </w:r>
          </w:p>
          <w:p w14:paraId="7D91B08D">
            <w:pPr>
              <w:keepNext w:val="0"/>
              <w:keepLines w:val="0"/>
              <w:pageBreakBefore w:val="0"/>
              <w:widowControl w:val="0"/>
              <w:wordWrap/>
              <w:topLinePunct w:val="0"/>
              <w:bidi w:val="0"/>
              <w:jc w:val="center"/>
              <w:outlineLvl w:val="9"/>
              <w:rPr>
                <w:rStyle w:val="57"/>
                <w:rFonts w:ascii="宋体" w:hAnsi="宋体" w:cs="宋体"/>
                <w:b/>
                <w:bCs/>
                <w:color w:val="auto"/>
                <w:kern w:val="0"/>
                <w:sz w:val="18"/>
                <w:szCs w:val="18"/>
                <w:highlight w:val="none"/>
              </w:rPr>
            </w:pPr>
            <w:r>
              <w:rPr>
                <w:rStyle w:val="57"/>
                <w:rFonts w:ascii="宋体" w:hAnsi="宋体" w:cs="宋体"/>
                <w:b/>
                <w:bCs/>
                <w:color w:val="auto"/>
                <w:kern w:val="0"/>
                <w:sz w:val="18"/>
                <w:szCs w:val="18"/>
                <w:highlight w:val="none"/>
              </w:rPr>
              <w:t>单位</w:t>
            </w:r>
          </w:p>
        </w:tc>
        <w:tc>
          <w:tcPr>
            <w:tcW w:w="1125" w:type="dxa"/>
            <w:tcBorders>
              <w:top w:val="single" w:color="000000" w:sz="4" w:space="0"/>
              <w:left w:val="single" w:color="000000" w:sz="4" w:space="0"/>
              <w:bottom w:val="single" w:color="000000" w:sz="4" w:space="0"/>
              <w:right w:val="single" w:color="000000" w:sz="4" w:space="0"/>
            </w:tcBorders>
            <w:shd w:val="clear" w:color="auto" w:fill="8DB3E2"/>
            <w:noWrap w:val="0"/>
            <w:vAlign w:val="center"/>
          </w:tcPr>
          <w:p w14:paraId="04F0330F">
            <w:pPr>
              <w:keepNext w:val="0"/>
              <w:keepLines w:val="0"/>
              <w:pageBreakBefore w:val="0"/>
              <w:widowControl w:val="0"/>
              <w:wordWrap/>
              <w:topLinePunct w:val="0"/>
              <w:bidi w:val="0"/>
              <w:jc w:val="center"/>
              <w:outlineLvl w:val="9"/>
              <w:rPr>
                <w:rStyle w:val="57"/>
                <w:rFonts w:ascii="宋体" w:hAnsi="宋体" w:cs="宋体"/>
                <w:b/>
                <w:bCs/>
                <w:color w:val="auto"/>
                <w:kern w:val="0"/>
                <w:sz w:val="18"/>
                <w:szCs w:val="18"/>
                <w:highlight w:val="none"/>
              </w:rPr>
            </w:pPr>
            <w:r>
              <w:rPr>
                <w:rStyle w:val="57"/>
                <w:rFonts w:ascii="宋体" w:hAnsi="宋体" w:cs="宋体"/>
                <w:b/>
                <w:bCs/>
                <w:color w:val="auto"/>
                <w:kern w:val="0"/>
                <w:sz w:val="18"/>
                <w:szCs w:val="18"/>
                <w:highlight w:val="none"/>
              </w:rPr>
              <w:t>大型</w:t>
            </w:r>
          </w:p>
        </w:tc>
        <w:tc>
          <w:tcPr>
            <w:tcW w:w="1701" w:type="dxa"/>
            <w:tcBorders>
              <w:top w:val="single" w:color="000000" w:sz="4" w:space="0"/>
              <w:left w:val="single" w:color="000000" w:sz="4" w:space="0"/>
              <w:bottom w:val="single" w:color="000000" w:sz="4" w:space="0"/>
              <w:right w:val="single" w:color="000000" w:sz="4" w:space="0"/>
            </w:tcBorders>
            <w:shd w:val="clear" w:color="auto" w:fill="8DB3E2"/>
            <w:noWrap w:val="0"/>
            <w:vAlign w:val="center"/>
          </w:tcPr>
          <w:p w14:paraId="3DC94986">
            <w:pPr>
              <w:keepNext w:val="0"/>
              <w:keepLines w:val="0"/>
              <w:pageBreakBefore w:val="0"/>
              <w:widowControl w:val="0"/>
              <w:wordWrap/>
              <w:topLinePunct w:val="0"/>
              <w:bidi w:val="0"/>
              <w:jc w:val="center"/>
              <w:outlineLvl w:val="9"/>
              <w:rPr>
                <w:rStyle w:val="57"/>
                <w:rFonts w:ascii="宋体" w:hAnsi="宋体" w:cs="宋体"/>
                <w:b/>
                <w:bCs/>
                <w:color w:val="auto"/>
                <w:kern w:val="0"/>
                <w:sz w:val="18"/>
                <w:szCs w:val="18"/>
                <w:highlight w:val="none"/>
              </w:rPr>
            </w:pPr>
            <w:r>
              <w:rPr>
                <w:rStyle w:val="57"/>
                <w:rFonts w:ascii="宋体" w:hAnsi="宋体" w:cs="宋体"/>
                <w:b/>
                <w:bCs/>
                <w:color w:val="auto"/>
                <w:kern w:val="0"/>
                <w:sz w:val="18"/>
                <w:szCs w:val="18"/>
                <w:highlight w:val="none"/>
              </w:rPr>
              <w:t>中型</w:t>
            </w:r>
          </w:p>
        </w:tc>
        <w:tc>
          <w:tcPr>
            <w:tcW w:w="1426" w:type="dxa"/>
            <w:tcBorders>
              <w:top w:val="single" w:color="000000" w:sz="4" w:space="0"/>
              <w:left w:val="single" w:color="000000" w:sz="4" w:space="0"/>
              <w:bottom w:val="single" w:color="000000" w:sz="4" w:space="0"/>
              <w:right w:val="single" w:color="000000" w:sz="4" w:space="0"/>
            </w:tcBorders>
            <w:shd w:val="clear" w:color="auto" w:fill="8DB3E2"/>
            <w:noWrap w:val="0"/>
            <w:vAlign w:val="center"/>
          </w:tcPr>
          <w:p w14:paraId="1D78754C">
            <w:pPr>
              <w:keepNext w:val="0"/>
              <w:keepLines w:val="0"/>
              <w:pageBreakBefore w:val="0"/>
              <w:widowControl w:val="0"/>
              <w:wordWrap/>
              <w:topLinePunct w:val="0"/>
              <w:bidi w:val="0"/>
              <w:jc w:val="center"/>
              <w:outlineLvl w:val="9"/>
              <w:rPr>
                <w:rStyle w:val="57"/>
                <w:rFonts w:ascii="宋体" w:hAnsi="宋体" w:cs="宋体"/>
                <w:b/>
                <w:bCs/>
                <w:color w:val="auto"/>
                <w:kern w:val="0"/>
                <w:sz w:val="18"/>
                <w:szCs w:val="18"/>
                <w:highlight w:val="none"/>
              </w:rPr>
            </w:pPr>
            <w:r>
              <w:rPr>
                <w:rStyle w:val="57"/>
                <w:rFonts w:ascii="宋体" w:hAnsi="宋体" w:cs="宋体"/>
                <w:b/>
                <w:bCs/>
                <w:color w:val="auto"/>
                <w:kern w:val="0"/>
                <w:sz w:val="18"/>
                <w:szCs w:val="18"/>
                <w:highlight w:val="none"/>
              </w:rPr>
              <w:t>小型</w:t>
            </w:r>
          </w:p>
        </w:tc>
        <w:tc>
          <w:tcPr>
            <w:tcW w:w="992" w:type="dxa"/>
            <w:tcBorders>
              <w:top w:val="single" w:color="000000" w:sz="4" w:space="0"/>
              <w:left w:val="single" w:color="000000" w:sz="4" w:space="0"/>
              <w:bottom w:val="single" w:color="000000" w:sz="4" w:space="0"/>
              <w:right w:val="single" w:color="000000" w:sz="4" w:space="0"/>
            </w:tcBorders>
            <w:shd w:val="clear" w:color="auto" w:fill="8DB3E2"/>
            <w:noWrap w:val="0"/>
            <w:vAlign w:val="center"/>
          </w:tcPr>
          <w:p w14:paraId="1A6B7C47">
            <w:pPr>
              <w:keepNext w:val="0"/>
              <w:keepLines w:val="0"/>
              <w:pageBreakBefore w:val="0"/>
              <w:widowControl w:val="0"/>
              <w:wordWrap/>
              <w:topLinePunct w:val="0"/>
              <w:bidi w:val="0"/>
              <w:jc w:val="center"/>
              <w:outlineLvl w:val="9"/>
              <w:rPr>
                <w:rStyle w:val="57"/>
                <w:rFonts w:ascii="宋体" w:hAnsi="宋体" w:cs="宋体"/>
                <w:b/>
                <w:bCs/>
                <w:color w:val="auto"/>
                <w:kern w:val="0"/>
                <w:sz w:val="18"/>
                <w:szCs w:val="18"/>
                <w:highlight w:val="none"/>
              </w:rPr>
            </w:pPr>
            <w:r>
              <w:rPr>
                <w:rStyle w:val="57"/>
                <w:rFonts w:ascii="宋体" w:hAnsi="宋体" w:cs="宋体"/>
                <w:b/>
                <w:bCs/>
                <w:color w:val="auto"/>
                <w:kern w:val="0"/>
                <w:sz w:val="18"/>
                <w:szCs w:val="18"/>
                <w:highlight w:val="none"/>
              </w:rPr>
              <w:t>微型</w:t>
            </w:r>
          </w:p>
        </w:tc>
      </w:tr>
      <w:tr w14:paraId="1CDA42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tcBorders>
              <w:top w:val="single" w:color="000000" w:sz="4" w:space="0"/>
              <w:left w:val="single" w:color="000000" w:sz="4" w:space="0"/>
              <w:bottom w:val="single" w:color="000000" w:sz="4" w:space="0"/>
              <w:right w:val="single" w:color="000000" w:sz="4" w:space="0"/>
            </w:tcBorders>
            <w:noWrap w:val="0"/>
            <w:vAlign w:val="center"/>
          </w:tcPr>
          <w:p w14:paraId="0BE48547">
            <w:pPr>
              <w:keepNext w:val="0"/>
              <w:keepLines w:val="0"/>
              <w:pageBreakBefore w:val="0"/>
              <w:widowControl w:val="0"/>
              <w:wordWrap/>
              <w:topLinePunct w:val="0"/>
              <w:bidi w:val="0"/>
              <w:spacing w:line="240" w:lineRule="exact"/>
              <w:jc w:val="left"/>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农、林、牧、渔业</w:t>
            </w: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39D8A1FF">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7ABADC61">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万元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17476B7">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Y≥20000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1F892FAA">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500≤Y＜20000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70C05D5F">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50≤Y＜500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4749C8C3">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Y＜50</w:t>
            </w:r>
          </w:p>
        </w:tc>
      </w:tr>
      <w:tr w14:paraId="624B4B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restart"/>
            <w:tcBorders>
              <w:top w:val="single" w:color="000000" w:sz="4" w:space="0"/>
              <w:left w:val="single" w:color="000000" w:sz="4" w:space="0"/>
              <w:bottom w:val="single" w:color="000000" w:sz="4" w:space="0"/>
              <w:right w:val="single" w:color="000000" w:sz="4" w:space="0"/>
            </w:tcBorders>
            <w:noWrap w:val="0"/>
            <w:vAlign w:val="center"/>
          </w:tcPr>
          <w:p w14:paraId="649584F6">
            <w:pPr>
              <w:keepNext w:val="0"/>
              <w:keepLines w:val="0"/>
              <w:pageBreakBefore w:val="0"/>
              <w:widowControl w:val="0"/>
              <w:wordWrap/>
              <w:topLinePunct w:val="0"/>
              <w:bidi w:val="0"/>
              <w:spacing w:line="240" w:lineRule="exact"/>
              <w:jc w:val="left"/>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工业 *</w:t>
            </w: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1321EB10">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从业人员(X)</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31E531D2">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人</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79A1379">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X≥1000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4A8C4EC8">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300≤X＜1000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2B979C72">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20≤X＜300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1C8D1FDF">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X＜20</w:t>
            </w:r>
          </w:p>
        </w:tc>
      </w:tr>
      <w:tr w14:paraId="7F8155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CA7350">
            <w:pPr>
              <w:keepNext w:val="0"/>
              <w:keepLines w:val="0"/>
              <w:pageBreakBefore w:val="0"/>
              <w:widowControl w:val="0"/>
              <w:wordWrap/>
              <w:topLinePunct w:val="0"/>
              <w:bidi w:val="0"/>
              <w:jc w:val="left"/>
              <w:outlineLvl w:val="9"/>
              <w:rPr>
                <w:rStyle w:val="57"/>
                <w:rFonts w:ascii="宋体" w:hAnsi="宋体"/>
                <w:color w:val="auto"/>
                <w:kern w:val="0"/>
                <w:sz w:val="18"/>
                <w:szCs w:val="18"/>
                <w:highlight w:val="none"/>
              </w:rPr>
            </w:pP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7C5F6291">
            <w:pPr>
              <w:keepNext w:val="0"/>
              <w:keepLines w:val="0"/>
              <w:pageBreakBefore w:val="0"/>
              <w:widowControl w:val="0"/>
              <w:wordWrap/>
              <w:topLinePunct w:val="0"/>
              <w:bidi w:val="0"/>
              <w:spacing w:line="240" w:lineRule="exact"/>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58E0CD59">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万元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E4140AE">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Y≥40000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03FF01C7">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2000≤Y＜40000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33EEF8DF">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300≤Y＜2000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62B74FEE">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Y＜300</w:t>
            </w:r>
          </w:p>
        </w:tc>
      </w:tr>
      <w:tr w14:paraId="02FEC8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restart"/>
            <w:tcBorders>
              <w:top w:val="single" w:color="000000" w:sz="4" w:space="0"/>
              <w:left w:val="single" w:color="000000" w:sz="4" w:space="0"/>
              <w:bottom w:val="single" w:color="000000" w:sz="4" w:space="0"/>
              <w:right w:val="single" w:color="000000" w:sz="4" w:space="0"/>
            </w:tcBorders>
            <w:noWrap w:val="0"/>
            <w:vAlign w:val="center"/>
          </w:tcPr>
          <w:p w14:paraId="473C9E6C">
            <w:pPr>
              <w:keepNext w:val="0"/>
              <w:keepLines w:val="0"/>
              <w:pageBreakBefore w:val="0"/>
              <w:widowControl w:val="0"/>
              <w:wordWrap/>
              <w:topLinePunct w:val="0"/>
              <w:bidi w:val="0"/>
              <w:spacing w:line="240" w:lineRule="exact"/>
              <w:jc w:val="left"/>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建筑业</w:t>
            </w: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2B27046F">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51554532">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万元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43560AF">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Y≥80000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3E46374B">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6000≤Y＜80000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279964B0">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300≤Y＜6000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31A060F7">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Y＜300</w:t>
            </w:r>
          </w:p>
        </w:tc>
      </w:tr>
      <w:tr w14:paraId="7BF502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942858">
            <w:pPr>
              <w:keepNext w:val="0"/>
              <w:keepLines w:val="0"/>
              <w:pageBreakBefore w:val="0"/>
              <w:widowControl w:val="0"/>
              <w:wordWrap/>
              <w:topLinePunct w:val="0"/>
              <w:bidi w:val="0"/>
              <w:jc w:val="left"/>
              <w:outlineLvl w:val="9"/>
              <w:rPr>
                <w:rStyle w:val="57"/>
                <w:rFonts w:ascii="宋体" w:hAnsi="宋体"/>
                <w:color w:val="auto"/>
                <w:kern w:val="0"/>
                <w:sz w:val="18"/>
                <w:szCs w:val="18"/>
                <w:highlight w:val="none"/>
              </w:rPr>
            </w:pP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1BC8490C">
            <w:pPr>
              <w:keepNext w:val="0"/>
              <w:keepLines w:val="0"/>
              <w:pageBreakBefore w:val="0"/>
              <w:widowControl w:val="0"/>
              <w:wordWrap/>
              <w:topLinePunct w:val="0"/>
              <w:bidi w:val="0"/>
              <w:spacing w:line="240" w:lineRule="exact"/>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资产总额(Z)</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022DDBAE">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万元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CD8613D">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Z≥80000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0314BF9B">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5000≤Z＜80000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4D0B6DC2">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300≤Z＜5000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4A686801">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Z＜300</w:t>
            </w:r>
          </w:p>
        </w:tc>
      </w:tr>
      <w:tr w14:paraId="2072DB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restart"/>
            <w:tcBorders>
              <w:top w:val="single" w:color="000000" w:sz="4" w:space="0"/>
              <w:left w:val="single" w:color="000000" w:sz="4" w:space="0"/>
              <w:bottom w:val="single" w:color="000000" w:sz="4" w:space="0"/>
              <w:right w:val="single" w:color="000000" w:sz="4" w:space="0"/>
            </w:tcBorders>
            <w:noWrap w:val="0"/>
            <w:vAlign w:val="center"/>
          </w:tcPr>
          <w:p w14:paraId="03E85D78">
            <w:pPr>
              <w:keepNext w:val="0"/>
              <w:keepLines w:val="0"/>
              <w:pageBreakBefore w:val="0"/>
              <w:widowControl w:val="0"/>
              <w:wordWrap/>
              <w:topLinePunct w:val="0"/>
              <w:bidi w:val="0"/>
              <w:spacing w:line="240" w:lineRule="exact"/>
              <w:jc w:val="left"/>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批发业</w:t>
            </w: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78373299">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从业人员(X)</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5F825FB5">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人</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275C713">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X≥200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688C67E0">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20≤X＜200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1244D3A0">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5≤X＜20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1F9D2FA6">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X＜5</w:t>
            </w:r>
          </w:p>
        </w:tc>
      </w:tr>
      <w:tr w14:paraId="3CA727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DA342D">
            <w:pPr>
              <w:keepNext w:val="0"/>
              <w:keepLines w:val="0"/>
              <w:pageBreakBefore w:val="0"/>
              <w:widowControl w:val="0"/>
              <w:wordWrap/>
              <w:topLinePunct w:val="0"/>
              <w:bidi w:val="0"/>
              <w:jc w:val="left"/>
              <w:outlineLvl w:val="9"/>
              <w:rPr>
                <w:rStyle w:val="57"/>
                <w:rFonts w:ascii="宋体" w:hAnsi="宋体"/>
                <w:color w:val="auto"/>
                <w:kern w:val="0"/>
                <w:sz w:val="18"/>
                <w:szCs w:val="18"/>
                <w:highlight w:val="none"/>
              </w:rPr>
            </w:pP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64DC47B6">
            <w:pPr>
              <w:keepNext w:val="0"/>
              <w:keepLines w:val="0"/>
              <w:pageBreakBefore w:val="0"/>
              <w:widowControl w:val="0"/>
              <w:wordWrap/>
              <w:topLinePunct w:val="0"/>
              <w:bidi w:val="0"/>
              <w:spacing w:line="240" w:lineRule="exact"/>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347C6AD4">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万元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329D3F5">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Y≥40000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0651663F">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5000≤Y＜40000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7486A9EB">
            <w:pPr>
              <w:keepNext w:val="0"/>
              <w:keepLines w:val="0"/>
              <w:pageBreakBefore w:val="0"/>
              <w:widowControl w:val="0"/>
              <w:wordWrap/>
              <w:topLinePunct w:val="0"/>
              <w:bidi w:val="0"/>
              <w:ind w:left="-1" w:leftChars="-1" w:hanging="1"/>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1000≤Y＜5000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1414BB64">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Y＜1000</w:t>
            </w:r>
          </w:p>
        </w:tc>
      </w:tr>
      <w:tr w14:paraId="47E938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restart"/>
            <w:tcBorders>
              <w:top w:val="single" w:color="000000" w:sz="4" w:space="0"/>
              <w:left w:val="single" w:color="000000" w:sz="4" w:space="0"/>
              <w:bottom w:val="single" w:color="000000" w:sz="4" w:space="0"/>
              <w:right w:val="single" w:color="000000" w:sz="4" w:space="0"/>
            </w:tcBorders>
            <w:noWrap w:val="0"/>
            <w:vAlign w:val="center"/>
          </w:tcPr>
          <w:p w14:paraId="691709FE">
            <w:pPr>
              <w:keepNext w:val="0"/>
              <w:keepLines w:val="0"/>
              <w:pageBreakBefore w:val="0"/>
              <w:widowControl w:val="0"/>
              <w:wordWrap/>
              <w:topLinePunct w:val="0"/>
              <w:bidi w:val="0"/>
              <w:spacing w:line="240" w:lineRule="exact"/>
              <w:jc w:val="left"/>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零售业</w:t>
            </w: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1B9CBFDA">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从业人员(X)</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5DC47364">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人</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BDCF27F">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X≥300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4C9D917D">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50≤X＜300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3C3E8792">
            <w:pPr>
              <w:keepNext w:val="0"/>
              <w:keepLines w:val="0"/>
              <w:pageBreakBefore w:val="0"/>
              <w:widowControl w:val="0"/>
              <w:wordWrap/>
              <w:topLinePunct w:val="0"/>
              <w:bidi w:val="0"/>
              <w:ind w:left="-1" w:leftChars="-1" w:hanging="1"/>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 xml:space="preserve">10≤X＜50 </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3CED4FA6">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X＜10</w:t>
            </w:r>
          </w:p>
        </w:tc>
      </w:tr>
      <w:tr w14:paraId="689CF3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6F6844">
            <w:pPr>
              <w:keepNext w:val="0"/>
              <w:keepLines w:val="0"/>
              <w:pageBreakBefore w:val="0"/>
              <w:widowControl w:val="0"/>
              <w:wordWrap/>
              <w:topLinePunct w:val="0"/>
              <w:bidi w:val="0"/>
              <w:jc w:val="left"/>
              <w:outlineLvl w:val="9"/>
              <w:rPr>
                <w:rStyle w:val="57"/>
                <w:rFonts w:ascii="宋体" w:hAnsi="宋体"/>
                <w:color w:val="auto"/>
                <w:kern w:val="0"/>
                <w:sz w:val="18"/>
                <w:szCs w:val="18"/>
                <w:highlight w:val="none"/>
              </w:rPr>
            </w:pP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4B286567">
            <w:pPr>
              <w:keepNext w:val="0"/>
              <w:keepLines w:val="0"/>
              <w:pageBreakBefore w:val="0"/>
              <w:widowControl w:val="0"/>
              <w:wordWrap/>
              <w:topLinePunct w:val="0"/>
              <w:bidi w:val="0"/>
              <w:spacing w:line="240" w:lineRule="exact"/>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66638C48">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万元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83CC6FE">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Y≥20000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0DAE05CF">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500≤Y＜20000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2989B17F">
            <w:pPr>
              <w:keepNext w:val="0"/>
              <w:keepLines w:val="0"/>
              <w:pageBreakBefore w:val="0"/>
              <w:widowControl w:val="0"/>
              <w:wordWrap/>
              <w:topLinePunct w:val="0"/>
              <w:bidi w:val="0"/>
              <w:ind w:left="-1" w:leftChars="-1" w:hanging="1"/>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100≤Y＜500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0016CD30">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Y＜100</w:t>
            </w:r>
          </w:p>
        </w:tc>
      </w:tr>
      <w:tr w14:paraId="2D6E7A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restart"/>
            <w:tcBorders>
              <w:top w:val="single" w:color="000000" w:sz="4" w:space="0"/>
              <w:left w:val="single" w:color="000000" w:sz="4" w:space="0"/>
              <w:bottom w:val="single" w:color="000000" w:sz="4" w:space="0"/>
              <w:right w:val="single" w:color="000000" w:sz="4" w:space="0"/>
            </w:tcBorders>
            <w:noWrap w:val="0"/>
            <w:vAlign w:val="center"/>
          </w:tcPr>
          <w:p w14:paraId="18DA7C11">
            <w:pPr>
              <w:keepNext w:val="0"/>
              <w:keepLines w:val="0"/>
              <w:pageBreakBefore w:val="0"/>
              <w:widowControl w:val="0"/>
              <w:wordWrap/>
              <w:topLinePunct w:val="0"/>
              <w:bidi w:val="0"/>
              <w:spacing w:line="240" w:lineRule="exact"/>
              <w:jc w:val="left"/>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交通运输业 *</w:t>
            </w: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596AA57B">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从业人员(X)</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79FDD837">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人</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2B21D1B">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X≥1000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3A1F4D67">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300≤X＜1000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6738CEBA">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20≤X＜300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31789875">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X＜20</w:t>
            </w:r>
          </w:p>
        </w:tc>
      </w:tr>
      <w:tr w14:paraId="13CFB7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ACCA55">
            <w:pPr>
              <w:keepNext w:val="0"/>
              <w:keepLines w:val="0"/>
              <w:pageBreakBefore w:val="0"/>
              <w:widowControl w:val="0"/>
              <w:wordWrap/>
              <w:topLinePunct w:val="0"/>
              <w:bidi w:val="0"/>
              <w:jc w:val="left"/>
              <w:outlineLvl w:val="9"/>
              <w:rPr>
                <w:rStyle w:val="57"/>
                <w:rFonts w:ascii="宋体" w:hAnsi="宋体"/>
                <w:color w:val="auto"/>
                <w:kern w:val="0"/>
                <w:sz w:val="18"/>
                <w:szCs w:val="18"/>
                <w:highlight w:val="none"/>
              </w:rPr>
            </w:pP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6E929101">
            <w:pPr>
              <w:keepNext w:val="0"/>
              <w:keepLines w:val="0"/>
              <w:pageBreakBefore w:val="0"/>
              <w:widowControl w:val="0"/>
              <w:wordWrap/>
              <w:topLinePunct w:val="0"/>
              <w:bidi w:val="0"/>
              <w:spacing w:line="240" w:lineRule="exact"/>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1D3069C2">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万元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930E9E8">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Y≥30000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74058F8A">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3000≤Y＜30000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35E47648">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200≤Y＜3000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4CCA94F4">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Y＜200</w:t>
            </w:r>
          </w:p>
        </w:tc>
      </w:tr>
      <w:tr w14:paraId="467A9C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restart"/>
            <w:tcBorders>
              <w:top w:val="single" w:color="000000" w:sz="4" w:space="0"/>
              <w:left w:val="single" w:color="000000" w:sz="4" w:space="0"/>
              <w:bottom w:val="single" w:color="000000" w:sz="4" w:space="0"/>
              <w:right w:val="single" w:color="000000" w:sz="4" w:space="0"/>
            </w:tcBorders>
            <w:noWrap w:val="0"/>
            <w:vAlign w:val="center"/>
          </w:tcPr>
          <w:p w14:paraId="38205E1B">
            <w:pPr>
              <w:keepNext w:val="0"/>
              <w:keepLines w:val="0"/>
              <w:pageBreakBefore w:val="0"/>
              <w:widowControl w:val="0"/>
              <w:wordWrap/>
              <w:topLinePunct w:val="0"/>
              <w:bidi w:val="0"/>
              <w:spacing w:line="240" w:lineRule="exact"/>
              <w:jc w:val="left"/>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仓储业*</w:t>
            </w: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4F1DB0EA">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从业人员(X)</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029BCA2A">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人</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C25B623">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X≥200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292039B3">
            <w:pPr>
              <w:keepNext w:val="0"/>
              <w:keepLines w:val="0"/>
              <w:pageBreakBefore w:val="0"/>
              <w:widowControl w:val="0"/>
              <w:wordWrap/>
              <w:topLinePunct w:val="0"/>
              <w:bidi w:val="0"/>
              <w:ind w:left="1" w:leftChars="-51" w:hanging="108"/>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100≤X＜200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79439BA6">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20≤X＜100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127D34CA">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X＜20</w:t>
            </w:r>
          </w:p>
        </w:tc>
      </w:tr>
      <w:tr w14:paraId="7E4991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B4D4DB">
            <w:pPr>
              <w:keepNext w:val="0"/>
              <w:keepLines w:val="0"/>
              <w:pageBreakBefore w:val="0"/>
              <w:widowControl w:val="0"/>
              <w:wordWrap/>
              <w:topLinePunct w:val="0"/>
              <w:bidi w:val="0"/>
              <w:jc w:val="left"/>
              <w:outlineLvl w:val="9"/>
              <w:rPr>
                <w:rStyle w:val="57"/>
                <w:rFonts w:ascii="宋体" w:hAnsi="宋体"/>
                <w:color w:val="auto"/>
                <w:kern w:val="0"/>
                <w:sz w:val="18"/>
                <w:szCs w:val="18"/>
                <w:highlight w:val="none"/>
              </w:rPr>
            </w:pP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4601C421">
            <w:pPr>
              <w:keepNext w:val="0"/>
              <w:keepLines w:val="0"/>
              <w:pageBreakBefore w:val="0"/>
              <w:widowControl w:val="0"/>
              <w:wordWrap/>
              <w:topLinePunct w:val="0"/>
              <w:bidi w:val="0"/>
              <w:spacing w:line="240" w:lineRule="exact"/>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65656455">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万元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AC17D4F">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Y≥30000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39220600">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1000≤Y＜30000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5AD79B6C">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100≤Y＜1000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535D2B06">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Y＜100</w:t>
            </w:r>
          </w:p>
        </w:tc>
      </w:tr>
      <w:tr w14:paraId="5D0D97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restart"/>
            <w:tcBorders>
              <w:top w:val="single" w:color="000000" w:sz="4" w:space="0"/>
              <w:left w:val="single" w:color="000000" w:sz="4" w:space="0"/>
              <w:bottom w:val="single" w:color="000000" w:sz="4" w:space="0"/>
              <w:right w:val="single" w:color="000000" w:sz="4" w:space="0"/>
            </w:tcBorders>
            <w:noWrap w:val="0"/>
            <w:vAlign w:val="center"/>
          </w:tcPr>
          <w:p w14:paraId="407599F9">
            <w:pPr>
              <w:keepNext w:val="0"/>
              <w:keepLines w:val="0"/>
              <w:pageBreakBefore w:val="0"/>
              <w:widowControl w:val="0"/>
              <w:wordWrap/>
              <w:topLinePunct w:val="0"/>
              <w:bidi w:val="0"/>
              <w:spacing w:line="240" w:lineRule="exact"/>
              <w:jc w:val="left"/>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邮政业</w:t>
            </w: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6D0653B3">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从业人员(X)</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619CC9A4">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人</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550A11A">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X≥1000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4339F2E8">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300≤X＜1000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27BA0924">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20≤X＜300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4DF3A4A3">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X＜20</w:t>
            </w:r>
          </w:p>
        </w:tc>
      </w:tr>
      <w:tr w14:paraId="38302D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9C8902">
            <w:pPr>
              <w:keepNext w:val="0"/>
              <w:keepLines w:val="0"/>
              <w:pageBreakBefore w:val="0"/>
              <w:widowControl w:val="0"/>
              <w:wordWrap/>
              <w:topLinePunct w:val="0"/>
              <w:bidi w:val="0"/>
              <w:jc w:val="left"/>
              <w:outlineLvl w:val="9"/>
              <w:rPr>
                <w:rStyle w:val="57"/>
                <w:rFonts w:ascii="宋体" w:hAnsi="宋体"/>
                <w:color w:val="auto"/>
                <w:kern w:val="0"/>
                <w:sz w:val="18"/>
                <w:szCs w:val="18"/>
                <w:highlight w:val="none"/>
              </w:rPr>
            </w:pP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22E95BE6">
            <w:pPr>
              <w:keepNext w:val="0"/>
              <w:keepLines w:val="0"/>
              <w:pageBreakBefore w:val="0"/>
              <w:widowControl w:val="0"/>
              <w:wordWrap/>
              <w:topLinePunct w:val="0"/>
              <w:bidi w:val="0"/>
              <w:spacing w:line="240" w:lineRule="exact"/>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37B43740">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万元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7ECF465">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Y≥30000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12691FAE">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2000≤Y＜30000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38C0B785">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100≤Y＜2000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08E619FE">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Y＜100</w:t>
            </w:r>
          </w:p>
        </w:tc>
      </w:tr>
      <w:tr w14:paraId="20F330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restart"/>
            <w:tcBorders>
              <w:top w:val="single" w:color="000000" w:sz="4" w:space="0"/>
              <w:left w:val="single" w:color="000000" w:sz="4" w:space="0"/>
              <w:bottom w:val="single" w:color="000000" w:sz="4" w:space="0"/>
              <w:right w:val="single" w:color="000000" w:sz="4" w:space="0"/>
            </w:tcBorders>
            <w:noWrap w:val="0"/>
            <w:vAlign w:val="center"/>
          </w:tcPr>
          <w:p w14:paraId="7F3A1EF0">
            <w:pPr>
              <w:keepNext w:val="0"/>
              <w:keepLines w:val="0"/>
              <w:pageBreakBefore w:val="0"/>
              <w:widowControl w:val="0"/>
              <w:wordWrap/>
              <w:topLinePunct w:val="0"/>
              <w:bidi w:val="0"/>
              <w:spacing w:line="240" w:lineRule="exact"/>
              <w:jc w:val="left"/>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住宿业</w:t>
            </w: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56D38241">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从业人员(X)</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01BAB49B">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人</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5B8C517">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X≥300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13C6115C">
            <w:pPr>
              <w:keepNext w:val="0"/>
              <w:keepLines w:val="0"/>
              <w:pageBreakBefore w:val="0"/>
              <w:widowControl w:val="0"/>
              <w:wordWrap/>
              <w:topLinePunct w:val="0"/>
              <w:bidi w:val="0"/>
              <w:ind w:left="1" w:leftChars="-51" w:hanging="108"/>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100≤X＜300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0855FB7D">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10≤X＜100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53E9D6EF">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X＜10</w:t>
            </w:r>
          </w:p>
        </w:tc>
      </w:tr>
      <w:tr w14:paraId="33A355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B288E9">
            <w:pPr>
              <w:keepNext w:val="0"/>
              <w:keepLines w:val="0"/>
              <w:pageBreakBefore w:val="0"/>
              <w:widowControl w:val="0"/>
              <w:wordWrap/>
              <w:topLinePunct w:val="0"/>
              <w:bidi w:val="0"/>
              <w:jc w:val="left"/>
              <w:outlineLvl w:val="9"/>
              <w:rPr>
                <w:rStyle w:val="57"/>
                <w:rFonts w:ascii="宋体" w:hAnsi="宋体"/>
                <w:color w:val="auto"/>
                <w:kern w:val="0"/>
                <w:sz w:val="18"/>
                <w:szCs w:val="18"/>
                <w:highlight w:val="none"/>
              </w:rPr>
            </w:pP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465A6682">
            <w:pPr>
              <w:keepNext w:val="0"/>
              <w:keepLines w:val="0"/>
              <w:pageBreakBefore w:val="0"/>
              <w:widowControl w:val="0"/>
              <w:wordWrap/>
              <w:topLinePunct w:val="0"/>
              <w:bidi w:val="0"/>
              <w:spacing w:line="240" w:lineRule="exact"/>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297EE506">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万元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38E662B">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Y≥10000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1549E7C8">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2000≤Y＜10000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68FAB4E6">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100≤Y＜2000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10D06AB1">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Y＜100</w:t>
            </w:r>
          </w:p>
        </w:tc>
      </w:tr>
      <w:tr w14:paraId="14981B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restart"/>
            <w:tcBorders>
              <w:top w:val="single" w:color="000000" w:sz="4" w:space="0"/>
              <w:left w:val="single" w:color="000000" w:sz="4" w:space="0"/>
              <w:bottom w:val="single" w:color="000000" w:sz="4" w:space="0"/>
              <w:right w:val="single" w:color="000000" w:sz="4" w:space="0"/>
            </w:tcBorders>
            <w:noWrap w:val="0"/>
            <w:vAlign w:val="center"/>
          </w:tcPr>
          <w:p w14:paraId="2046E627">
            <w:pPr>
              <w:keepNext w:val="0"/>
              <w:keepLines w:val="0"/>
              <w:pageBreakBefore w:val="0"/>
              <w:widowControl w:val="0"/>
              <w:wordWrap/>
              <w:topLinePunct w:val="0"/>
              <w:bidi w:val="0"/>
              <w:spacing w:line="240" w:lineRule="exact"/>
              <w:jc w:val="left"/>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餐饮业</w:t>
            </w: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78D97A57">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从业人员(X)</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0E4B3CA2">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人</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85BC9AE">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X≥300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37196E09">
            <w:pPr>
              <w:keepNext w:val="0"/>
              <w:keepLines w:val="0"/>
              <w:pageBreakBefore w:val="0"/>
              <w:widowControl w:val="0"/>
              <w:wordWrap/>
              <w:topLinePunct w:val="0"/>
              <w:bidi w:val="0"/>
              <w:ind w:left="1" w:leftChars="-51" w:hanging="108"/>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 xml:space="preserve">100≤X＜300 </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0F8E4AD3">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10≤X＜100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7AF616CD">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X＜10</w:t>
            </w:r>
          </w:p>
        </w:tc>
      </w:tr>
      <w:tr w14:paraId="1DF09B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6CAA1C">
            <w:pPr>
              <w:keepNext w:val="0"/>
              <w:keepLines w:val="0"/>
              <w:pageBreakBefore w:val="0"/>
              <w:widowControl w:val="0"/>
              <w:wordWrap/>
              <w:topLinePunct w:val="0"/>
              <w:bidi w:val="0"/>
              <w:jc w:val="left"/>
              <w:outlineLvl w:val="9"/>
              <w:rPr>
                <w:rStyle w:val="57"/>
                <w:rFonts w:ascii="宋体" w:hAnsi="宋体"/>
                <w:color w:val="auto"/>
                <w:kern w:val="0"/>
                <w:sz w:val="18"/>
                <w:szCs w:val="18"/>
                <w:highlight w:val="none"/>
              </w:rPr>
            </w:pP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47603316">
            <w:pPr>
              <w:keepNext w:val="0"/>
              <w:keepLines w:val="0"/>
              <w:pageBreakBefore w:val="0"/>
              <w:widowControl w:val="0"/>
              <w:wordWrap/>
              <w:topLinePunct w:val="0"/>
              <w:bidi w:val="0"/>
              <w:spacing w:line="240" w:lineRule="exact"/>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26FBE794">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万元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0865868">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Y≥10000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60C92166">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2000≤Y＜10000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3E1B3554">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100≤Y＜2000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5F884ECA">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Y＜100</w:t>
            </w:r>
          </w:p>
        </w:tc>
      </w:tr>
      <w:tr w14:paraId="52E080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restart"/>
            <w:tcBorders>
              <w:top w:val="single" w:color="000000" w:sz="4" w:space="0"/>
              <w:left w:val="single" w:color="000000" w:sz="4" w:space="0"/>
              <w:bottom w:val="single" w:color="000000" w:sz="4" w:space="0"/>
              <w:right w:val="single" w:color="000000" w:sz="4" w:space="0"/>
            </w:tcBorders>
            <w:noWrap w:val="0"/>
            <w:vAlign w:val="center"/>
          </w:tcPr>
          <w:p w14:paraId="7BFFEC26">
            <w:pPr>
              <w:keepNext w:val="0"/>
              <w:keepLines w:val="0"/>
              <w:pageBreakBefore w:val="0"/>
              <w:widowControl w:val="0"/>
              <w:wordWrap/>
              <w:topLinePunct w:val="0"/>
              <w:bidi w:val="0"/>
              <w:spacing w:line="240" w:lineRule="exact"/>
              <w:jc w:val="left"/>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信息传输业 *</w:t>
            </w: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16B6A013">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从业人员(X)</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1971FC44">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人</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3B20AB9">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X≥2000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656AE620">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100≤X＜2000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57580737">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10≤X＜100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78A79A99">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X＜10</w:t>
            </w:r>
          </w:p>
        </w:tc>
      </w:tr>
      <w:tr w14:paraId="7EE9D5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7F246D">
            <w:pPr>
              <w:keepNext w:val="0"/>
              <w:keepLines w:val="0"/>
              <w:pageBreakBefore w:val="0"/>
              <w:widowControl w:val="0"/>
              <w:wordWrap/>
              <w:topLinePunct w:val="0"/>
              <w:bidi w:val="0"/>
              <w:jc w:val="left"/>
              <w:outlineLvl w:val="9"/>
              <w:rPr>
                <w:rStyle w:val="57"/>
                <w:rFonts w:ascii="宋体" w:hAnsi="宋体"/>
                <w:color w:val="auto"/>
                <w:kern w:val="0"/>
                <w:sz w:val="18"/>
                <w:szCs w:val="18"/>
                <w:highlight w:val="none"/>
              </w:rPr>
            </w:pP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15A18897">
            <w:pPr>
              <w:keepNext w:val="0"/>
              <w:keepLines w:val="0"/>
              <w:pageBreakBefore w:val="0"/>
              <w:widowControl w:val="0"/>
              <w:wordWrap/>
              <w:topLinePunct w:val="0"/>
              <w:bidi w:val="0"/>
              <w:spacing w:line="240" w:lineRule="exact"/>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2A66F478">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万元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2EECD10">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Y≥100000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0C49A988">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1000≤Y＜100000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15F34428">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100≤Y＜1000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00EAC56C">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Y＜100</w:t>
            </w:r>
          </w:p>
        </w:tc>
      </w:tr>
      <w:tr w14:paraId="03B810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trPr>
        <w:tc>
          <w:tcPr>
            <w:tcW w:w="2113" w:type="dxa"/>
            <w:vMerge w:val="restart"/>
            <w:tcBorders>
              <w:top w:val="single" w:color="000000" w:sz="4" w:space="0"/>
              <w:left w:val="single" w:color="000000" w:sz="4" w:space="0"/>
              <w:bottom w:val="single" w:color="000000" w:sz="4" w:space="0"/>
              <w:right w:val="single" w:color="000000" w:sz="4" w:space="0"/>
            </w:tcBorders>
            <w:noWrap w:val="0"/>
            <w:vAlign w:val="center"/>
          </w:tcPr>
          <w:p w14:paraId="10AC7376">
            <w:pPr>
              <w:keepNext w:val="0"/>
              <w:keepLines w:val="0"/>
              <w:pageBreakBefore w:val="0"/>
              <w:widowControl w:val="0"/>
              <w:wordWrap/>
              <w:topLinePunct w:val="0"/>
              <w:bidi w:val="0"/>
              <w:spacing w:line="240" w:lineRule="exact"/>
              <w:jc w:val="left"/>
              <w:outlineLvl w:val="9"/>
              <w:rPr>
                <w:rStyle w:val="57"/>
                <w:rFonts w:ascii="宋体" w:hAnsi="宋体"/>
                <w:color w:val="auto"/>
                <w:spacing w:val="-12"/>
                <w:kern w:val="0"/>
                <w:sz w:val="18"/>
                <w:szCs w:val="18"/>
                <w:highlight w:val="none"/>
              </w:rPr>
            </w:pPr>
            <w:r>
              <w:rPr>
                <w:rStyle w:val="57"/>
                <w:rFonts w:ascii="宋体" w:hAnsi="宋体"/>
                <w:color w:val="auto"/>
                <w:spacing w:val="-12"/>
                <w:kern w:val="0"/>
                <w:sz w:val="18"/>
                <w:szCs w:val="18"/>
                <w:highlight w:val="none"/>
              </w:rPr>
              <w:t>软件和信息技术服</w:t>
            </w:r>
            <w:r>
              <w:rPr>
                <w:rStyle w:val="57"/>
                <w:rFonts w:ascii="宋体" w:hAnsi="宋体"/>
                <w:color w:val="auto"/>
                <w:kern w:val="0"/>
                <w:sz w:val="18"/>
                <w:szCs w:val="18"/>
                <w:highlight w:val="none"/>
              </w:rPr>
              <w:t>务业</w:t>
            </w: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60E525F3">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从业人员(X)</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4018B185">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人</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F7ECA32">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X≥300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58826665">
            <w:pPr>
              <w:keepNext w:val="0"/>
              <w:keepLines w:val="0"/>
              <w:pageBreakBefore w:val="0"/>
              <w:widowControl w:val="0"/>
              <w:wordWrap/>
              <w:topLinePunct w:val="0"/>
              <w:bidi w:val="0"/>
              <w:ind w:left="1" w:leftChars="-51" w:hanging="108"/>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 xml:space="preserve">100≤X＜300 </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3B389C4E">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10≤X＜100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60E98925">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X＜10</w:t>
            </w:r>
          </w:p>
        </w:tc>
      </w:tr>
      <w:tr w14:paraId="4EE4C7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trPr>
        <w:tc>
          <w:tcPr>
            <w:tcW w:w="21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8E2810">
            <w:pPr>
              <w:keepNext w:val="0"/>
              <w:keepLines w:val="0"/>
              <w:pageBreakBefore w:val="0"/>
              <w:widowControl w:val="0"/>
              <w:wordWrap/>
              <w:topLinePunct w:val="0"/>
              <w:bidi w:val="0"/>
              <w:jc w:val="left"/>
              <w:outlineLvl w:val="9"/>
              <w:rPr>
                <w:rStyle w:val="57"/>
                <w:rFonts w:ascii="宋体" w:hAnsi="宋体"/>
                <w:color w:val="auto"/>
                <w:spacing w:val="-12"/>
                <w:kern w:val="0"/>
                <w:sz w:val="18"/>
                <w:szCs w:val="18"/>
                <w:highlight w:val="none"/>
              </w:rPr>
            </w:pP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7682B265">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380C318D">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万元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ECCD4FD">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Y≥10000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659F7FC2">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1000≤Y＜10000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0A10B8B8">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50≤Y＜1000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28933239">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Y＜50</w:t>
            </w:r>
          </w:p>
        </w:tc>
      </w:tr>
      <w:tr w14:paraId="754F4F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trPr>
        <w:tc>
          <w:tcPr>
            <w:tcW w:w="2113" w:type="dxa"/>
            <w:vMerge w:val="restart"/>
            <w:tcBorders>
              <w:top w:val="single" w:color="000000" w:sz="4" w:space="0"/>
              <w:left w:val="single" w:color="000000" w:sz="4" w:space="0"/>
              <w:bottom w:val="single" w:color="000000" w:sz="4" w:space="0"/>
              <w:right w:val="single" w:color="000000" w:sz="4" w:space="0"/>
            </w:tcBorders>
            <w:noWrap w:val="0"/>
            <w:vAlign w:val="center"/>
          </w:tcPr>
          <w:p w14:paraId="1E20EDD2">
            <w:pPr>
              <w:keepNext w:val="0"/>
              <w:keepLines w:val="0"/>
              <w:pageBreakBefore w:val="0"/>
              <w:widowControl w:val="0"/>
              <w:wordWrap/>
              <w:topLinePunct w:val="0"/>
              <w:bidi w:val="0"/>
              <w:spacing w:line="240" w:lineRule="exact"/>
              <w:jc w:val="left"/>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房地产开发经营</w:t>
            </w: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38ADCC45">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1E9EB33A">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万元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B37970F">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Y≥200000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461F7AF5">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1000≤Y＜200000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42E2CA49">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100≤Y＜1000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3A0613EC">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Y＜100</w:t>
            </w:r>
          </w:p>
        </w:tc>
      </w:tr>
      <w:tr w14:paraId="68478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trPr>
        <w:tc>
          <w:tcPr>
            <w:tcW w:w="21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55CADA">
            <w:pPr>
              <w:keepNext w:val="0"/>
              <w:keepLines w:val="0"/>
              <w:pageBreakBefore w:val="0"/>
              <w:widowControl w:val="0"/>
              <w:wordWrap/>
              <w:topLinePunct w:val="0"/>
              <w:bidi w:val="0"/>
              <w:jc w:val="left"/>
              <w:outlineLvl w:val="9"/>
              <w:rPr>
                <w:rStyle w:val="57"/>
                <w:rFonts w:ascii="宋体" w:hAnsi="宋体"/>
                <w:color w:val="auto"/>
                <w:kern w:val="0"/>
                <w:sz w:val="18"/>
                <w:szCs w:val="18"/>
                <w:highlight w:val="none"/>
              </w:rPr>
            </w:pP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06FA0485">
            <w:pPr>
              <w:keepNext w:val="0"/>
              <w:keepLines w:val="0"/>
              <w:pageBreakBefore w:val="0"/>
              <w:widowControl w:val="0"/>
              <w:wordWrap/>
              <w:topLinePunct w:val="0"/>
              <w:bidi w:val="0"/>
              <w:spacing w:line="240" w:lineRule="exact"/>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资产总额(Z)</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3F42D2A2">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万元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4D010A3">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Z≥10000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7D9687A5">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5000≤Z＜10000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4A49B06C">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2000≤Z＜5000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3D98D922">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Z＜2000</w:t>
            </w:r>
          </w:p>
        </w:tc>
      </w:tr>
      <w:tr w14:paraId="744287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trPr>
        <w:tc>
          <w:tcPr>
            <w:tcW w:w="2113" w:type="dxa"/>
            <w:vMerge w:val="restart"/>
            <w:tcBorders>
              <w:top w:val="single" w:color="000000" w:sz="4" w:space="0"/>
              <w:left w:val="single" w:color="000000" w:sz="4" w:space="0"/>
              <w:bottom w:val="single" w:color="000000" w:sz="4" w:space="0"/>
              <w:right w:val="single" w:color="000000" w:sz="4" w:space="0"/>
            </w:tcBorders>
            <w:noWrap w:val="0"/>
            <w:vAlign w:val="center"/>
          </w:tcPr>
          <w:p w14:paraId="722C3EF0">
            <w:pPr>
              <w:keepNext w:val="0"/>
              <w:keepLines w:val="0"/>
              <w:pageBreakBefore w:val="0"/>
              <w:widowControl w:val="0"/>
              <w:wordWrap/>
              <w:topLinePunct w:val="0"/>
              <w:bidi w:val="0"/>
              <w:spacing w:line="240" w:lineRule="exact"/>
              <w:jc w:val="left"/>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物业管理</w:t>
            </w: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1E7509E2">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从业人员(X)</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6FC2AD1C">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人</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F56C093">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X≥1000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4EB91F59">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300≤X＜1000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529C19CC">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100≤X＜300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0DCE2091">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X＜100</w:t>
            </w:r>
          </w:p>
        </w:tc>
      </w:tr>
      <w:tr w14:paraId="31F668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trPr>
        <w:tc>
          <w:tcPr>
            <w:tcW w:w="21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963CD4">
            <w:pPr>
              <w:keepNext w:val="0"/>
              <w:keepLines w:val="0"/>
              <w:pageBreakBefore w:val="0"/>
              <w:widowControl w:val="0"/>
              <w:wordWrap/>
              <w:topLinePunct w:val="0"/>
              <w:bidi w:val="0"/>
              <w:jc w:val="left"/>
              <w:outlineLvl w:val="9"/>
              <w:rPr>
                <w:rStyle w:val="57"/>
                <w:rFonts w:ascii="宋体" w:hAnsi="宋体"/>
                <w:color w:val="auto"/>
                <w:kern w:val="0"/>
                <w:sz w:val="18"/>
                <w:szCs w:val="18"/>
                <w:highlight w:val="none"/>
              </w:rPr>
            </w:pP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5D7AF9CE">
            <w:pPr>
              <w:keepNext w:val="0"/>
              <w:keepLines w:val="0"/>
              <w:pageBreakBefore w:val="0"/>
              <w:widowControl w:val="0"/>
              <w:wordWrap/>
              <w:topLinePunct w:val="0"/>
              <w:bidi w:val="0"/>
              <w:spacing w:line="240" w:lineRule="exact"/>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营业收入(Y)</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6E36CA20">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万元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1C8F746">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Y≥5000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20CABF60">
            <w:pPr>
              <w:keepNext w:val="0"/>
              <w:keepLines w:val="0"/>
              <w:pageBreakBefore w:val="0"/>
              <w:widowControl w:val="0"/>
              <w:wordWrap/>
              <w:topLinePunct w:val="0"/>
              <w:bidi w:val="0"/>
              <w:ind w:left="1" w:leftChars="-51" w:hanging="108"/>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1000≤Y＜5000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7CFAEED6">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500≤Y＜1000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6005942D">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Y＜500</w:t>
            </w:r>
          </w:p>
        </w:tc>
      </w:tr>
      <w:tr w14:paraId="385CF4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trPr>
        <w:tc>
          <w:tcPr>
            <w:tcW w:w="2113" w:type="dxa"/>
            <w:vMerge w:val="restart"/>
            <w:tcBorders>
              <w:top w:val="single" w:color="000000" w:sz="4" w:space="0"/>
              <w:left w:val="single" w:color="000000" w:sz="4" w:space="0"/>
              <w:bottom w:val="single" w:color="000000" w:sz="4" w:space="0"/>
              <w:right w:val="single" w:color="000000" w:sz="4" w:space="0"/>
            </w:tcBorders>
            <w:noWrap w:val="0"/>
            <w:vAlign w:val="center"/>
          </w:tcPr>
          <w:p w14:paraId="230D543A">
            <w:pPr>
              <w:keepNext w:val="0"/>
              <w:keepLines w:val="0"/>
              <w:pageBreakBefore w:val="0"/>
              <w:widowControl w:val="0"/>
              <w:wordWrap/>
              <w:topLinePunct w:val="0"/>
              <w:bidi w:val="0"/>
              <w:spacing w:line="240" w:lineRule="exact"/>
              <w:jc w:val="left"/>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租赁和商务服务业</w:t>
            </w: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68342DA1">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从业人员(X)</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5CCFF02D">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人</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56A77E8">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X≥300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3C2329E1">
            <w:pPr>
              <w:keepNext w:val="0"/>
              <w:keepLines w:val="0"/>
              <w:pageBreakBefore w:val="0"/>
              <w:widowControl w:val="0"/>
              <w:wordWrap/>
              <w:topLinePunct w:val="0"/>
              <w:bidi w:val="0"/>
              <w:ind w:left="1" w:leftChars="-51" w:hanging="108"/>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100≤X＜300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7A1F050E">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10≤X＜100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6BE3EB09">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X＜10</w:t>
            </w:r>
          </w:p>
        </w:tc>
      </w:tr>
      <w:tr w14:paraId="781385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trPr>
        <w:tc>
          <w:tcPr>
            <w:tcW w:w="21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BAD889">
            <w:pPr>
              <w:keepNext w:val="0"/>
              <w:keepLines w:val="0"/>
              <w:pageBreakBefore w:val="0"/>
              <w:widowControl w:val="0"/>
              <w:wordWrap/>
              <w:topLinePunct w:val="0"/>
              <w:bidi w:val="0"/>
              <w:jc w:val="left"/>
              <w:outlineLvl w:val="9"/>
              <w:rPr>
                <w:rStyle w:val="57"/>
                <w:rFonts w:ascii="宋体" w:hAnsi="宋体"/>
                <w:color w:val="auto"/>
                <w:kern w:val="0"/>
                <w:sz w:val="18"/>
                <w:szCs w:val="18"/>
                <w:highlight w:val="none"/>
              </w:rPr>
            </w:pP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61F87346">
            <w:pPr>
              <w:keepNext w:val="0"/>
              <w:keepLines w:val="0"/>
              <w:pageBreakBefore w:val="0"/>
              <w:widowControl w:val="0"/>
              <w:wordWrap/>
              <w:topLinePunct w:val="0"/>
              <w:bidi w:val="0"/>
              <w:spacing w:line="240" w:lineRule="exact"/>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资产总额(Z)</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46F28FFD">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万元</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6B60CC4">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Z≥120000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34225194">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8000≤Z＜120000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36182F50">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100≤Z＜8000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643EE4EF">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Z＜100</w:t>
            </w:r>
          </w:p>
        </w:tc>
      </w:tr>
      <w:tr w14:paraId="26CAE2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2113" w:type="dxa"/>
            <w:tcBorders>
              <w:top w:val="single" w:color="000000" w:sz="4" w:space="0"/>
              <w:left w:val="single" w:color="000000" w:sz="4" w:space="0"/>
              <w:bottom w:val="single" w:color="000000" w:sz="4" w:space="0"/>
              <w:right w:val="single" w:color="000000" w:sz="4" w:space="0"/>
            </w:tcBorders>
            <w:noWrap w:val="0"/>
            <w:vAlign w:val="center"/>
          </w:tcPr>
          <w:p w14:paraId="11441ACC">
            <w:pPr>
              <w:keepNext w:val="0"/>
              <w:keepLines w:val="0"/>
              <w:pageBreakBefore w:val="0"/>
              <w:widowControl w:val="0"/>
              <w:wordWrap/>
              <w:topLinePunct w:val="0"/>
              <w:bidi w:val="0"/>
              <w:spacing w:line="240" w:lineRule="exact"/>
              <w:jc w:val="left"/>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其他未列明行业 *</w:t>
            </w:r>
          </w:p>
        </w:tc>
        <w:tc>
          <w:tcPr>
            <w:tcW w:w="1369" w:type="dxa"/>
            <w:tcBorders>
              <w:top w:val="single" w:color="000000" w:sz="4" w:space="0"/>
              <w:left w:val="single" w:color="000000" w:sz="4" w:space="0"/>
              <w:bottom w:val="single" w:color="000000" w:sz="4" w:space="0"/>
              <w:right w:val="single" w:color="000000" w:sz="4" w:space="0"/>
            </w:tcBorders>
            <w:noWrap w:val="0"/>
            <w:vAlign w:val="center"/>
          </w:tcPr>
          <w:p w14:paraId="3BA0A57E">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从业人员(X)</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3028707A">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人</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A8175F3">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X≥300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6945276E">
            <w:pPr>
              <w:keepNext w:val="0"/>
              <w:keepLines w:val="0"/>
              <w:pageBreakBefore w:val="0"/>
              <w:widowControl w:val="0"/>
              <w:wordWrap/>
              <w:topLinePunct w:val="0"/>
              <w:bidi w:val="0"/>
              <w:ind w:left="1" w:leftChars="-51" w:hanging="108"/>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100≤X＜300</w:t>
            </w:r>
          </w:p>
        </w:tc>
        <w:tc>
          <w:tcPr>
            <w:tcW w:w="1426" w:type="dxa"/>
            <w:tcBorders>
              <w:top w:val="single" w:color="000000" w:sz="4" w:space="0"/>
              <w:left w:val="single" w:color="000000" w:sz="4" w:space="0"/>
              <w:bottom w:val="single" w:color="000000" w:sz="4" w:space="0"/>
              <w:right w:val="single" w:color="000000" w:sz="4" w:space="0"/>
            </w:tcBorders>
            <w:noWrap w:val="0"/>
            <w:vAlign w:val="center"/>
          </w:tcPr>
          <w:p w14:paraId="59697802">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10≤X＜100</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504041FE">
            <w:pPr>
              <w:keepNext w:val="0"/>
              <w:keepLines w:val="0"/>
              <w:pageBreakBefore w:val="0"/>
              <w:widowControl w:val="0"/>
              <w:wordWrap/>
              <w:topLinePunct w:val="0"/>
              <w:bidi w:val="0"/>
              <w:jc w:val="center"/>
              <w:outlineLvl w:val="9"/>
              <w:rPr>
                <w:rStyle w:val="57"/>
                <w:rFonts w:ascii="宋体" w:hAnsi="宋体"/>
                <w:color w:val="auto"/>
                <w:kern w:val="0"/>
                <w:sz w:val="18"/>
                <w:szCs w:val="18"/>
                <w:highlight w:val="none"/>
              </w:rPr>
            </w:pPr>
            <w:r>
              <w:rPr>
                <w:rStyle w:val="57"/>
                <w:rFonts w:ascii="宋体" w:hAnsi="宋体"/>
                <w:color w:val="auto"/>
                <w:kern w:val="0"/>
                <w:sz w:val="18"/>
                <w:szCs w:val="18"/>
                <w:highlight w:val="none"/>
              </w:rPr>
              <w:t>X＜10</w:t>
            </w:r>
          </w:p>
        </w:tc>
      </w:tr>
    </w:tbl>
    <w:p w14:paraId="33FE1D92">
      <w:pPr>
        <w:keepNext w:val="0"/>
        <w:keepLines w:val="0"/>
        <w:pageBreakBefore w:val="0"/>
        <w:widowControl w:val="0"/>
        <w:wordWrap/>
        <w:topLinePunct w:val="0"/>
        <w:bidi w:val="0"/>
        <w:spacing w:line="540" w:lineRule="exact"/>
        <w:outlineLvl w:val="9"/>
        <w:rPr>
          <w:rStyle w:val="57"/>
          <w:rFonts w:ascii="宋体" w:hAnsi="宋体"/>
          <w:color w:val="auto"/>
          <w:spacing w:val="8"/>
          <w:kern w:val="0"/>
          <w:szCs w:val="21"/>
          <w:highlight w:val="none"/>
        </w:rPr>
      </w:pPr>
    </w:p>
    <w:p w14:paraId="6F0B1542">
      <w:pPr>
        <w:keepNext w:val="0"/>
        <w:keepLines w:val="0"/>
        <w:pageBreakBefore w:val="0"/>
        <w:widowControl w:val="0"/>
        <w:wordWrap/>
        <w:topLinePunct w:val="0"/>
        <w:bidi w:val="0"/>
        <w:spacing w:line="540" w:lineRule="exact"/>
        <w:outlineLvl w:val="9"/>
        <w:rPr>
          <w:rStyle w:val="57"/>
          <w:rFonts w:ascii="宋体" w:hAnsi="宋体"/>
          <w:color w:val="auto"/>
          <w:spacing w:val="8"/>
          <w:kern w:val="0"/>
          <w:szCs w:val="21"/>
          <w:highlight w:val="none"/>
        </w:rPr>
      </w:pPr>
      <w:r>
        <w:rPr>
          <w:rStyle w:val="57"/>
          <w:rFonts w:ascii="宋体" w:hAnsi="宋体"/>
          <w:color w:val="auto"/>
          <w:spacing w:val="8"/>
          <w:kern w:val="0"/>
          <w:szCs w:val="21"/>
          <w:highlight w:val="none"/>
        </w:rPr>
        <w:br w:type="column"/>
      </w:r>
      <w:r>
        <w:rPr>
          <w:rStyle w:val="57"/>
          <w:rFonts w:ascii="宋体" w:hAnsi="宋体"/>
          <w:color w:val="auto"/>
          <w:spacing w:val="8"/>
          <w:kern w:val="0"/>
          <w:szCs w:val="21"/>
          <w:highlight w:val="none"/>
        </w:rPr>
        <w:t>说明：</w:t>
      </w:r>
    </w:p>
    <w:p w14:paraId="56384BE9">
      <w:pPr>
        <w:pStyle w:val="59"/>
        <w:keepNext w:val="0"/>
        <w:keepLines w:val="0"/>
        <w:pageBreakBefore w:val="0"/>
        <w:widowControl w:val="0"/>
        <w:wordWrap/>
        <w:topLinePunct w:val="0"/>
        <w:bidi w:val="0"/>
        <w:spacing w:line="380" w:lineRule="exact"/>
        <w:ind w:firstLine="452" w:firstLineChars="200"/>
        <w:outlineLvl w:val="9"/>
        <w:rPr>
          <w:rStyle w:val="57"/>
          <w:rFonts w:hAnsi="宋体"/>
          <w:color w:val="auto"/>
          <w:spacing w:val="8"/>
          <w:szCs w:val="21"/>
          <w:highlight w:val="none"/>
        </w:rPr>
      </w:pPr>
      <w:r>
        <w:rPr>
          <w:rStyle w:val="57"/>
          <w:rFonts w:hAnsi="宋体"/>
          <w:color w:val="auto"/>
          <w:spacing w:val="8"/>
          <w:szCs w:val="21"/>
          <w:highlight w:val="none"/>
        </w:rPr>
        <w:t>1.大型、中型和小型企业须同时满足所列指标的下限，否则下划一档；微型企业只须满足所列指标中的一项即可。</w:t>
      </w:r>
    </w:p>
    <w:p w14:paraId="1D047455">
      <w:pPr>
        <w:pStyle w:val="59"/>
        <w:keepNext w:val="0"/>
        <w:keepLines w:val="0"/>
        <w:pageBreakBefore w:val="0"/>
        <w:widowControl w:val="0"/>
        <w:wordWrap/>
        <w:topLinePunct w:val="0"/>
        <w:bidi w:val="0"/>
        <w:spacing w:line="380" w:lineRule="exact"/>
        <w:ind w:firstLine="452" w:firstLineChars="200"/>
        <w:outlineLvl w:val="9"/>
        <w:rPr>
          <w:rStyle w:val="57"/>
          <w:rFonts w:hAnsi="宋体"/>
          <w:color w:val="auto"/>
          <w:spacing w:val="8"/>
          <w:szCs w:val="21"/>
          <w:highlight w:val="none"/>
        </w:rPr>
      </w:pPr>
      <w:r>
        <w:rPr>
          <w:rStyle w:val="57"/>
          <w:rFonts w:hAnsi="宋体"/>
          <w:color w:val="auto"/>
          <w:spacing w:val="8"/>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Style w:val="57"/>
          <w:rFonts w:hint="eastAsia" w:hAnsi="宋体"/>
          <w:color w:val="auto"/>
          <w:spacing w:val="8"/>
          <w:szCs w:val="21"/>
          <w:highlight w:val="none"/>
          <w:lang w:eastAsia="zh-CN"/>
        </w:rPr>
        <w:t>；</w:t>
      </w:r>
      <w:r>
        <w:rPr>
          <w:rStyle w:val="57"/>
          <w:rFonts w:hAnsi="宋体"/>
          <w:color w:val="auto"/>
          <w:spacing w:val="8"/>
          <w:szCs w:val="21"/>
          <w:highlight w:val="none"/>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291D4D44">
      <w:pPr>
        <w:pStyle w:val="12"/>
        <w:keepNext w:val="0"/>
        <w:keepLines w:val="0"/>
        <w:pageBreakBefore w:val="0"/>
        <w:widowControl w:val="0"/>
        <w:wordWrap/>
        <w:topLinePunct w:val="0"/>
        <w:bidi w:val="0"/>
        <w:spacing w:line="340" w:lineRule="exact"/>
        <w:outlineLvl w:val="9"/>
        <w:rPr>
          <w:rFonts w:hint="eastAsia" w:ascii="宋体" w:hAnsi="宋体" w:eastAsia="宋体" w:cs="宋体"/>
          <w:b/>
          <w:color w:val="auto"/>
          <w:sz w:val="28"/>
          <w:szCs w:val="28"/>
          <w:highlight w:val="none"/>
          <w:lang w:val="en-US" w:eastAsia="zh-CN"/>
        </w:rPr>
      </w:pPr>
      <w:r>
        <w:rPr>
          <w:rStyle w:val="57"/>
          <w:rFonts w:hAnsi="宋体"/>
          <w:color w:val="auto"/>
          <w:spacing w:val="8"/>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4BEA5F13">
      <w:pPr>
        <w:pStyle w:val="12"/>
        <w:keepNext w:val="0"/>
        <w:keepLines w:val="0"/>
        <w:pageBreakBefore w:val="0"/>
        <w:widowControl w:val="0"/>
        <w:wordWrap/>
        <w:topLinePunct w:val="0"/>
        <w:bidi w:val="0"/>
        <w:spacing w:line="340" w:lineRule="exact"/>
        <w:outlineLvl w:val="9"/>
        <w:rPr>
          <w:rFonts w:hint="eastAsia" w:ascii="宋体" w:hAnsi="宋体" w:eastAsia="宋体" w:cs="宋体"/>
          <w:b/>
          <w:color w:val="auto"/>
          <w:sz w:val="28"/>
          <w:szCs w:val="28"/>
          <w:highlight w:val="none"/>
          <w:lang w:val="en-US" w:eastAsia="zh-CN"/>
        </w:rPr>
      </w:pPr>
    </w:p>
    <w:p w14:paraId="53BFD34A">
      <w:pPr>
        <w:keepNext w:val="0"/>
        <w:keepLines w:val="0"/>
        <w:pageBreakBefore w:val="0"/>
        <w:widowControl w:val="0"/>
        <w:wordWrap/>
        <w:topLinePunct w:val="0"/>
        <w:bidi w:val="0"/>
        <w:jc w:val="center"/>
        <w:outlineLvl w:val="9"/>
        <w:rPr>
          <w:rStyle w:val="57"/>
          <w:rFonts w:hint="eastAsia" w:ascii="宋体" w:hAnsi="宋体" w:cs="宋体"/>
          <w:b/>
          <w:bCs/>
          <w:color w:val="auto"/>
          <w:kern w:val="0"/>
          <w:sz w:val="24"/>
          <w:szCs w:val="24"/>
          <w:highlight w:val="none"/>
        </w:rPr>
      </w:pPr>
      <w:r>
        <w:rPr>
          <w:rStyle w:val="57"/>
          <w:rFonts w:hint="eastAsia" w:ascii="宋体" w:hAnsi="宋体" w:cs="宋体"/>
          <w:b/>
          <w:bCs/>
          <w:color w:val="auto"/>
          <w:kern w:val="0"/>
          <w:sz w:val="24"/>
          <w:szCs w:val="24"/>
          <w:highlight w:val="none"/>
          <w:lang w:eastAsia="zh-CN"/>
        </w:rPr>
        <w:t>（</w:t>
      </w:r>
      <w:r>
        <w:rPr>
          <w:rStyle w:val="57"/>
          <w:rFonts w:hint="eastAsia" w:ascii="宋体" w:hAnsi="宋体" w:cs="宋体"/>
          <w:b/>
          <w:bCs/>
          <w:color w:val="auto"/>
          <w:kern w:val="0"/>
          <w:sz w:val="24"/>
          <w:szCs w:val="24"/>
          <w:highlight w:val="none"/>
          <w:lang w:val="en-US" w:eastAsia="zh-CN"/>
        </w:rPr>
        <w:t>2</w:t>
      </w:r>
      <w:r>
        <w:rPr>
          <w:rStyle w:val="57"/>
          <w:rFonts w:hint="eastAsia" w:ascii="宋体" w:hAnsi="宋体" w:cs="宋体"/>
          <w:b/>
          <w:bCs/>
          <w:color w:val="auto"/>
          <w:kern w:val="0"/>
          <w:sz w:val="24"/>
          <w:szCs w:val="24"/>
          <w:highlight w:val="none"/>
          <w:lang w:eastAsia="zh-CN"/>
        </w:rPr>
        <w:t>）</w:t>
      </w:r>
      <w:r>
        <w:rPr>
          <w:rStyle w:val="57"/>
          <w:rFonts w:hint="eastAsia" w:ascii="宋体" w:hAnsi="宋体" w:cs="宋体"/>
          <w:b/>
          <w:bCs/>
          <w:color w:val="auto"/>
          <w:kern w:val="0"/>
          <w:sz w:val="24"/>
          <w:szCs w:val="24"/>
          <w:highlight w:val="none"/>
        </w:rPr>
        <w:t>残疾人福利性单位声明函（格式）</w:t>
      </w:r>
    </w:p>
    <w:p w14:paraId="2302C941">
      <w:pPr>
        <w:keepNext w:val="0"/>
        <w:keepLines w:val="0"/>
        <w:pageBreakBefore w:val="0"/>
        <w:widowControl w:val="0"/>
        <w:wordWrap/>
        <w:topLinePunct w:val="0"/>
        <w:bidi w:val="0"/>
        <w:spacing w:line="588" w:lineRule="exact"/>
        <w:ind w:firstLine="420" w:firstLineChars="200"/>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0B909B8">
      <w:pPr>
        <w:keepNext w:val="0"/>
        <w:keepLines w:val="0"/>
        <w:pageBreakBefore w:val="0"/>
        <w:widowControl w:val="0"/>
        <w:wordWrap/>
        <w:topLinePunct w:val="0"/>
        <w:bidi w:val="0"/>
        <w:spacing w:line="588" w:lineRule="exact"/>
        <w:ind w:firstLine="420" w:firstLineChars="200"/>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本单位对上述声明的真实性负责。如有虚假，将依法承担相应责任。</w:t>
      </w:r>
    </w:p>
    <w:p w14:paraId="5C7DAA73">
      <w:pPr>
        <w:keepNext w:val="0"/>
        <w:keepLines w:val="0"/>
        <w:pageBreakBefore w:val="0"/>
        <w:widowControl w:val="0"/>
        <w:wordWrap/>
        <w:topLinePunct w:val="0"/>
        <w:bidi w:val="0"/>
        <w:spacing w:line="588" w:lineRule="exact"/>
        <w:ind w:firstLine="420" w:firstLineChars="200"/>
        <w:outlineLvl w:val="9"/>
        <w:rPr>
          <w:rFonts w:hint="eastAsia" w:ascii="宋体" w:hAnsi="宋体" w:eastAsia="宋体" w:cs="宋体"/>
          <w:color w:val="auto"/>
          <w:kern w:val="0"/>
          <w:sz w:val="21"/>
          <w:szCs w:val="21"/>
          <w:highlight w:val="none"/>
        </w:rPr>
      </w:pPr>
    </w:p>
    <w:p w14:paraId="6F1602AB">
      <w:pPr>
        <w:keepNext w:val="0"/>
        <w:keepLines w:val="0"/>
        <w:pageBreakBefore w:val="0"/>
        <w:widowControl w:val="0"/>
        <w:wordWrap/>
        <w:topLinePunct w:val="0"/>
        <w:bidi w:val="0"/>
        <w:ind w:firstLine="2310" w:firstLineChars="11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      </w:t>
      </w:r>
      <w:r>
        <w:rPr>
          <w:rFonts w:hint="eastAsia" w:ascii="宋体" w:hAnsi="宋体" w:eastAsia="宋体" w:cs="宋体"/>
          <w:color w:val="auto"/>
          <w:sz w:val="21"/>
          <w:szCs w:val="21"/>
          <w:highlight w:val="none"/>
          <w:lang w:eastAsia="zh-CN"/>
        </w:rPr>
        <w:t>磋商供应商</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公章</w:t>
      </w:r>
      <w:r>
        <w:rPr>
          <w:rFonts w:hint="eastAsia" w:ascii="宋体" w:hAnsi="宋体" w:eastAsia="宋体" w:cs="宋体"/>
          <w:color w:val="auto"/>
          <w:sz w:val="21"/>
          <w:szCs w:val="21"/>
          <w:highlight w:val="none"/>
          <w:lang w:val="en-US" w:eastAsia="zh-CN"/>
        </w:rPr>
        <w:t>(CA签章)]</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p>
    <w:p w14:paraId="7E190D00">
      <w:pPr>
        <w:pStyle w:val="12"/>
        <w:keepNext w:val="0"/>
        <w:keepLines w:val="0"/>
        <w:pageBreakBefore w:val="0"/>
        <w:widowControl w:val="0"/>
        <w:wordWrap/>
        <w:topLinePunct w:val="0"/>
        <w:bidi w:val="0"/>
        <w:spacing w:line="300" w:lineRule="exact"/>
        <w:ind w:left="2940" w:leftChars="1400" w:firstLine="630" w:firstLineChars="300"/>
        <w:outlineLvl w:val="9"/>
        <w:rPr>
          <w:rFonts w:hint="eastAsia" w:ascii="宋体" w:hAnsi="宋体" w:eastAsia="宋体" w:cs="宋体"/>
          <w:color w:val="auto"/>
          <w:sz w:val="21"/>
          <w:szCs w:val="21"/>
          <w:highlight w:val="none"/>
        </w:rPr>
      </w:pPr>
    </w:p>
    <w:p w14:paraId="5B62E823">
      <w:pPr>
        <w:keepNext w:val="0"/>
        <w:keepLines w:val="0"/>
        <w:pageBreakBefore w:val="0"/>
        <w:widowControl w:val="0"/>
        <w:wordWrap/>
        <w:topLinePunct w:val="0"/>
        <w:bidi w:val="0"/>
        <w:ind w:firstLine="4200" w:firstLineChars="2000"/>
        <w:outlineLvl w:val="9"/>
        <w:rPr>
          <w:rFonts w:hint="eastAsia" w:ascii="宋体" w:hAnsi="宋体" w:eastAsia="宋体" w:cs="宋体"/>
          <w:color w:val="auto"/>
          <w:sz w:val="21"/>
          <w:szCs w:val="21"/>
          <w:highlight w:val="none"/>
        </w:rPr>
      </w:pPr>
    </w:p>
    <w:p w14:paraId="280D53A3">
      <w:pPr>
        <w:keepNext w:val="0"/>
        <w:keepLines w:val="0"/>
        <w:pageBreakBefore w:val="0"/>
        <w:widowControl w:val="0"/>
        <w:wordWrap/>
        <w:topLinePunct w:val="0"/>
        <w:bidi w:val="0"/>
        <w:ind w:firstLine="4200" w:firstLineChars="2000"/>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日          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41EE136B">
      <w:pPr>
        <w:keepNext w:val="0"/>
        <w:keepLines w:val="0"/>
        <w:pageBreakBefore w:val="0"/>
        <w:widowControl w:val="0"/>
        <w:wordWrap/>
        <w:topLinePunct w:val="0"/>
        <w:bidi w:val="0"/>
        <w:outlineLvl w:val="9"/>
        <w:rPr>
          <w:rFonts w:hint="eastAsia" w:ascii="宋体" w:hAnsi="宋体" w:eastAsia="宋体" w:cs="宋体"/>
          <w:color w:val="auto"/>
          <w:sz w:val="21"/>
          <w:szCs w:val="21"/>
          <w:highlight w:val="none"/>
          <w:u w:val="single"/>
        </w:rPr>
      </w:pPr>
    </w:p>
    <w:p w14:paraId="62146F8D">
      <w:pPr>
        <w:keepNext w:val="0"/>
        <w:keepLines w:val="0"/>
        <w:pageBreakBefore w:val="0"/>
        <w:widowControl w:val="0"/>
        <w:wordWrap/>
        <w:topLinePunct w:val="0"/>
        <w:bidi w:val="0"/>
        <w:outlineLvl w:val="9"/>
        <w:rPr>
          <w:rFonts w:hint="eastAsia" w:ascii="宋体" w:hAnsi="宋体" w:eastAsia="宋体" w:cs="宋体"/>
          <w:color w:val="auto"/>
          <w:sz w:val="21"/>
          <w:szCs w:val="21"/>
          <w:highlight w:val="none"/>
          <w:u w:val="single"/>
        </w:rPr>
      </w:pPr>
    </w:p>
    <w:p w14:paraId="672EBBD1">
      <w:pPr>
        <w:keepNext w:val="0"/>
        <w:keepLines w:val="0"/>
        <w:pageBreakBefore w:val="0"/>
        <w:widowControl w:val="0"/>
        <w:wordWrap/>
        <w:topLinePunct w:val="0"/>
        <w:bidi w:val="0"/>
        <w:jc w:val="center"/>
        <w:outlineLvl w:val="9"/>
        <w:rPr>
          <w:rStyle w:val="57"/>
          <w:rFonts w:hint="eastAsia" w:ascii="宋体" w:hAnsi="宋体" w:cs="宋体"/>
          <w:b/>
          <w:bCs/>
          <w:color w:val="auto"/>
          <w:kern w:val="0"/>
          <w:sz w:val="24"/>
          <w:szCs w:val="24"/>
          <w:highlight w:val="none"/>
          <w:lang w:val="en-US" w:eastAsia="zh-CN"/>
        </w:rPr>
      </w:pPr>
      <w:bookmarkStart w:id="1967" w:name="_Toc5077"/>
      <w:r>
        <w:rPr>
          <w:rStyle w:val="57"/>
          <w:rFonts w:hint="eastAsia" w:ascii="宋体" w:hAnsi="宋体" w:cs="宋体"/>
          <w:b/>
          <w:bCs/>
          <w:color w:val="auto"/>
          <w:kern w:val="0"/>
          <w:sz w:val="24"/>
          <w:szCs w:val="24"/>
          <w:highlight w:val="none"/>
          <w:lang w:val="en-US" w:eastAsia="zh-CN"/>
        </w:rPr>
        <w:t>（3）监狱企业的证明文件复印件[供应商如为监狱企业的，应当提供由省级以上监狱管理局、戒毒管理局（含新疆生产建设兵团）出具的属于监狱企业的证明文件, 否则不予享受优惠政策]</w:t>
      </w:r>
      <w:bookmarkEnd w:id="1967"/>
    </w:p>
    <w:p w14:paraId="751A37B2">
      <w:pPr>
        <w:keepNext w:val="0"/>
        <w:keepLines w:val="0"/>
        <w:pageBreakBefore w:val="0"/>
        <w:widowControl w:val="0"/>
        <w:wordWrap/>
        <w:topLinePunct w:val="0"/>
        <w:bidi w:val="0"/>
        <w:outlineLvl w:val="9"/>
        <w:rPr>
          <w:rFonts w:hint="eastAsia" w:ascii="宋体" w:hAnsi="宋体" w:eastAsia="宋体" w:cs="宋体"/>
          <w:color w:val="auto"/>
          <w:sz w:val="21"/>
          <w:szCs w:val="21"/>
          <w:highlight w:val="none"/>
          <w:u w:val="single"/>
        </w:rPr>
      </w:pPr>
    </w:p>
    <w:p w14:paraId="48538F56">
      <w:pPr>
        <w:keepNext w:val="0"/>
        <w:keepLines w:val="0"/>
        <w:pageBreakBefore w:val="0"/>
        <w:widowControl w:val="0"/>
        <w:wordWrap/>
        <w:topLinePunct w:val="0"/>
        <w:bidi w:val="0"/>
        <w:rPr>
          <w:rFonts w:hint="eastAsia" w:ascii="宋体" w:hAnsi="宋体" w:cs="宋体"/>
          <w:b/>
          <w:bCs/>
          <w:color w:val="auto"/>
          <w:sz w:val="32"/>
          <w:szCs w:val="32"/>
          <w:highlight w:val="none"/>
          <w:lang w:eastAsia="zh-CN"/>
        </w:rPr>
      </w:pPr>
      <w:r>
        <w:rPr>
          <w:rFonts w:hint="eastAsia" w:ascii="宋体" w:hAnsi="宋体" w:cs="宋体"/>
          <w:b/>
          <w:bCs/>
          <w:color w:val="auto"/>
          <w:sz w:val="32"/>
          <w:szCs w:val="32"/>
          <w:highlight w:val="none"/>
          <w:lang w:eastAsia="zh-CN"/>
        </w:rPr>
        <w:br w:type="page"/>
      </w:r>
    </w:p>
    <w:p w14:paraId="377A89E1">
      <w:pPr>
        <w:keepNext w:val="0"/>
        <w:keepLines w:val="0"/>
        <w:pageBreakBefore w:val="0"/>
        <w:widowControl w:val="0"/>
        <w:numPr>
          <w:ilvl w:val="0"/>
          <w:numId w:val="0"/>
        </w:numPr>
        <w:wordWrap/>
        <w:topLinePunct w:val="0"/>
        <w:bidi w:val="0"/>
        <w:jc w:val="center"/>
        <w:outlineLvl w:val="1"/>
        <w:rPr>
          <w:rFonts w:hint="eastAsia" w:ascii="宋体" w:hAnsi="宋体" w:eastAsia="宋体" w:cs="宋体"/>
          <w:b/>
          <w:bCs/>
          <w:color w:val="auto"/>
          <w:sz w:val="32"/>
          <w:szCs w:val="32"/>
          <w:highlight w:val="none"/>
        </w:rPr>
      </w:pPr>
      <w:bookmarkStart w:id="1968" w:name="_Toc29882"/>
      <w:r>
        <w:rPr>
          <w:rFonts w:hint="eastAsia" w:ascii="宋体" w:hAnsi="宋体" w:cs="宋体"/>
          <w:b/>
          <w:bCs/>
          <w:color w:val="auto"/>
          <w:sz w:val="32"/>
          <w:szCs w:val="32"/>
          <w:highlight w:val="none"/>
          <w:lang w:eastAsia="zh-CN"/>
        </w:rPr>
        <w:t>（二）</w:t>
      </w:r>
      <w:r>
        <w:rPr>
          <w:rFonts w:hint="eastAsia" w:ascii="宋体" w:hAnsi="宋体" w:eastAsia="宋体" w:cs="宋体"/>
          <w:b/>
          <w:bCs/>
          <w:color w:val="auto"/>
          <w:sz w:val="32"/>
          <w:szCs w:val="32"/>
          <w:highlight w:val="none"/>
        </w:rPr>
        <w:t>符合性响应证明材料目录</w:t>
      </w:r>
      <w:bookmarkEnd w:id="1968"/>
    </w:p>
    <w:p w14:paraId="5B00397F">
      <w:pPr>
        <w:keepNext w:val="0"/>
        <w:keepLines w:val="0"/>
        <w:pageBreakBefore w:val="0"/>
        <w:widowControl w:val="0"/>
        <w:numPr>
          <w:ilvl w:val="0"/>
          <w:numId w:val="0"/>
        </w:numPr>
        <w:wordWrap/>
        <w:topLinePunct w:val="0"/>
        <w:bidi w:val="0"/>
        <w:spacing w:line="360" w:lineRule="auto"/>
        <w:ind w:left="420" w:leftChars="0"/>
        <w:rPr>
          <w:rFonts w:hint="eastAsia" w:ascii="宋体" w:hAnsi="宋体" w:eastAsia="宋体" w:cs="宋体"/>
          <w:color w:val="auto"/>
          <w:sz w:val="24"/>
          <w:highlight w:val="none"/>
          <w:lang w:val="en-US" w:eastAsia="zh-CN"/>
        </w:rPr>
      </w:pPr>
    </w:p>
    <w:p w14:paraId="34C0E9C7">
      <w:pPr>
        <w:keepNext w:val="0"/>
        <w:keepLines w:val="0"/>
        <w:pageBreakBefore w:val="0"/>
        <w:widowControl w:val="0"/>
        <w:numPr>
          <w:ilvl w:val="0"/>
          <w:numId w:val="0"/>
        </w:numPr>
        <w:wordWrap/>
        <w:topLinePunct w:val="0"/>
        <w:bidi w:val="0"/>
        <w:spacing w:line="360" w:lineRule="auto"/>
        <w:ind w:left="420" w:leftChars="200" w:firstLine="0" w:firstLineChars="0"/>
        <w:rPr>
          <w:rFonts w:hint="eastAsia" w:ascii="宋体" w:hAnsi="宋体" w:eastAsia="宋体" w:cs="宋体"/>
          <w:b/>
          <w:bCs/>
          <w:color w:val="auto"/>
          <w:sz w:val="24"/>
          <w:highlight w:val="none"/>
          <w:lang w:eastAsia="zh-CN"/>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响应函</w:t>
      </w:r>
      <w:r>
        <w:rPr>
          <w:rFonts w:hint="eastAsia" w:ascii="宋体" w:hAnsi="宋体" w:eastAsia="宋体" w:cs="宋体"/>
          <w:b/>
          <w:bCs/>
          <w:color w:val="auto"/>
          <w:sz w:val="24"/>
          <w:highlight w:val="none"/>
        </w:rPr>
        <w:t>（格式见附件）（必须提供</w:t>
      </w:r>
      <w:r>
        <w:rPr>
          <w:color w:val="auto"/>
          <w:highlight w:val="none"/>
        </w:rPr>
        <w:t>）</w:t>
      </w:r>
      <w:r>
        <w:rPr>
          <w:rFonts w:hint="eastAsia" w:ascii="宋体" w:hAnsi="宋体" w:eastAsia="宋体" w:cs="宋体"/>
          <w:b/>
          <w:bCs/>
          <w:color w:val="auto"/>
          <w:sz w:val="24"/>
          <w:highlight w:val="none"/>
          <w:lang w:eastAsia="zh-CN"/>
        </w:rPr>
        <w:t>；</w:t>
      </w:r>
    </w:p>
    <w:p w14:paraId="3991E7C8">
      <w:pPr>
        <w:keepNext w:val="0"/>
        <w:keepLines w:val="0"/>
        <w:pageBreakBefore w:val="0"/>
        <w:widowControl w:val="0"/>
        <w:numPr>
          <w:ilvl w:val="0"/>
          <w:numId w:val="0"/>
        </w:numPr>
        <w:wordWrap/>
        <w:topLinePunct w:val="0"/>
        <w:bidi w:val="0"/>
        <w:spacing w:line="360" w:lineRule="auto"/>
        <w:ind w:left="420" w:leftChars="200" w:firstLine="0" w:firstLineChars="0"/>
        <w:rPr>
          <w:rFonts w:hint="eastAsia" w:ascii="宋体" w:hAnsi="宋体" w:eastAsia="宋体" w:cs="宋体"/>
          <w:color w:val="auto"/>
          <w:sz w:val="24"/>
          <w:highlight w:val="none"/>
          <w:lang w:val="en-US" w:eastAsia="zh-CN"/>
        </w:rPr>
      </w:pPr>
    </w:p>
    <w:p w14:paraId="7A1C9633">
      <w:pPr>
        <w:keepNext w:val="0"/>
        <w:keepLines w:val="0"/>
        <w:pageBreakBefore w:val="0"/>
        <w:widowControl w:val="0"/>
        <w:numPr>
          <w:ilvl w:val="0"/>
          <w:numId w:val="0"/>
        </w:numPr>
        <w:wordWrap/>
        <w:topLinePunct w:val="0"/>
        <w:bidi w:val="0"/>
        <w:spacing w:line="360" w:lineRule="auto"/>
        <w:ind w:left="420" w:leftChars="200" w:firstLine="0" w:firstLineChars="0"/>
        <w:rPr>
          <w:rFonts w:hint="eastAsia" w:ascii="宋体" w:hAnsi="宋体" w:eastAsia="宋体" w:cs="宋体"/>
          <w:b/>
          <w:bCs/>
          <w:color w:val="auto"/>
          <w:sz w:val="24"/>
          <w:highlight w:val="none"/>
        </w:rPr>
      </w:pP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工程报价汇总表</w:t>
      </w:r>
      <w:r>
        <w:rPr>
          <w:rFonts w:hint="eastAsia" w:ascii="宋体" w:hAnsi="宋体" w:eastAsia="宋体" w:cs="宋体"/>
          <w:b/>
          <w:bCs/>
          <w:color w:val="auto"/>
          <w:sz w:val="24"/>
          <w:highlight w:val="none"/>
        </w:rPr>
        <w:t>（格式见附件）（必须提供）；</w:t>
      </w:r>
    </w:p>
    <w:p w14:paraId="5DFA243B">
      <w:pPr>
        <w:keepNext w:val="0"/>
        <w:keepLines w:val="0"/>
        <w:pageBreakBefore w:val="0"/>
        <w:widowControl w:val="0"/>
        <w:numPr>
          <w:ilvl w:val="0"/>
          <w:numId w:val="0"/>
        </w:numPr>
        <w:wordWrap/>
        <w:topLinePunct w:val="0"/>
        <w:bidi w:val="0"/>
        <w:spacing w:line="360" w:lineRule="auto"/>
        <w:ind w:left="420" w:leftChars="200" w:firstLine="0" w:firstLineChars="0"/>
        <w:rPr>
          <w:rFonts w:hint="eastAsia" w:ascii="宋体" w:hAnsi="宋体" w:eastAsia="宋体" w:cs="宋体"/>
          <w:color w:val="auto"/>
          <w:sz w:val="24"/>
          <w:highlight w:val="none"/>
          <w:lang w:val="en-US" w:eastAsia="zh-CN"/>
        </w:rPr>
      </w:pPr>
    </w:p>
    <w:p w14:paraId="434B3922">
      <w:pPr>
        <w:keepNext w:val="0"/>
        <w:keepLines w:val="0"/>
        <w:pageBreakBefore w:val="0"/>
        <w:widowControl w:val="0"/>
        <w:numPr>
          <w:ilvl w:val="0"/>
          <w:numId w:val="0"/>
        </w:numPr>
        <w:wordWrap/>
        <w:topLinePunct w:val="0"/>
        <w:bidi w:val="0"/>
        <w:spacing w:line="360" w:lineRule="auto"/>
        <w:ind w:left="420" w:leftChars="200" w:firstLine="0" w:firstLineChars="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3.标价工程量清单</w:t>
      </w:r>
      <w:r>
        <w:rPr>
          <w:rFonts w:hint="eastAsia" w:ascii="宋体" w:hAnsi="宋体" w:eastAsia="宋体" w:cs="宋体"/>
          <w:b/>
          <w:bCs/>
          <w:color w:val="auto"/>
          <w:sz w:val="24"/>
          <w:highlight w:val="none"/>
          <w:lang w:val="en-US" w:eastAsia="zh-CN"/>
        </w:rPr>
        <w:t>（必须提供）</w:t>
      </w:r>
      <w:r>
        <w:rPr>
          <w:rFonts w:hint="eastAsia" w:ascii="宋体" w:hAnsi="宋体" w:eastAsia="宋体" w:cs="宋体"/>
          <w:b w:val="0"/>
          <w:bCs w:val="0"/>
          <w:color w:val="auto"/>
          <w:sz w:val="24"/>
          <w:highlight w:val="none"/>
          <w:lang w:val="en-US" w:eastAsia="zh-CN"/>
        </w:rPr>
        <w:t>；</w:t>
      </w:r>
    </w:p>
    <w:p w14:paraId="33FE7B64">
      <w:pPr>
        <w:keepNext w:val="0"/>
        <w:keepLines w:val="0"/>
        <w:pageBreakBefore w:val="0"/>
        <w:widowControl w:val="0"/>
        <w:numPr>
          <w:ilvl w:val="0"/>
          <w:numId w:val="0"/>
        </w:numPr>
        <w:wordWrap/>
        <w:topLinePunct w:val="0"/>
        <w:bidi w:val="0"/>
        <w:spacing w:line="360" w:lineRule="auto"/>
        <w:ind w:left="420" w:leftChars="200" w:firstLine="0" w:firstLineChars="0"/>
        <w:rPr>
          <w:rFonts w:hint="eastAsia" w:ascii="宋体" w:hAnsi="宋体" w:eastAsia="宋体" w:cs="宋体"/>
          <w:color w:val="auto"/>
          <w:highlight w:val="none"/>
        </w:rPr>
      </w:pPr>
    </w:p>
    <w:p w14:paraId="5CFD052D">
      <w:pPr>
        <w:keepNext w:val="0"/>
        <w:keepLines w:val="0"/>
        <w:pageBreakBefore w:val="0"/>
        <w:widowControl w:val="0"/>
        <w:numPr>
          <w:ilvl w:val="0"/>
          <w:numId w:val="0"/>
        </w:numPr>
        <w:wordWrap/>
        <w:topLinePunct w:val="0"/>
        <w:bidi w:val="0"/>
        <w:spacing w:line="360" w:lineRule="auto"/>
        <w:ind w:left="420" w:leftChars="200" w:firstLine="0" w:firstLineChars="0"/>
        <w:rPr>
          <w:rFonts w:hint="eastAsia" w:ascii="宋体" w:hAnsi="宋体" w:eastAsia="宋体" w:cs="宋体"/>
          <w:color w:val="auto"/>
          <w:sz w:val="24"/>
          <w:highlight w:val="none"/>
        </w:rPr>
      </w:pPr>
      <w:r>
        <w:rPr>
          <w:rFonts w:hint="eastAsia" w:ascii="宋体" w:hAnsi="宋体" w:eastAsia="宋体" w:cs="宋体"/>
          <w:b w:val="0"/>
          <w:bCs w:val="0"/>
          <w:color w:val="auto"/>
          <w:sz w:val="24"/>
          <w:highlight w:val="none"/>
          <w:lang w:val="en-US" w:eastAsia="zh-CN"/>
        </w:rPr>
        <w:t>4.</w:t>
      </w:r>
      <w:r>
        <w:rPr>
          <w:rFonts w:hint="eastAsia" w:ascii="宋体" w:hAnsi="宋体" w:eastAsia="宋体" w:cs="宋体"/>
          <w:b w:val="0"/>
          <w:bCs w:val="0"/>
          <w:color w:val="auto"/>
          <w:sz w:val="24"/>
          <w:highlight w:val="none"/>
        </w:rPr>
        <w:t>拟投入本工程主要施工管理人员表</w:t>
      </w:r>
      <w:r>
        <w:rPr>
          <w:rFonts w:hint="eastAsia" w:ascii="宋体" w:hAnsi="宋体" w:eastAsia="宋体" w:cs="宋体"/>
          <w:b/>
          <w:bCs/>
          <w:color w:val="auto"/>
          <w:sz w:val="24"/>
          <w:highlight w:val="none"/>
        </w:rPr>
        <w:t>（必须提供）；</w:t>
      </w:r>
    </w:p>
    <w:p w14:paraId="0B588C50">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并一起提供由县级以上（含县级）社会养老保险经办机构出具的供应商为项目实施人员交纳的响应文件递交截止时间前</w:t>
      </w:r>
      <w:r>
        <w:rPr>
          <w:rFonts w:hint="eastAsia" w:ascii="宋体" w:hAnsi="宋体" w:cs="宋体"/>
          <w:b/>
          <w:bCs/>
          <w:color w:val="auto"/>
          <w:szCs w:val="21"/>
          <w:highlight w:val="none"/>
          <w:lang w:eastAsia="zh-CN"/>
        </w:rPr>
        <w:t>半年内任意一个月</w:t>
      </w:r>
      <w:r>
        <w:rPr>
          <w:rFonts w:hint="eastAsia" w:ascii="宋体" w:hAnsi="宋体" w:eastAsia="宋体" w:cs="宋体"/>
          <w:b/>
          <w:bCs/>
          <w:color w:val="auto"/>
          <w:szCs w:val="21"/>
          <w:highlight w:val="none"/>
        </w:rPr>
        <w:t>社保证明复印件</w:t>
      </w:r>
      <w:r>
        <w:rPr>
          <w:rFonts w:hint="eastAsia" w:ascii="宋体" w:hAnsi="宋体" w:eastAsia="宋体" w:cs="宋体"/>
          <w:b w:val="0"/>
          <w:bCs w:val="0"/>
          <w:color w:val="auto"/>
          <w:szCs w:val="21"/>
          <w:highlight w:val="none"/>
        </w:rPr>
        <w:t>；</w:t>
      </w:r>
    </w:p>
    <w:p w14:paraId="03EE4AF6">
      <w:pPr>
        <w:keepNext w:val="0"/>
        <w:keepLines w:val="0"/>
        <w:pageBreakBefore w:val="0"/>
        <w:widowControl w:val="0"/>
        <w:numPr>
          <w:ilvl w:val="0"/>
          <w:numId w:val="0"/>
        </w:numPr>
        <w:wordWrap/>
        <w:topLinePunct w:val="0"/>
        <w:bidi w:val="0"/>
        <w:spacing w:line="360" w:lineRule="auto"/>
        <w:ind w:left="420" w:leftChars="200" w:firstLine="0" w:firstLineChars="0"/>
        <w:rPr>
          <w:rFonts w:hint="eastAsia" w:ascii="宋体" w:hAnsi="宋体" w:eastAsia="宋体" w:cs="宋体"/>
          <w:color w:val="auto"/>
          <w:highlight w:val="none"/>
        </w:rPr>
      </w:pPr>
    </w:p>
    <w:p w14:paraId="1BD3F0F0">
      <w:pPr>
        <w:keepNext w:val="0"/>
        <w:keepLines w:val="0"/>
        <w:pageBreakBefore w:val="0"/>
        <w:widowControl w:val="0"/>
        <w:numPr>
          <w:ilvl w:val="0"/>
          <w:numId w:val="0"/>
        </w:numPr>
        <w:wordWrap/>
        <w:topLinePunct w:val="0"/>
        <w:bidi w:val="0"/>
        <w:spacing w:line="360" w:lineRule="auto"/>
        <w:ind w:left="420" w:leftChars="200" w:firstLine="0" w:firstLineChars="0"/>
        <w:rPr>
          <w:rFonts w:hint="eastAsia" w:ascii="宋体" w:hAnsi="宋体" w:eastAsia="宋体" w:cs="宋体"/>
          <w:color w:val="auto"/>
          <w:sz w:val="24"/>
          <w:highlight w:val="none"/>
          <w:lang w:eastAsia="zh-CN"/>
        </w:rPr>
      </w:pPr>
      <w:r>
        <w:rPr>
          <w:rFonts w:hint="eastAsia" w:ascii="宋体" w:hAnsi="宋体" w:eastAsia="宋体" w:cs="宋体"/>
          <w:b w:val="0"/>
          <w:bCs w:val="0"/>
          <w:color w:val="auto"/>
          <w:sz w:val="24"/>
          <w:highlight w:val="none"/>
          <w:lang w:val="en-US" w:eastAsia="zh-CN"/>
        </w:rPr>
        <w:t>5.</w:t>
      </w:r>
      <w:r>
        <w:rPr>
          <w:rFonts w:hint="eastAsia" w:ascii="宋体" w:hAnsi="宋体" w:eastAsia="宋体" w:cs="宋体"/>
          <w:b w:val="0"/>
          <w:bCs w:val="0"/>
          <w:color w:val="auto"/>
          <w:sz w:val="24"/>
          <w:highlight w:val="none"/>
          <w:lang w:eastAsia="zh-CN"/>
        </w:rPr>
        <w:t>担任本工程的项目经理简历表（应附相关证书、身份证复印件）</w:t>
      </w:r>
      <w:r>
        <w:rPr>
          <w:rFonts w:hint="eastAsia" w:ascii="宋体" w:hAnsi="宋体" w:eastAsia="宋体" w:cs="宋体"/>
          <w:b/>
          <w:bCs/>
          <w:color w:val="auto"/>
          <w:sz w:val="24"/>
          <w:highlight w:val="none"/>
          <w:lang w:eastAsia="zh-CN"/>
        </w:rPr>
        <w:t>（必须提供）</w:t>
      </w:r>
      <w:r>
        <w:rPr>
          <w:rFonts w:hint="eastAsia" w:ascii="宋体" w:hAnsi="宋体" w:eastAsia="宋体" w:cs="宋体"/>
          <w:color w:val="auto"/>
          <w:sz w:val="24"/>
          <w:highlight w:val="none"/>
          <w:lang w:eastAsia="zh-CN"/>
        </w:rPr>
        <w:t>；</w:t>
      </w:r>
    </w:p>
    <w:p w14:paraId="0979D505">
      <w:pPr>
        <w:keepNext w:val="0"/>
        <w:keepLines w:val="0"/>
        <w:pageBreakBefore w:val="0"/>
        <w:widowControl w:val="0"/>
        <w:numPr>
          <w:ilvl w:val="0"/>
          <w:numId w:val="0"/>
        </w:numPr>
        <w:wordWrap/>
        <w:topLinePunct w:val="0"/>
        <w:bidi w:val="0"/>
        <w:spacing w:line="360" w:lineRule="auto"/>
        <w:ind w:left="420" w:leftChars="200" w:firstLine="0" w:firstLineChars="0"/>
        <w:rPr>
          <w:rFonts w:hint="eastAsia" w:ascii="宋体" w:hAnsi="宋体" w:eastAsia="宋体" w:cs="宋体"/>
          <w:color w:val="auto"/>
          <w:sz w:val="24"/>
          <w:highlight w:val="none"/>
          <w:lang w:eastAsia="zh-CN"/>
        </w:rPr>
      </w:pPr>
    </w:p>
    <w:p w14:paraId="3B45322C">
      <w:pPr>
        <w:keepNext w:val="0"/>
        <w:keepLines w:val="0"/>
        <w:pageBreakBefore w:val="0"/>
        <w:widowControl w:val="0"/>
        <w:numPr>
          <w:ilvl w:val="0"/>
          <w:numId w:val="0"/>
        </w:numPr>
        <w:wordWrap/>
        <w:topLinePunct w:val="0"/>
        <w:bidi w:val="0"/>
        <w:spacing w:line="360" w:lineRule="auto"/>
        <w:ind w:left="420" w:leftChars="200" w:firstLine="0" w:firstLineChars="0"/>
        <w:rPr>
          <w:rFonts w:hint="default"/>
          <w:b w:val="0"/>
          <w:bCs w:val="0"/>
          <w:color w:val="auto"/>
          <w:highlight w:val="none"/>
          <w:lang w:val="en-US" w:eastAsia="zh-CN"/>
        </w:rPr>
      </w:pPr>
      <w:r>
        <w:rPr>
          <w:rFonts w:hint="eastAsia" w:ascii="宋体" w:hAnsi="宋体" w:eastAsia="宋体" w:cs="宋体"/>
          <w:b w:val="0"/>
          <w:bCs w:val="0"/>
          <w:color w:val="auto"/>
          <w:sz w:val="24"/>
          <w:highlight w:val="none"/>
          <w:lang w:val="en-US" w:eastAsia="zh-CN"/>
        </w:rPr>
        <w:t>6.</w:t>
      </w:r>
      <w:r>
        <w:rPr>
          <w:rFonts w:hint="eastAsia" w:ascii="宋体" w:hAnsi="宋体" w:eastAsia="宋体" w:cs="宋体"/>
          <w:b w:val="0"/>
          <w:bCs w:val="0"/>
          <w:color w:val="auto"/>
          <w:sz w:val="24"/>
          <w:highlight w:val="none"/>
          <w:lang w:eastAsia="zh-CN"/>
        </w:rPr>
        <w:t>施工组织设计方案</w:t>
      </w:r>
      <w:r>
        <w:rPr>
          <w:rFonts w:hint="eastAsia" w:ascii="宋体" w:hAnsi="宋体" w:eastAsia="宋体" w:cs="宋体"/>
          <w:b/>
          <w:bCs/>
          <w:color w:val="auto"/>
          <w:sz w:val="24"/>
          <w:highlight w:val="none"/>
          <w:lang w:eastAsia="zh-CN"/>
        </w:rPr>
        <w:t>（必须提供）</w:t>
      </w:r>
      <w:r>
        <w:rPr>
          <w:rFonts w:hint="eastAsia" w:ascii="宋体" w:hAnsi="宋体" w:eastAsia="宋体" w:cs="宋体"/>
          <w:color w:val="auto"/>
          <w:sz w:val="24"/>
          <w:highlight w:val="none"/>
          <w:lang w:eastAsia="zh-CN"/>
        </w:rPr>
        <w:t>；</w:t>
      </w:r>
    </w:p>
    <w:p w14:paraId="5F4A37F9">
      <w:pPr>
        <w:keepNext w:val="0"/>
        <w:keepLines w:val="0"/>
        <w:pageBreakBefore w:val="0"/>
        <w:widowControl w:val="0"/>
        <w:numPr>
          <w:ilvl w:val="0"/>
          <w:numId w:val="0"/>
        </w:numPr>
        <w:wordWrap/>
        <w:topLinePunct w:val="0"/>
        <w:bidi w:val="0"/>
        <w:spacing w:line="360" w:lineRule="auto"/>
        <w:ind w:left="420" w:leftChars="200" w:firstLine="0" w:firstLineChars="0"/>
        <w:rPr>
          <w:rFonts w:hint="eastAsia" w:ascii="宋体" w:hAnsi="宋体" w:eastAsia="宋体" w:cs="宋体"/>
          <w:color w:val="auto"/>
          <w:sz w:val="24"/>
          <w:highlight w:val="none"/>
          <w:lang w:eastAsia="zh-CN"/>
        </w:rPr>
      </w:pPr>
    </w:p>
    <w:p w14:paraId="43F2F71F">
      <w:pPr>
        <w:keepNext w:val="0"/>
        <w:keepLines w:val="0"/>
        <w:pageBreakBefore w:val="0"/>
        <w:widowControl w:val="0"/>
        <w:numPr>
          <w:ilvl w:val="0"/>
          <w:numId w:val="0"/>
        </w:numPr>
        <w:wordWrap/>
        <w:topLinePunct w:val="0"/>
        <w:bidi w:val="0"/>
        <w:spacing w:line="360" w:lineRule="auto"/>
        <w:ind w:left="420" w:leftChars="200" w:firstLine="0" w:firstLineChars="0"/>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7.建设工程项目管理承诺书</w:t>
      </w:r>
      <w:r>
        <w:rPr>
          <w:rFonts w:hint="eastAsia" w:ascii="宋体" w:hAnsi="宋体" w:eastAsia="宋体" w:cs="宋体"/>
          <w:b/>
          <w:bCs/>
          <w:color w:val="auto"/>
          <w:sz w:val="24"/>
          <w:highlight w:val="none"/>
          <w:lang w:val="en-US" w:eastAsia="zh-CN"/>
        </w:rPr>
        <w:t>（格式见附件，必须提供）</w:t>
      </w:r>
      <w:r>
        <w:rPr>
          <w:rFonts w:hint="eastAsia" w:ascii="宋体" w:hAnsi="宋体" w:eastAsia="宋体" w:cs="宋体"/>
          <w:b w:val="0"/>
          <w:bCs w:val="0"/>
          <w:color w:val="auto"/>
          <w:sz w:val="24"/>
          <w:highlight w:val="none"/>
          <w:lang w:val="en-US" w:eastAsia="zh-CN"/>
        </w:rPr>
        <w:t>；</w:t>
      </w:r>
    </w:p>
    <w:p w14:paraId="10972C2A">
      <w:pPr>
        <w:keepNext w:val="0"/>
        <w:keepLines w:val="0"/>
        <w:pageBreakBefore w:val="0"/>
        <w:widowControl w:val="0"/>
        <w:numPr>
          <w:ilvl w:val="0"/>
          <w:numId w:val="0"/>
        </w:numPr>
        <w:wordWrap/>
        <w:topLinePunct w:val="0"/>
        <w:bidi w:val="0"/>
        <w:spacing w:line="360" w:lineRule="auto"/>
        <w:ind w:left="420" w:leftChars="200" w:firstLine="0" w:firstLineChars="0"/>
        <w:rPr>
          <w:rFonts w:hint="eastAsia" w:ascii="宋体" w:hAnsi="宋体" w:eastAsia="宋体" w:cs="宋体"/>
          <w:b w:val="0"/>
          <w:bCs w:val="0"/>
          <w:color w:val="auto"/>
          <w:sz w:val="24"/>
          <w:highlight w:val="none"/>
          <w:lang w:val="en-US" w:eastAsia="zh-CN"/>
        </w:rPr>
      </w:pPr>
    </w:p>
    <w:p w14:paraId="3725F1F4">
      <w:pPr>
        <w:keepNext w:val="0"/>
        <w:keepLines w:val="0"/>
        <w:pageBreakBefore w:val="0"/>
        <w:widowControl w:val="0"/>
        <w:numPr>
          <w:ilvl w:val="0"/>
          <w:numId w:val="0"/>
        </w:numPr>
        <w:wordWrap/>
        <w:topLinePunct w:val="0"/>
        <w:bidi w:val="0"/>
        <w:ind w:left="420" w:leftChars="0"/>
        <w:outlineLvl w:val="9"/>
        <w:rPr>
          <w:rFonts w:hint="default"/>
          <w:color w:val="auto"/>
          <w:highlight w:val="none"/>
          <w:lang w:val="en-US" w:eastAsia="zh-CN"/>
        </w:rPr>
      </w:pPr>
      <w:bookmarkStart w:id="1969" w:name="_Toc32505"/>
      <w:bookmarkStart w:id="1970" w:name="_Toc1014"/>
      <w:bookmarkStart w:id="1971" w:name="_Toc6633"/>
      <w:r>
        <w:rPr>
          <w:rFonts w:hint="eastAsia" w:ascii="宋体" w:hAnsi="宋体" w:eastAsia="宋体" w:cs="宋体"/>
          <w:b w:val="0"/>
          <w:bCs w:val="0"/>
          <w:color w:val="auto"/>
          <w:kern w:val="2"/>
          <w:sz w:val="24"/>
          <w:szCs w:val="24"/>
          <w:highlight w:val="none"/>
          <w:lang w:val="en-US" w:eastAsia="zh-CN" w:bidi="ar-SA"/>
        </w:rPr>
        <w:t>8.</w:t>
      </w:r>
      <w:bookmarkEnd w:id="1969"/>
      <w:bookmarkEnd w:id="1970"/>
      <w:bookmarkEnd w:id="1971"/>
      <w:bookmarkStart w:id="1972" w:name="_Toc6752"/>
      <w:bookmarkStart w:id="1973" w:name="_Toc13958"/>
      <w:bookmarkStart w:id="1974" w:name="_Toc9702"/>
      <w:r>
        <w:rPr>
          <w:rFonts w:hint="eastAsia" w:ascii="宋体" w:hAnsi="宋体" w:cs="宋体"/>
          <w:b w:val="0"/>
          <w:bCs w:val="0"/>
          <w:color w:val="auto"/>
          <w:kern w:val="2"/>
          <w:sz w:val="24"/>
          <w:szCs w:val="24"/>
          <w:highlight w:val="none"/>
          <w:lang w:val="en-US" w:eastAsia="zh-CN" w:bidi="ar-SA"/>
        </w:rPr>
        <w:t>渣土清运承诺书</w:t>
      </w:r>
      <w:r>
        <w:rPr>
          <w:rFonts w:hint="eastAsia" w:ascii="宋体" w:hAnsi="宋体" w:eastAsia="宋体" w:cs="宋体"/>
          <w:b/>
          <w:bCs/>
          <w:color w:val="auto"/>
          <w:kern w:val="2"/>
          <w:sz w:val="24"/>
          <w:szCs w:val="24"/>
          <w:highlight w:val="none"/>
          <w:lang w:val="en-US" w:eastAsia="zh-CN" w:bidi="ar-SA"/>
        </w:rPr>
        <w:t>（必须提供）</w:t>
      </w:r>
      <w:bookmarkEnd w:id="1972"/>
      <w:bookmarkEnd w:id="1973"/>
      <w:bookmarkEnd w:id="1974"/>
      <w:r>
        <w:rPr>
          <w:rFonts w:hint="eastAsia" w:ascii="宋体" w:hAnsi="宋体" w:cs="宋体"/>
          <w:b w:val="0"/>
          <w:bCs w:val="0"/>
          <w:color w:val="auto"/>
          <w:kern w:val="2"/>
          <w:sz w:val="24"/>
          <w:szCs w:val="24"/>
          <w:highlight w:val="none"/>
          <w:lang w:val="en-US" w:eastAsia="zh-CN" w:bidi="ar-SA"/>
        </w:rPr>
        <w:t>；</w:t>
      </w:r>
    </w:p>
    <w:p w14:paraId="06C1103B">
      <w:pPr>
        <w:pStyle w:val="40"/>
        <w:keepNext w:val="0"/>
        <w:keepLines w:val="0"/>
        <w:pageBreakBefore w:val="0"/>
        <w:widowControl w:val="0"/>
        <w:wordWrap/>
        <w:topLinePunct w:val="0"/>
        <w:bidi w:val="0"/>
        <w:rPr>
          <w:rFonts w:hint="eastAsia" w:ascii="宋体" w:hAnsi="宋体" w:eastAsia="宋体" w:cs="宋体"/>
          <w:color w:val="auto"/>
          <w:highlight w:val="none"/>
        </w:rPr>
      </w:pPr>
    </w:p>
    <w:p w14:paraId="5D268106">
      <w:pPr>
        <w:pStyle w:val="40"/>
        <w:keepNext w:val="0"/>
        <w:keepLines w:val="0"/>
        <w:pageBreakBefore w:val="0"/>
        <w:widowControl w:val="0"/>
        <w:wordWrap/>
        <w:topLinePunct w:val="0"/>
        <w:bidi w:val="0"/>
        <w:rPr>
          <w:rFonts w:hint="eastAsia" w:ascii="宋体" w:hAnsi="宋体" w:eastAsia="宋体" w:cs="宋体"/>
          <w:color w:val="auto"/>
          <w:highlight w:val="none"/>
        </w:rPr>
      </w:pPr>
    </w:p>
    <w:p w14:paraId="10CFA7C7">
      <w:pPr>
        <w:pStyle w:val="40"/>
        <w:keepNext w:val="0"/>
        <w:keepLines w:val="0"/>
        <w:pageBreakBefore w:val="0"/>
        <w:widowControl w:val="0"/>
        <w:wordWrap/>
        <w:topLinePunct w:val="0"/>
        <w:bidi w:val="0"/>
        <w:rPr>
          <w:rFonts w:hint="eastAsia" w:ascii="宋体" w:hAnsi="宋体" w:eastAsia="宋体" w:cs="宋体"/>
          <w:color w:val="auto"/>
          <w:highlight w:val="none"/>
        </w:rPr>
      </w:pPr>
    </w:p>
    <w:p w14:paraId="1D28F342">
      <w:pPr>
        <w:pStyle w:val="40"/>
        <w:keepNext w:val="0"/>
        <w:keepLines w:val="0"/>
        <w:pageBreakBefore w:val="0"/>
        <w:widowControl w:val="0"/>
        <w:wordWrap/>
        <w:topLinePunct w:val="0"/>
        <w:bidi w:val="0"/>
        <w:rPr>
          <w:rFonts w:hint="eastAsia" w:ascii="宋体" w:hAnsi="宋体" w:eastAsia="宋体" w:cs="宋体"/>
          <w:color w:val="auto"/>
          <w:highlight w:val="none"/>
        </w:rPr>
      </w:pPr>
    </w:p>
    <w:p w14:paraId="016B5C9C">
      <w:pPr>
        <w:pStyle w:val="9"/>
        <w:keepNext w:val="0"/>
        <w:keepLines w:val="0"/>
        <w:pageBreakBefore w:val="0"/>
        <w:widowControl w:val="0"/>
        <w:wordWrap/>
        <w:topLinePunct w:val="0"/>
        <w:bidi w:val="0"/>
        <w:rPr>
          <w:rFonts w:hint="eastAsia" w:ascii="宋体" w:hAnsi="宋体" w:eastAsia="宋体" w:cs="宋体"/>
          <w:color w:val="auto"/>
          <w:highlight w:val="none"/>
        </w:rPr>
      </w:pPr>
    </w:p>
    <w:p w14:paraId="24B506B0">
      <w:pPr>
        <w:keepNext w:val="0"/>
        <w:keepLines w:val="0"/>
        <w:pageBreakBefore w:val="0"/>
        <w:widowControl w:val="0"/>
        <w:wordWrap/>
        <w:topLinePunct w:val="0"/>
        <w:bidi w:val="0"/>
        <w:rPr>
          <w:rFonts w:hint="eastAsia" w:ascii="宋体" w:hAnsi="宋体" w:cs="宋体"/>
          <w:b/>
          <w:bCs/>
          <w:color w:val="auto"/>
          <w:sz w:val="28"/>
          <w:szCs w:val="28"/>
          <w:highlight w:val="none"/>
          <w:lang w:val="en-US" w:eastAsia="zh-CN"/>
        </w:rPr>
      </w:pPr>
      <w:bookmarkStart w:id="1975" w:name="_Toc17617"/>
      <w:bookmarkStart w:id="1976" w:name="_Toc497927072"/>
      <w:bookmarkStart w:id="1977" w:name="_Toc12920"/>
      <w:r>
        <w:rPr>
          <w:rFonts w:hint="eastAsia" w:ascii="宋体" w:hAnsi="宋体" w:cs="宋体"/>
          <w:b/>
          <w:bCs/>
          <w:color w:val="auto"/>
          <w:sz w:val="28"/>
          <w:szCs w:val="28"/>
          <w:highlight w:val="none"/>
          <w:lang w:val="en-US" w:eastAsia="zh-CN"/>
        </w:rPr>
        <w:br w:type="page"/>
      </w:r>
    </w:p>
    <w:p w14:paraId="03EA3B75">
      <w:pPr>
        <w:keepNext w:val="0"/>
        <w:keepLines w:val="0"/>
        <w:pageBreakBefore w:val="0"/>
        <w:widowControl w:val="0"/>
        <w:numPr>
          <w:ilvl w:val="0"/>
          <w:numId w:val="0"/>
        </w:numPr>
        <w:wordWrap/>
        <w:topLinePunct w:val="0"/>
        <w:bidi w:val="0"/>
        <w:spacing w:line="440" w:lineRule="atLeast"/>
        <w:outlineLvl w:val="2"/>
        <w:rPr>
          <w:rFonts w:hint="eastAsia" w:ascii="宋体" w:hAnsi="宋体" w:eastAsia="宋体" w:cs="宋体"/>
          <w:b/>
          <w:bCs/>
          <w:color w:val="auto"/>
          <w:sz w:val="28"/>
          <w:szCs w:val="28"/>
          <w:highlight w:val="none"/>
        </w:rPr>
      </w:pPr>
      <w:r>
        <w:rPr>
          <w:rFonts w:hint="eastAsia" w:ascii="宋体" w:hAnsi="宋体" w:cs="宋体"/>
          <w:b/>
          <w:bCs/>
          <w:color w:val="auto"/>
          <w:sz w:val="28"/>
          <w:szCs w:val="28"/>
          <w:highlight w:val="none"/>
          <w:lang w:val="en-US" w:eastAsia="zh-CN"/>
        </w:rPr>
        <w:t>1.</w:t>
      </w:r>
      <w:r>
        <w:rPr>
          <w:rFonts w:hint="eastAsia" w:ascii="宋体" w:hAnsi="宋体" w:eastAsia="宋体" w:cs="宋体"/>
          <w:b/>
          <w:color w:val="auto"/>
          <w:sz w:val="28"/>
          <w:szCs w:val="28"/>
          <w:highlight w:val="none"/>
          <w:lang w:val="en-US" w:eastAsia="zh-CN"/>
        </w:rPr>
        <w:t>响应</w:t>
      </w:r>
      <w:r>
        <w:rPr>
          <w:rFonts w:hint="eastAsia" w:ascii="宋体" w:hAnsi="宋体" w:eastAsia="宋体" w:cs="宋体"/>
          <w:b/>
          <w:bCs/>
          <w:color w:val="auto"/>
          <w:sz w:val="28"/>
          <w:szCs w:val="28"/>
          <w:highlight w:val="none"/>
        </w:rPr>
        <w:t>函（格式见附件）（必须提供）</w:t>
      </w:r>
      <w:bookmarkEnd w:id="1975"/>
      <w:bookmarkEnd w:id="1976"/>
      <w:bookmarkEnd w:id="1977"/>
    </w:p>
    <w:p w14:paraId="202C55A4">
      <w:pPr>
        <w:pStyle w:val="40"/>
        <w:keepNext w:val="0"/>
        <w:keepLines w:val="0"/>
        <w:pageBreakBefore w:val="0"/>
        <w:widowControl w:val="0"/>
        <w:wordWrap/>
        <w:topLinePunct w:val="0"/>
        <w:bidi w:val="0"/>
        <w:rPr>
          <w:rFonts w:hint="eastAsia" w:ascii="宋体" w:hAnsi="宋体" w:eastAsia="宋体" w:cs="宋体"/>
          <w:color w:val="auto"/>
          <w:highlight w:val="none"/>
        </w:rPr>
      </w:pPr>
    </w:p>
    <w:p w14:paraId="27EC3596">
      <w:pPr>
        <w:pStyle w:val="12"/>
        <w:keepNext w:val="0"/>
        <w:keepLines w:val="0"/>
        <w:pageBreakBefore w:val="0"/>
        <w:widowControl w:val="0"/>
        <w:wordWrap/>
        <w:topLinePunct w:val="0"/>
        <w:bidi w:val="0"/>
        <w:rPr>
          <w:rFonts w:hint="eastAsia" w:ascii="宋体" w:hAnsi="宋体" w:eastAsia="宋体" w:cs="宋体"/>
          <w:b/>
          <w:color w:val="auto"/>
          <w:sz w:val="32"/>
          <w:highlight w:val="none"/>
        </w:rPr>
      </w:pPr>
      <w:r>
        <w:rPr>
          <w:rFonts w:hint="eastAsia" w:ascii="宋体" w:hAnsi="宋体" w:eastAsia="宋体" w:cs="宋体"/>
          <w:b/>
          <w:color w:val="auto"/>
          <w:sz w:val="32"/>
          <w:highlight w:val="none"/>
        </w:rPr>
        <w:t>附件：</w:t>
      </w:r>
    </w:p>
    <w:p w14:paraId="05142141">
      <w:pPr>
        <w:pStyle w:val="12"/>
        <w:keepNext w:val="0"/>
        <w:keepLines w:val="0"/>
        <w:pageBreakBefore w:val="0"/>
        <w:widowControl w:val="0"/>
        <w:wordWrap/>
        <w:topLinePunct w:val="0"/>
        <w:bidi w:val="0"/>
        <w:ind w:firstLine="803" w:firstLineChars="250"/>
        <w:jc w:val="center"/>
        <w:rPr>
          <w:rFonts w:hint="eastAsia" w:ascii="宋体" w:hAnsi="宋体" w:eastAsia="宋体" w:cs="宋体"/>
          <w:b/>
          <w:color w:val="auto"/>
          <w:sz w:val="32"/>
          <w:highlight w:val="none"/>
        </w:rPr>
      </w:pPr>
      <w:bookmarkStart w:id="1978" w:name="_Toc17832_WPSOffice_Level1"/>
      <w:bookmarkStart w:id="1979" w:name="_Toc7273_WPSOffice_Level1"/>
      <w:r>
        <w:rPr>
          <w:rFonts w:hint="eastAsia" w:ascii="宋体" w:hAnsi="宋体" w:eastAsia="宋体" w:cs="宋体"/>
          <w:b/>
          <w:color w:val="auto"/>
          <w:sz w:val="32"/>
          <w:highlight w:val="none"/>
        </w:rPr>
        <w:t>响 应 函 （格 式）</w:t>
      </w:r>
      <w:bookmarkEnd w:id="1978"/>
      <w:bookmarkEnd w:id="1979"/>
    </w:p>
    <w:p w14:paraId="248F48A6">
      <w:pPr>
        <w:keepNext w:val="0"/>
        <w:keepLines w:val="0"/>
        <w:pageBreakBefore w:val="0"/>
        <w:widowControl w:val="0"/>
        <w:wordWrap/>
        <w:topLinePunct w:val="0"/>
        <w:bidi w:val="0"/>
        <w:spacing w:line="240" w:lineRule="exact"/>
        <w:jc w:val="center"/>
        <w:rPr>
          <w:rFonts w:hint="eastAsia" w:ascii="宋体" w:hAnsi="宋体" w:eastAsia="宋体" w:cs="宋体"/>
          <w:color w:val="auto"/>
          <w:sz w:val="32"/>
          <w:highlight w:val="none"/>
        </w:rPr>
      </w:pPr>
    </w:p>
    <w:p w14:paraId="5F3F9A9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w:t>
      </w:r>
      <w:r>
        <w:rPr>
          <w:rFonts w:hint="eastAsia" w:ascii="宋体" w:hAnsi="宋体" w:cs="宋体"/>
          <w:color w:val="auto"/>
          <w:szCs w:val="21"/>
          <w:highlight w:val="none"/>
          <w:u w:val="single"/>
          <w:lang w:eastAsia="zh-CN"/>
        </w:rPr>
        <w:t>广西北部湾宏亚建设管理有限公司</w:t>
      </w:r>
    </w:p>
    <w:p w14:paraId="5C947AB7">
      <w:pPr>
        <w:pStyle w:val="12"/>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根据贵方</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项目竞争性磋商文件，项目编号：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，签字代表</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（姓名）经正式授权并代表供应商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供应商单位名称），提交</w:t>
      </w:r>
      <w:r>
        <w:rPr>
          <w:rFonts w:hint="eastAsia" w:ascii="宋体" w:hAnsi="宋体" w:eastAsia="宋体" w:cs="宋体"/>
          <w:color w:val="auto"/>
          <w:highlight w:val="none"/>
          <w:lang w:eastAsia="zh-CN"/>
        </w:rPr>
        <w:t>电子</w:t>
      </w:r>
      <w:r>
        <w:rPr>
          <w:rFonts w:hint="eastAsia" w:ascii="宋体" w:hAnsi="宋体" w:eastAsia="宋体" w:cs="宋体"/>
          <w:color w:val="auto"/>
          <w:highlight w:val="none"/>
        </w:rPr>
        <w:t>响应文件</w:t>
      </w:r>
      <w:r>
        <w:rPr>
          <w:rFonts w:hint="eastAsia" w:ascii="宋体" w:hAnsi="宋体" w:eastAsia="宋体" w:cs="宋体"/>
          <w:color w:val="auto"/>
          <w:highlight w:val="none"/>
          <w:lang w:eastAsia="zh-CN"/>
        </w:rPr>
        <w:t>。</w:t>
      </w:r>
    </w:p>
    <w:p w14:paraId="0D05D56C">
      <w:pPr>
        <w:pStyle w:val="12"/>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据此函，签字代表宣布同意如下：</w:t>
      </w:r>
    </w:p>
    <w:p w14:paraId="411EFEAC">
      <w:pPr>
        <w:pStyle w:val="12"/>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1. 按磋商文件采购需求和磋商报价表：</w:t>
      </w:r>
    </w:p>
    <w:p w14:paraId="4B2B3414">
      <w:pPr>
        <w:pStyle w:val="12"/>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highlight w:val="none"/>
        </w:rPr>
      </w:pPr>
      <w:r>
        <w:rPr>
          <w:rFonts w:hint="eastAsia" w:ascii="宋体" w:hAnsi="宋体" w:cs="宋体"/>
          <w:color w:val="auto"/>
          <w:sz w:val="21"/>
          <w:szCs w:val="21"/>
          <w:highlight w:val="none"/>
        </w:rPr>
        <w:t>按采购项目内容和报价表，</w:t>
      </w:r>
      <w:r>
        <w:rPr>
          <w:rFonts w:hint="eastAsia" w:hAnsi="宋体" w:cs="宋体"/>
          <w:color w:val="auto"/>
          <w:sz w:val="21"/>
          <w:szCs w:val="21"/>
          <w:highlight w:val="none"/>
          <w:lang w:eastAsia="zh-CN"/>
        </w:rPr>
        <w:t>磋商</w:t>
      </w:r>
      <w:r>
        <w:rPr>
          <w:rFonts w:hint="eastAsia" w:hAnsi="宋体" w:cs="宋体"/>
          <w:color w:val="auto"/>
          <w:sz w:val="21"/>
          <w:szCs w:val="21"/>
          <w:highlight w:val="none"/>
          <w:lang w:val="en-US" w:eastAsia="zh-CN"/>
        </w:rPr>
        <w:t>总</w:t>
      </w:r>
      <w:r>
        <w:rPr>
          <w:rFonts w:hint="eastAsia" w:ascii="宋体" w:hAnsi="宋体" w:cs="宋体"/>
          <w:color w:val="auto"/>
          <w:sz w:val="21"/>
          <w:szCs w:val="21"/>
          <w:highlight w:val="none"/>
        </w:rPr>
        <w:t>报价为(大写)</w:t>
      </w:r>
      <w:r>
        <w:rPr>
          <w:rFonts w:hint="eastAsia" w:ascii="宋体" w:hAnsi="宋体" w:cs="宋体"/>
          <w:color w:val="auto"/>
          <w:sz w:val="21"/>
          <w:szCs w:val="21"/>
          <w:highlight w:val="none"/>
          <w:u w:val="single"/>
        </w:rPr>
        <w:t xml:space="preserve">      </w:t>
      </w:r>
      <w:r>
        <w:rPr>
          <w:rFonts w:hint="eastAsia"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元(￥</w:t>
      </w:r>
      <w:r>
        <w:rPr>
          <w:rFonts w:hint="eastAsia" w:ascii="宋体" w:hAnsi="宋体" w:cs="宋体"/>
          <w:color w:val="auto"/>
          <w:sz w:val="21"/>
          <w:szCs w:val="21"/>
          <w:highlight w:val="none"/>
          <w:u w:val="single"/>
        </w:rPr>
        <w:t xml:space="preserve">     </w:t>
      </w:r>
      <w:r>
        <w:rPr>
          <w:rFonts w:hint="eastAsia"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w:t>
      </w:r>
      <w:r>
        <w:rPr>
          <w:rFonts w:hint="eastAsia" w:ascii="宋体" w:hAnsi="宋体" w:cs="宋体"/>
          <w:color w:val="auto"/>
          <w:highlight w:val="none"/>
          <w:lang w:eastAsia="zh-CN"/>
        </w:rPr>
        <w:t>。</w:t>
      </w:r>
      <w:r>
        <w:rPr>
          <w:rFonts w:hint="eastAsia" w:ascii="宋体" w:hAnsi="宋体" w:cs="宋体"/>
          <w:color w:val="auto"/>
          <w:sz w:val="21"/>
          <w:szCs w:val="21"/>
          <w:highlight w:val="none"/>
        </w:rPr>
        <w:t>工程完工期：</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u w:val="none"/>
        </w:rPr>
        <w:t>天（日历日）；</w:t>
      </w:r>
      <w:r>
        <w:rPr>
          <w:rFonts w:hint="eastAsia" w:ascii="宋体" w:hAnsi="宋体" w:cs="宋体"/>
          <w:color w:val="auto"/>
          <w:sz w:val="21"/>
          <w:szCs w:val="21"/>
          <w:highlight w:val="none"/>
        </w:rPr>
        <w:t>质量</w:t>
      </w:r>
      <w:r>
        <w:rPr>
          <w:rFonts w:hint="eastAsia" w:hAnsi="宋体" w:cs="宋体"/>
          <w:color w:val="auto"/>
          <w:sz w:val="21"/>
          <w:szCs w:val="21"/>
          <w:highlight w:val="none"/>
          <w:lang w:val="en-US" w:eastAsia="zh-CN"/>
        </w:rPr>
        <w:t>标准</w:t>
      </w:r>
      <w:r>
        <w:rPr>
          <w:rFonts w:hint="eastAsia" w:hAnsi="宋体" w:cs="宋体"/>
          <w:color w:val="auto"/>
          <w:sz w:val="21"/>
          <w:szCs w:val="21"/>
          <w:highlight w:val="none"/>
          <w:u w:val="none"/>
          <w:lang w:eastAsia="zh-CN"/>
        </w:rPr>
        <w:t>：</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 xml:space="preserve"> 。</w:t>
      </w:r>
    </w:p>
    <w:p w14:paraId="20618730">
      <w:pPr>
        <w:pStyle w:val="12"/>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2.我方承诺已具备磋商文件规定的供应商资格条件。</w:t>
      </w:r>
    </w:p>
    <w:p w14:paraId="4F7F4EDA">
      <w:pPr>
        <w:pStyle w:val="12"/>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3.我方已详细审核磋商文件，包括修改文件（如有的话）和有关附件，将自行承担因对全部磋商文件理解不正确或误解而产生的相应后果。</w:t>
      </w:r>
    </w:p>
    <w:p w14:paraId="5293CF63">
      <w:pPr>
        <w:pStyle w:val="12"/>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4. 响应文件有效期为</w:t>
      </w:r>
      <w:r>
        <w:rPr>
          <w:rFonts w:hint="eastAsia" w:ascii="宋体" w:hAnsi="宋体" w:eastAsia="宋体" w:cs="宋体"/>
          <w:color w:val="auto"/>
          <w:szCs w:val="21"/>
          <w:highlight w:val="none"/>
        </w:rPr>
        <w:t>响应文件递交截止时间之日起90天。</w:t>
      </w:r>
    </w:p>
    <w:p w14:paraId="2167C39C">
      <w:pPr>
        <w:pStyle w:val="12"/>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5. 如我方成交：</w:t>
      </w:r>
    </w:p>
    <w:p w14:paraId="724288F8">
      <w:pPr>
        <w:pStyle w:val="12"/>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（1）我方承诺在收到成交通知书后，在成交通知书规定的期限内与采购人签订合同。</w:t>
      </w:r>
    </w:p>
    <w:p w14:paraId="1C112B05">
      <w:pPr>
        <w:pStyle w:val="12"/>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（2）我方承诺按照磋商文件规定递交履约担保。</w:t>
      </w:r>
    </w:p>
    <w:p w14:paraId="00B66EAC">
      <w:pPr>
        <w:pStyle w:val="12"/>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（3）我方承诺本响应文件至本项目合同履行完毕止均保持有效，按磋商文件及政府采购法律、法规的规定履行合同责任和义务。</w:t>
      </w:r>
    </w:p>
    <w:p w14:paraId="0F9B6D19">
      <w:pPr>
        <w:pStyle w:val="12"/>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与本项目有关的正式通讯地址为：</w:t>
      </w:r>
    </w:p>
    <w:p w14:paraId="17EC455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p>
    <w:p w14:paraId="6E5DCC9A">
      <w:pPr>
        <w:pStyle w:val="12"/>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邮编：</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电话、传真：</w:t>
      </w:r>
      <w:r>
        <w:rPr>
          <w:rFonts w:hint="eastAsia" w:ascii="宋体" w:hAnsi="宋体" w:eastAsia="宋体" w:cs="宋体"/>
          <w:color w:val="auto"/>
          <w:sz w:val="21"/>
          <w:szCs w:val="21"/>
          <w:highlight w:val="none"/>
          <w:u w:val="single"/>
        </w:rPr>
        <w:t xml:space="preserve">            </w:t>
      </w:r>
    </w:p>
    <w:p w14:paraId="2D4CE645">
      <w:pPr>
        <w:pStyle w:val="12"/>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开户名称：</w:t>
      </w:r>
      <w:r>
        <w:rPr>
          <w:rFonts w:hint="eastAsia" w:ascii="宋体" w:hAnsi="宋体" w:eastAsia="宋体" w:cs="宋体"/>
          <w:color w:val="auto"/>
          <w:sz w:val="21"/>
          <w:szCs w:val="21"/>
          <w:highlight w:val="none"/>
          <w:u w:val="single"/>
        </w:rPr>
        <w:t xml:space="preserve">                                        </w:t>
      </w:r>
    </w:p>
    <w:p w14:paraId="6A9967C9">
      <w:pPr>
        <w:pStyle w:val="12"/>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w:t>
      </w:r>
      <w:r>
        <w:rPr>
          <w:rFonts w:hint="eastAsia" w:ascii="宋体" w:hAnsi="宋体" w:eastAsia="宋体" w:cs="宋体"/>
          <w:color w:val="auto"/>
          <w:sz w:val="21"/>
          <w:szCs w:val="21"/>
          <w:highlight w:val="none"/>
          <w:u w:val="single"/>
        </w:rPr>
        <w:t xml:space="preserve">                               　       </w:t>
      </w:r>
    </w:p>
    <w:p w14:paraId="79714F46">
      <w:pPr>
        <w:pStyle w:val="12"/>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账号：</w:t>
      </w:r>
      <w:r>
        <w:rPr>
          <w:rFonts w:hint="eastAsia" w:ascii="宋体" w:hAnsi="宋体" w:eastAsia="宋体" w:cs="宋体"/>
          <w:color w:val="auto"/>
          <w:sz w:val="21"/>
          <w:szCs w:val="21"/>
          <w:highlight w:val="none"/>
          <w:u w:val="single"/>
        </w:rPr>
        <w:t xml:space="preserve">                                   　　　   </w:t>
      </w:r>
    </w:p>
    <w:p w14:paraId="00BEB875">
      <w:pPr>
        <w:pStyle w:val="12"/>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lang w:val="en-US" w:eastAsia="zh-CN"/>
        </w:rPr>
        <w:t>供应商[</w:t>
      </w:r>
      <w:r>
        <w:rPr>
          <w:rFonts w:hint="eastAsia" w:ascii="宋体" w:hAnsi="宋体" w:eastAsia="宋体" w:cs="宋体"/>
          <w:bCs/>
          <w:color w:val="auto"/>
          <w:sz w:val="21"/>
          <w:szCs w:val="21"/>
          <w:highlight w:val="none"/>
        </w:rPr>
        <w:t>公章</w:t>
      </w:r>
      <w:r>
        <w:rPr>
          <w:rFonts w:hint="eastAsia" w:ascii="宋体" w:hAnsi="宋体" w:eastAsia="宋体" w:cs="宋体"/>
          <w:bCs/>
          <w:color w:val="auto"/>
          <w:sz w:val="21"/>
          <w:szCs w:val="21"/>
          <w:highlight w:val="none"/>
          <w:lang w:val="en-US" w:eastAsia="zh-CN"/>
        </w:rPr>
        <w:t>(CA签章)</w:t>
      </w:r>
      <w:r>
        <w:rPr>
          <w:rFonts w:hint="eastAsia" w:ascii="宋体" w:hAnsi="宋体" w:eastAsia="宋体" w:cs="宋体"/>
          <w:bCs/>
          <w:color w:val="auto"/>
          <w:sz w:val="21"/>
          <w:szCs w:val="21"/>
          <w:highlight w:val="none"/>
        </w:rPr>
        <w:t>、自然人除外</w:t>
      </w:r>
      <w:r>
        <w:rPr>
          <w:rFonts w:hint="eastAsia" w:ascii="宋体" w:hAnsi="宋体" w:eastAsia="宋体" w:cs="宋体"/>
          <w:bCs/>
          <w:color w:val="auto"/>
          <w:sz w:val="21"/>
          <w:szCs w:val="21"/>
          <w:highlight w:val="none"/>
          <w:lang w:val="en-US" w:eastAsia="zh-CN"/>
        </w:rPr>
        <w:t>]</w:t>
      </w: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u w:val="single"/>
        </w:rPr>
        <w:t xml:space="preserve">                              </w:t>
      </w:r>
    </w:p>
    <w:p w14:paraId="0FACB939">
      <w:pPr>
        <w:pStyle w:val="12"/>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法定代表人、负责人、自然人或相应的委托代理人签字</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或盖章</w:t>
      </w:r>
      <w:r>
        <w:rPr>
          <w:rFonts w:hint="eastAsia" w:ascii="宋体" w:hAnsi="宋体" w:eastAsia="宋体" w:cs="宋体"/>
          <w:color w:val="auto"/>
          <w:sz w:val="21"/>
          <w:szCs w:val="21"/>
          <w:highlight w:val="none"/>
          <w:lang w:val="en-US" w:eastAsia="zh-CN"/>
        </w:rPr>
        <w:t>(CA签章)]</w:t>
      </w:r>
      <w:r>
        <w:rPr>
          <w:rFonts w:hint="eastAsia" w:ascii="宋体" w:hAnsi="宋体" w:eastAsia="宋体" w:cs="宋体"/>
          <w:color w:val="auto"/>
          <w:sz w:val="21"/>
          <w:szCs w:val="21"/>
          <w:highlight w:val="none"/>
        </w:rPr>
        <w:t>（属自然人的应在签名处加盖大拇指指印</w:t>
      </w:r>
      <w:r>
        <w:rPr>
          <w:rFonts w:hint="eastAsia" w:ascii="宋体" w:hAnsi="宋体" w:eastAsia="宋体" w:cs="宋体"/>
          <w:color w:val="auto"/>
          <w:sz w:val="21"/>
          <w:szCs w:val="21"/>
          <w:highlight w:val="none"/>
          <w:lang w:eastAsia="zh-CN"/>
        </w:rPr>
        <w:t>或</w:t>
      </w:r>
      <w:r>
        <w:rPr>
          <w:rFonts w:hint="eastAsia" w:ascii="宋体" w:hAnsi="宋体" w:eastAsia="宋体" w:cs="宋体"/>
          <w:color w:val="auto"/>
          <w:sz w:val="21"/>
          <w:szCs w:val="21"/>
          <w:highlight w:val="none"/>
          <w:lang w:val="en-US" w:eastAsia="zh-CN"/>
        </w:rPr>
        <w:t>个人CA签章</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p>
    <w:p w14:paraId="7B4CC133">
      <w:pPr>
        <w:pStyle w:val="12"/>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1"/>
          <w:szCs w:val="21"/>
          <w:highlight w:val="none"/>
          <w:u w:val="single"/>
        </w:rPr>
      </w:pPr>
      <w:r>
        <w:rPr>
          <w:rFonts w:hint="eastAsia" w:ascii="宋体" w:hAnsi="宋体" w:eastAsia="宋体" w:cs="宋体"/>
          <w:bCs/>
          <w:color w:val="auto"/>
          <w:sz w:val="21"/>
          <w:szCs w:val="21"/>
          <w:highlight w:val="none"/>
        </w:rPr>
        <w:t>响应</w:t>
      </w: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xml:space="preserve">                               </w:t>
      </w:r>
    </w:p>
    <w:p w14:paraId="71CFE7E2">
      <w:pPr>
        <w:pStyle w:val="7"/>
        <w:keepNext w:val="0"/>
        <w:keepLines w:val="0"/>
        <w:pageBreakBefore w:val="0"/>
        <w:widowControl w:val="0"/>
        <w:wordWrap/>
        <w:topLinePunct w:val="0"/>
        <w:bidi w:val="0"/>
        <w:rPr>
          <w:rFonts w:hint="eastAsia" w:ascii="宋体" w:hAnsi="宋体" w:eastAsia="宋体" w:cs="宋体"/>
          <w:color w:val="auto"/>
          <w:sz w:val="21"/>
          <w:szCs w:val="21"/>
          <w:highlight w:val="none"/>
          <w:u w:val="single"/>
        </w:rPr>
      </w:pPr>
    </w:p>
    <w:p w14:paraId="4C607B02">
      <w:pPr>
        <w:keepNext w:val="0"/>
        <w:keepLines w:val="0"/>
        <w:pageBreakBefore w:val="0"/>
        <w:widowControl w:val="0"/>
        <w:wordWrap/>
        <w:topLinePunct w:val="0"/>
        <w:bidi w:val="0"/>
        <w:rPr>
          <w:rFonts w:hint="eastAsia"/>
          <w:color w:val="auto"/>
          <w:highlight w:val="none"/>
          <w:lang w:val="en-US" w:eastAsia="zh-CN"/>
        </w:rPr>
      </w:pPr>
    </w:p>
    <w:p w14:paraId="00382640">
      <w:pPr>
        <w:rPr>
          <w:rFonts w:hint="eastAsia" w:hAnsi="宋体" w:cs="宋体"/>
          <w:b/>
          <w:color w:val="auto"/>
          <w:sz w:val="28"/>
          <w:szCs w:val="28"/>
          <w:highlight w:val="none"/>
          <w:lang w:val="en-US" w:eastAsia="zh-CN"/>
        </w:rPr>
      </w:pPr>
      <w:r>
        <w:rPr>
          <w:rFonts w:hint="eastAsia" w:hAnsi="宋体" w:cs="宋体"/>
          <w:b/>
          <w:color w:val="auto"/>
          <w:sz w:val="28"/>
          <w:szCs w:val="28"/>
          <w:highlight w:val="none"/>
          <w:lang w:val="en-US" w:eastAsia="zh-CN"/>
        </w:rPr>
        <w:br w:type="page"/>
      </w:r>
    </w:p>
    <w:p w14:paraId="06C5B4F9">
      <w:pPr>
        <w:keepNext w:val="0"/>
        <w:keepLines w:val="0"/>
        <w:pageBreakBefore w:val="0"/>
        <w:widowControl w:val="0"/>
        <w:numPr>
          <w:ilvl w:val="0"/>
          <w:numId w:val="0"/>
        </w:numPr>
        <w:wordWrap/>
        <w:topLinePunct w:val="0"/>
        <w:bidi w:val="0"/>
        <w:spacing w:line="440" w:lineRule="atLeast"/>
        <w:outlineLvl w:val="2"/>
        <w:rPr>
          <w:rFonts w:hint="eastAsia" w:ascii="宋体" w:hAnsi="宋体" w:eastAsia="宋体" w:cs="宋体"/>
          <w:color w:val="auto"/>
          <w:highlight w:val="none"/>
        </w:rPr>
      </w:pPr>
      <w:r>
        <w:rPr>
          <w:rFonts w:hint="eastAsia" w:hAnsi="宋体" w:cs="宋体"/>
          <w:b/>
          <w:color w:val="auto"/>
          <w:sz w:val="28"/>
          <w:szCs w:val="28"/>
          <w:highlight w:val="none"/>
          <w:lang w:val="en-US" w:eastAsia="zh-CN"/>
        </w:rPr>
        <w:t>2</w:t>
      </w:r>
      <w:r>
        <w:rPr>
          <w:rFonts w:hint="eastAsia" w:ascii="宋体" w:hAnsi="宋体" w:eastAsia="宋体" w:cs="宋体"/>
          <w:b/>
          <w:color w:val="auto"/>
          <w:sz w:val="28"/>
          <w:szCs w:val="28"/>
          <w:highlight w:val="none"/>
          <w:lang w:val="en-US" w:eastAsia="zh-CN"/>
        </w:rPr>
        <w:t>.工程报价汇总表</w:t>
      </w:r>
      <w:r>
        <w:rPr>
          <w:rFonts w:hint="eastAsia" w:ascii="宋体" w:hAnsi="宋体" w:eastAsia="宋体" w:cs="宋体"/>
          <w:b/>
          <w:color w:val="auto"/>
          <w:sz w:val="28"/>
          <w:szCs w:val="28"/>
          <w:highlight w:val="none"/>
        </w:rPr>
        <w:t>（必须提供）；</w:t>
      </w:r>
    </w:p>
    <w:p w14:paraId="4ADFE9E6">
      <w:pPr>
        <w:pStyle w:val="12"/>
        <w:keepNext w:val="0"/>
        <w:keepLines w:val="0"/>
        <w:pageBreakBefore w:val="0"/>
        <w:widowControl w:val="0"/>
        <w:wordWrap/>
        <w:topLinePunct w:val="0"/>
        <w:bidi w:val="0"/>
        <w:spacing w:line="320" w:lineRule="exact"/>
        <w:jc w:val="left"/>
        <w:rPr>
          <w:rFonts w:hint="eastAsia" w:ascii="宋体" w:hAnsi="宋体" w:eastAsia="宋体" w:cs="宋体"/>
          <w:b/>
          <w:color w:val="auto"/>
          <w:sz w:val="28"/>
          <w:szCs w:val="28"/>
          <w:highlight w:val="none"/>
        </w:rPr>
      </w:pPr>
    </w:p>
    <w:p w14:paraId="09CB4A32">
      <w:pPr>
        <w:keepNext w:val="0"/>
        <w:keepLines w:val="0"/>
        <w:pageBreakBefore w:val="0"/>
        <w:widowControl w:val="0"/>
        <w:wordWrap/>
        <w:topLinePunct w:val="0"/>
        <w:bidi w:val="0"/>
        <w:jc w:val="center"/>
        <w:rPr>
          <w:rFonts w:hint="eastAsia" w:ascii="宋体" w:hAnsi="宋体" w:eastAsia="宋体" w:cs="宋体"/>
          <w:b/>
          <w:color w:val="auto"/>
          <w:kern w:val="0"/>
          <w:sz w:val="24"/>
          <w:szCs w:val="24"/>
          <w:highlight w:val="none"/>
          <w:lang w:eastAsia="zh-CN"/>
        </w:rPr>
      </w:pPr>
      <w:r>
        <w:rPr>
          <w:rFonts w:hint="eastAsia" w:ascii="宋体" w:hAnsi="宋体" w:eastAsia="宋体" w:cs="宋体"/>
          <w:b/>
          <w:color w:val="auto"/>
          <w:kern w:val="0"/>
          <w:sz w:val="24"/>
          <w:szCs w:val="24"/>
          <w:highlight w:val="none"/>
        </w:rPr>
        <w:t>工程报价汇总表</w:t>
      </w:r>
      <w:r>
        <w:rPr>
          <w:rFonts w:hint="eastAsia" w:ascii="宋体" w:hAnsi="宋体" w:eastAsia="宋体" w:cs="宋体"/>
          <w:b/>
          <w:color w:val="auto"/>
          <w:kern w:val="0"/>
          <w:sz w:val="24"/>
          <w:szCs w:val="24"/>
          <w:highlight w:val="none"/>
          <w:lang w:eastAsia="zh-CN"/>
        </w:rPr>
        <w:t>（</w:t>
      </w:r>
      <w:r>
        <w:rPr>
          <w:rFonts w:hint="eastAsia" w:ascii="宋体" w:hAnsi="宋体" w:eastAsia="宋体" w:cs="宋体"/>
          <w:b/>
          <w:color w:val="auto"/>
          <w:kern w:val="0"/>
          <w:sz w:val="24"/>
          <w:szCs w:val="24"/>
          <w:highlight w:val="none"/>
          <w:lang w:val="en-US" w:eastAsia="zh-CN"/>
        </w:rPr>
        <w:t>格式</w:t>
      </w:r>
      <w:r>
        <w:rPr>
          <w:rFonts w:hint="eastAsia" w:ascii="宋体" w:hAnsi="宋体" w:eastAsia="宋体" w:cs="宋体"/>
          <w:b/>
          <w:color w:val="auto"/>
          <w:kern w:val="0"/>
          <w:sz w:val="24"/>
          <w:szCs w:val="24"/>
          <w:highlight w:val="none"/>
          <w:lang w:eastAsia="zh-CN"/>
        </w:rPr>
        <w:t>）</w:t>
      </w:r>
    </w:p>
    <w:p w14:paraId="471EFC4E">
      <w:pPr>
        <w:keepNext w:val="0"/>
        <w:keepLines w:val="0"/>
        <w:pageBreakBefore w:val="0"/>
        <w:widowControl w:val="0"/>
        <w:wordWrap/>
        <w:topLinePunct w:val="0"/>
        <w:bidi w:val="0"/>
        <w:jc w:val="center"/>
        <w:rPr>
          <w:rFonts w:hint="eastAsia" w:ascii="宋体" w:hAnsi="宋体" w:cs="宋体"/>
          <w:color w:val="auto"/>
          <w:kern w:val="0"/>
          <w:sz w:val="24"/>
          <w:highlight w:val="none"/>
        </w:rPr>
      </w:pPr>
    </w:p>
    <w:p w14:paraId="1A90422C">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工程名称</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kern w:val="0"/>
          <w:sz w:val="21"/>
          <w:szCs w:val="21"/>
          <w:highlight w:val="none"/>
        </w:rPr>
        <w:t>币种：人民币</w:t>
      </w:r>
    </w:p>
    <w:tbl>
      <w:tblPr>
        <w:tblStyle w:val="27"/>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39"/>
        <w:gridCol w:w="3280"/>
      </w:tblGrid>
      <w:tr w14:paraId="6BB42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6239" w:type="dxa"/>
            <w:noWrap w:val="0"/>
            <w:vAlign w:val="center"/>
          </w:tcPr>
          <w:p w14:paraId="5E189853">
            <w:pPr>
              <w:pStyle w:val="65"/>
              <w:widowControl/>
              <w:jc w:val="left"/>
              <w:rPr>
                <w:rFonts w:hint="eastAsia" w:ascii="Times New Roman" w:hAnsi="Times New Roman"/>
                <w:color w:val="auto"/>
                <w:sz w:val="24"/>
                <w:szCs w:val="24"/>
                <w:highlight w:val="none"/>
              </w:rPr>
            </w:pPr>
            <w:r>
              <w:rPr>
                <w:rFonts w:hint="eastAsia" w:ascii="Times New Roman" w:hAnsi="Times New Roman"/>
                <w:color w:val="auto"/>
                <w:sz w:val="24"/>
                <w:szCs w:val="24"/>
                <w:highlight w:val="none"/>
              </w:rPr>
              <w:t>工程总造价（磋商总报价）：</w:t>
            </w:r>
          </w:p>
        </w:tc>
        <w:tc>
          <w:tcPr>
            <w:tcW w:w="3280" w:type="dxa"/>
            <w:noWrap w:val="0"/>
            <w:vAlign w:val="center"/>
          </w:tcPr>
          <w:p w14:paraId="206F19E8">
            <w:pPr>
              <w:pStyle w:val="65"/>
              <w:widowControl/>
              <w:jc w:val="right"/>
              <w:rPr>
                <w:rFonts w:ascii="Times New Roman" w:hAnsi="Times New Roman"/>
                <w:color w:val="auto"/>
                <w:sz w:val="24"/>
                <w:szCs w:val="24"/>
                <w:highlight w:val="none"/>
              </w:rPr>
            </w:pPr>
            <w:r>
              <w:rPr>
                <w:rFonts w:hint="eastAsia" w:ascii="Times New Roman" w:hAnsi="Times New Roman" w:cs="宋体"/>
                <w:color w:val="auto"/>
                <w:sz w:val="24"/>
                <w:szCs w:val="24"/>
                <w:highlight w:val="none"/>
              </w:rPr>
              <w:t>元</w:t>
            </w:r>
          </w:p>
        </w:tc>
      </w:tr>
      <w:tr w14:paraId="477B3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6239" w:type="dxa"/>
            <w:noWrap w:val="0"/>
            <w:vAlign w:val="center"/>
          </w:tcPr>
          <w:p w14:paraId="718F1782">
            <w:pPr>
              <w:pStyle w:val="65"/>
              <w:widowControl/>
              <w:jc w:val="left"/>
              <w:rPr>
                <w:rFonts w:hint="eastAsia" w:ascii="Times New Roman" w:hAnsi="Times New Roman"/>
                <w:color w:val="auto"/>
                <w:sz w:val="24"/>
                <w:szCs w:val="24"/>
                <w:highlight w:val="none"/>
              </w:rPr>
            </w:pPr>
            <w:r>
              <w:rPr>
                <w:rFonts w:hint="eastAsia" w:ascii="Times New Roman" w:hAnsi="Times New Roman"/>
                <w:color w:val="auto"/>
                <w:sz w:val="24"/>
                <w:szCs w:val="24"/>
                <w:highlight w:val="none"/>
              </w:rPr>
              <w:t>承诺工期</w:t>
            </w:r>
          </w:p>
        </w:tc>
        <w:tc>
          <w:tcPr>
            <w:tcW w:w="3280" w:type="dxa"/>
            <w:noWrap w:val="0"/>
            <w:vAlign w:val="center"/>
          </w:tcPr>
          <w:p w14:paraId="35881D70">
            <w:pPr>
              <w:pStyle w:val="65"/>
              <w:widowControl/>
              <w:jc w:val="right"/>
              <w:rPr>
                <w:rFonts w:hint="eastAsia" w:ascii="Times New Roman" w:hAnsi="Times New Roman"/>
                <w:color w:val="auto"/>
                <w:sz w:val="24"/>
                <w:szCs w:val="24"/>
                <w:highlight w:val="none"/>
                <w:lang w:val="en-US" w:eastAsia="zh-CN"/>
              </w:rPr>
            </w:pPr>
            <w:r>
              <w:rPr>
                <w:rFonts w:hint="eastAsia" w:ascii="Times New Roman" w:hAnsi="Times New Roman"/>
                <w:color w:val="auto"/>
                <w:sz w:val="24"/>
                <w:szCs w:val="24"/>
                <w:highlight w:val="none"/>
                <w:lang w:val="en-US" w:eastAsia="zh-CN"/>
              </w:rPr>
              <w:t>天（日历日）</w:t>
            </w:r>
          </w:p>
        </w:tc>
      </w:tr>
      <w:tr w14:paraId="67398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6239" w:type="dxa"/>
            <w:noWrap w:val="0"/>
            <w:vAlign w:val="center"/>
          </w:tcPr>
          <w:p w14:paraId="22462B18">
            <w:pPr>
              <w:pStyle w:val="65"/>
              <w:widowControl/>
              <w:jc w:val="left"/>
              <w:rPr>
                <w:rFonts w:hint="eastAsia" w:ascii="Times New Roman" w:hAnsi="Times New Roman"/>
                <w:color w:val="auto"/>
                <w:sz w:val="24"/>
                <w:szCs w:val="24"/>
                <w:highlight w:val="none"/>
              </w:rPr>
            </w:pPr>
            <w:r>
              <w:rPr>
                <w:rFonts w:hint="eastAsia" w:ascii="Times New Roman" w:hAnsi="Times New Roman"/>
                <w:color w:val="auto"/>
                <w:sz w:val="24"/>
                <w:szCs w:val="24"/>
                <w:highlight w:val="none"/>
              </w:rPr>
              <w:t>承诺质量等级</w:t>
            </w:r>
          </w:p>
        </w:tc>
        <w:tc>
          <w:tcPr>
            <w:tcW w:w="3280" w:type="dxa"/>
            <w:noWrap w:val="0"/>
            <w:vAlign w:val="center"/>
          </w:tcPr>
          <w:p w14:paraId="2F5476F9">
            <w:pPr>
              <w:pStyle w:val="65"/>
              <w:widowControl/>
              <w:jc w:val="right"/>
              <w:rPr>
                <w:rFonts w:hint="eastAsia" w:ascii="Times New Roman" w:hAnsi="Times New Roman"/>
                <w:color w:val="auto"/>
                <w:sz w:val="24"/>
                <w:szCs w:val="24"/>
                <w:highlight w:val="none"/>
                <w:lang w:val="en-US" w:eastAsia="zh-CN"/>
              </w:rPr>
            </w:pPr>
          </w:p>
        </w:tc>
      </w:tr>
    </w:tbl>
    <w:p w14:paraId="50B088F9">
      <w:pPr>
        <w:pStyle w:val="65"/>
        <w:ind w:left="-178" w:leftChars="-85" w:firstLine="177" w:firstLineChars="74"/>
        <w:rPr>
          <w:rFonts w:ascii="Times New Roman" w:hAnsi="Times New Roman"/>
          <w:color w:val="auto"/>
          <w:sz w:val="24"/>
          <w:szCs w:val="24"/>
          <w:highlight w:val="none"/>
        </w:rPr>
      </w:pPr>
    </w:p>
    <w:p w14:paraId="5A552332">
      <w:pPr>
        <w:pStyle w:val="65"/>
        <w:keepNext w:val="0"/>
        <w:keepLines w:val="0"/>
        <w:pageBreakBefore w:val="0"/>
        <w:widowControl w:val="0"/>
        <w:kinsoku/>
        <w:wordWrap/>
        <w:overflowPunct/>
        <w:topLinePunct w:val="0"/>
        <w:autoSpaceDE/>
        <w:autoSpaceDN/>
        <w:bidi w:val="0"/>
        <w:adjustRightInd/>
        <w:snapToGrid/>
        <w:spacing w:line="480" w:lineRule="auto"/>
        <w:textAlignment w:val="auto"/>
        <w:rPr>
          <w:rFonts w:ascii="Times New Roman" w:hAnsi="Times New Roman"/>
          <w:color w:val="auto"/>
          <w:szCs w:val="21"/>
          <w:highlight w:val="none"/>
        </w:rPr>
      </w:pPr>
    </w:p>
    <w:p w14:paraId="2B9DEF68">
      <w:pPr>
        <w:keepNext w:val="0"/>
        <w:keepLines w:val="0"/>
        <w:pageBreakBefore w:val="0"/>
        <w:widowControl w:val="0"/>
        <w:kinsoku/>
        <w:wordWrap/>
        <w:overflowPunct/>
        <w:topLinePunct w:val="0"/>
        <w:autoSpaceDE/>
        <w:autoSpaceDN/>
        <w:bidi w:val="0"/>
        <w:adjustRightInd/>
        <w:snapToGrid/>
        <w:spacing w:line="720" w:lineRule="auto"/>
        <w:textAlignment w:val="auto"/>
        <w:rPr>
          <w:rFonts w:hint="eastAsia" w:ascii="宋体" w:hAnsi="宋体" w:eastAsia="宋体" w:cs="宋体"/>
          <w:color w:val="auto"/>
          <w:szCs w:val="21"/>
          <w:highlight w:val="none"/>
          <w:u w:val="single"/>
        </w:rPr>
      </w:pPr>
      <w:r>
        <w:rPr>
          <w:rFonts w:hint="eastAsia" w:ascii="宋体" w:hAnsi="宋体" w:cs="宋体"/>
          <w:color w:val="auto"/>
          <w:szCs w:val="21"/>
          <w:highlight w:val="none"/>
          <w:lang w:eastAsia="zh-CN"/>
        </w:rPr>
        <w:t>磋商供应商</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，自然人除外）：</w:t>
      </w:r>
      <w:r>
        <w:rPr>
          <w:rFonts w:hint="eastAsia" w:ascii="宋体" w:hAnsi="宋体" w:eastAsia="宋体" w:cs="宋体"/>
          <w:color w:val="auto"/>
          <w:szCs w:val="21"/>
          <w:highlight w:val="none"/>
          <w:u w:val="single"/>
        </w:rPr>
        <w:t xml:space="preserve">                                        </w:t>
      </w:r>
    </w:p>
    <w:p w14:paraId="28C17A41">
      <w:pPr>
        <w:keepNext w:val="0"/>
        <w:keepLines w:val="0"/>
        <w:pageBreakBefore w:val="0"/>
        <w:widowControl w:val="0"/>
        <w:kinsoku/>
        <w:wordWrap/>
        <w:overflowPunct/>
        <w:topLinePunct w:val="0"/>
        <w:autoSpaceDE/>
        <w:autoSpaceDN/>
        <w:bidi w:val="0"/>
        <w:adjustRightInd/>
        <w:snapToGrid/>
        <w:spacing w:line="720" w:lineRule="auto"/>
        <w:textAlignment w:val="auto"/>
        <w:rPr>
          <w:rFonts w:hint="eastAsia" w:ascii="宋体" w:hAnsi="宋体" w:eastAsia="宋体" w:cs="宋体"/>
          <w:color w:val="auto"/>
          <w:szCs w:val="21"/>
          <w:highlight w:val="none"/>
          <w:u w:val="single"/>
        </w:rPr>
      </w:pPr>
      <w:r>
        <w:rPr>
          <w:rFonts w:hint="eastAsia" w:ascii="宋体" w:hAnsi="宋体" w:eastAsia="宋体" w:cs="宋体"/>
          <w:color w:val="auto"/>
          <w:highlight w:val="none"/>
        </w:rPr>
        <w:t>法定代表人、负责人、自然人或相应的委托代理人签字或</w:t>
      </w:r>
      <w:r>
        <w:rPr>
          <w:rFonts w:hint="eastAsia" w:ascii="宋体" w:hAnsi="宋体" w:eastAsia="宋体" w:cs="宋体"/>
          <w:color w:val="auto"/>
          <w:highlight w:val="none"/>
          <w:lang w:eastAsia="zh-CN"/>
        </w:rPr>
        <w:t>个人</w:t>
      </w:r>
      <w:r>
        <w:rPr>
          <w:rFonts w:hint="eastAsia" w:ascii="宋体" w:hAnsi="宋体" w:eastAsia="宋体" w:cs="宋体"/>
          <w:color w:val="auto"/>
          <w:highlight w:val="none"/>
          <w:lang w:val="en-US" w:eastAsia="zh-CN"/>
        </w:rPr>
        <w:t>CA签章</w:t>
      </w:r>
      <w:r>
        <w:rPr>
          <w:rFonts w:hint="eastAsia" w:ascii="宋体" w:hAnsi="宋体" w:eastAsia="宋体" w:cs="宋体"/>
          <w:color w:val="auto"/>
          <w:highlight w:val="none"/>
        </w:rPr>
        <w:t>（属自然人的应在签名处加盖食指指印</w:t>
      </w:r>
      <w:r>
        <w:rPr>
          <w:rFonts w:hint="eastAsia" w:ascii="宋体" w:hAnsi="宋体" w:eastAsia="宋体" w:cs="宋体"/>
          <w:color w:val="auto"/>
          <w:highlight w:val="none"/>
          <w:lang w:eastAsia="zh-CN"/>
        </w:rPr>
        <w:t>或个人</w:t>
      </w:r>
      <w:r>
        <w:rPr>
          <w:rFonts w:hint="eastAsia" w:ascii="宋体" w:hAnsi="宋体" w:eastAsia="宋体" w:cs="宋体"/>
          <w:color w:val="auto"/>
          <w:highlight w:val="none"/>
          <w:lang w:val="en-US" w:eastAsia="zh-CN"/>
        </w:rPr>
        <w:t>CA签章</w:t>
      </w:r>
      <w:r>
        <w:rPr>
          <w:rFonts w:hint="eastAsia" w:ascii="宋体" w:hAnsi="宋体" w:eastAsia="宋体" w:cs="宋体"/>
          <w:color w:val="auto"/>
          <w:highlight w:val="none"/>
        </w:rPr>
        <w:t>）：</w:t>
      </w:r>
      <w:r>
        <w:rPr>
          <w:rFonts w:hint="eastAsia" w:ascii="宋体" w:hAnsi="宋体" w:eastAsia="宋体" w:cs="宋体"/>
          <w:color w:val="auto"/>
          <w:szCs w:val="21"/>
          <w:highlight w:val="none"/>
          <w:u w:val="single"/>
        </w:rPr>
        <w:t xml:space="preserve">                                    </w:t>
      </w:r>
    </w:p>
    <w:p w14:paraId="0C7526C5">
      <w:pPr>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br w:type="page"/>
      </w:r>
    </w:p>
    <w:p w14:paraId="68F703D8">
      <w:pPr>
        <w:keepNext w:val="0"/>
        <w:keepLines w:val="0"/>
        <w:pageBreakBefore w:val="0"/>
        <w:widowControl w:val="0"/>
        <w:numPr>
          <w:ilvl w:val="0"/>
          <w:numId w:val="0"/>
        </w:numPr>
        <w:wordWrap/>
        <w:topLinePunct w:val="0"/>
        <w:bidi w:val="0"/>
        <w:spacing w:line="440" w:lineRule="atLeast"/>
        <w:outlineLvl w:val="2"/>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3.</w:t>
      </w:r>
      <w:r>
        <w:rPr>
          <w:rFonts w:hint="eastAsia" w:hAnsi="宋体" w:eastAsia="宋体" w:cs="宋体"/>
          <w:b/>
          <w:color w:val="auto"/>
          <w:sz w:val="28"/>
          <w:szCs w:val="28"/>
          <w:highlight w:val="none"/>
          <w:lang w:val="en-US" w:eastAsia="zh-CN"/>
        </w:rPr>
        <w:t>已</w:t>
      </w:r>
      <w:r>
        <w:rPr>
          <w:rFonts w:hint="eastAsia" w:ascii="宋体" w:hAnsi="宋体" w:eastAsia="宋体" w:cs="宋体"/>
          <w:b/>
          <w:color w:val="auto"/>
          <w:sz w:val="28"/>
          <w:szCs w:val="28"/>
          <w:highlight w:val="none"/>
          <w:lang w:val="en-US" w:eastAsia="zh-CN"/>
        </w:rPr>
        <w:t>标价工程量清单（必须提供）</w:t>
      </w:r>
    </w:p>
    <w:p w14:paraId="7020C19A">
      <w:pPr>
        <w:keepNext w:val="0"/>
        <w:keepLines w:val="0"/>
        <w:pageBreakBefore w:val="0"/>
        <w:widowControl w:val="0"/>
        <w:wordWrap/>
        <w:topLinePunct w:val="0"/>
        <w:bidi w:val="0"/>
        <w:snapToGrid w:val="0"/>
        <w:spacing w:line="240" w:lineRule="auto"/>
        <w:ind w:firstLine="420"/>
        <w:jc w:val="right"/>
        <w:rPr>
          <w:rFonts w:hint="eastAsia" w:ascii="宋体" w:hAnsi="宋体" w:eastAsia="宋体" w:cs="宋体"/>
          <w:color w:val="auto"/>
          <w:highlight w:val="none"/>
        </w:rPr>
      </w:pPr>
    </w:p>
    <w:p w14:paraId="56F441D6">
      <w:pPr>
        <w:keepNext w:val="0"/>
        <w:keepLines w:val="0"/>
        <w:pageBreakBefore w:val="0"/>
        <w:widowControl w:val="0"/>
        <w:wordWrap/>
        <w:topLinePunct w:val="0"/>
        <w:bidi w:val="0"/>
        <w:spacing w:line="240" w:lineRule="auto"/>
        <w:jc w:val="center"/>
        <w:outlineLvl w:val="9"/>
        <w:rPr>
          <w:rFonts w:hint="eastAsia" w:ascii="宋体" w:hAnsi="宋体" w:eastAsia="宋体" w:cs="宋体"/>
          <w:color w:val="auto"/>
          <w:sz w:val="24"/>
          <w:szCs w:val="24"/>
          <w:highlight w:val="none"/>
        </w:rPr>
      </w:pPr>
      <w:bookmarkStart w:id="1980" w:name="_Toc271557289"/>
      <w:bookmarkStart w:id="1981" w:name="_Toc446943082"/>
      <w:bookmarkStart w:id="1982" w:name="_Toc234659851"/>
      <w:bookmarkStart w:id="1983" w:name="_Toc394929435"/>
      <w:r>
        <w:rPr>
          <w:rFonts w:hint="eastAsia" w:ascii="宋体" w:hAnsi="宋体" w:eastAsia="宋体" w:cs="宋体"/>
          <w:color w:val="auto"/>
          <w:sz w:val="24"/>
          <w:szCs w:val="24"/>
          <w:highlight w:val="none"/>
        </w:rPr>
        <w:t>已标价工程量清单</w:t>
      </w:r>
      <w:bookmarkEnd w:id="1980"/>
      <w:bookmarkEnd w:id="1981"/>
      <w:bookmarkEnd w:id="1982"/>
      <w:bookmarkEnd w:id="1983"/>
    </w:p>
    <w:p w14:paraId="672FE051">
      <w:pPr>
        <w:keepNext w:val="0"/>
        <w:keepLines w:val="0"/>
        <w:pageBreakBefore w:val="0"/>
        <w:widowControl w:val="0"/>
        <w:wordWrap/>
        <w:topLinePunct w:val="0"/>
        <w:bidi w:val="0"/>
        <w:spacing w:line="240" w:lineRule="auto"/>
        <w:ind w:firstLine="420"/>
        <w:jc w:val="center"/>
        <w:rPr>
          <w:rFonts w:hint="eastAsia" w:ascii="宋体" w:hAnsi="宋体" w:eastAsia="宋体" w:cs="宋体"/>
          <w:color w:val="auto"/>
          <w:highlight w:val="none"/>
        </w:rPr>
      </w:pPr>
    </w:p>
    <w:p w14:paraId="154A5FC2">
      <w:pPr>
        <w:keepNext w:val="0"/>
        <w:keepLines w:val="0"/>
        <w:pageBreakBefore w:val="0"/>
        <w:widowControl w:val="0"/>
        <w:wordWrap/>
        <w:topLinePunct w:val="0"/>
        <w:bidi w:val="0"/>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应按照第</w:t>
      </w:r>
      <w:r>
        <w:rPr>
          <w:rFonts w:hint="eastAsia" w:ascii="宋体" w:hAnsi="宋体" w:eastAsia="宋体" w:cs="宋体"/>
          <w:color w:val="auto"/>
          <w:szCs w:val="21"/>
          <w:highlight w:val="none"/>
          <w:lang w:eastAsia="zh-CN"/>
        </w:rPr>
        <w:t>三</w:t>
      </w:r>
      <w:r>
        <w:rPr>
          <w:rFonts w:hint="eastAsia" w:ascii="宋体" w:hAnsi="宋体" w:eastAsia="宋体" w:cs="宋体"/>
          <w:color w:val="auto"/>
          <w:szCs w:val="21"/>
          <w:highlight w:val="none"/>
        </w:rPr>
        <w:t>章“工程量清单”的要求逐项填报工程量清单，包括工程量清单说明、</w:t>
      </w:r>
      <w:r>
        <w:rPr>
          <w:rFonts w:hint="eastAsia" w:ascii="宋体" w:hAnsi="宋体" w:eastAsia="宋体" w:cs="宋体"/>
          <w:color w:val="auto"/>
          <w:szCs w:val="21"/>
          <w:highlight w:val="none"/>
          <w:lang w:eastAsia="zh-CN"/>
        </w:rPr>
        <w:t>磋商报价</w:t>
      </w:r>
      <w:r>
        <w:rPr>
          <w:rFonts w:hint="eastAsia" w:ascii="宋体" w:hAnsi="宋体" w:eastAsia="宋体" w:cs="宋体"/>
          <w:color w:val="auto"/>
          <w:szCs w:val="21"/>
          <w:highlight w:val="none"/>
        </w:rPr>
        <w:t>说明及工程量清单各项表格</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eastAsia="zh-CN"/>
        </w:rPr>
        <w:t>采购人</w:t>
      </w:r>
      <w:r>
        <w:rPr>
          <w:rFonts w:hint="eastAsia" w:ascii="宋体" w:hAnsi="宋体" w:eastAsia="宋体" w:cs="宋体"/>
          <w:b/>
          <w:bCs/>
          <w:color w:val="auto"/>
          <w:highlight w:val="none"/>
        </w:rPr>
        <w:t>提供的工程量清单</w:t>
      </w:r>
      <w:r>
        <w:rPr>
          <w:rFonts w:hint="eastAsia" w:ascii="宋体" w:hAnsi="宋体" w:eastAsia="宋体" w:cs="宋体"/>
          <w:b/>
          <w:bCs/>
          <w:color w:val="auto"/>
          <w:szCs w:val="21"/>
          <w:highlight w:val="none"/>
        </w:rPr>
        <w:t>）。</w:t>
      </w:r>
    </w:p>
    <w:p w14:paraId="0AEDCE1E">
      <w:pPr>
        <w:keepNext w:val="0"/>
        <w:keepLines w:val="0"/>
        <w:pageBreakBefore w:val="0"/>
        <w:widowControl w:val="0"/>
        <w:wordWrap/>
        <w:topLinePunct w:val="0"/>
        <w:bidi w:val="0"/>
        <w:spacing w:line="340" w:lineRule="exact"/>
        <w:rPr>
          <w:rFonts w:hint="eastAsia" w:ascii="宋体" w:hAnsi="宋体" w:eastAsia="宋体" w:cs="宋体"/>
          <w:color w:val="auto"/>
          <w:szCs w:val="21"/>
          <w:highlight w:val="none"/>
        </w:rPr>
      </w:pPr>
    </w:p>
    <w:p w14:paraId="7DD3B0A2">
      <w:pPr>
        <w:keepNext w:val="0"/>
        <w:keepLines w:val="0"/>
        <w:pageBreakBefore w:val="0"/>
        <w:widowControl w:val="0"/>
        <w:wordWrap/>
        <w:topLinePunct w:val="0"/>
        <w:bidi w:val="0"/>
        <w:spacing w:line="400" w:lineRule="exact"/>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注：</w:t>
      </w:r>
      <w:r>
        <w:rPr>
          <w:rFonts w:hint="eastAsia" w:ascii="宋体" w:hAnsi="宋体" w:eastAsia="宋体" w:cs="宋体"/>
          <w:b/>
          <w:color w:val="auto"/>
          <w:sz w:val="24"/>
          <w:highlight w:val="none"/>
        </w:rPr>
        <w:t>当本</w:t>
      </w:r>
      <w:r>
        <w:rPr>
          <w:rFonts w:hint="eastAsia" w:ascii="宋体" w:hAnsi="宋体" w:eastAsia="宋体" w:cs="宋体"/>
          <w:b/>
          <w:color w:val="auto"/>
          <w:sz w:val="24"/>
          <w:highlight w:val="none"/>
          <w:lang w:eastAsia="zh-CN"/>
        </w:rPr>
        <w:t>清单</w:t>
      </w:r>
      <w:r>
        <w:rPr>
          <w:rFonts w:hint="eastAsia" w:ascii="宋体" w:hAnsi="宋体" w:eastAsia="宋体" w:cs="宋体"/>
          <w:b/>
          <w:color w:val="auto"/>
          <w:sz w:val="24"/>
          <w:highlight w:val="none"/>
        </w:rPr>
        <w:t>由多页构成时，需逐页加盖</w:t>
      </w:r>
      <w:r>
        <w:rPr>
          <w:rFonts w:hint="eastAsia" w:ascii="宋体" w:hAnsi="宋体" w:eastAsia="宋体" w:cs="宋体"/>
          <w:b/>
          <w:color w:val="auto"/>
          <w:sz w:val="24"/>
          <w:highlight w:val="none"/>
          <w:lang w:eastAsia="zh-CN"/>
        </w:rPr>
        <w:t>磋商供应商</w:t>
      </w:r>
      <w:r>
        <w:rPr>
          <w:rFonts w:hint="eastAsia" w:ascii="宋体" w:hAnsi="宋体" w:eastAsia="宋体" w:cs="宋体"/>
          <w:b/>
          <w:color w:val="auto"/>
          <w:sz w:val="24"/>
          <w:highlight w:val="none"/>
        </w:rPr>
        <w:t>公章</w:t>
      </w:r>
      <w:r>
        <w:rPr>
          <w:rFonts w:hint="eastAsia" w:ascii="宋体" w:hAnsi="宋体" w:eastAsia="宋体" w:cs="宋体"/>
          <w:b/>
          <w:color w:val="auto"/>
          <w:sz w:val="24"/>
          <w:highlight w:val="none"/>
          <w:lang w:eastAsia="zh-CN"/>
        </w:rPr>
        <w:t>（</w:t>
      </w:r>
      <w:r>
        <w:rPr>
          <w:rFonts w:hint="eastAsia" w:ascii="宋体" w:hAnsi="宋体" w:eastAsia="宋体" w:cs="宋体"/>
          <w:b/>
          <w:color w:val="auto"/>
          <w:sz w:val="24"/>
          <w:highlight w:val="none"/>
          <w:lang w:val="en-US" w:eastAsia="zh-CN"/>
        </w:rPr>
        <w:t>CA签章</w:t>
      </w:r>
      <w:r>
        <w:rPr>
          <w:rFonts w:hint="eastAsia" w:ascii="宋体" w:hAnsi="宋体" w:eastAsia="宋体" w:cs="宋体"/>
          <w:b/>
          <w:color w:val="auto"/>
          <w:sz w:val="24"/>
          <w:highlight w:val="none"/>
          <w:lang w:eastAsia="zh-CN"/>
        </w:rPr>
        <w:t>）</w:t>
      </w:r>
      <w:r>
        <w:rPr>
          <w:rFonts w:hint="eastAsia" w:ascii="宋体" w:hAnsi="宋体" w:eastAsia="宋体" w:cs="宋体"/>
          <w:b/>
          <w:color w:val="auto"/>
          <w:sz w:val="24"/>
          <w:highlight w:val="none"/>
        </w:rPr>
        <w:t>（属自然人的须逐页签字</w:t>
      </w:r>
      <w:r>
        <w:rPr>
          <w:rFonts w:hint="eastAsia" w:ascii="宋体" w:hAnsi="宋体" w:eastAsia="宋体" w:cs="宋体"/>
          <w:b/>
          <w:color w:val="auto"/>
          <w:sz w:val="24"/>
          <w:highlight w:val="none"/>
          <w:lang w:eastAsia="zh-CN"/>
        </w:rPr>
        <w:t>或</w:t>
      </w:r>
      <w:r>
        <w:rPr>
          <w:rFonts w:hint="eastAsia" w:ascii="宋体" w:hAnsi="宋体" w:eastAsia="宋体" w:cs="宋体"/>
          <w:b/>
          <w:color w:val="auto"/>
          <w:sz w:val="24"/>
          <w:highlight w:val="none"/>
          <w:lang w:val="en-US" w:eastAsia="zh-CN"/>
        </w:rPr>
        <w:t>个人CA签章</w:t>
      </w:r>
      <w:r>
        <w:rPr>
          <w:rFonts w:hint="eastAsia" w:ascii="宋体" w:hAnsi="宋体" w:eastAsia="宋体" w:cs="宋体"/>
          <w:b/>
          <w:color w:val="auto"/>
          <w:sz w:val="24"/>
          <w:highlight w:val="none"/>
        </w:rPr>
        <w:t>）。</w:t>
      </w:r>
    </w:p>
    <w:p w14:paraId="343B0D49">
      <w:pPr>
        <w:pStyle w:val="9"/>
        <w:keepNext w:val="0"/>
        <w:keepLines w:val="0"/>
        <w:pageBreakBefore w:val="0"/>
        <w:widowControl w:val="0"/>
        <w:wordWrap/>
        <w:topLinePunct w:val="0"/>
        <w:bidi w:val="0"/>
        <w:rPr>
          <w:rFonts w:hint="eastAsia" w:ascii="宋体" w:hAnsi="宋体" w:eastAsia="宋体" w:cs="宋体"/>
          <w:color w:val="auto"/>
          <w:highlight w:val="none"/>
        </w:rPr>
      </w:pPr>
    </w:p>
    <w:p w14:paraId="4C6BD6C7">
      <w:pPr>
        <w:pStyle w:val="9"/>
        <w:keepNext w:val="0"/>
        <w:keepLines w:val="0"/>
        <w:pageBreakBefore w:val="0"/>
        <w:widowControl w:val="0"/>
        <w:wordWrap/>
        <w:topLinePunct w:val="0"/>
        <w:bidi w:val="0"/>
        <w:rPr>
          <w:rFonts w:hint="eastAsia" w:ascii="宋体" w:hAnsi="宋体" w:eastAsia="宋体" w:cs="宋体"/>
          <w:color w:val="auto"/>
          <w:highlight w:val="none"/>
        </w:rPr>
      </w:pPr>
    </w:p>
    <w:p w14:paraId="62EED1E7">
      <w:pPr>
        <w:rPr>
          <w:rFonts w:hint="eastAsia" w:hAnsi="宋体" w:cs="宋体"/>
          <w:b/>
          <w:color w:val="auto"/>
          <w:sz w:val="28"/>
          <w:szCs w:val="28"/>
          <w:highlight w:val="none"/>
          <w:lang w:val="en-US" w:eastAsia="zh-CN"/>
        </w:rPr>
      </w:pPr>
      <w:r>
        <w:rPr>
          <w:rFonts w:hint="eastAsia" w:hAnsi="宋体" w:cs="宋体"/>
          <w:b/>
          <w:color w:val="auto"/>
          <w:sz w:val="28"/>
          <w:szCs w:val="28"/>
          <w:highlight w:val="none"/>
          <w:lang w:val="en-US" w:eastAsia="zh-CN"/>
        </w:rPr>
        <w:br w:type="page"/>
      </w:r>
    </w:p>
    <w:p w14:paraId="2D33FB1D">
      <w:pPr>
        <w:keepNext w:val="0"/>
        <w:keepLines w:val="0"/>
        <w:pageBreakBefore w:val="0"/>
        <w:widowControl w:val="0"/>
        <w:numPr>
          <w:ilvl w:val="0"/>
          <w:numId w:val="0"/>
        </w:numPr>
        <w:wordWrap/>
        <w:topLinePunct w:val="0"/>
        <w:bidi w:val="0"/>
        <w:spacing w:line="440" w:lineRule="atLeast"/>
        <w:outlineLvl w:val="2"/>
        <w:rPr>
          <w:rFonts w:hint="eastAsia" w:ascii="宋体" w:hAnsi="宋体" w:eastAsia="宋体" w:cs="宋体"/>
          <w:b/>
          <w:bCs/>
          <w:iCs/>
          <w:color w:val="auto"/>
          <w:kern w:val="2"/>
          <w:sz w:val="28"/>
          <w:szCs w:val="28"/>
          <w:highlight w:val="none"/>
          <w:lang w:val="en-US" w:eastAsia="zh-CN" w:bidi="ar-SA"/>
        </w:rPr>
      </w:pPr>
      <w:r>
        <w:rPr>
          <w:rFonts w:hint="eastAsia" w:hAnsi="宋体" w:cs="宋体"/>
          <w:b/>
          <w:color w:val="auto"/>
          <w:sz w:val="28"/>
          <w:szCs w:val="28"/>
          <w:highlight w:val="none"/>
          <w:lang w:val="en-US" w:eastAsia="zh-CN"/>
        </w:rPr>
        <w:t>4</w:t>
      </w:r>
      <w:r>
        <w:rPr>
          <w:rFonts w:hint="eastAsia" w:ascii="宋体" w:hAnsi="宋体" w:eastAsia="宋体" w:cs="宋体"/>
          <w:b/>
          <w:color w:val="auto"/>
          <w:sz w:val="28"/>
          <w:szCs w:val="28"/>
          <w:highlight w:val="none"/>
          <w:lang w:val="en-US" w:eastAsia="zh-CN"/>
        </w:rPr>
        <w:t>.</w:t>
      </w:r>
      <w:r>
        <w:rPr>
          <w:rFonts w:hint="eastAsia" w:ascii="宋体" w:hAnsi="宋体" w:eastAsia="宋体" w:cs="宋体"/>
          <w:b/>
          <w:bCs/>
          <w:iCs/>
          <w:color w:val="auto"/>
          <w:kern w:val="2"/>
          <w:sz w:val="28"/>
          <w:szCs w:val="28"/>
          <w:highlight w:val="none"/>
          <w:lang w:val="en-US" w:eastAsia="zh-CN" w:bidi="ar-SA"/>
        </w:rPr>
        <w:t>拟投入本工程主要施工管理人员表（必须提供）；</w:t>
      </w:r>
    </w:p>
    <w:p w14:paraId="0633FEAF">
      <w:pPr>
        <w:keepNext w:val="0"/>
        <w:keepLines w:val="0"/>
        <w:pageBreakBefore w:val="0"/>
        <w:widowControl w:val="0"/>
        <w:wordWrap/>
        <w:topLinePunct w:val="0"/>
        <w:bidi w:val="0"/>
        <w:spacing w:line="500" w:lineRule="exact"/>
        <w:jc w:val="center"/>
        <w:rPr>
          <w:rFonts w:hint="eastAsia" w:ascii="宋体" w:hAnsi="宋体" w:eastAsia="宋体" w:cs="宋体"/>
          <w:b/>
          <w:color w:val="auto"/>
          <w:sz w:val="24"/>
          <w:szCs w:val="24"/>
          <w:highlight w:val="none"/>
          <w:lang w:val="en-US" w:eastAsia="zh-CN"/>
        </w:rPr>
      </w:pPr>
    </w:p>
    <w:p w14:paraId="271CB386">
      <w:pPr>
        <w:keepNext w:val="0"/>
        <w:keepLines w:val="0"/>
        <w:pageBreakBefore w:val="0"/>
        <w:widowControl w:val="0"/>
        <w:wordWrap/>
        <w:topLinePunct w:val="0"/>
        <w:bidi w:val="0"/>
        <w:spacing w:line="50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主要施工管理人员表</w:t>
      </w:r>
    </w:p>
    <w:p w14:paraId="18862D8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工程名称：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tbl>
      <w:tblPr>
        <w:tblStyle w:val="27"/>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0"/>
        <w:gridCol w:w="793"/>
        <w:gridCol w:w="792"/>
        <w:gridCol w:w="1447"/>
        <w:gridCol w:w="3672"/>
      </w:tblGrid>
      <w:tr w14:paraId="50A4C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noWrap w:val="0"/>
            <w:vAlign w:val="center"/>
          </w:tcPr>
          <w:p w14:paraId="152E286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   称</w:t>
            </w:r>
          </w:p>
        </w:tc>
        <w:tc>
          <w:tcPr>
            <w:tcW w:w="793" w:type="dxa"/>
            <w:tcBorders>
              <w:top w:val="single" w:color="auto" w:sz="4" w:space="0"/>
              <w:left w:val="single" w:color="auto" w:sz="4" w:space="0"/>
              <w:bottom w:val="single" w:color="auto" w:sz="4" w:space="0"/>
              <w:right w:val="single" w:color="auto" w:sz="4" w:space="0"/>
            </w:tcBorders>
            <w:noWrap w:val="0"/>
            <w:vAlign w:val="center"/>
          </w:tcPr>
          <w:p w14:paraId="5B192C0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姓名</w:t>
            </w:r>
          </w:p>
        </w:tc>
        <w:tc>
          <w:tcPr>
            <w:tcW w:w="792" w:type="dxa"/>
            <w:tcBorders>
              <w:top w:val="single" w:color="auto" w:sz="4" w:space="0"/>
              <w:left w:val="single" w:color="auto" w:sz="4" w:space="0"/>
              <w:bottom w:val="single" w:color="auto" w:sz="4" w:space="0"/>
              <w:right w:val="single" w:color="auto" w:sz="4" w:space="0"/>
            </w:tcBorders>
            <w:noWrap w:val="0"/>
            <w:vAlign w:val="center"/>
          </w:tcPr>
          <w:p w14:paraId="511A395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职务</w:t>
            </w:r>
          </w:p>
        </w:tc>
        <w:tc>
          <w:tcPr>
            <w:tcW w:w="1447" w:type="dxa"/>
            <w:tcBorders>
              <w:top w:val="single" w:color="auto" w:sz="4" w:space="0"/>
              <w:left w:val="single" w:color="auto" w:sz="4" w:space="0"/>
              <w:bottom w:val="single" w:color="auto" w:sz="4" w:space="0"/>
              <w:right w:val="single" w:color="auto" w:sz="4" w:space="0"/>
            </w:tcBorders>
            <w:noWrap w:val="0"/>
            <w:vAlign w:val="center"/>
          </w:tcPr>
          <w:p w14:paraId="21B1427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资质/职称</w:t>
            </w:r>
          </w:p>
        </w:tc>
        <w:tc>
          <w:tcPr>
            <w:tcW w:w="3672" w:type="dxa"/>
            <w:tcBorders>
              <w:top w:val="single" w:color="auto" w:sz="4" w:space="0"/>
              <w:left w:val="single" w:color="auto" w:sz="4" w:space="0"/>
              <w:bottom w:val="single" w:color="auto" w:sz="4" w:space="0"/>
              <w:right w:val="single" w:color="auto" w:sz="4" w:space="0"/>
            </w:tcBorders>
            <w:noWrap w:val="0"/>
            <w:vAlign w:val="center"/>
          </w:tcPr>
          <w:p w14:paraId="042B33C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执业资格证号/上岗证号</w:t>
            </w:r>
          </w:p>
        </w:tc>
      </w:tr>
      <w:tr w14:paraId="701EA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noWrap w:val="0"/>
            <w:vAlign w:val="center"/>
          </w:tcPr>
          <w:p w14:paraId="522D542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一、总部</w:t>
            </w:r>
          </w:p>
        </w:tc>
        <w:tc>
          <w:tcPr>
            <w:tcW w:w="793" w:type="dxa"/>
            <w:tcBorders>
              <w:top w:val="single" w:color="auto" w:sz="4" w:space="0"/>
              <w:left w:val="single" w:color="auto" w:sz="4" w:space="0"/>
              <w:bottom w:val="single" w:color="auto" w:sz="4" w:space="0"/>
              <w:right w:val="single" w:color="auto" w:sz="4" w:space="0"/>
            </w:tcBorders>
            <w:noWrap w:val="0"/>
            <w:vAlign w:val="center"/>
          </w:tcPr>
          <w:p w14:paraId="2B82BE0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792" w:type="dxa"/>
            <w:tcBorders>
              <w:top w:val="single" w:color="auto" w:sz="4" w:space="0"/>
              <w:left w:val="single" w:color="auto" w:sz="4" w:space="0"/>
              <w:bottom w:val="single" w:color="auto" w:sz="4" w:space="0"/>
              <w:right w:val="single" w:color="auto" w:sz="4" w:space="0"/>
            </w:tcBorders>
            <w:noWrap w:val="0"/>
            <w:vAlign w:val="center"/>
          </w:tcPr>
          <w:p w14:paraId="220D77A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66EA638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3672" w:type="dxa"/>
            <w:tcBorders>
              <w:top w:val="single" w:color="auto" w:sz="4" w:space="0"/>
              <w:left w:val="single" w:color="auto" w:sz="4" w:space="0"/>
              <w:bottom w:val="single" w:color="auto" w:sz="4" w:space="0"/>
              <w:right w:val="single" w:color="auto" w:sz="4" w:space="0"/>
            </w:tcBorders>
            <w:noWrap w:val="0"/>
            <w:vAlign w:val="center"/>
          </w:tcPr>
          <w:p w14:paraId="5ABF094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r>
      <w:tr w14:paraId="77C0E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noWrap w:val="0"/>
            <w:vAlign w:val="center"/>
          </w:tcPr>
          <w:p w14:paraId="195C5DA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1.项目主管</w:t>
            </w:r>
          </w:p>
        </w:tc>
        <w:tc>
          <w:tcPr>
            <w:tcW w:w="793" w:type="dxa"/>
            <w:tcBorders>
              <w:top w:val="single" w:color="auto" w:sz="4" w:space="0"/>
              <w:left w:val="single" w:color="auto" w:sz="4" w:space="0"/>
              <w:bottom w:val="single" w:color="auto" w:sz="4" w:space="0"/>
              <w:right w:val="single" w:color="auto" w:sz="4" w:space="0"/>
            </w:tcBorders>
            <w:noWrap w:val="0"/>
            <w:vAlign w:val="center"/>
          </w:tcPr>
          <w:p w14:paraId="65ED047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792" w:type="dxa"/>
            <w:tcBorders>
              <w:top w:val="single" w:color="auto" w:sz="4" w:space="0"/>
              <w:left w:val="single" w:color="auto" w:sz="4" w:space="0"/>
              <w:bottom w:val="single" w:color="auto" w:sz="4" w:space="0"/>
              <w:right w:val="single" w:color="auto" w:sz="4" w:space="0"/>
            </w:tcBorders>
            <w:noWrap w:val="0"/>
            <w:vAlign w:val="center"/>
          </w:tcPr>
          <w:p w14:paraId="79398C7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6BCF599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3672" w:type="dxa"/>
            <w:tcBorders>
              <w:top w:val="single" w:color="auto" w:sz="4" w:space="0"/>
              <w:left w:val="single" w:color="auto" w:sz="4" w:space="0"/>
              <w:bottom w:val="single" w:color="auto" w:sz="4" w:space="0"/>
              <w:right w:val="single" w:color="auto" w:sz="4" w:space="0"/>
            </w:tcBorders>
            <w:noWrap w:val="0"/>
            <w:vAlign w:val="center"/>
          </w:tcPr>
          <w:p w14:paraId="11E1398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r>
      <w:tr w14:paraId="6E8E1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noWrap w:val="0"/>
            <w:vAlign w:val="center"/>
          </w:tcPr>
          <w:p w14:paraId="5FF9479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2.其他人员</w:t>
            </w:r>
          </w:p>
        </w:tc>
        <w:tc>
          <w:tcPr>
            <w:tcW w:w="793" w:type="dxa"/>
            <w:tcBorders>
              <w:top w:val="single" w:color="auto" w:sz="4" w:space="0"/>
              <w:left w:val="single" w:color="auto" w:sz="4" w:space="0"/>
              <w:bottom w:val="single" w:color="auto" w:sz="4" w:space="0"/>
              <w:right w:val="single" w:color="auto" w:sz="4" w:space="0"/>
            </w:tcBorders>
            <w:noWrap w:val="0"/>
            <w:vAlign w:val="center"/>
          </w:tcPr>
          <w:p w14:paraId="0F2211F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792" w:type="dxa"/>
            <w:tcBorders>
              <w:top w:val="single" w:color="auto" w:sz="4" w:space="0"/>
              <w:left w:val="single" w:color="auto" w:sz="4" w:space="0"/>
              <w:bottom w:val="single" w:color="auto" w:sz="4" w:space="0"/>
              <w:right w:val="single" w:color="auto" w:sz="4" w:space="0"/>
            </w:tcBorders>
            <w:noWrap w:val="0"/>
            <w:vAlign w:val="center"/>
          </w:tcPr>
          <w:p w14:paraId="6D0479D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01FDA30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3672" w:type="dxa"/>
            <w:tcBorders>
              <w:top w:val="single" w:color="auto" w:sz="4" w:space="0"/>
              <w:left w:val="single" w:color="auto" w:sz="4" w:space="0"/>
              <w:bottom w:val="single" w:color="auto" w:sz="4" w:space="0"/>
              <w:right w:val="single" w:color="auto" w:sz="4" w:space="0"/>
            </w:tcBorders>
            <w:noWrap w:val="0"/>
            <w:vAlign w:val="center"/>
          </w:tcPr>
          <w:p w14:paraId="66CA4C0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r>
      <w:tr w14:paraId="475F0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exact"/>
          <w:jc w:val="center"/>
        </w:trPr>
        <w:tc>
          <w:tcPr>
            <w:tcW w:w="3150" w:type="dxa"/>
            <w:tcBorders>
              <w:top w:val="single" w:color="auto" w:sz="4" w:space="0"/>
              <w:left w:val="single" w:color="auto" w:sz="4" w:space="0"/>
              <w:bottom w:val="single" w:color="auto" w:sz="4" w:space="0"/>
              <w:right w:val="single" w:color="auto" w:sz="4" w:space="0"/>
            </w:tcBorders>
            <w:noWrap w:val="0"/>
            <w:vAlign w:val="center"/>
          </w:tcPr>
          <w:p w14:paraId="230BB97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793" w:type="dxa"/>
            <w:tcBorders>
              <w:top w:val="single" w:color="auto" w:sz="4" w:space="0"/>
              <w:left w:val="single" w:color="auto" w:sz="4" w:space="0"/>
              <w:bottom w:val="single" w:color="auto" w:sz="4" w:space="0"/>
              <w:right w:val="single" w:color="auto" w:sz="4" w:space="0"/>
            </w:tcBorders>
            <w:noWrap w:val="0"/>
            <w:vAlign w:val="center"/>
          </w:tcPr>
          <w:p w14:paraId="68B046B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792" w:type="dxa"/>
            <w:tcBorders>
              <w:top w:val="single" w:color="auto" w:sz="4" w:space="0"/>
              <w:left w:val="single" w:color="auto" w:sz="4" w:space="0"/>
              <w:bottom w:val="single" w:color="auto" w:sz="4" w:space="0"/>
              <w:right w:val="single" w:color="auto" w:sz="4" w:space="0"/>
            </w:tcBorders>
            <w:noWrap w:val="0"/>
            <w:vAlign w:val="center"/>
          </w:tcPr>
          <w:p w14:paraId="551AF93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480EE5E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3672" w:type="dxa"/>
            <w:tcBorders>
              <w:top w:val="single" w:color="auto" w:sz="4" w:space="0"/>
              <w:left w:val="single" w:color="auto" w:sz="4" w:space="0"/>
              <w:bottom w:val="single" w:color="auto" w:sz="4" w:space="0"/>
              <w:right w:val="single" w:color="auto" w:sz="4" w:space="0"/>
            </w:tcBorders>
            <w:noWrap w:val="0"/>
            <w:vAlign w:val="center"/>
          </w:tcPr>
          <w:p w14:paraId="1BA615E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r>
      <w:tr w14:paraId="5EBAF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noWrap w:val="0"/>
            <w:vAlign w:val="center"/>
          </w:tcPr>
          <w:p w14:paraId="22EF6FF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二、现场</w:t>
            </w:r>
          </w:p>
        </w:tc>
        <w:tc>
          <w:tcPr>
            <w:tcW w:w="793" w:type="dxa"/>
            <w:tcBorders>
              <w:top w:val="single" w:color="auto" w:sz="4" w:space="0"/>
              <w:left w:val="single" w:color="auto" w:sz="4" w:space="0"/>
              <w:bottom w:val="single" w:color="auto" w:sz="4" w:space="0"/>
              <w:right w:val="single" w:color="auto" w:sz="4" w:space="0"/>
            </w:tcBorders>
            <w:noWrap w:val="0"/>
            <w:vAlign w:val="center"/>
          </w:tcPr>
          <w:p w14:paraId="703D484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792" w:type="dxa"/>
            <w:tcBorders>
              <w:top w:val="single" w:color="auto" w:sz="4" w:space="0"/>
              <w:left w:val="single" w:color="auto" w:sz="4" w:space="0"/>
              <w:bottom w:val="single" w:color="auto" w:sz="4" w:space="0"/>
              <w:right w:val="single" w:color="auto" w:sz="4" w:space="0"/>
            </w:tcBorders>
            <w:noWrap w:val="0"/>
            <w:vAlign w:val="center"/>
          </w:tcPr>
          <w:p w14:paraId="58EDFA8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16BA212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3672" w:type="dxa"/>
            <w:tcBorders>
              <w:top w:val="single" w:color="auto" w:sz="4" w:space="0"/>
              <w:left w:val="single" w:color="auto" w:sz="4" w:space="0"/>
              <w:bottom w:val="single" w:color="auto" w:sz="4" w:space="0"/>
              <w:right w:val="single" w:color="auto" w:sz="4" w:space="0"/>
            </w:tcBorders>
            <w:noWrap w:val="0"/>
            <w:vAlign w:val="center"/>
          </w:tcPr>
          <w:p w14:paraId="387EF36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r>
      <w:tr w14:paraId="232F4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noWrap w:val="0"/>
            <w:vAlign w:val="center"/>
          </w:tcPr>
          <w:p w14:paraId="3C57360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项目经理</w:t>
            </w:r>
          </w:p>
        </w:tc>
        <w:tc>
          <w:tcPr>
            <w:tcW w:w="793" w:type="dxa"/>
            <w:tcBorders>
              <w:top w:val="single" w:color="auto" w:sz="4" w:space="0"/>
              <w:left w:val="single" w:color="auto" w:sz="4" w:space="0"/>
              <w:bottom w:val="single" w:color="auto" w:sz="4" w:space="0"/>
              <w:right w:val="single" w:color="auto" w:sz="4" w:space="0"/>
            </w:tcBorders>
            <w:noWrap w:val="0"/>
            <w:vAlign w:val="center"/>
          </w:tcPr>
          <w:p w14:paraId="62ED5A2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792" w:type="dxa"/>
            <w:tcBorders>
              <w:top w:val="single" w:color="auto" w:sz="4" w:space="0"/>
              <w:left w:val="single" w:color="auto" w:sz="4" w:space="0"/>
              <w:bottom w:val="single" w:color="auto" w:sz="4" w:space="0"/>
              <w:right w:val="single" w:color="auto" w:sz="4" w:space="0"/>
            </w:tcBorders>
            <w:noWrap w:val="0"/>
            <w:vAlign w:val="center"/>
          </w:tcPr>
          <w:p w14:paraId="10D2178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78E7D7E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3672" w:type="dxa"/>
            <w:tcBorders>
              <w:top w:val="single" w:color="auto" w:sz="4" w:space="0"/>
              <w:left w:val="single" w:color="auto" w:sz="4" w:space="0"/>
              <w:bottom w:val="single" w:color="auto" w:sz="4" w:space="0"/>
              <w:right w:val="single" w:color="auto" w:sz="4" w:space="0"/>
            </w:tcBorders>
            <w:noWrap w:val="0"/>
            <w:vAlign w:val="center"/>
          </w:tcPr>
          <w:p w14:paraId="09561D8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r>
      <w:tr w14:paraId="4951E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noWrap w:val="0"/>
            <w:vAlign w:val="center"/>
          </w:tcPr>
          <w:p w14:paraId="0E60FB0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2.项目副经理（如有）</w:t>
            </w:r>
          </w:p>
        </w:tc>
        <w:tc>
          <w:tcPr>
            <w:tcW w:w="793" w:type="dxa"/>
            <w:tcBorders>
              <w:top w:val="single" w:color="auto" w:sz="4" w:space="0"/>
              <w:left w:val="single" w:color="auto" w:sz="4" w:space="0"/>
              <w:bottom w:val="single" w:color="auto" w:sz="4" w:space="0"/>
              <w:right w:val="single" w:color="auto" w:sz="4" w:space="0"/>
            </w:tcBorders>
            <w:noWrap w:val="0"/>
            <w:vAlign w:val="center"/>
          </w:tcPr>
          <w:p w14:paraId="40F4DE2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792" w:type="dxa"/>
            <w:tcBorders>
              <w:top w:val="single" w:color="auto" w:sz="4" w:space="0"/>
              <w:left w:val="single" w:color="auto" w:sz="4" w:space="0"/>
              <w:bottom w:val="single" w:color="auto" w:sz="4" w:space="0"/>
              <w:right w:val="single" w:color="auto" w:sz="4" w:space="0"/>
            </w:tcBorders>
            <w:noWrap w:val="0"/>
            <w:vAlign w:val="center"/>
          </w:tcPr>
          <w:p w14:paraId="27C48F6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2CFBF27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3672" w:type="dxa"/>
            <w:tcBorders>
              <w:top w:val="single" w:color="auto" w:sz="4" w:space="0"/>
              <w:left w:val="single" w:color="auto" w:sz="4" w:space="0"/>
              <w:bottom w:val="single" w:color="auto" w:sz="4" w:space="0"/>
              <w:right w:val="single" w:color="auto" w:sz="4" w:space="0"/>
            </w:tcBorders>
            <w:noWrap w:val="0"/>
            <w:vAlign w:val="center"/>
          </w:tcPr>
          <w:p w14:paraId="4DA1E59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r>
      <w:tr w14:paraId="4F5E2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noWrap w:val="0"/>
            <w:vAlign w:val="center"/>
          </w:tcPr>
          <w:p w14:paraId="253E439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3.技术负责人</w:t>
            </w:r>
          </w:p>
        </w:tc>
        <w:tc>
          <w:tcPr>
            <w:tcW w:w="793" w:type="dxa"/>
            <w:tcBorders>
              <w:top w:val="single" w:color="auto" w:sz="4" w:space="0"/>
              <w:left w:val="single" w:color="auto" w:sz="4" w:space="0"/>
              <w:bottom w:val="single" w:color="auto" w:sz="4" w:space="0"/>
              <w:right w:val="single" w:color="auto" w:sz="4" w:space="0"/>
            </w:tcBorders>
            <w:noWrap w:val="0"/>
            <w:vAlign w:val="center"/>
          </w:tcPr>
          <w:p w14:paraId="2D9A380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792" w:type="dxa"/>
            <w:tcBorders>
              <w:top w:val="single" w:color="auto" w:sz="4" w:space="0"/>
              <w:left w:val="single" w:color="auto" w:sz="4" w:space="0"/>
              <w:bottom w:val="single" w:color="auto" w:sz="4" w:space="0"/>
              <w:right w:val="single" w:color="auto" w:sz="4" w:space="0"/>
            </w:tcBorders>
            <w:noWrap w:val="0"/>
            <w:vAlign w:val="center"/>
          </w:tcPr>
          <w:p w14:paraId="0A5AE88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6C52902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3672" w:type="dxa"/>
            <w:tcBorders>
              <w:top w:val="single" w:color="auto" w:sz="4" w:space="0"/>
              <w:left w:val="single" w:color="auto" w:sz="4" w:space="0"/>
              <w:bottom w:val="single" w:color="auto" w:sz="4" w:space="0"/>
              <w:right w:val="single" w:color="auto" w:sz="4" w:space="0"/>
            </w:tcBorders>
            <w:noWrap w:val="0"/>
            <w:vAlign w:val="center"/>
          </w:tcPr>
          <w:p w14:paraId="0141C43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r>
      <w:tr w14:paraId="2A04A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noWrap w:val="0"/>
            <w:vAlign w:val="center"/>
          </w:tcPr>
          <w:p w14:paraId="684A72D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4.施工员</w:t>
            </w:r>
          </w:p>
        </w:tc>
        <w:tc>
          <w:tcPr>
            <w:tcW w:w="793" w:type="dxa"/>
            <w:tcBorders>
              <w:top w:val="single" w:color="auto" w:sz="4" w:space="0"/>
              <w:left w:val="single" w:color="auto" w:sz="4" w:space="0"/>
              <w:bottom w:val="single" w:color="auto" w:sz="4" w:space="0"/>
              <w:right w:val="single" w:color="auto" w:sz="4" w:space="0"/>
            </w:tcBorders>
            <w:noWrap w:val="0"/>
            <w:vAlign w:val="center"/>
          </w:tcPr>
          <w:p w14:paraId="72A0905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792" w:type="dxa"/>
            <w:tcBorders>
              <w:top w:val="single" w:color="auto" w:sz="4" w:space="0"/>
              <w:left w:val="single" w:color="auto" w:sz="4" w:space="0"/>
              <w:bottom w:val="single" w:color="auto" w:sz="4" w:space="0"/>
              <w:right w:val="single" w:color="auto" w:sz="4" w:space="0"/>
            </w:tcBorders>
            <w:noWrap w:val="0"/>
            <w:vAlign w:val="center"/>
          </w:tcPr>
          <w:p w14:paraId="4885131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0ADC6E8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3672" w:type="dxa"/>
            <w:tcBorders>
              <w:top w:val="single" w:color="auto" w:sz="4" w:space="0"/>
              <w:left w:val="single" w:color="auto" w:sz="4" w:space="0"/>
              <w:bottom w:val="single" w:color="auto" w:sz="4" w:space="0"/>
              <w:right w:val="single" w:color="auto" w:sz="4" w:space="0"/>
            </w:tcBorders>
            <w:noWrap w:val="0"/>
            <w:vAlign w:val="center"/>
          </w:tcPr>
          <w:p w14:paraId="6DF5A3F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r>
      <w:tr w14:paraId="55335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noWrap w:val="0"/>
            <w:vAlign w:val="center"/>
          </w:tcPr>
          <w:p w14:paraId="6718641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5.质检</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量</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员</w:t>
            </w:r>
          </w:p>
        </w:tc>
        <w:tc>
          <w:tcPr>
            <w:tcW w:w="793" w:type="dxa"/>
            <w:tcBorders>
              <w:top w:val="single" w:color="auto" w:sz="4" w:space="0"/>
              <w:left w:val="single" w:color="auto" w:sz="4" w:space="0"/>
              <w:bottom w:val="single" w:color="auto" w:sz="4" w:space="0"/>
              <w:right w:val="single" w:color="auto" w:sz="4" w:space="0"/>
            </w:tcBorders>
            <w:noWrap w:val="0"/>
            <w:vAlign w:val="center"/>
          </w:tcPr>
          <w:p w14:paraId="014EB8D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792" w:type="dxa"/>
            <w:tcBorders>
              <w:top w:val="single" w:color="auto" w:sz="4" w:space="0"/>
              <w:left w:val="single" w:color="auto" w:sz="4" w:space="0"/>
              <w:bottom w:val="single" w:color="auto" w:sz="4" w:space="0"/>
              <w:right w:val="single" w:color="auto" w:sz="4" w:space="0"/>
            </w:tcBorders>
            <w:noWrap w:val="0"/>
            <w:vAlign w:val="center"/>
          </w:tcPr>
          <w:p w14:paraId="24919D1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557AC7E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3672" w:type="dxa"/>
            <w:tcBorders>
              <w:top w:val="single" w:color="auto" w:sz="4" w:space="0"/>
              <w:left w:val="single" w:color="auto" w:sz="4" w:space="0"/>
              <w:bottom w:val="single" w:color="auto" w:sz="4" w:space="0"/>
              <w:right w:val="single" w:color="auto" w:sz="4" w:space="0"/>
            </w:tcBorders>
            <w:noWrap w:val="0"/>
            <w:vAlign w:val="center"/>
          </w:tcPr>
          <w:p w14:paraId="1E13A83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r>
      <w:tr w14:paraId="2587C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noWrap w:val="0"/>
            <w:vAlign w:val="center"/>
          </w:tcPr>
          <w:p w14:paraId="6CAF2A3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6.专职安全生产管理人员</w:t>
            </w:r>
          </w:p>
        </w:tc>
        <w:tc>
          <w:tcPr>
            <w:tcW w:w="793" w:type="dxa"/>
            <w:tcBorders>
              <w:top w:val="single" w:color="auto" w:sz="4" w:space="0"/>
              <w:left w:val="single" w:color="auto" w:sz="4" w:space="0"/>
              <w:bottom w:val="single" w:color="auto" w:sz="4" w:space="0"/>
              <w:right w:val="single" w:color="auto" w:sz="4" w:space="0"/>
            </w:tcBorders>
            <w:noWrap w:val="0"/>
            <w:vAlign w:val="center"/>
          </w:tcPr>
          <w:p w14:paraId="40896F4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792" w:type="dxa"/>
            <w:tcBorders>
              <w:top w:val="single" w:color="auto" w:sz="4" w:space="0"/>
              <w:left w:val="single" w:color="auto" w:sz="4" w:space="0"/>
              <w:bottom w:val="single" w:color="auto" w:sz="4" w:space="0"/>
              <w:right w:val="single" w:color="auto" w:sz="4" w:space="0"/>
            </w:tcBorders>
            <w:noWrap w:val="0"/>
            <w:vAlign w:val="center"/>
          </w:tcPr>
          <w:p w14:paraId="752CBF7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1AD525A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3672" w:type="dxa"/>
            <w:tcBorders>
              <w:top w:val="single" w:color="auto" w:sz="4" w:space="0"/>
              <w:left w:val="single" w:color="auto" w:sz="4" w:space="0"/>
              <w:bottom w:val="single" w:color="auto" w:sz="4" w:space="0"/>
              <w:right w:val="single" w:color="auto" w:sz="4" w:space="0"/>
            </w:tcBorders>
            <w:noWrap w:val="0"/>
            <w:vAlign w:val="center"/>
          </w:tcPr>
          <w:p w14:paraId="12D2F72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r>
      <w:tr w14:paraId="4C0D8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noWrap w:val="0"/>
            <w:vAlign w:val="center"/>
          </w:tcPr>
          <w:p w14:paraId="2473C4D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7.材料员</w:t>
            </w:r>
          </w:p>
        </w:tc>
        <w:tc>
          <w:tcPr>
            <w:tcW w:w="793" w:type="dxa"/>
            <w:tcBorders>
              <w:top w:val="single" w:color="auto" w:sz="4" w:space="0"/>
              <w:left w:val="single" w:color="auto" w:sz="4" w:space="0"/>
              <w:bottom w:val="single" w:color="auto" w:sz="4" w:space="0"/>
              <w:right w:val="single" w:color="auto" w:sz="4" w:space="0"/>
            </w:tcBorders>
            <w:noWrap w:val="0"/>
            <w:vAlign w:val="center"/>
          </w:tcPr>
          <w:p w14:paraId="0CB06FC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792" w:type="dxa"/>
            <w:tcBorders>
              <w:top w:val="single" w:color="auto" w:sz="4" w:space="0"/>
              <w:left w:val="single" w:color="auto" w:sz="4" w:space="0"/>
              <w:bottom w:val="single" w:color="auto" w:sz="4" w:space="0"/>
              <w:right w:val="single" w:color="auto" w:sz="4" w:space="0"/>
            </w:tcBorders>
            <w:noWrap w:val="0"/>
            <w:vAlign w:val="center"/>
          </w:tcPr>
          <w:p w14:paraId="5B8D037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41145CF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3672" w:type="dxa"/>
            <w:tcBorders>
              <w:top w:val="single" w:color="auto" w:sz="4" w:space="0"/>
              <w:left w:val="single" w:color="auto" w:sz="4" w:space="0"/>
              <w:bottom w:val="single" w:color="auto" w:sz="4" w:space="0"/>
              <w:right w:val="single" w:color="auto" w:sz="4" w:space="0"/>
            </w:tcBorders>
            <w:noWrap w:val="0"/>
            <w:vAlign w:val="center"/>
          </w:tcPr>
          <w:p w14:paraId="4D05404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r>
      <w:tr w14:paraId="1E760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noWrap w:val="0"/>
            <w:vAlign w:val="center"/>
          </w:tcPr>
          <w:p w14:paraId="48AACB73">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c>
          <w:tcPr>
            <w:tcW w:w="793" w:type="dxa"/>
            <w:tcBorders>
              <w:top w:val="single" w:color="auto" w:sz="4" w:space="0"/>
              <w:left w:val="single" w:color="auto" w:sz="4" w:space="0"/>
              <w:bottom w:val="single" w:color="auto" w:sz="4" w:space="0"/>
              <w:right w:val="single" w:color="auto" w:sz="4" w:space="0"/>
            </w:tcBorders>
            <w:noWrap w:val="0"/>
            <w:vAlign w:val="center"/>
          </w:tcPr>
          <w:p w14:paraId="22D2A44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792" w:type="dxa"/>
            <w:tcBorders>
              <w:top w:val="single" w:color="auto" w:sz="4" w:space="0"/>
              <w:left w:val="single" w:color="auto" w:sz="4" w:space="0"/>
              <w:bottom w:val="single" w:color="auto" w:sz="4" w:space="0"/>
              <w:right w:val="single" w:color="auto" w:sz="4" w:space="0"/>
            </w:tcBorders>
            <w:noWrap w:val="0"/>
            <w:vAlign w:val="center"/>
          </w:tcPr>
          <w:p w14:paraId="1A58C94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5BDF941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c>
          <w:tcPr>
            <w:tcW w:w="3672" w:type="dxa"/>
            <w:tcBorders>
              <w:top w:val="single" w:color="auto" w:sz="4" w:space="0"/>
              <w:left w:val="single" w:color="auto" w:sz="4" w:space="0"/>
              <w:bottom w:val="single" w:color="auto" w:sz="4" w:space="0"/>
              <w:right w:val="single" w:color="auto" w:sz="4" w:space="0"/>
            </w:tcBorders>
            <w:noWrap w:val="0"/>
            <w:vAlign w:val="center"/>
          </w:tcPr>
          <w:p w14:paraId="7A262A1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r>
    </w:tbl>
    <w:p w14:paraId="447518D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pacing w:val="-2"/>
          <w:kern w:val="0"/>
          <w:sz w:val="21"/>
          <w:szCs w:val="21"/>
          <w:highlight w:val="none"/>
        </w:rPr>
      </w:pPr>
      <w:r>
        <w:rPr>
          <w:rFonts w:hint="eastAsia" w:ascii="宋体" w:hAnsi="宋体" w:eastAsia="宋体" w:cs="宋体"/>
          <w:bCs/>
          <w:color w:val="auto"/>
          <w:spacing w:val="-2"/>
          <w:sz w:val="21"/>
          <w:szCs w:val="21"/>
          <w:highlight w:val="none"/>
        </w:rPr>
        <w:t>注：</w:t>
      </w:r>
      <w:r>
        <w:rPr>
          <w:rFonts w:hint="eastAsia" w:ascii="宋体" w:hAnsi="宋体" w:cs="宋体"/>
          <w:color w:val="auto"/>
          <w:spacing w:val="-2"/>
          <w:kern w:val="0"/>
          <w:sz w:val="21"/>
          <w:szCs w:val="21"/>
          <w:highlight w:val="none"/>
          <w:lang w:eastAsia="zh-CN"/>
        </w:rPr>
        <w:t>项目经理至少应附身份证复印件、责任工程师证书复印件、中级（含）以上职称证复印件（</w:t>
      </w:r>
      <w:r>
        <w:rPr>
          <w:rFonts w:hint="eastAsia" w:ascii="宋体" w:hAnsi="宋体" w:cs="宋体"/>
          <w:color w:val="auto"/>
          <w:spacing w:val="-2"/>
          <w:kern w:val="0"/>
          <w:sz w:val="21"/>
          <w:szCs w:val="21"/>
          <w:highlight w:val="none"/>
          <w:lang w:val="en-US" w:eastAsia="zh-CN"/>
        </w:rPr>
        <w:t>如有</w:t>
      </w:r>
      <w:r>
        <w:rPr>
          <w:rFonts w:hint="eastAsia" w:ascii="宋体" w:hAnsi="宋体" w:cs="宋体"/>
          <w:color w:val="auto"/>
          <w:spacing w:val="-2"/>
          <w:kern w:val="0"/>
          <w:sz w:val="21"/>
          <w:szCs w:val="21"/>
          <w:highlight w:val="none"/>
          <w:lang w:eastAsia="zh-CN"/>
        </w:rPr>
        <w:t>）</w:t>
      </w:r>
      <w:r>
        <w:rPr>
          <w:rFonts w:hint="eastAsia" w:ascii="宋体" w:hAnsi="宋体" w:eastAsia="宋体" w:cs="宋体"/>
          <w:color w:val="auto"/>
          <w:spacing w:val="-2"/>
          <w:kern w:val="0"/>
          <w:sz w:val="21"/>
          <w:szCs w:val="21"/>
          <w:highlight w:val="none"/>
        </w:rPr>
        <w:t>；技术负责人应附身份证复印件、职称证复印件</w:t>
      </w:r>
      <w:r>
        <w:rPr>
          <w:rFonts w:hint="eastAsia" w:ascii="宋体" w:hAnsi="宋体" w:cs="宋体"/>
          <w:color w:val="auto"/>
          <w:spacing w:val="-2"/>
          <w:kern w:val="0"/>
          <w:sz w:val="21"/>
          <w:szCs w:val="21"/>
          <w:highlight w:val="none"/>
          <w:lang w:eastAsia="zh-CN"/>
        </w:rPr>
        <w:t>（</w:t>
      </w:r>
      <w:r>
        <w:rPr>
          <w:rFonts w:hint="eastAsia" w:ascii="宋体" w:hAnsi="宋体" w:cs="宋体"/>
          <w:color w:val="auto"/>
          <w:spacing w:val="-2"/>
          <w:kern w:val="0"/>
          <w:sz w:val="21"/>
          <w:szCs w:val="21"/>
          <w:highlight w:val="none"/>
          <w:lang w:val="en-US" w:eastAsia="zh-CN"/>
        </w:rPr>
        <w:t>如有</w:t>
      </w:r>
      <w:r>
        <w:rPr>
          <w:rFonts w:hint="eastAsia" w:ascii="宋体" w:hAnsi="宋体" w:cs="宋体"/>
          <w:color w:val="auto"/>
          <w:spacing w:val="-2"/>
          <w:kern w:val="0"/>
          <w:sz w:val="21"/>
          <w:szCs w:val="21"/>
          <w:highlight w:val="none"/>
          <w:lang w:eastAsia="zh-CN"/>
        </w:rPr>
        <w:t>）</w:t>
      </w:r>
      <w:r>
        <w:rPr>
          <w:rFonts w:hint="eastAsia" w:ascii="宋体" w:hAnsi="宋体" w:eastAsia="宋体" w:cs="宋体"/>
          <w:color w:val="auto"/>
          <w:spacing w:val="-2"/>
          <w:kern w:val="0"/>
          <w:sz w:val="21"/>
          <w:szCs w:val="21"/>
          <w:highlight w:val="none"/>
        </w:rPr>
        <w:t>；专职安全生产管理人员至少应附身份证复印件、专职安全员安全生产考核合格证书（C类）复印件；其他主要人员（施工员、质检</w:t>
      </w:r>
      <w:r>
        <w:rPr>
          <w:rFonts w:hint="eastAsia" w:ascii="宋体" w:hAnsi="宋体" w:eastAsia="宋体" w:cs="宋体"/>
          <w:color w:val="auto"/>
          <w:spacing w:val="-2"/>
          <w:kern w:val="0"/>
          <w:sz w:val="21"/>
          <w:szCs w:val="21"/>
          <w:highlight w:val="none"/>
          <w:lang w:eastAsia="zh-CN"/>
        </w:rPr>
        <w:t>（</w:t>
      </w:r>
      <w:r>
        <w:rPr>
          <w:rFonts w:hint="eastAsia" w:ascii="宋体" w:hAnsi="宋体" w:eastAsia="宋体" w:cs="宋体"/>
          <w:color w:val="auto"/>
          <w:spacing w:val="-2"/>
          <w:kern w:val="0"/>
          <w:sz w:val="21"/>
          <w:szCs w:val="21"/>
          <w:highlight w:val="none"/>
          <w:lang w:val="en-US" w:eastAsia="zh-CN"/>
        </w:rPr>
        <w:t>量</w:t>
      </w:r>
      <w:r>
        <w:rPr>
          <w:rFonts w:hint="eastAsia" w:ascii="宋体" w:hAnsi="宋体" w:eastAsia="宋体" w:cs="宋体"/>
          <w:color w:val="auto"/>
          <w:spacing w:val="-2"/>
          <w:kern w:val="0"/>
          <w:sz w:val="21"/>
          <w:szCs w:val="21"/>
          <w:highlight w:val="none"/>
          <w:lang w:eastAsia="zh-CN"/>
        </w:rPr>
        <w:t>）</w:t>
      </w:r>
      <w:r>
        <w:rPr>
          <w:rFonts w:hint="eastAsia" w:ascii="宋体" w:hAnsi="宋体" w:eastAsia="宋体" w:cs="宋体"/>
          <w:color w:val="auto"/>
          <w:spacing w:val="-2"/>
          <w:kern w:val="0"/>
          <w:sz w:val="21"/>
          <w:szCs w:val="21"/>
          <w:highlight w:val="none"/>
        </w:rPr>
        <w:t>员、材料员）应附执业证或上岗证书复印件。</w:t>
      </w:r>
      <w:r>
        <w:rPr>
          <w:rFonts w:hint="eastAsia" w:ascii="宋体" w:hAnsi="宋体" w:eastAsia="宋体" w:cs="宋体"/>
          <w:color w:val="auto"/>
          <w:kern w:val="0"/>
          <w:sz w:val="21"/>
          <w:szCs w:val="21"/>
          <w:highlight w:val="none"/>
        </w:rPr>
        <w:t>同时还需提供社保部门出具</w:t>
      </w:r>
      <w:r>
        <w:rPr>
          <w:rFonts w:hint="eastAsia" w:ascii="宋体" w:hAnsi="宋体" w:eastAsia="宋体" w:cs="宋体"/>
          <w:color w:val="auto"/>
          <w:kern w:val="0"/>
          <w:sz w:val="21"/>
          <w:szCs w:val="21"/>
          <w:highlight w:val="none"/>
          <w:lang w:val="en-US" w:eastAsia="zh-CN"/>
        </w:rPr>
        <w:t>供应商</w:t>
      </w:r>
      <w:r>
        <w:rPr>
          <w:rFonts w:hint="eastAsia" w:ascii="宋体" w:hAnsi="宋体" w:eastAsia="宋体" w:cs="宋体"/>
          <w:color w:val="auto"/>
          <w:kern w:val="0"/>
          <w:sz w:val="21"/>
          <w:szCs w:val="21"/>
          <w:highlight w:val="none"/>
        </w:rPr>
        <w:t>为项目管理机构成员（包含项目经理、技术负责人、专职安全员、施工员、质检</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量</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员、材料员）缴纳的响应文件递交截止时间前</w:t>
      </w:r>
      <w:r>
        <w:rPr>
          <w:rFonts w:hint="eastAsia" w:ascii="宋体" w:hAnsi="宋体" w:cs="宋体"/>
          <w:color w:val="auto"/>
          <w:kern w:val="0"/>
          <w:sz w:val="21"/>
          <w:szCs w:val="21"/>
          <w:highlight w:val="none"/>
          <w:lang w:eastAsia="zh-CN"/>
        </w:rPr>
        <w:t>半年内任意一个月</w:t>
      </w:r>
      <w:r>
        <w:rPr>
          <w:rFonts w:hint="eastAsia" w:ascii="宋体" w:hAnsi="宋体" w:eastAsia="宋体" w:cs="宋体"/>
          <w:color w:val="auto"/>
          <w:kern w:val="0"/>
          <w:sz w:val="21"/>
          <w:szCs w:val="21"/>
          <w:highlight w:val="none"/>
        </w:rPr>
        <w:t>社保证明复印件。若为近期新聘员工的，以提供劳动合同证明材料复印件</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若</w:t>
      </w:r>
      <w:r>
        <w:rPr>
          <w:rFonts w:hint="eastAsia" w:ascii="宋体" w:hAnsi="宋体" w:eastAsia="宋体" w:cs="宋体"/>
          <w:color w:val="auto"/>
          <w:kern w:val="0"/>
          <w:sz w:val="21"/>
          <w:szCs w:val="21"/>
          <w:highlight w:val="none"/>
          <w:lang w:val="en-US" w:eastAsia="zh-CN"/>
        </w:rPr>
        <w:t>为退休员工则需提供退休证明及劳动合同</w:t>
      </w:r>
      <w:r>
        <w:rPr>
          <w:rFonts w:hint="eastAsia" w:ascii="宋体" w:hAnsi="宋体" w:eastAsia="宋体" w:cs="宋体"/>
          <w:color w:val="auto"/>
          <w:kern w:val="0"/>
          <w:sz w:val="21"/>
          <w:szCs w:val="21"/>
          <w:highlight w:val="none"/>
        </w:rPr>
        <w:t>为准</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spacing w:val="-2"/>
          <w:kern w:val="0"/>
          <w:sz w:val="21"/>
          <w:szCs w:val="21"/>
          <w:highlight w:val="none"/>
        </w:rPr>
        <w:t>上述复印件均需加盖</w:t>
      </w:r>
      <w:r>
        <w:rPr>
          <w:rFonts w:hint="eastAsia" w:ascii="宋体" w:hAnsi="宋体" w:eastAsia="宋体" w:cs="宋体"/>
          <w:color w:val="auto"/>
          <w:spacing w:val="-2"/>
          <w:kern w:val="0"/>
          <w:sz w:val="21"/>
          <w:szCs w:val="21"/>
          <w:highlight w:val="none"/>
          <w:lang w:val="en-US" w:eastAsia="zh-CN"/>
        </w:rPr>
        <w:t>供应商</w:t>
      </w:r>
      <w:r>
        <w:rPr>
          <w:rFonts w:hint="eastAsia" w:ascii="宋体" w:hAnsi="宋体" w:eastAsia="宋体" w:cs="宋体"/>
          <w:color w:val="auto"/>
          <w:spacing w:val="-2"/>
          <w:kern w:val="0"/>
          <w:sz w:val="21"/>
          <w:szCs w:val="21"/>
          <w:highlight w:val="none"/>
        </w:rPr>
        <w:t>公章。</w:t>
      </w:r>
    </w:p>
    <w:p w14:paraId="50AAE428">
      <w:pPr>
        <w:pStyle w:val="12"/>
        <w:keepNext w:val="0"/>
        <w:keepLines w:val="0"/>
        <w:pageBreakBefore w:val="0"/>
        <w:widowControl w:val="0"/>
        <w:wordWrap/>
        <w:topLinePunct w:val="0"/>
        <w:bidi w:val="0"/>
        <w:spacing w:line="340" w:lineRule="exact"/>
        <w:jc w:val="center"/>
        <w:rPr>
          <w:rFonts w:hint="eastAsia" w:ascii="宋体" w:hAnsi="宋体" w:eastAsia="宋体" w:cs="宋体"/>
          <w:b/>
          <w:color w:val="auto"/>
          <w:sz w:val="32"/>
          <w:szCs w:val="32"/>
          <w:highlight w:val="none"/>
        </w:rPr>
      </w:pPr>
    </w:p>
    <w:p w14:paraId="0F58FB0E">
      <w:pPr>
        <w:pStyle w:val="7"/>
        <w:keepNext w:val="0"/>
        <w:keepLines w:val="0"/>
        <w:pageBreakBefore w:val="0"/>
        <w:widowControl w:val="0"/>
        <w:kinsoku/>
        <w:wordWrap/>
        <w:overflowPunct/>
        <w:topLinePunct w:val="0"/>
        <w:autoSpaceDE/>
        <w:autoSpaceDN/>
        <w:bidi w:val="0"/>
        <w:adjustRightInd/>
        <w:spacing w:line="600" w:lineRule="auto"/>
        <w:textAlignment w:val="auto"/>
        <w:rPr>
          <w:rFonts w:hint="eastAsia"/>
          <w:color w:val="auto"/>
          <w:highlight w:val="none"/>
        </w:rPr>
      </w:pPr>
    </w:p>
    <w:p w14:paraId="28A43BF0">
      <w:pPr>
        <w:keepNext w:val="0"/>
        <w:keepLines w:val="0"/>
        <w:pageBreakBefore w:val="0"/>
        <w:widowControl w:val="0"/>
        <w:kinsoku/>
        <w:wordWrap/>
        <w:overflowPunct/>
        <w:topLinePunct w:val="0"/>
        <w:autoSpaceDE/>
        <w:autoSpaceDN/>
        <w:bidi w:val="0"/>
        <w:adjustRightInd/>
        <w:snapToGrid w:val="0"/>
        <w:spacing w:line="600" w:lineRule="auto"/>
        <w:ind w:firstLine="1890" w:firstLineChars="9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磋商供应商</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，自然人</w:t>
      </w:r>
      <w:r>
        <w:rPr>
          <w:rFonts w:hint="eastAsia" w:ascii="宋体" w:hAnsi="宋体" w:eastAsia="宋体" w:cs="宋体"/>
          <w:color w:val="auto"/>
          <w:szCs w:val="21"/>
          <w:highlight w:val="none"/>
          <w:lang w:eastAsia="zh-CN"/>
        </w:rPr>
        <w:t>签字或个人</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w:t>
      </w:r>
      <w:r>
        <w:rPr>
          <w:rFonts w:hint="eastAsia" w:ascii="宋体" w:hAnsi="宋体" w:eastAsia="宋体" w:cs="宋体"/>
          <w:color w:val="auto"/>
          <w:highlight w:val="none"/>
          <w:u w:val="single"/>
        </w:rPr>
        <w:t xml:space="preserve">               </w:t>
      </w:r>
    </w:p>
    <w:p w14:paraId="1AF5B0C0">
      <w:pPr>
        <w:keepNext w:val="0"/>
        <w:keepLines w:val="0"/>
        <w:pageBreakBefore w:val="0"/>
        <w:widowControl w:val="0"/>
        <w:kinsoku/>
        <w:wordWrap/>
        <w:overflowPunct/>
        <w:topLinePunct w:val="0"/>
        <w:autoSpaceDE/>
        <w:autoSpaceDN/>
        <w:bidi w:val="0"/>
        <w:adjustRightInd/>
        <w:snapToGrid w:val="0"/>
        <w:spacing w:line="600" w:lineRule="auto"/>
        <w:ind w:firstLine="1890" w:firstLineChars="900"/>
        <w:textAlignment w:val="auto"/>
        <w:rPr>
          <w:rFonts w:hint="eastAsia" w:ascii="宋体" w:hAnsi="宋体" w:eastAsia="宋体" w:cs="宋体"/>
          <w:b/>
          <w:bCs/>
          <w:color w:val="auto"/>
          <w:szCs w:val="21"/>
          <w:highlight w:val="none"/>
        </w:rPr>
      </w:pPr>
      <w:r>
        <w:rPr>
          <w:rFonts w:hint="eastAsia" w:ascii="宋体" w:hAnsi="宋体" w:eastAsia="宋体" w:cs="宋体"/>
          <w:color w:val="auto"/>
          <w:highlight w:val="none"/>
          <w:lang w:eastAsia="zh-CN"/>
        </w:rPr>
        <w:t>日</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期：</w:t>
      </w:r>
      <w:r>
        <w:rPr>
          <w:rFonts w:hint="eastAsia" w:ascii="宋体" w:hAnsi="宋体" w:eastAsia="宋体" w:cs="宋体"/>
          <w:color w:val="auto"/>
          <w:highlight w:val="none"/>
          <w:u w:val="single"/>
        </w:rPr>
        <w:t xml:space="preserve">                            </w:t>
      </w:r>
    </w:p>
    <w:p w14:paraId="14EA2179">
      <w:pPr>
        <w:pStyle w:val="9"/>
        <w:keepNext w:val="0"/>
        <w:keepLines w:val="0"/>
        <w:pageBreakBefore w:val="0"/>
        <w:widowControl w:val="0"/>
        <w:wordWrap/>
        <w:topLinePunct w:val="0"/>
        <w:bidi w:val="0"/>
        <w:rPr>
          <w:rFonts w:hint="eastAsia" w:ascii="宋体" w:hAnsi="宋体" w:eastAsia="宋体" w:cs="宋体"/>
          <w:b/>
          <w:bCs/>
          <w:color w:val="auto"/>
          <w:szCs w:val="21"/>
          <w:highlight w:val="none"/>
        </w:rPr>
      </w:pPr>
    </w:p>
    <w:p w14:paraId="43C56C40">
      <w:pPr>
        <w:rPr>
          <w:rFonts w:hint="eastAsia" w:hAnsi="宋体" w:cs="宋体"/>
          <w:b/>
          <w:color w:val="auto"/>
          <w:sz w:val="28"/>
          <w:szCs w:val="28"/>
          <w:highlight w:val="none"/>
          <w:lang w:val="en-US" w:eastAsia="zh-CN"/>
        </w:rPr>
      </w:pPr>
      <w:r>
        <w:rPr>
          <w:rFonts w:hint="eastAsia" w:hAnsi="宋体" w:cs="宋体"/>
          <w:b/>
          <w:color w:val="auto"/>
          <w:sz w:val="28"/>
          <w:szCs w:val="28"/>
          <w:highlight w:val="none"/>
          <w:lang w:val="en-US" w:eastAsia="zh-CN"/>
        </w:rPr>
        <w:br w:type="page"/>
      </w:r>
    </w:p>
    <w:p w14:paraId="5A525CC9">
      <w:pPr>
        <w:keepNext w:val="0"/>
        <w:keepLines w:val="0"/>
        <w:pageBreakBefore w:val="0"/>
        <w:widowControl w:val="0"/>
        <w:numPr>
          <w:ilvl w:val="0"/>
          <w:numId w:val="0"/>
        </w:numPr>
        <w:wordWrap/>
        <w:topLinePunct w:val="0"/>
        <w:bidi w:val="0"/>
        <w:spacing w:line="440" w:lineRule="atLeast"/>
        <w:outlineLvl w:val="2"/>
        <w:rPr>
          <w:rFonts w:hint="eastAsia" w:ascii="宋体" w:hAnsi="宋体" w:eastAsia="宋体" w:cs="宋体"/>
          <w:b/>
          <w:color w:val="auto"/>
          <w:sz w:val="28"/>
          <w:szCs w:val="28"/>
          <w:highlight w:val="none"/>
        </w:rPr>
      </w:pPr>
      <w:r>
        <w:rPr>
          <w:rFonts w:hint="eastAsia" w:hAnsi="宋体" w:cs="宋体"/>
          <w:b/>
          <w:color w:val="auto"/>
          <w:sz w:val="28"/>
          <w:szCs w:val="28"/>
          <w:highlight w:val="none"/>
          <w:lang w:val="en-US" w:eastAsia="zh-CN"/>
        </w:rPr>
        <w:t>5</w:t>
      </w:r>
      <w:r>
        <w:rPr>
          <w:rFonts w:hint="eastAsia" w:ascii="宋体" w:hAnsi="宋体" w:eastAsia="宋体" w:cs="宋体"/>
          <w:b/>
          <w:color w:val="auto"/>
          <w:sz w:val="28"/>
          <w:szCs w:val="28"/>
          <w:highlight w:val="none"/>
          <w:lang w:val="en-US" w:eastAsia="zh-CN"/>
        </w:rPr>
        <w:t>.担任本工程的</w:t>
      </w:r>
      <w:r>
        <w:rPr>
          <w:rFonts w:hint="eastAsia" w:hAnsi="宋体" w:eastAsia="宋体" w:cs="宋体"/>
          <w:b/>
          <w:color w:val="auto"/>
          <w:sz w:val="28"/>
          <w:szCs w:val="28"/>
          <w:highlight w:val="none"/>
          <w:lang w:val="en-US" w:eastAsia="zh-CN"/>
        </w:rPr>
        <w:t>项目经理</w:t>
      </w:r>
      <w:r>
        <w:rPr>
          <w:rFonts w:hint="eastAsia" w:ascii="宋体" w:hAnsi="宋体" w:eastAsia="宋体" w:cs="宋体"/>
          <w:b/>
          <w:color w:val="auto"/>
          <w:sz w:val="28"/>
          <w:szCs w:val="28"/>
          <w:highlight w:val="none"/>
          <w:lang w:val="en-US" w:eastAsia="zh-CN"/>
        </w:rPr>
        <w:t>简历表（应附相关证书、身份证复印件）（必须提供）</w:t>
      </w:r>
      <w:r>
        <w:rPr>
          <w:rFonts w:hint="eastAsia" w:ascii="宋体" w:hAnsi="宋体" w:eastAsia="宋体" w:cs="宋体"/>
          <w:b/>
          <w:color w:val="auto"/>
          <w:sz w:val="28"/>
          <w:szCs w:val="28"/>
          <w:highlight w:val="none"/>
        </w:rPr>
        <w:t>；</w:t>
      </w:r>
    </w:p>
    <w:p w14:paraId="3DB380ED">
      <w:pPr>
        <w:keepNext w:val="0"/>
        <w:keepLines w:val="0"/>
        <w:pageBreakBefore w:val="0"/>
        <w:widowControl w:val="0"/>
        <w:wordWrap/>
        <w:topLinePunct w:val="0"/>
        <w:bidi w:val="0"/>
        <w:rPr>
          <w:rFonts w:hint="eastAsia" w:ascii="宋体" w:hAnsi="宋体" w:eastAsia="宋体" w:cs="宋体"/>
          <w:color w:val="auto"/>
          <w:highlight w:val="none"/>
        </w:rPr>
      </w:pPr>
    </w:p>
    <w:p w14:paraId="381E3EE6">
      <w:pPr>
        <w:keepNext w:val="0"/>
        <w:keepLines w:val="0"/>
        <w:pageBreakBefore w:val="0"/>
        <w:widowControl w:val="0"/>
        <w:wordWrap/>
        <w:topLinePunct w:val="0"/>
        <w:bidi w:val="0"/>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担任本工程的项目经理简历表</w:t>
      </w:r>
    </w:p>
    <w:p w14:paraId="45FD20B2">
      <w:pPr>
        <w:keepNext w:val="0"/>
        <w:keepLines w:val="0"/>
        <w:pageBreakBefore w:val="0"/>
        <w:widowControl w:val="0"/>
        <w:wordWrap/>
        <w:topLinePunct w:val="0"/>
        <w:bidi w:val="0"/>
        <w:jc w:val="center"/>
        <w:rPr>
          <w:rFonts w:hint="eastAsia" w:ascii="宋体" w:hAnsi="宋体" w:cs="宋体"/>
          <w:b/>
          <w:color w:val="auto"/>
          <w:sz w:val="32"/>
          <w:highlight w:val="none"/>
        </w:rPr>
      </w:pPr>
    </w:p>
    <w:tbl>
      <w:tblPr>
        <w:tblStyle w:val="27"/>
        <w:tblW w:w="8416"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0"/>
        <w:gridCol w:w="1608"/>
        <w:gridCol w:w="1072"/>
        <w:gridCol w:w="28"/>
        <w:gridCol w:w="508"/>
        <w:gridCol w:w="536"/>
        <w:gridCol w:w="1072"/>
        <w:gridCol w:w="268"/>
        <w:gridCol w:w="496"/>
        <w:gridCol w:w="442"/>
        <w:gridCol w:w="1206"/>
      </w:tblGrid>
      <w:tr w14:paraId="20D93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tcBorders>
              <w:top w:val="single" w:color="auto" w:sz="8" w:space="0"/>
              <w:left w:val="single" w:color="auto" w:sz="8" w:space="0"/>
            </w:tcBorders>
            <w:noWrap w:val="0"/>
            <w:vAlign w:val="top"/>
          </w:tcPr>
          <w:p w14:paraId="2A183E8E">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r>
              <w:rPr>
                <w:rFonts w:hint="eastAsia" w:ascii="宋体" w:hAnsi="宋体" w:cs="宋体"/>
                <w:color w:val="auto"/>
                <w:highlight w:val="none"/>
              </w:rPr>
              <w:t>姓  名</w:t>
            </w:r>
          </w:p>
        </w:tc>
        <w:tc>
          <w:tcPr>
            <w:tcW w:w="1608" w:type="dxa"/>
            <w:tcBorders>
              <w:top w:val="single" w:color="auto" w:sz="8" w:space="0"/>
            </w:tcBorders>
            <w:noWrap w:val="0"/>
            <w:vAlign w:val="top"/>
          </w:tcPr>
          <w:p w14:paraId="630EA43B">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072" w:type="dxa"/>
            <w:tcBorders>
              <w:top w:val="single" w:color="auto" w:sz="8" w:space="0"/>
            </w:tcBorders>
            <w:noWrap w:val="0"/>
            <w:vAlign w:val="top"/>
          </w:tcPr>
          <w:p w14:paraId="6405D38B">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r>
              <w:rPr>
                <w:rFonts w:hint="eastAsia" w:ascii="宋体" w:hAnsi="宋体" w:cs="宋体"/>
                <w:color w:val="auto"/>
                <w:highlight w:val="none"/>
              </w:rPr>
              <w:t>性  别</w:t>
            </w:r>
          </w:p>
        </w:tc>
        <w:tc>
          <w:tcPr>
            <w:tcW w:w="1072" w:type="dxa"/>
            <w:gridSpan w:val="3"/>
            <w:tcBorders>
              <w:top w:val="single" w:color="auto" w:sz="8" w:space="0"/>
            </w:tcBorders>
            <w:noWrap w:val="0"/>
            <w:vAlign w:val="top"/>
          </w:tcPr>
          <w:p w14:paraId="009D0AE4">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340" w:type="dxa"/>
            <w:gridSpan w:val="2"/>
            <w:tcBorders>
              <w:top w:val="single" w:color="auto" w:sz="8" w:space="0"/>
            </w:tcBorders>
            <w:noWrap w:val="0"/>
            <w:vAlign w:val="top"/>
          </w:tcPr>
          <w:p w14:paraId="79B10A5B">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r>
              <w:rPr>
                <w:rFonts w:hint="eastAsia" w:ascii="宋体" w:hAnsi="宋体" w:cs="宋体"/>
                <w:color w:val="auto"/>
                <w:highlight w:val="none"/>
              </w:rPr>
              <w:t>年  龄</w:t>
            </w:r>
          </w:p>
        </w:tc>
        <w:tc>
          <w:tcPr>
            <w:tcW w:w="2144" w:type="dxa"/>
            <w:gridSpan w:val="3"/>
            <w:tcBorders>
              <w:top w:val="single" w:color="auto" w:sz="8" w:space="0"/>
              <w:right w:val="single" w:color="auto" w:sz="8" w:space="0"/>
            </w:tcBorders>
            <w:noWrap w:val="0"/>
            <w:vAlign w:val="top"/>
          </w:tcPr>
          <w:p w14:paraId="35E9CD7F">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r>
      <w:tr w14:paraId="67296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tcBorders>
              <w:left w:val="single" w:color="auto" w:sz="8" w:space="0"/>
            </w:tcBorders>
            <w:noWrap w:val="0"/>
            <w:vAlign w:val="top"/>
          </w:tcPr>
          <w:p w14:paraId="0FFE2ABA">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r>
              <w:rPr>
                <w:rFonts w:hint="eastAsia" w:ascii="宋体" w:hAnsi="宋体" w:cs="宋体"/>
                <w:color w:val="auto"/>
                <w:highlight w:val="none"/>
              </w:rPr>
              <w:t>职  务</w:t>
            </w:r>
          </w:p>
        </w:tc>
        <w:tc>
          <w:tcPr>
            <w:tcW w:w="1608" w:type="dxa"/>
            <w:noWrap w:val="0"/>
            <w:vAlign w:val="top"/>
          </w:tcPr>
          <w:p w14:paraId="024CEF6C">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072" w:type="dxa"/>
            <w:noWrap w:val="0"/>
            <w:vAlign w:val="top"/>
          </w:tcPr>
          <w:p w14:paraId="2448C86E">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r>
              <w:rPr>
                <w:rFonts w:hint="eastAsia" w:ascii="宋体" w:hAnsi="宋体" w:cs="宋体"/>
                <w:color w:val="auto"/>
                <w:highlight w:val="none"/>
              </w:rPr>
              <w:t>职  称</w:t>
            </w:r>
          </w:p>
        </w:tc>
        <w:tc>
          <w:tcPr>
            <w:tcW w:w="1072" w:type="dxa"/>
            <w:gridSpan w:val="3"/>
            <w:noWrap w:val="0"/>
            <w:vAlign w:val="top"/>
          </w:tcPr>
          <w:p w14:paraId="1333D1B4">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340" w:type="dxa"/>
            <w:gridSpan w:val="2"/>
            <w:noWrap w:val="0"/>
            <w:vAlign w:val="top"/>
          </w:tcPr>
          <w:p w14:paraId="262DA920">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r>
              <w:rPr>
                <w:rFonts w:hint="eastAsia" w:ascii="宋体" w:hAnsi="宋体" w:cs="宋体"/>
                <w:color w:val="auto"/>
                <w:highlight w:val="none"/>
              </w:rPr>
              <w:t>学  历</w:t>
            </w:r>
          </w:p>
        </w:tc>
        <w:tc>
          <w:tcPr>
            <w:tcW w:w="2144" w:type="dxa"/>
            <w:gridSpan w:val="3"/>
            <w:tcBorders>
              <w:right w:val="single" w:color="auto" w:sz="8" w:space="0"/>
            </w:tcBorders>
            <w:noWrap w:val="0"/>
            <w:vAlign w:val="top"/>
          </w:tcPr>
          <w:p w14:paraId="0C3CF60E">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r>
      <w:tr w14:paraId="0FFE0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80" w:type="dxa"/>
            <w:tcBorders>
              <w:left w:val="single" w:color="auto" w:sz="8" w:space="0"/>
            </w:tcBorders>
            <w:noWrap w:val="0"/>
            <w:vAlign w:val="top"/>
          </w:tcPr>
          <w:p w14:paraId="1E48C8A2">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r>
              <w:rPr>
                <w:rFonts w:hint="eastAsia" w:ascii="宋体" w:hAnsi="宋体" w:cs="宋体"/>
                <w:color w:val="auto"/>
                <w:highlight w:val="none"/>
              </w:rPr>
              <w:t>专  业</w:t>
            </w:r>
          </w:p>
        </w:tc>
        <w:tc>
          <w:tcPr>
            <w:tcW w:w="2708" w:type="dxa"/>
            <w:gridSpan w:val="3"/>
            <w:noWrap w:val="0"/>
            <w:vAlign w:val="top"/>
          </w:tcPr>
          <w:p w14:paraId="50E8E6EC">
            <w:pPr>
              <w:keepNext w:val="0"/>
              <w:keepLines w:val="0"/>
              <w:pageBreakBefore w:val="0"/>
              <w:widowControl w:val="0"/>
              <w:wordWrap/>
              <w:topLinePunct w:val="0"/>
              <w:bidi w:val="0"/>
              <w:spacing w:line="440" w:lineRule="exact"/>
              <w:rPr>
                <w:rFonts w:hint="eastAsia" w:ascii="宋体" w:hAnsi="宋体" w:cs="宋体"/>
                <w:color w:val="auto"/>
                <w:highlight w:val="none"/>
              </w:rPr>
            </w:pPr>
          </w:p>
        </w:tc>
        <w:tc>
          <w:tcPr>
            <w:tcW w:w="2880" w:type="dxa"/>
            <w:gridSpan w:val="5"/>
            <w:noWrap w:val="0"/>
            <w:vAlign w:val="top"/>
          </w:tcPr>
          <w:p w14:paraId="1498A445">
            <w:pPr>
              <w:keepNext w:val="0"/>
              <w:keepLines w:val="0"/>
              <w:pageBreakBefore w:val="0"/>
              <w:widowControl w:val="0"/>
              <w:wordWrap/>
              <w:topLinePunct w:val="0"/>
              <w:bidi w:val="0"/>
              <w:spacing w:line="440" w:lineRule="exact"/>
              <w:rPr>
                <w:rFonts w:hint="eastAsia" w:ascii="宋体" w:hAnsi="宋体" w:cs="宋体"/>
                <w:color w:val="auto"/>
                <w:highlight w:val="none"/>
              </w:rPr>
            </w:pPr>
            <w:r>
              <w:rPr>
                <w:rFonts w:hint="eastAsia" w:ascii="宋体" w:hAnsi="宋体" w:cs="宋体"/>
                <w:color w:val="auto"/>
                <w:highlight w:val="none"/>
              </w:rPr>
              <w:t>从事项目经理或建造师年限</w:t>
            </w:r>
          </w:p>
        </w:tc>
        <w:tc>
          <w:tcPr>
            <w:tcW w:w="1648" w:type="dxa"/>
            <w:gridSpan w:val="2"/>
            <w:tcBorders>
              <w:right w:val="single" w:color="auto" w:sz="8" w:space="0"/>
            </w:tcBorders>
            <w:noWrap w:val="0"/>
            <w:vAlign w:val="top"/>
          </w:tcPr>
          <w:p w14:paraId="7D5EDEC7">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r>
              <w:rPr>
                <w:rFonts w:hint="eastAsia" w:ascii="宋体" w:hAnsi="宋体" w:cs="宋体"/>
                <w:color w:val="auto"/>
                <w:highlight w:val="none"/>
              </w:rPr>
              <w:t xml:space="preserve">         (年)</w:t>
            </w:r>
          </w:p>
        </w:tc>
      </w:tr>
      <w:tr w14:paraId="66CD4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416" w:type="dxa"/>
            <w:gridSpan w:val="11"/>
            <w:tcBorders>
              <w:left w:val="single" w:color="auto" w:sz="8" w:space="0"/>
              <w:right w:val="single" w:color="auto" w:sz="8" w:space="0"/>
            </w:tcBorders>
            <w:noWrap w:val="0"/>
            <w:vAlign w:val="top"/>
          </w:tcPr>
          <w:p w14:paraId="593E26EB">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r>
              <w:rPr>
                <w:rFonts w:hint="eastAsia" w:ascii="宋体" w:hAnsi="宋体" w:cs="宋体"/>
                <w:color w:val="auto"/>
                <w:highlight w:val="none"/>
              </w:rPr>
              <w:t>已完工程项目情况</w:t>
            </w:r>
          </w:p>
        </w:tc>
      </w:tr>
      <w:tr w14:paraId="4624E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tcBorders>
              <w:left w:val="single" w:color="auto" w:sz="8" w:space="0"/>
            </w:tcBorders>
            <w:noWrap w:val="0"/>
            <w:vAlign w:val="top"/>
          </w:tcPr>
          <w:p w14:paraId="30C8ACFB">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r>
              <w:rPr>
                <w:rFonts w:hint="eastAsia" w:ascii="宋体" w:hAnsi="宋体" w:cs="宋体"/>
                <w:color w:val="auto"/>
                <w:highlight w:val="none"/>
              </w:rPr>
              <w:t>建设单位</w:t>
            </w:r>
          </w:p>
        </w:tc>
        <w:tc>
          <w:tcPr>
            <w:tcW w:w="1608" w:type="dxa"/>
            <w:noWrap w:val="0"/>
            <w:vAlign w:val="top"/>
          </w:tcPr>
          <w:p w14:paraId="6EBA7722">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r>
              <w:rPr>
                <w:rFonts w:hint="eastAsia" w:ascii="宋体" w:hAnsi="宋体" w:cs="宋体"/>
                <w:color w:val="auto"/>
                <w:highlight w:val="none"/>
              </w:rPr>
              <w:t>项目名称</w:t>
            </w:r>
          </w:p>
        </w:tc>
        <w:tc>
          <w:tcPr>
            <w:tcW w:w="1608" w:type="dxa"/>
            <w:gridSpan w:val="3"/>
            <w:noWrap w:val="0"/>
            <w:vAlign w:val="top"/>
          </w:tcPr>
          <w:p w14:paraId="50877A95">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r>
              <w:rPr>
                <w:rFonts w:hint="eastAsia" w:ascii="宋体" w:hAnsi="宋体" w:cs="宋体"/>
                <w:color w:val="auto"/>
                <w:highlight w:val="none"/>
              </w:rPr>
              <w:t>建设规模</w:t>
            </w:r>
          </w:p>
        </w:tc>
        <w:tc>
          <w:tcPr>
            <w:tcW w:w="1608" w:type="dxa"/>
            <w:gridSpan w:val="2"/>
            <w:noWrap w:val="0"/>
            <w:vAlign w:val="top"/>
          </w:tcPr>
          <w:p w14:paraId="792C83D4">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r>
              <w:rPr>
                <w:rFonts w:hint="eastAsia" w:ascii="宋体" w:hAnsi="宋体" w:cs="宋体"/>
                <w:color w:val="auto"/>
                <w:highlight w:val="none"/>
              </w:rPr>
              <w:t>开、竣工日期</w:t>
            </w:r>
          </w:p>
        </w:tc>
        <w:tc>
          <w:tcPr>
            <w:tcW w:w="1206" w:type="dxa"/>
            <w:gridSpan w:val="3"/>
            <w:noWrap w:val="0"/>
            <w:vAlign w:val="top"/>
          </w:tcPr>
          <w:p w14:paraId="599374CE">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r>
              <w:rPr>
                <w:rFonts w:hint="eastAsia" w:ascii="宋体" w:hAnsi="宋体" w:cs="宋体"/>
                <w:color w:val="auto"/>
                <w:highlight w:val="none"/>
              </w:rPr>
              <w:t>工程质量</w:t>
            </w:r>
          </w:p>
        </w:tc>
        <w:tc>
          <w:tcPr>
            <w:tcW w:w="1206" w:type="dxa"/>
            <w:tcBorders>
              <w:right w:val="single" w:color="auto" w:sz="8" w:space="0"/>
            </w:tcBorders>
            <w:noWrap w:val="0"/>
            <w:vAlign w:val="top"/>
          </w:tcPr>
          <w:p w14:paraId="0C893D8E">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r>
              <w:rPr>
                <w:rFonts w:hint="eastAsia" w:ascii="宋体" w:hAnsi="宋体" w:cs="宋体"/>
                <w:color w:val="auto"/>
                <w:highlight w:val="none"/>
              </w:rPr>
              <w:t>受奖情况</w:t>
            </w:r>
          </w:p>
        </w:tc>
      </w:tr>
      <w:tr w14:paraId="07E4B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tcBorders>
              <w:left w:val="single" w:color="auto" w:sz="8" w:space="0"/>
            </w:tcBorders>
            <w:noWrap w:val="0"/>
            <w:vAlign w:val="top"/>
          </w:tcPr>
          <w:p w14:paraId="6A7E242A">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608" w:type="dxa"/>
            <w:noWrap w:val="0"/>
            <w:vAlign w:val="top"/>
          </w:tcPr>
          <w:p w14:paraId="18335D68">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608" w:type="dxa"/>
            <w:gridSpan w:val="3"/>
            <w:noWrap w:val="0"/>
            <w:vAlign w:val="top"/>
          </w:tcPr>
          <w:p w14:paraId="684C85A1">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608" w:type="dxa"/>
            <w:gridSpan w:val="2"/>
            <w:noWrap w:val="0"/>
            <w:vAlign w:val="top"/>
          </w:tcPr>
          <w:p w14:paraId="5D2100CA">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206" w:type="dxa"/>
            <w:gridSpan w:val="3"/>
            <w:noWrap w:val="0"/>
            <w:vAlign w:val="top"/>
          </w:tcPr>
          <w:p w14:paraId="0BD83F14">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206" w:type="dxa"/>
            <w:tcBorders>
              <w:right w:val="single" w:color="auto" w:sz="8" w:space="0"/>
            </w:tcBorders>
            <w:noWrap w:val="0"/>
            <w:vAlign w:val="top"/>
          </w:tcPr>
          <w:p w14:paraId="06E9E363">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r>
      <w:tr w14:paraId="072D7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tcBorders>
              <w:left w:val="single" w:color="auto" w:sz="8" w:space="0"/>
            </w:tcBorders>
            <w:noWrap w:val="0"/>
            <w:vAlign w:val="top"/>
          </w:tcPr>
          <w:p w14:paraId="6EA7B605">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608" w:type="dxa"/>
            <w:noWrap w:val="0"/>
            <w:vAlign w:val="top"/>
          </w:tcPr>
          <w:p w14:paraId="3F364114">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608" w:type="dxa"/>
            <w:gridSpan w:val="3"/>
            <w:noWrap w:val="0"/>
            <w:vAlign w:val="top"/>
          </w:tcPr>
          <w:p w14:paraId="026BD78B">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608" w:type="dxa"/>
            <w:gridSpan w:val="2"/>
            <w:noWrap w:val="0"/>
            <w:vAlign w:val="top"/>
          </w:tcPr>
          <w:p w14:paraId="619933F2">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206" w:type="dxa"/>
            <w:gridSpan w:val="3"/>
            <w:noWrap w:val="0"/>
            <w:vAlign w:val="top"/>
          </w:tcPr>
          <w:p w14:paraId="472748F8">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206" w:type="dxa"/>
            <w:tcBorders>
              <w:right w:val="single" w:color="auto" w:sz="8" w:space="0"/>
            </w:tcBorders>
            <w:noWrap w:val="0"/>
            <w:vAlign w:val="top"/>
          </w:tcPr>
          <w:p w14:paraId="3AE69D70">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r>
      <w:tr w14:paraId="0EE9E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tcBorders>
              <w:left w:val="single" w:color="auto" w:sz="8" w:space="0"/>
            </w:tcBorders>
            <w:noWrap w:val="0"/>
            <w:vAlign w:val="top"/>
          </w:tcPr>
          <w:p w14:paraId="085C0E38">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608" w:type="dxa"/>
            <w:noWrap w:val="0"/>
            <w:vAlign w:val="top"/>
          </w:tcPr>
          <w:p w14:paraId="26245ADD">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608" w:type="dxa"/>
            <w:gridSpan w:val="3"/>
            <w:noWrap w:val="0"/>
            <w:vAlign w:val="top"/>
          </w:tcPr>
          <w:p w14:paraId="3FF61FA5">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608" w:type="dxa"/>
            <w:gridSpan w:val="2"/>
            <w:noWrap w:val="0"/>
            <w:vAlign w:val="top"/>
          </w:tcPr>
          <w:p w14:paraId="07306545">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206" w:type="dxa"/>
            <w:gridSpan w:val="3"/>
            <w:noWrap w:val="0"/>
            <w:vAlign w:val="top"/>
          </w:tcPr>
          <w:p w14:paraId="6DBD2CDB">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206" w:type="dxa"/>
            <w:tcBorders>
              <w:right w:val="single" w:color="auto" w:sz="8" w:space="0"/>
            </w:tcBorders>
            <w:noWrap w:val="0"/>
            <w:vAlign w:val="top"/>
          </w:tcPr>
          <w:p w14:paraId="58258026">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r>
      <w:tr w14:paraId="42F68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tcBorders>
              <w:left w:val="single" w:color="auto" w:sz="8" w:space="0"/>
            </w:tcBorders>
            <w:noWrap w:val="0"/>
            <w:vAlign w:val="top"/>
          </w:tcPr>
          <w:p w14:paraId="676040AF">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608" w:type="dxa"/>
            <w:noWrap w:val="0"/>
            <w:vAlign w:val="top"/>
          </w:tcPr>
          <w:p w14:paraId="621D1DA6">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608" w:type="dxa"/>
            <w:gridSpan w:val="3"/>
            <w:noWrap w:val="0"/>
            <w:vAlign w:val="top"/>
          </w:tcPr>
          <w:p w14:paraId="02239B25">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608" w:type="dxa"/>
            <w:gridSpan w:val="2"/>
            <w:noWrap w:val="0"/>
            <w:vAlign w:val="top"/>
          </w:tcPr>
          <w:p w14:paraId="59B5703F">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206" w:type="dxa"/>
            <w:gridSpan w:val="3"/>
            <w:noWrap w:val="0"/>
            <w:vAlign w:val="top"/>
          </w:tcPr>
          <w:p w14:paraId="2A24E0DF">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206" w:type="dxa"/>
            <w:tcBorders>
              <w:right w:val="single" w:color="auto" w:sz="8" w:space="0"/>
            </w:tcBorders>
            <w:noWrap w:val="0"/>
            <w:vAlign w:val="top"/>
          </w:tcPr>
          <w:p w14:paraId="4EC7A312">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r>
      <w:tr w14:paraId="10169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tcBorders>
              <w:left w:val="single" w:color="auto" w:sz="8" w:space="0"/>
            </w:tcBorders>
            <w:noWrap w:val="0"/>
            <w:vAlign w:val="top"/>
          </w:tcPr>
          <w:p w14:paraId="682EC95F">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608" w:type="dxa"/>
            <w:noWrap w:val="0"/>
            <w:vAlign w:val="top"/>
          </w:tcPr>
          <w:p w14:paraId="37B97505">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608" w:type="dxa"/>
            <w:gridSpan w:val="3"/>
            <w:noWrap w:val="0"/>
            <w:vAlign w:val="top"/>
          </w:tcPr>
          <w:p w14:paraId="593524D4">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608" w:type="dxa"/>
            <w:gridSpan w:val="2"/>
            <w:noWrap w:val="0"/>
            <w:vAlign w:val="top"/>
          </w:tcPr>
          <w:p w14:paraId="46543445">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206" w:type="dxa"/>
            <w:gridSpan w:val="3"/>
            <w:noWrap w:val="0"/>
            <w:vAlign w:val="top"/>
          </w:tcPr>
          <w:p w14:paraId="7C084F34">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206" w:type="dxa"/>
            <w:tcBorders>
              <w:right w:val="single" w:color="auto" w:sz="8" w:space="0"/>
            </w:tcBorders>
            <w:noWrap w:val="0"/>
            <w:vAlign w:val="top"/>
          </w:tcPr>
          <w:p w14:paraId="602CC7AF">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r>
      <w:tr w14:paraId="72219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tcBorders>
              <w:left w:val="single" w:color="auto" w:sz="8" w:space="0"/>
            </w:tcBorders>
            <w:noWrap w:val="0"/>
            <w:vAlign w:val="top"/>
          </w:tcPr>
          <w:p w14:paraId="6DA9FD10">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608" w:type="dxa"/>
            <w:noWrap w:val="0"/>
            <w:vAlign w:val="top"/>
          </w:tcPr>
          <w:p w14:paraId="6B94B138">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608" w:type="dxa"/>
            <w:gridSpan w:val="3"/>
            <w:noWrap w:val="0"/>
            <w:vAlign w:val="top"/>
          </w:tcPr>
          <w:p w14:paraId="1F685D9B">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608" w:type="dxa"/>
            <w:gridSpan w:val="2"/>
            <w:noWrap w:val="0"/>
            <w:vAlign w:val="top"/>
          </w:tcPr>
          <w:p w14:paraId="7474FCED">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206" w:type="dxa"/>
            <w:gridSpan w:val="3"/>
            <w:noWrap w:val="0"/>
            <w:vAlign w:val="top"/>
          </w:tcPr>
          <w:p w14:paraId="48EF5D7C">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206" w:type="dxa"/>
            <w:tcBorders>
              <w:right w:val="single" w:color="auto" w:sz="8" w:space="0"/>
            </w:tcBorders>
            <w:noWrap w:val="0"/>
            <w:vAlign w:val="top"/>
          </w:tcPr>
          <w:p w14:paraId="25026699">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r>
      <w:tr w14:paraId="71390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tcBorders>
              <w:left w:val="single" w:color="auto" w:sz="8" w:space="0"/>
            </w:tcBorders>
            <w:noWrap w:val="0"/>
            <w:vAlign w:val="top"/>
          </w:tcPr>
          <w:p w14:paraId="69067541">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608" w:type="dxa"/>
            <w:noWrap w:val="0"/>
            <w:vAlign w:val="top"/>
          </w:tcPr>
          <w:p w14:paraId="06CF7D39">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608" w:type="dxa"/>
            <w:gridSpan w:val="3"/>
            <w:noWrap w:val="0"/>
            <w:vAlign w:val="top"/>
          </w:tcPr>
          <w:p w14:paraId="37F4F4D5">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608" w:type="dxa"/>
            <w:gridSpan w:val="2"/>
            <w:noWrap w:val="0"/>
            <w:vAlign w:val="top"/>
          </w:tcPr>
          <w:p w14:paraId="7CC25A56">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206" w:type="dxa"/>
            <w:gridSpan w:val="3"/>
            <w:noWrap w:val="0"/>
            <w:vAlign w:val="top"/>
          </w:tcPr>
          <w:p w14:paraId="5074DADB">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206" w:type="dxa"/>
            <w:tcBorders>
              <w:right w:val="single" w:color="auto" w:sz="8" w:space="0"/>
            </w:tcBorders>
            <w:noWrap w:val="0"/>
            <w:vAlign w:val="top"/>
          </w:tcPr>
          <w:p w14:paraId="16D529A1">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r>
      <w:tr w14:paraId="6A94C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tcBorders>
              <w:left w:val="single" w:color="auto" w:sz="8" w:space="0"/>
              <w:bottom w:val="single" w:color="auto" w:sz="8" w:space="0"/>
            </w:tcBorders>
            <w:noWrap w:val="0"/>
            <w:vAlign w:val="top"/>
          </w:tcPr>
          <w:p w14:paraId="448F319A">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608" w:type="dxa"/>
            <w:tcBorders>
              <w:bottom w:val="single" w:color="auto" w:sz="8" w:space="0"/>
            </w:tcBorders>
            <w:noWrap w:val="0"/>
            <w:vAlign w:val="top"/>
          </w:tcPr>
          <w:p w14:paraId="616E4C53">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608" w:type="dxa"/>
            <w:gridSpan w:val="3"/>
            <w:tcBorders>
              <w:bottom w:val="single" w:color="auto" w:sz="8" w:space="0"/>
            </w:tcBorders>
            <w:noWrap w:val="0"/>
            <w:vAlign w:val="top"/>
          </w:tcPr>
          <w:p w14:paraId="72FB6E49">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608" w:type="dxa"/>
            <w:gridSpan w:val="2"/>
            <w:tcBorders>
              <w:bottom w:val="single" w:color="auto" w:sz="8" w:space="0"/>
            </w:tcBorders>
            <w:noWrap w:val="0"/>
            <w:vAlign w:val="top"/>
          </w:tcPr>
          <w:p w14:paraId="4149C6BD">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206" w:type="dxa"/>
            <w:gridSpan w:val="3"/>
            <w:tcBorders>
              <w:bottom w:val="single" w:color="auto" w:sz="8" w:space="0"/>
            </w:tcBorders>
            <w:noWrap w:val="0"/>
            <w:vAlign w:val="top"/>
          </w:tcPr>
          <w:p w14:paraId="7550CD2A">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c>
          <w:tcPr>
            <w:tcW w:w="1206" w:type="dxa"/>
            <w:tcBorders>
              <w:bottom w:val="single" w:color="auto" w:sz="8" w:space="0"/>
              <w:right w:val="single" w:color="auto" w:sz="8" w:space="0"/>
            </w:tcBorders>
            <w:noWrap w:val="0"/>
            <w:vAlign w:val="top"/>
          </w:tcPr>
          <w:p w14:paraId="557BC07B">
            <w:pPr>
              <w:keepNext w:val="0"/>
              <w:keepLines w:val="0"/>
              <w:pageBreakBefore w:val="0"/>
              <w:widowControl w:val="0"/>
              <w:wordWrap/>
              <w:topLinePunct w:val="0"/>
              <w:bidi w:val="0"/>
              <w:spacing w:line="440" w:lineRule="exact"/>
              <w:jc w:val="center"/>
              <w:rPr>
                <w:rFonts w:hint="eastAsia" w:ascii="宋体" w:hAnsi="宋体" w:cs="宋体"/>
                <w:color w:val="auto"/>
                <w:highlight w:val="none"/>
              </w:rPr>
            </w:pPr>
          </w:p>
        </w:tc>
      </w:tr>
    </w:tbl>
    <w:p w14:paraId="20F88041">
      <w:pPr>
        <w:keepNext w:val="0"/>
        <w:keepLines w:val="0"/>
        <w:pageBreakBefore w:val="0"/>
        <w:widowControl w:val="0"/>
        <w:wordWrap/>
        <w:topLinePunct w:val="0"/>
        <w:bidi w:val="0"/>
        <w:snapToGrid w:val="0"/>
        <w:spacing w:line="400" w:lineRule="exact"/>
        <w:outlineLvl w:val="9"/>
        <w:rPr>
          <w:rFonts w:hint="eastAsia" w:ascii="宋体" w:hAnsi="宋体" w:cs="宋体"/>
          <w:b/>
          <w:color w:val="auto"/>
          <w:sz w:val="24"/>
          <w:highlight w:val="none"/>
        </w:rPr>
      </w:pPr>
    </w:p>
    <w:p w14:paraId="21009CBA">
      <w:pPr>
        <w:keepNext w:val="0"/>
        <w:keepLines w:val="0"/>
        <w:pageBreakBefore w:val="0"/>
        <w:widowControl w:val="0"/>
        <w:wordWrap/>
        <w:topLinePunct w:val="0"/>
        <w:bidi w:val="0"/>
        <w:ind w:firstLine="3092" w:firstLineChars="1100"/>
        <w:jc w:val="left"/>
        <w:rPr>
          <w:rFonts w:hint="eastAsia" w:ascii="宋体" w:hAnsi="宋体" w:eastAsia="宋体" w:cs="宋体"/>
          <w:b/>
          <w:color w:val="auto"/>
          <w:kern w:val="0"/>
          <w:sz w:val="28"/>
          <w:szCs w:val="28"/>
          <w:highlight w:val="none"/>
        </w:rPr>
      </w:pPr>
    </w:p>
    <w:p w14:paraId="0D05B4CD">
      <w:pPr>
        <w:keepNext w:val="0"/>
        <w:keepLines w:val="0"/>
        <w:pageBreakBefore w:val="0"/>
        <w:widowControl w:val="0"/>
        <w:wordWrap/>
        <w:topLinePunct w:val="0"/>
        <w:bidi w:val="0"/>
        <w:ind w:firstLine="1470" w:firstLineChars="7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磋商供应商</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，自然人</w:t>
      </w:r>
      <w:r>
        <w:rPr>
          <w:rFonts w:hint="eastAsia" w:ascii="宋体" w:hAnsi="宋体" w:eastAsia="宋体" w:cs="宋体"/>
          <w:color w:val="auto"/>
          <w:szCs w:val="21"/>
          <w:highlight w:val="none"/>
          <w:lang w:eastAsia="zh-CN"/>
        </w:rPr>
        <w:t>签字或个人</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1B41EE11">
      <w:pPr>
        <w:pStyle w:val="12"/>
        <w:keepNext w:val="0"/>
        <w:keepLines w:val="0"/>
        <w:pageBreakBefore w:val="0"/>
        <w:widowControl w:val="0"/>
        <w:wordWrap/>
        <w:topLinePunct w:val="0"/>
        <w:bidi w:val="0"/>
        <w:spacing w:line="300" w:lineRule="exact"/>
        <w:ind w:left="2940" w:leftChars="1400" w:firstLine="630" w:firstLineChars="300"/>
        <w:rPr>
          <w:rFonts w:hint="eastAsia" w:ascii="宋体" w:hAnsi="宋体" w:eastAsia="宋体" w:cs="宋体"/>
          <w:color w:val="auto"/>
          <w:highlight w:val="none"/>
        </w:rPr>
      </w:pPr>
    </w:p>
    <w:p w14:paraId="510409E0">
      <w:pPr>
        <w:pStyle w:val="12"/>
        <w:keepNext w:val="0"/>
        <w:keepLines w:val="0"/>
        <w:pageBreakBefore w:val="0"/>
        <w:widowControl w:val="0"/>
        <w:wordWrap/>
        <w:topLinePunct w:val="0"/>
        <w:bidi w:val="0"/>
        <w:spacing w:line="300" w:lineRule="exact"/>
        <w:ind w:firstLine="4638" w:firstLineChars="165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w:t>
      </w:r>
    </w:p>
    <w:p w14:paraId="53330079">
      <w:pPr>
        <w:pStyle w:val="12"/>
        <w:keepNext w:val="0"/>
        <w:keepLines w:val="0"/>
        <w:pageBreakBefore w:val="0"/>
        <w:widowControl w:val="0"/>
        <w:wordWrap/>
        <w:topLinePunct w:val="0"/>
        <w:bidi w:val="0"/>
        <w:spacing w:line="300" w:lineRule="exact"/>
        <w:rPr>
          <w:rFonts w:hint="eastAsia" w:ascii="宋体" w:hAnsi="宋体" w:eastAsia="宋体" w:cs="宋体"/>
          <w:b/>
          <w:color w:val="auto"/>
          <w:sz w:val="28"/>
          <w:szCs w:val="28"/>
          <w:highlight w:val="none"/>
        </w:rPr>
      </w:pPr>
    </w:p>
    <w:p w14:paraId="61653202">
      <w:pPr>
        <w:keepNext w:val="0"/>
        <w:keepLines w:val="0"/>
        <w:pageBreakBefore w:val="0"/>
        <w:widowControl w:val="0"/>
        <w:wordWrap/>
        <w:topLinePunct w:val="0"/>
        <w:bidi w:val="0"/>
        <w:snapToGrid w:val="0"/>
        <w:spacing w:line="300" w:lineRule="exact"/>
        <w:ind w:firstLine="4830" w:firstLineChars="2300"/>
        <w:rPr>
          <w:rFonts w:hint="eastAsia" w:ascii="宋体" w:hAnsi="宋体" w:eastAsia="宋体" w:cs="宋体"/>
          <w:color w:val="auto"/>
          <w:highlight w:val="none"/>
          <w:u w:val="single"/>
        </w:rPr>
      </w:pPr>
      <w:r>
        <w:rPr>
          <w:rFonts w:hint="eastAsia" w:ascii="宋体" w:hAnsi="宋体" w:eastAsia="宋体" w:cs="宋体"/>
          <w:color w:val="auto"/>
          <w:highlight w:val="none"/>
        </w:rPr>
        <w:t>日          期：</w:t>
      </w:r>
      <w:r>
        <w:rPr>
          <w:rFonts w:hint="eastAsia" w:ascii="宋体" w:hAnsi="宋体" w:eastAsia="宋体" w:cs="宋体"/>
          <w:color w:val="auto"/>
          <w:highlight w:val="none"/>
          <w:u w:val="single"/>
        </w:rPr>
        <w:t xml:space="preserve">                              </w:t>
      </w:r>
    </w:p>
    <w:p w14:paraId="3BD3A19E">
      <w:pPr>
        <w:keepNext w:val="0"/>
        <w:keepLines w:val="0"/>
        <w:pageBreakBefore w:val="0"/>
        <w:widowControl w:val="0"/>
        <w:wordWrap/>
        <w:topLinePunct w:val="0"/>
        <w:bidi w:val="0"/>
        <w:snapToGrid w:val="0"/>
        <w:spacing w:line="300" w:lineRule="exact"/>
        <w:ind w:firstLine="3570" w:firstLineChars="1700"/>
        <w:rPr>
          <w:rFonts w:hint="eastAsia" w:ascii="宋体" w:hAnsi="宋体" w:eastAsia="宋体" w:cs="宋体"/>
          <w:color w:val="auto"/>
          <w:highlight w:val="none"/>
          <w:u w:val="single"/>
        </w:rPr>
      </w:pPr>
    </w:p>
    <w:p w14:paraId="689E1D09">
      <w:pPr>
        <w:pStyle w:val="9"/>
        <w:keepNext w:val="0"/>
        <w:keepLines w:val="0"/>
        <w:pageBreakBefore w:val="0"/>
        <w:widowControl w:val="0"/>
        <w:wordWrap/>
        <w:topLinePunct w:val="0"/>
        <w:bidi w:val="0"/>
        <w:rPr>
          <w:rFonts w:hint="eastAsia" w:ascii="宋体" w:hAnsi="宋体" w:eastAsia="宋体" w:cs="宋体"/>
          <w:color w:val="auto"/>
          <w:highlight w:val="none"/>
          <w:u w:val="single"/>
        </w:rPr>
      </w:pPr>
    </w:p>
    <w:p w14:paraId="634480C4">
      <w:pPr>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br w:type="page"/>
      </w:r>
    </w:p>
    <w:p w14:paraId="0A15EFA5">
      <w:pPr>
        <w:keepNext w:val="0"/>
        <w:keepLines w:val="0"/>
        <w:pageBreakBefore w:val="0"/>
        <w:widowControl w:val="0"/>
        <w:numPr>
          <w:ilvl w:val="0"/>
          <w:numId w:val="0"/>
        </w:numPr>
        <w:wordWrap/>
        <w:topLinePunct w:val="0"/>
        <w:bidi w:val="0"/>
        <w:spacing w:line="440" w:lineRule="atLeast"/>
        <w:outlineLvl w:val="2"/>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6.施工组织设计方案（必须提供）</w:t>
      </w:r>
      <w:r>
        <w:rPr>
          <w:rFonts w:hint="eastAsia" w:ascii="宋体" w:hAnsi="宋体" w:eastAsia="宋体" w:cs="宋体"/>
          <w:b/>
          <w:color w:val="auto"/>
          <w:sz w:val="28"/>
          <w:szCs w:val="28"/>
          <w:highlight w:val="none"/>
        </w:rPr>
        <w:t>；</w:t>
      </w:r>
    </w:p>
    <w:p w14:paraId="1AE0F87E">
      <w:pPr>
        <w:keepNext w:val="0"/>
        <w:keepLines w:val="0"/>
        <w:pageBreakBefore w:val="0"/>
        <w:widowControl w:val="0"/>
        <w:wordWrap/>
        <w:topLinePunct w:val="0"/>
        <w:bidi w:val="0"/>
        <w:snapToGrid w:val="0"/>
        <w:spacing w:line="400" w:lineRule="exact"/>
        <w:jc w:val="center"/>
        <w:outlineLvl w:val="9"/>
        <w:rPr>
          <w:rFonts w:hint="eastAsia" w:ascii="宋体" w:hAnsi="宋体" w:cs="宋体"/>
          <w:b/>
          <w:color w:val="auto"/>
          <w:sz w:val="24"/>
          <w:szCs w:val="24"/>
          <w:highlight w:val="none"/>
          <w:lang w:val="en-US" w:eastAsia="zh-CN"/>
        </w:rPr>
      </w:pPr>
    </w:p>
    <w:p w14:paraId="2852C401">
      <w:pPr>
        <w:keepNext w:val="0"/>
        <w:keepLines w:val="0"/>
        <w:pageBreakBefore w:val="0"/>
        <w:widowControl w:val="0"/>
        <w:wordWrap/>
        <w:topLinePunct w:val="0"/>
        <w:bidi w:val="0"/>
        <w:snapToGrid w:val="0"/>
        <w:spacing w:line="400" w:lineRule="exact"/>
        <w:jc w:val="center"/>
        <w:outlineLvl w:val="9"/>
        <w:rPr>
          <w:rFonts w:hint="eastAsia" w:hAnsi="宋体" w:cs="Times New Roman"/>
          <w:b/>
          <w:color w:val="auto"/>
          <w:sz w:val="28"/>
          <w:szCs w:val="28"/>
        </w:rPr>
      </w:pPr>
      <w:r>
        <w:rPr>
          <w:rFonts w:hint="eastAsia" w:hAnsi="宋体" w:cs="Times New Roman"/>
          <w:b/>
          <w:color w:val="auto"/>
          <w:sz w:val="28"/>
          <w:szCs w:val="28"/>
        </w:rPr>
        <w:t>施工组织设计</w:t>
      </w:r>
    </w:p>
    <w:p w14:paraId="11C7EC68">
      <w:pPr>
        <w:keepNext w:val="0"/>
        <w:keepLines w:val="0"/>
        <w:pageBreakBefore w:val="0"/>
        <w:widowControl w:val="0"/>
        <w:wordWrap/>
        <w:topLinePunct w:val="0"/>
        <w:bidi w:val="0"/>
        <w:snapToGrid w:val="0"/>
        <w:spacing w:line="400" w:lineRule="exact"/>
        <w:jc w:val="center"/>
        <w:outlineLvl w:val="9"/>
        <w:rPr>
          <w:rFonts w:hint="eastAsia" w:hAnsi="宋体" w:cs="Times New Roman"/>
          <w:b/>
          <w:color w:val="auto"/>
          <w:sz w:val="28"/>
          <w:szCs w:val="28"/>
        </w:rPr>
      </w:pPr>
      <w:r>
        <w:rPr>
          <w:rFonts w:hint="eastAsia" w:hAnsi="宋体" w:cs="Times New Roman"/>
          <w:b/>
          <w:color w:val="auto"/>
          <w:sz w:val="28"/>
          <w:szCs w:val="28"/>
        </w:rPr>
        <w:t>（根据工程量清单及工程情况自行编制）</w:t>
      </w:r>
    </w:p>
    <w:p w14:paraId="36F408FC">
      <w:pPr>
        <w:keepNext w:val="0"/>
        <w:keepLines w:val="0"/>
        <w:pageBreakBefore w:val="0"/>
        <w:widowControl w:val="0"/>
        <w:wordWrap/>
        <w:topLinePunct w:val="0"/>
        <w:bidi w:val="0"/>
        <w:snapToGrid w:val="0"/>
        <w:spacing w:line="400" w:lineRule="exact"/>
        <w:jc w:val="center"/>
        <w:outlineLvl w:val="9"/>
        <w:rPr>
          <w:rFonts w:hint="eastAsia" w:ascii="宋体" w:hAnsi="宋体" w:cs="宋体"/>
          <w:b/>
          <w:color w:val="auto"/>
          <w:sz w:val="28"/>
          <w:szCs w:val="28"/>
          <w:highlight w:val="none"/>
        </w:rPr>
      </w:pPr>
      <w:r>
        <w:rPr>
          <w:rFonts w:hint="eastAsia" w:hAnsi="宋体" w:cs="Times New Roman"/>
          <w:b/>
          <w:color w:val="auto"/>
          <w:sz w:val="28"/>
          <w:szCs w:val="28"/>
        </w:rPr>
        <w:t>（格式自拟，必须提供）</w:t>
      </w:r>
    </w:p>
    <w:p w14:paraId="0062A26B">
      <w:pPr>
        <w:pStyle w:val="44"/>
        <w:keepNext w:val="0"/>
        <w:keepLines w:val="0"/>
        <w:pageBreakBefore w:val="0"/>
        <w:widowControl w:val="0"/>
        <w:wordWrap/>
        <w:topLinePunct w:val="0"/>
        <w:bidi w:val="0"/>
        <w:spacing w:line="300" w:lineRule="exact"/>
        <w:ind w:firstLine="425"/>
        <w:rPr>
          <w:rFonts w:hint="eastAsia" w:ascii="宋体" w:hAnsi="宋体" w:eastAsia="宋体" w:cs="宋体"/>
          <w:color w:val="auto"/>
          <w:highlight w:val="none"/>
        </w:rPr>
      </w:pPr>
    </w:p>
    <w:p w14:paraId="19D12B16">
      <w:pPr>
        <w:pStyle w:val="44"/>
        <w:keepNext w:val="0"/>
        <w:keepLines w:val="0"/>
        <w:pageBreakBefore w:val="0"/>
        <w:widowControl w:val="0"/>
        <w:wordWrap/>
        <w:topLinePunct w:val="0"/>
        <w:bidi w:val="0"/>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14:paraId="69E42DCE">
      <w:pPr>
        <w:pStyle w:val="44"/>
        <w:keepNext w:val="0"/>
        <w:keepLines w:val="0"/>
        <w:pageBreakBefore w:val="0"/>
        <w:widowControl w:val="0"/>
        <w:wordWrap/>
        <w:topLinePunct w:val="0"/>
        <w:bidi w:val="0"/>
        <w:rPr>
          <w:rFonts w:hint="eastAsia" w:ascii="宋体" w:hAnsi="宋体" w:eastAsia="宋体" w:cs="宋体"/>
          <w:color w:val="auto"/>
          <w:highlight w:val="none"/>
        </w:rPr>
      </w:pPr>
    </w:p>
    <w:p w14:paraId="30898812">
      <w:pPr>
        <w:pStyle w:val="7"/>
        <w:keepNext w:val="0"/>
        <w:keepLines w:val="0"/>
        <w:pageBreakBefore w:val="0"/>
        <w:widowControl w:val="0"/>
        <w:numPr>
          <w:ilvl w:val="0"/>
          <w:numId w:val="0"/>
        </w:numPr>
        <w:wordWrap/>
        <w:topLinePunct w:val="0"/>
        <w:bidi w:val="0"/>
        <w:jc w:val="both"/>
        <w:rPr>
          <w:rFonts w:hint="eastAsia"/>
          <w:color w:val="auto"/>
          <w:highlight w:val="none"/>
        </w:rPr>
      </w:pPr>
    </w:p>
    <w:p w14:paraId="14DACCA7">
      <w:pPr>
        <w:keepNext w:val="0"/>
        <w:keepLines w:val="0"/>
        <w:pageBreakBefore w:val="0"/>
        <w:widowControl w:val="0"/>
        <w:wordWrap/>
        <w:topLinePunct w:val="0"/>
        <w:bidi w:val="0"/>
        <w:ind w:firstLine="1470" w:firstLineChars="7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磋商供应商</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，自然人</w:t>
      </w:r>
      <w:r>
        <w:rPr>
          <w:rFonts w:hint="eastAsia" w:ascii="宋体" w:hAnsi="宋体" w:eastAsia="宋体" w:cs="宋体"/>
          <w:color w:val="auto"/>
          <w:szCs w:val="21"/>
          <w:highlight w:val="none"/>
          <w:lang w:eastAsia="zh-CN"/>
        </w:rPr>
        <w:t>签字或个人</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6D5049B1">
      <w:pPr>
        <w:pStyle w:val="12"/>
        <w:keepNext w:val="0"/>
        <w:keepLines w:val="0"/>
        <w:pageBreakBefore w:val="0"/>
        <w:widowControl w:val="0"/>
        <w:wordWrap/>
        <w:topLinePunct w:val="0"/>
        <w:bidi w:val="0"/>
        <w:spacing w:line="300" w:lineRule="exact"/>
        <w:ind w:left="2940" w:leftChars="1400" w:firstLine="630" w:firstLineChars="300"/>
        <w:rPr>
          <w:rFonts w:hint="eastAsia" w:ascii="宋体" w:hAnsi="宋体" w:eastAsia="宋体" w:cs="宋体"/>
          <w:color w:val="auto"/>
          <w:highlight w:val="none"/>
        </w:rPr>
      </w:pPr>
    </w:p>
    <w:p w14:paraId="09A99193">
      <w:pPr>
        <w:pStyle w:val="12"/>
        <w:keepNext w:val="0"/>
        <w:keepLines w:val="0"/>
        <w:pageBreakBefore w:val="0"/>
        <w:widowControl w:val="0"/>
        <w:wordWrap/>
        <w:topLinePunct w:val="0"/>
        <w:bidi w:val="0"/>
        <w:spacing w:line="300" w:lineRule="exact"/>
        <w:ind w:firstLine="4638" w:firstLineChars="165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w:t>
      </w:r>
    </w:p>
    <w:p w14:paraId="094636F9">
      <w:pPr>
        <w:pStyle w:val="12"/>
        <w:keepNext w:val="0"/>
        <w:keepLines w:val="0"/>
        <w:pageBreakBefore w:val="0"/>
        <w:widowControl w:val="0"/>
        <w:wordWrap/>
        <w:topLinePunct w:val="0"/>
        <w:bidi w:val="0"/>
        <w:spacing w:line="300" w:lineRule="exact"/>
        <w:rPr>
          <w:rFonts w:hint="eastAsia" w:ascii="宋体" w:hAnsi="宋体" w:eastAsia="宋体" w:cs="宋体"/>
          <w:b/>
          <w:color w:val="auto"/>
          <w:sz w:val="28"/>
          <w:szCs w:val="28"/>
          <w:highlight w:val="none"/>
        </w:rPr>
      </w:pPr>
    </w:p>
    <w:p w14:paraId="5B955564">
      <w:pPr>
        <w:keepNext w:val="0"/>
        <w:keepLines w:val="0"/>
        <w:pageBreakBefore w:val="0"/>
        <w:widowControl w:val="0"/>
        <w:wordWrap/>
        <w:topLinePunct w:val="0"/>
        <w:bidi w:val="0"/>
        <w:ind w:firstLine="1470" w:firstLineChars="700"/>
        <w:rPr>
          <w:rFonts w:hint="eastAsia"/>
          <w:color w:val="auto"/>
          <w:highlight w:val="none"/>
        </w:rPr>
      </w:pPr>
      <w:r>
        <w:rPr>
          <w:rFonts w:hint="eastAsia" w:ascii="宋体" w:hAnsi="宋体" w:eastAsia="宋体" w:cs="宋体"/>
          <w:color w:val="auto"/>
          <w:highlight w:val="none"/>
        </w:rPr>
        <w:t>日          期：</w:t>
      </w:r>
      <w:r>
        <w:rPr>
          <w:rFonts w:hint="eastAsia" w:ascii="宋体" w:hAnsi="宋体" w:eastAsia="宋体" w:cs="宋体"/>
          <w:color w:val="auto"/>
          <w:highlight w:val="none"/>
          <w:u w:val="single"/>
        </w:rPr>
        <w:t xml:space="preserve">                         </w:t>
      </w:r>
    </w:p>
    <w:p w14:paraId="6F8F5911">
      <w:pPr>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br w:type="page"/>
      </w:r>
    </w:p>
    <w:p w14:paraId="42A433DE">
      <w:pPr>
        <w:spacing w:line="400" w:lineRule="exact"/>
        <w:ind w:firstLine="551" w:firstLineChars="196"/>
        <w:jc w:val="center"/>
        <w:outlineLvl w:val="2"/>
        <w:rPr>
          <w:rFonts w:hint="eastAsia" w:ascii="宋体" w:hAnsi="宋体" w:cs="宋体"/>
          <w:b/>
          <w:color w:val="auto"/>
          <w:kern w:val="0"/>
          <w:sz w:val="28"/>
          <w:szCs w:val="28"/>
        </w:rPr>
      </w:pPr>
      <w:r>
        <w:rPr>
          <w:rFonts w:hint="eastAsia" w:ascii="宋体" w:hAnsi="宋体" w:eastAsia="宋体" w:cs="宋体"/>
          <w:b/>
          <w:color w:val="auto"/>
          <w:sz w:val="28"/>
          <w:szCs w:val="28"/>
          <w:highlight w:val="none"/>
          <w:lang w:val="en-US" w:eastAsia="zh-CN"/>
        </w:rPr>
        <w:t>7.</w:t>
      </w:r>
      <w:r>
        <w:rPr>
          <w:rFonts w:hint="eastAsia" w:ascii="宋体" w:hAnsi="宋体" w:cs="宋体"/>
          <w:b/>
          <w:color w:val="auto"/>
          <w:kern w:val="0"/>
          <w:sz w:val="28"/>
          <w:szCs w:val="28"/>
        </w:rPr>
        <w:t>建设工程项目管理承诺书（必须提供）；</w:t>
      </w:r>
    </w:p>
    <w:p w14:paraId="20F86CBE">
      <w:pPr>
        <w:spacing w:line="400" w:lineRule="exact"/>
        <w:ind w:firstLine="551" w:firstLineChars="196"/>
        <w:rPr>
          <w:rFonts w:hint="eastAsia" w:ascii="宋体" w:hAnsi="宋体" w:cs="宋体"/>
          <w:b/>
          <w:color w:val="auto"/>
          <w:kern w:val="0"/>
          <w:sz w:val="28"/>
          <w:szCs w:val="28"/>
        </w:rPr>
      </w:pPr>
    </w:p>
    <w:p w14:paraId="715B59D4">
      <w:pPr>
        <w:spacing w:line="480" w:lineRule="auto"/>
        <w:jc w:val="left"/>
        <w:rPr>
          <w:rFonts w:ascii="宋体" w:hAnsi="宋体"/>
          <w:color w:val="auto"/>
        </w:rPr>
      </w:pPr>
      <w:r>
        <w:rPr>
          <w:rFonts w:ascii="宋体" w:hAnsi="宋体"/>
          <w:color w:val="auto"/>
          <w:u w:val="single"/>
        </w:rPr>
        <w:t xml:space="preserve"> </w:t>
      </w:r>
      <w:r>
        <w:rPr>
          <w:rFonts w:hint="eastAsia" w:ascii="宋体" w:hAnsi="宋体"/>
          <w:color w:val="auto"/>
          <w:u w:val="single"/>
          <w:lang w:eastAsia="zh-CN"/>
        </w:rPr>
        <w:t>灌阳县公安局</w:t>
      </w:r>
      <w:r>
        <w:rPr>
          <w:rFonts w:ascii="宋体" w:hAnsi="宋体"/>
          <w:color w:val="auto"/>
          <w:u w:val="single"/>
        </w:rPr>
        <w:t xml:space="preserve"> </w:t>
      </w:r>
      <w:r>
        <w:rPr>
          <w:rFonts w:ascii="宋体" w:hAnsi="宋体"/>
          <w:color w:val="auto"/>
        </w:rPr>
        <w:t>：</w:t>
      </w:r>
    </w:p>
    <w:p w14:paraId="426F75DE">
      <w:pPr>
        <w:spacing w:line="520" w:lineRule="exact"/>
        <w:ind w:firstLine="422" w:firstLineChars="201"/>
        <w:jc w:val="left"/>
        <w:rPr>
          <w:rFonts w:ascii="宋体" w:hAnsi="宋体"/>
          <w:color w:val="auto"/>
        </w:rPr>
      </w:pPr>
      <w:r>
        <w:rPr>
          <w:rFonts w:ascii="宋体" w:hAnsi="宋体"/>
          <w:color w:val="auto"/>
        </w:rPr>
        <w:t>作为参与</w:t>
      </w:r>
      <w:r>
        <w:rPr>
          <w:rFonts w:hint="eastAsia" w:ascii="宋体" w:hAnsi="宋体" w:cs="宋体"/>
          <w:color w:val="auto"/>
          <w:szCs w:val="21"/>
          <w:u w:val="single"/>
        </w:rPr>
        <w:t> </w:t>
      </w:r>
      <w:r>
        <w:rPr>
          <w:rFonts w:ascii="宋体" w:hAnsi="宋体"/>
          <w:color w:val="auto"/>
          <w:u w:val="single"/>
        </w:rPr>
        <w:t>（</w:t>
      </w:r>
      <w:r>
        <w:rPr>
          <w:rFonts w:hint="eastAsia" w:ascii="宋体" w:hAnsi="宋体"/>
          <w:color w:val="auto"/>
          <w:u w:val="single"/>
        </w:rPr>
        <w:t>项目</w:t>
      </w:r>
      <w:r>
        <w:rPr>
          <w:rFonts w:ascii="宋体" w:hAnsi="宋体"/>
          <w:color w:val="auto"/>
          <w:u w:val="single"/>
        </w:rPr>
        <w:t>名称</w:t>
      </w:r>
      <w:r>
        <w:rPr>
          <w:rFonts w:hint="eastAsia" w:ascii="宋体" w:hAnsi="宋体"/>
          <w:color w:val="auto"/>
          <w:u w:val="single"/>
        </w:rPr>
        <w:t xml:space="preserve">、项目编号  </w:t>
      </w:r>
      <w:r>
        <w:rPr>
          <w:rFonts w:ascii="宋体" w:hAnsi="宋体"/>
          <w:color w:val="auto"/>
          <w:u w:val="single"/>
        </w:rPr>
        <w:t>）</w:t>
      </w:r>
      <w:r>
        <w:rPr>
          <w:rFonts w:ascii="宋体" w:hAnsi="宋体"/>
          <w:color w:val="auto"/>
        </w:rPr>
        <w:t>项目的</w:t>
      </w:r>
      <w:r>
        <w:rPr>
          <w:rFonts w:hint="eastAsia" w:ascii="宋体" w:hAnsi="宋体"/>
          <w:color w:val="auto"/>
          <w:lang w:val="en-US" w:eastAsia="zh-CN"/>
        </w:rPr>
        <w:t>磋商供应商</w:t>
      </w:r>
      <w:r>
        <w:rPr>
          <w:rFonts w:ascii="宋体" w:hAnsi="宋体"/>
          <w:color w:val="auto"/>
        </w:rPr>
        <w:t>，根据国家、自治区及</w:t>
      </w:r>
      <w:r>
        <w:rPr>
          <w:rFonts w:hint="eastAsia" w:ascii="宋体" w:hAnsi="宋体"/>
          <w:color w:val="auto"/>
        </w:rPr>
        <w:t>桂林</w:t>
      </w:r>
      <w:r>
        <w:rPr>
          <w:rFonts w:ascii="宋体" w:hAnsi="宋体"/>
          <w:color w:val="auto"/>
        </w:rPr>
        <w:t>市相关文件规定，我方在此向</w:t>
      </w:r>
      <w:r>
        <w:rPr>
          <w:rFonts w:hint="eastAsia" w:ascii="宋体" w:hAnsi="宋体"/>
          <w:color w:val="auto"/>
        </w:rPr>
        <w:t>采购</w:t>
      </w:r>
      <w:r>
        <w:rPr>
          <w:rFonts w:ascii="宋体" w:hAnsi="宋体"/>
          <w:color w:val="auto"/>
        </w:rPr>
        <w:t>人承诺：</w:t>
      </w:r>
    </w:p>
    <w:p w14:paraId="6A363EA7">
      <w:pPr>
        <w:spacing w:line="520" w:lineRule="exact"/>
        <w:ind w:firstLine="422" w:firstLineChars="201"/>
        <w:jc w:val="lef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一旦</w:t>
      </w:r>
      <w:r>
        <w:rPr>
          <w:rFonts w:hint="eastAsia"/>
          <w:color w:val="auto"/>
          <w:szCs w:val="21"/>
        </w:rPr>
        <w:t>中标</w:t>
      </w:r>
      <w:r>
        <w:rPr>
          <w:rFonts w:hint="eastAsia"/>
          <w:color w:val="auto"/>
          <w:szCs w:val="21"/>
          <w:lang w:eastAsia="zh-CN"/>
        </w:rPr>
        <w:t>（</w:t>
      </w:r>
      <w:r>
        <w:rPr>
          <w:rFonts w:hint="eastAsia" w:ascii="宋体" w:hAnsi="宋体"/>
          <w:color w:val="auto"/>
        </w:rPr>
        <w:t>成交</w:t>
      </w:r>
      <w:r>
        <w:rPr>
          <w:rFonts w:hint="eastAsia" w:ascii="宋体" w:hAnsi="宋体"/>
          <w:color w:val="auto"/>
          <w:lang w:eastAsia="zh-CN"/>
        </w:rPr>
        <w:t>）</w:t>
      </w:r>
      <w:r>
        <w:rPr>
          <w:rFonts w:ascii="宋体" w:hAnsi="宋体"/>
          <w:color w:val="auto"/>
        </w:rPr>
        <w:t>，我方保证按照政府相关部门的规定，在</w:t>
      </w:r>
      <w:r>
        <w:rPr>
          <w:rFonts w:hint="eastAsia" w:ascii="宋体" w:hAnsi="宋体"/>
          <w:color w:val="auto"/>
        </w:rPr>
        <w:t>规定时间</w:t>
      </w:r>
      <w:r>
        <w:rPr>
          <w:rFonts w:ascii="宋体" w:hAnsi="宋体"/>
          <w:color w:val="auto"/>
        </w:rPr>
        <w:t>内足额将农民工工资保障金转入农民工工资保障金专用账户。一旦我方所承包的该项目中出现拖欠农民工和工人工资情况，由建设行政主管部门或财政部门从我方农民工工资保障金中先予划支。我方在中标后如不按时、足额存入农民工工资保障金的，将被取消中标资格。</w:t>
      </w:r>
    </w:p>
    <w:p w14:paraId="3B01BA91">
      <w:pPr>
        <w:spacing w:line="520" w:lineRule="exact"/>
        <w:ind w:left="-10" w:firstLine="455" w:firstLineChars="217"/>
        <w:jc w:val="lef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一旦</w:t>
      </w:r>
      <w:r>
        <w:rPr>
          <w:rFonts w:hint="eastAsia"/>
          <w:color w:val="auto"/>
          <w:szCs w:val="21"/>
        </w:rPr>
        <w:t>中标</w:t>
      </w:r>
      <w:r>
        <w:rPr>
          <w:rFonts w:hint="eastAsia"/>
          <w:color w:val="auto"/>
          <w:szCs w:val="21"/>
          <w:lang w:eastAsia="zh-CN"/>
        </w:rPr>
        <w:t>（</w:t>
      </w:r>
      <w:r>
        <w:rPr>
          <w:rFonts w:hint="eastAsia" w:ascii="宋体" w:hAnsi="宋体"/>
          <w:color w:val="auto"/>
        </w:rPr>
        <w:t>成交</w:t>
      </w:r>
      <w:r>
        <w:rPr>
          <w:rFonts w:hint="eastAsia" w:ascii="宋体" w:hAnsi="宋体"/>
          <w:color w:val="auto"/>
          <w:lang w:eastAsia="zh-CN"/>
        </w:rPr>
        <w:t>）</w:t>
      </w:r>
      <w:r>
        <w:rPr>
          <w:rFonts w:ascii="宋体" w:hAnsi="宋体"/>
          <w:color w:val="auto"/>
        </w:rPr>
        <w:t>，我方保证在施工过程中，严格执行桂建质安[20</w:t>
      </w:r>
      <w:r>
        <w:rPr>
          <w:rFonts w:hint="eastAsia" w:ascii="宋体" w:hAnsi="宋体"/>
          <w:color w:val="auto"/>
        </w:rPr>
        <w:t>15</w:t>
      </w:r>
      <w:r>
        <w:rPr>
          <w:rFonts w:ascii="宋体" w:hAnsi="宋体"/>
          <w:color w:val="auto"/>
        </w:rPr>
        <w:t>]</w:t>
      </w:r>
      <w:r>
        <w:rPr>
          <w:rFonts w:hint="eastAsia" w:ascii="宋体" w:hAnsi="宋体"/>
          <w:color w:val="auto"/>
        </w:rPr>
        <w:t>16</w:t>
      </w:r>
      <w:r>
        <w:rPr>
          <w:rFonts w:ascii="宋体" w:hAnsi="宋体"/>
          <w:color w:val="auto"/>
        </w:rPr>
        <w:t>号文《广西壮族自治区建筑工程安全文明施工费使用管理细则》的有关规定，确保建设工程各项安全防护、文明施工措施落实到位。如我方在该项目的承包中出现未按桂建质安[20</w:t>
      </w:r>
      <w:r>
        <w:rPr>
          <w:rFonts w:hint="eastAsia" w:ascii="宋体" w:hAnsi="宋体"/>
          <w:color w:val="auto"/>
        </w:rPr>
        <w:t>15</w:t>
      </w:r>
      <w:r>
        <w:rPr>
          <w:rFonts w:ascii="宋体" w:hAnsi="宋体"/>
          <w:color w:val="auto"/>
        </w:rPr>
        <w:t>]</w:t>
      </w:r>
      <w:r>
        <w:rPr>
          <w:rFonts w:hint="eastAsia" w:ascii="宋体" w:hAnsi="宋体"/>
          <w:color w:val="auto"/>
        </w:rPr>
        <w:t>16</w:t>
      </w:r>
      <w:r>
        <w:rPr>
          <w:rFonts w:ascii="宋体" w:hAnsi="宋体"/>
          <w:color w:val="auto"/>
        </w:rPr>
        <w:t>号文附件一规定执行的情形，我方愿意按照相关规定接受建设单位及有关主管部门的处罚。</w:t>
      </w:r>
    </w:p>
    <w:p w14:paraId="027C1878">
      <w:pPr>
        <w:spacing w:line="520" w:lineRule="exact"/>
        <w:ind w:left="-2" w:leftChars="-1" w:firstLine="449" w:firstLineChars="214"/>
        <w:jc w:val="lef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一旦</w:t>
      </w:r>
      <w:r>
        <w:rPr>
          <w:rFonts w:hint="eastAsia"/>
          <w:color w:val="auto"/>
          <w:szCs w:val="21"/>
        </w:rPr>
        <w:t>中标</w:t>
      </w:r>
      <w:r>
        <w:rPr>
          <w:rFonts w:hint="eastAsia"/>
          <w:color w:val="auto"/>
          <w:szCs w:val="21"/>
          <w:lang w:eastAsia="zh-CN"/>
        </w:rPr>
        <w:t>（</w:t>
      </w:r>
      <w:r>
        <w:rPr>
          <w:rFonts w:hint="eastAsia" w:ascii="宋体" w:hAnsi="宋体"/>
          <w:color w:val="auto"/>
        </w:rPr>
        <w:t>成交</w:t>
      </w:r>
      <w:r>
        <w:rPr>
          <w:rFonts w:hint="eastAsia" w:ascii="宋体" w:hAnsi="宋体"/>
          <w:color w:val="auto"/>
          <w:lang w:eastAsia="zh-CN"/>
        </w:rPr>
        <w:t>）</w:t>
      </w:r>
      <w:r>
        <w:rPr>
          <w:rFonts w:ascii="宋体" w:hAnsi="宋体"/>
          <w:color w:val="auto"/>
        </w:rPr>
        <w:t>，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5C46FF54">
      <w:pPr>
        <w:pStyle w:val="64"/>
        <w:spacing w:line="520" w:lineRule="exact"/>
        <w:ind w:left="-10" w:firstLine="455" w:firstLineChars="217"/>
        <w:jc w:val="left"/>
        <w:rPr>
          <w:color w:val="auto"/>
          <w:szCs w:val="21"/>
        </w:rPr>
      </w:pPr>
      <w:r>
        <w:rPr>
          <w:rFonts w:hint="eastAsia"/>
          <w:color w:val="auto"/>
          <w:szCs w:val="21"/>
        </w:rPr>
        <w:t>4、</w:t>
      </w:r>
      <w:r>
        <w:rPr>
          <w:rFonts w:ascii="宋体" w:hAnsi="宋体"/>
          <w:color w:val="auto"/>
        </w:rPr>
        <w:t>一旦</w:t>
      </w:r>
      <w:r>
        <w:rPr>
          <w:rFonts w:hint="eastAsia"/>
          <w:color w:val="auto"/>
          <w:szCs w:val="21"/>
        </w:rPr>
        <w:t>中标</w:t>
      </w:r>
      <w:r>
        <w:rPr>
          <w:rFonts w:hint="eastAsia"/>
          <w:color w:val="auto"/>
          <w:szCs w:val="21"/>
          <w:lang w:eastAsia="zh-CN"/>
        </w:rPr>
        <w:t>（</w:t>
      </w:r>
      <w:r>
        <w:rPr>
          <w:rFonts w:hint="eastAsia" w:ascii="宋体" w:hAnsi="宋体"/>
          <w:color w:val="auto"/>
        </w:rPr>
        <w:t>成交</w:t>
      </w:r>
      <w:r>
        <w:rPr>
          <w:rFonts w:hint="eastAsia" w:ascii="宋体" w:hAnsi="宋体"/>
          <w:color w:val="auto"/>
          <w:lang w:eastAsia="zh-CN"/>
        </w:rPr>
        <w:t>）</w:t>
      </w:r>
      <w:r>
        <w:rPr>
          <w:rFonts w:hint="eastAsia"/>
          <w:color w:val="auto"/>
          <w:szCs w:val="21"/>
        </w:rPr>
        <w:t>，我方保证在施工过程中，严格执行《关于禁止使用不符合规范要求的竹脚手架的通知》（</w:t>
      </w:r>
      <w:r>
        <w:rPr>
          <w:color w:val="auto"/>
          <w:szCs w:val="21"/>
        </w:rPr>
        <w:t>桂建</w:t>
      </w:r>
      <w:r>
        <w:rPr>
          <w:rFonts w:hint="eastAsia"/>
          <w:color w:val="auto"/>
          <w:szCs w:val="21"/>
        </w:rPr>
        <w:t>管字</w:t>
      </w:r>
      <w:r>
        <w:rPr>
          <w:color w:val="auto"/>
          <w:szCs w:val="21"/>
        </w:rPr>
        <w:t>〔200</w:t>
      </w:r>
      <w:r>
        <w:rPr>
          <w:rFonts w:hint="eastAsia"/>
          <w:color w:val="auto"/>
          <w:szCs w:val="21"/>
        </w:rPr>
        <w:t>3</w:t>
      </w:r>
      <w:r>
        <w:rPr>
          <w:color w:val="auto"/>
          <w:szCs w:val="21"/>
        </w:rPr>
        <w:t>〕</w:t>
      </w:r>
      <w:r>
        <w:rPr>
          <w:rFonts w:hint="eastAsia"/>
          <w:color w:val="auto"/>
          <w:szCs w:val="21"/>
        </w:rPr>
        <w:t>40</w:t>
      </w:r>
      <w:r>
        <w:rPr>
          <w:color w:val="auto"/>
          <w:szCs w:val="21"/>
        </w:rPr>
        <w:t>号</w:t>
      </w:r>
      <w:r>
        <w:rPr>
          <w:rFonts w:hint="eastAsia"/>
          <w:color w:val="auto"/>
          <w:szCs w:val="21"/>
        </w:rPr>
        <w:t>）的有关规定，不使用竹脚手架。如我方在该</w:t>
      </w:r>
      <w:r>
        <w:rPr>
          <w:color w:val="auto"/>
          <w:szCs w:val="21"/>
        </w:rPr>
        <w:t>项目的承包中出现未按规定执行的情形，我方愿意按照相关规定接受建设单位及有关主管部门的处罚。</w:t>
      </w:r>
    </w:p>
    <w:p w14:paraId="7562B2B7">
      <w:pPr>
        <w:pStyle w:val="64"/>
        <w:spacing w:line="520" w:lineRule="exact"/>
        <w:ind w:left="-10" w:firstLine="455" w:firstLineChars="217"/>
        <w:jc w:val="left"/>
        <w:rPr>
          <w:color w:val="auto"/>
          <w:szCs w:val="21"/>
        </w:rPr>
      </w:pPr>
      <w:r>
        <w:rPr>
          <w:rFonts w:hint="eastAsia"/>
          <w:color w:val="auto"/>
          <w:szCs w:val="21"/>
        </w:rPr>
        <w:t>5、</w:t>
      </w:r>
      <w:r>
        <w:rPr>
          <w:rFonts w:ascii="宋体" w:hAnsi="宋体"/>
          <w:color w:val="auto"/>
        </w:rPr>
        <w:t>一旦</w:t>
      </w:r>
      <w:r>
        <w:rPr>
          <w:rFonts w:hint="eastAsia"/>
          <w:color w:val="auto"/>
          <w:szCs w:val="21"/>
        </w:rPr>
        <w:t>中标</w:t>
      </w:r>
      <w:r>
        <w:rPr>
          <w:rFonts w:hint="eastAsia"/>
          <w:color w:val="auto"/>
          <w:szCs w:val="21"/>
          <w:lang w:eastAsia="zh-CN"/>
        </w:rPr>
        <w:t>（</w:t>
      </w:r>
      <w:r>
        <w:rPr>
          <w:rFonts w:hint="eastAsia" w:ascii="宋体" w:hAnsi="宋体"/>
          <w:color w:val="auto"/>
        </w:rPr>
        <w:t>成交</w:t>
      </w:r>
      <w:r>
        <w:rPr>
          <w:rFonts w:hint="eastAsia" w:ascii="宋体" w:hAnsi="宋体"/>
          <w:color w:val="auto"/>
          <w:lang w:eastAsia="zh-CN"/>
        </w:rPr>
        <w:t>）</w:t>
      </w:r>
      <w:r>
        <w:rPr>
          <w:rFonts w:hint="eastAsia"/>
          <w:color w:val="auto"/>
          <w:szCs w:val="21"/>
        </w:rPr>
        <w:t>，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14:paraId="10396080">
      <w:pPr>
        <w:spacing w:line="400" w:lineRule="exact"/>
        <w:ind w:firstLine="551" w:firstLineChars="196"/>
        <w:rPr>
          <w:rFonts w:hint="eastAsia" w:ascii="宋体" w:hAnsi="宋体" w:cs="宋体"/>
          <w:b/>
          <w:color w:val="auto"/>
          <w:kern w:val="0"/>
          <w:sz w:val="28"/>
          <w:szCs w:val="28"/>
        </w:rPr>
      </w:pPr>
    </w:p>
    <w:p w14:paraId="6EBA2ABB">
      <w:pPr>
        <w:spacing w:line="400" w:lineRule="exact"/>
        <w:rPr>
          <w:rFonts w:hint="eastAsia" w:ascii="宋体" w:hAnsi="宋体" w:cs="宋体"/>
          <w:b/>
          <w:color w:val="auto"/>
          <w:kern w:val="0"/>
          <w:sz w:val="28"/>
          <w:szCs w:val="28"/>
        </w:rPr>
      </w:pPr>
    </w:p>
    <w:p w14:paraId="6864EC5A">
      <w:pPr>
        <w:snapToGrid w:val="0"/>
        <w:spacing w:line="360" w:lineRule="exact"/>
        <w:ind w:firstLine="2835" w:firstLineChars="1350"/>
        <w:outlineLvl w:val="9"/>
        <w:rPr>
          <w:rFonts w:ascii="宋体" w:hAnsi="宋体"/>
          <w:color w:val="auto"/>
          <w:szCs w:val="21"/>
          <w:u w:val="single"/>
        </w:rPr>
      </w:pPr>
      <w:r>
        <w:rPr>
          <w:rFonts w:hint="eastAsia" w:ascii="宋体" w:hAnsi="宋体"/>
          <w:color w:val="auto"/>
          <w:szCs w:val="21"/>
        </w:rPr>
        <w:t>供应商名称（加盖供应商CA证书签章）：</w:t>
      </w:r>
      <w:r>
        <w:rPr>
          <w:rFonts w:hint="eastAsia" w:ascii="宋体" w:hAnsi="宋体"/>
          <w:color w:val="auto"/>
          <w:szCs w:val="21"/>
          <w:u w:val="single"/>
        </w:rPr>
        <w:t xml:space="preserve">              </w:t>
      </w:r>
    </w:p>
    <w:p w14:paraId="21AF4605">
      <w:pPr>
        <w:snapToGrid w:val="0"/>
        <w:spacing w:line="360" w:lineRule="exact"/>
        <w:ind w:firstLine="3675" w:firstLineChars="1750"/>
        <w:outlineLvl w:val="9"/>
        <w:rPr>
          <w:rFonts w:hint="eastAsia" w:ascii="宋体" w:hAnsi="宋体"/>
          <w:color w:val="auto"/>
        </w:rPr>
      </w:pPr>
    </w:p>
    <w:p w14:paraId="2BE9B514">
      <w:pPr>
        <w:snapToGrid w:val="0"/>
        <w:spacing w:line="360" w:lineRule="exact"/>
        <w:ind w:firstLine="3675" w:firstLineChars="1750"/>
        <w:outlineLvl w:val="9"/>
        <w:rPr>
          <w:rFonts w:hint="eastAsia" w:ascii="宋体" w:hAnsi="宋体"/>
          <w:color w:val="auto"/>
          <w:szCs w:val="21"/>
        </w:rPr>
      </w:pPr>
      <w:r>
        <w:rPr>
          <w:rFonts w:hint="eastAsia" w:ascii="宋体" w:hAnsi="宋体"/>
          <w:color w:val="auto"/>
        </w:rPr>
        <w:t>日   期：</w:t>
      </w:r>
      <w:r>
        <w:rPr>
          <w:rFonts w:hint="eastAsia" w:ascii="宋体" w:hAnsi="宋体"/>
          <w:color w:val="auto"/>
          <w:u w:val="single"/>
        </w:rPr>
        <w:t xml:space="preserve">                         </w:t>
      </w:r>
    </w:p>
    <w:p w14:paraId="67AB3FC8">
      <w:pPr>
        <w:rPr>
          <w:rFonts w:hint="eastAsia" w:cs="宋体"/>
          <w:b/>
          <w:bCs/>
          <w:color w:val="auto"/>
          <w:sz w:val="28"/>
          <w:szCs w:val="28"/>
        </w:rPr>
      </w:pPr>
      <w:r>
        <w:rPr>
          <w:rFonts w:hint="eastAsia" w:cs="宋体"/>
          <w:b/>
          <w:bCs/>
          <w:color w:val="auto"/>
          <w:sz w:val="28"/>
          <w:szCs w:val="28"/>
        </w:rPr>
        <w:br w:type="page"/>
      </w:r>
    </w:p>
    <w:p w14:paraId="6D1923DB">
      <w:pPr>
        <w:pStyle w:val="64"/>
        <w:spacing w:line="360" w:lineRule="auto"/>
        <w:jc w:val="center"/>
        <w:rPr>
          <w:color w:val="auto"/>
          <w:szCs w:val="21"/>
        </w:rPr>
      </w:pPr>
      <w:r>
        <w:rPr>
          <w:rFonts w:hint="eastAsia" w:cs="宋体"/>
          <w:b/>
          <w:bCs/>
          <w:color w:val="auto"/>
          <w:sz w:val="28"/>
          <w:szCs w:val="28"/>
        </w:rPr>
        <w:t>广西壮族自治区建筑工程安全文明施工措施项目清单内容</w:t>
      </w:r>
    </w:p>
    <w:p w14:paraId="20C300A8">
      <w:pPr>
        <w:pStyle w:val="64"/>
        <w:spacing w:line="360" w:lineRule="auto"/>
        <w:ind w:firstLine="600" w:firstLineChars="250"/>
        <w:jc w:val="center"/>
        <w:rPr>
          <w:color w:val="auto"/>
          <w:sz w:val="24"/>
          <w:szCs w:val="24"/>
        </w:rPr>
      </w:pPr>
      <w:r>
        <w:rPr>
          <w:rFonts w:hint="eastAsia" w:cs="宋体"/>
          <w:color w:val="auto"/>
          <w:sz w:val="24"/>
          <w:szCs w:val="24"/>
        </w:rPr>
        <w:t>（桂建质〔</w:t>
      </w:r>
      <w:r>
        <w:rPr>
          <w:color w:val="auto"/>
          <w:sz w:val="24"/>
          <w:szCs w:val="24"/>
        </w:rPr>
        <w:t>2015</w:t>
      </w:r>
      <w:r>
        <w:rPr>
          <w:rFonts w:hint="eastAsia" w:cs="宋体"/>
          <w:color w:val="auto"/>
          <w:sz w:val="24"/>
          <w:szCs w:val="24"/>
        </w:rPr>
        <w:t>〕</w:t>
      </w:r>
      <w:r>
        <w:rPr>
          <w:color w:val="auto"/>
          <w:sz w:val="24"/>
          <w:szCs w:val="24"/>
        </w:rPr>
        <w:t>16</w:t>
      </w:r>
      <w:r>
        <w:rPr>
          <w:rFonts w:hint="eastAsia" w:cs="宋体"/>
          <w:color w:val="auto"/>
          <w:sz w:val="24"/>
          <w:szCs w:val="24"/>
        </w:rPr>
        <w:t>号文附件一）</w:t>
      </w:r>
    </w:p>
    <w:p w14:paraId="2E349D60">
      <w:pPr>
        <w:pStyle w:val="64"/>
        <w:spacing w:line="240" w:lineRule="atLeast"/>
        <w:jc w:val="center"/>
        <w:rPr>
          <w:rFonts w:ascii="宋体"/>
          <w:b/>
          <w:bCs/>
          <w:color w:val="auto"/>
          <w:sz w:val="24"/>
          <w:szCs w:val="24"/>
        </w:rPr>
      </w:pPr>
      <w:r>
        <w:rPr>
          <w:rFonts w:hint="eastAsia" w:ascii="宋体" w:hAnsi="宋体" w:cs="宋体"/>
          <w:b/>
          <w:bCs/>
          <w:color w:val="auto"/>
          <w:sz w:val="24"/>
          <w:szCs w:val="24"/>
        </w:rPr>
        <w:t>广西壮族自治区</w:t>
      </w:r>
    </w:p>
    <w:p w14:paraId="2A88FEBC">
      <w:pPr>
        <w:pStyle w:val="64"/>
        <w:spacing w:line="240" w:lineRule="atLeast"/>
        <w:ind w:firstLine="546"/>
        <w:jc w:val="center"/>
        <w:rPr>
          <w:b/>
          <w:bCs/>
          <w:color w:val="auto"/>
          <w:w w:val="90"/>
          <w:sz w:val="24"/>
          <w:szCs w:val="24"/>
        </w:rPr>
      </w:pPr>
      <w:r>
        <w:rPr>
          <w:rFonts w:hint="eastAsia" w:cs="宋体"/>
          <w:b/>
          <w:bCs/>
          <w:color w:val="auto"/>
          <w:w w:val="90"/>
          <w:sz w:val="24"/>
          <w:szCs w:val="24"/>
        </w:rPr>
        <w:t>建设工程安全文明施工措施项目清单内容</w:t>
      </w:r>
    </w:p>
    <w:p w14:paraId="40A451BE">
      <w:pPr>
        <w:pStyle w:val="64"/>
        <w:spacing w:line="240" w:lineRule="atLeast"/>
        <w:ind w:firstLine="546"/>
        <w:jc w:val="center"/>
        <w:rPr>
          <w:b/>
          <w:bCs/>
          <w:color w:val="auto"/>
          <w:w w:val="90"/>
          <w:sz w:val="24"/>
          <w:szCs w:val="24"/>
        </w:rPr>
      </w:pPr>
    </w:p>
    <w:tbl>
      <w:tblPr>
        <w:tblStyle w:val="27"/>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38"/>
        <w:gridCol w:w="525"/>
        <w:gridCol w:w="1545"/>
        <w:gridCol w:w="6645"/>
      </w:tblGrid>
      <w:tr w14:paraId="58A6D2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1" w:hRule="exact"/>
        </w:trPr>
        <w:tc>
          <w:tcPr>
            <w:tcW w:w="738" w:type="dxa"/>
            <w:tcBorders>
              <w:top w:val="single" w:color="auto" w:sz="12" w:space="0"/>
            </w:tcBorders>
            <w:noWrap w:val="0"/>
            <w:vAlign w:val="center"/>
          </w:tcPr>
          <w:p w14:paraId="779018B2">
            <w:pPr>
              <w:pStyle w:val="64"/>
              <w:spacing w:line="300" w:lineRule="exact"/>
              <w:jc w:val="center"/>
              <w:rPr>
                <w:rFonts w:ascii="方正仿宋_GBK" w:eastAsia="方正仿宋_GBK"/>
                <w:b/>
                <w:bCs/>
                <w:color w:val="auto"/>
                <w:szCs w:val="21"/>
              </w:rPr>
            </w:pPr>
            <w:r>
              <w:rPr>
                <w:rFonts w:hint="eastAsia" w:ascii="方正仿宋_GBK" w:eastAsia="方正仿宋_GBK" w:cs="方正仿宋_GBK"/>
                <w:b/>
                <w:bCs/>
                <w:color w:val="auto"/>
                <w:szCs w:val="21"/>
              </w:rPr>
              <w:t>类别</w:t>
            </w:r>
          </w:p>
        </w:tc>
        <w:tc>
          <w:tcPr>
            <w:tcW w:w="2070" w:type="dxa"/>
            <w:gridSpan w:val="2"/>
            <w:tcBorders>
              <w:top w:val="single" w:color="auto" w:sz="12" w:space="0"/>
            </w:tcBorders>
            <w:noWrap w:val="0"/>
            <w:vAlign w:val="center"/>
          </w:tcPr>
          <w:p w14:paraId="41EEC52B">
            <w:pPr>
              <w:pStyle w:val="64"/>
              <w:spacing w:line="300" w:lineRule="exact"/>
              <w:jc w:val="center"/>
              <w:rPr>
                <w:rFonts w:ascii="方正仿宋_GBK" w:eastAsia="方正仿宋_GBK"/>
                <w:b/>
                <w:bCs/>
                <w:color w:val="auto"/>
                <w:szCs w:val="21"/>
              </w:rPr>
            </w:pPr>
            <w:r>
              <w:rPr>
                <w:rFonts w:hint="eastAsia" w:ascii="方正仿宋_GBK" w:eastAsia="方正仿宋_GBK" w:cs="方正仿宋_GBK"/>
                <w:b/>
                <w:bCs/>
                <w:color w:val="auto"/>
                <w:szCs w:val="21"/>
              </w:rPr>
              <w:t>项目名称</w:t>
            </w:r>
          </w:p>
        </w:tc>
        <w:tc>
          <w:tcPr>
            <w:tcW w:w="6645" w:type="dxa"/>
            <w:tcBorders>
              <w:top w:val="single" w:color="auto" w:sz="12" w:space="0"/>
            </w:tcBorders>
            <w:noWrap w:val="0"/>
            <w:vAlign w:val="center"/>
          </w:tcPr>
          <w:p w14:paraId="091AC829">
            <w:pPr>
              <w:pStyle w:val="64"/>
              <w:spacing w:line="300" w:lineRule="exact"/>
              <w:jc w:val="center"/>
              <w:rPr>
                <w:rFonts w:ascii="方正仿宋_GBK" w:eastAsia="方正仿宋_GBK"/>
                <w:b/>
                <w:bCs/>
                <w:color w:val="auto"/>
                <w:szCs w:val="21"/>
              </w:rPr>
            </w:pPr>
            <w:r>
              <w:rPr>
                <w:rFonts w:hint="eastAsia" w:ascii="方正仿宋_GBK" w:eastAsia="方正仿宋_GBK" w:cs="方正仿宋_GBK"/>
                <w:b/>
                <w:bCs/>
                <w:color w:val="auto"/>
                <w:szCs w:val="21"/>
              </w:rPr>
              <w:t>主要内容和要求</w:t>
            </w:r>
          </w:p>
        </w:tc>
      </w:tr>
      <w:tr w14:paraId="3312C5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0D15450D">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文明</w:t>
            </w:r>
          </w:p>
          <w:p w14:paraId="1BC5CF20">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施工</w:t>
            </w:r>
          </w:p>
          <w:p w14:paraId="66949C44">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与</w:t>
            </w:r>
          </w:p>
          <w:p w14:paraId="6F890CEE">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环境</w:t>
            </w:r>
          </w:p>
          <w:p w14:paraId="05EFDACE">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保护</w:t>
            </w:r>
          </w:p>
        </w:tc>
        <w:tc>
          <w:tcPr>
            <w:tcW w:w="2070" w:type="dxa"/>
            <w:gridSpan w:val="2"/>
            <w:noWrap w:val="0"/>
            <w:vAlign w:val="center"/>
          </w:tcPr>
          <w:p w14:paraId="337B066B">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安全警示</w:t>
            </w:r>
          </w:p>
          <w:p w14:paraId="71608E7F">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标志牌</w:t>
            </w:r>
          </w:p>
        </w:tc>
        <w:tc>
          <w:tcPr>
            <w:tcW w:w="6645" w:type="dxa"/>
            <w:noWrap w:val="0"/>
            <w:vAlign w:val="center"/>
          </w:tcPr>
          <w:p w14:paraId="446CB5FB">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在易发伤亡事故（或危险）处设置明显的、符合国家标准要求的安全警示标志牌。</w:t>
            </w:r>
          </w:p>
        </w:tc>
      </w:tr>
      <w:tr w14:paraId="4A2D4D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07804975">
            <w:pPr>
              <w:pStyle w:val="64"/>
              <w:spacing w:line="300" w:lineRule="exact"/>
              <w:jc w:val="center"/>
              <w:rPr>
                <w:rFonts w:ascii="方正仿宋_GBK" w:eastAsia="方正仿宋_GBK"/>
                <w:color w:val="auto"/>
                <w:szCs w:val="21"/>
              </w:rPr>
            </w:pPr>
          </w:p>
        </w:tc>
        <w:tc>
          <w:tcPr>
            <w:tcW w:w="2070" w:type="dxa"/>
            <w:gridSpan w:val="2"/>
            <w:noWrap w:val="0"/>
            <w:vAlign w:val="center"/>
          </w:tcPr>
          <w:p w14:paraId="3220D713">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现场围挡</w:t>
            </w:r>
          </w:p>
        </w:tc>
        <w:tc>
          <w:tcPr>
            <w:tcW w:w="6645" w:type="dxa"/>
            <w:noWrap w:val="0"/>
            <w:vAlign w:val="center"/>
          </w:tcPr>
          <w:p w14:paraId="67F6F86E">
            <w:pPr>
              <w:pStyle w:val="64"/>
              <w:spacing w:line="300" w:lineRule="exact"/>
              <w:rPr>
                <w:rFonts w:ascii="方正仿宋_GBK" w:eastAsia="方正仿宋_GBK"/>
                <w:color w:val="auto"/>
                <w:szCs w:val="21"/>
              </w:rPr>
            </w:pPr>
            <w:r>
              <w:rPr>
                <w:rFonts w:ascii="方正仿宋_GBK" w:eastAsia="方正仿宋_GBK" w:cs="方正仿宋_GBK"/>
                <w:color w:val="auto"/>
                <w:szCs w:val="21"/>
              </w:rPr>
              <w:t xml:space="preserve">1. </w:t>
            </w:r>
            <w:r>
              <w:rPr>
                <w:rFonts w:hint="eastAsia" w:ascii="方正仿宋_GBK" w:eastAsia="方正仿宋_GBK" w:cs="方正仿宋_GBK"/>
                <w:color w:val="auto"/>
                <w:szCs w:val="21"/>
              </w:rPr>
              <w:t>现场采用封闭围挡，高度不小于</w:t>
            </w:r>
            <w:r>
              <w:rPr>
                <w:rFonts w:ascii="方正仿宋_GBK" w:eastAsia="方正仿宋_GBK" w:cs="方正仿宋_GBK"/>
                <w:color w:val="auto"/>
                <w:szCs w:val="21"/>
              </w:rPr>
              <w:t>1.8m</w:t>
            </w:r>
            <w:r>
              <w:rPr>
                <w:rFonts w:hint="eastAsia" w:ascii="方正仿宋_GBK" w:eastAsia="方正仿宋_GBK" w:cs="方正仿宋_GBK"/>
                <w:color w:val="auto"/>
                <w:szCs w:val="21"/>
              </w:rPr>
              <w:t>。</w:t>
            </w:r>
          </w:p>
          <w:p w14:paraId="6E350D46">
            <w:pPr>
              <w:pStyle w:val="64"/>
              <w:spacing w:line="300" w:lineRule="exact"/>
              <w:rPr>
                <w:rFonts w:ascii="方正仿宋_GBK" w:eastAsia="方正仿宋_GBK"/>
                <w:color w:val="auto"/>
                <w:szCs w:val="21"/>
              </w:rPr>
            </w:pPr>
            <w:r>
              <w:rPr>
                <w:rFonts w:ascii="方正仿宋_GBK" w:eastAsia="方正仿宋_GBK" w:cs="方正仿宋_GBK"/>
                <w:color w:val="auto"/>
                <w:szCs w:val="21"/>
              </w:rPr>
              <w:t xml:space="preserve">2. </w:t>
            </w:r>
            <w:r>
              <w:rPr>
                <w:rFonts w:hint="eastAsia" w:ascii="方正仿宋_GBK" w:eastAsia="方正仿宋_GBK" w:cs="方正仿宋_GBK"/>
                <w:color w:val="auto"/>
                <w:szCs w:val="21"/>
              </w:rPr>
              <w:t>围挡材料可用彩色、定型钢板，砌块等墙体。</w:t>
            </w:r>
          </w:p>
        </w:tc>
      </w:tr>
      <w:tr w14:paraId="09571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481EBF9">
            <w:pPr>
              <w:pStyle w:val="64"/>
              <w:spacing w:line="300" w:lineRule="exact"/>
              <w:jc w:val="center"/>
              <w:rPr>
                <w:rFonts w:ascii="方正仿宋_GBK" w:eastAsia="方正仿宋_GBK"/>
                <w:color w:val="auto"/>
                <w:szCs w:val="21"/>
              </w:rPr>
            </w:pPr>
          </w:p>
        </w:tc>
        <w:tc>
          <w:tcPr>
            <w:tcW w:w="2070" w:type="dxa"/>
            <w:gridSpan w:val="2"/>
            <w:noWrap w:val="0"/>
            <w:vAlign w:val="center"/>
          </w:tcPr>
          <w:p w14:paraId="0B050C85">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七牌二图</w:t>
            </w:r>
          </w:p>
        </w:tc>
        <w:tc>
          <w:tcPr>
            <w:tcW w:w="6645" w:type="dxa"/>
            <w:noWrap w:val="0"/>
            <w:vAlign w:val="center"/>
          </w:tcPr>
          <w:p w14:paraId="03BF558F">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在进门处悬挂工程概况、现场出入制度、管理人员名单及监督电话、安全生产规定、文明施工、消防保卫、节能公示等七牌以及施工现场总平面图、工程效果图。</w:t>
            </w:r>
          </w:p>
        </w:tc>
      </w:tr>
      <w:tr w14:paraId="3ABEE5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38" w:type="dxa"/>
            <w:vMerge w:val="continue"/>
            <w:noWrap w:val="0"/>
            <w:vAlign w:val="center"/>
          </w:tcPr>
          <w:p w14:paraId="52F92ED3">
            <w:pPr>
              <w:pStyle w:val="64"/>
              <w:spacing w:line="300" w:lineRule="exact"/>
              <w:jc w:val="center"/>
              <w:rPr>
                <w:rFonts w:ascii="方正仿宋_GBK" w:eastAsia="方正仿宋_GBK"/>
                <w:color w:val="auto"/>
                <w:szCs w:val="21"/>
              </w:rPr>
            </w:pPr>
          </w:p>
        </w:tc>
        <w:tc>
          <w:tcPr>
            <w:tcW w:w="2070" w:type="dxa"/>
            <w:gridSpan w:val="2"/>
            <w:noWrap w:val="0"/>
            <w:vAlign w:val="center"/>
          </w:tcPr>
          <w:p w14:paraId="180E0657">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企业标志</w:t>
            </w:r>
          </w:p>
        </w:tc>
        <w:tc>
          <w:tcPr>
            <w:tcW w:w="6645" w:type="dxa"/>
            <w:noWrap w:val="0"/>
            <w:vAlign w:val="center"/>
          </w:tcPr>
          <w:p w14:paraId="219E2BBA">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现场出入的大门应设有本企业标志或企业标识。</w:t>
            </w:r>
          </w:p>
        </w:tc>
      </w:tr>
      <w:tr w14:paraId="7056AB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59150DDE">
            <w:pPr>
              <w:pStyle w:val="64"/>
              <w:spacing w:line="300" w:lineRule="exact"/>
              <w:jc w:val="center"/>
              <w:rPr>
                <w:rFonts w:ascii="方正仿宋_GBK" w:eastAsia="方正仿宋_GBK"/>
                <w:color w:val="auto"/>
                <w:szCs w:val="21"/>
              </w:rPr>
            </w:pPr>
          </w:p>
        </w:tc>
        <w:tc>
          <w:tcPr>
            <w:tcW w:w="2070" w:type="dxa"/>
            <w:gridSpan w:val="2"/>
            <w:noWrap w:val="0"/>
            <w:vAlign w:val="center"/>
          </w:tcPr>
          <w:p w14:paraId="739FA912">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场容场貌</w:t>
            </w:r>
          </w:p>
        </w:tc>
        <w:tc>
          <w:tcPr>
            <w:tcW w:w="6645" w:type="dxa"/>
            <w:noWrap w:val="0"/>
            <w:vAlign w:val="center"/>
          </w:tcPr>
          <w:p w14:paraId="708EA880">
            <w:pPr>
              <w:pStyle w:val="64"/>
              <w:spacing w:line="300" w:lineRule="exact"/>
              <w:rPr>
                <w:rFonts w:ascii="方正仿宋_GBK" w:eastAsia="方正仿宋_GBK"/>
                <w:color w:val="auto"/>
                <w:szCs w:val="21"/>
              </w:rPr>
            </w:pPr>
            <w:r>
              <w:rPr>
                <w:rFonts w:ascii="方正仿宋_GBK" w:eastAsia="方正仿宋_GBK" w:cs="方正仿宋_GBK"/>
                <w:color w:val="auto"/>
                <w:szCs w:val="21"/>
              </w:rPr>
              <w:t xml:space="preserve">1. </w:t>
            </w:r>
            <w:r>
              <w:rPr>
                <w:rFonts w:hint="eastAsia" w:ascii="方正仿宋_GBK" w:eastAsia="方正仿宋_GBK" w:cs="方正仿宋_GBK"/>
                <w:color w:val="auto"/>
                <w:szCs w:val="21"/>
              </w:rPr>
              <w:t>道路畅通。</w:t>
            </w:r>
          </w:p>
          <w:p w14:paraId="3AF98663">
            <w:pPr>
              <w:pStyle w:val="64"/>
              <w:spacing w:line="300" w:lineRule="exact"/>
              <w:rPr>
                <w:rFonts w:ascii="方正仿宋_GBK" w:eastAsia="方正仿宋_GBK"/>
                <w:color w:val="auto"/>
                <w:szCs w:val="21"/>
              </w:rPr>
            </w:pPr>
            <w:r>
              <w:rPr>
                <w:rFonts w:ascii="方正仿宋_GBK" w:eastAsia="方正仿宋_GBK" w:cs="方正仿宋_GBK"/>
                <w:color w:val="auto"/>
                <w:szCs w:val="21"/>
              </w:rPr>
              <w:t xml:space="preserve">2. </w:t>
            </w:r>
            <w:r>
              <w:rPr>
                <w:rFonts w:hint="eastAsia" w:ascii="方正仿宋_GBK" w:eastAsia="方正仿宋_GBK" w:cs="方正仿宋_GBK"/>
                <w:color w:val="auto"/>
                <w:szCs w:val="21"/>
              </w:rPr>
              <w:t>排水设施齐全畅通。</w:t>
            </w:r>
          </w:p>
          <w:p w14:paraId="6FBD7140">
            <w:pPr>
              <w:pStyle w:val="64"/>
              <w:spacing w:line="300" w:lineRule="exact"/>
              <w:rPr>
                <w:rFonts w:ascii="方正仿宋_GBK" w:eastAsia="方正仿宋_GBK"/>
                <w:color w:val="auto"/>
                <w:szCs w:val="21"/>
              </w:rPr>
            </w:pPr>
            <w:r>
              <w:rPr>
                <w:rFonts w:ascii="方正仿宋_GBK" w:eastAsia="方正仿宋_GBK" w:cs="方正仿宋_GBK"/>
                <w:color w:val="auto"/>
                <w:szCs w:val="21"/>
              </w:rPr>
              <w:t xml:space="preserve">3. </w:t>
            </w:r>
            <w:r>
              <w:rPr>
                <w:rFonts w:hint="eastAsia" w:ascii="方正仿宋_GBK" w:eastAsia="方正仿宋_GBK" w:cs="方正仿宋_GBK"/>
                <w:color w:val="auto"/>
                <w:szCs w:val="21"/>
              </w:rPr>
              <w:t>工地地面硬化处理（办公区、生活区、现场道路、材料堆放、混凝土搅拌、砂浆搅拌、钢筋加工等场地和外脚手架基础等）。</w:t>
            </w:r>
          </w:p>
        </w:tc>
      </w:tr>
      <w:tr w14:paraId="1C5A14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74EFD4DD">
            <w:pPr>
              <w:pStyle w:val="64"/>
              <w:spacing w:line="300" w:lineRule="exact"/>
              <w:jc w:val="center"/>
              <w:rPr>
                <w:rFonts w:ascii="方正仿宋_GBK" w:eastAsia="方正仿宋_GBK"/>
                <w:color w:val="auto"/>
                <w:szCs w:val="21"/>
              </w:rPr>
            </w:pPr>
          </w:p>
        </w:tc>
        <w:tc>
          <w:tcPr>
            <w:tcW w:w="2070" w:type="dxa"/>
            <w:gridSpan w:val="2"/>
            <w:noWrap w:val="0"/>
            <w:vAlign w:val="center"/>
          </w:tcPr>
          <w:p w14:paraId="3052AA27">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材料堆放</w:t>
            </w:r>
          </w:p>
        </w:tc>
        <w:tc>
          <w:tcPr>
            <w:tcW w:w="6645" w:type="dxa"/>
            <w:noWrap w:val="0"/>
            <w:vAlign w:val="center"/>
          </w:tcPr>
          <w:p w14:paraId="73513819">
            <w:pPr>
              <w:pStyle w:val="64"/>
              <w:numPr>
                <w:ilvl w:val="0"/>
                <w:numId w:val="10"/>
              </w:numPr>
              <w:spacing w:line="300" w:lineRule="exact"/>
              <w:rPr>
                <w:rFonts w:ascii="方正仿宋_GBK" w:eastAsia="方正仿宋_GBK"/>
                <w:color w:val="auto"/>
                <w:szCs w:val="21"/>
              </w:rPr>
            </w:pPr>
            <w:r>
              <w:rPr>
                <w:rFonts w:hint="eastAsia" w:ascii="方正仿宋_GBK" w:eastAsia="方正仿宋_GBK" w:cs="方正仿宋_GBK"/>
                <w:color w:val="auto"/>
                <w:szCs w:val="21"/>
              </w:rPr>
              <w:t>材料、构件、料具等堆放时，应有名称、品种、规格等标牌。</w:t>
            </w:r>
          </w:p>
          <w:p w14:paraId="77D18942">
            <w:pPr>
              <w:pStyle w:val="64"/>
              <w:spacing w:line="300" w:lineRule="exact"/>
              <w:rPr>
                <w:rFonts w:ascii="方正仿宋_GBK" w:eastAsia="方正仿宋_GBK"/>
                <w:color w:val="auto"/>
                <w:szCs w:val="21"/>
              </w:rPr>
            </w:pPr>
            <w:r>
              <w:rPr>
                <w:rFonts w:ascii="方正仿宋_GBK" w:eastAsia="方正仿宋_GBK" w:cs="方正仿宋_GBK"/>
                <w:color w:val="auto"/>
                <w:szCs w:val="21"/>
              </w:rPr>
              <w:t xml:space="preserve">2. </w:t>
            </w:r>
            <w:r>
              <w:rPr>
                <w:rFonts w:hint="eastAsia" w:ascii="方正仿宋_GBK" w:eastAsia="方正仿宋_GBK" w:cs="方正仿宋_GBK"/>
                <w:color w:val="auto"/>
                <w:szCs w:val="21"/>
              </w:rPr>
              <w:t>水泥和其它易飞扬细颗粒建筑材料应封闭存放或采取覆盖等措施。</w:t>
            </w:r>
          </w:p>
          <w:p w14:paraId="3BE3E97C">
            <w:pPr>
              <w:pStyle w:val="64"/>
              <w:spacing w:line="300" w:lineRule="exact"/>
              <w:rPr>
                <w:rFonts w:ascii="方正仿宋_GBK" w:eastAsia="方正仿宋_GBK"/>
                <w:color w:val="auto"/>
                <w:szCs w:val="21"/>
              </w:rPr>
            </w:pPr>
            <w:r>
              <w:rPr>
                <w:rFonts w:ascii="方正仿宋_GBK" w:eastAsia="方正仿宋_GBK" w:cs="方正仿宋_GBK"/>
                <w:color w:val="auto"/>
                <w:szCs w:val="21"/>
              </w:rPr>
              <w:t xml:space="preserve">3. </w:t>
            </w:r>
            <w:r>
              <w:rPr>
                <w:rFonts w:hint="eastAsia" w:ascii="方正仿宋_GBK" w:eastAsia="方正仿宋_GBK" w:cs="方正仿宋_GBK"/>
                <w:color w:val="auto"/>
                <w:szCs w:val="21"/>
              </w:rPr>
              <w:t>易燃、易爆和有毒有害物品分类存放。</w:t>
            </w:r>
          </w:p>
        </w:tc>
      </w:tr>
      <w:tr w14:paraId="249C91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7E89B62D">
            <w:pPr>
              <w:pStyle w:val="64"/>
              <w:spacing w:line="300" w:lineRule="exact"/>
              <w:jc w:val="center"/>
              <w:rPr>
                <w:rFonts w:ascii="方正仿宋_GBK" w:eastAsia="方正仿宋_GBK"/>
                <w:color w:val="auto"/>
                <w:szCs w:val="21"/>
              </w:rPr>
            </w:pPr>
          </w:p>
        </w:tc>
        <w:tc>
          <w:tcPr>
            <w:tcW w:w="2070" w:type="dxa"/>
            <w:gridSpan w:val="2"/>
            <w:noWrap w:val="0"/>
            <w:vAlign w:val="center"/>
          </w:tcPr>
          <w:p w14:paraId="71244FF9">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现场防火</w:t>
            </w:r>
          </w:p>
        </w:tc>
        <w:tc>
          <w:tcPr>
            <w:tcW w:w="6645" w:type="dxa"/>
            <w:noWrap w:val="0"/>
            <w:vAlign w:val="center"/>
          </w:tcPr>
          <w:p w14:paraId="08F9952D">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消防器材配置合理，符合消防要求。</w:t>
            </w:r>
          </w:p>
        </w:tc>
      </w:tr>
      <w:tr w14:paraId="5A9EF2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8991D89">
            <w:pPr>
              <w:pStyle w:val="64"/>
              <w:spacing w:line="300" w:lineRule="exact"/>
              <w:jc w:val="center"/>
              <w:rPr>
                <w:rFonts w:ascii="方正仿宋_GBK" w:eastAsia="方正仿宋_GBK"/>
                <w:color w:val="auto"/>
                <w:szCs w:val="21"/>
              </w:rPr>
            </w:pPr>
          </w:p>
        </w:tc>
        <w:tc>
          <w:tcPr>
            <w:tcW w:w="2070" w:type="dxa"/>
            <w:gridSpan w:val="2"/>
            <w:noWrap w:val="0"/>
            <w:vAlign w:val="center"/>
          </w:tcPr>
          <w:p w14:paraId="340C4B83">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垃圾清运</w:t>
            </w:r>
          </w:p>
        </w:tc>
        <w:tc>
          <w:tcPr>
            <w:tcW w:w="6645" w:type="dxa"/>
            <w:noWrap w:val="0"/>
            <w:vAlign w:val="center"/>
          </w:tcPr>
          <w:p w14:paraId="086208B7">
            <w:pPr>
              <w:pStyle w:val="64"/>
              <w:spacing w:line="300" w:lineRule="exact"/>
              <w:rPr>
                <w:rFonts w:ascii="方正仿宋_GBK" w:eastAsia="方正仿宋_GBK"/>
                <w:color w:val="auto"/>
                <w:szCs w:val="21"/>
              </w:rPr>
            </w:pPr>
            <w:r>
              <w:rPr>
                <w:rFonts w:ascii="方正仿宋_GBK" w:eastAsia="方正仿宋_GBK" w:cs="方正仿宋_GBK"/>
                <w:color w:val="auto"/>
                <w:szCs w:val="21"/>
              </w:rPr>
              <w:t xml:space="preserve">1. </w:t>
            </w:r>
            <w:r>
              <w:rPr>
                <w:rFonts w:hint="eastAsia" w:ascii="方正仿宋_GBK" w:eastAsia="方正仿宋_GBK" w:cs="方正仿宋_GBK"/>
                <w:color w:val="auto"/>
                <w:szCs w:val="21"/>
              </w:rPr>
              <w:t>施工现场应设置密闭式垃圾站，施工垃圾、生活垃圾应分类存放。</w:t>
            </w:r>
          </w:p>
          <w:p w14:paraId="5D8BC058">
            <w:pPr>
              <w:pStyle w:val="64"/>
              <w:spacing w:line="300" w:lineRule="exact"/>
              <w:rPr>
                <w:rFonts w:ascii="方正仿宋_GBK" w:eastAsia="方正仿宋_GBK"/>
                <w:color w:val="auto"/>
                <w:szCs w:val="21"/>
              </w:rPr>
            </w:pPr>
            <w:r>
              <w:rPr>
                <w:rFonts w:ascii="方正仿宋_GBK" w:eastAsia="方正仿宋_GBK" w:cs="方正仿宋_GBK"/>
                <w:color w:val="auto"/>
                <w:szCs w:val="21"/>
              </w:rPr>
              <w:t xml:space="preserve">2. </w:t>
            </w:r>
            <w:r>
              <w:rPr>
                <w:rFonts w:hint="eastAsia" w:ascii="方正仿宋_GBK" w:eastAsia="方正仿宋_GBK" w:cs="方正仿宋_GBK"/>
                <w:color w:val="auto"/>
                <w:szCs w:val="21"/>
              </w:rPr>
              <w:t>施工垃圾必须采用相应容器或管道运输。</w:t>
            </w:r>
          </w:p>
        </w:tc>
      </w:tr>
      <w:tr w14:paraId="23D455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5A25494">
            <w:pPr>
              <w:pStyle w:val="64"/>
              <w:spacing w:line="300" w:lineRule="exact"/>
              <w:jc w:val="center"/>
              <w:rPr>
                <w:rFonts w:ascii="方正仿宋_GBK" w:eastAsia="方正仿宋_GBK"/>
                <w:color w:val="auto"/>
                <w:szCs w:val="21"/>
              </w:rPr>
            </w:pPr>
          </w:p>
        </w:tc>
        <w:tc>
          <w:tcPr>
            <w:tcW w:w="2070" w:type="dxa"/>
            <w:gridSpan w:val="2"/>
            <w:noWrap w:val="0"/>
            <w:vAlign w:val="center"/>
          </w:tcPr>
          <w:p w14:paraId="17D3F3A4">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宣传栏、环保及不扰民措施</w:t>
            </w:r>
          </w:p>
        </w:tc>
        <w:tc>
          <w:tcPr>
            <w:tcW w:w="6645" w:type="dxa"/>
            <w:noWrap w:val="0"/>
            <w:vAlign w:val="center"/>
          </w:tcPr>
          <w:p w14:paraId="74D64A19">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宣传栏、安全宣传标语等，洗车（防止污染市区道路）、粉尘、噪声控制和排污（污水、废气）措施等。</w:t>
            </w:r>
          </w:p>
        </w:tc>
      </w:tr>
      <w:tr w14:paraId="3555AB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22335E84">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临时设施</w:t>
            </w:r>
          </w:p>
        </w:tc>
        <w:tc>
          <w:tcPr>
            <w:tcW w:w="2070" w:type="dxa"/>
            <w:gridSpan w:val="2"/>
            <w:noWrap w:val="0"/>
            <w:vAlign w:val="center"/>
          </w:tcPr>
          <w:p w14:paraId="5F319D74">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现场办公</w:t>
            </w:r>
          </w:p>
          <w:p w14:paraId="5A7C8C08">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生活设施</w:t>
            </w:r>
          </w:p>
        </w:tc>
        <w:tc>
          <w:tcPr>
            <w:tcW w:w="6645" w:type="dxa"/>
            <w:noWrap w:val="0"/>
            <w:vAlign w:val="center"/>
          </w:tcPr>
          <w:p w14:paraId="078F9F43">
            <w:pPr>
              <w:pStyle w:val="64"/>
              <w:spacing w:line="300" w:lineRule="exact"/>
              <w:rPr>
                <w:rFonts w:ascii="方正仿宋_GBK" w:eastAsia="方正仿宋_GBK"/>
                <w:color w:val="auto"/>
                <w:szCs w:val="21"/>
              </w:rPr>
            </w:pPr>
            <w:r>
              <w:rPr>
                <w:rFonts w:ascii="方正仿宋_GBK" w:eastAsia="方正仿宋_GBK" w:cs="方正仿宋_GBK"/>
                <w:color w:val="auto"/>
                <w:szCs w:val="21"/>
              </w:rPr>
              <w:t xml:space="preserve">1. </w:t>
            </w:r>
            <w:r>
              <w:rPr>
                <w:rFonts w:hint="eastAsia" w:ascii="方正仿宋_GBK" w:eastAsia="方正仿宋_GBK" w:cs="方正仿宋_GBK"/>
                <w:color w:val="auto"/>
                <w:szCs w:val="21"/>
              </w:rPr>
              <w:t>施工现场办公、生活区与作业区分开设置，保持安全距离。</w:t>
            </w:r>
          </w:p>
          <w:p w14:paraId="5C09DBC8">
            <w:pPr>
              <w:pStyle w:val="64"/>
              <w:spacing w:line="300" w:lineRule="exact"/>
              <w:rPr>
                <w:rFonts w:ascii="方正仿宋_GBK" w:eastAsia="方正仿宋_GBK"/>
                <w:color w:val="auto"/>
                <w:szCs w:val="21"/>
              </w:rPr>
            </w:pPr>
            <w:r>
              <w:rPr>
                <w:rFonts w:ascii="方正仿宋_GBK" w:eastAsia="方正仿宋_GBK" w:cs="方正仿宋_GBK"/>
                <w:color w:val="auto"/>
                <w:szCs w:val="21"/>
              </w:rPr>
              <w:t xml:space="preserve">2. </w:t>
            </w:r>
            <w:r>
              <w:rPr>
                <w:rFonts w:hint="eastAsia" w:ascii="方正仿宋_GBK" w:eastAsia="方正仿宋_GBK" w:cs="方正仿宋_GBK"/>
                <w:color w:val="auto"/>
                <w:szCs w:val="21"/>
              </w:rPr>
              <w:t>工地办公室、现场宿舍、食堂、厕所、饮水、沐浴、休息场所等符合卫生、消防安全要求。</w:t>
            </w:r>
          </w:p>
        </w:tc>
      </w:tr>
      <w:tr w14:paraId="6D9DE1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4DD1F36D">
            <w:pPr>
              <w:pStyle w:val="64"/>
              <w:spacing w:line="300" w:lineRule="exact"/>
              <w:jc w:val="center"/>
              <w:rPr>
                <w:rFonts w:ascii="方正仿宋_GBK" w:eastAsia="方正仿宋_GBK"/>
                <w:color w:val="auto"/>
                <w:szCs w:val="21"/>
              </w:rPr>
            </w:pPr>
          </w:p>
        </w:tc>
        <w:tc>
          <w:tcPr>
            <w:tcW w:w="525" w:type="dxa"/>
            <w:vMerge w:val="restart"/>
            <w:noWrap w:val="0"/>
            <w:vAlign w:val="center"/>
          </w:tcPr>
          <w:p w14:paraId="17735D14">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施工现场</w:t>
            </w:r>
          </w:p>
          <w:p w14:paraId="1551B125">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临时用电</w:t>
            </w:r>
          </w:p>
        </w:tc>
        <w:tc>
          <w:tcPr>
            <w:tcW w:w="1545" w:type="dxa"/>
            <w:noWrap w:val="0"/>
            <w:vAlign w:val="center"/>
          </w:tcPr>
          <w:p w14:paraId="736FC8B8">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配电线路</w:t>
            </w:r>
          </w:p>
        </w:tc>
        <w:tc>
          <w:tcPr>
            <w:tcW w:w="6645" w:type="dxa"/>
            <w:noWrap w:val="0"/>
            <w:vAlign w:val="center"/>
          </w:tcPr>
          <w:p w14:paraId="1912EE74">
            <w:pPr>
              <w:pStyle w:val="64"/>
              <w:spacing w:line="300" w:lineRule="exact"/>
              <w:rPr>
                <w:rFonts w:ascii="方正仿宋_GBK" w:eastAsia="方正仿宋_GBK"/>
                <w:color w:val="auto"/>
                <w:szCs w:val="21"/>
              </w:rPr>
            </w:pPr>
            <w:r>
              <w:rPr>
                <w:rFonts w:ascii="方正仿宋_GBK" w:eastAsia="方正仿宋_GBK" w:cs="方正仿宋_GBK"/>
                <w:color w:val="auto"/>
                <w:szCs w:val="21"/>
              </w:rPr>
              <w:t xml:space="preserve">1. </w:t>
            </w:r>
            <w:r>
              <w:rPr>
                <w:rFonts w:hint="eastAsia" w:ascii="方正仿宋_GBK" w:eastAsia="方正仿宋_GBK" w:cs="方正仿宋_GBK"/>
                <w:color w:val="auto"/>
                <w:szCs w:val="21"/>
              </w:rPr>
              <w:t>按照</w:t>
            </w:r>
            <w:r>
              <w:rPr>
                <w:rFonts w:ascii="方正仿宋_GBK" w:eastAsia="方正仿宋_GBK" w:cs="方正仿宋_GBK"/>
                <w:color w:val="auto"/>
                <w:szCs w:val="21"/>
              </w:rPr>
              <w:t>TN-S</w:t>
            </w:r>
            <w:r>
              <w:rPr>
                <w:rFonts w:hint="eastAsia" w:ascii="方正仿宋_GBK" w:eastAsia="方正仿宋_GBK" w:cs="方正仿宋_GBK"/>
                <w:color w:val="auto"/>
                <w:szCs w:val="21"/>
              </w:rPr>
              <w:t>系统要求配备五芯电缆、四芯电缆和三芯电缆。</w:t>
            </w:r>
          </w:p>
          <w:p w14:paraId="7A49A8E7">
            <w:pPr>
              <w:pStyle w:val="64"/>
              <w:spacing w:line="300" w:lineRule="exact"/>
              <w:rPr>
                <w:rFonts w:ascii="方正仿宋_GBK" w:eastAsia="方正仿宋_GBK"/>
                <w:color w:val="auto"/>
                <w:szCs w:val="21"/>
              </w:rPr>
            </w:pPr>
            <w:r>
              <w:rPr>
                <w:rFonts w:ascii="方正仿宋_GBK" w:eastAsia="方正仿宋_GBK" w:cs="方正仿宋_GBK"/>
                <w:color w:val="auto"/>
                <w:szCs w:val="21"/>
              </w:rPr>
              <w:t xml:space="preserve">2. </w:t>
            </w:r>
            <w:r>
              <w:rPr>
                <w:rFonts w:hint="eastAsia" w:ascii="方正仿宋_GBK" w:eastAsia="方正仿宋_GBK" w:cs="方正仿宋_GBK"/>
                <w:color w:val="auto"/>
                <w:szCs w:val="21"/>
              </w:rPr>
              <w:t>按要求架设临时用电线路的电杆、横担、瓷夹、瓷瓶等，或电缆埋地的地沟。</w:t>
            </w:r>
          </w:p>
          <w:p w14:paraId="4B87BB0F">
            <w:pPr>
              <w:pStyle w:val="64"/>
              <w:spacing w:line="300" w:lineRule="exact"/>
              <w:rPr>
                <w:rFonts w:ascii="方正仿宋_GBK" w:eastAsia="方正仿宋_GBK"/>
                <w:color w:val="auto"/>
                <w:szCs w:val="21"/>
              </w:rPr>
            </w:pPr>
            <w:r>
              <w:rPr>
                <w:rFonts w:ascii="方正仿宋_GBK" w:eastAsia="方正仿宋_GBK" w:cs="方正仿宋_GBK"/>
                <w:color w:val="auto"/>
                <w:szCs w:val="21"/>
              </w:rPr>
              <w:t xml:space="preserve">3. </w:t>
            </w:r>
            <w:r>
              <w:rPr>
                <w:rFonts w:hint="eastAsia" w:ascii="方正仿宋_GBK" w:eastAsia="方正仿宋_GBK" w:cs="方正仿宋_GBK"/>
                <w:color w:val="auto"/>
                <w:szCs w:val="21"/>
              </w:rPr>
              <w:t>对靠近施工现场的外电线路，设置木质、塑料等绝缘体的防护设施。</w:t>
            </w:r>
          </w:p>
        </w:tc>
      </w:tr>
      <w:tr w14:paraId="2B3F28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353C0F43">
            <w:pPr>
              <w:pStyle w:val="64"/>
              <w:spacing w:line="300" w:lineRule="exact"/>
              <w:jc w:val="center"/>
              <w:rPr>
                <w:rFonts w:ascii="方正仿宋_GBK" w:eastAsia="方正仿宋_GBK"/>
                <w:color w:val="auto"/>
                <w:szCs w:val="21"/>
              </w:rPr>
            </w:pPr>
          </w:p>
        </w:tc>
        <w:tc>
          <w:tcPr>
            <w:tcW w:w="525" w:type="dxa"/>
            <w:vMerge w:val="continue"/>
            <w:noWrap w:val="0"/>
            <w:vAlign w:val="center"/>
          </w:tcPr>
          <w:p w14:paraId="0CBFA13C">
            <w:pPr>
              <w:pStyle w:val="64"/>
              <w:spacing w:line="300" w:lineRule="exact"/>
              <w:jc w:val="center"/>
              <w:rPr>
                <w:rFonts w:ascii="方正仿宋_GBK" w:eastAsia="方正仿宋_GBK"/>
                <w:color w:val="auto"/>
                <w:szCs w:val="21"/>
              </w:rPr>
            </w:pPr>
          </w:p>
        </w:tc>
        <w:tc>
          <w:tcPr>
            <w:tcW w:w="1545" w:type="dxa"/>
            <w:noWrap w:val="0"/>
            <w:vAlign w:val="center"/>
          </w:tcPr>
          <w:p w14:paraId="1C564196">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配电箱</w:t>
            </w:r>
          </w:p>
          <w:p w14:paraId="54EF5B46">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开关箱</w:t>
            </w:r>
          </w:p>
        </w:tc>
        <w:tc>
          <w:tcPr>
            <w:tcW w:w="6645" w:type="dxa"/>
            <w:noWrap w:val="0"/>
            <w:vAlign w:val="center"/>
          </w:tcPr>
          <w:p w14:paraId="1CA41CE7">
            <w:pPr>
              <w:pStyle w:val="64"/>
              <w:spacing w:line="300" w:lineRule="exact"/>
              <w:rPr>
                <w:rFonts w:ascii="方正仿宋_GBK" w:eastAsia="方正仿宋_GBK"/>
                <w:color w:val="auto"/>
                <w:szCs w:val="21"/>
              </w:rPr>
            </w:pPr>
            <w:r>
              <w:rPr>
                <w:rFonts w:ascii="方正仿宋_GBK" w:eastAsia="方正仿宋_GBK" w:cs="方正仿宋_GBK"/>
                <w:color w:val="auto"/>
                <w:szCs w:val="21"/>
              </w:rPr>
              <w:t xml:space="preserve">1. </w:t>
            </w:r>
            <w:r>
              <w:rPr>
                <w:rFonts w:hint="eastAsia" w:ascii="方正仿宋_GBK" w:eastAsia="方正仿宋_GBK" w:cs="方正仿宋_GBK"/>
                <w:color w:val="auto"/>
                <w:szCs w:val="21"/>
              </w:rPr>
              <w:t>按三级配电要求，配备总配电箱、分配电箱、开关箱三类（铁质）标准电箱，开关箱应符合“一机、一箱、一闸、一漏”，三类电箱中的各类电器应是合格品。</w:t>
            </w:r>
          </w:p>
          <w:p w14:paraId="17850454">
            <w:pPr>
              <w:pStyle w:val="64"/>
              <w:spacing w:line="300" w:lineRule="exact"/>
              <w:rPr>
                <w:rFonts w:ascii="方正仿宋_GBK" w:eastAsia="方正仿宋_GBK"/>
                <w:color w:val="auto"/>
                <w:szCs w:val="21"/>
              </w:rPr>
            </w:pPr>
            <w:r>
              <w:rPr>
                <w:rFonts w:ascii="方正仿宋_GBK" w:eastAsia="方正仿宋_GBK" w:cs="方正仿宋_GBK"/>
                <w:color w:val="auto"/>
                <w:szCs w:val="21"/>
              </w:rPr>
              <w:t xml:space="preserve">2. </w:t>
            </w:r>
            <w:r>
              <w:rPr>
                <w:rFonts w:hint="eastAsia" w:ascii="方正仿宋_GBK" w:eastAsia="方正仿宋_GBK" w:cs="方正仿宋_GBK"/>
                <w:color w:val="auto"/>
                <w:szCs w:val="21"/>
              </w:rPr>
              <w:t>按两级保护的要求，选取符合容量要求和质量合格的总配电箱和开关箱中的漏电保护器。</w:t>
            </w:r>
          </w:p>
          <w:p w14:paraId="32CBBB27">
            <w:pPr>
              <w:pStyle w:val="64"/>
              <w:spacing w:line="300" w:lineRule="exact"/>
              <w:rPr>
                <w:rFonts w:ascii="方正仿宋_GBK" w:eastAsia="方正仿宋_GBK"/>
                <w:color w:val="auto"/>
                <w:szCs w:val="21"/>
              </w:rPr>
            </w:pPr>
            <w:r>
              <w:rPr>
                <w:rFonts w:ascii="方正仿宋_GBK" w:eastAsia="方正仿宋_GBK" w:cs="方正仿宋_GBK"/>
                <w:color w:val="auto"/>
                <w:szCs w:val="21"/>
              </w:rPr>
              <w:t xml:space="preserve">3. </w:t>
            </w:r>
            <w:r>
              <w:rPr>
                <w:rFonts w:hint="eastAsia" w:ascii="方正仿宋_GBK" w:eastAsia="方正仿宋_GBK" w:cs="方正仿宋_GBK"/>
                <w:color w:val="auto"/>
                <w:szCs w:val="21"/>
              </w:rPr>
              <w:t>对大型、落地式分配电箱、开关箱设置防护棚和通透式围挡。</w:t>
            </w:r>
          </w:p>
        </w:tc>
      </w:tr>
      <w:tr w14:paraId="6A456A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75" w:hRule="atLeast"/>
        </w:trPr>
        <w:tc>
          <w:tcPr>
            <w:tcW w:w="738" w:type="dxa"/>
            <w:vMerge w:val="continue"/>
            <w:noWrap w:val="0"/>
            <w:vAlign w:val="center"/>
          </w:tcPr>
          <w:p w14:paraId="373DABDA">
            <w:pPr>
              <w:pStyle w:val="64"/>
              <w:spacing w:line="300" w:lineRule="exact"/>
              <w:jc w:val="center"/>
              <w:rPr>
                <w:rFonts w:ascii="方正仿宋_GBK" w:eastAsia="方正仿宋_GBK"/>
                <w:color w:val="auto"/>
                <w:szCs w:val="21"/>
              </w:rPr>
            </w:pPr>
          </w:p>
        </w:tc>
        <w:tc>
          <w:tcPr>
            <w:tcW w:w="525" w:type="dxa"/>
            <w:vMerge w:val="continue"/>
            <w:noWrap w:val="0"/>
            <w:vAlign w:val="center"/>
          </w:tcPr>
          <w:p w14:paraId="68171E95">
            <w:pPr>
              <w:pStyle w:val="64"/>
              <w:spacing w:line="300" w:lineRule="exact"/>
              <w:jc w:val="center"/>
              <w:rPr>
                <w:rFonts w:ascii="方正仿宋_GBK" w:eastAsia="方正仿宋_GBK"/>
                <w:color w:val="auto"/>
                <w:szCs w:val="21"/>
              </w:rPr>
            </w:pPr>
          </w:p>
        </w:tc>
        <w:tc>
          <w:tcPr>
            <w:tcW w:w="1545" w:type="dxa"/>
            <w:noWrap w:val="0"/>
            <w:vAlign w:val="center"/>
          </w:tcPr>
          <w:p w14:paraId="62CC353D">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接地装置</w:t>
            </w:r>
          </w:p>
        </w:tc>
        <w:tc>
          <w:tcPr>
            <w:tcW w:w="6645" w:type="dxa"/>
            <w:noWrap w:val="0"/>
            <w:vAlign w:val="center"/>
          </w:tcPr>
          <w:p w14:paraId="6610F69B">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施工现场应设置不少于三处的重复接地装置。</w:t>
            </w:r>
          </w:p>
        </w:tc>
      </w:tr>
      <w:tr w14:paraId="7666BB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16" w:hRule="atLeast"/>
        </w:trPr>
        <w:tc>
          <w:tcPr>
            <w:tcW w:w="738" w:type="dxa"/>
            <w:vMerge w:val="continue"/>
            <w:noWrap w:val="0"/>
            <w:vAlign w:val="center"/>
          </w:tcPr>
          <w:p w14:paraId="1A4EB8D5">
            <w:pPr>
              <w:pStyle w:val="64"/>
              <w:spacing w:line="300" w:lineRule="exact"/>
              <w:jc w:val="center"/>
              <w:rPr>
                <w:rFonts w:ascii="方正仿宋_GBK" w:eastAsia="方正仿宋_GBK"/>
                <w:color w:val="auto"/>
                <w:szCs w:val="21"/>
              </w:rPr>
            </w:pPr>
          </w:p>
        </w:tc>
        <w:tc>
          <w:tcPr>
            <w:tcW w:w="525" w:type="dxa"/>
            <w:vMerge w:val="continue"/>
            <w:noWrap w:val="0"/>
            <w:vAlign w:val="center"/>
          </w:tcPr>
          <w:p w14:paraId="57A36BDE">
            <w:pPr>
              <w:pStyle w:val="64"/>
              <w:spacing w:line="300" w:lineRule="exact"/>
              <w:jc w:val="center"/>
              <w:rPr>
                <w:rFonts w:ascii="方正仿宋_GBK" w:eastAsia="方正仿宋_GBK"/>
                <w:color w:val="auto"/>
                <w:szCs w:val="21"/>
              </w:rPr>
            </w:pPr>
          </w:p>
        </w:tc>
        <w:tc>
          <w:tcPr>
            <w:tcW w:w="1545" w:type="dxa"/>
            <w:noWrap w:val="0"/>
            <w:vAlign w:val="center"/>
          </w:tcPr>
          <w:p w14:paraId="2EB801E5">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现场变配电装置</w:t>
            </w:r>
          </w:p>
        </w:tc>
        <w:tc>
          <w:tcPr>
            <w:tcW w:w="6645" w:type="dxa"/>
            <w:noWrap w:val="0"/>
            <w:vAlign w:val="center"/>
          </w:tcPr>
          <w:p w14:paraId="0BADD716">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总配电房建筑材料必须达到消防防火要求，室内做硬地坪、电缆沟。</w:t>
            </w:r>
          </w:p>
        </w:tc>
      </w:tr>
      <w:tr w14:paraId="4783EE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738" w:type="dxa"/>
            <w:noWrap w:val="0"/>
            <w:vAlign w:val="center"/>
          </w:tcPr>
          <w:p w14:paraId="10F07D16">
            <w:pPr>
              <w:pStyle w:val="64"/>
              <w:spacing w:line="300" w:lineRule="exact"/>
              <w:jc w:val="center"/>
              <w:rPr>
                <w:rFonts w:ascii="方正仿宋_GBK" w:eastAsia="方正仿宋_GBK"/>
                <w:b/>
                <w:bCs/>
                <w:color w:val="auto"/>
                <w:szCs w:val="21"/>
              </w:rPr>
            </w:pPr>
            <w:r>
              <w:rPr>
                <w:rFonts w:hint="eastAsia" w:ascii="方正仿宋_GBK" w:eastAsia="方正仿宋_GBK" w:cs="方正仿宋_GBK"/>
                <w:b/>
                <w:bCs/>
                <w:color w:val="auto"/>
                <w:szCs w:val="21"/>
              </w:rPr>
              <w:t>类别</w:t>
            </w:r>
          </w:p>
        </w:tc>
        <w:tc>
          <w:tcPr>
            <w:tcW w:w="2070" w:type="dxa"/>
            <w:gridSpan w:val="2"/>
            <w:noWrap w:val="0"/>
            <w:vAlign w:val="center"/>
          </w:tcPr>
          <w:p w14:paraId="58C22E6C">
            <w:pPr>
              <w:pStyle w:val="64"/>
              <w:spacing w:line="300" w:lineRule="exact"/>
              <w:jc w:val="center"/>
              <w:rPr>
                <w:rFonts w:ascii="方正仿宋_GBK" w:eastAsia="方正仿宋_GBK"/>
                <w:b/>
                <w:bCs/>
                <w:color w:val="auto"/>
                <w:szCs w:val="21"/>
              </w:rPr>
            </w:pPr>
            <w:r>
              <w:rPr>
                <w:rFonts w:hint="eastAsia" w:ascii="方正仿宋_GBK" w:eastAsia="方正仿宋_GBK" w:cs="方正仿宋_GBK"/>
                <w:b/>
                <w:bCs/>
                <w:color w:val="auto"/>
                <w:szCs w:val="21"/>
              </w:rPr>
              <w:t>项目名称</w:t>
            </w:r>
          </w:p>
        </w:tc>
        <w:tc>
          <w:tcPr>
            <w:tcW w:w="6645" w:type="dxa"/>
            <w:noWrap w:val="0"/>
            <w:vAlign w:val="center"/>
          </w:tcPr>
          <w:p w14:paraId="221A43DE">
            <w:pPr>
              <w:pStyle w:val="64"/>
              <w:spacing w:line="300" w:lineRule="exact"/>
              <w:jc w:val="center"/>
              <w:rPr>
                <w:rFonts w:ascii="方正仿宋_GBK" w:eastAsia="方正仿宋_GBK"/>
                <w:b/>
                <w:bCs/>
                <w:color w:val="auto"/>
                <w:szCs w:val="21"/>
              </w:rPr>
            </w:pPr>
            <w:r>
              <w:rPr>
                <w:rFonts w:hint="eastAsia" w:ascii="方正仿宋_GBK" w:eastAsia="方正仿宋_GBK" w:cs="方正仿宋_GBK"/>
                <w:b/>
                <w:bCs/>
                <w:color w:val="auto"/>
                <w:szCs w:val="21"/>
              </w:rPr>
              <w:t>主要内容和要求</w:t>
            </w:r>
          </w:p>
        </w:tc>
      </w:tr>
      <w:tr w14:paraId="1156BE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5732AE86">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安全施工</w:t>
            </w:r>
          </w:p>
        </w:tc>
        <w:tc>
          <w:tcPr>
            <w:tcW w:w="525" w:type="dxa"/>
            <w:vMerge w:val="restart"/>
            <w:noWrap w:val="0"/>
            <w:vAlign w:val="center"/>
          </w:tcPr>
          <w:p w14:paraId="7AFE21D6">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高处作业防护</w:t>
            </w:r>
          </w:p>
        </w:tc>
        <w:tc>
          <w:tcPr>
            <w:tcW w:w="1545" w:type="dxa"/>
            <w:noWrap w:val="0"/>
            <w:vAlign w:val="center"/>
          </w:tcPr>
          <w:p w14:paraId="4004253B">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楼层、屋面、阳台等临边</w:t>
            </w:r>
          </w:p>
        </w:tc>
        <w:tc>
          <w:tcPr>
            <w:tcW w:w="6645" w:type="dxa"/>
            <w:noWrap w:val="0"/>
            <w:vAlign w:val="center"/>
          </w:tcPr>
          <w:p w14:paraId="403990CF">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设两道防护栏杆和</w:t>
            </w:r>
            <w:r>
              <w:rPr>
                <w:rFonts w:ascii="方正仿宋_GBK" w:eastAsia="方正仿宋_GBK" w:cs="方正仿宋_GBK"/>
                <w:color w:val="auto"/>
                <w:szCs w:val="21"/>
              </w:rPr>
              <w:t>18cm</w:t>
            </w:r>
            <w:r>
              <w:rPr>
                <w:rFonts w:hint="eastAsia" w:ascii="方正仿宋_GBK" w:eastAsia="方正仿宋_GBK" w:cs="方正仿宋_GBK"/>
                <w:color w:val="auto"/>
                <w:szCs w:val="21"/>
              </w:rPr>
              <w:t>高的踢脚板，用密目式安全立网全封闭。</w:t>
            </w:r>
          </w:p>
        </w:tc>
      </w:tr>
      <w:tr w14:paraId="77C6E1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6148C126">
            <w:pPr>
              <w:pStyle w:val="64"/>
              <w:spacing w:line="300" w:lineRule="exact"/>
              <w:jc w:val="center"/>
              <w:rPr>
                <w:rFonts w:ascii="方正仿宋_GBK" w:eastAsia="方正仿宋_GBK"/>
                <w:color w:val="auto"/>
                <w:szCs w:val="21"/>
              </w:rPr>
            </w:pPr>
          </w:p>
        </w:tc>
        <w:tc>
          <w:tcPr>
            <w:tcW w:w="525" w:type="dxa"/>
            <w:vMerge w:val="continue"/>
            <w:noWrap w:val="0"/>
            <w:vAlign w:val="center"/>
          </w:tcPr>
          <w:p w14:paraId="10138CCA">
            <w:pPr>
              <w:pStyle w:val="64"/>
              <w:spacing w:line="300" w:lineRule="exact"/>
              <w:jc w:val="center"/>
              <w:rPr>
                <w:rFonts w:ascii="方正仿宋_GBK" w:eastAsia="方正仿宋_GBK"/>
                <w:color w:val="auto"/>
                <w:szCs w:val="21"/>
              </w:rPr>
            </w:pPr>
          </w:p>
        </w:tc>
        <w:tc>
          <w:tcPr>
            <w:tcW w:w="1545" w:type="dxa"/>
            <w:noWrap w:val="0"/>
            <w:vAlign w:val="center"/>
          </w:tcPr>
          <w:p w14:paraId="3C6767DF">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通道口</w:t>
            </w:r>
          </w:p>
        </w:tc>
        <w:tc>
          <w:tcPr>
            <w:tcW w:w="6645" w:type="dxa"/>
            <w:noWrap w:val="0"/>
            <w:vAlign w:val="center"/>
          </w:tcPr>
          <w:p w14:paraId="2D5BCCDF">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设防护棚，防护棚应为不小于</w:t>
            </w:r>
            <w:r>
              <w:rPr>
                <w:rFonts w:ascii="方正仿宋_GBK" w:eastAsia="方正仿宋_GBK" w:cs="方正仿宋_GBK"/>
                <w:color w:val="auto"/>
                <w:szCs w:val="21"/>
              </w:rPr>
              <w:t>5cm</w:t>
            </w:r>
            <w:r>
              <w:rPr>
                <w:rFonts w:hint="eastAsia" w:ascii="方正仿宋_GBK" w:eastAsia="方正仿宋_GBK" w:cs="方正仿宋_GBK"/>
                <w:color w:val="auto"/>
                <w:szCs w:val="21"/>
              </w:rPr>
              <w:t>厚的木板或两道相距</w:t>
            </w:r>
            <w:r>
              <w:rPr>
                <w:rFonts w:ascii="方正仿宋_GBK" w:eastAsia="方正仿宋_GBK" w:cs="方正仿宋_GBK"/>
                <w:color w:val="auto"/>
                <w:szCs w:val="21"/>
              </w:rPr>
              <w:t>50cm</w:t>
            </w:r>
            <w:r>
              <w:rPr>
                <w:rFonts w:hint="eastAsia" w:ascii="方正仿宋_GBK" w:eastAsia="方正仿宋_GBK" w:cs="方正仿宋_GBK"/>
                <w:color w:val="auto"/>
                <w:szCs w:val="21"/>
              </w:rPr>
              <w:t>的竹笆。两侧应沿栏杆架用密目式安全网封闭。</w:t>
            </w:r>
          </w:p>
        </w:tc>
      </w:tr>
      <w:tr w14:paraId="6657A9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7D0B2074">
            <w:pPr>
              <w:pStyle w:val="64"/>
              <w:spacing w:line="300" w:lineRule="exact"/>
              <w:jc w:val="center"/>
              <w:rPr>
                <w:rFonts w:ascii="方正仿宋_GBK" w:eastAsia="方正仿宋_GBK"/>
                <w:color w:val="auto"/>
                <w:szCs w:val="21"/>
              </w:rPr>
            </w:pPr>
          </w:p>
        </w:tc>
        <w:tc>
          <w:tcPr>
            <w:tcW w:w="525" w:type="dxa"/>
            <w:vMerge w:val="continue"/>
            <w:noWrap w:val="0"/>
            <w:vAlign w:val="center"/>
          </w:tcPr>
          <w:p w14:paraId="1CC1668E">
            <w:pPr>
              <w:pStyle w:val="64"/>
              <w:spacing w:line="300" w:lineRule="exact"/>
              <w:jc w:val="center"/>
              <w:rPr>
                <w:rFonts w:ascii="方正仿宋_GBK" w:eastAsia="方正仿宋_GBK"/>
                <w:color w:val="auto"/>
                <w:szCs w:val="21"/>
              </w:rPr>
            </w:pPr>
          </w:p>
        </w:tc>
        <w:tc>
          <w:tcPr>
            <w:tcW w:w="1545" w:type="dxa"/>
            <w:noWrap w:val="0"/>
            <w:vAlign w:val="center"/>
          </w:tcPr>
          <w:p w14:paraId="0398754F">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预留洞口</w:t>
            </w:r>
          </w:p>
        </w:tc>
        <w:tc>
          <w:tcPr>
            <w:tcW w:w="6645" w:type="dxa"/>
            <w:noWrap w:val="0"/>
            <w:vAlign w:val="center"/>
          </w:tcPr>
          <w:p w14:paraId="0CC83218">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用硬质材料全封闭，短边超过</w:t>
            </w:r>
            <w:r>
              <w:rPr>
                <w:rFonts w:ascii="方正仿宋_GBK" w:eastAsia="方正仿宋_GBK" w:cs="方正仿宋_GBK"/>
                <w:color w:val="auto"/>
                <w:szCs w:val="21"/>
              </w:rPr>
              <w:t>1.5m</w:t>
            </w:r>
            <w:r>
              <w:rPr>
                <w:rFonts w:hint="eastAsia" w:ascii="方正仿宋_GBK" w:eastAsia="方正仿宋_GBK" w:cs="方正仿宋_GBK"/>
                <w:color w:val="auto"/>
                <w:szCs w:val="21"/>
              </w:rPr>
              <w:t>长的洞口，除封闭外四周还应设有防护栏杆。</w:t>
            </w:r>
          </w:p>
        </w:tc>
      </w:tr>
      <w:tr w14:paraId="121953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738" w:type="dxa"/>
            <w:vMerge w:val="continue"/>
            <w:noWrap w:val="0"/>
            <w:vAlign w:val="center"/>
          </w:tcPr>
          <w:p w14:paraId="1A871994">
            <w:pPr>
              <w:pStyle w:val="64"/>
              <w:spacing w:line="300" w:lineRule="exact"/>
              <w:jc w:val="center"/>
              <w:rPr>
                <w:rFonts w:ascii="方正仿宋_GBK" w:eastAsia="方正仿宋_GBK"/>
                <w:color w:val="auto"/>
                <w:szCs w:val="21"/>
              </w:rPr>
            </w:pPr>
          </w:p>
        </w:tc>
        <w:tc>
          <w:tcPr>
            <w:tcW w:w="525" w:type="dxa"/>
            <w:vMerge w:val="continue"/>
            <w:noWrap w:val="0"/>
            <w:vAlign w:val="center"/>
          </w:tcPr>
          <w:p w14:paraId="3C839E9C">
            <w:pPr>
              <w:pStyle w:val="64"/>
              <w:spacing w:line="300" w:lineRule="exact"/>
              <w:jc w:val="center"/>
              <w:rPr>
                <w:rFonts w:ascii="方正仿宋_GBK" w:eastAsia="方正仿宋_GBK"/>
                <w:color w:val="auto"/>
                <w:szCs w:val="21"/>
              </w:rPr>
            </w:pPr>
          </w:p>
        </w:tc>
        <w:tc>
          <w:tcPr>
            <w:tcW w:w="1545" w:type="dxa"/>
            <w:noWrap w:val="0"/>
            <w:vAlign w:val="center"/>
          </w:tcPr>
          <w:p w14:paraId="2950E562">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电梯井口</w:t>
            </w:r>
          </w:p>
        </w:tc>
        <w:tc>
          <w:tcPr>
            <w:tcW w:w="6645" w:type="dxa"/>
            <w:noWrap w:val="0"/>
            <w:vAlign w:val="center"/>
          </w:tcPr>
          <w:p w14:paraId="424A6D6B">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设置定型化、工具化的防护门，在电梯井内每隔</w:t>
            </w:r>
            <w:r>
              <w:rPr>
                <w:rFonts w:ascii="方正仿宋_GBK" w:eastAsia="方正仿宋_GBK" w:cs="方正仿宋_GBK"/>
                <w:color w:val="auto"/>
                <w:szCs w:val="21"/>
              </w:rPr>
              <w:t>2</w:t>
            </w:r>
            <w:r>
              <w:rPr>
                <w:rFonts w:hint="eastAsia" w:ascii="方正仿宋_GBK" w:eastAsia="方正仿宋_GBK" w:cs="方正仿宋_GBK"/>
                <w:color w:val="auto"/>
                <w:szCs w:val="21"/>
              </w:rPr>
              <w:t>层（不大于</w:t>
            </w:r>
            <w:r>
              <w:rPr>
                <w:rFonts w:ascii="方正仿宋_GBK" w:eastAsia="方正仿宋_GBK" w:cs="方正仿宋_GBK"/>
                <w:color w:val="auto"/>
                <w:szCs w:val="21"/>
              </w:rPr>
              <w:t>10m</w:t>
            </w:r>
            <w:r>
              <w:rPr>
                <w:rFonts w:hint="eastAsia" w:ascii="方正仿宋_GBK" w:eastAsia="方正仿宋_GBK" w:cs="方正仿宋_GBK"/>
                <w:color w:val="auto"/>
                <w:szCs w:val="21"/>
              </w:rPr>
              <w:t>）设置一道水平防护。</w:t>
            </w:r>
          </w:p>
        </w:tc>
      </w:tr>
      <w:tr w14:paraId="697D9D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30265AE4">
            <w:pPr>
              <w:pStyle w:val="64"/>
              <w:spacing w:line="300" w:lineRule="exact"/>
              <w:jc w:val="center"/>
              <w:rPr>
                <w:rFonts w:ascii="方正仿宋_GBK" w:eastAsia="方正仿宋_GBK"/>
                <w:color w:val="auto"/>
                <w:szCs w:val="21"/>
              </w:rPr>
            </w:pPr>
          </w:p>
        </w:tc>
        <w:tc>
          <w:tcPr>
            <w:tcW w:w="525" w:type="dxa"/>
            <w:vMerge w:val="continue"/>
            <w:noWrap w:val="0"/>
            <w:vAlign w:val="center"/>
          </w:tcPr>
          <w:p w14:paraId="08D1D54D">
            <w:pPr>
              <w:pStyle w:val="64"/>
              <w:spacing w:line="300" w:lineRule="exact"/>
              <w:jc w:val="center"/>
              <w:rPr>
                <w:rFonts w:ascii="方正仿宋_GBK" w:eastAsia="方正仿宋_GBK"/>
                <w:color w:val="auto"/>
                <w:szCs w:val="21"/>
              </w:rPr>
            </w:pPr>
          </w:p>
        </w:tc>
        <w:tc>
          <w:tcPr>
            <w:tcW w:w="1545" w:type="dxa"/>
            <w:noWrap w:val="0"/>
            <w:vAlign w:val="center"/>
          </w:tcPr>
          <w:p w14:paraId="63EAFABB">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楼梯边</w:t>
            </w:r>
          </w:p>
        </w:tc>
        <w:tc>
          <w:tcPr>
            <w:tcW w:w="6645" w:type="dxa"/>
            <w:noWrap w:val="0"/>
            <w:vAlign w:val="center"/>
          </w:tcPr>
          <w:p w14:paraId="7C408E49">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设</w:t>
            </w:r>
            <w:r>
              <w:rPr>
                <w:rFonts w:ascii="方正仿宋_GBK" w:eastAsia="方正仿宋_GBK" w:cs="方正仿宋_GBK"/>
                <w:color w:val="auto"/>
                <w:szCs w:val="21"/>
              </w:rPr>
              <w:t>1.2m</w:t>
            </w:r>
            <w:r>
              <w:rPr>
                <w:rFonts w:hint="eastAsia" w:ascii="方正仿宋_GBK" w:eastAsia="方正仿宋_GBK" w:cs="方正仿宋_GBK"/>
                <w:color w:val="auto"/>
                <w:szCs w:val="21"/>
              </w:rPr>
              <w:t>高的定型化、工具化的防护栏，</w:t>
            </w:r>
            <w:r>
              <w:rPr>
                <w:rFonts w:ascii="方正仿宋_GBK" w:eastAsia="方正仿宋_GBK" w:cs="方正仿宋_GBK"/>
                <w:color w:val="auto"/>
                <w:szCs w:val="21"/>
              </w:rPr>
              <w:t>18cm</w:t>
            </w:r>
            <w:r>
              <w:rPr>
                <w:rFonts w:hint="eastAsia" w:ascii="方正仿宋_GBK" w:eastAsia="方正仿宋_GBK" w:cs="方正仿宋_GBK"/>
                <w:color w:val="auto"/>
                <w:szCs w:val="21"/>
              </w:rPr>
              <w:t>高的踢脚板。</w:t>
            </w:r>
          </w:p>
        </w:tc>
      </w:tr>
      <w:tr w14:paraId="401F05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5CC349CB">
            <w:pPr>
              <w:pStyle w:val="64"/>
              <w:spacing w:line="300" w:lineRule="exact"/>
              <w:jc w:val="center"/>
              <w:rPr>
                <w:rFonts w:ascii="方正仿宋_GBK" w:eastAsia="方正仿宋_GBK"/>
                <w:color w:val="auto"/>
                <w:szCs w:val="21"/>
              </w:rPr>
            </w:pPr>
          </w:p>
        </w:tc>
        <w:tc>
          <w:tcPr>
            <w:tcW w:w="525" w:type="dxa"/>
            <w:vMerge w:val="continue"/>
            <w:noWrap w:val="0"/>
            <w:vAlign w:val="center"/>
          </w:tcPr>
          <w:p w14:paraId="4AC5C196">
            <w:pPr>
              <w:pStyle w:val="64"/>
              <w:spacing w:line="300" w:lineRule="exact"/>
              <w:jc w:val="center"/>
              <w:rPr>
                <w:rFonts w:ascii="方正仿宋_GBK" w:eastAsia="方正仿宋_GBK"/>
                <w:color w:val="auto"/>
                <w:szCs w:val="21"/>
              </w:rPr>
            </w:pPr>
          </w:p>
        </w:tc>
        <w:tc>
          <w:tcPr>
            <w:tcW w:w="1545" w:type="dxa"/>
            <w:noWrap w:val="0"/>
            <w:vAlign w:val="center"/>
          </w:tcPr>
          <w:p w14:paraId="2A848475">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垂直方向交叉作业</w:t>
            </w:r>
          </w:p>
        </w:tc>
        <w:tc>
          <w:tcPr>
            <w:tcW w:w="6645" w:type="dxa"/>
            <w:noWrap w:val="0"/>
            <w:vAlign w:val="center"/>
          </w:tcPr>
          <w:p w14:paraId="6150DDC2">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设置防护隔离棚或其它设施。</w:t>
            </w:r>
          </w:p>
        </w:tc>
      </w:tr>
      <w:tr w14:paraId="3DFF7E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490464A2">
            <w:pPr>
              <w:pStyle w:val="64"/>
              <w:spacing w:line="300" w:lineRule="exact"/>
              <w:jc w:val="center"/>
              <w:rPr>
                <w:rFonts w:ascii="方正仿宋_GBK" w:eastAsia="方正仿宋_GBK"/>
                <w:color w:val="auto"/>
                <w:szCs w:val="21"/>
              </w:rPr>
            </w:pPr>
          </w:p>
        </w:tc>
        <w:tc>
          <w:tcPr>
            <w:tcW w:w="525" w:type="dxa"/>
            <w:vMerge w:val="continue"/>
            <w:noWrap w:val="0"/>
            <w:vAlign w:val="center"/>
          </w:tcPr>
          <w:p w14:paraId="265E1FAA">
            <w:pPr>
              <w:pStyle w:val="64"/>
              <w:spacing w:line="300" w:lineRule="exact"/>
              <w:jc w:val="center"/>
              <w:rPr>
                <w:rFonts w:ascii="方正仿宋_GBK" w:eastAsia="方正仿宋_GBK"/>
                <w:color w:val="auto"/>
                <w:szCs w:val="21"/>
              </w:rPr>
            </w:pPr>
          </w:p>
        </w:tc>
        <w:tc>
          <w:tcPr>
            <w:tcW w:w="1545" w:type="dxa"/>
            <w:noWrap w:val="0"/>
            <w:vAlign w:val="center"/>
          </w:tcPr>
          <w:p w14:paraId="3380614C">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高处作业</w:t>
            </w:r>
          </w:p>
        </w:tc>
        <w:tc>
          <w:tcPr>
            <w:tcW w:w="6645" w:type="dxa"/>
            <w:noWrap w:val="0"/>
            <w:vAlign w:val="center"/>
          </w:tcPr>
          <w:p w14:paraId="5D0D24F2">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有悬挂安全带的悬索或其它设施，有操作平台，有上下的梯子或其它形式的通道。</w:t>
            </w:r>
          </w:p>
        </w:tc>
      </w:tr>
      <w:tr w14:paraId="66CF42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4B504D4E">
            <w:pPr>
              <w:pStyle w:val="64"/>
              <w:spacing w:line="300" w:lineRule="exact"/>
              <w:jc w:val="center"/>
              <w:rPr>
                <w:rFonts w:ascii="方正仿宋_GBK" w:eastAsia="方正仿宋_GBK"/>
                <w:color w:val="auto"/>
                <w:szCs w:val="21"/>
              </w:rPr>
            </w:pPr>
          </w:p>
        </w:tc>
        <w:tc>
          <w:tcPr>
            <w:tcW w:w="525" w:type="dxa"/>
            <w:vMerge w:val="continue"/>
            <w:noWrap w:val="0"/>
            <w:vAlign w:val="center"/>
          </w:tcPr>
          <w:p w14:paraId="0B60D068">
            <w:pPr>
              <w:pStyle w:val="64"/>
              <w:spacing w:line="300" w:lineRule="exact"/>
              <w:jc w:val="center"/>
              <w:rPr>
                <w:rFonts w:ascii="方正仿宋_GBK" w:eastAsia="方正仿宋_GBK"/>
                <w:color w:val="auto"/>
                <w:szCs w:val="21"/>
              </w:rPr>
            </w:pPr>
          </w:p>
        </w:tc>
        <w:tc>
          <w:tcPr>
            <w:tcW w:w="1545" w:type="dxa"/>
            <w:noWrap w:val="0"/>
            <w:vAlign w:val="center"/>
          </w:tcPr>
          <w:p w14:paraId="1C0ECDF9">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基坑、物料平台</w:t>
            </w:r>
          </w:p>
        </w:tc>
        <w:tc>
          <w:tcPr>
            <w:tcW w:w="6645" w:type="dxa"/>
            <w:noWrap w:val="0"/>
            <w:vAlign w:val="center"/>
          </w:tcPr>
          <w:p w14:paraId="75059F70">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设</w:t>
            </w:r>
            <w:r>
              <w:rPr>
                <w:rFonts w:ascii="方正仿宋_GBK" w:eastAsia="方正仿宋_GBK" w:cs="方正仿宋_GBK"/>
                <w:color w:val="auto"/>
                <w:szCs w:val="21"/>
              </w:rPr>
              <w:t>1.2m</w:t>
            </w:r>
            <w:r>
              <w:rPr>
                <w:rFonts w:hint="eastAsia" w:ascii="方正仿宋_GBK" w:eastAsia="方正仿宋_GBK" w:cs="方正仿宋_GBK"/>
                <w:color w:val="auto"/>
                <w:szCs w:val="21"/>
              </w:rPr>
              <w:t>高标准化的防护栏，用密目式安全立网封闭，悬挂标识。</w:t>
            </w:r>
          </w:p>
        </w:tc>
      </w:tr>
      <w:tr w14:paraId="5EA549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0A309BA3">
            <w:pPr>
              <w:pStyle w:val="64"/>
              <w:spacing w:line="300" w:lineRule="exact"/>
              <w:jc w:val="center"/>
              <w:rPr>
                <w:rFonts w:ascii="方正仿宋_GBK" w:eastAsia="方正仿宋_GBK"/>
                <w:color w:val="auto"/>
                <w:szCs w:val="21"/>
              </w:rPr>
            </w:pPr>
          </w:p>
        </w:tc>
        <w:tc>
          <w:tcPr>
            <w:tcW w:w="2070" w:type="dxa"/>
            <w:gridSpan w:val="2"/>
            <w:noWrap w:val="0"/>
            <w:vAlign w:val="center"/>
          </w:tcPr>
          <w:p w14:paraId="370A997A">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安全防护用品</w:t>
            </w:r>
          </w:p>
        </w:tc>
        <w:tc>
          <w:tcPr>
            <w:tcW w:w="6645" w:type="dxa"/>
            <w:noWrap w:val="0"/>
            <w:vAlign w:val="center"/>
          </w:tcPr>
          <w:p w14:paraId="7BCECAB7">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安全帽、安全带、特种作业人员（电工、焊工、架子工等）防护服装、用品等。</w:t>
            </w:r>
          </w:p>
        </w:tc>
      </w:tr>
      <w:tr w14:paraId="5BDC3D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55" w:hRule="atLeast"/>
        </w:trPr>
        <w:tc>
          <w:tcPr>
            <w:tcW w:w="738" w:type="dxa"/>
            <w:vMerge w:val="restart"/>
            <w:noWrap w:val="0"/>
            <w:vAlign w:val="center"/>
          </w:tcPr>
          <w:p w14:paraId="32F3CE1E">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其它</w:t>
            </w:r>
          </w:p>
        </w:tc>
        <w:tc>
          <w:tcPr>
            <w:tcW w:w="525" w:type="dxa"/>
            <w:vMerge w:val="restart"/>
            <w:noWrap w:val="0"/>
            <w:vAlign w:val="center"/>
          </w:tcPr>
          <w:p w14:paraId="5CB83F48">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机械设备防护</w:t>
            </w:r>
          </w:p>
        </w:tc>
        <w:tc>
          <w:tcPr>
            <w:tcW w:w="1545" w:type="dxa"/>
            <w:noWrap w:val="0"/>
            <w:vAlign w:val="center"/>
          </w:tcPr>
          <w:p w14:paraId="10477E92">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中小型机械</w:t>
            </w:r>
          </w:p>
        </w:tc>
        <w:tc>
          <w:tcPr>
            <w:tcW w:w="6645" w:type="dxa"/>
            <w:noWrap w:val="0"/>
            <w:vAlign w:val="center"/>
          </w:tcPr>
          <w:p w14:paraId="086191B3">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设防护棚（同通道口防护并有防雨措施）。</w:t>
            </w:r>
          </w:p>
        </w:tc>
      </w:tr>
      <w:tr w14:paraId="5DC91A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74A9379F">
            <w:pPr>
              <w:pStyle w:val="64"/>
              <w:spacing w:line="300" w:lineRule="exact"/>
              <w:jc w:val="center"/>
              <w:rPr>
                <w:rFonts w:ascii="方正仿宋_GBK" w:eastAsia="方正仿宋_GBK"/>
                <w:color w:val="auto"/>
                <w:szCs w:val="21"/>
              </w:rPr>
            </w:pPr>
          </w:p>
        </w:tc>
        <w:tc>
          <w:tcPr>
            <w:tcW w:w="525" w:type="dxa"/>
            <w:vMerge w:val="continue"/>
            <w:noWrap w:val="0"/>
            <w:vAlign w:val="center"/>
          </w:tcPr>
          <w:p w14:paraId="153FC1AB">
            <w:pPr>
              <w:pStyle w:val="64"/>
              <w:spacing w:line="300" w:lineRule="exact"/>
              <w:jc w:val="center"/>
              <w:rPr>
                <w:rFonts w:ascii="方正仿宋_GBK" w:eastAsia="方正仿宋_GBK"/>
                <w:color w:val="auto"/>
                <w:szCs w:val="21"/>
              </w:rPr>
            </w:pPr>
          </w:p>
        </w:tc>
        <w:tc>
          <w:tcPr>
            <w:tcW w:w="1545" w:type="dxa"/>
            <w:noWrap w:val="0"/>
            <w:vAlign w:val="center"/>
          </w:tcPr>
          <w:p w14:paraId="3B2E431F">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垂直运输设备</w:t>
            </w:r>
          </w:p>
        </w:tc>
        <w:tc>
          <w:tcPr>
            <w:tcW w:w="6645" w:type="dxa"/>
            <w:noWrap w:val="0"/>
            <w:vAlign w:val="center"/>
          </w:tcPr>
          <w:p w14:paraId="54CD63E0">
            <w:pPr>
              <w:pStyle w:val="64"/>
              <w:spacing w:line="300" w:lineRule="exact"/>
              <w:rPr>
                <w:rFonts w:ascii="方正仿宋_GBK" w:eastAsia="方正仿宋_GBK"/>
                <w:color w:val="auto"/>
                <w:szCs w:val="21"/>
              </w:rPr>
            </w:pPr>
            <w:r>
              <w:rPr>
                <w:rFonts w:ascii="方正仿宋_GBK" w:eastAsia="方正仿宋_GBK" w:cs="方正仿宋_GBK"/>
                <w:color w:val="auto"/>
                <w:szCs w:val="21"/>
              </w:rPr>
              <w:t xml:space="preserve">1. </w:t>
            </w:r>
            <w:r>
              <w:rPr>
                <w:rFonts w:hint="eastAsia" w:ascii="方正仿宋_GBK" w:eastAsia="方正仿宋_GBK" w:cs="方正仿宋_GBK"/>
                <w:color w:val="auto"/>
                <w:szCs w:val="21"/>
              </w:rPr>
              <w:t>垂直运输设备检测、检验、日常维护、保养等。</w:t>
            </w:r>
          </w:p>
          <w:p w14:paraId="573145A9">
            <w:pPr>
              <w:pStyle w:val="64"/>
              <w:spacing w:line="300" w:lineRule="exact"/>
              <w:rPr>
                <w:rFonts w:ascii="方正仿宋_GBK" w:eastAsia="方正仿宋_GBK"/>
                <w:color w:val="auto"/>
                <w:szCs w:val="21"/>
              </w:rPr>
            </w:pPr>
            <w:r>
              <w:rPr>
                <w:rFonts w:ascii="方正仿宋_GBK" w:eastAsia="方正仿宋_GBK" w:cs="方正仿宋_GBK"/>
                <w:color w:val="auto"/>
                <w:szCs w:val="21"/>
              </w:rPr>
              <w:t xml:space="preserve">2. </w:t>
            </w:r>
            <w:r>
              <w:rPr>
                <w:rFonts w:hint="eastAsia" w:ascii="方正仿宋_GBK" w:eastAsia="方正仿宋_GBK" w:cs="方正仿宋_GBK"/>
                <w:color w:val="auto"/>
                <w:szCs w:val="21"/>
              </w:rPr>
              <w:t>物料提升机、施工电梯等物料平台搭设、外侧用密目式安全立网全封闭，有安全通道、安全防护门、防护棚等。</w:t>
            </w:r>
          </w:p>
        </w:tc>
      </w:tr>
      <w:tr w14:paraId="0A285E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5D6A46B6">
            <w:pPr>
              <w:pStyle w:val="64"/>
              <w:spacing w:line="300" w:lineRule="exact"/>
              <w:jc w:val="center"/>
              <w:rPr>
                <w:rFonts w:ascii="方正仿宋_GBK" w:eastAsia="方正仿宋_GBK"/>
                <w:color w:val="auto"/>
                <w:szCs w:val="21"/>
              </w:rPr>
            </w:pPr>
          </w:p>
        </w:tc>
        <w:tc>
          <w:tcPr>
            <w:tcW w:w="2070" w:type="dxa"/>
            <w:gridSpan w:val="2"/>
            <w:noWrap w:val="0"/>
            <w:vAlign w:val="center"/>
          </w:tcPr>
          <w:p w14:paraId="6B97CA47">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专家论证审查</w:t>
            </w:r>
          </w:p>
        </w:tc>
        <w:tc>
          <w:tcPr>
            <w:tcW w:w="6645" w:type="dxa"/>
            <w:noWrap w:val="0"/>
            <w:vAlign w:val="center"/>
          </w:tcPr>
          <w:p w14:paraId="206F665B">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超过一定规模的危险性较大分部分项工程专家论证审查。</w:t>
            </w:r>
          </w:p>
        </w:tc>
      </w:tr>
      <w:tr w14:paraId="746DF5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5A892B18">
            <w:pPr>
              <w:pStyle w:val="64"/>
              <w:spacing w:line="300" w:lineRule="exact"/>
              <w:jc w:val="center"/>
              <w:rPr>
                <w:rFonts w:ascii="方正仿宋_GBK" w:eastAsia="方正仿宋_GBK"/>
                <w:color w:val="auto"/>
                <w:szCs w:val="21"/>
              </w:rPr>
            </w:pPr>
          </w:p>
        </w:tc>
        <w:tc>
          <w:tcPr>
            <w:tcW w:w="2070" w:type="dxa"/>
            <w:gridSpan w:val="2"/>
            <w:noWrap w:val="0"/>
            <w:vAlign w:val="center"/>
          </w:tcPr>
          <w:p w14:paraId="0B084E04">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应急救援预案</w:t>
            </w:r>
          </w:p>
        </w:tc>
        <w:tc>
          <w:tcPr>
            <w:tcW w:w="6645" w:type="dxa"/>
            <w:noWrap w:val="0"/>
            <w:vAlign w:val="center"/>
          </w:tcPr>
          <w:p w14:paraId="2EA71F0C">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救援器材准备及演练等。</w:t>
            </w:r>
          </w:p>
        </w:tc>
      </w:tr>
      <w:tr w14:paraId="752C90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bottom w:val="single" w:color="auto" w:sz="12" w:space="0"/>
            </w:tcBorders>
            <w:noWrap w:val="0"/>
            <w:vAlign w:val="center"/>
          </w:tcPr>
          <w:p w14:paraId="6EE28841">
            <w:pPr>
              <w:pStyle w:val="64"/>
              <w:spacing w:line="300" w:lineRule="exact"/>
              <w:jc w:val="center"/>
              <w:rPr>
                <w:rFonts w:ascii="方正仿宋_GBK" w:eastAsia="方正仿宋_GBK"/>
                <w:color w:val="auto"/>
                <w:szCs w:val="21"/>
              </w:rPr>
            </w:pPr>
          </w:p>
        </w:tc>
        <w:tc>
          <w:tcPr>
            <w:tcW w:w="2070" w:type="dxa"/>
            <w:gridSpan w:val="2"/>
            <w:tcBorders>
              <w:bottom w:val="single" w:color="auto" w:sz="12" w:space="0"/>
            </w:tcBorders>
            <w:noWrap w:val="0"/>
            <w:vAlign w:val="center"/>
          </w:tcPr>
          <w:p w14:paraId="43667A07">
            <w:pPr>
              <w:pStyle w:val="64"/>
              <w:spacing w:line="300" w:lineRule="exact"/>
              <w:jc w:val="center"/>
              <w:rPr>
                <w:rFonts w:ascii="方正仿宋_GBK" w:eastAsia="方正仿宋_GBK"/>
                <w:color w:val="auto"/>
                <w:szCs w:val="21"/>
              </w:rPr>
            </w:pPr>
            <w:r>
              <w:rPr>
                <w:rFonts w:hint="eastAsia" w:ascii="方正仿宋_GBK" w:eastAsia="方正仿宋_GBK" w:cs="方正仿宋_GBK"/>
                <w:color w:val="auto"/>
                <w:szCs w:val="21"/>
              </w:rPr>
              <w:t>非正常情况施工</w:t>
            </w:r>
          </w:p>
        </w:tc>
        <w:tc>
          <w:tcPr>
            <w:tcW w:w="6645" w:type="dxa"/>
            <w:tcBorders>
              <w:bottom w:val="single" w:color="auto" w:sz="12" w:space="0"/>
            </w:tcBorders>
            <w:noWrap w:val="0"/>
            <w:vAlign w:val="center"/>
          </w:tcPr>
          <w:p w14:paraId="399814CF">
            <w:pPr>
              <w:pStyle w:val="64"/>
              <w:spacing w:line="300" w:lineRule="exact"/>
              <w:rPr>
                <w:rFonts w:ascii="方正仿宋_GBK" w:eastAsia="方正仿宋_GBK"/>
                <w:color w:val="auto"/>
                <w:szCs w:val="21"/>
              </w:rPr>
            </w:pPr>
            <w:r>
              <w:rPr>
                <w:rFonts w:hint="eastAsia" w:ascii="方正仿宋_GBK" w:eastAsia="方正仿宋_GBK" w:cs="方正仿宋_GBK"/>
                <w:color w:val="auto"/>
                <w:szCs w:val="21"/>
              </w:rPr>
              <w:t>其它特殊情况下的防护费用，如：城市主干道、人流密集、河边等处施工及文物、古建筑、古树保护等。</w:t>
            </w:r>
          </w:p>
        </w:tc>
      </w:tr>
    </w:tbl>
    <w:p w14:paraId="4ACF6B1E">
      <w:pPr>
        <w:pStyle w:val="64"/>
        <w:spacing w:line="240" w:lineRule="atLeast"/>
        <w:ind w:firstLine="546"/>
        <w:jc w:val="center"/>
        <w:rPr>
          <w:b/>
          <w:bCs/>
          <w:color w:val="auto"/>
          <w:w w:val="90"/>
          <w:sz w:val="24"/>
          <w:szCs w:val="24"/>
        </w:rPr>
      </w:pPr>
    </w:p>
    <w:p w14:paraId="0B5D5A20">
      <w:pPr>
        <w:pStyle w:val="64"/>
        <w:spacing w:before="156" w:beforeLines="50"/>
        <w:ind w:firstLine="420" w:firstLineChars="200"/>
        <w:rPr>
          <w:rFonts w:cs="宋体"/>
          <w:color w:val="auto"/>
          <w:szCs w:val="21"/>
        </w:rPr>
      </w:pPr>
      <w:r>
        <w:rPr>
          <w:rFonts w:hint="eastAsia" w:cs="宋体"/>
          <w:color w:val="auto"/>
          <w:szCs w:val="21"/>
        </w:rPr>
        <w:t>注：本表所列建筑工程安全文明施工费，是依据现行法律法规及标准规范确定的。如法律法规和标准规范修订，本表所列项目应按照修订后的法律法规和标准规范进行调整。</w:t>
      </w:r>
    </w:p>
    <w:p w14:paraId="713448C6">
      <w:pPr>
        <w:pStyle w:val="64"/>
        <w:spacing w:before="156" w:beforeLines="50"/>
        <w:ind w:firstLine="420" w:firstLineChars="200"/>
        <w:rPr>
          <w:rFonts w:cs="宋体"/>
          <w:color w:val="auto"/>
          <w:szCs w:val="21"/>
        </w:rPr>
      </w:pPr>
    </w:p>
    <w:p w14:paraId="1E89C9F4">
      <w:pPr>
        <w:rPr>
          <w:rFonts w:hint="eastAsia" w:ascii="宋体" w:hAnsi="宋体" w:eastAsia="宋体" w:cs="宋体"/>
          <w:b/>
          <w:color w:val="auto"/>
          <w:sz w:val="28"/>
          <w:szCs w:val="28"/>
          <w:highlight w:val="none"/>
          <w:lang w:val="en-US" w:eastAsia="zh-CN"/>
        </w:rPr>
      </w:pPr>
      <w:bookmarkStart w:id="1984" w:name="_Toc24798"/>
      <w:bookmarkStart w:id="1985" w:name="_Toc21891"/>
      <w:bookmarkStart w:id="1986" w:name="_Toc32582"/>
      <w:r>
        <w:rPr>
          <w:rFonts w:hint="eastAsia" w:ascii="宋体" w:hAnsi="宋体" w:eastAsia="宋体" w:cs="宋体"/>
          <w:b/>
          <w:color w:val="auto"/>
          <w:sz w:val="28"/>
          <w:szCs w:val="28"/>
          <w:highlight w:val="none"/>
          <w:lang w:val="en-US" w:eastAsia="zh-CN"/>
        </w:rPr>
        <w:br w:type="page"/>
      </w:r>
    </w:p>
    <w:p w14:paraId="00C23715">
      <w:pPr>
        <w:keepNext w:val="0"/>
        <w:keepLines w:val="0"/>
        <w:pageBreakBefore w:val="0"/>
        <w:widowControl w:val="0"/>
        <w:numPr>
          <w:ilvl w:val="0"/>
          <w:numId w:val="0"/>
        </w:numPr>
        <w:wordWrap/>
        <w:topLinePunct w:val="0"/>
        <w:bidi w:val="0"/>
        <w:spacing w:line="440" w:lineRule="atLeast"/>
        <w:outlineLvl w:val="2"/>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8.</w:t>
      </w:r>
      <w:bookmarkEnd w:id="1984"/>
      <w:bookmarkEnd w:id="1985"/>
      <w:bookmarkEnd w:id="1986"/>
      <w:bookmarkStart w:id="1987" w:name="_Toc297"/>
      <w:bookmarkStart w:id="1988" w:name="_Toc21352"/>
      <w:bookmarkStart w:id="1989" w:name="_Toc10529"/>
      <w:bookmarkStart w:id="1990" w:name="_Toc497927084"/>
      <w:bookmarkStart w:id="1991" w:name="_Toc9339"/>
      <w:bookmarkStart w:id="1992" w:name="_Toc28672"/>
      <w:r>
        <w:rPr>
          <w:rFonts w:hint="eastAsia" w:ascii="宋体" w:hAnsi="宋体" w:cs="宋体"/>
          <w:b/>
          <w:color w:val="auto"/>
          <w:sz w:val="28"/>
          <w:szCs w:val="28"/>
          <w:highlight w:val="none"/>
          <w:lang w:val="en-US" w:eastAsia="zh-CN"/>
        </w:rPr>
        <w:t>渣土清运承诺书</w:t>
      </w:r>
      <w:r>
        <w:rPr>
          <w:rFonts w:hint="eastAsia" w:ascii="宋体" w:hAnsi="宋体" w:eastAsia="宋体" w:cs="宋体"/>
          <w:b/>
          <w:color w:val="auto"/>
          <w:sz w:val="28"/>
          <w:szCs w:val="28"/>
          <w:highlight w:val="none"/>
          <w:lang w:val="en-US" w:eastAsia="zh-CN"/>
        </w:rPr>
        <w:t>（必须提供）。</w:t>
      </w:r>
      <w:bookmarkEnd w:id="1987"/>
      <w:bookmarkEnd w:id="1988"/>
      <w:bookmarkEnd w:id="1989"/>
    </w:p>
    <w:p w14:paraId="0F8FB459">
      <w:pPr>
        <w:keepNext w:val="0"/>
        <w:keepLines w:val="0"/>
        <w:pageBreakBefore w:val="0"/>
        <w:widowControl w:val="0"/>
        <w:numPr>
          <w:ilvl w:val="0"/>
          <w:numId w:val="0"/>
        </w:numPr>
        <w:wordWrap/>
        <w:topLinePunct w:val="0"/>
        <w:bidi w:val="0"/>
        <w:jc w:val="both"/>
        <w:rPr>
          <w:rFonts w:hint="eastAsia"/>
          <w:color w:val="auto"/>
          <w:highlight w:val="none"/>
        </w:rPr>
      </w:pPr>
    </w:p>
    <w:p w14:paraId="64B76570">
      <w:pPr>
        <w:spacing w:line="300" w:lineRule="auto"/>
        <w:jc w:val="left"/>
        <w:rPr>
          <w:rFonts w:hint="eastAsia" w:ascii="宋体" w:hAnsi="宋体"/>
          <w:b/>
          <w:color w:val="auto"/>
          <w:sz w:val="28"/>
          <w:szCs w:val="28"/>
        </w:rPr>
      </w:pPr>
      <w:r>
        <w:rPr>
          <w:rFonts w:hint="eastAsia" w:ascii="宋体" w:hAnsi="宋体"/>
          <w:b/>
          <w:color w:val="auto"/>
          <w:sz w:val="28"/>
          <w:szCs w:val="28"/>
        </w:rPr>
        <w:t>（按照桂林市建设工程招标站市建招字[2011]02号的规定承诺，格式自拟）</w:t>
      </w:r>
    </w:p>
    <w:p w14:paraId="1264A18D">
      <w:pPr>
        <w:keepNext w:val="0"/>
        <w:keepLines w:val="0"/>
        <w:pageBreakBefore w:val="0"/>
        <w:widowControl w:val="0"/>
        <w:wordWrap/>
        <w:topLinePunct w:val="0"/>
        <w:bidi w:val="0"/>
        <w:rPr>
          <w:rFonts w:hint="eastAsia"/>
          <w:color w:val="auto"/>
          <w:highlight w:val="none"/>
        </w:rPr>
      </w:pPr>
    </w:p>
    <w:p w14:paraId="261C38A3">
      <w:pPr>
        <w:rPr>
          <w:rFonts w:hint="eastAsia" w:ascii="宋体" w:hAnsi="宋体" w:eastAsia="宋体" w:cs="宋体"/>
          <w:b/>
          <w:bCs/>
          <w:color w:val="auto"/>
          <w:sz w:val="32"/>
          <w:szCs w:val="32"/>
          <w:highlight w:val="none"/>
        </w:rPr>
      </w:pPr>
      <w:bookmarkStart w:id="1993" w:name="_Toc13622"/>
      <w:r>
        <w:rPr>
          <w:rFonts w:hint="eastAsia" w:ascii="宋体" w:hAnsi="宋体" w:eastAsia="宋体" w:cs="宋体"/>
          <w:b/>
          <w:bCs/>
          <w:color w:val="auto"/>
          <w:sz w:val="32"/>
          <w:szCs w:val="32"/>
          <w:highlight w:val="none"/>
        </w:rPr>
        <w:br w:type="page"/>
      </w:r>
    </w:p>
    <w:p w14:paraId="49C7D715">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420" w:leftChars="0"/>
        <w:jc w:val="center"/>
        <w:textAlignment w:val="auto"/>
        <w:outlineLvl w:val="1"/>
        <w:rPr>
          <w:rFonts w:hint="eastAsia" w:ascii="宋体" w:hAnsi="宋体" w:eastAsia="宋体" w:cs="宋体"/>
          <w:color w:val="auto"/>
          <w:szCs w:val="21"/>
          <w:highlight w:val="none"/>
        </w:rPr>
      </w:pPr>
      <w:r>
        <w:rPr>
          <w:rFonts w:hint="eastAsia" w:ascii="宋体" w:hAnsi="宋体" w:eastAsia="宋体" w:cs="宋体"/>
          <w:b/>
          <w:bCs/>
          <w:color w:val="auto"/>
          <w:sz w:val="32"/>
          <w:szCs w:val="32"/>
          <w:highlight w:val="none"/>
        </w:rPr>
        <w:t>（</w:t>
      </w:r>
      <w:r>
        <w:rPr>
          <w:rFonts w:hint="eastAsia" w:ascii="宋体" w:hAnsi="宋体" w:cs="宋体"/>
          <w:b/>
          <w:bCs/>
          <w:color w:val="auto"/>
          <w:sz w:val="32"/>
          <w:szCs w:val="32"/>
          <w:highlight w:val="none"/>
          <w:lang w:eastAsia="zh-CN"/>
        </w:rPr>
        <w:t>三</w:t>
      </w:r>
      <w:r>
        <w:rPr>
          <w:rFonts w:hint="eastAsia" w:ascii="宋体" w:hAnsi="宋体" w:eastAsia="宋体" w:cs="宋体"/>
          <w:b/>
          <w:bCs/>
          <w:color w:val="auto"/>
          <w:sz w:val="32"/>
          <w:szCs w:val="32"/>
          <w:highlight w:val="none"/>
        </w:rPr>
        <w:t>）其</w:t>
      </w:r>
      <w:r>
        <w:rPr>
          <w:rFonts w:hint="eastAsia" w:ascii="宋体" w:hAnsi="宋体" w:eastAsia="宋体" w:cs="宋体"/>
          <w:b/>
          <w:bCs/>
          <w:color w:val="auto"/>
          <w:sz w:val="32"/>
          <w:szCs w:val="32"/>
          <w:highlight w:val="none"/>
          <w:lang w:eastAsia="zh-CN"/>
        </w:rPr>
        <w:t>他</w:t>
      </w:r>
      <w:r>
        <w:rPr>
          <w:rFonts w:hint="eastAsia" w:ascii="宋体" w:hAnsi="宋体" w:eastAsia="宋体" w:cs="宋体"/>
          <w:b/>
          <w:bCs/>
          <w:color w:val="auto"/>
          <w:sz w:val="32"/>
          <w:szCs w:val="32"/>
          <w:highlight w:val="none"/>
        </w:rPr>
        <w:t>有效证明材料目录</w:t>
      </w:r>
      <w:bookmarkEnd w:id="1990"/>
      <w:bookmarkEnd w:id="1991"/>
      <w:bookmarkEnd w:id="1992"/>
      <w:bookmarkEnd w:id="1993"/>
    </w:p>
    <w:p w14:paraId="7DBBBA6F">
      <w:pPr>
        <w:keepNext w:val="0"/>
        <w:keepLines w:val="0"/>
        <w:pageBreakBefore w:val="0"/>
        <w:widowControl w:val="0"/>
        <w:wordWrap/>
        <w:topLinePunct w:val="0"/>
        <w:bidi w:val="0"/>
        <w:spacing w:line="360" w:lineRule="auto"/>
        <w:ind w:firstLine="420" w:firstLineChars="200"/>
        <w:rPr>
          <w:rFonts w:hint="eastAsia" w:ascii="宋体" w:hAnsi="宋体" w:cs="宋体"/>
          <w:color w:val="auto"/>
          <w:sz w:val="21"/>
          <w:szCs w:val="21"/>
          <w:highlight w:val="none"/>
          <w:lang w:val="en-US" w:eastAsia="zh-CN"/>
        </w:rPr>
      </w:pPr>
    </w:p>
    <w:p w14:paraId="261B2CD8">
      <w:pPr>
        <w:keepNext w:val="0"/>
        <w:keepLines w:val="0"/>
        <w:pageBreakBefore w:val="0"/>
        <w:widowControl w:val="0"/>
        <w:wordWrap/>
        <w:topLinePunct w:val="0"/>
        <w:bidi w:val="0"/>
        <w:spacing w:line="360" w:lineRule="auto"/>
        <w:rPr>
          <w:rFonts w:hint="eastAsia" w:ascii="宋体" w:hAnsi="宋体" w:cs="宋体"/>
          <w:color w:val="auto"/>
          <w:sz w:val="21"/>
          <w:szCs w:val="21"/>
          <w:highlight w:val="none"/>
          <w:lang w:val="en-US" w:eastAsia="zh-CN"/>
        </w:rPr>
      </w:pPr>
    </w:p>
    <w:p w14:paraId="7D210B2A">
      <w:pPr>
        <w:keepNext w:val="0"/>
        <w:keepLines w:val="0"/>
        <w:pageBreakBefore w:val="0"/>
        <w:widowControl w:val="0"/>
        <w:wordWrap/>
        <w:topLinePunct w:val="0"/>
        <w:bidi w:val="0"/>
        <w:spacing w:line="240" w:lineRule="auto"/>
        <w:outlineLvl w:val="2"/>
        <w:rPr>
          <w:rFonts w:hint="eastAsia" w:ascii="宋体" w:hAnsi="宋体" w:eastAsia="宋体" w:cs="宋体"/>
          <w:b/>
          <w:bCs/>
          <w:iCs/>
          <w:color w:val="auto"/>
          <w:kern w:val="2"/>
          <w:sz w:val="28"/>
          <w:szCs w:val="28"/>
          <w:highlight w:val="none"/>
          <w:lang w:val="en-US" w:eastAsia="zh-CN" w:bidi="ar-SA"/>
        </w:rPr>
      </w:pPr>
      <w:r>
        <w:rPr>
          <w:rFonts w:hint="eastAsia" w:ascii="宋体" w:hAnsi="宋体" w:cs="宋体"/>
          <w:b/>
          <w:bCs/>
          <w:iCs/>
          <w:color w:val="auto"/>
          <w:kern w:val="2"/>
          <w:sz w:val="28"/>
          <w:szCs w:val="28"/>
          <w:highlight w:val="none"/>
          <w:lang w:val="en-US" w:eastAsia="zh-CN" w:bidi="ar-SA"/>
        </w:rPr>
        <w:t>1.供应商2023年1月1日以来具有类似工程的业绩</w:t>
      </w:r>
      <w:r>
        <w:rPr>
          <w:rFonts w:hint="eastAsia" w:ascii="宋体" w:hAnsi="宋体" w:eastAsia="宋体" w:cs="宋体"/>
          <w:b/>
          <w:bCs/>
          <w:iCs/>
          <w:color w:val="auto"/>
          <w:kern w:val="2"/>
          <w:sz w:val="28"/>
          <w:szCs w:val="28"/>
          <w:highlight w:val="none"/>
          <w:lang w:val="en-US" w:eastAsia="zh-CN" w:bidi="ar-SA"/>
        </w:rPr>
        <w:t>（无不良记录，以中标（成交）通知书或签订的合同或竣工证明文件为准，并能清晰反映项目的名称、采购内容、采购金额、采购时间）（如有）；</w:t>
      </w:r>
    </w:p>
    <w:p w14:paraId="09D2B4F6">
      <w:pPr>
        <w:keepNext w:val="0"/>
        <w:keepLines w:val="0"/>
        <w:pageBreakBefore w:val="0"/>
        <w:widowControl w:val="0"/>
        <w:wordWrap/>
        <w:topLinePunct w:val="0"/>
        <w:bidi w:val="0"/>
        <w:spacing w:line="240" w:lineRule="auto"/>
        <w:rPr>
          <w:rFonts w:hint="eastAsia" w:ascii="宋体" w:hAnsi="宋体" w:eastAsia="宋体" w:cs="宋体"/>
          <w:b/>
          <w:bCs/>
          <w:iCs/>
          <w:color w:val="auto"/>
          <w:kern w:val="2"/>
          <w:sz w:val="28"/>
          <w:szCs w:val="28"/>
          <w:highlight w:val="none"/>
          <w:lang w:val="en-US" w:eastAsia="zh-CN" w:bidi="ar-SA"/>
        </w:rPr>
      </w:pPr>
    </w:p>
    <w:p w14:paraId="1711013B">
      <w:pPr>
        <w:keepNext w:val="0"/>
        <w:keepLines w:val="0"/>
        <w:pageBreakBefore w:val="0"/>
        <w:widowControl w:val="0"/>
        <w:wordWrap/>
        <w:topLinePunct w:val="0"/>
        <w:bidi w:val="0"/>
        <w:spacing w:line="240" w:lineRule="auto"/>
        <w:rPr>
          <w:rFonts w:hint="eastAsia" w:ascii="宋体" w:hAnsi="宋体" w:eastAsia="宋体" w:cs="宋体"/>
          <w:b/>
          <w:bCs/>
          <w:iCs/>
          <w:color w:val="auto"/>
          <w:kern w:val="2"/>
          <w:sz w:val="28"/>
          <w:szCs w:val="28"/>
          <w:highlight w:val="none"/>
          <w:lang w:val="en-US" w:eastAsia="zh-CN" w:bidi="ar-SA"/>
        </w:rPr>
      </w:pPr>
    </w:p>
    <w:p w14:paraId="270FAF74">
      <w:pPr>
        <w:keepNext w:val="0"/>
        <w:keepLines w:val="0"/>
        <w:pageBreakBefore w:val="0"/>
        <w:widowControl w:val="0"/>
        <w:wordWrap/>
        <w:topLinePunct w:val="0"/>
        <w:bidi w:val="0"/>
        <w:spacing w:line="240" w:lineRule="auto"/>
        <w:rPr>
          <w:rFonts w:hint="eastAsia" w:ascii="宋体" w:hAnsi="宋体" w:eastAsia="宋体" w:cs="宋体"/>
          <w:b/>
          <w:bCs/>
          <w:iCs/>
          <w:color w:val="auto"/>
          <w:kern w:val="2"/>
          <w:sz w:val="28"/>
          <w:szCs w:val="28"/>
          <w:highlight w:val="none"/>
          <w:lang w:val="en-US" w:eastAsia="zh-CN" w:bidi="ar-SA"/>
        </w:rPr>
      </w:pPr>
    </w:p>
    <w:p w14:paraId="137D4116">
      <w:pPr>
        <w:keepNext w:val="0"/>
        <w:keepLines w:val="0"/>
        <w:pageBreakBefore w:val="0"/>
        <w:widowControl w:val="0"/>
        <w:wordWrap/>
        <w:topLinePunct w:val="0"/>
        <w:bidi w:val="0"/>
        <w:spacing w:line="240" w:lineRule="auto"/>
        <w:outlineLvl w:val="2"/>
        <w:rPr>
          <w:rFonts w:hint="eastAsia" w:ascii="宋体" w:hAnsi="宋体" w:cs="宋体"/>
          <w:b/>
          <w:bCs/>
          <w:iCs/>
          <w:color w:val="auto"/>
          <w:sz w:val="28"/>
          <w:szCs w:val="28"/>
          <w:highlight w:val="none"/>
          <w:lang w:val="en-US" w:eastAsia="zh-CN"/>
        </w:rPr>
      </w:pPr>
      <w:r>
        <w:rPr>
          <w:rFonts w:hint="eastAsia" w:ascii="宋体" w:hAnsi="宋体" w:cs="宋体"/>
          <w:b/>
          <w:bCs/>
          <w:iCs/>
          <w:color w:val="auto"/>
          <w:sz w:val="28"/>
          <w:szCs w:val="28"/>
          <w:highlight w:val="none"/>
          <w:lang w:val="en-US" w:eastAsia="zh-CN"/>
        </w:rPr>
        <w:t>2.供应商</w:t>
      </w:r>
      <w:r>
        <w:rPr>
          <w:rFonts w:hint="eastAsia" w:ascii="宋体" w:hAnsi="宋体" w:cs="宋体"/>
          <w:b/>
          <w:bCs/>
          <w:iCs/>
          <w:color w:val="auto"/>
          <w:sz w:val="28"/>
          <w:szCs w:val="28"/>
          <w:highlight w:val="none"/>
          <w:lang w:eastAsia="zh-CN"/>
        </w:rPr>
        <w:t>2023年1月1日</w:t>
      </w:r>
      <w:r>
        <w:rPr>
          <w:rFonts w:hint="eastAsia" w:ascii="宋体" w:hAnsi="宋体" w:cs="宋体"/>
          <w:b/>
          <w:bCs/>
          <w:iCs/>
          <w:color w:val="auto"/>
          <w:sz w:val="28"/>
          <w:szCs w:val="28"/>
          <w:highlight w:val="none"/>
          <w:lang w:val="en-US" w:eastAsia="zh-CN"/>
        </w:rPr>
        <w:t>以来</w:t>
      </w:r>
      <w:r>
        <w:rPr>
          <w:rFonts w:hint="eastAsia" w:ascii="宋体" w:hAnsi="宋体" w:cs="宋体"/>
          <w:b/>
          <w:bCs/>
          <w:iCs/>
          <w:color w:val="auto"/>
          <w:sz w:val="28"/>
          <w:szCs w:val="28"/>
          <w:highlight w:val="none"/>
        </w:rPr>
        <w:t>获奖情况</w:t>
      </w:r>
      <w:r>
        <w:rPr>
          <w:rFonts w:hint="eastAsia" w:ascii="宋体" w:hAnsi="宋体" w:cs="宋体"/>
          <w:b/>
          <w:bCs/>
          <w:iCs/>
          <w:color w:val="auto"/>
          <w:sz w:val="28"/>
          <w:szCs w:val="28"/>
          <w:highlight w:val="none"/>
          <w:lang w:eastAsia="zh-CN"/>
        </w:rPr>
        <w:t>（</w:t>
      </w:r>
      <w:r>
        <w:rPr>
          <w:rFonts w:hint="eastAsia" w:ascii="宋体" w:hAnsi="宋体" w:cs="宋体"/>
          <w:b/>
          <w:bCs/>
          <w:iCs/>
          <w:color w:val="auto"/>
          <w:sz w:val="28"/>
          <w:szCs w:val="28"/>
          <w:highlight w:val="none"/>
          <w:lang w:val="en-US" w:eastAsia="zh-CN"/>
        </w:rPr>
        <w:t>如有</w:t>
      </w:r>
      <w:r>
        <w:rPr>
          <w:rFonts w:hint="eastAsia" w:ascii="宋体" w:hAnsi="宋体" w:cs="宋体"/>
          <w:b/>
          <w:bCs/>
          <w:iCs/>
          <w:color w:val="auto"/>
          <w:sz w:val="28"/>
          <w:szCs w:val="28"/>
          <w:highlight w:val="none"/>
          <w:lang w:eastAsia="zh-CN"/>
        </w:rPr>
        <w:t>）</w:t>
      </w:r>
    </w:p>
    <w:p w14:paraId="519CFD4E">
      <w:pPr>
        <w:keepNext w:val="0"/>
        <w:keepLines w:val="0"/>
        <w:pageBreakBefore w:val="0"/>
        <w:widowControl w:val="0"/>
        <w:wordWrap/>
        <w:topLinePunct w:val="0"/>
        <w:bidi w:val="0"/>
        <w:spacing w:line="240" w:lineRule="auto"/>
        <w:rPr>
          <w:rFonts w:hint="eastAsia" w:ascii="宋体" w:hAnsi="宋体" w:eastAsia="宋体" w:cs="宋体"/>
          <w:b/>
          <w:bCs/>
          <w:iCs/>
          <w:color w:val="auto"/>
          <w:kern w:val="2"/>
          <w:sz w:val="28"/>
          <w:szCs w:val="28"/>
          <w:highlight w:val="none"/>
          <w:lang w:val="en-US" w:eastAsia="zh-CN" w:bidi="ar-SA"/>
        </w:rPr>
      </w:pPr>
    </w:p>
    <w:p w14:paraId="7F1FFDAD">
      <w:pPr>
        <w:keepNext w:val="0"/>
        <w:keepLines w:val="0"/>
        <w:pageBreakBefore w:val="0"/>
        <w:widowControl w:val="0"/>
        <w:wordWrap/>
        <w:topLinePunct w:val="0"/>
        <w:bidi w:val="0"/>
        <w:spacing w:line="240" w:lineRule="auto"/>
        <w:rPr>
          <w:rFonts w:hint="default" w:ascii="宋体" w:hAnsi="宋体" w:eastAsia="宋体" w:cs="宋体"/>
          <w:b/>
          <w:bCs/>
          <w:iCs/>
          <w:color w:val="auto"/>
          <w:kern w:val="2"/>
          <w:sz w:val="28"/>
          <w:szCs w:val="28"/>
          <w:highlight w:val="none"/>
          <w:lang w:val="en-US" w:eastAsia="zh-CN" w:bidi="ar-SA"/>
        </w:rPr>
      </w:pPr>
    </w:p>
    <w:p w14:paraId="4DE6A25F">
      <w:pPr>
        <w:keepNext w:val="0"/>
        <w:keepLines w:val="0"/>
        <w:pageBreakBefore w:val="0"/>
        <w:widowControl w:val="0"/>
        <w:wordWrap/>
        <w:topLinePunct w:val="0"/>
        <w:bidi w:val="0"/>
        <w:spacing w:line="240" w:lineRule="auto"/>
        <w:rPr>
          <w:rFonts w:hint="default" w:ascii="宋体" w:hAnsi="宋体" w:eastAsia="宋体" w:cs="宋体"/>
          <w:b/>
          <w:bCs/>
          <w:iCs/>
          <w:color w:val="auto"/>
          <w:kern w:val="2"/>
          <w:sz w:val="28"/>
          <w:szCs w:val="28"/>
          <w:highlight w:val="none"/>
          <w:lang w:val="en-US" w:eastAsia="zh-CN" w:bidi="ar-SA"/>
        </w:rPr>
      </w:pPr>
    </w:p>
    <w:p w14:paraId="21A61A33">
      <w:pPr>
        <w:keepNext w:val="0"/>
        <w:keepLines w:val="0"/>
        <w:pageBreakBefore w:val="0"/>
        <w:widowControl w:val="0"/>
        <w:wordWrap/>
        <w:topLinePunct w:val="0"/>
        <w:bidi w:val="0"/>
        <w:spacing w:line="240" w:lineRule="auto"/>
        <w:outlineLvl w:val="2"/>
        <w:rPr>
          <w:rFonts w:hint="eastAsia" w:ascii="宋体" w:hAnsi="宋体" w:eastAsia="宋体" w:cs="宋体"/>
          <w:b/>
          <w:bCs/>
          <w:iCs/>
          <w:color w:val="auto"/>
          <w:kern w:val="2"/>
          <w:sz w:val="28"/>
          <w:szCs w:val="28"/>
          <w:highlight w:val="none"/>
          <w:lang w:val="en-US" w:eastAsia="zh-CN" w:bidi="ar-SA"/>
        </w:rPr>
      </w:pPr>
      <w:r>
        <w:rPr>
          <w:rFonts w:hint="eastAsia" w:ascii="宋体" w:hAnsi="宋体" w:cs="宋体"/>
          <w:b/>
          <w:bCs/>
          <w:iCs/>
          <w:color w:val="auto"/>
          <w:kern w:val="2"/>
          <w:sz w:val="28"/>
          <w:szCs w:val="28"/>
          <w:highlight w:val="none"/>
          <w:lang w:val="en-US" w:eastAsia="zh-CN" w:bidi="ar-SA"/>
        </w:rPr>
        <w:t>3</w:t>
      </w:r>
      <w:r>
        <w:rPr>
          <w:rFonts w:hint="eastAsia" w:ascii="宋体" w:hAnsi="宋体" w:eastAsia="宋体" w:cs="宋体"/>
          <w:b/>
          <w:bCs/>
          <w:iCs/>
          <w:color w:val="auto"/>
          <w:kern w:val="2"/>
          <w:sz w:val="28"/>
          <w:szCs w:val="28"/>
          <w:highlight w:val="none"/>
          <w:lang w:val="en-US" w:eastAsia="zh-CN" w:bidi="ar-SA"/>
        </w:rPr>
        <w:t>.供应商可结合本项目的评审办法视自身情况自行提交其它相关证明材料。</w:t>
      </w:r>
    </w:p>
    <w:p w14:paraId="58B667E4">
      <w:pPr>
        <w:keepNext w:val="0"/>
        <w:keepLines w:val="0"/>
        <w:pageBreakBefore w:val="0"/>
        <w:widowControl w:val="0"/>
        <w:wordWrap/>
        <w:topLinePunct w:val="0"/>
        <w:bidi w:val="0"/>
        <w:spacing w:line="360" w:lineRule="auto"/>
        <w:ind w:firstLine="480" w:firstLineChars="200"/>
        <w:rPr>
          <w:rFonts w:hint="eastAsia" w:ascii="宋体" w:hAnsi="宋体" w:eastAsia="宋体" w:cs="宋体"/>
          <w:color w:val="auto"/>
          <w:sz w:val="24"/>
          <w:highlight w:val="none"/>
        </w:rPr>
      </w:pPr>
    </w:p>
    <w:p w14:paraId="7FBD7D79">
      <w:pPr>
        <w:keepNext w:val="0"/>
        <w:keepLines w:val="0"/>
        <w:pageBreakBefore w:val="0"/>
        <w:widowControl w:val="0"/>
        <w:wordWrap/>
        <w:topLinePunct w:val="0"/>
        <w:bidi w:val="0"/>
        <w:outlineLvl w:val="9"/>
        <w:rPr>
          <w:rFonts w:hint="eastAsia"/>
          <w:color w:val="auto"/>
          <w:highlight w:val="none"/>
        </w:rPr>
      </w:pPr>
      <w:r>
        <w:rPr>
          <w:rFonts w:hint="eastAsia"/>
          <w:color w:val="auto"/>
          <w:highlight w:val="none"/>
        </w:rPr>
        <w:br w:type="page"/>
      </w:r>
    </w:p>
    <w:p w14:paraId="7EAC9AD7">
      <w:pPr>
        <w:pStyle w:val="2"/>
        <w:keepNext w:val="0"/>
        <w:keepLines w:val="0"/>
        <w:pageBreakBefore w:val="0"/>
        <w:widowControl w:val="0"/>
        <w:wordWrap/>
        <w:topLinePunct w:val="0"/>
        <w:bidi w:val="0"/>
        <w:spacing w:line="240" w:lineRule="auto"/>
        <w:jc w:val="center"/>
        <w:outlineLvl w:val="0"/>
        <w:rPr>
          <w:rFonts w:hint="eastAsia"/>
          <w:color w:val="auto"/>
          <w:highlight w:val="none"/>
        </w:rPr>
      </w:pPr>
      <w:bookmarkStart w:id="1994" w:name="_Toc25736"/>
      <w:r>
        <w:rPr>
          <w:rFonts w:hint="eastAsia"/>
          <w:color w:val="auto"/>
          <w:highlight w:val="none"/>
        </w:rPr>
        <w:t>第七章</w:t>
      </w:r>
      <w:r>
        <w:rPr>
          <w:rFonts w:hint="eastAsia"/>
          <w:color w:val="auto"/>
          <w:highlight w:val="none"/>
          <w:lang w:val="en-US" w:eastAsia="zh-CN"/>
        </w:rPr>
        <w:t xml:space="preserve"> </w:t>
      </w:r>
      <w:r>
        <w:rPr>
          <w:rFonts w:hint="eastAsia"/>
          <w:color w:val="auto"/>
          <w:highlight w:val="none"/>
        </w:rPr>
        <w:t>图纸</w:t>
      </w:r>
      <w:bookmarkEnd w:id="1994"/>
    </w:p>
    <w:p w14:paraId="497433B7">
      <w:pPr>
        <w:keepNext w:val="0"/>
        <w:keepLines w:val="0"/>
        <w:pageBreakBefore w:val="0"/>
        <w:widowControl w:val="0"/>
        <w:wordWrap/>
        <w:topLinePunct w:val="0"/>
        <w:bidi w:val="0"/>
        <w:jc w:val="center"/>
        <w:rPr>
          <w:rFonts w:hint="eastAsia"/>
          <w:color w:val="auto"/>
          <w:highlight w:val="none"/>
        </w:rPr>
      </w:pPr>
    </w:p>
    <w:p w14:paraId="7571A44F">
      <w:pPr>
        <w:keepNext w:val="0"/>
        <w:keepLines w:val="0"/>
        <w:pageBreakBefore w:val="0"/>
        <w:widowControl w:val="0"/>
        <w:wordWrap/>
        <w:topLinePunct w:val="0"/>
        <w:bidi w:val="0"/>
        <w:spacing w:line="240" w:lineRule="auto"/>
        <w:jc w:val="center"/>
        <w:outlineLvl w:val="9"/>
        <w:rPr>
          <w:rFonts w:hint="default"/>
          <w:color w:val="auto"/>
          <w:sz w:val="36"/>
          <w:szCs w:val="36"/>
          <w:highlight w:val="none"/>
          <w:lang w:val="en-US" w:eastAsia="zh-CN"/>
        </w:rPr>
      </w:pPr>
      <w:r>
        <w:rPr>
          <w:rFonts w:hint="default"/>
          <w:color w:val="auto"/>
          <w:sz w:val="36"/>
          <w:szCs w:val="36"/>
          <w:highlight w:val="none"/>
          <w:lang w:val="en-US" w:eastAsia="zh-CN"/>
        </w:rPr>
        <w:t>另附（电子版自行下载）</w:t>
      </w:r>
    </w:p>
    <w:p w14:paraId="1D3EA79E">
      <w:pPr>
        <w:keepNext w:val="0"/>
        <w:keepLines w:val="0"/>
        <w:pageBreakBefore w:val="0"/>
        <w:widowControl w:val="0"/>
        <w:wordWrap/>
        <w:topLinePunct w:val="0"/>
        <w:bidi w:val="0"/>
        <w:rPr>
          <w:color w:val="auto"/>
          <w:highlight w:val="none"/>
        </w:rPr>
      </w:pPr>
    </w:p>
    <w:p w14:paraId="4E4D2CEA">
      <w:pPr>
        <w:keepNext w:val="0"/>
        <w:keepLines w:val="0"/>
        <w:pageBreakBefore w:val="0"/>
        <w:widowControl w:val="0"/>
        <w:wordWrap/>
        <w:topLinePunct w:val="0"/>
        <w:bidi w:val="0"/>
        <w:rPr>
          <w:color w:val="auto"/>
          <w:highlight w:val="none"/>
        </w:rPr>
      </w:pPr>
    </w:p>
    <w:p w14:paraId="61F93AB6">
      <w:pPr>
        <w:keepNext w:val="0"/>
        <w:keepLines w:val="0"/>
        <w:pageBreakBefore w:val="0"/>
        <w:widowControl w:val="0"/>
        <w:wordWrap/>
        <w:topLinePunct w:val="0"/>
        <w:bidi w:val="0"/>
        <w:rPr>
          <w:color w:val="auto"/>
        </w:rPr>
      </w:pPr>
    </w:p>
    <w:sectPr>
      <w:headerReference r:id="rId8" w:type="default"/>
      <w:footerReference r:id="rId9" w:type="default"/>
      <w:pgSz w:w="11910" w:h="16850"/>
      <w:pgMar w:top="1304" w:right="1134" w:bottom="1191" w:left="1247" w:header="876" w:footer="861" w:gutter="0"/>
      <w:pgNumType w:fmt="decimal"/>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63BF54F-C571-4B26-863F-8CC8179773C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DC266C4E-AD10-4D75-9AFC-4EBB268C73BE}"/>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auto"/>
    <w:pitch w:val="default"/>
    <w:sig w:usb0="E4002EFF" w:usb1="C200247B" w:usb2="00000009" w:usb3="00000000" w:csb0="200001FF" w:csb1="00000000"/>
  </w:font>
  <w:font w:name="monospace">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 w:name="隶书">
    <w:panose1 w:val="02010509060101010101"/>
    <w:charset w:val="86"/>
    <w:family w:val="modern"/>
    <w:pitch w:val="default"/>
    <w:sig w:usb0="00000001" w:usb1="080E0000" w:usb2="00000000" w:usb3="00000000" w:csb0="00040000" w:csb1="00000000"/>
    <w:embedRegular r:id="rId3" w:fontKey="{D8AA91D2-0731-47F7-861A-FD8457F452D2}"/>
  </w:font>
  <w:font w:name="仿宋_GB2312">
    <w:altName w:val="仿宋"/>
    <w:panose1 w:val="02010609030101010101"/>
    <w:charset w:val="86"/>
    <w:family w:val="modern"/>
    <w:pitch w:val="default"/>
    <w:sig w:usb0="00000000" w:usb1="00000000" w:usb2="00000000" w:usb3="00000000" w:csb0="00040000" w:csb1="00000000"/>
    <w:embedRegular r:id="rId4" w:fontKey="{A009738B-9208-4EE5-9BDF-A6882483C785}"/>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embedRegular r:id="rId5" w:fontKey="{01CD170B-1291-445B-BC71-1DA459B135D9}"/>
  </w:font>
  <w:font w:name="方正仿宋_GBK">
    <w:panose1 w:val="02000000000000000000"/>
    <w:charset w:val="86"/>
    <w:family w:val="script"/>
    <w:pitch w:val="default"/>
    <w:sig w:usb0="A00002BF" w:usb1="38CF7CFA" w:usb2="00082016" w:usb3="00000000" w:csb0="00040001" w:csb1="00000000"/>
    <w:embedRegular r:id="rId6" w:fontKey="{F19CB610-48E0-462D-9E4F-46260F1B899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47BD0">
    <w:pPr>
      <w:pStyle w:val="13"/>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矩形 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41B504A1">
                          <w:pPr>
                            <w:pStyle w:val="13"/>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rect id="_x0000_s1026" o:spid="_x0000_s1026" o:spt="1"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LOwMsfEAQAAmgMAAA4AAABkcnMvZTJvRG9jLnhtbK1TzW7bMAy+D+g7&#10;CLo3dnIYAiNOUSDoMGBoC3R7AEWWYwH6A6nEztMM2G0PsccZ9hqjZDvtuksPvcgkRX3k95He3AzW&#10;sJMC1N7VfLkoOVNO+ka7Q82/fb27XnOGUbhGGO9Uzc8K+c326sOmD5Va+c6bRgEjEIdVH2rexRiq&#10;okDZKStw4YNydNl6sCKSC4eiAdETujXFqiw/Fr2HJoCXCpGiu/GST4jwFkDftlqqnZdHq1wcUUEZ&#10;EYkSdjog3+Zu21bJ+NC2qCIzNSemMZ9UhOx9OovtRlQHEKHTcmpBvKWFV5ys0I6KXqB2Igp2BP0f&#10;lNUSPPo2LqS3xUgkK0IsluUrbZ46EVTmQlJjuIiO7wcr70+PwHRDm8CZE5YG/uf7z9+/frBl0qYP&#10;WFHKU3iEyUMyE9GhBZu+RIENWc/zRU81RCYpuFyv1uuSpJZ0NzuEUzw/D4Dxk/KWJaPmQAPLOorT&#10;F4xj6pySqjl/p42huKiM+ydAmGNE5alPr1P/Y8fJisN+mGjsfXMm4j1NvuaOFp0z89mRsGlJZgNm&#10;Yz8bxwD60OUtStUx3B4jtZQ7TRVGWGKYHBpZ5jqtV9qJl37Oev6ltn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LOwMsfEAQAAmgMAAA4AAAAAAAAAAQAgAAAAHwEAAGRycy9lMm9Eb2MueG1s&#10;UEsFBgAAAAAGAAYAWQEAAFUFAAAAAA==&#10;">
              <v:fill on="f" focussize="0,0"/>
              <v:stroke on="f"/>
              <v:imagedata o:title=""/>
              <o:lock v:ext="edit" aspectratio="f"/>
              <v:textbox inset="0mm,0mm,0mm,0mm" style="mso-fit-shape-to-text:t;">
                <w:txbxContent>
                  <w:p w14:paraId="41B504A1">
                    <w:pPr>
                      <w:pStyle w:val="13"/>
                    </w:pPr>
                    <w:r>
                      <w:fldChar w:fldCharType="begin"/>
                    </w:r>
                    <w:r>
                      <w:instrText xml:space="preserve"> PAGE  \* MERGEFORMAT </w:instrText>
                    </w:r>
                    <w:r>
                      <w:fldChar w:fldCharType="separate"/>
                    </w:r>
                    <w:r>
                      <w:t>2</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35B76">
    <w:pPr>
      <w:pStyle w:val="13"/>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矩形 2"/>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62780789">
                          <w:pPr>
                            <w:pStyle w:val="1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rect id="_x0000_s1026" o:spid="_x0000_s1026" o:spt="1"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fqq+fEAQAAmgMAAA4AAABkcnMvZTJvRG9jLnhtbK1TzYrbMBC+F/oO&#10;QvfGjg8lmDjLQthSKO3Ctg+gyHIs0B8zSuw8TaG3PkQfp/Q1OpLt7HZ72cNe5JnR6Jv5vhlvb0Zr&#10;2FkBau8avl6VnCknfavdseHfvt6923CGUbhWGO9Uwy8K+c3u7ZvtEGpV+d6bVgEjEIf1EBrexxjq&#10;okDZKytw5YNydNl5sCKSC8eiBTEQujVFVZbvi8FDG8BLhUjR/XTJZ0R4CaDvOi3V3suTVS5OqKCM&#10;iEQJex2Q73K3Xadk/NJ1qCIzDSemMZ9UhOxDOovdVtRHEKHXcm5BvKSFZ5ys0I6KXqH2Igp2Av0f&#10;lNUSPPourqS3xUQkK0Is1uUzbR56EVTmQlJjuIqOrwcrP5/vgem24RVnTlga+J/vP3//+sGqpM0Q&#10;sKaUh3APs4dkJqJjBzZ9iQIbs56Xq55qjExScL2pNpuSpJZ0tziEUzw+D4Dxg/KWJaPhQAPLOorz&#10;J4xT6pKSqjl/p42huKiN+ydAmFNE5anPr1P/U8fJiuNhnGkcfHsh4gNNvuGOFp0z89GRsGlJFgMW&#10;47AYpwD62OctStUx3J4itZQ7TRUmWGKYHBpZ5jqvV9qJp37Oevyldn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Bfqq+fEAQAAmgMAAA4AAAAAAAAAAQAgAAAAHwEAAGRycy9lMm9Eb2MueG1s&#10;UEsFBgAAAAAGAAYAWQEAAFUFAAAAAA==&#10;">
              <v:fill on="f" focussize="0,0"/>
              <v:stroke on="f"/>
              <v:imagedata o:title=""/>
              <o:lock v:ext="edit" aspectratio="f"/>
              <v:textbox inset="0mm,0mm,0mm,0mm" style="mso-fit-shape-to-text:t;">
                <w:txbxContent>
                  <w:p w14:paraId="62780789">
                    <w:pPr>
                      <w:pStyle w:val="13"/>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1DABC">
    <w:pPr>
      <w:pStyle w:val="1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9" name="矩形 4099"/>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43012EDB">
                          <w:pPr>
                            <w:pStyle w:val="13"/>
                          </w:pPr>
                          <w:r>
                            <w:fldChar w:fldCharType="begin"/>
                          </w:r>
                          <w:r>
                            <w:instrText xml:space="preserve"> PAGE  \* MERGEFORMAT </w:instrText>
                          </w:r>
                          <w:r>
                            <w:fldChar w:fldCharType="separate"/>
                          </w:r>
                          <w:r>
                            <w:t>4</w:t>
                          </w:r>
                          <w:r>
                            <w:fldChar w:fldCharType="end"/>
                          </w:r>
                        </w:p>
                      </w:txbxContent>
                    </wps:txbx>
                    <wps:bodyPr wrap="none" lIns="0" tIns="0" rIns="0" bIns="0" upright="0">
                      <a:spAutoFit/>
                    </wps:bodyPr>
                  </wps:wsp>
                </a:graphicData>
              </a:graphic>
            </wp:anchor>
          </w:drawing>
        </mc:Choice>
        <mc:Fallback>
          <w:pict>
            <v:rect id="_x0000_s1026" o:spid="_x0000_s1026" o:spt="1"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GyZ7mnIAQAAoAMAAA4AAABkcnMvZTJvRG9jLnhtbK1TzW7bMAy+D+g7&#10;CLo3doJiSI04xYCgQ4FhK9DtARRZjgXoD6QSO08zYLc9xB5n2GuMku106y497CKTFPWR30d6czdY&#10;w04KUHtX8+Wi5Ew56RvtDjX/8vn+es0ZRuEaYbxTNT8r5HfbqzebPlRq5TtvGgWMQBxWfah5F2Oo&#10;igJlp6zAhQ/K0WXrwYpILhyKBkRP6NYUq7J8W/QemgBeKkSK7sZLPiHCawB922qpdl4erXJxRAVl&#10;RCRK2OmAfJu7bVsl46e2RRWZqTkxjfmkImTv01lsN6I6gAidllML4jUtvOBkhXZU9AK1E1GwI+h/&#10;oKyW4NG3cSG9LUYiWRFisSxfaPPUiaAyF5Iaw0V0/H+w8uPpEZhuan5T3t5y5oSlmf/6+v3nj28s&#10;h0ihPmBFiU/hESYPyUx0hxZs+hIRNmRVzxdV1RCZpOByvVqvSxJc0t3sEE7x/DwAxvfKW5aMmgON&#10;LaspTh8wjqlzSqrm/L02huKiMu6vAGGOEZVnP71O/Y8dJysO+2GisffNmej3NP+aO1p3zsyDI3nT&#10;qswGzMZ+No4B9KHLu5SqY3h3jNRS7jRVGGGJYXJocJnrtGRpM/70c9bzj7X9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Ll1uVLQAAAABQEAAA8AAAAAAAAAAQAgAAAAIgAAAGRycy9kb3ducmV2Lnht&#10;bFBLAQIUABQAAAAIAIdO4kBsme5pyAEAAKADAAAOAAAAAAAAAAEAIAAAAB8BAABkcnMvZTJvRG9j&#10;LnhtbFBLBQYAAAAABgAGAFkBAABZBQAAAAA=&#10;">
              <v:fill on="f" focussize="0,0"/>
              <v:stroke on="f"/>
              <v:imagedata o:title=""/>
              <o:lock v:ext="edit" aspectratio="f"/>
              <v:textbox inset="0mm,0mm,0mm,0mm" style="mso-fit-shape-to-text:t;">
                <w:txbxContent>
                  <w:p w14:paraId="43012EDB">
                    <w:pPr>
                      <w:pStyle w:val="13"/>
                    </w:pPr>
                    <w:r>
                      <w:fldChar w:fldCharType="begin"/>
                    </w:r>
                    <w:r>
                      <w:instrText xml:space="preserve"> PAGE  \* MERGEFORMAT </w:instrText>
                    </w:r>
                    <w:r>
                      <w:fldChar w:fldCharType="separate"/>
                    </w:r>
                    <w:r>
                      <w:t>4</w:t>
                    </w:r>
                    <w: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C9B69">
    <w:pPr>
      <w:pStyle w:val="1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100" name="矩形 4100"/>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1F89854B">
                          <w:pPr>
                            <w:pStyle w:val="1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rect id="_x0000_s1026" o:spid="_x0000_s1026" o:spt="1"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L13BFnGAQAAoAMAAA4AAABkcnMvZTJvRG9jLnhtbK1TzW7bMAy+D+g7&#10;CLo3doJhCIw4RYGgxYCiK9DtARRZjgXoD6QSO08zYLc9xB5n2GuMku106y497CKTFPWR30d6czNY&#10;w04KUHtX8+Wi5Ew56RvtDjX/8vnues0ZRuEaYbxTNT8r5Dfbq3ebPlRq5TtvGgWMQBxWfah5F2Oo&#10;igJlp6zAhQ/K0WXrwYpILhyKBkRP6NYUq7L8UPQemgBeKkSK7sZLPiHCWwB922qpdl4erXJxRAVl&#10;RCRK2OmAfJu7bVsl46e2RRWZqTkxjfmkImTv01lsN6I6gAidllML4i0tvOJkhXZU9AK1E1GwI+h/&#10;oKyW4NG3cSG9LUYiWRFisSxfafPciaAyF5Iaw0V0/H+w8vH0BEw3NX+/LEkUJyzN/NfX7z9/fGM5&#10;RAr1AStKfA5PMHlIZqI7tGDTl4iwIat6vqiqhsgkBZfr1XqdsCXdzQ7hFC/PA2C8V96yZNQcaGxZ&#10;TXF6wDimzimpmvN32hiKi8q4vwKEOUZUnv30OvU/dpysOOyHicbeN2ei39P8a+5o3TkzHx3Jm1Zl&#10;NmA29rNxDKAPXd6lVB3D7TFSS7nTVGGEJYbJocFlrtOSpc34089ZLz/W9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5dblS0AAAAAUBAAAPAAAAAAAAAAEAIAAAACIAAABkcnMvZG93bnJldi54bWxQ&#10;SwECFAAUAAAACACHTuJAvXcEWcYBAACgAwAADgAAAAAAAAABACAAAAAfAQAAZHJzL2Uyb0RvYy54&#10;bWxQSwUGAAAAAAYABgBZAQAAVwUAAAAA&#10;">
              <v:fill on="f" focussize="0,0"/>
              <v:stroke on="f"/>
              <v:imagedata o:title=""/>
              <o:lock v:ext="edit" aspectratio="f"/>
              <v:textbox inset="0mm,0mm,0mm,0mm" style="mso-fit-shape-to-text:t;">
                <w:txbxContent>
                  <w:p w14:paraId="1F89854B">
                    <w:pPr>
                      <w:pStyle w:val="13"/>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F9A22A">
    <w:pPr>
      <w:pStyle w:val="13"/>
      <w:jc w:val="cente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DDA806">
                          <w:pPr>
                            <w:pStyle w:val="13"/>
                            <w:jc w:val="center"/>
                          </w:pPr>
                          <w:r>
                            <w:fldChar w:fldCharType="begin"/>
                          </w:r>
                          <w:r>
                            <w:instrText xml:space="preserve">PAGE   \* MERGEFORMAT</w:instrText>
                          </w:r>
                          <w:r>
                            <w:fldChar w:fldCharType="separate"/>
                          </w:r>
                          <w:r>
                            <w:rPr>
                              <w:lang w:val="zh-CN"/>
                            </w:rP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2DDA806">
                    <w:pPr>
                      <w:pStyle w:val="13"/>
                      <w:jc w:val="center"/>
                    </w:pPr>
                    <w:r>
                      <w:fldChar w:fldCharType="begin"/>
                    </w:r>
                    <w:r>
                      <w:instrText xml:space="preserve">PAGE   \* MERGEFORMAT</w:instrText>
                    </w:r>
                    <w:r>
                      <w:fldChar w:fldCharType="separate"/>
                    </w:r>
                    <w:r>
                      <w:rPr>
                        <w:lang w:val="zh-CN"/>
                      </w:rPr>
                      <w:t>65</w:t>
                    </w:r>
                    <w:r>
                      <w:fldChar w:fldCharType="end"/>
                    </w:r>
                  </w:p>
                </w:txbxContent>
              </v:textbox>
            </v:shape>
          </w:pict>
        </mc:Fallback>
      </mc:AlternateContent>
    </w:r>
  </w:p>
  <w:p w14:paraId="24A0D494">
    <w:pPr>
      <w:pStyle w:val="1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14239">
    <w:pPr>
      <w:pStyle w:val="13"/>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101" name="矩形 410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2D9C915B">
                          <w:pPr>
                            <w:pStyle w:val="13"/>
                          </w:pPr>
                          <w:r>
                            <w:fldChar w:fldCharType="begin"/>
                          </w:r>
                          <w:r>
                            <w:instrText xml:space="preserve"> PAGE  \* MERGEFORMAT </w:instrText>
                          </w:r>
                          <w:r>
                            <w:fldChar w:fldCharType="separate"/>
                          </w:r>
                          <w:r>
                            <w:t>64</w:t>
                          </w:r>
                          <w:r>
                            <w:fldChar w:fldCharType="end"/>
                          </w:r>
                        </w:p>
                      </w:txbxContent>
                    </wps:txbx>
                    <wps:bodyPr wrap="none" lIns="0" tIns="0" rIns="0" bIns="0" upright="0">
                      <a:spAutoFit/>
                    </wps:bodyPr>
                  </wps:wsp>
                </a:graphicData>
              </a:graphic>
            </wp:anchor>
          </w:drawing>
        </mc:Choice>
        <mc:Fallback>
          <w:pict>
            <v:rect id="_x0000_s1026" o:spid="_x0000_s1026" o:spt="1"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PhLAYDHAQAAoAMAAA4AAABkcnMvZTJvRG9jLnhtbK1TzYrbMBC+F/oO&#10;QvfGdiglmDjLQtilUNqFbR9AkeVYoD9mlNh5mkJvfYg+TulrdCTb2XZ72UMv8sxo9M1834y3N6M1&#10;7KwAtXcNr1YlZ8pJ32p3bPiXz3dvNpxhFK4VxjvV8ItCfrN7/Wo7hFqtfe9Nq4ARiMN6CA3vYwx1&#10;UaDslRW48kE5uuw8WBHJhWPRghgI3ZpiXZbvisFDG8BLhUjR/XTJZ0R4CaDvOi3V3suTVS5OqKCM&#10;iEQJex2Q73K3Xadk/NR1qCIzDSemMZ9UhOxDOovdVtRHEKHXcm5BvKSFZ5ys0I6KXqH2Igp2Av0P&#10;lNUSPPourqS3xUQkK0IsqvKZNo+9CCpzIakxXEXH/wcrP54fgOm24W+rsuLMCUsz//X1+88f31gO&#10;kUJDwJoSH8MDzB6SmeiOHdj0JSJszKperqqqMTJJwWqz3mxKElzS3eIQTvH0PADGe+UtS0bDgcaW&#10;1RTnDxin1CUlVXP+ThtDcVEb91eAMKeIyrOfX6f+p46TFcfDONM4+PZC9Aeaf8MdrTtn5r0jedOq&#10;LAYsxmExTgH0sc+7lKpjuD1Fail3mipMsMQwOTS4zHVesrQZf/o56+nH2v0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uXW5UtAAAAAFAQAADwAAAAAAAAABACAAAAAiAAAAZHJzL2Rvd25yZXYueG1s&#10;UEsBAhQAFAAAAAgAh07iQPhLAYDHAQAAoAMAAA4AAAAAAAAAAQAgAAAAHwEAAGRycy9lMm9Eb2Mu&#10;eG1sUEsFBgAAAAAGAAYAWQEAAFgFAAAAAA==&#10;">
              <v:fill on="f" focussize="0,0"/>
              <v:stroke on="f"/>
              <v:imagedata o:title=""/>
              <o:lock v:ext="edit" aspectratio="f"/>
              <v:textbox inset="0mm,0mm,0mm,0mm" style="mso-fit-shape-to-text:t;">
                <w:txbxContent>
                  <w:p w14:paraId="2D9C915B">
                    <w:pPr>
                      <w:pStyle w:val="13"/>
                    </w:pPr>
                    <w:r>
                      <w:fldChar w:fldCharType="begin"/>
                    </w:r>
                    <w:r>
                      <w:instrText xml:space="preserve"> PAGE  \* MERGEFORMAT </w:instrText>
                    </w:r>
                    <w:r>
                      <w:fldChar w:fldCharType="separate"/>
                    </w:r>
                    <w:r>
                      <w:t>64</w:t>
                    </w:r>
                    <w:r>
                      <w:fldChar w:fldCharType="end"/>
                    </w:r>
                  </w:p>
                </w:txbxContent>
              </v:textbox>
            </v:rect>
          </w:pict>
        </mc:Fallback>
      </mc:AlternateContent>
    </w:r>
  </w:p>
  <w:p w14:paraId="1B2643ED">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B24C5">
    <w:pPr>
      <w:pStyle w:val="14"/>
      <w:pBdr>
        <w:top w:val="none" w:color="auto" w:sz="0" w:space="0"/>
        <w:left w:val="none" w:color="auto" w:sz="0" w:space="0"/>
        <w:bottom w:val="none" w:color="auto" w:sz="0" w:space="1"/>
        <w:right w:val="none" w:color="auto" w:sz="0" w:space="0"/>
        <w:between w:val="none" w:color="auto" w:sz="0" w:space="0"/>
      </w:pBdr>
      <w:ind w:firstLine="0" w:firstLineChars="0"/>
      <w:jc w:val="both"/>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singleLevel"/>
    <w:tmpl w:val="00000002"/>
    <w:lvl w:ilvl="0" w:tentative="0">
      <w:start w:val="2"/>
      <w:numFmt w:val="decimal"/>
      <w:suff w:val="nothing"/>
      <w:lvlText w:val="（%1）"/>
      <w:lvlJc w:val="left"/>
    </w:lvl>
  </w:abstractNum>
  <w:abstractNum w:abstractNumId="1">
    <w:nsid w:val="00000003"/>
    <w:multiLevelType w:val="singleLevel"/>
    <w:tmpl w:val="00000003"/>
    <w:lvl w:ilvl="0" w:tentative="0">
      <w:start w:val="1"/>
      <w:numFmt w:val="chineseCounting"/>
      <w:suff w:val="space"/>
      <w:lvlText w:val="第%1部分"/>
      <w:lvlJc w:val="left"/>
      <w:rPr>
        <w:rFonts w:hint="eastAsia"/>
      </w:rPr>
    </w:lvl>
  </w:abstractNum>
  <w:abstractNum w:abstractNumId="2">
    <w:nsid w:val="00000005"/>
    <w:multiLevelType w:val="multilevel"/>
    <w:tmpl w:val="00000005"/>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第%2节　"/>
      <w:lvlJc w:val="left"/>
      <w:pPr>
        <w:ind w:left="0" w:firstLine="402"/>
      </w:pPr>
      <w:rPr>
        <w:rFonts w:hint="eastAsia"/>
      </w:rPr>
    </w:lvl>
    <w:lvl w:ilvl="2" w:tentative="0">
      <w:start w:val="1"/>
      <w:numFmt w:val="chineseCounting"/>
      <w:suff w:val="nothing"/>
      <w:lvlText w:val="第%3条　"/>
      <w:lvlJc w:val="left"/>
      <w:pPr>
        <w:ind w:left="0" w:firstLine="402"/>
      </w:pPr>
      <w:rPr>
        <w:rFonts w:hint="eastAsia"/>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abstractNum w:abstractNumId="3">
    <w:nsid w:val="00000009"/>
    <w:multiLevelType w:val="singleLevel"/>
    <w:tmpl w:val="00000009"/>
    <w:lvl w:ilvl="0" w:tentative="0">
      <w:start w:val="4"/>
      <w:numFmt w:val="decimal"/>
      <w:suff w:val="nothing"/>
      <w:lvlText w:val="（%1）"/>
      <w:lvlJc w:val="left"/>
    </w:lvl>
  </w:abstractNum>
  <w:abstractNum w:abstractNumId="4">
    <w:nsid w:val="0000000A"/>
    <w:multiLevelType w:val="singleLevel"/>
    <w:tmpl w:val="0000000A"/>
    <w:lvl w:ilvl="0" w:tentative="0">
      <w:start w:val="2"/>
      <w:numFmt w:val="decimal"/>
      <w:suff w:val="nothing"/>
      <w:lvlText w:val="（%1）"/>
      <w:lvlJc w:val="left"/>
    </w:lvl>
  </w:abstractNum>
  <w:abstractNum w:abstractNumId="5">
    <w:nsid w:val="0000000C"/>
    <w:multiLevelType w:val="singleLevel"/>
    <w:tmpl w:val="0000000C"/>
    <w:lvl w:ilvl="0" w:tentative="0">
      <w:start w:val="6"/>
      <w:numFmt w:val="chineseCounting"/>
      <w:suff w:val="nothing"/>
      <w:lvlText w:val="%1、"/>
      <w:lvlJc w:val="left"/>
      <w:rPr>
        <w:rFonts w:hint="eastAsia"/>
      </w:rPr>
    </w:lvl>
  </w:abstractNum>
  <w:abstractNum w:abstractNumId="6">
    <w:nsid w:val="0000000D"/>
    <w:multiLevelType w:val="singleLevel"/>
    <w:tmpl w:val="0000000D"/>
    <w:lvl w:ilvl="0" w:tentative="0">
      <w:start w:val="2"/>
      <w:numFmt w:val="decimal"/>
      <w:lvlText w:val="%1."/>
      <w:lvlJc w:val="left"/>
      <w:pPr>
        <w:tabs>
          <w:tab w:val="left" w:pos="312"/>
        </w:tabs>
      </w:pPr>
    </w:lvl>
  </w:abstractNum>
  <w:abstractNum w:abstractNumId="7">
    <w:nsid w:val="00000010"/>
    <w:multiLevelType w:val="singleLevel"/>
    <w:tmpl w:val="00000010"/>
    <w:lvl w:ilvl="0" w:tentative="0">
      <w:start w:val="5"/>
      <w:numFmt w:val="decimal"/>
      <w:suff w:val="space"/>
      <w:lvlText w:val="%1."/>
      <w:lvlJc w:val="left"/>
    </w:lvl>
  </w:abstractNum>
  <w:abstractNum w:abstractNumId="8">
    <w:nsid w:val="66D869F1"/>
    <w:multiLevelType w:val="singleLevel"/>
    <w:tmpl w:val="66D869F1"/>
    <w:lvl w:ilvl="0" w:tentative="0">
      <w:start w:val="1"/>
      <w:numFmt w:val="chineseCounting"/>
      <w:suff w:val="nothing"/>
      <w:lvlText w:val="（%1）"/>
      <w:lvlJc w:val="left"/>
      <w:pPr>
        <w:ind w:left="482"/>
      </w:pPr>
      <w:rPr>
        <w:rFonts w:hint="eastAsia"/>
      </w:rPr>
    </w:lvl>
  </w:abstractNum>
  <w:abstractNum w:abstractNumId="9">
    <w:nsid w:val="7D335EFA"/>
    <w:multiLevelType w:val="singleLevel"/>
    <w:tmpl w:val="7D335EFA"/>
    <w:lvl w:ilvl="0" w:tentative="0">
      <w:start w:val="1"/>
      <w:numFmt w:val="decimal"/>
      <w:suff w:val="space"/>
      <w:lvlText w:val="%1."/>
      <w:lvlJc w:val="left"/>
    </w:lvl>
  </w:abstractNum>
  <w:num w:numId="1">
    <w:abstractNumId w:val="2"/>
  </w:num>
  <w:num w:numId="2">
    <w:abstractNumId w:val="7"/>
  </w:num>
  <w:num w:numId="3">
    <w:abstractNumId w:val="0"/>
  </w:num>
  <w:num w:numId="4">
    <w:abstractNumId w:val="1"/>
  </w:num>
  <w:num w:numId="5">
    <w:abstractNumId w:val="3"/>
  </w:num>
  <w:num w:numId="6">
    <w:abstractNumId w:val="4"/>
  </w:num>
  <w:num w:numId="7">
    <w:abstractNumId w:val="5"/>
  </w:num>
  <w:num w:numId="8">
    <w:abstractNumId w:val="6"/>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I5OTBjMGE3NzAzY2JmZjg2MTZhMGMwYTFkYWIxODQifQ=="/>
    <w:docVar w:name="KSO_WPS_MARK_KEY" w:val="a3adb148-270f-42ae-9ec3-2fe99b1ace6b"/>
  </w:docVars>
  <w:rsids>
    <w:rsidRoot w:val="23B209CE"/>
    <w:rsid w:val="00854A72"/>
    <w:rsid w:val="00930024"/>
    <w:rsid w:val="00FA5C08"/>
    <w:rsid w:val="01747E56"/>
    <w:rsid w:val="01810306"/>
    <w:rsid w:val="01937374"/>
    <w:rsid w:val="01B26CA5"/>
    <w:rsid w:val="01C144D9"/>
    <w:rsid w:val="01CA6557"/>
    <w:rsid w:val="01DE5CAD"/>
    <w:rsid w:val="021013A5"/>
    <w:rsid w:val="02111B48"/>
    <w:rsid w:val="022A4193"/>
    <w:rsid w:val="024E143B"/>
    <w:rsid w:val="025F388A"/>
    <w:rsid w:val="02F97044"/>
    <w:rsid w:val="03462ABC"/>
    <w:rsid w:val="035D4C71"/>
    <w:rsid w:val="03BF4B97"/>
    <w:rsid w:val="042042C5"/>
    <w:rsid w:val="045A35CA"/>
    <w:rsid w:val="048E5251"/>
    <w:rsid w:val="04C3537C"/>
    <w:rsid w:val="0513305A"/>
    <w:rsid w:val="05467449"/>
    <w:rsid w:val="055B3806"/>
    <w:rsid w:val="05951810"/>
    <w:rsid w:val="06336531"/>
    <w:rsid w:val="06435EAF"/>
    <w:rsid w:val="068C3E93"/>
    <w:rsid w:val="069074E0"/>
    <w:rsid w:val="06E4782C"/>
    <w:rsid w:val="06E55C44"/>
    <w:rsid w:val="06FB0143"/>
    <w:rsid w:val="07A1571D"/>
    <w:rsid w:val="086955C6"/>
    <w:rsid w:val="08BB5A99"/>
    <w:rsid w:val="08F136C4"/>
    <w:rsid w:val="09016473"/>
    <w:rsid w:val="091268D2"/>
    <w:rsid w:val="098F3F42"/>
    <w:rsid w:val="09954AB1"/>
    <w:rsid w:val="09980C74"/>
    <w:rsid w:val="09A6701A"/>
    <w:rsid w:val="09B434E5"/>
    <w:rsid w:val="09D81E6C"/>
    <w:rsid w:val="09EA30C6"/>
    <w:rsid w:val="09F2400E"/>
    <w:rsid w:val="09FF4C04"/>
    <w:rsid w:val="0A540824"/>
    <w:rsid w:val="0A623D92"/>
    <w:rsid w:val="0A68645A"/>
    <w:rsid w:val="0A8C6210"/>
    <w:rsid w:val="0AC4545B"/>
    <w:rsid w:val="0AC92FC0"/>
    <w:rsid w:val="0B1526A9"/>
    <w:rsid w:val="0B7E7B06"/>
    <w:rsid w:val="0B815649"/>
    <w:rsid w:val="0BD6146D"/>
    <w:rsid w:val="0BF26547"/>
    <w:rsid w:val="0C9462C4"/>
    <w:rsid w:val="0C9F66CF"/>
    <w:rsid w:val="0CFB167C"/>
    <w:rsid w:val="0D3B5CCB"/>
    <w:rsid w:val="0D4D384D"/>
    <w:rsid w:val="0D814026"/>
    <w:rsid w:val="0D851C9F"/>
    <w:rsid w:val="0E685C3E"/>
    <w:rsid w:val="0E814C31"/>
    <w:rsid w:val="0E836F5A"/>
    <w:rsid w:val="0E8A2861"/>
    <w:rsid w:val="0E8C5E08"/>
    <w:rsid w:val="0E985859"/>
    <w:rsid w:val="0F3D3F7D"/>
    <w:rsid w:val="0FA364D6"/>
    <w:rsid w:val="0FB87AA7"/>
    <w:rsid w:val="100625C1"/>
    <w:rsid w:val="10117CE4"/>
    <w:rsid w:val="10241CB3"/>
    <w:rsid w:val="110D5B7B"/>
    <w:rsid w:val="110E3E23"/>
    <w:rsid w:val="111839AB"/>
    <w:rsid w:val="114B314A"/>
    <w:rsid w:val="115B4F75"/>
    <w:rsid w:val="11AF4BBA"/>
    <w:rsid w:val="11CB3AC2"/>
    <w:rsid w:val="121466E6"/>
    <w:rsid w:val="12274A70"/>
    <w:rsid w:val="12927940"/>
    <w:rsid w:val="129E2CF7"/>
    <w:rsid w:val="12E33B38"/>
    <w:rsid w:val="131B4F5E"/>
    <w:rsid w:val="133D1DB4"/>
    <w:rsid w:val="133D5156"/>
    <w:rsid w:val="138A52B7"/>
    <w:rsid w:val="13DF73EA"/>
    <w:rsid w:val="13E64BF6"/>
    <w:rsid w:val="13EE3A98"/>
    <w:rsid w:val="14CA2983"/>
    <w:rsid w:val="15333EEC"/>
    <w:rsid w:val="154F3F14"/>
    <w:rsid w:val="15642EE4"/>
    <w:rsid w:val="159643E7"/>
    <w:rsid w:val="159C7209"/>
    <w:rsid w:val="15AB60E4"/>
    <w:rsid w:val="15B14D7D"/>
    <w:rsid w:val="15CA279E"/>
    <w:rsid w:val="15E622AE"/>
    <w:rsid w:val="15FC62BD"/>
    <w:rsid w:val="16310E58"/>
    <w:rsid w:val="16465E0D"/>
    <w:rsid w:val="16616190"/>
    <w:rsid w:val="16665843"/>
    <w:rsid w:val="16717134"/>
    <w:rsid w:val="16A6074B"/>
    <w:rsid w:val="174773A9"/>
    <w:rsid w:val="174A07CA"/>
    <w:rsid w:val="17603632"/>
    <w:rsid w:val="17880A68"/>
    <w:rsid w:val="17A64643"/>
    <w:rsid w:val="182757CA"/>
    <w:rsid w:val="183A22A9"/>
    <w:rsid w:val="18995E33"/>
    <w:rsid w:val="18CE6C54"/>
    <w:rsid w:val="18DD0389"/>
    <w:rsid w:val="190951E0"/>
    <w:rsid w:val="193502FE"/>
    <w:rsid w:val="19392E3F"/>
    <w:rsid w:val="196B6B32"/>
    <w:rsid w:val="1A5A3C35"/>
    <w:rsid w:val="1B235074"/>
    <w:rsid w:val="1C273F78"/>
    <w:rsid w:val="1C905109"/>
    <w:rsid w:val="1C9F0600"/>
    <w:rsid w:val="1D232A04"/>
    <w:rsid w:val="1D2C3EA2"/>
    <w:rsid w:val="1DA7240B"/>
    <w:rsid w:val="1DB623BE"/>
    <w:rsid w:val="1E1E141D"/>
    <w:rsid w:val="1E870D71"/>
    <w:rsid w:val="1EB50842"/>
    <w:rsid w:val="1EC473C2"/>
    <w:rsid w:val="1ED32208"/>
    <w:rsid w:val="1EE55015"/>
    <w:rsid w:val="1F1032A0"/>
    <w:rsid w:val="1F501AAA"/>
    <w:rsid w:val="204A64FA"/>
    <w:rsid w:val="206F41B2"/>
    <w:rsid w:val="20B10327"/>
    <w:rsid w:val="20D02B91"/>
    <w:rsid w:val="20F42C33"/>
    <w:rsid w:val="210B2B5C"/>
    <w:rsid w:val="21B4613A"/>
    <w:rsid w:val="21E604A4"/>
    <w:rsid w:val="21F04E7F"/>
    <w:rsid w:val="22410797"/>
    <w:rsid w:val="225E509B"/>
    <w:rsid w:val="22936DBB"/>
    <w:rsid w:val="22FD6FFC"/>
    <w:rsid w:val="233A6539"/>
    <w:rsid w:val="233F60BE"/>
    <w:rsid w:val="23B209CE"/>
    <w:rsid w:val="24267689"/>
    <w:rsid w:val="24750783"/>
    <w:rsid w:val="24D71B14"/>
    <w:rsid w:val="24E32A79"/>
    <w:rsid w:val="2593624D"/>
    <w:rsid w:val="25D56865"/>
    <w:rsid w:val="25F64473"/>
    <w:rsid w:val="26107DAF"/>
    <w:rsid w:val="26263565"/>
    <w:rsid w:val="26B27A86"/>
    <w:rsid w:val="26CE5E33"/>
    <w:rsid w:val="270F26C2"/>
    <w:rsid w:val="272F61A5"/>
    <w:rsid w:val="27C47BDC"/>
    <w:rsid w:val="27E40FE2"/>
    <w:rsid w:val="27F31225"/>
    <w:rsid w:val="28112E31"/>
    <w:rsid w:val="28240B14"/>
    <w:rsid w:val="28416434"/>
    <w:rsid w:val="28610884"/>
    <w:rsid w:val="28856C91"/>
    <w:rsid w:val="289C18BC"/>
    <w:rsid w:val="28BE7A85"/>
    <w:rsid w:val="28DE1ED5"/>
    <w:rsid w:val="28F878B2"/>
    <w:rsid w:val="294361DC"/>
    <w:rsid w:val="294A756A"/>
    <w:rsid w:val="29504EF8"/>
    <w:rsid w:val="297B2F8F"/>
    <w:rsid w:val="29954C89"/>
    <w:rsid w:val="29CE3619"/>
    <w:rsid w:val="2A0A2709"/>
    <w:rsid w:val="2A1B07AF"/>
    <w:rsid w:val="2A3C3B80"/>
    <w:rsid w:val="2AA768F7"/>
    <w:rsid w:val="2AA902C1"/>
    <w:rsid w:val="2AC109ED"/>
    <w:rsid w:val="2B092F16"/>
    <w:rsid w:val="2B3A390D"/>
    <w:rsid w:val="2BA36C87"/>
    <w:rsid w:val="2BA44DCA"/>
    <w:rsid w:val="2BD55DD1"/>
    <w:rsid w:val="2C252851"/>
    <w:rsid w:val="2C5405BE"/>
    <w:rsid w:val="2C5B2595"/>
    <w:rsid w:val="2C710C40"/>
    <w:rsid w:val="2C994A91"/>
    <w:rsid w:val="2CC807E2"/>
    <w:rsid w:val="2CE51307"/>
    <w:rsid w:val="2CFB0902"/>
    <w:rsid w:val="2D1316FD"/>
    <w:rsid w:val="2D2F0DD7"/>
    <w:rsid w:val="2D327988"/>
    <w:rsid w:val="2D416F5A"/>
    <w:rsid w:val="2D4A5D8B"/>
    <w:rsid w:val="2D4E36E0"/>
    <w:rsid w:val="2D7D7F0E"/>
    <w:rsid w:val="2D881B71"/>
    <w:rsid w:val="2D8A43D9"/>
    <w:rsid w:val="2D8D7A26"/>
    <w:rsid w:val="2DBA68B4"/>
    <w:rsid w:val="2DC41EB4"/>
    <w:rsid w:val="2DDF4725"/>
    <w:rsid w:val="2E0D487C"/>
    <w:rsid w:val="2E2F6D2F"/>
    <w:rsid w:val="2E505623"/>
    <w:rsid w:val="2E8F2AA0"/>
    <w:rsid w:val="2EEB1EFD"/>
    <w:rsid w:val="2F083808"/>
    <w:rsid w:val="2F2D7712"/>
    <w:rsid w:val="2F570FD7"/>
    <w:rsid w:val="2FBA3A84"/>
    <w:rsid w:val="2FCA6D0F"/>
    <w:rsid w:val="307733DF"/>
    <w:rsid w:val="309923A3"/>
    <w:rsid w:val="30A13F14"/>
    <w:rsid w:val="30F2476F"/>
    <w:rsid w:val="312D57A8"/>
    <w:rsid w:val="319215BA"/>
    <w:rsid w:val="31BE0AF5"/>
    <w:rsid w:val="31C816DA"/>
    <w:rsid w:val="321C4D20"/>
    <w:rsid w:val="322F14F8"/>
    <w:rsid w:val="323E0EA4"/>
    <w:rsid w:val="32625925"/>
    <w:rsid w:val="32731C98"/>
    <w:rsid w:val="329B25B1"/>
    <w:rsid w:val="32B85545"/>
    <w:rsid w:val="32BD635F"/>
    <w:rsid w:val="32C73614"/>
    <w:rsid w:val="32CD46FA"/>
    <w:rsid w:val="32D1748A"/>
    <w:rsid w:val="3342616B"/>
    <w:rsid w:val="3370276B"/>
    <w:rsid w:val="33E228F6"/>
    <w:rsid w:val="342F58BD"/>
    <w:rsid w:val="346C65E7"/>
    <w:rsid w:val="34BB756E"/>
    <w:rsid w:val="34FB407A"/>
    <w:rsid w:val="351C510B"/>
    <w:rsid w:val="352855CC"/>
    <w:rsid w:val="35436F4B"/>
    <w:rsid w:val="3622665A"/>
    <w:rsid w:val="36375435"/>
    <w:rsid w:val="36D3462E"/>
    <w:rsid w:val="36FF7BE6"/>
    <w:rsid w:val="37321D6A"/>
    <w:rsid w:val="37E008FA"/>
    <w:rsid w:val="3810197F"/>
    <w:rsid w:val="38674207"/>
    <w:rsid w:val="38B84349"/>
    <w:rsid w:val="392408C7"/>
    <w:rsid w:val="39674E1A"/>
    <w:rsid w:val="397D4DF2"/>
    <w:rsid w:val="39AC2DE9"/>
    <w:rsid w:val="39AE0E6C"/>
    <w:rsid w:val="39F2758E"/>
    <w:rsid w:val="3A1F2379"/>
    <w:rsid w:val="3A4A5C49"/>
    <w:rsid w:val="3A960ABE"/>
    <w:rsid w:val="3A9B42AC"/>
    <w:rsid w:val="3AB33BF5"/>
    <w:rsid w:val="3ACE232F"/>
    <w:rsid w:val="3B2415F7"/>
    <w:rsid w:val="3B2C2032"/>
    <w:rsid w:val="3B4A33FA"/>
    <w:rsid w:val="3B8E578E"/>
    <w:rsid w:val="3BAA1905"/>
    <w:rsid w:val="3C801D8D"/>
    <w:rsid w:val="3CA241F3"/>
    <w:rsid w:val="3CD63197"/>
    <w:rsid w:val="3D0973F3"/>
    <w:rsid w:val="3D324146"/>
    <w:rsid w:val="3D672791"/>
    <w:rsid w:val="3D6C0B43"/>
    <w:rsid w:val="3DBD58B9"/>
    <w:rsid w:val="3E417A1E"/>
    <w:rsid w:val="3E4823FE"/>
    <w:rsid w:val="3E584C5E"/>
    <w:rsid w:val="3E620F26"/>
    <w:rsid w:val="3E9E2973"/>
    <w:rsid w:val="3EA451FF"/>
    <w:rsid w:val="3EB56CCB"/>
    <w:rsid w:val="3EC56310"/>
    <w:rsid w:val="3EF773F3"/>
    <w:rsid w:val="3F8E7D59"/>
    <w:rsid w:val="40A54BBF"/>
    <w:rsid w:val="40A92542"/>
    <w:rsid w:val="411E127C"/>
    <w:rsid w:val="4176182C"/>
    <w:rsid w:val="41E1725C"/>
    <w:rsid w:val="422B7BFC"/>
    <w:rsid w:val="42543E0F"/>
    <w:rsid w:val="42701998"/>
    <w:rsid w:val="428D0A5E"/>
    <w:rsid w:val="42C27D1A"/>
    <w:rsid w:val="42DF33AE"/>
    <w:rsid w:val="42F02AD9"/>
    <w:rsid w:val="42F223AD"/>
    <w:rsid w:val="43106535"/>
    <w:rsid w:val="435E7881"/>
    <w:rsid w:val="43E4263E"/>
    <w:rsid w:val="43EA173C"/>
    <w:rsid w:val="44817FB7"/>
    <w:rsid w:val="44C71C31"/>
    <w:rsid w:val="451C5E07"/>
    <w:rsid w:val="454C3B6C"/>
    <w:rsid w:val="454F5136"/>
    <w:rsid w:val="456E0E90"/>
    <w:rsid w:val="456E3A27"/>
    <w:rsid w:val="4619471E"/>
    <w:rsid w:val="46D17303"/>
    <w:rsid w:val="46E110B6"/>
    <w:rsid w:val="477A6033"/>
    <w:rsid w:val="47876685"/>
    <w:rsid w:val="47C307BC"/>
    <w:rsid w:val="47F53158"/>
    <w:rsid w:val="48504112"/>
    <w:rsid w:val="48627FD5"/>
    <w:rsid w:val="48837E5F"/>
    <w:rsid w:val="489F6B33"/>
    <w:rsid w:val="48EE729C"/>
    <w:rsid w:val="49096D51"/>
    <w:rsid w:val="491B4E9A"/>
    <w:rsid w:val="492E6109"/>
    <w:rsid w:val="499165E2"/>
    <w:rsid w:val="49B87D1D"/>
    <w:rsid w:val="49C80690"/>
    <w:rsid w:val="49F517A6"/>
    <w:rsid w:val="49FA46A4"/>
    <w:rsid w:val="4A1C2405"/>
    <w:rsid w:val="4A49083D"/>
    <w:rsid w:val="4AA12965"/>
    <w:rsid w:val="4AA91EEB"/>
    <w:rsid w:val="4AD8457E"/>
    <w:rsid w:val="4AE77D71"/>
    <w:rsid w:val="4B853E5E"/>
    <w:rsid w:val="4B9761E7"/>
    <w:rsid w:val="4BA34B8C"/>
    <w:rsid w:val="4BBA0742"/>
    <w:rsid w:val="4BF90C50"/>
    <w:rsid w:val="4C001FDF"/>
    <w:rsid w:val="4C863C7B"/>
    <w:rsid w:val="4D550108"/>
    <w:rsid w:val="4D5E614B"/>
    <w:rsid w:val="4DC67CB4"/>
    <w:rsid w:val="4E090986"/>
    <w:rsid w:val="4E7919E9"/>
    <w:rsid w:val="4EB1136E"/>
    <w:rsid w:val="4ED5769D"/>
    <w:rsid w:val="4EE51018"/>
    <w:rsid w:val="4F633143"/>
    <w:rsid w:val="4F716ADB"/>
    <w:rsid w:val="4F943127"/>
    <w:rsid w:val="4F957A56"/>
    <w:rsid w:val="4FB77937"/>
    <w:rsid w:val="4FD454FD"/>
    <w:rsid w:val="4FF5782A"/>
    <w:rsid w:val="500D180C"/>
    <w:rsid w:val="502344EE"/>
    <w:rsid w:val="502913D8"/>
    <w:rsid w:val="5038161B"/>
    <w:rsid w:val="50C25AB5"/>
    <w:rsid w:val="50D82199"/>
    <w:rsid w:val="50D929EE"/>
    <w:rsid w:val="51394A0A"/>
    <w:rsid w:val="516B4221"/>
    <w:rsid w:val="51B51175"/>
    <w:rsid w:val="51B73F2E"/>
    <w:rsid w:val="5277467D"/>
    <w:rsid w:val="52891B1E"/>
    <w:rsid w:val="52B61649"/>
    <w:rsid w:val="52E11055"/>
    <w:rsid w:val="5302663C"/>
    <w:rsid w:val="53245B96"/>
    <w:rsid w:val="53717EB1"/>
    <w:rsid w:val="53853E62"/>
    <w:rsid w:val="53B37937"/>
    <w:rsid w:val="53FC0BBB"/>
    <w:rsid w:val="54225EF4"/>
    <w:rsid w:val="54556C40"/>
    <w:rsid w:val="54AB2D04"/>
    <w:rsid w:val="55494F54"/>
    <w:rsid w:val="55B72D22"/>
    <w:rsid w:val="55F528ED"/>
    <w:rsid w:val="560B1CAC"/>
    <w:rsid w:val="56D818DD"/>
    <w:rsid w:val="576F3CA2"/>
    <w:rsid w:val="58245DE3"/>
    <w:rsid w:val="58432FA3"/>
    <w:rsid w:val="58501BF8"/>
    <w:rsid w:val="58A61818"/>
    <w:rsid w:val="58B06B3A"/>
    <w:rsid w:val="58FF53CC"/>
    <w:rsid w:val="59392DDA"/>
    <w:rsid w:val="59562377"/>
    <w:rsid w:val="5960230F"/>
    <w:rsid w:val="596C2A61"/>
    <w:rsid w:val="59B63CDD"/>
    <w:rsid w:val="5A0F5839"/>
    <w:rsid w:val="5A2E27F7"/>
    <w:rsid w:val="5A917744"/>
    <w:rsid w:val="5AAA7A0F"/>
    <w:rsid w:val="5B083477"/>
    <w:rsid w:val="5B182331"/>
    <w:rsid w:val="5B2F1F99"/>
    <w:rsid w:val="5B7C7503"/>
    <w:rsid w:val="5BBA7DD7"/>
    <w:rsid w:val="5BEA2363"/>
    <w:rsid w:val="5C341784"/>
    <w:rsid w:val="5C4952DC"/>
    <w:rsid w:val="5C93389B"/>
    <w:rsid w:val="5CAC13C7"/>
    <w:rsid w:val="5D1D22C5"/>
    <w:rsid w:val="5D1F7594"/>
    <w:rsid w:val="5D283143"/>
    <w:rsid w:val="5E0771FD"/>
    <w:rsid w:val="5E1922E2"/>
    <w:rsid w:val="5E1E0FC7"/>
    <w:rsid w:val="5E2751A9"/>
    <w:rsid w:val="5E4A70E9"/>
    <w:rsid w:val="5E563C2D"/>
    <w:rsid w:val="5E954808"/>
    <w:rsid w:val="5F0157EA"/>
    <w:rsid w:val="5F2C10F2"/>
    <w:rsid w:val="5F710B0D"/>
    <w:rsid w:val="5FE506D1"/>
    <w:rsid w:val="606324FB"/>
    <w:rsid w:val="60ED2193"/>
    <w:rsid w:val="612C0CA6"/>
    <w:rsid w:val="61CC1F25"/>
    <w:rsid w:val="61CD6067"/>
    <w:rsid w:val="622775C0"/>
    <w:rsid w:val="624C78D4"/>
    <w:rsid w:val="62AA720C"/>
    <w:rsid w:val="62F523AF"/>
    <w:rsid w:val="62F80645"/>
    <w:rsid w:val="631E743D"/>
    <w:rsid w:val="638B442C"/>
    <w:rsid w:val="63D731CD"/>
    <w:rsid w:val="63E47698"/>
    <w:rsid w:val="645B401D"/>
    <w:rsid w:val="660A5573"/>
    <w:rsid w:val="669141F7"/>
    <w:rsid w:val="66D17929"/>
    <w:rsid w:val="672B7AA1"/>
    <w:rsid w:val="673D5A3D"/>
    <w:rsid w:val="67537840"/>
    <w:rsid w:val="675B41A5"/>
    <w:rsid w:val="67BD6138"/>
    <w:rsid w:val="67BE70C3"/>
    <w:rsid w:val="67CF437D"/>
    <w:rsid w:val="67D2295F"/>
    <w:rsid w:val="68172D06"/>
    <w:rsid w:val="686C3925"/>
    <w:rsid w:val="68997F4C"/>
    <w:rsid w:val="68BC1A6D"/>
    <w:rsid w:val="68C85398"/>
    <w:rsid w:val="69305F28"/>
    <w:rsid w:val="693160D9"/>
    <w:rsid w:val="69334B40"/>
    <w:rsid w:val="695E05AF"/>
    <w:rsid w:val="69B02971"/>
    <w:rsid w:val="6A283551"/>
    <w:rsid w:val="6A2E78BF"/>
    <w:rsid w:val="6ABA7D22"/>
    <w:rsid w:val="6AD4162A"/>
    <w:rsid w:val="6AD62942"/>
    <w:rsid w:val="6B160431"/>
    <w:rsid w:val="6B3D0830"/>
    <w:rsid w:val="6B413622"/>
    <w:rsid w:val="6B971CE9"/>
    <w:rsid w:val="6BEC5C84"/>
    <w:rsid w:val="6BEE32A7"/>
    <w:rsid w:val="6C0907CB"/>
    <w:rsid w:val="6C1E1A90"/>
    <w:rsid w:val="6C472EBA"/>
    <w:rsid w:val="6C7831D1"/>
    <w:rsid w:val="6CAE4B4B"/>
    <w:rsid w:val="6CE32BE3"/>
    <w:rsid w:val="6D49739B"/>
    <w:rsid w:val="6D670B53"/>
    <w:rsid w:val="6DA67458"/>
    <w:rsid w:val="6E2B6674"/>
    <w:rsid w:val="6E48423C"/>
    <w:rsid w:val="6E625D89"/>
    <w:rsid w:val="6E66587A"/>
    <w:rsid w:val="6E7D71C4"/>
    <w:rsid w:val="6E972615"/>
    <w:rsid w:val="6ECD796F"/>
    <w:rsid w:val="6ECE315C"/>
    <w:rsid w:val="6ED22F0F"/>
    <w:rsid w:val="6ED963DF"/>
    <w:rsid w:val="6EDF3717"/>
    <w:rsid w:val="6F0961EC"/>
    <w:rsid w:val="6F0F3D67"/>
    <w:rsid w:val="6F143527"/>
    <w:rsid w:val="6F6873CF"/>
    <w:rsid w:val="6F8C4DB8"/>
    <w:rsid w:val="6F991C7F"/>
    <w:rsid w:val="6FBF1BB3"/>
    <w:rsid w:val="704A2F79"/>
    <w:rsid w:val="70514AD5"/>
    <w:rsid w:val="70A72179"/>
    <w:rsid w:val="70F712E9"/>
    <w:rsid w:val="711D2C54"/>
    <w:rsid w:val="71A36DE5"/>
    <w:rsid w:val="721B6FB3"/>
    <w:rsid w:val="72C62D8B"/>
    <w:rsid w:val="72F0605A"/>
    <w:rsid w:val="73111860"/>
    <w:rsid w:val="73A6496A"/>
    <w:rsid w:val="73C7615D"/>
    <w:rsid w:val="74116287"/>
    <w:rsid w:val="74A30C47"/>
    <w:rsid w:val="74C43904"/>
    <w:rsid w:val="757431AF"/>
    <w:rsid w:val="75EC1E64"/>
    <w:rsid w:val="76397D18"/>
    <w:rsid w:val="76402E54"/>
    <w:rsid w:val="766813E4"/>
    <w:rsid w:val="76C32FEB"/>
    <w:rsid w:val="77000835"/>
    <w:rsid w:val="77003F6C"/>
    <w:rsid w:val="77021803"/>
    <w:rsid w:val="771334B6"/>
    <w:rsid w:val="773159AE"/>
    <w:rsid w:val="777059BB"/>
    <w:rsid w:val="77A658F0"/>
    <w:rsid w:val="77C1659D"/>
    <w:rsid w:val="77DC4DFE"/>
    <w:rsid w:val="77DF7C32"/>
    <w:rsid w:val="77E872FF"/>
    <w:rsid w:val="783562BD"/>
    <w:rsid w:val="785B5495"/>
    <w:rsid w:val="7899684C"/>
    <w:rsid w:val="78A51694"/>
    <w:rsid w:val="78BC7FAA"/>
    <w:rsid w:val="78F11590"/>
    <w:rsid w:val="792C4982"/>
    <w:rsid w:val="79565D35"/>
    <w:rsid w:val="79594288"/>
    <w:rsid w:val="798E2128"/>
    <w:rsid w:val="7996525F"/>
    <w:rsid w:val="79A25CE0"/>
    <w:rsid w:val="79B52941"/>
    <w:rsid w:val="7A3945A5"/>
    <w:rsid w:val="7A9C45BE"/>
    <w:rsid w:val="7AB3762E"/>
    <w:rsid w:val="7ACA53E2"/>
    <w:rsid w:val="7B184E96"/>
    <w:rsid w:val="7C405169"/>
    <w:rsid w:val="7C6929D9"/>
    <w:rsid w:val="7C6D071B"/>
    <w:rsid w:val="7C75312C"/>
    <w:rsid w:val="7C763CBA"/>
    <w:rsid w:val="7CAD6D69"/>
    <w:rsid w:val="7CC96E10"/>
    <w:rsid w:val="7D1E37C3"/>
    <w:rsid w:val="7D8506D3"/>
    <w:rsid w:val="7D983576"/>
    <w:rsid w:val="7DBA34EC"/>
    <w:rsid w:val="7DDC0909"/>
    <w:rsid w:val="7DE30CC2"/>
    <w:rsid w:val="7E0834F3"/>
    <w:rsid w:val="7E350DC4"/>
    <w:rsid w:val="7E8E5955"/>
    <w:rsid w:val="7F3F5052"/>
    <w:rsid w:val="7F966D88"/>
    <w:rsid w:val="7FE42C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36"/>
      <w:szCs w:val="44"/>
    </w:rPr>
  </w:style>
  <w:style w:type="paragraph" w:styleId="3">
    <w:name w:val="heading 2"/>
    <w:basedOn w:val="1"/>
    <w:next w:val="1"/>
    <w:qFormat/>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link w:val="42"/>
    <w:qFormat/>
    <w:uiPriority w:val="0"/>
    <w:pPr>
      <w:keepNext/>
      <w:keepLines/>
      <w:widowControl/>
      <w:spacing w:before="260" w:after="260" w:line="416" w:lineRule="auto"/>
      <w:outlineLvl w:val="2"/>
    </w:pPr>
    <w:rPr>
      <w:b/>
      <w:bCs/>
      <w:sz w:val="24"/>
      <w:szCs w:val="32"/>
    </w:rPr>
  </w:style>
  <w:style w:type="paragraph" w:styleId="5">
    <w:name w:val="heading 4"/>
    <w:basedOn w:val="1"/>
    <w:next w:val="1"/>
    <w:qFormat/>
    <w:uiPriority w:val="0"/>
    <w:pPr>
      <w:keepNext/>
      <w:keepLines/>
      <w:widowControl/>
      <w:spacing w:before="200" w:line="276" w:lineRule="auto"/>
      <w:jc w:val="left"/>
      <w:outlineLvl w:val="3"/>
    </w:pPr>
    <w:rPr>
      <w:rFonts w:ascii="Calibri Light" w:hAnsi="Calibri Light" w:cs="Times New Roman"/>
      <w:b/>
      <w:bCs/>
      <w:iCs/>
      <w:szCs w:val="22"/>
    </w:rPr>
  </w:style>
  <w:style w:type="paragraph" w:styleId="6">
    <w:name w:val="heading 5"/>
    <w:basedOn w:val="1"/>
    <w:next w:val="1"/>
    <w:qFormat/>
    <w:uiPriority w:val="99"/>
    <w:pPr>
      <w:keepNext/>
      <w:keepLines/>
      <w:spacing w:before="280" w:after="290" w:line="376" w:lineRule="auto"/>
      <w:outlineLvl w:val="4"/>
    </w:pPr>
    <w:rPr>
      <w:b/>
      <w:bCs/>
      <w:sz w:val="28"/>
      <w:szCs w:val="28"/>
    </w:rPr>
  </w:style>
  <w:style w:type="character" w:default="1" w:styleId="29">
    <w:name w:val="Default Paragraph Font"/>
    <w:semiHidden/>
    <w:qFormat/>
    <w:uiPriority w:val="0"/>
  </w:style>
  <w:style w:type="table" w:default="1" w:styleId="27">
    <w:name w:val="Normal Table"/>
    <w:semiHidden/>
    <w:qFormat/>
    <w:uiPriority w:val="0"/>
    <w:tblPr>
      <w:tblCellMar>
        <w:top w:w="0" w:type="dxa"/>
        <w:left w:w="108" w:type="dxa"/>
        <w:bottom w:w="0" w:type="dxa"/>
        <w:right w:w="108" w:type="dxa"/>
      </w:tblCellMar>
    </w:tblPr>
  </w:style>
  <w:style w:type="paragraph" w:styleId="7">
    <w:name w:val="index 8"/>
    <w:basedOn w:val="1"/>
    <w:next w:val="1"/>
    <w:qFormat/>
    <w:uiPriority w:val="0"/>
    <w:pPr>
      <w:ind w:left="1400" w:leftChars="1400" w:firstLine="0"/>
    </w:pPr>
  </w:style>
  <w:style w:type="paragraph" w:styleId="8">
    <w:name w:val="annotation text"/>
    <w:basedOn w:val="1"/>
    <w:qFormat/>
    <w:uiPriority w:val="0"/>
    <w:pPr>
      <w:widowControl/>
      <w:jc w:val="left"/>
    </w:pPr>
    <w:rPr>
      <w:rFonts w:ascii="Calibri" w:hAnsi="Calibri" w:eastAsia="宋体" w:cs="Times New Roman"/>
    </w:rPr>
  </w:style>
  <w:style w:type="paragraph" w:styleId="9">
    <w:name w:val="Body Text"/>
    <w:basedOn w:val="1"/>
    <w:next w:val="1"/>
    <w:qFormat/>
    <w:uiPriority w:val="0"/>
    <w:pPr>
      <w:spacing w:after="120"/>
    </w:pPr>
  </w:style>
  <w:style w:type="paragraph" w:styleId="10">
    <w:name w:val="Body Text Indent"/>
    <w:basedOn w:val="1"/>
    <w:qFormat/>
    <w:uiPriority w:val="0"/>
    <w:pPr>
      <w:spacing w:after="120" w:line="360" w:lineRule="exact"/>
      <w:ind w:left="420" w:leftChars="200" w:firstLine="200" w:firstLineChars="200"/>
    </w:pPr>
  </w:style>
  <w:style w:type="paragraph" w:styleId="11">
    <w:name w:val="Block Text"/>
    <w:basedOn w:val="1"/>
    <w:qFormat/>
    <w:uiPriority w:val="0"/>
    <w:pPr>
      <w:widowControl/>
      <w:overflowPunct w:val="0"/>
      <w:autoSpaceDE w:val="0"/>
      <w:autoSpaceDN w:val="0"/>
      <w:adjustRightInd w:val="0"/>
      <w:snapToGrid w:val="0"/>
      <w:spacing w:line="360" w:lineRule="auto"/>
      <w:ind w:left="1440" w:right="-510" w:hanging="759"/>
      <w:textAlignment w:val="baseline"/>
    </w:pPr>
    <w:rPr>
      <w:kern w:val="0"/>
      <w:sz w:val="24"/>
      <w:szCs w:val="20"/>
    </w:rPr>
  </w:style>
  <w:style w:type="paragraph" w:styleId="12">
    <w:name w:val="Plain Text"/>
    <w:basedOn w:val="1"/>
    <w:next w:val="7"/>
    <w:qFormat/>
    <w:uiPriority w:val="0"/>
    <w:rPr>
      <w:rFonts w:ascii="宋体" w:hAnsi="Courier New" w:cs="Times New Roman"/>
      <w:szCs w:val="22"/>
    </w:rPr>
  </w:style>
  <w:style w:type="paragraph" w:styleId="13">
    <w:name w:val="footer"/>
    <w:basedOn w:val="1"/>
    <w:next w:val="1"/>
    <w:qFormat/>
    <w:uiPriority w:val="0"/>
    <w:pPr>
      <w:tabs>
        <w:tab w:val="center" w:pos="4153"/>
        <w:tab w:val="right" w:pos="8306"/>
      </w:tabs>
      <w:snapToGrid w:val="0"/>
      <w:jc w:val="left"/>
    </w:pPr>
    <w:rPr>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39"/>
  </w:style>
  <w:style w:type="paragraph" w:styleId="16">
    <w:name w:val="toc 2"/>
    <w:basedOn w:val="1"/>
    <w:next w:val="1"/>
    <w:qFormat/>
    <w:uiPriority w:val="39"/>
    <w:pPr>
      <w:ind w:left="420" w:leftChars="200"/>
    </w:pPr>
  </w:style>
  <w:style w:type="paragraph" w:styleId="1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8">
    <w:name w:val="Title"/>
    <w:basedOn w:val="1"/>
    <w:next w:val="1"/>
    <w:qFormat/>
    <w:uiPriority w:val="99"/>
    <w:pPr>
      <w:jc w:val="center"/>
    </w:pPr>
    <w:rPr>
      <w:rFonts w:ascii="Arial" w:hAnsi="Arial" w:eastAsia="宋体" w:cs="Arial"/>
      <w:b/>
      <w:sz w:val="32"/>
      <w:u w:val="single"/>
    </w:rPr>
  </w:style>
  <w:style w:type="paragraph" w:styleId="19">
    <w:name w:val="Body Text First Indent"/>
    <w:basedOn w:val="20"/>
    <w:next w:val="23"/>
    <w:qFormat/>
    <w:uiPriority w:val="0"/>
    <w:pPr>
      <w:spacing w:after="120"/>
      <w:ind w:firstLine="420" w:firstLineChars="100"/>
    </w:pPr>
    <w:rPr>
      <w:rFonts w:ascii="Times New Roman" w:hAnsi="Times New Roman"/>
      <w:szCs w:val="24"/>
    </w:rPr>
  </w:style>
  <w:style w:type="paragraph" w:customStyle="1" w:styleId="20">
    <w:name w:val="正文文本_0"/>
    <w:basedOn w:val="21"/>
    <w:next w:val="22"/>
    <w:qFormat/>
    <w:uiPriority w:val="99"/>
    <w:pPr>
      <w:adjustRightInd w:val="0"/>
      <w:spacing w:after="60" w:line="360" w:lineRule="atLeast"/>
      <w:ind w:left="72" w:leftChars="30" w:right="30" w:rightChars="30"/>
      <w:jc w:val="center"/>
    </w:pPr>
    <w:rPr>
      <w:rFonts w:ascii="Calibri" w:hAnsi="Calibri"/>
      <w:kern w:val="0"/>
      <w:sz w:val="20"/>
      <w:szCs w:val="20"/>
      <w:lang w:val="zh-CN" w:eastAsia="zh-CN"/>
    </w:rPr>
  </w:style>
  <w:style w:type="paragraph" w:customStyle="1" w:styleId="21">
    <w:name w:val="正文_0"/>
    <w:next w:val="2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
    <w:name w:val="正文_2_0"/>
    <w:next w:val="19"/>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
    <w:name w:val="正文缩进_0"/>
    <w:basedOn w:val="22"/>
    <w:next w:val="24"/>
    <w:qFormat/>
    <w:uiPriority w:val="99"/>
    <w:pPr>
      <w:ind w:firstLine="420"/>
    </w:pPr>
    <w:rPr>
      <w:rFonts w:ascii="Times New Roman" w:hAnsi="Times New Roman"/>
      <w:szCs w:val="20"/>
    </w:rPr>
  </w:style>
  <w:style w:type="paragraph" w:customStyle="1" w:styleId="24">
    <w:name w:val="_Style 50"/>
    <w:basedOn w:val="22"/>
    <w:next w:val="25"/>
    <w:qFormat/>
    <w:uiPriority w:val="0"/>
    <w:pPr>
      <w:widowControl/>
      <w:spacing w:before="100" w:beforeAutospacing="1" w:after="100" w:afterAutospacing="1"/>
    </w:pPr>
    <w:rPr>
      <w:rFonts w:ascii="宋体" w:hAnsi="宋体"/>
    </w:rPr>
  </w:style>
  <w:style w:type="paragraph" w:customStyle="1" w:styleId="25">
    <w:name w:val="普通(网站)_0"/>
    <w:basedOn w:val="22"/>
    <w:next w:val="22"/>
    <w:qFormat/>
    <w:uiPriority w:val="0"/>
    <w:pPr>
      <w:widowControl/>
      <w:spacing w:before="100" w:beforeAutospacing="1" w:after="100" w:afterAutospacing="1"/>
      <w:jc w:val="left"/>
    </w:pPr>
    <w:rPr>
      <w:rFonts w:ascii="宋体" w:hAnsi="宋体" w:cs="宋体"/>
      <w:kern w:val="0"/>
      <w:sz w:val="24"/>
      <w:szCs w:val="24"/>
    </w:rPr>
  </w:style>
  <w:style w:type="paragraph" w:styleId="26">
    <w:name w:val="Body Text First Indent 2"/>
    <w:basedOn w:val="10"/>
    <w:qFormat/>
    <w:uiPriority w:val="99"/>
    <w:pPr>
      <w:ind w:firstLine="420" w:firstLineChars="200"/>
    </w:pPr>
  </w:style>
  <w:style w:type="table" w:styleId="28">
    <w:name w:val="Table Grid"/>
    <w:basedOn w:val="2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FollowedHyperlink"/>
    <w:basedOn w:val="29"/>
    <w:qFormat/>
    <w:uiPriority w:val="0"/>
    <w:rPr>
      <w:color w:val="800080"/>
      <w:u w:val="none"/>
    </w:rPr>
  </w:style>
  <w:style w:type="character" w:styleId="31">
    <w:name w:val="HTML Definition"/>
    <w:basedOn w:val="29"/>
    <w:qFormat/>
    <w:uiPriority w:val="0"/>
  </w:style>
  <w:style w:type="character" w:styleId="32">
    <w:name w:val="HTML Typewriter"/>
    <w:basedOn w:val="29"/>
    <w:qFormat/>
    <w:uiPriority w:val="0"/>
    <w:rPr>
      <w:rFonts w:hint="default" w:ascii="monospace" w:hAnsi="monospace" w:eastAsia="monospace" w:cs="monospace"/>
      <w:sz w:val="20"/>
    </w:rPr>
  </w:style>
  <w:style w:type="character" w:styleId="33">
    <w:name w:val="HTML Acronym"/>
    <w:basedOn w:val="29"/>
    <w:qFormat/>
    <w:uiPriority w:val="0"/>
  </w:style>
  <w:style w:type="character" w:styleId="34">
    <w:name w:val="HTML Variable"/>
    <w:basedOn w:val="29"/>
    <w:qFormat/>
    <w:uiPriority w:val="0"/>
  </w:style>
  <w:style w:type="character" w:styleId="35">
    <w:name w:val="Hyperlink"/>
    <w:basedOn w:val="29"/>
    <w:qFormat/>
    <w:uiPriority w:val="0"/>
    <w:rPr>
      <w:color w:val="0000FF"/>
      <w:u w:val="single"/>
    </w:rPr>
  </w:style>
  <w:style w:type="character" w:styleId="36">
    <w:name w:val="HTML Code"/>
    <w:basedOn w:val="29"/>
    <w:qFormat/>
    <w:uiPriority w:val="0"/>
    <w:rPr>
      <w:rFonts w:hint="default" w:ascii="monospace" w:hAnsi="monospace" w:eastAsia="monospace" w:cs="monospace"/>
      <w:sz w:val="20"/>
    </w:rPr>
  </w:style>
  <w:style w:type="character" w:styleId="37">
    <w:name w:val="HTML Cite"/>
    <w:basedOn w:val="29"/>
    <w:qFormat/>
    <w:uiPriority w:val="0"/>
  </w:style>
  <w:style w:type="character" w:styleId="38">
    <w:name w:val="HTML Keyboard"/>
    <w:basedOn w:val="29"/>
    <w:qFormat/>
    <w:uiPriority w:val="0"/>
    <w:rPr>
      <w:rFonts w:hint="default" w:ascii="monospace" w:hAnsi="monospace" w:eastAsia="monospace" w:cs="monospace"/>
      <w:sz w:val="20"/>
    </w:rPr>
  </w:style>
  <w:style w:type="character" w:styleId="39">
    <w:name w:val="HTML Sample"/>
    <w:basedOn w:val="29"/>
    <w:qFormat/>
    <w:uiPriority w:val="0"/>
    <w:rPr>
      <w:rFonts w:ascii="monospace" w:hAnsi="monospace" w:eastAsia="monospace" w:cs="monospace"/>
    </w:rPr>
  </w:style>
  <w:style w:type="paragraph" w:customStyle="1" w:styleId="40">
    <w:name w:val="Default"/>
    <w:basedOn w:val="18"/>
    <w:qFormat/>
    <w:uiPriority w:val="0"/>
    <w:pPr>
      <w:widowControl w:val="0"/>
      <w:autoSpaceDE w:val="0"/>
      <w:autoSpaceDN w:val="0"/>
      <w:adjustRightInd w:val="0"/>
    </w:pPr>
    <w:rPr>
      <w:rFonts w:ascii="Times New Roman" w:hAnsi="Times New Roman" w:eastAsia="宋体" w:cs="Calibri"/>
      <w:color w:val="000000"/>
      <w:sz w:val="24"/>
      <w:szCs w:val="24"/>
      <w:lang w:val="en-US" w:eastAsia="zh-CN" w:bidi="ar-SA"/>
    </w:rPr>
  </w:style>
  <w:style w:type="paragraph" w:styleId="41">
    <w:name w:val="List Paragraph"/>
    <w:basedOn w:val="1"/>
    <w:qFormat/>
    <w:uiPriority w:val="0"/>
    <w:pPr>
      <w:ind w:firstLine="420" w:firstLineChars="200"/>
    </w:pPr>
  </w:style>
  <w:style w:type="character" w:customStyle="1" w:styleId="42">
    <w:name w:val="标题 3 字符"/>
    <w:link w:val="4"/>
    <w:qFormat/>
    <w:uiPriority w:val="0"/>
    <w:rPr>
      <w:b/>
      <w:bCs/>
      <w:sz w:val="24"/>
      <w:szCs w:val="32"/>
    </w:rPr>
  </w:style>
  <w:style w:type="paragraph" w:customStyle="1" w:styleId="43">
    <w:name w:val="表格文字"/>
    <w:basedOn w:val="1"/>
    <w:qFormat/>
    <w:uiPriority w:val="0"/>
    <w:pPr>
      <w:spacing w:before="25" w:after="25" w:line="240" w:lineRule="auto"/>
      <w:ind w:firstLine="0"/>
      <w:jc w:val="left"/>
    </w:pPr>
    <w:rPr>
      <w:bCs/>
      <w:spacing w:val="10"/>
      <w:kern w:val="0"/>
      <w:sz w:val="24"/>
    </w:rPr>
  </w:style>
  <w:style w:type="paragraph" w:customStyle="1" w:styleId="44">
    <w:name w:val="p0"/>
    <w:basedOn w:val="1"/>
    <w:qFormat/>
    <w:uiPriority w:val="0"/>
    <w:pPr>
      <w:widowControl/>
    </w:pPr>
    <w:rPr>
      <w:rFonts w:ascii="Calibri" w:hAnsi="Calibri" w:cs="宋体"/>
      <w:kern w:val="0"/>
      <w:szCs w:val="21"/>
    </w:rPr>
  </w:style>
  <w:style w:type="paragraph" w:customStyle="1" w:styleId="45">
    <w:name w:val="首行缩进"/>
    <w:basedOn w:val="1"/>
    <w:qFormat/>
    <w:uiPriority w:val="0"/>
    <w:pPr>
      <w:spacing w:line="360" w:lineRule="auto"/>
      <w:ind w:firstLine="480" w:firstLineChars="200"/>
    </w:pPr>
    <w:rPr>
      <w:rFonts w:ascii="宋体" w:hAnsi="宋体"/>
      <w:kern w:val="0"/>
      <w:sz w:val="24"/>
    </w:rPr>
  </w:style>
  <w:style w:type="paragraph" w:customStyle="1" w:styleId="46">
    <w:name w:val="正文小标题_0"/>
    <w:basedOn w:val="47"/>
    <w:qFormat/>
    <w:uiPriority w:val="0"/>
    <w:pPr>
      <w:spacing w:line="420" w:lineRule="exact"/>
    </w:pPr>
    <w:rPr>
      <w:rFonts w:hAnsi="宋体" w:eastAsia="宋体"/>
      <w:sz w:val="21"/>
      <w:szCs w:val="21"/>
    </w:rPr>
  </w:style>
  <w:style w:type="paragraph" w:customStyle="1" w:styleId="47">
    <w:name w:val="标题 1_0"/>
    <w:basedOn w:val="21"/>
    <w:next w:val="21"/>
    <w:qFormat/>
    <w:uiPriority w:val="99"/>
    <w:pPr>
      <w:keepNext/>
      <w:keepLines/>
      <w:spacing w:line="360" w:lineRule="auto"/>
      <w:outlineLvl w:val="0"/>
    </w:pPr>
    <w:rPr>
      <w:rFonts w:eastAsia="黑体"/>
      <w:b/>
      <w:bCs/>
      <w:kern w:val="44"/>
      <w:sz w:val="32"/>
      <w:szCs w:val="44"/>
    </w:rPr>
  </w:style>
  <w:style w:type="paragraph" w:customStyle="1" w:styleId="48">
    <w:name w:val="正文_1_0"/>
    <w:qFormat/>
    <w:uiPriority w:val="99"/>
    <w:pPr>
      <w:widowControl w:val="0"/>
      <w:jc w:val="both"/>
    </w:pPr>
    <w:rPr>
      <w:rFonts w:ascii="Times New Roman" w:hAnsi="Times New Roman" w:eastAsia="宋体" w:cs="Times New Roman"/>
      <w:kern w:val="2"/>
      <w:sz w:val="21"/>
      <w:szCs w:val="20"/>
      <w:lang w:val="en-US" w:eastAsia="zh-CN" w:bidi="ar-SA"/>
    </w:rPr>
  </w:style>
  <w:style w:type="paragraph" w:customStyle="1" w:styleId="49">
    <w:name w:val="正文呀2_0"/>
    <w:basedOn w:val="50"/>
    <w:qFormat/>
    <w:uiPriority w:val="0"/>
    <w:rPr>
      <w:rFonts w:ascii="Times New Roman" w:hAnsi="Times New Roman"/>
    </w:rPr>
  </w:style>
  <w:style w:type="paragraph" w:customStyle="1" w:styleId="50">
    <w:name w:val="正文呀_0"/>
    <w:basedOn w:val="48"/>
    <w:qFormat/>
    <w:uiPriority w:val="0"/>
    <w:pPr>
      <w:spacing w:line="420" w:lineRule="exact"/>
      <w:ind w:firstLine="420" w:firstLineChars="200"/>
    </w:pPr>
    <w:rPr>
      <w:rFonts w:ascii="宋体" w:hAnsi="宋体"/>
      <w:szCs w:val="21"/>
    </w:rPr>
  </w:style>
  <w:style w:type="paragraph" w:customStyle="1" w:styleId="51">
    <w:name w:val="正文呀2_1"/>
    <w:basedOn w:val="52"/>
    <w:qFormat/>
    <w:uiPriority w:val="0"/>
    <w:rPr>
      <w:rFonts w:ascii="Times New Roman" w:hAnsi="Times New Roman" w:eastAsia="宋体" w:cs="Times New Roman"/>
      <w:kern w:val="2"/>
      <w:sz w:val="21"/>
      <w:lang w:val="en-US" w:eastAsia="zh-CN"/>
    </w:rPr>
  </w:style>
  <w:style w:type="paragraph" w:customStyle="1" w:styleId="52">
    <w:name w:val="正文呀_1"/>
    <w:basedOn w:val="21"/>
    <w:qFormat/>
    <w:uiPriority w:val="0"/>
    <w:pPr>
      <w:spacing w:line="420" w:lineRule="exact"/>
      <w:ind w:firstLine="420" w:firstLineChars="200"/>
    </w:pPr>
    <w:rPr>
      <w:rFonts w:ascii="宋体" w:hAnsi="宋体"/>
      <w:kern w:val="0"/>
      <w:sz w:val="20"/>
      <w:szCs w:val="21"/>
      <w:lang w:val="zh-CN" w:eastAsia="zh-CN"/>
    </w:rPr>
  </w:style>
  <w:style w:type="paragraph" w:customStyle="1" w:styleId="53">
    <w:name w:val="纯文本_0"/>
    <w:basedOn w:val="21"/>
    <w:qFormat/>
    <w:uiPriority w:val="0"/>
    <w:rPr>
      <w:rFonts w:ascii="宋体" w:hAnsi="Courier New"/>
      <w:szCs w:val="24"/>
    </w:rPr>
  </w:style>
  <w:style w:type="paragraph" w:customStyle="1" w:styleId="54">
    <w:name w:val="无间隔_0"/>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55">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
    <w:name w:val="正文_3"/>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
    <w:name w:val="NormalCharacter"/>
    <w:qFormat/>
    <w:uiPriority w:val="0"/>
  </w:style>
  <w:style w:type="paragraph" w:customStyle="1" w:styleId="58">
    <w:name w:val="BodyText"/>
    <w:basedOn w:val="1"/>
    <w:qFormat/>
    <w:uiPriority w:val="0"/>
    <w:pPr>
      <w:spacing w:after="60" w:line="360" w:lineRule="atLeast"/>
      <w:ind w:left="72" w:leftChars="30" w:right="30" w:rightChars="30"/>
      <w:jc w:val="center"/>
    </w:pPr>
    <w:rPr>
      <w:kern w:val="0"/>
      <w:sz w:val="20"/>
      <w:szCs w:val="20"/>
    </w:rPr>
  </w:style>
  <w:style w:type="paragraph" w:customStyle="1" w:styleId="59">
    <w:name w:val="PlainText"/>
    <w:basedOn w:val="1"/>
    <w:next w:val="60"/>
    <w:qFormat/>
    <w:uiPriority w:val="0"/>
    <w:rPr>
      <w:rFonts w:ascii="宋体" w:hAnsi="Courier New"/>
      <w:szCs w:val="20"/>
    </w:rPr>
  </w:style>
  <w:style w:type="paragraph" w:customStyle="1" w:styleId="60">
    <w:name w:val="Index8"/>
    <w:basedOn w:val="1"/>
    <w:next w:val="1"/>
    <w:qFormat/>
    <w:uiPriority w:val="0"/>
    <w:pPr>
      <w:ind w:left="2940"/>
    </w:pPr>
  </w:style>
  <w:style w:type="paragraph" w:customStyle="1" w:styleId="61">
    <w:name w:val="style4"/>
    <w:basedOn w:val="1"/>
    <w:next w:val="62"/>
    <w:qFormat/>
    <w:uiPriority w:val="0"/>
    <w:pPr>
      <w:widowControl/>
      <w:spacing w:before="280" w:after="280"/>
    </w:pPr>
    <w:rPr>
      <w:rFonts w:ascii="宋体"/>
      <w:sz w:val="18"/>
    </w:rPr>
  </w:style>
  <w:style w:type="paragraph" w:customStyle="1" w:styleId="62">
    <w:name w:val="2"/>
    <w:basedOn w:val="4"/>
    <w:next w:val="1"/>
    <w:qFormat/>
    <w:uiPriority w:val="0"/>
    <w:pPr>
      <w:widowControl w:val="0"/>
      <w:spacing w:before="120" w:beforeLines="50" w:after="120" w:afterLines="50" w:line="240" w:lineRule="auto"/>
      <w:jc w:val="center"/>
    </w:pPr>
    <w:rPr>
      <w:rFonts w:ascii="黑体" w:eastAsia="黑体"/>
      <w:sz w:val="44"/>
      <w:szCs w:val="28"/>
    </w:rPr>
  </w:style>
  <w:style w:type="paragraph" w:customStyle="1" w:styleId="63">
    <w:name w:val="_Style 2"/>
    <w:qFormat/>
    <w:uiPriority w:val="1"/>
    <w:rPr>
      <w:rFonts w:ascii="Times New Roman" w:hAnsi="Times New Roman" w:eastAsia="宋体" w:cs="Times New Roman"/>
      <w:sz w:val="22"/>
      <w:szCs w:val="22"/>
      <w:lang w:val="en-US" w:eastAsia="zh-CN" w:bidi="ar-SA"/>
    </w:rPr>
  </w:style>
  <w:style w:type="paragraph" w:customStyle="1" w:styleId="64">
    <w:name w:val="正文_5"/>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65">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66">
    <w:name w:val="列出段落1"/>
    <w:basedOn w:val="1"/>
    <w:qFormat/>
    <w:uiPriority w:val="0"/>
    <w:pPr>
      <w:autoSpaceDE w:val="0"/>
      <w:autoSpaceDN w:val="0"/>
      <w:ind w:left="400" w:firstLine="420"/>
      <w:jc w:val="left"/>
    </w:pPr>
    <w:rPr>
      <w:rFonts w:ascii="宋体" w:hAnsi="宋体" w:cs="宋体"/>
      <w:kern w:val="0"/>
      <w:sz w:val="22"/>
      <w:szCs w:val="22"/>
      <w:lang w:val="zh-CN" w:bidi="zh-CN"/>
    </w:rPr>
  </w:style>
  <w:style w:type="character" w:customStyle="1" w:styleId="67">
    <w:name w:val="first-child"/>
    <w:basedOn w:val="29"/>
    <w:qFormat/>
    <w:uiPriority w:val="0"/>
  </w:style>
  <w:style w:type="character" w:customStyle="1" w:styleId="68">
    <w:name w:val="layui-layer-tabnow"/>
    <w:basedOn w:val="29"/>
    <w:qFormat/>
    <w:uiPriority w:val="0"/>
    <w:rPr>
      <w:bdr w:val="single" w:color="CCCCCC" w:sz="4" w:space="0"/>
      <w:shd w:val="clear" w:fill="FFFFFF"/>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header" Target="header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97</Pages>
  <Words>28943</Words>
  <Characters>30834</Characters>
  <Lines>0</Lines>
  <Paragraphs>0</Paragraphs>
  <TotalTime>84</TotalTime>
  <ScaleCrop>false</ScaleCrop>
  <LinksUpToDate>false</LinksUpToDate>
  <CharactersWithSpaces>31571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2024-06-03T12:38:00Z</dcterms:created>
  <dc:creator>Administrator</dc:creator>
  <cp:lastModifiedBy>MG</cp:lastModifiedBy>
  <cp:lastPrinted>2026-08-19T04:49:00Z</cp:lastPrinted>
  <dcterms:modified xsi:type="dcterms:W3CDTF">2026-08-20T02:44:03Z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E100F5940F04432E956075D3A5C91F77_11</vt:lpwstr>
  </property>
  <property fmtid="{D5CDD505-2E9C-101B-9397-08002B2CF9AE}" pid="4" name="KSOTemplateDocerSaveRecord">
    <vt:lpwstr>eyJoZGlkIjoiNWQ4YzA0OTBhNTIxMjA5YmE5MjRiMmQ4Y2EzZDUxZDMiLCJ1c2VySWQiOiI3MDkyNzg1NzUifQ==</vt:lpwstr>
  </property>
</Properties>
</file>