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2EBE4">
      <w:pPr>
        <w:spacing w:line="360" w:lineRule="auto"/>
        <w:jc w:val="center"/>
        <w:rPr>
          <w:rFonts w:ascii="宋体" w:hAnsi="宋体" w:cs="宋体"/>
          <w:b/>
          <w:color w:val="auto"/>
          <w:sz w:val="24"/>
          <w:highlight w:val="none"/>
        </w:rPr>
      </w:pPr>
      <w:bookmarkStart w:id="422" w:name="_GoBack"/>
    </w:p>
    <w:p w14:paraId="27B04FF1">
      <w:pPr>
        <w:spacing w:line="360" w:lineRule="auto"/>
        <w:jc w:val="center"/>
        <w:rPr>
          <w:rFonts w:ascii="宋体" w:hAnsi="宋体" w:cs="宋体"/>
          <w:b/>
          <w:color w:val="auto"/>
          <w:sz w:val="24"/>
          <w:highlight w:val="none"/>
        </w:rPr>
      </w:pPr>
    </w:p>
    <w:p w14:paraId="5E6C7553">
      <w:pPr>
        <w:adjustRightInd/>
        <w:spacing w:line="360" w:lineRule="auto"/>
        <w:jc w:val="center"/>
        <w:rPr>
          <w:rFonts w:ascii="宋体" w:hAnsi="宋体" w:cs="宋体"/>
          <w:b/>
          <w:color w:val="auto"/>
          <w:sz w:val="44"/>
          <w:szCs w:val="44"/>
          <w:highlight w:val="none"/>
        </w:rPr>
      </w:pPr>
    </w:p>
    <w:p w14:paraId="6CCA4047">
      <w:pPr>
        <w:spacing w:line="360" w:lineRule="auto"/>
        <w:jc w:val="center"/>
        <w:rPr>
          <w:rFonts w:ascii="宋体" w:hAnsi="宋体" w:cs="宋体"/>
          <w:b/>
          <w:color w:val="auto"/>
          <w:sz w:val="44"/>
          <w:szCs w:val="44"/>
          <w:highlight w:val="none"/>
        </w:rPr>
      </w:pPr>
    </w:p>
    <w:p w14:paraId="46049765">
      <w:pPr>
        <w:adjustRightInd/>
        <w:spacing w:line="360" w:lineRule="auto"/>
        <w:jc w:val="center"/>
        <w:rPr>
          <w:rFonts w:ascii="宋体" w:hAnsi="宋体" w:cs="宋体"/>
          <w:b/>
          <w:color w:val="auto"/>
          <w:sz w:val="48"/>
          <w:szCs w:val="48"/>
          <w:highlight w:val="none"/>
        </w:rPr>
      </w:pPr>
    </w:p>
    <w:p w14:paraId="26A352AF">
      <w:pPr>
        <w:adjustRightInd/>
        <w:spacing w:line="360" w:lineRule="auto"/>
        <w:jc w:val="center"/>
        <w:rPr>
          <w:rFonts w:hint="eastAsia" w:ascii="宋体" w:hAnsi="宋体" w:eastAsia="宋体" w:cs="宋体"/>
          <w:color w:val="auto"/>
          <w:sz w:val="48"/>
          <w:szCs w:val="48"/>
          <w:highlight w:val="none"/>
          <w:lang w:eastAsia="zh-CN"/>
        </w:rPr>
      </w:pPr>
      <w:bookmarkStart w:id="0" w:name="OLE_LINK16"/>
      <w:bookmarkStart w:id="1" w:name="OLE_LINK15"/>
      <w:r>
        <w:rPr>
          <w:rFonts w:hint="eastAsia" w:ascii="宋体" w:hAnsi="宋体" w:cs="宋体"/>
          <w:color w:val="auto"/>
          <w:sz w:val="48"/>
          <w:szCs w:val="48"/>
          <w:highlight w:val="none"/>
          <w:lang w:eastAsia="zh-CN"/>
        </w:rPr>
        <w:t>2026-2028年市直教育系统物业服务项目</w:t>
      </w:r>
    </w:p>
    <w:bookmarkEnd w:id="0"/>
    <w:bookmarkEnd w:id="1"/>
    <w:p w14:paraId="7C61CD33">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招标文件</w:t>
      </w:r>
    </w:p>
    <w:p w14:paraId="2163EFAC">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14:paraId="65C69132">
      <w:pPr>
        <w:snapToGrid w:val="0"/>
        <w:spacing w:line="360" w:lineRule="auto"/>
        <w:jc w:val="center"/>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编号:</w:t>
      </w:r>
      <w:r>
        <w:rPr>
          <w:color w:val="auto"/>
          <w:highlight w:val="none"/>
        </w:rPr>
        <w:t xml:space="preserve"> </w:t>
      </w:r>
      <w:r>
        <w:rPr>
          <w:rFonts w:hint="eastAsia" w:ascii="宋体" w:hAnsi="宋体" w:cs="宋体"/>
          <w:color w:val="auto"/>
          <w:sz w:val="30"/>
          <w:szCs w:val="30"/>
          <w:highlight w:val="none"/>
          <w:lang w:eastAsia="zh-CN"/>
        </w:rPr>
        <w:t>BHZC2026-G3-990114-CGZX</w:t>
      </w:r>
    </w:p>
    <w:p w14:paraId="23F18135">
      <w:pPr>
        <w:adjustRightInd/>
        <w:spacing w:line="360" w:lineRule="auto"/>
        <w:rPr>
          <w:rFonts w:ascii="宋体" w:hAnsi="宋体" w:cs="宋体"/>
          <w:color w:val="auto"/>
          <w:sz w:val="28"/>
          <w:szCs w:val="20"/>
          <w:highlight w:val="none"/>
        </w:rPr>
      </w:pPr>
    </w:p>
    <w:p w14:paraId="0110B163">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35AC9DA9">
      <w:pPr>
        <w:spacing w:line="360" w:lineRule="auto"/>
        <w:jc w:val="center"/>
        <w:rPr>
          <w:rFonts w:ascii="宋体" w:hAnsi="宋体" w:cs="宋体"/>
          <w:b/>
          <w:color w:val="auto"/>
          <w:sz w:val="44"/>
          <w:szCs w:val="44"/>
          <w:highlight w:val="none"/>
        </w:rPr>
      </w:pPr>
    </w:p>
    <w:p w14:paraId="15836B68">
      <w:pPr>
        <w:spacing w:line="360" w:lineRule="auto"/>
        <w:jc w:val="center"/>
        <w:rPr>
          <w:rFonts w:ascii="宋体" w:hAnsi="宋体" w:cs="宋体"/>
          <w:color w:val="auto"/>
          <w:sz w:val="24"/>
          <w:highlight w:val="none"/>
        </w:rPr>
      </w:pPr>
    </w:p>
    <w:p w14:paraId="28D801B2">
      <w:pPr>
        <w:spacing w:line="360" w:lineRule="auto"/>
        <w:jc w:val="center"/>
        <w:rPr>
          <w:rFonts w:ascii="宋体" w:hAnsi="宋体" w:cs="宋体"/>
          <w:color w:val="auto"/>
          <w:sz w:val="24"/>
          <w:highlight w:val="none"/>
        </w:rPr>
      </w:pPr>
    </w:p>
    <w:p w14:paraId="6920B71D">
      <w:pPr>
        <w:spacing w:line="360" w:lineRule="auto"/>
        <w:rPr>
          <w:rFonts w:ascii="宋体" w:hAnsi="宋体" w:cs="宋体"/>
          <w:color w:val="auto"/>
          <w:sz w:val="32"/>
          <w:szCs w:val="32"/>
          <w:highlight w:val="none"/>
        </w:rPr>
      </w:pPr>
    </w:p>
    <w:p w14:paraId="3754AA00">
      <w:pPr>
        <w:snapToGrid w:val="0"/>
        <w:spacing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 xml:space="preserve">北海市教育局   </w:t>
      </w:r>
    </w:p>
    <w:p w14:paraId="553C2254">
      <w:pPr>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北海市政府采购中心        </w:t>
      </w:r>
    </w:p>
    <w:p w14:paraId="7887F0A6">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二〇二六年 月 日</w:t>
      </w:r>
    </w:p>
    <w:p w14:paraId="27A43DD0">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2" w:name="_Hlt67893495"/>
      <w:bookmarkEnd w:id="2"/>
    </w:p>
    <w:p w14:paraId="2B91E576">
      <w:pPr>
        <w:pStyle w:val="635"/>
        <w:outlineLvl w:val="9"/>
        <w:rPr>
          <w:color w:val="auto"/>
          <w:highlight w:val="none"/>
        </w:rPr>
      </w:pPr>
    </w:p>
    <w:p w14:paraId="0E44BE2B">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1C8196F1">
      <w:pPr>
        <w:spacing w:line="360" w:lineRule="auto"/>
        <w:rPr>
          <w:rFonts w:ascii="宋体" w:hAnsi="宋体" w:cs="宋体"/>
          <w:color w:val="auto"/>
          <w:sz w:val="32"/>
          <w:szCs w:val="32"/>
          <w:highlight w:val="none"/>
        </w:rPr>
      </w:pPr>
    </w:p>
    <w:p w14:paraId="42A940F8">
      <w:pPr>
        <w:pStyle w:val="44"/>
        <w:tabs>
          <w:tab w:val="right" w:leader="dot" w:pos="9060"/>
        </w:tabs>
        <w:spacing w:line="360" w:lineRule="auto"/>
        <w:rPr>
          <w:rFonts w:asciiTheme="minorEastAsia" w:hAnsiTheme="minorEastAsia" w:eastAsiaTheme="minorEastAsia" w:cstheme="minorBidi"/>
          <w:color w:val="auto"/>
          <w:sz w:val="32"/>
          <w:szCs w:val="32"/>
          <w:highlight w:val="none"/>
        </w:rPr>
      </w:pPr>
      <w:bookmarkStart w:id="3" w:name="_Hlt91233176"/>
      <w:bookmarkEnd w:id="3"/>
      <w:bookmarkStart w:id="4" w:name="_Toc91899869"/>
      <w:r>
        <w:rPr>
          <w:rFonts w:cs="宋体" w:asciiTheme="minorEastAsia" w:hAnsiTheme="minorEastAsia" w:eastAsiaTheme="minorEastAsia"/>
          <w:color w:val="auto"/>
          <w:sz w:val="32"/>
          <w:szCs w:val="32"/>
          <w:highlight w:val="none"/>
        </w:rPr>
        <w:fldChar w:fldCharType="begin"/>
      </w:r>
      <w:r>
        <w:rPr>
          <w:rFonts w:cs="宋体" w:asciiTheme="minorEastAsia" w:hAnsiTheme="minorEastAsia" w:eastAsiaTheme="minorEastAsia"/>
          <w:color w:val="auto"/>
          <w:sz w:val="32"/>
          <w:szCs w:val="32"/>
          <w:highlight w:val="none"/>
        </w:rPr>
        <w:instrText xml:space="preserve"> TOC \o "1-1" \h \z \u </w:instrText>
      </w:r>
      <w:r>
        <w:rPr>
          <w:rFonts w:cs="宋体" w:asciiTheme="minorEastAsia" w:hAnsiTheme="minorEastAsia" w:eastAsiaTheme="minorEastAsia"/>
          <w:color w:val="auto"/>
          <w:sz w:val="32"/>
          <w:szCs w:val="32"/>
          <w:highlight w:val="none"/>
        </w:rPr>
        <w:fldChar w:fldCharType="separate"/>
      </w:r>
      <w:r>
        <w:rPr>
          <w:color w:val="auto"/>
          <w:highlight w:val="none"/>
        </w:rPr>
        <w:fldChar w:fldCharType="begin"/>
      </w:r>
      <w:r>
        <w:rPr>
          <w:color w:val="auto"/>
          <w:highlight w:val="none"/>
        </w:rPr>
        <w:instrText xml:space="preserve"> HYPERLINK \l "_Toc176368902" </w:instrText>
      </w:r>
      <w:r>
        <w:rPr>
          <w:color w:val="auto"/>
          <w:highlight w:val="none"/>
        </w:rPr>
        <w:fldChar w:fldCharType="separate"/>
      </w:r>
      <w:r>
        <w:rPr>
          <w:rStyle w:val="77"/>
          <w:rFonts w:hint="eastAsia" w:cs="宋体" w:asciiTheme="minorEastAsia" w:hAnsiTheme="minorEastAsia" w:eastAsiaTheme="minorEastAsia"/>
          <w:color w:val="auto"/>
          <w:sz w:val="32"/>
          <w:szCs w:val="32"/>
          <w:highlight w:val="none"/>
        </w:rPr>
        <w:t>第一部分</w:t>
      </w:r>
      <w:r>
        <w:rPr>
          <w:rStyle w:val="77"/>
          <w:rFonts w:cs="宋体" w:asciiTheme="minorEastAsia" w:hAnsiTheme="minorEastAsia" w:eastAsiaTheme="minorEastAsia"/>
          <w:color w:val="auto"/>
          <w:sz w:val="32"/>
          <w:szCs w:val="32"/>
          <w:highlight w:val="none"/>
        </w:rPr>
        <w:t xml:space="preserve"> </w:t>
      </w:r>
      <w:r>
        <w:rPr>
          <w:rStyle w:val="77"/>
          <w:rFonts w:hint="eastAsia" w:cs="宋体" w:asciiTheme="minorEastAsia" w:hAnsiTheme="minorEastAsia" w:eastAsiaTheme="minorEastAsia"/>
          <w:color w:val="auto"/>
          <w:sz w:val="32"/>
          <w:szCs w:val="32"/>
          <w:highlight w:val="none"/>
        </w:rPr>
        <w:t>招标公告</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_Toc176368902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3</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14:paraId="27EA3CA5">
      <w:pPr>
        <w:pStyle w:val="44"/>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"_Toc176368903" </w:instrText>
      </w:r>
      <w:r>
        <w:rPr>
          <w:color w:val="auto"/>
          <w:highlight w:val="none"/>
        </w:rPr>
        <w:fldChar w:fldCharType="separate"/>
      </w:r>
      <w:r>
        <w:rPr>
          <w:rStyle w:val="77"/>
          <w:rFonts w:hint="eastAsia" w:cs="宋体" w:asciiTheme="minorEastAsia" w:hAnsiTheme="minorEastAsia" w:eastAsiaTheme="minorEastAsia"/>
          <w:color w:val="auto"/>
          <w:sz w:val="32"/>
          <w:szCs w:val="32"/>
          <w:highlight w:val="none"/>
        </w:rPr>
        <w:t>第二部分</w:t>
      </w:r>
      <w:r>
        <w:rPr>
          <w:rStyle w:val="77"/>
          <w:rFonts w:cs="宋体" w:asciiTheme="minorEastAsia" w:hAnsiTheme="minorEastAsia" w:eastAsiaTheme="minorEastAsia"/>
          <w:color w:val="auto"/>
          <w:sz w:val="32"/>
          <w:szCs w:val="32"/>
          <w:highlight w:val="none"/>
        </w:rPr>
        <w:t xml:space="preserve"> </w:t>
      </w:r>
      <w:r>
        <w:rPr>
          <w:rStyle w:val="77"/>
          <w:rFonts w:hint="eastAsia" w:cs="宋体" w:asciiTheme="minorEastAsia" w:hAnsiTheme="minorEastAsia" w:eastAsiaTheme="minorEastAsia"/>
          <w:color w:val="auto"/>
          <w:sz w:val="32"/>
          <w:szCs w:val="32"/>
          <w:highlight w:val="none"/>
        </w:rPr>
        <w:t>投标人须知</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_Toc176368903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8</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14:paraId="2F3740EA">
      <w:pPr>
        <w:pStyle w:val="44"/>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"_Toc176368904" </w:instrText>
      </w:r>
      <w:r>
        <w:rPr>
          <w:color w:val="auto"/>
          <w:highlight w:val="none"/>
        </w:rPr>
        <w:fldChar w:fldCharType="separate"/>
      </w:r>
      <w:r>
        <w:rPr>
          <w:rStyle w:val="77"/>
          <w:rFonts w:hint="eastAsia" w:cs="宋体" w:asciiTheme="minorEastAsia" w:hAnsiTheme="minorEastAsia" w:eastAsiaTheme="minorEastAsia"/>
          <w:color w:val="auto"/>
          <w:sz w:val="32"/>
          <w:szCs w:val="32"/>
          <w:highlight w:val="none"/>
        </w:rPr>
        <w:t>第三部分</w:t>
      </w:r>
      <w:r>
        <w:rPr>
          <w:rStyle w:val="77"/>
          <w:rFonts w:cs="宋体" w:asciiTheme="minorEastAsia" w:hAnsiTheme="minorEastAsia" w:eastAsiaTheme="minorEastAsia"/>
          <w:color w:val="auto"/>
          <w:sz w:val="32"/>
          <w:szCs w:val="32"/>
          <w:highlight w:val="none"/>
        </w:rPr>
        <w:t xml:space="preserve"> </w:t>
      </w:r>
      <w:r>
        <w:rPr>
          <w:rStyle w:val="77"/>
          <w:rFonts w:hint="eastAsia" w:cs="宋体" w:asciiTheme="minorEastAsia" w:hAnsiTheme="minorEastAsia" w:eastAsiaTheme="minorEastAsia"/>
          <w:color w:val="auto"/>
          <w:sz w:val="32"/>
          <w:szCs w:val="32"/>
          <w:highlight w:val="none"/>
        </w:rPr>
        <w:t>采购需求</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_Toc176368904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27</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14:paraId="5A25C566">
      <w:pPr>
        <w:pStyle w:val="44"/>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"_Toc176368905" </w:instrText>
      </w:r>
      <w:r>
        <w:rPr>
          <w:color w:val="auto"/>
          <w:highlight w:val="none"/>
        </w:rPr>
        <w:fldChar w:fldCharType="separate"/>
      </w:r>
      <w:r>
        <w:rPr>
          <w:rStyle w:val="77"/>
          <w:rFonts w:hint="eastAsia" w:cs="宋体" w:asciiTheme="minorEastAsia" w:hAnsiTheme="minorEastAsia" w:eastAsiaTheme="minorEastAsia"/>
          <w:color w:val="auto"/>
          <w:sz w:val="32"/>
          <w:szCs w:val="32"/>
          <w:highlight w:val="none"/>
        </w:rPr>
        <w:t>第四部分</w:t>
      </w:r>
      <w:r>
        <w:rPr>
          <w:rStyle w:val="77"/>
          <w:rFonts w:cs="宋体" w:asciiTheme="minorEastAsia" w:hAnsiTheme="minorEastAsia" w:eastAsiaTheme="minorEastAsia"/>
          <w:color w:val="auto"/>
          <w:sz w:val="32"/>
          <w:szCs w:val="32"/>
          <w:highlight w:val="none"/>
        </w:rPr>
        <w:t xml:space="preserve"> </w:t>
      </w:r>
      <w:r>
        <w:rPr>
          <w:rStyle w:val="77"/>
          <w:rFonts w:hint="eastAsia" w:cs="宋体" w:asciiTheme="minorEastAsia" w:hAnsiTheme="minorEastAsia" w:eastAsiaTheme="minorEastAsia"/>
          <w:color w:val="auto"/>
          <w:sz w:val="32"/>
          <w:szCs w:val="32"/>
          <w:highlight w:val="none"/>
        </w:rPr>
        <w:t>评标办法</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_Toc176368905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92</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14:paraId="720C108E">
      <w:pPr>
        <w:pStyle w:val="44"/>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"_Toc176368906" </w:instrText>
      </w:r>
      <w:r>
        <w:rPr>
          <w:color w:val="auto"/>
          <w:highlight w:val="none"/>
        </w:rPr>
        <w:fldChar w:fldCharType="separate"/>
      </w:r>
      <w:r>
        <w:rPr>
          <w:rStyle w:val="77"/>
          <w:rFonts w:hint="eastAsia" w:cs="宋体" w:asciiTheme="minorEastAsia" w:hAnsiTheme="minorEastAsia" w:eastAsiaTheme="minorEastAsia"/>
          <w:color w:val="auto"/>
          <w:sz w:val="32"/>
          <w:szCs w:val="32"/>
          <w:highlight w:val="none"/>
        </w:rPr>
        <w:t>第五部分</w:t>
      </w:r>
      <w:r>
        <w:rPr>
          <w:rStyle w:val="77"/>
          <w:rFonts w:cs="宋体" w:asciiTheme="minorEastAsia" w:hAnsiTheme="minorEastAsia" w:eastAsiaTheme="minorEastAsia"/>
          <w:color w:val="auto"/>
          <w:sz w:val="32"/>
          <w:szCs w:val="32"/>
          <w:highlight w:val="none"/>
        </w:rPr>
        <w:t xml:space="preserve"> </w:t>
      </w:r>
      <w:r>
        <w:rPr>
          <w:rStyle w:val="77"/>
          <w:rFonts w:hint="eastAsia" w:cs="宋体" w:asciiTheme="minorEastAsia" w:hAnsiTheme="minorEastAsia" w:eastAsiaTheme="minorEastAsia"/>
          <w:color w:val="auto"/>
          <w:sz w:val="32"/>
          <w:szCs w:val="32"/>
          <w:highlight w:val="none"/>
        </w:rPr>
        <w:t>拟签订的合同文本</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_Toc176368906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108</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14:paraId="43C6C254">
      <w:pPr>
        <w:pStyle w:val="44"/>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"_Toc176368907" </w:instrText>
      </w:r>
      <w:r>
        <w:rPr>
          <w:color w:val="auto"/>
          <w:highlight w:val="none"/>
        </w:rPr>
        <w:fldChar w:fldCharType="separate"/>
      </w:r>
      <w:r>
        <w:rPr>
          <w:rStyle w:val="77"/>
          <w:rFonts w:hint="eastAsia" w:cs="宋体" w:asciiTheme="minorEastAsia" w:hAnsiTheme="minorEastAsia" w:eastAsiaTheme="minorEastAsia"/>
          <w:color w:val="auto"/>
          <w:sz w:val="32"/>
          <w:szCs w:val="32"/>
          <w:highlight w:val="none"/>
        </w:rPr>
        <w:t>第六部分</w:t>
      </w:r>
      <w:r>
        <w:rPr>
          <w:rStyle w:val="77"/>
          <w:rFonts w:cs="宋体" w:asciiTheme="minorEastAsia" w:hAnsiTheme="minorEastAsia" w:eastAsiaTheme="minorEastAsia"/>
          <w:color w:val="auto"/>
          <w:sz w:val="32"/>
          <w:szCs w:val="32"/>
          <w:highlight w:val="none"/>
        </w:rPr>
        <w:t xml:space="preserve"> </w:t>
      </w:r>
      <w:r>
        <w:rPr>
          <w:rStyle w:val="77"/>
          <w:rFonts w:hint="eastAsia" w:cs="宋体" w:asciiTheme="minorEastAsia" w:hAnsiTheme="minorEastAsia" w:eastAsiaTheme="minorEastAsia"/>
          <w:color w:val="auto"/>
          <w:sz w:val="32"/>
          <w:szCs w:val="32"/>
          <w:highlight w:val="none"/>
        </w:rPr>
        <w:t>应提交的有关格式范例</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_Toc176368907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114</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14:paraId="365167F5">
      <w:pPr>
        <w:spacing w:line="360" w:lineRule="auto"/>
        <w:ind w:firstLine="732" w:firstLineChars="229"/>
        <w:rPr>
          <w:rFonts w:ascii="宋体" w:hAnsi="宋体" w:cs="宋体"/>
          <w:color w:val="auto"/>
          <w:sz w:val="24"/>
          <w:highlight w:val="none"/>
        </w:rPr>
      </w:pPr>
      <w:r>
        <w:rPr>
          <w:rFonts w:cs="宋体" w:asciiTheme="minorEastAsia" w:hAnsiTheme="minorEastAsia" w:eastAsiaTheme="minorEastAsia"/>
          <w:color w:val="auto"/>
          <w:sz w:val="32"/>
          <w:szCs w:val="32"/>
          <w:highlight w:val="none"/>
        </w:rPr>
        <w:fldChar w:fldCharType="end"/>
      </w:r>
    </w:p>
    <w:p w14:paraId="10B72003">
      <w:pPr>
        <w:spacing w:line="360" w:lineRule="auto"/>
        <w:ind w:firstLine="549" w:firstLineChars="229"/>
        <w:rPr>
          <w:rFonts w:ascii="宋体" w:hAnsi="宋体" w:cs="宋体"/>
          <w:color w:val="auto"/>
          <w:sz w:val="24"/>
          <w:highlight w:val="none"/>
        </w:rPr>
      </w:pPr>
    </w:p>
    <w:p w14:paraId="4A352160">
      <w:pPr>
        <w:spacing w:line="360" w:lineRule="auto"/>
        <w:ind w:firstLine="549" w:firstLineChars="229"/>
        <w:rPr>
          <w:rFonts w:ascii="宋体" w:hAnsi="宋体" w:cs="宋体"/>
          <w:color w:val="auto"/>
          <w:sz w:val="24"/>
          <w:highlight w:val="none"/>
        </w:rPr>
      </w:pPr>
    </w:p>
    <w:p w14:paraId="76FC9F41">
      <w:pPr>
        <w:spacing w:line="360" w:lineRule="auto"/>
        <w:ind w:firstLine="549" w:firstLineChars="229"/>
        <w:rPr>
          <w:rFonts w:ascii="宋体" w:hAnsi="宋体" w:cs="宋体"/>
          <w:color w:val="auto"/>
          <w:sz w:val="24"/>
          <w:highlight w:val="none"/>
        </w:rPr>
      </w:pPr>
    </w:p>
    <w:p w14:paraId="2733EAB2">
      <w:pPr>
        <w:spacing w:line="360" w:lineRule="auto"/>
        <w:ind w:firstLine="549" w:firstLineChars="229"/>
        <w:rPr>
          <w:rFonts w:ascii="宋体" w:hAnsi="宋体" w:cs="宋体"/>
          <w:color w:val="auto"/>
          <w:sz w:val="24"/>
          <w:highlight w:val="none"/>
        </w:rPr>
      </w:pPr>
    </w:p>
    <w:p w14:paraId="54F796B7">
      <w:pPr>
        <w:spacing w:line="360" w:lineRule="auto"/>
        <w:ind w:firstLine="549" w:firstLineChars="229"/>
        <w:rPr>
          <w:rFonts w:ascii="宋体" w:hAnsi="宋体" w:cs="宋体"/>
          <w:color w:val="auto"/>
          <w:sz w:val="24"/>
          <w:highlight w:val="none"/>
        </w:rPr>
      </w:pPr>
    </w:p>
    <w:p w14:paraId="0EB3E8B6">
      <w:pPr>
        <w:spacing w:line="360" w:lineRule="auto"/>
        <w:ind w:firstLine="549" w:firstLineChars="229"/>
        <w:rPr>
          <w:rFonts w:ascii="宋体" w:hAnsi="宋体" w:cs="宋体"/>
          <w:color w:val="auto"/>
          <w:sz w:val="24"/>
          <w:highlight w:val="none"/>
        </w:rPr>
      </w:pPr>
    </w:p>
    <w:p w14:paraId="38F4A82B">
      <w:pPr>
        <w:spacing w:line="360" w:lineRule="auto"/>
        <w:ind w:firstLine="549" w:firstLineChars="229"/>
        <w:rPr>
          <w:rFonts w:ascii="宋体" w:hAnsi="宋体" w:cs="宋体"/>
          <w:color w:val="auto"/>
          <w:sz w:val="24"/>
          <w:highlight w:val="none"/>
        </w:rPr>
      </w:pPr>
    </w:p>
    <w:p w14:paraId="473B232C">
      <w:pPr>
        <w:spacing w:line="360" w:lineRule="auto"/>
        <w:ind w:firstLine="549" w:firstLineChars="229"/>
        <w:rPr>
          <w:rFonts w:ascii="宋体" w:hAnsi="宋体" w:cs="宋体"/>
          <w:color w:val="auto"/>
          <w:sz w:val="24"/>
          <w:highlight w:val="none"/>
        </w:rPr>
      </w:pPr>
    </w:p>
    <w:p w14:paraId="165A576D">
      <w:pPr>
        <w:spacing w:line="360" w:lineRule="auto"/>
        <w:ind w:firstLine="549" w:firstLineChars="229"/>
        <w:rPr>
          <w:rFonts w:ascii="宋体" w:hAnsi="宋体" w:cs="宋体"/>
          <w:color w:val="auto"/>
          <w:sz w:val="24"/>
          <w:highlight w:val="none"/>
        </w:rPr>
      </w:pPr>
    </w:p>
    <w:p w14:paraId="57E11F1D">
      <w:pPr>
        <w:spacing w:line="360" w:lineRule="auto"/>
        <w:ind w:firstLine="549" w:firstLineChars="229"/>
        <w:rPr>
          <w:rFonts w:ascii="宋体" w:hAnsi="宋体" w:cs="宋体"/>
          <w:color w:val="auto"/>
          <w:sz w:val="24"/>
          <w:highlight w:val="none"/>
        </w:rPr>
      </w:pPr>
    </w:p>
    <w:p w14:paraId="24C2287E">
      <w:pPr>
        <w:spacing w:line="360" w:lineRule="auto"/>
        <w:ind w:firstLine="549" w:firstLineChars="229"/>
        <w:rPr>
          <w:rFonts w:ascii="宋体" w:hAnsi="宋体" w:cs="宋体"/>
          <w:color w:val="auto"/>
          <w:sz w:val="24"/>
          <w:highlight w:val="none"/>
        </w:rPr>
      </w:pPr>
    </w:p>
    <w:p w14:paraId="7C038609">
      <w:pPr>
        <w:spacing w:line="360" w:lineRule="auto"/>
        <w:ind w:firstLine="549" w:firstLineChars="229"/>
        <w:rPr>
          <w:rFonts w:ascii="宋体" w:hAnsi="宋体" w:cs="宋体"/>
          <w:color w:val="auto"/>
          <w:sz w:val="24"/>
          <w:highlight w:val="none"/>
        </w:rPr>
      </w:pPr>
    </w:p>
    <w:p w14:paraId="0AC46B1E">
      <w:pPr>
        <w:spacing w:line="360" w:lineRule="auto"/>
        <w:rPr>
          <w:rFonts w:ascii="宋体" w:hAnsi="宋体" w:cs="宋体"/>
          <w:color w:val="auto"/>
          <w:sz w:val="24"/>
          <w:highlight w:val="none"/>
        </w:rPr>
      </w:pPr>
    </w:p>
    <w:p w14:paraId="2C6732BC">
      <w:pPr>
        <w:adjustRightInd/>
        <w:spacing w:line="360" w:lineRule="auto"/>
        <w:jc w:val="center"/>
        <w:outlineLvl w:val="0"/>
        <w:rPr>
          <w:rFonts w:ascii="宋体" w:hAnsi="宋体" w:cs="宋体"/>
          <w:b/>
          <w:color w:val="auto"/>
          <w:sz w:val="36"/>
          <w:szCs w:val="20"/>
          <w:highlight w:val="none"/>
        </w:rPr>
      </w:pPr>
      <w:bookmarkStart w:id="5" w:name="第一部分"/>
      <w:r>
        <w:rPr>
          <w:rFonts w:hint="eastAsia" w:ascii="宋体" w:hAnsi="宋体" w:cs="宋体"/>
          <w:b/>
          <w:color w:val="auto"/>
          <w:sz w:val="36"/>
          <w:szCs w:val="36"/>
          <w:highlight w:val="none"/>
        </w:rPr>
        <w:br w:type="page"/>
      </w:r>
      <w:bookmarkEnd w:id="4"/>
      <w:bookmarkEnd w:id="5"/>
      <w:bookmarkStart w:id="6" w:name="_Hlt74707423"/>
      <w:bookmarkEnd w:id="6"/>
      <w:bookmarkStart w:id="7" w:name="_Hlt74649545"/>
      <w:bookmarkEnd w:id="7"/>
      <w:bookmarkStart w:id="8" w:name="_Hlt74729822"/>
      <w:bookmarkEnd w:id="8"/>
      <w:bookmarkStart w:id="9" w:name="_Hlt74728647"/>
      <w:bookmarkEnd w:id="9"/>
      <w:bookmarkStart w:id="10" w:name="_Toc176368902"/>
      <w:bookmarkStart w:id="11" w:name="第二部分"/>
      <w:bookmarkStart w:id="12" w:name="_Toc91899870"/>
      <w:bookmarkStart w:id="13" w:name="_Toc91899871"/>
      <w:r>
        <w:rPr>
          <w:rFonts w:hint="eastAsia" w:ascii="宋体" w:hAnsi="宋体" w:cs="宋体"/>
          <w:b/>
          <w:color w:val="auto"/>
          <w:sz w:val="36"/>
          <w:szCs w:val="20"/>
          <w:highlight w:val="none"/>
        </w:rPr>
        <w:t>第一部分 招标公告</w:t>
      </w:r>
      <w:bookmarkEnd w:id="10"/>
    </w:p>
    <w:p w14:paraId="2B8DDBC8">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14:paraId="7C2F7CBB">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lang w:eastAsia="zh-CN"/>
        </w:rPr>
        <w:t>2026-2028年市直教育系统物业服务项目</w:t>
      </w:r>
      <w:r>
        <w:rPr>
          <w:rFonts w:hint="eastAsia" w:ascii="宋体" w:hAnsi="宋体" w:cs="宋体"/>
          <w:color w:val="auto"/>
          <w:sz w:val="24"/>
          <w:highlight w:val="none"/>
        </w:rPr>
        <w:t>招标项目的潜在投标人应在广西政府采购云平台（https://www.gcy.zfcg.gxzf.gov.cn/）获取（下载）招标文件，并于</w:t>
      </w:r>
      <w:r>
        <w:rPr>
          <w:rFonts w:hint="eastAsia" w:ascii="宋体" w:hAnsi="宋体" w:cs="宋体"/>
          <w:color w:val="auto"/>
          <w:sz w:val="24"/>
          <w:highlight w:val="none"/>
          <w:lang w:eastAsia="zh-CN"/>
        </w:rPr>
        <w:t>2026年 月 日</w:t>
      </w:r>
      <w:r>
        <w:rPr>
          <w:rFonts w:hint="eastAsia" w:ascii="宋体" w:hAnsi="宋体" w:cs="宋体"/>
          <w:color w:val="auto"/>
          <w:sz w:val="24"/>
          <w:highlight w:val="none"/>
        </w:rPr>
        <w:t xml:space="preserve"> 点 分</w:t>
      </w:r>
      <w:r>
        <w:rPr>
          <w:rFonts w:hint="eastAsia" w:ascii="宋体" w:hAnsi="宋体" w:cs="宋体"/>
          <w:bCs/>
          <w:color w:val="auto"/>
          <w:sz w:val="24"/>
          <w:highlight w:val="none"/>
        </w:rPr>
        <w:t>00秒（北京时间）前</w:t>
      </w:r>
      <w:r>
        <w:rPr>
          <w:rFonts w:hint="eastAsia" w:ascii="宋体" w:hAnsi="宋体" w:cs="宋体"/>
          <w:color w:val="auto"/>
          <w:sz w:val="24"/>
          <w:highlight w:val="none"/>
        </w:rPr>
        <w:t>递交（上传）投标文件。</w:t>
      </w:r>
    </w:p>
    <w:p w14:paraId="2892D0EE">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4684AE93">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项目编号：</w:t>
      </w:r>
      <w:r>
        <w:rPr>
          <w:rFonts w:hint="eastAsia" w:ascii="宋体" w:hAnsi="宋体" w:cs="宋体"/>
          <w:color w:val="auto"/>
          <w:sz w:val="24"/>
          <w:highlight w:val="none"/>
          <w:lang w:eastAsia="zh-CN"/>
        </w:rPr>
        <w:t>BHZC2026-G3-990114-CGZX</w:t>
      </w:r>
    </w:p>
    <w:p w14:paraId="38C5A75B">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项目名称：</w:t>
      </w:r>
      <w:r>
        <w:rPr>
          <w:rFonts w:hint="eastAsia" w:ascii="宋体" w:hAnsi="宋体" w:cs="宋体"/>
          <w:color w:val="auto"/>
          <w:sz w:val="24"/>
          <w:highlight w:val="none"/>
          <w:lang w:eastAsia="zh-CN"/>
        </w:rPr>
        <w:t>2026-2028年市直教育系统物业服务项目</w:t>
      </w:r>
    </w:p>
    <w:p w14:paraId="6AEB9DFB">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预算金额（元）：</w:t>
      </w:r>
    </w:p>
    <w:p w14:paraId="2DAD3D7D">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采购需求： </w:t>
      </w:r>
    </w:p>
    <w:p w14:paraId="285FBBA2">
      <w:pPr>
        <w:snapToGrid w:val="0"/>
        <w:spacing w:line="360" w:lineRule="auto"/>
        <w:ind w:firstLine="480" w:firstLineChars="200"/>
        <w:rPr>
          <w:rFonts w:ascii="宋体" w:hAnsi="宋体" w:cs="宋体"/>
          <w:color w:val="auto"/>
          <w:sz w:val="24"/>
          <w:highlight w:val="none"/>
        </w:rPr>
      </w:pPr>
    </w:p>
    <w:p w14:paraId="0D7CB953">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标项一</w:t>
      </w:r>
    </w:p>
    <w:p w14:paraId="210248B2">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标项名称: 物业服务1</w:t>
      </w:r>
    </w:p>
    <w:p w14:paraId="787C2E39">
      <w:pPr>
        <w:snapToGrid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数量:</w:t>
      </w:r>
      <w:r>
        <w:rPr>
          <w:rFonts w:hint="eastAsia" w:ascii="宋体" w:hAnsi="宋体" w:cs="宋体"/>
          <w:color w:val="auto"/>
          <w:sz w:val="24"/>
          <w:highlight w:val="none"/>
          <w:lang w:val="en-US" w:eastAsia="zh-CN"/>
        </w:rPr>
        <w:t>1项</w:t>
      </w:r>
    </w:p>
    <w:p w14:paraId="0E5766B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预算金额（元）: </w:t>
      </w:r>
      <w:r>
        <w:rPr>
          <w:rFonts w:hint="eastAsia" w:ascii="宋体" w:hAnsi="宋体" w:cs="宋体"/>
          <w:color w:val="auto"/>
          <w:sz w:val="24"/>
          <w:highlight w:val="none"/>
          <w:lang w:val="en-US" w:eastAsia="zh-CN"/>
        </w:rPr>
        <w:t>76331</w:t>
      </w:r>
      <w:r>
        <w:rPr>
          <w:rFonts w:ascii="宋体" w:hAnsi="宋体" w:cs="宋体"/>
          <w:color w:val="auto"/>
          <w:sz w:val="24"/>
          <w:highlight w:val="none"/>
        </w:rPr>
        <w:t>00</w:t>
      </w:r>
    </w:p>
    <w:p w14:paraId="1CA491C5">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简要规格描述或项目基本概况介绍、用途：</w:t>
      </w:r>
      <w:r>
        <w:rPr>
          <w:rFonts w:hint="eastAsia" w:ascii="宋体" w:hAnsi="宋体" w:cs="宋体"/>
          <w:color w:val="auto"/>
          <w:sz w:val="24"/>
          <w:highlight w:val="none"/>
          <w:lang w:eastAsia="zh-CN"/>
        </w:rPr>
        <w:t>为北海市第七幼儿园、北海市第十二中学、北海市北海中学、北海市卫生学校共</w:t>
      </w:r>
      <w:r>
        <w:rPr>
          <w:rFonts w:hint="eastAsia" w:ascii="宋体" w:hAnsi="宋体" w:cs="宋体"/>
          <w:color w:val="auto"/>
          <w:sz w:val="24"/>
          <w:highlight w:val="none"/>
          <w:lang w:val="en-US" w:eastAsia="zh-CN"/>
        </w:rPr>
        <w:t>4所学校提供</w:t>
      </w:r>
      <w:r>
        <w:rPr>
          <w:rFonts w:hint="eastAsia" w:ascii="宋体" w:hAnsi="宋体" w:cs="宋体"/>
          <w:color w:val="auto"/>
          <w:sz w:val="24"/>
          <w:highlight w:val="none"/>
          <w:lang w:eastAsia="zh-CN"/>
        </w:rPr>
        <w:t>物业服务</w:t>
      </w:r>
      <w:r>
        <w:rPr>
          <w:rFonts w:hint="eastAsia" w:ascii="宋体" w:hAnsi="宋体" w:cs="宋体"/>
          <w:color w:val="auto"/>
          <w:sz w:val="24"/>
          <w:highlight w:val="none"/>
        </w:rPr>
        <w:t>。</w:t>
      </w:r>
      <w:r>
        <w:rPr>
          <w:rFonts w:hint="eastAsia" w:ascii="宋体" w:hAnsi="宋体" w:cs="宋体"/>
          <w:color w:val="auto"/>
          <w:sz w:val="24"/>
          <w:highlight w:val="none"/>
          <w:lang w:eastAsia="zh-CN"/>
        </w:rPr>
        <w:t>具体要求和内容</w:t>
      </w:r>
      <w:r>
        <w:rPr>
          <w:rFonts w:hint="eastAsia" w:ascii="宋体" w:hAnsi="宋体" w:cs="宋体"/>
          <w:color w:val="auto"/>
          <w:sz w:val="24"/>
          <w:highlight w:val="none"/>
        </w:rPr>
        <w:t>详见招标文件。</w:t>
      </w:r>
    </w:p>
    <w:p w14:paraId="2C16B2B0">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最高限价（如有）：/</w:t>
      </w:r>
    </w:p>
    <w:p w14:paraId="14AFC4CE">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合同履约期限：自合同签订之日并开始履行之日起2年。</w:t>
      </w:r>
    </w:p>
    <w:p w14:paraId="43C64E47">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本标项（否）接受联合体投标</w:t>
      </w:r>
    </w:p>
    <w:p w14:paraId="0106044E">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备注：</w:t>
      </w:r>
    </w:p>
    <w:p w14:paraId="5454DA30">
      <w:pPr>
        <w:snapToGrid w:val="0"/>
        <w:spacing w:line="360" w:lineRule="auto"/>
        <w:ind w:firstLine="480" w:firstLineChars="200"/>
        <w:rPr>
          <w:rFonts w:ascii="宋体" w:hAnsi="宋体" w:cs="宋体"/>
          <w:color w:val="auto"/>
          <w:sz w:val="24"/>
          <w:highlight w:val="none"/>
        </w:rPr>
      </w:pPr>
    </w:p>
    <w:p w14:paraId="12D615D5">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标项二</w:t>
      </w:r>
    </w:p>
    <w:p w14:paraId="3CF791AF">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 xml:space="preserve">标项名称: </w:t>
      </w:r>
      <w:bookmarkStart w:id="14" w:name="OLE_LINK33"/>
      <w:r>
        <w:rPr>
          <w:rFonts w:hint="eastAsia" w:ascii="宋体" w:hAnsi="宋体" w:cs="宋体"/>
          <w:color w:val="auto"/>
          <w:sz w:val="24"/>
          <w:highlight w:val="none"/>
        </w:rPr>
        <w:t>物业服务</w:t>
      </w:r>
      <w:r>
        <w:rPr>
          <w:rFonts w:hint="eastAsia" w:ascii="宋体" w:hAnsi="宋体" w:cs="宋体"/>
          <w:color w:val="auto"/>
          <w:sz w:val="24"/>
          <w:highlight w:val="none"/>
          <w:lang w:val="en-US" w:eastAsia="zh-CN"/>
        </w:rPr>
        <w:t>2</w:t>
      </w:r>
    </w:p>
    <w:bookmarkEnd w:id="14"/>
    <w:p w14:paraId="5E75C2F9">
      <w:pPr>
        <w:snapToGrid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数量:</w:t>
      </w:r>
      <w:r>
        <w:rPr>
          <w:rFonts w:hint="eastAsia" w:ascii="宋体" w:hAnsi="宋体" w:cs="宋体"/>
          <w:color w:val="auto"/>
          <w:sz w:val="24"/>
          <w:highlight w:val="none"/>
          <w:lang w:val="en-US" w:eastAsia="zh-CN"/>
        </w:rPr>
        <w:t>1项</w:t>
      </w:r>
    </w:p>
    <w:p w14:paraId="1181F3D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预算金额（元）: </w:t>
      </w:r>
      <w:r>
        <w:rPr>
          <w:rFonts w:hint="eastAsia" w:ascii="宋体" w:hAnsi="宋体" w:cs="宋体"/>
          <w:color w:val="auto"/>
          <w:sz w:val="24"/>
          <w:highlight w:val="none"/>
          <w:lang w:val="en-US" w:eastAsia="zh-CN"/>
        </w:rPr>
        <w:t>65923</w:t>
      </w:r>
      <w:r>
        <w:rPr>
          <w:rFonts w:hint="eastAsia" w:ascii="宋体" w:hAnsi="宋体" w:cs="宋体"/>
          <w:color w:val="auto"/>
          <w:sz w:val="24"/>
          <w:highlight w:val="none"/>
        </w:rPr>
        <w:t>00</w:t>
      </w:r>
    </w:p>
    <w:p w14:paraId="1381D140">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简要规格描述或项目基本概况介绍、用途：</w:t>
      </w:r>
      <w:r>
        <w:rPr>
          <w:rFonts w:hint="eastAsia" w:ascii="宋体" w:hAnsi="宋体" w:cs="宋体"/>
          <w:color w:val="auto"/>
          <w:sz w:val="24"/>
          <w:highlight w:val="none"/>
          <w:lang w:eastAsia="zh-CN"/>
        </w:rPr>
        <w:t>为北海市第六幼儿园、北海市第二中学、北海市第六中学、北海市第十一中学、北海市中等职业技术学校共</w:t>
      </w:r>
      <w:r>
        <w:rPr>
          <w:rFonts w:hint="eastAsia" w:ascii="宋体" w:hAnsi="宋体" w:cs="宋体"/>
          <w:color w:val="auto"/>
          <w:sz w:val="24"/>
          <w:highlight w:val="none"/>
          <w:lang w:val="en-US" w:eastAsia="zh-CN"/>
        </w:rPr>
        <w:t>5所学校提供</w:t>
      </w:r>
      <w:r>
        <w:rPr>
          <w:rFonts w:hint="eastAsia" w:ascii="宋体" w:hAnsi="宋体" w:cs="宋体"/>
          <w:color w:val="auto"/>
          <w:sz w:val="24"/>
          <w:highlight w:val="none"/>
          <w:lang w:eastAsia="zh-CN"/>
        </w:rPr>
        <w:t>物业服务</w:t>
      </w:r>
      <w:r>
        <w:rPr>
          <w:rFonts w:hint="eastAsia" w:ascii="宋体" w:hAnsi="宋体" w:cs="宋体"/>
          <w:color w:val="auto"/>
          <w:sz w:val="24"/>
          <w:highlight w:val="none"/>
        </w:rPr>
        <w:t>。</w:t>
      </w:r>
      <w:r>
        <w:rPr>
          <w:rFonts w:hint="eastAsia" w:ascii="宋体" w:hAnsi="宋体" w:cs="宋体"/>
          <w:color w:val="auto"/>
          <w:sz w:val="24"/>
          <w:highlight w:val="none"/>
          <w:lang w:eastAsia="zh-CN"/>
        </w:rPr>
        <w:t>具体要求和内容</w:t>
      </w:r>
      <w:r>
        <w:rPr>
          <w:rFonts w:hint="eastAsia" w:ascii="宋体" w:hAnsi="宋体" w:cs="宋体"/>
          <w:color w:val="auto"/>
          <w:sz w:val="24"/>
          <w:highlight w:val="none"/>
        </w:rPr>
        <w:t>详见招标文件。</w:t>
      </w:r>
    </w:p>
    <w:p w14:paraId="09475E8E">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最高限价（如有）：/</w:t>
      </w:r>
    </w:p>
    <w:p w14:paraId="1E2F90BB">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合同履约期限：自合同签订之日并开始履行之日起2年。</w:t>
      </w:r>
    </w:p>
    <w:p w14:paraId="1C17DDEE">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本标项（否）接受联合体投标</w:t>
      </w:r>
    </w:p>
    <w:p w14:paraId="50A7ECB5">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备注：</w:t>
      </w:r>
    </w:p>
    <w:p w14:paraId="01C5A468">
      <w:pPr>
        <w:snapToGrid w:val="0"/>
        <w:spacing w:line="360" w:lineRule="auto"/>
        <w:ind w:firstLine="480" w:firstLineChars="200"/>
        <w:rPr>
          <w:rFonts w:ascii="宋体" w:hAnsi="宋体" w:cs="宋体"/>
          <w:color w:val="auto"/>
          <w:sz w:val="24"/>
          <w:highlight w:val="none"/>
        </w:rPr>
      </w:pPr>
    </w:p>
    <w:p w14:paraId="5825EF59">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标项三</w:t>
      </w:r>
    </w:p>
    <w:p w14:paraId="4F6635E1">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 xml:space="preserve">标项名称: </w:t>
      </w:r>
      <w:bookmarkStart w:id="15" w:name="OLE_LINK34"/>
      <w:bookmarkStart w:id="16" w:name="OLE_LINK35"/>
      <w:r>
        <w:rPr>
          <w:rFonts w:hint="eastAsia" w:ascii="宋体" w:hAnsi="宋体" w:cs="宋体"/>
          <w:color w:val="auto"/>
          <w:sz w:val="24"/>
          <w:highlight w:val="none"/>
        </w:rPr>
        <w:t>物业服务</w:t>
      </w:r>
      <w:r>
        <w:rPr>
          <w:rFonts w:hint="eastAsia" w:ascii="宋体" w:hAnsi="宋体" w:cs="宋体"/>
          <w:color w:val="auto"/>
          <w:sz w:val="24"/>
          <w:highlight w:val="none"/>
          <w:lang w:val="en-US" w:eastAsia="zh-CN"/>
        </w:rPr>
        <w:t>3</w:t>
      </w:r>
    </w:p>
    <w:bookmarkEnd w:id="15"/>
    <w:bookmarkEnd w:id="16"/>
    <w:p w14:paraId="0C593D92">
      <w:pPr>
        <w:snapToGrid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 xml:space="preserve">数量: </w:t>
      </w:r>
      <w:r>
        <w:rPr>
          <w:rFonts w:hint="eastAsia" w:ascii="宋体" w:hAnsi="宋体" w:cs="宋体"/>
          <w:color w:val="auto"/>
          <w:sz w:val="24"/>
          <w:highlight w:val="none"/>
          <w:lang w:val="en-US" w:eastAsia="zh-CN"/>
        </w:rPr>
        <w:t>1项</w:t>
      </w:r>
    </w:p>
    <w:p w14:paraId="59AF8FC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预算金额（元）: </w:t>
      </w:r>
      <w:r>
        <w:rPr>
          <w:rFonts w:hint="eastAsia" w:ascii="宋体" w:hAnsi="宋体" w:cs="宋体"/>
          <w:color w:val="auto"/>
          <w:sz w:val="24"/>
          <w:highlight w:val="none"/>
          <w:lang w:val="en-US" w:eastAsia="zh-CN"/>
        </w:rPr>
        <w:t>54910</w:t>
      </w:r>
      <w:r>
        <w:rPr>
          <w:rFonts w:hint="eastAsia" w:ascii="宋体" w:hAnsi="宋体" w:cs="宋体"/>
          <w:color w:val="auto"/>
          <w:sz w:val="24"/>
          <w:highlight w:val="none"/>
        </w:rPr>
        <w:t>00</w:t>
      </w:r>
    </w:p>
    <w:p w14:paraId="0C16ACAA">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简要规格描述或项目基本概况介绍、用途</w:t>
      </w:r>
      <w:r>
        <w:rPr>
          <w:rFonts w:hint="eastAsia" w:ascii="宋体" w:hAnsi="宋体" w:cs="宋体"/>
          <w:color w:val="auto"/>
          <w:sz w:val="24"/>
          <w:highlight w:val="none"/>
          <w:lang w:eastAsia="zh-CN"/>
        </w:rPr>
        <w:t>：为北海市第一幼儿园、北海市第二幼儿园、北海市第三幼儿园、北海市第一中学、北海市第五中学、北海市第八中学、北海市第十三中学、北海市特殊教育学校、北海市实验学校、北海市外国语实验学校共</w:t>
      </w:r>
      <w:r>
        <w:rPr>
          <w:rFonts w:hint="eastAsia" w:ascii="宋体" w:hAnsi="宋体" w:cs="宋体"/>
          <w:color w:val="auto"/>
          <w:sz w:val="24"/>
          <w:highlight w:val="none"/>
          <w:lang w:val="en-US" w:eastAsia="zh-CN"/>
        </w:rPr>
        <w:t>10所学校提供</w:t>
      </w:r>
      <w:r>
        <w:rPr>
          <w:rFonts w:hint="eastAsia" w:ascii="宋体" w:hAnsi="宋体" w:cs="宋体"/>
          <w:color w:val="auto"/>
          <w:sz w:val="24"/>
          <w:highlight w:val="none"/>
          <w:lang w:eastAsia="zh-CN"/>
        </w:rPr>
        <w:t>物业服务</w:t>
      </w:r>
      <w:r>
        <w:rPr>
          <w:rFonts w:hint="eastAsia" w:ascii="宋体" w:hAnsi="宋体" w:cs="宋体"/>
          <w:color w:val="auto"/>
          <w:sz w:val="24"/>
          <w:highlight w:val="none"/>
        </w:rPr>
        <w:t>。</w:t>
      </w:r>
      <w:r>
        <w:rPr>
          <w:rFonts w:hint="eastAsia" w:ascii="宋体" w:hAnsi="宋体" w:cs="宋体"/>
          <w:color w:val="auto"/>
          <w:sz w:val="24"/>
          <w:highlight w:val="none"/>
          <w:lang w:eastAsia="zh-CN"/>
        </w:rPr>
        <w:t>具体要求和内容</w:t>
      </w:r>
      <w:r>
        <w:rPr>
          <w:rFonts w:hint="eastAsia" w:ascii="宋体" w:hAnsi="宋体" w:cs="宋体"/>
          <w:color w:val="auto"/>
          <w:sz w:val="24"/>
          <w:highlight w:val="none"/>
        </w:rPr>
        <w:t>详见招标文件。</w:t>
      </w:r>
    </w:p>
    <w:p w14:paraId="3AAD68B7">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最高限价（如有）：/</w:t>
      </w:r>
    </w:p>
    <w:p w14:paraId="1986072F">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合同履约期限：自合同签订之日并开始履行之日起2年。</w:t>
      </w:r>
    </w:p>
    <w:p w14:paraId="01BC286C">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本标项（否）接受联合体投标</w:t>
      </w:r>
    </w:p>
    <w:p w14:paraId="2183FD33">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备注：</w:t>
      </w:r>
    </w:p>
    <w:p w14:paraId="4A9AD1A4">
      <w:pPr>
        <w:snapToGrid w:val="0"/>
        <w:spacing w:line="360" w:lineRule="auto"/>
        <w:ind w:firstLine="480" w:firstLineChars="200"/>
        <w:rPr>
          <w:rFonts w:ascii="宋体" w:hAnsi="宋体" w:cs="宋体"/>
          <w:color w:val="auto"/>
          <w:sz w:val="24"/>
          <w:highlight w:val="none"/>
        </w:rPr>
      </w:pPr>
    </w:p>
    <w:p w14:paraId="7BF92751">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标项四</w:t>
      </w:r>
    </w:p>
    <w:p w14:paraId="7822472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标项名称: 物业服务</w:t>
      </w:r>
      <w:r>
        <w:rPr>
          <w:rFonts w:hint="eastAsia" w:ascii="宋体" w:hAnsi="宋体" w:cs="宋体"/>
          <w:color w:val="auto"/>
          <w:sz w:val="24"/>
          <w:highlight w:val="none"/>
          <w:lang w:val="en-US" w:eastAsia="zh-CN"/>
        </w:rPr>
        <w:t>4</w:t>
      </w:r>
    </w:p>
    <w:p w14:paraId="7D7424A4">
      <w:pPr>
        <w:snapToGrid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 xml:space="preserve">数量: </w:t>
      </w:r>
      <w:r>
        <w:rPr>
          <w:rFonts w:hint="eastAsia" w:ascii="宋体" w:hAnsi="宋体" w:cs="宋体"/>
          <w:color w:val="auto"/>
          <w:sz w:val="24"/>
          <w:highlight w:val="none"/>
          <w:lang w:val="en-US" w:eastAsia="zh-CN"/>
        </w:rPr>
        <w:t>1项</w:t>
      </w:r>
    </w:p>
    <w:p w14:paraId="4747EF73">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预算金额（元）: </w:t>
      </w:r>
      <w:r>
        <w:rPr>
          <w:rFonts w:hint="eastAsia" w:ascii="宋体" w:hAnsi="宋体" w:cs="宋体"/>
          <w:color w:val="auto"/>
          <w:sz w:val="24"/>
          <w:highlight w:val="none"/>
          <w:lang w:val="en-US" w:eastAsia="zh-CN"/>
        </w:rPr>
        <w:t>45948</w:t>
      </w:r>
      <w:r>
        <w:rPr>
          <w:rFonts w:hint="eastAsia" w:ascii="宋体" w:hAnsi="宋体" w:cs="宋体"/>
          <w:color w:val="auto"/>
          <w:sz w:val="24"/>
          <w:highlight w:val="none"/>
        </w:rPr>
        <w:t>00</w:t>
      </w:r>
    </w:p>
    <w:p w14:paraId="21241EE5">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简要规格描述或项目基本概况介绍、用途：</w:t>
      </w:r>
      <w:r>
        <w:rPr>
          <w:rFonts w:hint="eastAsia" w:ascii="宋体" w:hAnsi="宋体" w:cs="宋体"/>
          <w:color w:val="auto"/>
          <w:sz w:val="24"/>
          <w:highlight w:val="none"/>
          <w:lang w:eastAsia="zh-CN"/>
        </w:rPr>
        <w:t>为</w:t>
      </w:r>
      <w:r>
        <w:rPr>
          <w:rFonts w:hint="eastAsia" w:ascii="宋体" w:hAnsi="宋体" w:cs="宋体"/>
          <w:color w:val="auto"/>
          <w:sz w:val="24"/>
          <w:highlight w:val="none"/>
        </w:rPr>
        <w:t>北海市机关幼儿园（北海市涠洲岛幼儿园）</w:t>
      </w:r>
      <w:r>
        <w:rPr>
          <w:rFonts w:hint="eastAsia" w:ascii="宋体" w:hAnsi="宋体" w:cs="宋体"/>
          <w:color w:val="auto"/>
          <w:sz w:val="24"/>
          <w:highlight w:val="none"/>
          <w:lang w:eastAsia="zh-CN"/>
        </w:rPr>
        <w:t>、</w:t>
      </w:r>
      <w:r>
        <w:rPr>
          <w:rFonts w:hint="eastAsia" w:ascii="宋体" w:hAnsi="宋体" w:cs="宋体"/>
          <w:color w:val="auto"/>
          <w:sz w:val="24"/>
          <w:highlight w:val="none"/>
        </w:rPr>
        <w:t>北海市政府机关幼儿园</w:t>
      </w:r>
      <w:r>
        <w:rPr>
          <w:rFonts w:hint="eastAsia" w:ascii="宋体" w:hAnsi="宋体" w:cs="宋体"/>
          <w:color w:val="auto"/>
          <w:sz w:val="24"/>
          <w:highlight w:val="none"/>
          <w:lang w:eastAsia="zh-CN"/>
        </w:rPr>
        <w:t>、</w:t>
      </w:r>
      <w:r>
        <w:rPr>
          <w:rFonts w:hint="eastAsia" w:ascii="宋体" w:hAnsi="宋体" w:cs="宋体"/>
          <w:color w:val="auto"/>
          <w:sz w:val="24"/>
          <w:highlight w:val="none"/>
        </w:rPr>
        <w:t>北海市第五幼儿园</w:t>
      </w:r>
      <w:r>
        <w:rPr>
          <w:rFonts w:hint="eastAsia" w:ascii="宋体" w:hAnsi="宋体" w:cs="宋体"/>
          <w:color w:val="auto"/>
          <w:sz w:val="24"/>
          <w:highlight w:val="none"/>
          <w:lang w:eastAsia="zh-CN"/>
        </w:rPr>
        <w:t>、</w:t>
      </w:r>
      <w:r>
        <w:rPr>
          <w:rFonts w:hint="eastAsia" w:ascii="宋体" w:hAnsi="宋体" w:cs="宋体"/>
          <w:color w:val="auto"/>
          <w:sz w:val="24"/>
          <w:highlight w:val="none"/>
        </w:rPr>
        <w:t>北海市第三中学</w:t>
      </w:r>
      <w:r>
        <w:rPr>
          <w:rFonts w:hint="eastAsia" w:ascii="宋体" w:hAnsi="宋体" w:cs="宋体"/>
          <w:color w:val="auto"/>
          <w:sz w:val="24"/>
          <w:highlight w:val="none"/>
          <w:lang w:eastAsia="zh-CN"/>
        </w:rPr>
        <w:t>、</w:t>
      </w:r>
      <w:r>
        <w:rPr>
          <w:rFonts w:hint="eastAsia" w:ascii="宋体" w:hAnsi="宋体" w:cs="宋体"/>
          <w:color w:val="auto"/>
          <w:sz w:val="24"/>
          <w:highlight w:val="none"/>
        </w:rPr>
        <w:t>北海市第七中学</w:t>
      </w:r>
      <w:r>
        <w:rPr>
          <w:rFonts w:hint="eastAsia" w:ascii="宋体" w:hAnsi="宋体" w:cs="宋体"/>
          <w:color w:val="auto"/>
          <w:sz w:val="24"/>
          <w:highlight w:val="none"/>
          <w:lang w:eastAsia="zh-CN"/>
        </w:rPr>
        <w:t>、</w:t>
      </w:r>
      <w:r>
        <w:rPr>
          <w:rFonts w:hint="eastAsia" w:ascii="宋体" w:hAnsi="宋体" w:cs="宋体"/>
          <w:color w:val="auto"/>
          <w:sz w:val="24"/>
          <w:highlight w:val="none"/>
        </w:rPr>
        <w:t>北海市第九中学</w:t>
      </w:r>
      <w:r>
        <w:rPr>
          <w:rFonts w:hint="eastAsia" w:ascii="宋体" w:hAnsi="宋体" w:cs="宋体"/>
          <w:color w:val="auto"/>
          <w:sz w:val="24"/>
          <w:highlight w:val="none"/>
          <w:lang w:eastAsia="zh-CN"/>
        </w:rPr>
        <w:t>、</w:t>
      </w:r>
      <w:r>
        <w:rPr>
          <w:rFonts w:hint="eastAsia" w:ascii="宋体" w:hAnsi="宋体" w:cs="宋体"/>
          <w:color w:val="auto"/>
          <w:sz w:val="24"/>
          <w:highlight w:val="none"/>
        </w:rPr>
        <w:t>北海市第十中学</w:t>
      </w:r>
      <w:r>
        <w:rPr>
          <w:rFonts w:hint="eastAsia" w:ascii="宋体" w:hAnsi="宋体" w:cs="宋体"/>
          <w:color w:val="auto"/>
          <w:sz w:val="24"/>
          <w:highlight w:val="none"/>
          <w:lang w:eastAsia="zh-CN"/>
        </w:rPr>
        <w:t>、</w:t>
      </w:r>
      <w:r>
        <w:rPr>
          <w:rFonts w:hint="eastAsia" w:ascii="宋体" w:hAnsi="宋体" w:cs="宋体"/>
          <w:color w:val="auto"/>
          <w:sz w:val="24"/>
          <w:highlight w:val="none"/>
        </w:rPr>
        <w:t>北海市第二十六中学</w:t>
      </w:r>
      <w:r>
        <w:rPr>
          <w:rFonts w:hint="eastAsia" w:ascii="宋体" w:hAnsi="宋体" w:cs="宋体"/>
          <w:color w:val="auto"/>
          <w:sz w:val="24"/>
          <w:highlight w:val="none"/>
          <w:lang w:eastAsia="zh-CN"/>
        </w:rPr>
        <w:t>、</w:t>
      </w:r>
      <w:r>
        <w:rPr>
          <w:rFonts w:hint="eastAsia" w:ascii="宋体" w:hAnsi="宋体" w:cs="宋体"/>
          <w:color w:val="auto"/>
          <w:sz w:val="24"/>
          <w:highlight w:val="none"/>
        </w:rPr>
        <w:t>北京市第八中学北海实验学校</w:t>
      </w:r>
      <w:r>
        <w:rPr>
          <w:rFonts w:hint="eastAsia" w:ascii="宋体" w:hAnsi="宋体" w:cs="宋体"/>
          <w:color w:val="auto"/>
          <w:sz w:val="24"/>
          <w:highlight w:val="none"/>
          <w:lang w:eastAsia="zh-CN"/>
        </w:rPr>
        <w:t>、</w:t>
      </w:r>
      <w:r>
        <w:rPr>
          <w:rFonts w:hint="eastAsia" w:ascii="宋体" w:hAnsi="宋体" w:cs="宋体"/>
          <w:color w:val="auto"/>
          <w:sz w:val="24"/>
          <w:highlight w:val="none"/>
        </w:rPr>
        <w:t>北京师范大学北海实验中学</w:t>
      </w:r>
      <w:r>
        <w:rPr>
          <w:rFonts w:hint="eastAsia" w:ascii="宋体" w:hAnsi="宋体" w:cs="宋体"/>
          <w:color w:val="auto"/>
          <w:sz w:val="24"/>
          <w:highlight w:val="none"/>
          <w:lang w:eastAsia="zh-CN"/>
        </w:rPr>
        <w:t>共</w:t>
      </w:r>
      <w:r>
        <w:rPr>
          <w:rFonts w:hint="eastAsia" w:ascii="宋体" w:hAnsi="宋体" w:cs="宋体"/>
          <w:color w:val="auto"/>
          <w:sz w:val="24"/>
          <w:highlight w:val="none"/>
          <w:lang w:val="en-US" w:eastAsia="zh-CN"/>
        </w:rPr>
        <w:t>10所学校提供</w:t>
      </w:r>
      <w:r>
        <w:rPr>
          <w:rFonts w:hint="eastAsia" w:ascii="宋体" w:hAnsi="宋体" w:cs="宋体"/>
          <w:color w:val="auto"/>
          <w:sz w:val="24"/>
          <w:highlight w:val="none"/>
          <w:lang w:eastAsia="zh-CN"/>
        </w:rPr>
        <w:t>物业服务</w:t>
      </w:r>
      <w:r>
        <w:rPr>
          <w:rFonts w:hint="eastAsia" w:ascii="宋体" w:hAnsi="宋体" w:cs="宋体"/>
          <w:color w:val="auto"/>
          <w:sz w:val="24"/>
          <w:highlight w:val="none"/>
        </w:rPr>
        <w:t>。</w:t>
      </w:r>
      <w:r>
        <w:rPr>
          <w:rFonts w:hint="eastAsia" w:ascii="宋体" w:hAnsi="宋体" w:cs="宋体"/>
          <w:color w:val="auto"/>
          <w:sz w:val="24"/>
          <w:highlight w:val="none"/>
          <w:lang w:eastAsia="zh-CN"/>
        </w:rPr>
        <w:t>具体要求和内容</w:t>
      </w:r>
      <w:r>
        <w:rPr>
          <w:rFonts w:hint="eastAsia" w:ascii="宋体" w:hAnsi="宋体" w:cs="宋体"/>
          <w:color w:val="auto"/>
          <w:sz w:val="24"/>
          <w:highlight w:val="none"/>
        </w:rPr>
        <w:t>详见招标文件。</w:t>
      </w:r>
    </w:p>
    <w:p w14:paraId="35C233B4">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最高限价（如有）：/</w:t>
      </w:r>
    </w:p>
    <w:p w14:paraId="409DBBB7">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合同履约期限：自合同签订之日并开始履行之日起2年。</w:t>
      </w:r>
    </w:p>
    <w:p w14:paraId="6AD6325E">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本标项（否）接受联合体投标</w:t>
      </w:r>
    </w:p>
    <w:p w14:paraId="7A174C78">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备注：</w:t>
      </w:r>
    </w:p>
    <w:p w14:paraId="4DE0FC89">
      <w:pPr>
        <w:snapToGrid w:val="0"/>
        <w:spacing w:line="360" w:lineRule="auto"/>
        <w:ind w:firstLine="480" w:firstLineChars="200"/>
        <w:rPr>
          <w:rFonts w:ascii="宋体" w:hAnsi="宋体" w:cs="宋体"/>
          <w:color w:val="auto"/>
          <w:sz w:val="24"/>
          <w:highlight w:val="none"/>
        </w:rPr>
      </w:pPr>
    </w:p>
    <w:p w14:paraId="5557D6FF">
      <w:pPr>
        <w:snapToGrid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二、申请人的资格要求：</w:t>
      </w:r>
    </w:p>
    <w:p w14:paraId="20295132">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14:paraId="7B41E801">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2.落实政府采购政策需满足的资格要求：标项一、二、三、四均专门面向中小企业采购，监狱企业、残疾人福利性单位视同小型和微型企业。</w:t>
      </w:r>
    </w:p>
    <w:p w14:paraId="15F15856">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3.本项目的特定资格要求：</w:t>
      </w:r>
      <w:r>
        <w:rPr>
          <w:rFonts w:hint="eastAsia" w:ascii="宋体" w:hAnsi="宋体" w:cs="宋体"/>
          <w:color w:val="auto"/>
          <w:sz w:val="24"/>
          <w:highlight w:val="none"/>
          <w:lang w:eastAsia="zh-CN"/>
        </w:rPr>
        <w:t>无。</w:t>
      </w:r>
    </w:p>
    <w:p w14:paraId="6E7825AA">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069D3C4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时间：</w:t>
      </w:r>
      <w:r>
        <w:rPr>
          <w:rFonts w:hint="eastAsia" w:ascii="宋体" w:hAnsi="宋体" w:cs="宋体"/>
          <w:color w:val="auto"/>
          <w:sz w:val="24"/>
          <w:highlight w:val="none"/>
          <w:u w:val="single"/>
          <w:lang w:eastAsia="zh-CN"/>
        </w:rPr>
        <w:t>2026年 月 日</w:t>
      </w:r>
      <w:r>
        <w:rPr>
          <w:rFonts w:hint="eastAsia" w:ascii="宋体" w:hAnsi="宋体" w:cs="宋体"/>
          <w:color w:val="auto"/>
          <w:sz w:val="24"/>
          <w:highlight w:val="none"/>
        </w:rPr>
        <w:t>至</w:t>
      </w:r>
      <w:r>
        <w:rPr>
          <w:rFonts w:hint="eastAsia" w:ascii="宋体" w:hAnsi="宋体" w:cs="宋体"/>
          <w:color w:val="auto"/>
          <w:sz w:val="24"/>
          <w:highlight w:val="none"/>
          <w:u w:val="single"/>
          <w:lang w:eastAsia="zh-CN"/>
        </w:rPr>
        <w:t>2026年 月 日</w:t>
      </w:r>
      <w:r>
        <w:rPr>
          <w:rFonts w:hint="eastAsia" w:ascii="宋体" w:hAnsi="宋体" w:cs="宋体"/>
          <w:color w:val="auto"/>
          <w:sz w:val="24"/>
          <w:highlight w:val="none"/>
        </w:rPr>
        <w:t>，每天上午00:00至12:00 ，下午12:00至23:59（北京时间，法定节假日除外）</w:t>
      </w:r>
    </w:p>
    <w:p w14:paraId="132072D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地点（网址）：广西政府采购云平台（https://www.gcy.zfcg.gxzf.gov.cn/） </w:t>
      </w:r>
    </w:p>
    <w:p w14:paraId="1F25134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方式：供应商登录广西政府采购云平台（https://www.gcy.zfcg.gxzf.gov.cn/）在线申请获取采购文件（进入“项目采购”应用，在获取采购文件菜单中选择项目，申请获取采购文件）。 </w:t>
      </w:r>
    </w:p>
    <w:p w14:paraId="32227C3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售价（元）：0</w:t>
      </w:r>
      <w:r>
        <w:rPr>
          <w:rFonts w:hint="eastAsia" w:ascii="宋体" w:hAnsi="宋体" w:cs="宋体"/>
          <w:color w:val="auto"/>
          <w:sz w:val="24"/>
          <w:highlight w:val="none"/>
        </w:rPr>
        <w:tab/>
      </w:r>
    </w:p>
    <w:p w14:paraId="219C25BB">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559362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提交投标文件截止时间：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 月 日</w:t>
      </w:r>
      <w:r>
        <w:rPr>
          <w:rFonts w:hint="eastAsia" w:ascii="宋体" w:hAnsi="宋体" w:cs="宋体"/>
          <w:color w:val="auto"/>
          <w:sz w:val="24"/>
          <w:highlight w:val="none"/>
          <w:u w:val="single"/>
        </w:rPr>
        <w:t xml:space="preserve"> 点 分00秒</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（北京时间）</w:t>
      </w:r>
    </w:p>
    <w:p w14:paraId="25F0BD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投标地点（网址）：广西政府采购云平台（https://www.gcy.zfcg.gxzf.gov.cn/） </w:t>
      </w:r>
    </w:p>
    <w:p w14:paraId="17846EC4">
      <w:pPr>
        <w:spacing w:line="360" w:lineRule="auto"/>
        <w:ind w:firstLine="480" w:firstLineChars="200"/>
        <w:rPr>
          <w:rFonts w:ascii="宋体" w:hAnsi="宋体" w:cs="宋体"/>
          <w:bCs/>
          <w:color w:val="auto"/>
          <w:sz w:val="24"/>
          <w:highlight w:val="none"/>
          <w:u w:val="single"/>
        </w:rPr>
      </w:pPr>
      <w:r>
        <w:rPr>
          <w:rFonts w:hint="eastAsia" w:ascii="宋体" w:hAnsi="宋体" w:cs="宋体"/>
          <w:color w:val="auto"/>
          <w:sz w:val="24"/>
          <w:highlight w:val="none"/>
        </w:rPr>
        <w:t>开标时间：</w:t>
      </w:r>
      <w:r>
        <w:rPr>
          <w:rFonts w:hint="eastAsia" w:ascii="宋体" w:hAnsi="宋体" w:cs="宋体"/>
          <w:color w:val="auto"/>
          <w:sz w:val="24"/>
          <w:highlight w:val="none"/>
          <w:u w:val="single"/>
          <w:lang w:eastAsia="zh-CN"/>
        </w:rPr>
        <w:t>2026年 月 日</w:t>
      </w:r>
      <w:r>
        <w:rPr>
          <w:rFonts w:hint="eastAsia" w:ascii="宋体" w:hAnsi="宋体" w:cs="宋体"/>
          <w:color w:val="auto"/>
          <w:sz w:val="24"/>
          <w:highlight w:val="none"/>
          <w:u w:val="single"/>
        </w:rPr>
        <w:t xml:space="preserve"> 点 分00秒</w:t>
      </w:r>
      <w:r>
        <w:rPr>
          <w:rFonts w:hint="eastAsia" w:ascii="宋体" w:hAnsi="宋体" w:cs="宋体"/>
          <w:bCs/>
          <w:color w:val="auto"/>
          <w:sz w:val="24"/>
          <w:highlight w:val="none"/>
          <w:u w:val="single"/>
        </w:rPr>
        <w:t xml:space="preserve">  </w:t>
      </w:r>
    </w:p>
    <w:p w14:paraId="13272B5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开标地点（网址）：广西政府采购云平台（https://www.gcy.zfcg.gxzf.gov.cn/）</w:t>
      </w:r>
    </w:p>
    <w:p w14:paraId="36D7C301">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681A4AB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487AAB44">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27539F9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1.投标保证金：无。</w:t>
      </w:r>
    </w:p>
    <w:p w14:paraId="5322576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2.本项目需要落实的政府采购政策：（1）支持中小企业发展：专门面向中小企业采购。（</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）支持监狱企业、残疾人福利性单位发展：监狱企业、残疾人福利性单位视同小型和微型企业。（</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）平等对待内外资企业和符合条件的破产重整企业。</w:t>
      </w:r>
    </w:p>
    <w:p w14:paraId="675BA17A">
      <w:pPr>
        <w:spacing w:line="360" w:lineRule="auto"/>
        <w:ind w:firstLine="480" w:firstLineChars="200"/>
        <w:rPr>
          <w:color w:val="auto"/>
          <w:highlight w:val="none"/>
        </w:rPr>
      </w:pPr>
      <w:r>
        <w:rPr>
          <w:rFonts w:hint="eastAsia" w:ascii="宋体" w:hAnsi="宋体" w:cs="宋体"/>
          <w:snapToGrid w:val="0"/>
          <w:color w:val="auto"/>
          <w:kern w:val="28"/>
          <w:sz w:val="24"/>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p w14:paraId="764F77E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4.网上公告媒体查询：中国政府采购网、广西政府采购网、北海市政府采购监管网、北海市人民政府网-北海市政府采购中心网站、全国公共资源交易平台（广西•北海）。</w:t>
      </w:r>
    </w:p>
    <w:p w14:paraId="28763629">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735256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70630FA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7.本项目采用（跨省）远程异地评标。</w:t>
      </w:r>
    </w:p>
    <w:p w14:paraId="309E2887">
      <w:pPr>
        <w:pStyle w:val="2"/>
        <w:rPr>
          <w:rFonts w:hint="default" w:eastAsia="宋体"/>
          <w:highlight w:val="none"/>
          <w:lang w:val="en-US" w:eastAsia="zh-CN"/>
        </w:rPr>
      </w:pPr>
      <w:r>
        <w:rPr>
          <w:rFonts w:hint="eastAsia" w:hAnsi="宋体" w:cs="宋体"/>
          <w:color w:val="auto"/>
          <w:sz w:val="24"/>
          <w:highlight w:val="none"/>
          <w:lang w:val="en-US" w:eastAsia="zh-CN"/>
        </w:rPr>
        <w:t>8.本项目划分为1、2、3、4四个分标，实行兼投不兼中，供应商可以同时参与多个分标投标，但只能中标一个分标。评标委员会严格按照1→2→3→4的顺序依次开展评审；若某供应商在前序分标被确定为第一中标候选人，该供应商不再进入后续详细评审及中标候选人推荐环节，在后续所有分标评审中，评标委员会直接对其作符合性审查否决处理，后续分标从剩余有效投标人（不得少于3家）中正常评审。</w:t>
      </w:r>
    </w:p>
    <w:p w14:paraId="1E96288B">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七、对本次采购提出询问，请按以下方式联系</w:t>
      </w:r>
    </w:p>
    <w:p w14:paraId="1E4B72B0">
      <w:pPr>
        <w:adjustRightInd/>
        <w:spacing w:line="3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1.采购人信息</w:t>
      </w:r>
    </w:p>
    <w:p w14:paraId="1054BC45">
      <w:pPr>
        <w:adjustRightInd/>
        <w:spacing w:line="3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名    称：北海市教育局</w:t>
      </w:r>
    </w:p>
    <w:p w14:paraId="393314B0">
      <w:pPr>
        <w:adjustRightInd/>
        <w:spacing w:line="3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地    址：北海市海城区广东南路117号</w:t>
      </w:r>
    </w:p>
    <w:p w14:paraId="6A9B8684">
      <w:pPr>
        <w:adjustRightInd/>
        <w:spacing w:line="3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项目联系人：刘小玲</w:t>
      </w:r>
      <w:r>
        <w:rPr>
          <w:rFonts w:hint="eastAsia" w:ascii="宋体" w:hAnsi="宋体" w:cs="宋体"/>
          <w:color w:val="auto"/>
          <w:sz w:val="24"/>
          <w:highlight w:val="none"/>
        </w:rPr>
        <w:tab/>
      </w:r>
    </w:p>
    <w:p w14:paraId="098A946B">
      <w:pPr>
        <w:tabs>
          <w:tab w:val="left" w:pos="4153"/>
        </w:tabs>
        <w:adjustRightInd/>
        <w:spacing w:line="3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项目联系方式：0779-3200981</w:t>
      </w:r>
      <w:r>
        <w:rPr>
          <w:rFonts w:hint="eastAsia" w:ascii="宋体" w:hAnsi="宋体" w:cs="宋体"/>
          <w:color w:val="auto"/>
          <w:sz w:val="24"/>
          <w:highlight w:val="none"/>
        </w:rPr>
        <w:tab/>
      </w:r>
    </w:p>
    <w:p w14:paraId="6BE723AA">
      <w:pPr>
        <w:adjustRightInd/>
        <w:spacing w:line="3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2.采购代理机构信息            </w:t>
      </w:r>
    </w:p>
    <w:p w14:paraId="7D2825B6">
      <w:pPr>
        <w:adjustRightInd/>
        <w:spacing w:line="3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名    称：北海市政府采购中心             </w:t>
      </w:r>
    </w:p>
    <w:p w14:paraId="57AFE0F0">
      <w:pPr>
        <w:adjustRightInd/>
        <w:spacing w:line="3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地    址：北海市海城区陈文村北路7号市直机关第三办公区2号楼一层           </w:t>
      </w:r>
    </w:p>
    <w:p w14:paraId="5DBC91DA">
      <w:pPr>
        <w:adjustRightInd/>
        <w:spacing w:line="3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项目联系人(询问)：</w:t>
      </w:r>
      <w:r>
        <w:rPr>
          <w:rFonts w:hint="eastAsia" w:ascii="宋体" w:hAnsi="宋体" w:cs="宋体"/>
          <w:color w:val="auto"/>
          <w:sz w:val="24"/>
          <w:highlight w:val="none"/>
          <w:lang w:eastAsia="zh-CN"/>
        </w:rPr>
        <w:t>费慧栋、张文敏</w:t>
      </w:r>
      <w:r>
        <w:rPr>
          <w:rFonts w:hint="eastAsia" w:ascii="宋体" w:hAnsi="宋体" w:cs="宋体"/>
          <w:color w:val="auto"/>
          <w:sz w:val="24"/>
          <w:highlight w:val="none"/>
        </w:rPr>
        <w:t xml:space="preserve">            </w:t>
      </w:r>
    </w:p>
    <w:p w14:paraId="18FCA56B">
      <w:pPr>
        <w:spacing w:line="360" w:lineRule="auto"/>
        <w:rPr>
          <w:rFonts w:ascii="宋体" w:hAnsi="宋体" w:cs="宋体"/>
          <w:color w:val="auto"/>
          <w:sz w:val="24"/>
          <w:highlight w:val="none"/>
        </w:rPr>
      </w:pPr>
      <w:r>
        <w:rPr>
          <w:rFonts w:hint="eastAsia" w:ascii="宋体" w:hAnsi="宋体" w:cs="宋体"/>
          <w:color w:val="auto"/>
          <w:sz w:val="24"/>
          <w:highlight w:val="none"/>
        </w:rPr>
        <w:t>项目联系方式(询问)：0779-3056122</w:t>
      </w:r>
    </w:p>
    <w:p w14:paraId="7FFE0D49">
      <w:pPr>
        <w:spacing w:line="360" w:lineRule="auto"/>
        <w:rPr>
          <w:color w:val="auto"/>
          <w:highlight w:val="none"/>
        </w:rPr>
      </w:pPr>
    </w:p>
    <w:p w14:paraId="56064FB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广西政府采购云平台（https://www.gcy.zfcg.gxzf.gov.cn/），点击右侧咨询小采，获取采小蜜智能服务管家帮助，或拨打广西政府采购云平台服务热线95763获取热线服务帮助。</w:t>
      </w:r>
    </w:p>
    <w:p w14:paraId="32066EA6">
      <w:pPr>
        <w:widowControl/>
        <w:adjustRightInd/>
        <w:jc w:val="left"/>
        <w:rPr>
          <w:rFonts w:ascii="宋体" w:hAnsi="宋体" w:cs="宋体"/>
          <w:b/>
          <w:color w:val="auto"/>
          <w:sz w:val="36"/>
          <w:szCs w:val="20"/>
          <w:highlight w:val="none"/>
        </w:rPr>
      </w:pPr>
      <w:r>
        <w:rPr>
          <w:rFonts w:ascii="宋体" w:hAnsi="宋体" w:cs="宋体"/>
          <w:b/>
          <w:color w:val="auto"/>
          <w:sz w:val="36"/>
          <w:szCs w:val="20"/>
          <w:highlight w:val="none"/>
        </w:rPr>
        <w:br w:type="page"/>
      </w:r>
    </w:p>
    <w:p w14:paraId="61F79C48">
      <w:pPr>
        <w:adjustRightInd/>
        <w:spacing w:line="360" w:lineRule="auto"/>
        <w:jc w:val="center"/>
        <w:outlineLvl w:val="0"/>
        <w:rPr>
          <w:rFonts w:ascii="宋体" w:hAnsi="宋体" w:cs="宋体"/>
          <w:b/>
          <w:color w:val="auto"/>
          <w:sz w:val="36"/>
          <w:szCs w:val="20"/>
          <w:highlight w:val="none"/>
        </w:rPr>
      </w:pPr>
      <w:bookmarkStart w:id="17" w:name="_Toc176368903"/>
      <w:r>
        <w:rPr>
          <w:rFonts w:hint="eastAsia" w:ascii="宋体" w:hAnsi="宋体" w:cs="宋体"/>
          <w:b/>
          <w:color w:val="auto"/>
          <w:sz w:val="36"/>
          <w:szCs w:val="20"/>
          <w:highlight w:val="none"/>
        </w:rPr>
        <w:t>第二部分</w:t>
      </w:r>
      <w:bookmarkEnd w:id="11"/>
      <w:r>
        <w:rPr>
          <w:rFonts w:hint="eastAsia" w:ascii="宋体" w:hAnsi="宋体" w:cs="宋体"/>
          <w:b/>
          <w:color w:val="auto"/>
          <w:sz w:val="36"/>
          <w:szCs w:val="20"/>
          <w:highlight w:val="none"/>
        </w:rPr>
        <w:t xml:space="preserve"> 投标人须知</w:t>
      </w:r>
      <w:bookmarkEnd w:id="12"/>
      <w:bookmarkEnd w:id="17"/>
    </w:p>
    <w:p w14:paraId="646749F3">
      <w:pPr>
        <w:adjustRightInd/>
        <w:spacing w:line="360" w:lineRule="auto"/>
        <w:ind w:firstLine="3845" w:firstLineChars="1197"/>
        <w:outlineLvl w:val="1"/>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3"/>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59FBD9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tcPr>
          <w:p w14:paraId="6C5B6EF0">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11458572">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5FBBDC52">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78CD74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rPr>
        <w:tc>
          <w:tcPr>
            <w:tcW w:w="629" w:type="dxa"/>
            <w:tcBorders>
              <w:top w:val="single" w:color="auto" w:sz="4" w:space="0"/>
              <w:left w:val="single" w:color="auto" w:sz="4" w:space="0"/>
              <w:bottom w:val="single" w:color="auto" w:sz="4" w:space="0"/>
              <w:right w:val="single" w:color="auto" w:sz="4" w:space="0"/>
            </w:tcBorders>
            <w:vAlign w:val="center"/>
          </w:tcPr>
          <w:p w14:paraId="56C4252B">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18DAE99D">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5A97FD47">
            <w:pPr>
              <w:spacing w:line="360" w:lineRule="auto"/>
              <w:rPr>
                <w:rFonts w:ascii="宋体" w:hAnsi="宋体" w:cs="宋体"/>
                <w:color w:val="auto"/>
                <w:sz w:val="24"/>
                <w:highlight w:val="none"/>
              </w:rPr>
            </w:pPr>
            <w:r>
              <w:rPr>
                <w:rFonts w:hint="eastAsia" w:ascii="宋体" w:hAnsi="宋体" w:cs="宋体"/>
                <w:color w:val="auto"/>
                <w:sz w:val="24"/>
                <w:highlight w:val="none"/>
              </w:rPr>
              <w:t>服务类。</w:t>
            </w:r>
          </w:p>
        </w:tc>
      </w:tr>
      <w:tr w14:paraId="0ED017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2353397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4523C05C">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4AE58F51">
            <w:pPr>
              <w:snapToGrid w:val="0"/>
              <w:spacing w:line="360" w:lineRule="auto"/>
              <w:rPr>
                <w:rFonts w:ascii="宋体" w:hAnsi="宋体" w:cs="宋体"/>
                <w:color w:val="auto"/>
                <w:kern w:val="0"/>
                <w:sz w:val="24"/>
                <w:highlight w:val="none"/>
              </w:rPr>
            </w:pPr>
            <w:bookmarkStart w:id="18" w:name="OLE_LINK51"/>
            <w:bookmarkStart w:id="19" w:name="OLE_LINK50"/>
            <w:r>
              <w:rPr>
                <w:rFonts w:hint="eastAsia" w:ascii="宋体" w:hAnsi="宋体" w:cs="宋体"/>
                <w:color w:val="auto"/>
                <w:kern w:val="0"/>
                <w:sz w:val="24"/>
                <w:highlight w:val="none"/>
              </w:rPr>
              <w:t>标项1标的：</w:t>
            </w:r>
            <w:bookmarkEnd w:id="18"/>
            <w:bookmarkEnd w:id="19"/>
            <w:r>
              <w:rPr>
                <w:rFonts w:hint="eastAsia" w:ascii="宋体" w:hAnsi="宋体" w:cs="宋体"/>
                <w:color w:val="auto"/>
                <w:kern w:val="0"/>
                <w:sz w:val="24"/>
                <w:highlight w:val="none"/>
                <w:u w:val="single"/>
              </w:rPr>
              <w:t>物业服务</w:t>
            </w:r>
            <w:r>
              <w:rPr>
                <w:rFonts w:hint="eastAsia" w:ascii="宋体" w:hAnsi="宋体" w:cs="宋体"/>
                <w:color w:val="auto"/>
                <w:kern w:val="0"/>
                <w:sz w:val="24"/>
                <w:highlight w:val="none"/>
                <w:u w:val="single"/>
                <w:lang w:val="en-US" w:eastAsia="zh-CN"/>
              </w:rPr>
              <w:t>1</w:t>
            </w:r>
            <w:r>
              <w:rPr>
                <w:rFonts w:hint="eastAsia" w:ascii="宋体" w:hAnsi="宋体" w:cs="宋体"/>
                <w:color w:val="auto"/>
                <w:kern w:val="0"/>
                <w:sz w:val="24"/>
                <w:highlight w:val="none"/>
              </w:rPr>
              <w:t>，</w:t>
            </w:r>
            <w:bookmarkStart w:id="20" w:name="OLE_LINK53"/>
            <w:bookmarkStart w:id="21" w:name="OLE_LINK52"/>
            <w:r>
              <w:rPr>
                <w:rFonts w:hint="eastAsia" w:ascii="宋体" w:hAnsi="宋体" w:cs="宋体"/>
                <w:color w:val="auto"/>
                <w:kern w:val="0"/>
                <w:sz w:val="24"/>
                <w:highlight w:val="none"/>
              </w:rPr>
              <w:t xml:space="preserve">属于  </w:t>
            </w:r>
            <w:r>
              <w:rPr>
                <w:rFonts w:hint="eastAsia" w:ascii="宋体" w:hAnsi="宋体" w:cs="宋体"/>
                <w:color w:val="auto"/>
                <w:kern w:val="0"/>
                <w:sz w:val="24"/>
                <w:highlight w:val="none"/>
                <w:u w:val="single"/>
                <w:lang w:eastAsia="zh-CN"/>
              </w:rPr>
              <w:t>物业管理</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行业；</w:t>
            </w:r>
            <w:bookmarkEnd w:id="20"/>
            <w:bookmarkEnd w:id="21"/>
            <w:r>
              <w:rPr>
                <w:rFonts w:hint="eastAsia" w:ascii="宋体" w:hAnsi="宋体" w:cs="宋体"/>
                <w:color w:val="auto"/>
                <w:kern w:val="0"/>
                <w:sz w:val="24"/>
                <w:highlight w:val="none"/>
              </w:rPr>
              <w:t>标项2标的：</w:t>
            </w:r>
            <w:r>
              <w:rPr>
                <w:rFonts w:hint="eastAsia" w:ascii="宋体" w:hAnsi="宋体" w:cs="宋体"/>
                <w:color w:val="auto"/>
                <w:kern w:val="0"/>
                <w:sz w:val="24"/>
                <w:highlight w:val="none"/>
                <w:u w:val="single"/>
              </w:rPr>
              <w:t>物业服务</w:t>
            </w:r>
            <w:r>
              <w:rPr>
                <w:rFonts w:hint="eastAsia" w:ascii="宋体" w:hAnsi="宋体" w:cs="宋体"/>
                <w:color w:val="auto"/>
                <w:kern w:val="0"/>
                <w:sz w:val="24"/>
                <w:highlight w:val="none"/>
                <w:u w:val="single"/>
                <w:lang w:val="en-US" w:eastAsia="zh-CN"/>
              </w:rPr>
              <w:t>2</w:t>
            </w:r>
            <w:r>
              <w:rPr>
                <w:rFonts w:hint="eastAsia" w:ascii="宋体" w:hAnsi="宋体" w:cs="宋体"/>
                <w:color w:val="auto"/>
                <w:kern w:val="0"/>
                <w:sz w:val="24"/>
                <w:highlight w:val="none"/>
              </w:rPr>
              <w:t xml:space="preserve">，属于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eastAsia="zh-CN"/>
              </w:rPr>
              <w:t>物业管理</w:t>
            </w:r>
            <w:r>
              <w:rPr>
                <w:rFonts w:hint="eastAsia" w:ascii="宋体" w:hAnsi="宋体" w:cs="宋体"/>
                <w:color w:val="auto"/>
                <w:kern w:val="0"/>
                <w:sz w:val="24"/>
                <w:highlight w:val="none"/>
              </w:rPr>
              <w:t xml:space="preserve">  行业；标项3标的：</w:t>
            </w:r>
            <w:r>
              <w:rPr>
                <w:rFonts w:hint="eastAsia" w:ascii="宋体" w:hAnsi="宋体" w:cs="宋体"/>
                <w:color w:val="auto"/>
                <w:kern w:val="0"/>
                <w:sz w:val="24"/>
                <w:highlight w:val="none"/>
                <w:u w:val="single"/>
              </w:rPr>
              <w:t>物业服务</w:t>
            </w:r>
            <w:r>
              <w:rPr>
                <w:rFonts w:hint="eastAsia" w:ascii="宋体" w:hAnsi="宋体" w:cs="宋体"/>
                <w:color w:val="auto"/>
                <w:kern w:val="0"/>
                <w:sz w:val="24"/>
                <w:highlight w:val="none"/>
                <w:u w:val="single"/>
                <w:lang w:val="en-US" w:eastAsia="zh-CN"/>
              </w:rPr>
              <w:t>3</w:t>
            </w:r>
            <w:r>
              <w:rPr>
                <w:rFonts w:hint="eastAsia" w:ascii="宋体" w:hAnsi="宋体" w:cs="宋体"/>
                <w:color w:val="auto"/>
                <w:kern w:val="0"/>
                <w:sz w:val="24"/>
                <w:highlight w:val="none"/>
              </w:rPr>
              <w:t>，</w:t>
            </w:r>
            <w:bookmarkStart w:id="22" w:name="OLE_LINK54"/>
            <w:bookmarkStart w:id="23" w:name="OLE_LINK55"/>
            <w:r>
              <w:rPr>
                <w:rFonts w:hint="eastAsia" w:ascii="宋体" w:hAnsi="宋体" w:cs="宋体"/>
                <w:color w:val="auto"/>
                <w:kern w:val="0"/>
                <w:sz w:val="24"/>
                <w:highlight w:val="none"/>
              </w:rPr>
              <w:t>属</w:t>
            </w:r>
            <w:bookmarkStart w:id="24" w:name="OLE_LINK57"/>
            <w:bookmarkStart w:id="25" w:name="OLE_LINK56"/>
            <w:r>
              <w:rPr>
                <w:rFonts w:hint="eastAsia" w:ascii="宋体" w:hAnsi="宋体" w:cs="宋体"/>
                <w:color w:val="auto"/>
                <w:kern w:val="0"/>
                <w:sz w:val="24"/>
                <w:highlight w:val="none"/>
              </w:rPr>
              <w:t xml:space="preserve">于  </w:t>
            </w:r>
            <w:r>
              <w:rPr>
                <w:rFonts w:hint="eastAsia" w:ascii="宋体" w:hAnsi="宋体" w:cs="宋体"/>
                <w:color w:val="auto"/>
                <w:kern w:val="0"/>
                <w:sz w:val="24"/>
                <w:highlight w:val="none"/>
                <w:u w:val="single"/>
                <w:lang w:eastAsia="zh-CN"/>
              </w:rPr>
              <w:t>物业管理</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行业</w:t>
            </w:r>
            <w:bookmarkEnd w:id="24"/>
            <w:bookmarkEnd w:id="25"/>
            <w:r>
              <w:rPr>
                <w:rFonts w:hint="eastAsia" w:ascii="宋体" w:hAnsi="宋体" w:cs="宋体"/>
                <w:color w:val="auto"/>
                <w:kern w:val="0"/>
                <w:sz w:val="24"/>
                <w:highlight w:val="none"/>
              </w:rPr>
              <w:t>；</w:t>
            </w:r>
            <w:bookmarkEnd w:id="22"/>
            <w:bookmarkEnd w:id="23"/>
            <w:r>
              <w:rPr>
                <w:rFonts w:hint="eastAsia" w:ascii="宋体" w:hAnsi="宋体" w:cs="宋体"/>
                <w:color w:val="auto"/>
                <w:kern w:val="0"/>
                <w:sz w:val="24"/>
                <w:highlight w:val="none"/>
              </w:rPr>
              <w:t>标项4标的：</w:t>
            </w:r>
            <w:r>
              <w:rPr>
                <w:rFonts w:hint="eastAsia" w:ascii="宋体" w:hAnsi="宋体" w:cs="宋体"/>
                <w:color w:val="auto"/>
                <w:kern w:val="0"/>
                <w:sz w:val="24"/>
                <w:highlight w:val="none"/>
                <w:u w:val="single"/>
              </w:rPr>
              <w:t>物业服务</w:t>
            </w:r>
            <w:r>
              <w:rPr>
                <w:rFonts w:hint="eastAsia" w:ascii="宋体" w:hAnsi="宋体" w:cs="宋体"/>
                <w:color w:val="auto"/>
                <w:kern w:val="0"/>
                <w:sz w:val="24"/>
                <w:highlight w:val="none"/>
                <w:u w:val="single"/>
                <w:lang w:val="en-US" w:eastAsia="zh-CN"/>
              </w:rPr>
              <w:t>4</w:t>
            </w:r>
            <w:r>
              <w:rPr>
                <w:rFonts w:hint="eastAsia" w:ascii="宋体" w:hAnsi="宋体" w:cs="宋体"/>
                <w:color w:val="auto"/>
                <w:kern w:val="0"/>
                <w:sz w:val="24"/>
                <w:highlight w:val="none"/>
              </w:rPr>
              <w:t xml:space="preserve">，属于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eastAsia="zh-CN"/>
              </w:rPr>
              <w:t>物业管理</w:t>
            </w:r>
            <w:r>
              <w:rPr>
                <w:rFonts w:hint="eastAsia" w:ascii="宋体" w:hAnsi="宋体" w:cs="宋体"/>
                <w:color w:val="auto"/>
                <w:kern w:val="0"/>
                <w:sz w:val="24"/>
                <w:highlight w:val="none"/>
              </w:rPr>
              <w:t xml:space="preserve"> 行业</w:t>
            </w:r>
            <w:r>
              <w:rPr>
                <w:rFonts w:hint="eastAsia" w:ascii="宋体" w:hAnsi="宋体" w:cs="宋体"/>
                <w:color w:val="auto"/>
                <w:kern w:val="0"/>
                <w:sz w:val="24"/>
                <w:highlight w:val="none"/>
              </w:rPr>
              <w:t>。</w:t>
            </w:r>
          </w:p>
        </w:tc>
      </w:tr>
      <w:tr w14:paraId="24E8E3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7936E49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5585BD43">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4EA2874E">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82842570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14:paraId="579B5077">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5285282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14:paraId="66A835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21D560B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1789EAB3">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74023E85">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47728692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w:t>
            </w:r>
            <w:sdt>
              <w:sdtPr>
                <w:rPr>
                  <w:rFonts w:hint="eastAsia" w:ascii="宋体" w:hAnsi="宋体" w:cs="宋体"/>
                  <w:color w:val="auto"/>
                  <w:kern w:val="0"/>
                  <w:sz w:val="24"/>
                  <w:highlight w:val="none"/>
                </w:rPr>
                <w:id w:val="-127633135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14:paraId="263164A1">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14:paraId="18C087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3D884A8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2676D9A5">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48728175">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21296641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3DA12D5C">
            <w:pPr>
              <w:spacing w:line="360" w:lineRule="auto"/>
              <w:rPr>
                <w:rFonts w:ascii="宋体" w:hAnsi="宋体" w:cs="宋体"/>
                <w:color w:val="auto"/>
                <w:sz w:val="24"/>
                <w:szCs w:val="20"/>
                <w:highlight w:val="none"/>
              </w:rPr>
            </w:pPr>
            <w:sdt>
              <w:sdtPr>
                <w:rPr>
                  <w:rFonts w:hint="eastAsia" w:ascii="宋体" w:hAnsi="宋体" w:cs="宋体"/>
                  <w:color w:val="auto"/>
                  <w:kern w:val="0"/>
                  <w:sz w:val="24"/>
                  <w:highlight w:val="none"/>
                </w:rPr>
                <w:id w:val="-99980297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tc>
      </w:tr>
      <w:tr w14:paraId="4B65DB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2B21208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0E4E6B21">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32FA6178">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63994648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3AAE8BEF">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kern w:val="0"/>
                <w:sz w:val="24"/>
                <w:highlight w:val="none"/>
              </w:rPr>
              <w:t>B要求提供，</w:t>
            </w:r>
          </w:p>
          <w:p w14:paraId="58942C31">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394F8556">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08A4C1B9">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w:t>
            </w:r>
          </w:p>
          <w:p w14:paraId="693E382C">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2F99E228">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。请投标人在上述时间内提供样品并按规定位置安装完毕。超过截止时间的，采购人或采购代理机构将不予接收，并将清场并封闭样品现场。</w:t>
            </w:r>
          </w:p>
          <w:p w14:paraId="5AEA13E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5F5BCD3A">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14:paraId="77AD25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35" w:hRule="atLeast"/>
        </w:trPr>
        <w:tc>
          <w:tcPr>
            <w:tcW w:w="629" w:type="dxa"/>
            <w:tcBorders>
              <w:top w:val="single" w:color="auto" w:sz="4" w:space="0"/>
              <w:left w:val="single" w:color="auto" w:sz="4" w:space="0"/>
              <w:bottom w:val="single" w:color="auto" w:sz="4" w:space="0"/>
              <w:right w:val="single" w:color="auto" w:sz="4" w:space="0"/>
            </w:tcBorders>
            <w:vAlign w:val="center"/>
          </w:tcPr>
          <w:p w14:paraId="4465BED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110DAFC0">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1FAEA352">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85934854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14300942">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p>
          <w:p w14:paraId="3EAE58D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（1）在评标时安排每个投标人进行方案讲解演示。每个投标人时间不超过</w:t>
            </w:r>
            <w:r>
              <w:rPr>
                <w:rFonts w:hint="eastAsia" w:ascii="宋体" w:hAnsi="宋体" w:cs="宋体"/>
                <w:color w:val="auto"/>
                <w:kern w:val="0"/>
                <w:sz w:val="24"/>
                <w:highlight w:val="none"/>
                <w:u w:val="single"/>
              </w:rPr>
              <w:t>20（编制时可根据项目情况进行调整）</w:t>
            </w:r>
            <w:r>
              <w:rPr>
                <w:rFonts w:hint="eastAsia" w:ascii="宋体" w:hAnsi="宋体" w:cs="宋体"/>
                <w:color w:val="auto"/>
                <w:kern w:val="0"/>
                <w:sz w:val="24"/>
                <w:highlight w:val="none"/>
              </w:rPr>
              <w:t>分钟，讲解次序以投标文件解密时间先后次序为准，讲解演示人员不超过</w:t>
            </w:r>
            <w:r>
              <w:rPr>
                <w:rFonts w:hint="eastAsia" w:ascii="宋体" w:hAnsi="宋体" w:cs="宋体"/>
                <w:color w:val="auto"/>
                <w:kern w:val="0"/>
                <w:sz w:val="24"/>
                <w:highlight w:val="none"/>
                <w:u w:val="single"/>
              </w:rPr>
              <w:t>3（编制时可根据项目情况进行调整）</w:t>
            </w:r>
            <w:r>
              <w:rPr>
                <w:rFonts w:hint="eastAsia" w:ascii="宋体" w:hAnsi="宋体" w:cs="宋体"/>
                <w:color w:val="auto"/>
                <w:kern w:val="0"/>
                <w:sz w:val="24"/>
                <w:highlight w:val="none"/>
              </w:rPr>
              <w:t>人。讲解演示结束后按要求解答评标委员会提问。</w:t>
            </w:r>
          </w:p>
          <w:p w14:paraId="68EBA98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14:paraId="72C54FA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方式一：广西政府采购云平台在线讲解演示。广西政府采购云平台在线讲解需投标人根据广西政府采购云平台操作要求做好准备工作，提前完善软硬件配置环境。</w:t>
            </w:r>
          </w:p>
          <w:p w14:paraId="709878F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方式二：评审现场讲解演示。现场讲解地点为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，讲解演示所用电脑等设备由投标人自备。现场讲解演示人员进场时提供讲解人员名单（加盖公章或授权代表签名）及身份证明，否则不得讲解演示。</w:t>
            </w:r>
          </w:p>
          <w:p w14:paraId="39F3A98C">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注：因投标人自身原因导致无法演示或者演示效果不理想的，责任自负。因平台原因导致本项目方案讲解演示环节无法顺利开展，按照相关规定执行。</w:t>
            </w:r>
          </w:p>
        </w:tc>
      </w:tr>
      <w:tr w14:paraId="5B74B3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rPr>
        <w:tc>
          <w:tcPr>
            <w:tcW w:w="629" w:type="dxa"/>
            <w:vMerge w:val="restart"/>
            <w:tcBorders>
              <w:top w:val="single" w:color="auto" w:sz="4" w:space="0"/>
              <w:left w:val="single" w:color="auto" w:sz="4" w:space="0"/>
              <w:right w:val="single" w:color="auto" w:sz="4" w:space="0"/>
            </w:tcBorders>
            <w:vAlign w:val="center"/>
          </w:tcPr>
          <w:p w14:paraId="4F20023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5F22799C">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540CB401">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55228866">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5BA0BE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54" w:hRule="atLeast"/>
        </w:trPr>
        <w:tc>
          <w:tcPr>
            <w:tcW w:w="629" w:type="dxa"/>
            <w:vMerge w:val="continue"/>
            <w:tcBorders>
              <w:left w:val="single" w:color="auto" w:sz="4" w:space="0"/>
              <w:bottom w:val="single" w:color="auto" w:sz="4" w:space="0"/>
              <w:right w:val="single" w:color="auto" w:sz="4" w:space="0"/>
            </w:tcBorders>
            <w:vAlign w:val="center"/>
          </w:tcPr>
          <w:p w14:paraId="0B55D7EA">
            <w:pPr>
              <w:snapToGrid w:val="0"/>
              <w:spacing w:line="360" w:lineRule="auto"/>
              <w:jc w:val="center"/>
              <w:rPr>
                <w:rFonts w:ascii="宋体" w:hAnsi="宋体" w:cs="宋体"/>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264BF666">
            <w:pPr>
              <w:snapToGrid w:val="0"/>
              <w:spacing w:line="360" w:lineRule="auto"/>
              <w:jc w:val="center"/>
              <w:rPr>
                <w:rFonts w:ascii="宋体" w:hAnsi="宋体" w:cs="宋体"/>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16F2E8A0">
            <w:pPr>
              <w:spacing w:line="360" w:lineRule="auto"/>
              <w:rPr>
                <w:rFonts w:ascii="宋体" w:hAnsi="宋体" w:cs="宋体"/>
                <w:color w:val="auto"/>
                <w:sz w:val="24"/>
                <w:highlight w:val="none"/>
              </w:rPr>
            </w:pPr>
            <w:r>
              <w:rPr>
                <w:rFonts w:hint="eastAsia" w:ascii="宋体" w:hAnsi="宋体" w:cs="宋体"/>
                <w:color w:val="auto"/>
                <w:sz w:val="24"/>
                <w:highlight w:val="none"/>
              </w:rPr>
              <w:t>（2）资信证明文件：根据招标文件第三部分采购需求及第四部分评标标准的要求提供。</w:t>
            </w:r>
          </w:p>
        </w:tc>
      </w:tr>
      <w:tr w14:paraId="5F5D51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1BC3BA4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57E31D33">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3BF014E8">
            <w:pPr>
              <w:snapToGrid w:val="0"/>
              <w:spacing w:line="360" w:lineRule="auto"/>
              <w:rPr>
                <w:rFonts w:ascii="宋体" w:hAnsi="宋体" w:cs="宋体"/>
                <w:color w:val="auto"/>
                <w:highlight w:val="none"/>
              </w:rPr>
            </w:pPr>
            <w:r>
              <w:rPr>
                <w:rFonts w:hint="eastAsia" w:ascii="宋体" w:hAnsi="宋体" w:cs="宋体"/>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35F0DD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68BD150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39413EDE">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7466B018">
            <w:pPr>
              <w:snapToGrid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Cs/>
                <w:color w:val="auto"/>
                <w:kern w:val="0"/>
                <w:sz w:val="24"/>
                <w:highlight w:val="none"/>
                <w:lang w:val="zh-CN"/>
              </w:rPr>
              <w:t>投标文件</w:t>
            </w:r>
            <w:r>
              <w:rPr>
                <w:rFonts w:hint="eastAsia" w:ascii="宋体" w:hAnsi="宋体" w:cs="宋体"/>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投标文件中价格全部采用人民币报价。招标文件未列明，而投标人认为必需的费用也需列入报价。提醒：验收时检测费用由采购人承担，不包含在投标总价中。</w:t>
            </w:r>
          </w:p>
          <w:p w14:paraId="538DE07F">
            <w:pPr>
              <w:snapToGrid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投标报价出现下列情形的，投标无效：</w:t>
            </w:r>
          </w:p>
          <w:p w14:paraId="394C3F85">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投标文件出现不是唯一的、有选择性投标报价的；</w:t>
            </w:r>
          </w:p>
          <w:p w14:paraId="30119B6A">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投标报价超过招标文件中规定的预算金额或者最高限价的;</w:t>
            </w:r>
          </w:p>
          <w:p w14:paraId="07DAC4EA">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投标报价属于招标文件规定的政府采购异常低价情形之一，且投标人不能提供书面说明、证明材料，或者提供的书面说明、证明材料不能证明其报价合理性的</w:t>
            </w:r>
            <w:r>
              <w:rPr>
                <w:rFonts w:hint="eastAsia" w:ascii="宋体" w:hAnsi="宋体" w:cs="宋体"/>
                <w:color w:val="auto"/>
                <w:sz w:val="24"/>
                <w:szCs w:val="21"/>
                <w:highlight w:val="none"/>
              </w:rPr>
              <w:t>;</w:t>
            </w:r>
          </w:p>
          <w:p w14:paraId="78223292">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投标人对根据修正原则修正后的报价不确认的</w:t>
            </w:r>
            <w:r>
              <w:rPr>
                <w:rFonts w:hint="eastAsia" w:ascii="宋体" w:hAnsi="宋体" w:cs="宋体"/>
                <w:color w:val="auto"/>
                <w:sz w:val="24"/>
                <w:highlight w:val="none"/>
              </w:rPr>
              <w:t>。</w:t>
            </w:r>
          </w:p>
        </w:tc>
      </w:tr>
      <w:tr w14:paraId="2DE784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rPr>
        <w:tc>
          <w:tcPr>
            <w:tcW w:w="629" w:type="dxa"/>
            <w:tcBorders>
              <w:top w:val="single" w:color="auto" w:sz="4" w:space="0"/>
              <w:left w:val="single" w:color="000000" w:sz="8" w:space="0"/>
              <w:right w:val="single" w:color="000000" w:sz="2" w:space="0"/>
            </w:tcBorders>
            <w:vAlign w:val="center"/>
          </w:tcPr>
          <w:p w14:paraId="6FD74F7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14:paraId="0926855E">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14:paraId="059CE523">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188B5E9E">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供应商中标后也可在“广西政府采购云”平台申请政采贷：操作路径：登录广西政府采购云平台-金融服务中心-【融资服务】，可在热门申请中选择产品直接申请。</w:t>
            </w:r>
          </w:p>
        </w:tc>
      </w:tr>
      <w:tr w14:paraId="1C3D0C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159FDAC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56B73ECC">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56E4E9C5">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29772492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不接受。</w:t>
            </w:r>
          </w:p>
          <w:p w14:paraId="07843C49">
            <w:pPr>
              <w:pStyle w:val="34"/>
              <w:spacing w:line="360" w:lineRule="auto"/>
              <w:rPr>
                <w:rFonts w:hAnsi="宋体" w:cs="宋体"/>
                <w:color w:val="auto"/>
                <w:kern w:val="28"/>
                <w:sz w:val="24"/>
                <w:highlight w:val="none"/>
              </w:rPr>
            </w:pPr>
            <w:sdt>
              <w:sdtPr>
                <w:rPr>
                  <w:rFonts w:hint="eastAsia" w:hAnsi="宋体" w:cs="宋体"/>
                  <w:color w:val="auto"/>
                  <w:kern w:val="0"/>
                  <w:sz w:val="24"/>
                  <w:highlight w:val="none"/>
                </w:rPr>
                <w:id w:val="1206604863"/>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hAnsi="宋体" w:cs="宋体"/>
                <w:color w:val="auto"/>
                <w:kern w:val="0"/>
                <w:sz w:val="24"/>
                <w:highlight w:val="none"/>
              </w:rPr>
              <w:t>B</w:t>
            </w:r>
            <w:r>
              <w:rPr>
                <w:rFonts w:hint="eastAsia" w:hAnsi="宋体" w:cs="宋体"/>
                <w:color w:val="auto"/>
                <w:sz w:val="24"/>
                <w:highlight w:val="none"/>
              </w:rPr>
              <w:t>接受</w:t>
            </w:r>
            <w:r>
              <w:rPr>
                <w:rFonts w:hint="eastAsia" w:hAnsi="宋体" w:cs="宋体"/>
                <w:color w:val="auto"/>
                <w:kern w:val="0"/>
                <w:sz w:val="24"/>
                <w:highlight w:val="none"/>
              </w:rPr>
              <w:t>：</w:t>
            </w:r>
            <w:r>
              <w:rPr>
                <w:rFonts w:hint="eastAsia" w:hAnsi="宋体" w:cs="宋体"/>
                <w:color w:val="auto"/>
                <w:kern w:val="28"/>
                <w:sz w:val="24"/>
                <w:highlight w:val="none"/>
              </w:rPr>
              <w:t>备份投标文件送达地点：</w:t>
            </w:r>
            <w:r>
              <w:rPr>
                <w:rFonts w:hint="eastAsia" w:hAnsi="宋体" w:cs="宋体"/>
                <w:color w:val="auto"/>
                <w:sz w:val="24"/>
                <w:highlight w:val="none"/>
                <w:u w:val="single"/>
              </w:rPr>
              <w:t xml:space="preserve">         </w:t>
            </w:r>
            <w:r>
              <w:rPr>
                <w:rFonts w:hint="eastAsia" w:hAnsi="宋体" w:cs="宋体"/>
                <w:color w:val="auto"/>
                <w:kern w:val="28"/>
                <w:sz w:val="24"/>
                <w:highlight w:val="none"/>
              </w:rPr>
              <w:t>；备份投标文件签收人员联系电话：</w:t>
            </w:r>
            <w:r>
              <w:rPr>
                <w:rFonts w:hint="eastAsia" w:hAnsi="宋体" w:cs="宋体"/>
                <w:color w:val="auto"/>
                <w:sz w:val="24"/>
                <w:highlight w:val="none"/>
                <w:u w:val="single"/>
              </w:rPr>
              <w:t xml:space="preserve">        </w:t>
            </w:r>
            <w:r>
              <w:rPr>
                <w:rFonts w:hint="eastAsia" w:hAnsi="宋体" w:cs="宋体"/>
                <w:color w:val="auto"/>
                <w:sz w:val="24"/>
                <w:highlight w:val="none"/>
              </w:rPr>
              <w:t>。</w:t>
            </w:r>
            <w:r>
              <w:rPr>
                <w:rFonts w:hint="eastAsia" w:hAnsi="宋体" w:cs="宋体"/>
                <w:b/>
                <w:color w:val="auto"/>
                <w:sz w:val="24"/>
                <w:highlight w:val="none"/>
              </w:rPr>
              <w:t>采购人、采购代理机构不强制或变相强制投标人提交备份投标文件。</w:t>
            </w:r>
          </w:p>
        </w:tc>
      </w:tr>
      <w:tr w14:paraId="3C0E54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629" w:type="dxa"/>
            <w:vMerge w:val="restart"/>
            <w:tcBorders>
              <w:top w:val="single" w:color="auto" w:sz="4" w:space="0"/>
              <w:left w:val="single" w:color="000000" w:sz="8" w:space="0"/>
              <w:right w:val="single" w:color="000000" w:sz="2" w:space="0"/>
            </w:tcBorders>
            <w:vAlign w:val="center"/>
          </w:tcPr>
          <w:p w14:paraId="7A88829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tcBorders>
              <w:top w:val="single" w:color="000000" w:sz="8" w:space="0"/>
              <w:left w:val="single" w:color="000000" w:sz="2" w:space="0"/>
              <w:right w:val="single" w:color="000000" w:sz="8" w:space="0"/>
            </w:tcBorders>
            <w:vAlign w:val="center"/>
          </w:tcPr>
          <w:p w14:paraId="49A1D569">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1F47EE26">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w:t>
            </w:r>
          </w:p>
        </w:tc>
      </w:tr>
      <w:tr w14:paraId="1A1C8E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629" w:type="dxa"/>
            <w:vMerge w:val="continue"/>
            <w:tcBorders>
              <w:left w:val="single" w:color="000000" w:sz="8" w:space="0"/>
              <w:bottom w:val="single" w:color="auto" w:sz="4" w:space="0"/>
              <w:right w:val="single" w:color="000000" w:sz="2" w:space="0"/>
            </w:tcBorders>
            <w:vAlign w:val="center"/>
          </w:tcPr>
          <w:p w14:paraId="1472328F">
            <w:pPr>
              <w:snapToGrid w:val="0"/>
              <w:spacing w:line="360" w:lineRule="auto"/>
              <w:jc w:val="center"/>
              <w:rPr>
                <w:rFonts w:ascii="宋体" w:hAnsi="宋体" w:cs="宋体"/>
                <w:color w:val="auto"/>
                <w:sz w:val="24"/>
                <w:highlight w:val="none"/>
              </w:rPr>
            </w:pPr>
          </w:p>
        </w:tc>
        <w:tc>
          <w:tcPr>
            <w:tcW w:w="1843" w:type="dxa"/>
            <w:vMerge w:val="continue"/>
            <w:tcBorders>
              <w:left w:val="single" w:color="000000" w:sz="2" w:space="0"/>
              <w:bottom w:val="single" w:color="auto" w:sz="4" w:space="0"/>
              <w:right w:val="single" w:color="000000" w:sz="8" w:space="0"/>
            </w:tcBorders>
            <w:vAlign w:val="center"/>
          </w:tcPr>
          <w:p w14:paraId="7F30A721">
            <w:pPr>
              <w:snapToGrid w:val="0"/>
              <w:spacing w:line="360" w:lineRule="auto"/>
              <w:jc w:val="center"/>
              <w:rPr>
                <w:rFonts w:ascii="宋体" w:hAnsi="宋体" w:cs="宋体"/>
                <w:b/>
                <w:color w:val="auto"/>
                <w:sz w:val="24"/>
                <w:highlight w:val="none"/>
              </w:rPr>
            </w:pPr>
          </w:p>
        </w:tc>
        <w:tc>
          <w:tcPr>
            <w:tcW w:w="6095" w:type="dxa"/>
            <w:tcBorders>
              <w:top w:val="single" w:color="000000" w:sz="8" w:space="0"/>
              <w:left w:val="single" w:color="000000" w:sz="2" w:space="0"/>
              <w:bottom w:val="single" w:color="auto" w:sz="4" w:space="0"/>
              <w:right w:val="single" w:color="000000" w:sz="8" w:space="0"/>
            </w:tcBorders>
            <w:vAlign w:val="center"/>
          </w:tcPr>
          <w:p w14:paraId="0E1A555C">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w:t>
            </w:r>
          </w:p>
          <w:p w14:paraId="7D74EE0A">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Gothic" w:hAnsi="MS Gothic" w:eastAsia="MS Gothic" w:cs="Arial"/>
                    <w:color w:val="auto"/>
                    <w:kern w:val="0"/>
                    <w:sz w:val="24"/>
                    <w:highlight w:val="none"/>
                  </w:rPr>
                  <w:t>☐</w:t>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w:t>
            </w:r>
          </w:p>
        </w:tc>
      </w:tr>
      <w:tr w14:paraId="1715C0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71" w:hRule="atLeast"/>
        </w:trPr>
        <w:tc>
          <w:tcPr>
            <w:tcW w:w="629" w:type="dxa"/>
            <w:tcBorders>
              <w:top w:val="single" w:color="auto" w:sz="4" w:space="0"/>
              <w:left w:val="single" w:color="auto" w:sz="4" w:space="0"/>
              <w:bottom w:val="single" w:color="auto" w:sz="4" w:space="0"/>
              <w:right w:val="single" w:color="auto" w:sz="4" w:space="0"/>
            </w:tcBorders>
            <w:vAlign w:val="center"/>
          </w:tcPr>
          <w:p w14:paraId="7EB266A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14</w:t>
            </w:r>
          </w:p>
        </w:tc>
        <w:tc>
          <w:tcPr>
            <w:tcW w:w="1843" w:type="dxa"/>
            <w:tcBorders>
              <w:top w:val="single" w:color="auto" w:sz="4" w:space="0"/>
              <w:left w:val="single" w:color="auto" w:sz="4" w:space="0"/>
              <w:bottom w:val="single" w:color="auto" w:sz="4" w:space="0"/>
              <w:right w:val="single" w:color="auto" w:sz="4" w:space="0"/>
            </w:tcBorders>
            <w:vAlign w:val="center"/>
          </w:tcPr>
          <w:p w14:paraId="3DFD88A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解释权</w:t>
            </w:r>
          </w:p>
        </w:tc>
        <w:tc>
          <w:tcPr>
            <w:tcW w:w="6095" w:type="dxa"/>
            <w:tcBorders>
              <w:top w:val="single" w:color="auto" w:sz="4" w:space="0"/>
              <w:left w:val="single" w:color="auto" w:sz="4" w:space="0"/>
              <w:bottom w:val="single" w:color="auto" w:sz="4" w:space="0"/>
              <w:right w:val="single" w:color="auto" w:sz="4" w:space="0"/>
            </w:tcBorders>
            <w:vAlign w:val="center"/>
          </w:tcPr>
          <w:p w14:paraId="28F0FEEB">
            <w:pPr>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本招标文件解释权属采购人及代理机构。</w:t>
            </w:r>
          </w:p>
        </w:tc>
      </w:tr>
    </w:tbl>
    <w:p w14:paraId="7B0366F0">
      <w:pPr>
        <w:snapToGrid w:val="0"/>
        <w:spacing w:line="360" w:lineRule="auto"/>
        <w:jc w:val="center"/>
        <w:rPr>
          <w:rFonts w:ascii="宋体" w:hAnsi="宋体" w:cs="宋体"/>
          <w:b/>
          <w:color w:val="auto"/>
          <w:sz w:val="32"/>
          <w:szCs w:val="20"/>
          <w:highlight w:val="none"/>
        </w:rPr>
      </w:pPr>
    </w:p>
    <w:bookmarkEnd w:id="13"/>
    <w:p w14:paraId="73401FD7">
      <w:pPr>
        <w:adjustRightInd/>
        <w:spacing w:line="360" w:lineRule="auto"/>
        <w:ind w:firstLine="3845" w:firstLineChars="1197"/>
        <w:outlineLvl w:val="1"/>
        <w:rPr>
          <w:rFonts w:ascii="宋体" w:hAnsi="宋体" w:cs="宋体"/>
          <w:b/>
          <w:color w:val="auto"/>
          <w:sz w:val="32"/>
          <w:szCs w:val="20"/>
          <w:highlight w:val="none"/>
        </w:rPr>
      </w:pPr>
      <w:bookmarkStart w:id="26" w:name="第三部分"/>
      <w:bookmarkStart w:id="27" w:name="_Toc164416483"/>
      <w:r>
        <w:rPr>
          <w:rFonts w:hint="eastAsia" w:ascii="宋体" w:hAnsi="宋体" w:cs="宋体"/>
          <w:b/>
          <w:color w:val="auto"/>
          <w:sz w:val="32"/>
          <w:szCs w:val="20"/>
          <w:highlight w:val="none"/>
        </w:rPr>
        <w:t>一、总则</w:t>
      </w:r>
    </w:p>
    <w:p w14:paraId="6C3E427D">
      <w:pPr>
        <w:snapToGrid w:val="0"/>
        <w:spacing w:line="360" w:lineRule="auto"/>
        <w:ind w:firstLine="361" w:firstLineChars="150"/>
        <w:jc w:val="left"/>
        <w:rPr>
          <w:rFonts w:ascii="宋体" w:hAnsi="宋体" w:cs="宋体"/>
          <w:b/>
          <w:color w:val="auto"/>
          <w:sz w:val="24"/>
          <w:highlight w:val="none"/>
        </w:rPr>
      </w:pPr>
      <w:r>
        <w:rPr>
          <w:rFonts w:hint="eastAsia" w:ascii="宋体" w:hAnsi="宋体" w:cs="宋体"/>
          <w:b/>
          <w:color w:val="auto"/>
          <w:sz w:val="24"/>
          <w:highlight w:val="none"/>
        </w:rPr>
        <w:t>1. 适用范围</w:t>
      </w:r>
    </w:p>
    <w:p w14:paraId="047CE266">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73799976">
      <w:pPr>
        <w:adjustRightInd/>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   2.定义</w:t>
      </w:r>
    </w:p>
    <w:p w14:paraId="4D1864F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5E20DE9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“采购代理机构”系指招标公告中载明的本项目的采购代理机构。</w:t>
      </w:r>
    </w:p>
    <w:p w14:paraId="62FF201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14:paraId="0040674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“法定代表人（负责人）”系指法人企业的法定负责人，或其他组织为法律、行政法规规定代表单位行使职权的主要负责人，或自然人本人。</w:t>
      </w:r>
    </w:p>
    <w:p w14:paraId="040BB85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09CA4D7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CA签章。</w:t>
      </w:r>
    </w:p>
    <w:p w14:paraId="717B3C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2.6“电子交易平台”系指本项目政府采购活动所依托的广西政府采购云平台（https://www.gcy.zfcg.gxzf.gov.cn/）。</w:t>
      </w:r>
    </w:p>
    <w:p w14:paraId="510B00A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r>
        <w:rPr>
          <w:rFonts w:hint="eastAsia" w:ascii="宋体" w:hAnsi="宋体" w:cs="宋体"/>
          <w:color w:val="auto"/>
          <w:kern w:val="0"/>
          <w:sz w:val="24"/>
          <w:highlight w:val="none"/>
        </w:rPr>
        <w:sym w:font="Wingdings" w:char="F0FE"/>
      </w:r>
      <w:r>
        <w:rPr>
          <w:rFonts w:ascii="宋体" w:hAnsi="宋体" w:cs="宋体"/>
          <w:color w:val="auto"/>
          <w:kern w:val="0"/>
          <w:sz w:val="24"/>
          <w:highlight w:val="none"/>
        </w:rPr>
        <w:t>”</w:t>
      </w:r>
      <w:r>
        <w:rPr>
          <w:rFonts w:hint="eastAsia" w:ascii="宋体" w:hAnsi="宋体" w:cs="宋体"/>
          <w:color w:val="auto"/>
          <w:sz w:val="24"/>
          <w:highlight w:val="none"/>
        </w:rPr>
        <w:t>系指适用本项目的要求，“</w:t>
      </w:r>
      <w:r>
        <w:rPr>
          <w:rFonts w:hint="eastAsia" w:ascii="宋体" w:hAnsi="宋体" w:cs="宋体"/>
          <w:color w:val="auto"/>
          <w:kern w:val="0"/>
          <w:sz w:val="24"/>
          <w:highlight w:val="none"/>
        </w:rPr>
        <w:t>□</w:t>
      </w:r>
      <w:r>
        <w:rPr>
          <w:rFonts w:ascii="宋体" w:hAnsi="宋体" w:cs="宋体"/>
          <w:color w:val="auto"/>
          <w:kern w:val="0"/>
          <w:sz w:val="24"/>
          <w:highlight w:val="none"/>
        </w:rPr>
        <w:t>”</w:t>
      </w:r>
      <w:r>
        <w:rPr>
          <w:rFonts w:hint="eastAsia" w:ascii="宋体" w:hAnsi="宋体" w:cs="宋体"/>
          <w:color w:val="auto"/>
          <w:sz w:val="24"/>
          <w:highlight w:val="none"/>
        </w:rPr>
        <w:t>系指不适用本项目的要求。</w:t>
      </w:r>
    </w:p>
    <w:p w14:paraId="1504AB44">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40B59B4A">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79952F74">
      <w:pPr>
        <w:spacing w:line="360" w:lineRule="auto"/>
        <w:ind w:firstLine="480" w:firstLineChars="200"/>
        <w:rPr>
          <w:rFonts w:ascii="宋体" w:hAnsi="宋体" w:cs="宋体"/>
          <w:color w:val="auto"/>
          <w:sz w:val="24"/>
          <w:highlight w:val="none"/>
        </w:rPr>
      </w:pPr>
      <w:bookmarkStart w:id="28" w:name="OLE_LINK3"/>
      <w:bookmarkStart w:id="29" w:name="OLE_LINK4"/>
      <w:r>
        <w:rPr>
          <w:rFonts w:hint="eastAsia" w:ascii="宋体" w:hAnsi="宋体" w:cs="宋体"/>
          <w:color w:val="auto"/>
          <w:sz w:val="24"/>
          <w:highlight w:val="none"/>
        </w:rPr>
        <w:t>3.2 实施本国产品标准及相关政策</w:t>
      </w:r>
    </w:p>
    <w:p w14:paraId="6604E3C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3.2.1 本国产品应当符合以下条件：（一）在中国境内生产；（二）在中国境内生产的组件成本占比达到规定比例；（三）特定产品的关键组件、关键工序符合相关要求。</w:t>
      </w:r>
    </w:p>
    <w:p w14:paraId="13D51E0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EABAD0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 对本国产品的支持政策：政府采购活动中既有本国产品又有非本国产品参与竞争的，依法对本国产品给予价格评审优惠，对本国产品的报价给予20%的价格扣除，用扣除后的价格参与评审。仅有本国产品参与竞争的，不执行本国产品价格扣除政策。</w:t>
      </w:r>
    </w:p>
    <w:p w14:paraId="478BC06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前述全部产品是指货物或服务采购项目或采购包中包含的全部货物、服务产品。</w:t>
      </w:r>
    </w:p>
    <w:p w14:paraId="0270253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3.2.4 供应商应提供的证明文件：供应商拟享受该政策的，应当对其提供的产品出具《关于符合本国产品标准的声明函》（样式见附件8）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供应商未出具《关于符合本国产品标准的声明函》或财政部会同有关部门规定的有关证明文件的，该产品视为非本国产品，不能享受价格扣除。</w:t>
      </w:r>
    </w:p>
    <w:p w14:paraId="0B13CB9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当采购项目或者采购包中含有多种产品时，供应商拟享受该政策的，除了对其提供的产品出具《关于符合本国产品标准的声明函》或财政部会同有关部门规定的有关证明文件外，还应当声明其为该采购项目或者采购包提供的符合本国产品标准的产品成本之和占该供应商提供的全部产品成本之和的比例达到80%以上，提供《关于符合本国产品标准的产品成本之和占所提供的全部产品成本之和的比例达到80%以上的声明函》（样式见附件9）。</w:t>
      </w:r>
    </w:p>
    <w:p w14:paraId="2BDE85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3.2.5对于未预留份额专门面向中小企业采购的采购项目，以及预留份额项目中的非预留部分采购包，供应商提供的产品同时满足《国务院办公厅关于在政府采购中实施本国产品标准及相关政策的通知》（国办发〔2025〕34号）和《政府采购促进中小企业发展管理办法》（财库〔2020〕46号）有关规定的，在原报价基础上叠加享受本国产品价格扣除和小微企业产品价格扣除政策。</w:t>
      </w:r>
    </w:p>
    <w:p w14:paraId="739046C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3.2.6中标供应商提供的《声明函》或有关证明文件应当随成交结果同时公告。其他未尽事宜按照《国务院办公厅关于在政府采购中实施本国产品标准及相关政策的通知》（国办发〔2025〕34号）执行。</w:t>
      </w:r>
    </w:p>
    <w:bookmarkEnd w:id="28"/>
    <w:bookmarkEnd w:id="29"/>
    <w:p w14:paraId="520BF17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 支持绿色发展</w:t>
      </w:r>
    </w:p>
    <w:p w14:paraId="00D5623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采购人拟采购的产品属于政府强制采购的节能产品品目清单范围的，投标人相应的投标产品未获得国家确定的认证机构出具的、处于有效期之内的节能产品认证证书的，投标无效。</w:t>
      </w:r>
    </w:p>
    <w:p w14:paraId="4FDFE7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4.2.2 纳入政府采购管理的修缮、装修类项目采购建材的，鼓励采购单位将绿色建材性能、指标等作为实质性条件纳入采购文件和合同，具体性能指标要求参考相关绿色建材政府采购需求标准。</w:t>
      </w:r>
    </w:p>
    <w:p w14:paraId="3E9BD1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30" w:name="_Hlk107568539"/>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14:paraId="10E2EAF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 鼓励供应商在参加政府采购过程中开展绿色设计、选择绿色材料、打造绿色制造工艺、开展绿色运输、做好废弃产品回收处理，实现产品全周期的绿色环保。鼓励采购单位对其提高预付款比例、免收履约保证金。</w:t>
      </w:r>
      <w:bookmarkEnd w:id="30"/>
    </w:p>
    <w:p w14:paraId="1D55D10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3.4支持中小企业发展</w:t>
      </w:r>
    </w:p>
    <w:p w14:paraId="7218369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3.4.1中小企业，是指在中华人民共和国境内依法设立，依据国务院批准的中小企业划分标准确定的中型企业、小型企业和微型企业，但与大企业的负责人为同一人，或者与大企业存在直接控股、管理关系的除外。</w:t>
      </w:r>
    </w:p>
    <w:p w14:paraId="5381C12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1FD54B4A">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bCs/>
          <w:color w:val="auto"/>
          <w:sz w:val="24"/>
          <w:highlight w:val="none"/>
        </w:rPr>
        <w:t>3</w:t>
      </w:r>
      <w:r>
        <w:rPr>
          <w:rFonts w:ascii="宋体" w:hAnsi="宋体" w:cs="宋体"/>
          <w:bCs/>
          <w:color w:val="auto"/>
          <w:sz w:val="24"/>
          <w:highlight w:val="none"/>
        </w:rPr>
        <w:t>.</w:t>
      </w:r>
      <w:r>
        <w:rPr>
          <w:rFonts w:hint="eastAsia" w:ascii="宋体" w:hAnsi="宋体" w:cs="宋体"/>
          <w:bCs/>
          <w:color w:val="auto"/>
          <w:sz w:val="24"/>
          <w:highlight w:val="none"/>
        </w:rPr>
        <w:t>4</w:t>
      </w:r>
      <w:r>
        <w:rPr>
          <w:rFonts w:ascii="宋体" w:hAnsi="宋体" w:cs="宋体"/>
          <w:bCs/>
          <w:color w:val="auto"/>
          <w:sz w:val="24"/>
          <w:highlight w:val="none"/>
        </w:rPr>
        <w:t>.2</w:t>
      </w:r>
      <w:r>
        <w:rPr>
          <w:rFonts w:hint="eastAsia" w:ascii="宋体" w:hAnsi="宋体" w:cs="宋体"/>
          <w:color w:val="auto"/>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107EBB5D">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25F8E569">
      <w:pPr>
        <w:spacing w:line="360" w:lineRule="auto"/>
        <w:ind w:firstLine="480" w:firstLineChars="200"/>
        <w:rPr>
          <w:rFonts w:cs="宋体" w:asciiTheme="minorEastAsia" w:hAnsiTheme="minorEastAsia" w:eastAsiaTheme="minorEastAsia"/>
          <w:color w:val="auto"/>
          <w:sz w:val="24"/>
          <w:highlight w:val="none"/>
        </w:rPr>
      </w:pPr>
      <w:r>
        <w:rPr>
          <w:rFonts w:hint="eastAsia" w:ascii="宋体" w:hAnsi="宋体" w:cs="宋体"/>
          <w:color w:val="auto"/>
          <w:sz w:val="24"/>
          <w:highlight w:val="none"/>
        </w:rPr>
        <w:t>3.4.3对于未预留份额专门面向中小企业采购的政府采购项目，以及预留份额政府采购项目中的非预留部分标项，对小型和微型企业的投标报价给予</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%的扣除，用扣除后的价格参与评审。接受大中型企业与小微企业组成联合体或者允许大中型企业向一家或者多家小微企业分包的政府采购项目，对于</w:t>
      </w:r>
      <w:bookmarkStart w:id="31" w:name="_Hlk101132181"/>
      <w:r>
        <w:rPr>
          <w:rFonts w:hint="eastAsia" w:ascii="宋体" w:hAnsi="宋体" w:cs="宋体"/>
          <w:color w:val="auto"/>
          <w:sz w:val="24"/>
          <w:highlight w:val="none"/>
        </w:rPr>
        <w:t>联合协议或者分包意向协议约定小微企业的合同份额占到合同总金额30%以上的</w:t>
      </w:r>
      <w:bookmarkEnd w:id="31"/>
      <w:r>
        <w:rPr>
          <w:rFonts w:hint="eastAsia" w:ascii="宋体" w:hAnsi="宋体" w:cs="宋体"/>
          <w:color w:val="auto"/>
          <w:sz w:val="24"/>
          <w:highlight w:val="none"/>
        </w:rPr>
        <w:t>，对联合体或者大中型企业的报价给予</w:t>
      </w:r>
      <w:r>
        <w:rPr>
          <w:rFonts w:ascii="宋体" w:hAnsi="宋体" w:cs="宋体"/>
          <w:color w:val="auto"/>
          <w:sz w:val="24"/>
          <w:highlight w:val="none"/>
        </w:rPr>
        <w:t>6</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%的扣除，用扣除后的价格参加评审。组成联合体或者接受分包的小微企业与联合体内其他企业、分包企业之间存在直接控股、管理关系的，不享受价格扣除优惠政策。专门</w:t>
      </w:r>
      <w:r>
        <w:rPr>
          <w:rFonts w:hint="eastAsia" w:cs="宋体" w:asciiTheme="minorEastAsia" w:hAnsiTheme="minorEastAsia" w:eastAsiaTheme="minorEastAsia"/>
          <w:color w:val="auto"/>
          <w:sz w:val="24"/>
          <w:highlight w:val="none"/>
        </w:rPr>
        <w:t>面向中小企业采购的政府采购项目或者采购包不再执行价格扣除政策。</w:t>
      </w:r>
    </w:p>
    <w:p w14:paraId="7D06B99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3.4.4符合《关于促进残疾人就业政府采购政策的通知》（财库〔2017〕141号）规定的条件并提供《残疾人福利性单位声明函》（附件1）的残疾人福利性单位视同小型、微型企业；</w:t>
      </w:r>
    </w:p>
    <w:p w14:paraId="4A8107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3.4.5符合《关于政府采购支持监狱企业发展有关问题的通知》（财库[2014]68号）规定的监狱企业并提供由省级以上监狱管理局、戒毒管理局（含新疆生产建设兵团）出具的属于监狱企业证明文件的，视同为小型、微型企业。</w:t>
      </w:r>
    </w:p>
    <w:p w14:paraId="67ABFE1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18C66F7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3.4.7中小企业享受扶持政策获得政府采购合同的，小微企业不得将合同分包给大中型企业，中型企业不得将合同分包给大型企业。</w:t>
      </w:r>
    </w:p>
    <w:p w14:paraId="7DCCF11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w:t>
      </w:r>
      <w:r>
        <w:rPr>
          <w:rFonts w:hint="eastAsia" w:ascii="宋体" w:hAnsi="宋体" w:cs="宋体"/>
          <w:bCs/>
          <w:color w:val="auto"/>
          <w:sz w:val="24"/>
          <w:highlight w:val="none"/>
        </w:rPr>
        <w:t>支持创新发展</w:t>
      </w:r>
    </w:p>
    <w:p w14:paraId="1E11F6D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3.5.1 采购人优先采购被认定为首台套产品和“制造精品”的自主创新产品。</w:t>
      </w:r>
    </w:p>
    <w:p w14:paraId="4A7EC04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3.5.2首台套产品被纳入《首台套产品推广应用指导目录》之日起</w:t>
      </w:r>
      <w:r>
        <w:rPr>
          <w:rFonts w:ascii="宋体" w:hAnsi="宋体" w:cs="宋体"/>
          <w:color w:val="auto"/>
          <w:sz w:val="24"/>
          <w:highlight w:val="none"/>
        </w:rPr>
        <w:t>3</w:t>
      </w:r>
      <w:r>
        <w:rPr>
          <w:rFonts w:hint="eastAsia" w:ascii="宋体" w:hAnsi="宋体" w:cs="宋体"/>
          <w:color w:val="auto"/>
          <w:sz w:val="24"/>
          <w:highlight w:val="none"/>
        </w:rPr>
        <w:t>年内，以及产品核心技术高于国内领先水平，并具有明晰自主知识产权的“制造精品”产品，自认定之日起2年内视同已具备相应销售业绩，参加政府采购活动时业绩分值为满分。</w:t>
      </w:r>
    </w:p>
    <w:p w14:paraId="7A79FBE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3.6平等对待内外资企业</w:t>
      </w:r>
    </w:p>
    <w:p w14:paraId="77CD1F5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18C6A28D">
      <w:pPr>
        <w:pStyle w:val="83"/>
        <w:rPr>
          <w:bCs/>
          <w:color w:val="auto"/>
          <w:highlight w:val="none"/>
        </w:rPr>
      </w:pPr>
      <w:r>
        <w:rPr>
          <w:rFonts w:hint="eastAsia"/>
          <w:color w:val="auto"/>
          <w:highlight w:val="none"/>
        </w:rPr>
        <w:t>3.7平等对待符合条件的破产重整企业</w:t>
      </w:r>
    </w:p>
    <w:p w14:paraId="7CF3D9E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平等对待符合条件的破产重整企业，切实保障企业公平竞争，平等维护企业的合法利益。</w:t>
      </w:r>
    </w:p>
    <w:p w14:paraId="3D584ACC">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4. 询问、质疑、投诉</w:t>
      </w:r>
    </w:p>
    <w:p w14:paraId="3517DEAF">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4.1在线询问、质疑、投诉。</w:t>
      </w:r>
    </w:p>
    <w:p w14:paraId="1332E6ED">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结果使自身权益受到损害的，均可依照相关规定提起质疑和投诉。</w:t>
      </w:r>
    </w:p>
    <w:p w14:paraId="1160F9BE">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询问联系部门：北海市政府采购中心采购二科，联系电话：0779-3056122，地址：北海市海城区陈文村北路7号市直机关第三办公区2号楼一层。</w:t>
      </w:r>
    </w:p>
    <w:p w14:paraId="53884FD1">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 xml:space="preserve">质疑联系部门：北海市政府采购中心监督科，联系电话：0779-3960826，地址：北海市海城区陈文村北路7号市直机关第三办公区2号楼一层。 </w:t>
      </w:r>
    </w:p>
    <w:p w14:paraId="2E7AFCA0">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投诉联系部门：北海市财政局，联系电话：</w:t>
      </w:r>
      <w:r>
        <w:rPr>
          <w:rFonts w:asciiTheme="minorEastAsia" w:hAnsiTheme="minorEastAsia" w:eastAsiaTheme="minorEastAsia"/>
          <w:color w:val="auto"/>
          <w:sz w:val="24"/>
          <w:highlight w:val="none"/>
          <w:lang w:val="zh-CN"/>
        </w:rPr>
        <w:t>0779-3063975</w:t>
      </w:r>
      <w:r>
        <w:rPr>
          <w:rFonts w:hint="eastAsia" w:asciiTheme="minorEastAsia" w:hAnsiTheme="minorEastAsia" w:eastAsiaTheme="minorEastAsia"/>
          <w:color w:val="auto"/>
          <w:sz w:val="24"/>
          <w:highlight w:val="none"/>
          <w:lang w:val="zh-CN"/>
        </w:rPr>
        <w:t>，地址：北海市海城区北部湾西路19号。</w:t>
      </w:r>
    </w:p>
    <w:p w14:paraId="142E8676">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5C01A077">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7A30030E">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4C105BC4">
      <w:pPr>
        <w:pStyle w:val="34"/>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14:paraId="0A3DB67B">
      <w:pPr>
        <w:pStyle w:val="34"/>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20D03950">
      <w:pPr>
        <w:pStyle w:val="2"/>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14:paraId="1365B7AA">
      <w:pPr>
        <w:pStyle w:val="34"/>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14:paraId="2BC89C5A">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33C32804">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4.3.3.1供应商的姓名或者名称、地址、邮编、联系人及联系电话；</w:t>
      </w:r>
    </w:p>
    <w:p w14:paraId="77451B18">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4.3.3.2质疑项目的名称、编号；</w:t>
      </w:r>
    </w:p>
    <w:p w14:paraId="55127179">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4.3.3.3具体、明确的质疑事项和与质疑事项相关的请求；</w:t>
      </w:r>
    </w:p>
    <w:p w14:paraId="1D203AFA">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4.3.3.4事实依据；</w:t>
      </w:r>
    </w:p>
    <w:p w14:paraId="097E94FA">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4.3.3.5必要的法律依据；</w:t>
      </w:r>
    </w:p>
    <w:p w14:paraId="24B277FB">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01A95B0F">
      <w:pPr>
        <w:pStyle w:val="887"/>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3D24BFDE">
      <w:pPr>
        <w:pStyle w:val="887"/>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质疑函范本及制作说明详见附件2。</w:t>
      </w:r>
    </w:p>
    <w:p w14:paraId="3456E216">
      <w:pPr>
        <w:pStyle w:val="887"/>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4.3.4对同一采购程序环节的质疑，供应商须在法定质疑期内一次性提出。</w:t>
      </w:r>
    </w:p>
    <w:p w14:paraId="6AC2277B">
      <w:pPr>
        <w:pStyle w:val="887"/>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lang w:val="zh-CN"/>
        </w:rPr>
        <w:t>4.3</w:t>
      </w:r>
      <w:r>
        <w:rPr>
          <w:rFonts w:hint="eastAsia"/>
          <w:color w:val="auto"/>
          <w:highlight w:val="none"/>
        </w:rPr>
        <w:t>.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21F2B3A0">
      <w:pPr>
        <w:pStyle w:val="34"/>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4.3.6根据采购人与采购代理机构签订的采购委托协议，质疑答复责任主体如下：</w:t>
      </w:r>
      <w:r>
        <w:rPr>
          <w:rFonts w:asciiTheme="minorEastAsia" w:hAnsiTheme="minorEastAsia" w:eastAsiaTheme="minorEastAsia"/>
          <w:color w:val="auto"/>
          <w:sz w:val="24"/>
          <w:highlight w:val="none"/>
        </w:rPr>
        <w:t xml:space="preserve"> </w:t>
      </w:r>
    </w:p>
    <w:p w14:paraId="3E7BBDE6">
      <w:pPr>
        <w:widowControl/>
        <w:adjustRightInd/>
        <w:spacing w:line="360" w:lineRule="auto"/>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质疑答复责任主体一览表</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5668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Borders>
              <w:top w:val="single" w:color="auto" w:sz="4" w:space="0"/>
              <w:left w:val="single" w:color="auto" w:sz="4" w:space="0"/>
              <w:bottom w:val="single" w:color="auto" w:sz="4" w:space="0"/>
              <w:right w:val="single" w:color="auto" w:sz="4" w:space="0"/>
            </w:tcBorders>
            <w:vAlign w:val="center"/>
          </w:tcPr>
          <w:p w14:paraId="45711574">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质疑内容</w:t>
            </w:r>
          </w:p>
        </w:tc>
        <w:tc>
          <w:tcPr>
            <w:tcW w:w="2232" w:type="dxa"/>
            <w:tcBorders>
              <w:top w:val="single" w:color="auto" w:sz="4" w:space="0"/>
              <w:left w:val="single" w:color="auto" w:sz="4" w:space="0"/>
              <w:bottom w:val="single" w:color="auto" w:sz="4" w:space="0"/>
              <w:right w:val="single" w:color="auto" w:sz="4" w:space="0"/>
            </w:tcBorders>
            <w:vAlign w:val="center"/>
          </w:tcPr>
          <w:p w14:paraId="62600AC5">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质疑答复责任主体</w:t>
            </w:r>
          </w:p>
        </w:tc>
      </w:tr>
      <w:tr w14:paraId="4C2C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4740C01D">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6D8E9CAA">
            <w:pPr>
              <w:pStyle w:val="34"/>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对采购文件中特定资格条件、采购需求、评审办法、评审标准提出的质疑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521E1B53">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7AFB8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5E2FFF4">
            <w:pPr>
              <w:widowControl/>
              <w:adjustRightInd/>
              <w:spacing w:line="360" w:lineRule="auto"/>
              <w:jc w:val="left"/>
              <w:rPr>
                <w:rFonts w:asciiTheme="minorEastAsia" w:hAnsiTheme="minorEastAsia" w:eastAsiaTheme="minorEastAsia"/>
                <w:color w:val="auto"/>
                <w:sz w:val="24"/>
                <w:szCs w:val="20"/>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14:paraId="21A249F2">
            <w:pPr>
              <w:pStyle w:val="34"/>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7DBE6D44">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491F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46C5D273">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712F4A70">
            <w:pPr>
              <w:pStyle w:val="34"/>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有关现场考察或开启响应文件前答疑会事项提出的质疑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0EFA0DB8">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48E8D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464F5FF">
            <w:pPr>
              <w:widowControl/>
              <w:adjustRightInd/>
              <w:spacing w:line="360" w:lineRule="auto"/>
              <w:jc w:val="left"/>
              <w:rPr>
                <w:rFonts w:asciiTheme="minorEastAsia" w:hAnsiTheme="minorEastAsia" w:eastAsiaTheme="minorEastAsia"/>
                <w:color w:val="auto"/>
                <w:sz w:val="24"/>
                <w:szCs w:val="20"/>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14:paraId="3FE335E8">
            <w:pPr>
              <w:pStyle w:val="34"/>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对采购过程中其它事项提出的质疑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7397A502">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3B12E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Borders>
              <w:top w:val="single" w:color="auto" w:sz="4" w:space="0"/>
              <w:left w:val="single" w:color="auto" w:sz="4" w:space="0"/>
              <w:bottom w:val="single" w:color="auto" w:sz="4" w:space="0"/>
              <w:right w:val="single" w:color="auto" w:sz="4" w:space="0"/>
            </w:tcBorders>
            <w:vAlign w:val="center"/>
          </w:tcPr>
          <w:p w14:paraId="23E1556B">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21B94414">
            <w:pPr>
              <w:pStyle w:val="34"/>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66BAFEAD">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bl>
    <w:p w14:paraId="33AD8537">
      <w:pPr>
        <w:pStyle w:val="887"/>
        <w:shd w:val="clear" w:color="auto" w:fill="FFFFFF"/>
        <w:snapToGrid w:val="0"/>
        <w:spacing w:before="0" w:beforeAutospacing="0" w:after="0" w:afterAutospacing="0" w:line="360" w:lineRule="auto"/>
        <w:ind w:firstLine="480" w:firstLineChars="200"/>
        <w:contextualSpacing/>
        <w:rPr>
          <w:color w:val="auto"/>
          <w:highlight w:val="none"/>
          <w:lang w:val="zh-CN"/>
        </w:rPr>
      </w:pPr>
      <w:r>
        <w:rPr>
          <w:rFonts w:hint="eastAsia"/>
          <w:color w:val="auto"/>
          <w:highlight w:val="none"/>
          <w:lang w:val="zh-CN"/>
        </w:rPr>
        <w:t>注：</w:t>
      </w:r>
      <w:r>
        <w:rPr>
          <w:rFonts w:hint="eastAsia" w:asciiTheme="minorEastAsia" w:hAnsiTheme="minorEastAsia" w:eastAsiaTheme="minorEastAsia"/>
          <w:color w:val="auto"/>
          <w:highlight w:val="none"/>
        </w:rPr>
        <w:t>采购人或代理机构或应当协助质疑答复责任主体及时答复</w:t>
      </w:r>
      <w:r>
        <w:rPr>
          <w:rFonts w:hint="eastAsia"/>
          <w:color w:val="auto"/>
          <w:highlight w:val="none"/>
        </w:rPr>
        <w:t>供应商的书面质疑。</w:t>
      </w:r>
    </w:p>
    <w:p w14:paraId="6C9D658E">
      <w:pPr>
        <w:pStyle w:val="887"/>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lang w:val="zh-CN"/>
        </w:rPr>
        <w:t>4.3</w:t>
      </w:r>
      <w:r>
        <w:rPr>
          <w:rFonts w:hint="eastAsia"/>
          <w:color w:val="auto"/>
          <w:highlight w:val="none"/>
        </w:rPr>
        <w:t>.7询问或者质疑事项可能影响采购结果的，采购人应当暂停签订合同，已经签订合同的，应当中止履行合同。</w:t>
      </w:r>
    </w:p>
    <w:p w14:paraId="3BDD99B0">
      <w:pPr>
        <w:pStyle w:val="887"/>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14:paraId="43B13584">
      <w:pPr>
        <w:pStyle w:val="887"/>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4.4.1质疑供应商对采购人、采购代理机构的答复不满意或者采购人、采购代理机构未在规定的时间内作出答复的，可以在答复期满后十五个工作日内向同级政府采购监督管理部门提出投诉。</w:t>
      </w:r>
    </w:p>
    <w:p w14:paraId="210BE3E0">
      <w:pPr>
        <w:pStyle w:val="887"/>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3F5F1356">
      <w:pPr>
        <w:pStyle w:val="887"/>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4.4.3供应商投诉应当有明确的请求和必要的证明材料。</w:t>
      </w:r>
    </w:p>
    <w:p w14:paraId="1F5ED009">
      <w:pPr>
        <w:pStyle w:val="887"/>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4.4.4以联合体形式参加政府采购活动的，其投诉应当由组成联合体的所有供应商共同提出。</w:t>
      </w:r>
    </w:p>
    <w:p w14:paraId="7F022776">
      <w:pPr>
        <w:pStyle w:val="887"/>
        <w:shd w:val="clear" w:color="auto" w:fill="FFFFFF"/>
        <w:snapToGrid w:val="0"/>
        <w:spacing w:after="240" w:afterAutospacing="0" w:line="360" w:lineRule="auto"/>
        <w:ind w:firstLine="400"/>
        <w:contextualSpacing/>
        <w:rPr>
          <w:color w:val="auto"/>
          <w:highlight w:val="none"/>
        </w:rPr>
      </w:pPr>
    </w:p>
    <w:p w14:paraId="28A8DC08">
      <w:pPr>
        <w:pStyle w:val="129"/>
        <w:snapToGrid w:val="0"/>
        <w:spacing w:before="0"/>
        <w:ind w:firstLine="360"/>
        <w:rPr>
          <w:rFonts w:ascii="宋体" w:hAnsi="宋体" w:cs="宋体"/>
          <w:color w:val="auto"/>
          <w:sz w:val="18"/>
          <w:szCs w:val="18"/>
          <w:highlight w:val="none"/>
        </w:rPr>
      </w:pPr>
    </w:p>
    <w:p w14:paraId="129ED03B">
      <w:pPr>
        <w:adjustRightInd/>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二、招标文件的构成、澄清、修改</w:t>
      </w:r>
    </w:p>
    <w:p w14:paraId="5522470A">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14:paraId="25657819">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214982DF">
      <w:pPr>
        <w:pStyle w:val="34"/>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5.1.1招标公告；</w:t>
      </w:r>
    </w:p>
    <w:p w14:paraId="32E07507">
      <w:pPr>
        <w:pStyle w:val="34"/>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5.1.2投标人须知；</w:t>
      </w:r>
    </w:p>
    <w:p w14:paraId="3B96174A">
      <w:pPr>
        <w:pStyle w:val="34"/>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5.1.3采购需求；</w:t>
      </w:r>
    </w:p>
    <w:p w14:paraId="68088156">
      <w:pPr>
        <w:pStyle w:val="34"/>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5.1.4评标办法；</w:t>
      </w:r>
    </w:p>
    <w:p w14:paraId="5C153261">
      <w:pPr>
        <w:pStyle w:val="34"/>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5.1.5拟签订的合同文本；</w:t>
      </w:r>
    </w:p>
    <w:p w14:paraId="11D089EC">
      <w:pPr>
        <w:pStyle w:val="34"/>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61B8ED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5D0EAE17">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2133CE7F">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6.1已获取招标文件的潜在投标人，若有问题需要澄清，应于投标截止时间前，以书面形式向采购代理机构提出。</w:t>
      </w:r>
    </w:p>
    <w:p w14:paraId="359BCE16">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5AC46D86">
      <w:pPr>
        <w:pStyle w:val="24"/>
        <w:rPr>
          <w:rFonts w:hAnsi="宋体" w:cs="宋体"/>
          <w:color w:val="auto"/>
          <w:sz w:val="18"/>
          <w:szCs w:val="18"/>
          <w:highlight w:val="none"/>
          <w:lang w:val="en-US"/>
        </w:rPr>
      </w:pPr>
      <w:r>
        <w:rPr>
          <w:rFonts w:hint="eastAsia" w:hAnsi="宋体" w:cs="宋体"/>
          <w:color w:val="auto"/>
          <w:szCs w:val="24"/>
          <w:highlight w:val="none"/>
          <w:lang w:val="en-US"/>
        </w:rPr>
        <w:t xml:space="preserve">    </w:t>
      </w:r>
    </w:p>
    <w:p w14:paraId="1C631410">
      <w:pPr>
        <w:adjustRightInd/>
        <w:spacing w:line="360" w:lineRule="auto"/>
        <w:jc w:val="center"/>
        <w:outlineLvl w:val="1"/>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14:paraId="697E4BBD">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14:paraId="711D828C">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5220269F">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0BFC94C4">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5C9ED9F9">
      <w:pPr>
        <w:pStyle w:val="34"/>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14:paraId="30255204">
      <w:pPr>
        <w:pStyle w:val="34"/>
        <w:spacing w:line="360" w:lineRule="auto"/>
        <w:ind w:firstLine="480" w:firstLineChars="200"/>
        <w:rPr>
          <w:rFonts w:hint="eastAsia" w:hAnsi="宋体" w:cs="宋体"/>
          <w:color w:val="auto"/>
          <w:sz w:val="24"/>
          <w:highlight w:val="none"/>
          <w:lang w:eastAsia="zh-CN"/>
        </w:rPr>
      </w:pPr>
      <w:r>
        <w:rPr>
          <w:rFonts w:hint="eastAsia" w:hAnsi="宋体" w:cs="宋体"/>
          <w:color w:val="auto"/>
          <w:sz w:val="24"/>
          <w:highlight w:val="none"/>
          <w:lang w:eastAsia="zh-CN"/>
        </w:rPr>
        <w:t>本项目不收取。</w:t>
      </w:r>
    </w:p>
    <w:p w14:paraId="37B8D8AA">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14:paraId="687955A4">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6A50C9DA">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投标文件的组成（标注“▲”为实质性要求，供应商必须提供，否则投标无效。相关格式见招标文件第六部分）</w:t>
      </w:r>
    </w:p>
    <w:p w14:paraId="1090DF08">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42083822">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11.1.1符合参加政府采购活动应当具备的一般条件的承诺函；</w:t>
      </w:r>
    </w:p>
    <w:p w14:paraId="660F6DF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r>
        <w:rPr>
          <w:rFonts w:hint="eastAsia" w:ascii="宋体" w:hAnsi="宋体" w:cs="宋体"/>
          <w:snapToGrid w:val="0"/>
          <w:color w:val="auto"/>
          <w:kern w:val="28"/>
          <w:sz w:val="24"/>
          <w:szCs w:val="20"/>
          <w:highlight w:val="none"/>
        </w:rPr>
        <w:t>联合协议（如果有)；</w:t>
      </w:r>
    </w:p>
    <w:p w14:paraId="29822C0F">
      <w:pPr>
        <w:pStyle w:val="34"/>
        <w:spacing w:line="360" w:lineRule="auto"/>
        <w:ind w:firstLine="482" w:firstLineChars="200"/>
        <w:rPr>
          <w:rFonts w:cs="仿宋_GB2312" w:asciiTheme="minorEastAsia" w:hAnsiTheme="minorEastAsia" w:eastAsiaTheme="minorEastAsia"/>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hAnsi="宋体" w:cs="宋体"/>
          <w:color w:val="auto"/>
          <w:sz w:val="24"/>
          <w:highlight w:val="none"/>
          <w:lang w:eastAsia="zh-CN"/>
        </w:rPr>
        <w:t>：</w:t>
      </w:r>
      <w:r>
        <w:rPr>
          <w:rFonts w:hint="eastAsia" w:cs="宋体" w:asciiTheme="minorEastAsia" w:hAnsiTheme="minorEastAsia" w:eastAsiaTheme="minorEastAsia"/>
          <w:snapToGrid w:val="0"/>
          <w:color w:val="auto"/>
          <w:kern w:val="28"/>
          <w:sz w:val="24"/>
          <w:highlight w:val="none"/>
          <w:lang w:eastAsia="zh-CN"/>
        </w:rPr>
        <w:t>专门面向中小企业采购，供应商须提供《中小企业声明函》</w:t>
      </w:r>
      <w:r>
        <w:rPr>
          <w:rFonts w:hint="eastAsia" w:cs="宋体" w:asciiTheme="minorEastAsia" w:hAnsiTheme="minorEastAsia" w:eastAsiaTheme="minorEastAsia"/>
          <w:snapToGrid w:val="0"/>
          <w:color w:val="auto"/>
          <w:kern w:val="28"/>
          <w:sz w:val="24"/>
          <w:highlight w:val="none"/>
        </w:rPr>
        <w:t>；</w:t>
      </w:r>
    </w:p>
    <w:p w14:paraId="2B4EA82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4ED85B34">
      <w:pPr>
        <w:snapToGrid w:val="0"/>
        <w:spacing w:line="360" w:lineRule="auto"/>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11.</w:t>
      </w:r>
      <w:r>
        <w:rPr>
          <w:rFonts w:hint="eastAsia" w:ascii="宋体" w:hAnsi="宋体" w:cs="宋体"/>
          <w:b/>
          <w:color w:val="auto"/>
          <w:sz w:val="24"/>
          <w:highlight w:val="none"/>
        </w:rPr>
        <w:t>2</w:t>
      </w:r>
      <w:r>
        <w:rPr>
          <w:rFonts w:hint="eastAsia" w:ascii="宋体" w:hAnsi="宋体" w:cs="宋体"/>
          <w:b/>
          <w:color w:val="auto"/>
          <w:sz w:val="24"/>
          <w:highlight w:val="none"/>
          <w:lang w:val="zh-CN"/>
        </w:rPr>
        <w:t xml:space="preserve">  </w:t>
      </w:r>
      <w:r>
        <w:rPr>
          <w:rFonts w:hint="eastAsia" w:ascii="宋体" w:hAnsi="宋体" w:cs="宋体"/>
          <w:b/>
          <w:color w:val="auto"/>
          <w:sz w:val="24"/>
          <w:highlight w:val="none"/>
        </w:rPr>
        <w:t>商务技术</w:t>
      </w:r>
      <w:r>
        <w:rPr>
          <w:rFonts w:hint="eastAsia" w:ascii="宋体" w:hAnsi="宋体" w:cs="宋体"/>
          <w:b/>
          <w:color w:val="auto"/>
          <w:sz w:val="24"/>
          <w:highlight w:val="none"/>
          <w:lang w:val="zh-CN"/>
        </w:rPr>
        <w:t>文件：</w:t>
      </w:r>
    </w:p>
    <w:p w14:paraId="7604D698">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14:paraId="3CB2F905">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11.2.2授权委托书或法定代表人（单位负责人、自然人本人）身份证明；</w:t>
      </w:r>
    </w:p>
    <w:p w14:paraId="261C07A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1DF169D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0F6D158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3BF25D3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1FBDB9A3">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11D6E116">
      <w:pPr>
        <w:snapToGrid w:val="0"/>
        <w:spacing w:line="360" w:lineRule="auto"/>
        <w:ind w:firstLine="482" w:firstLineChars="200"/>
        <w:rPr>
          <w:rFonts w:ascii="宋体" w:hAnsi="宋体" w:cs="宋体"/>
          <w:color w:val="auto"/>
          <w:sz w:val="24"/>
          <w:highlight w:val="none"/>
          <w:lang w:val="zh-CN"/>
        </w:rPr>
      </w:pPr>
      <w:r>
        <w:rPr>
          <w:rFonts w:hint="eastAsia" w:hAnsi="宋体" w:cs="宋体"/>
          <w:b/>
          <w:color w:val="auto"/>
          <w:sz w:val="24"/>
          <w:highlight w:val="none"/>
        </w:rPr>
        <w:t>▲</w:t>
      </w: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7CB4A638">
      <w:pPr>
        <w:pStyle w:val="83"/>
        <w:rPr>
          <w:color w:val="auto"/>
          <w:highlight w:val="none"/>
        </w:rPr>
      </w:pPr>
      <w:r>
        <w:rPr>
          <w:rFonts w:hint="eastAsia" w:cs="宋体"/>
          <w:b/>
          <w:color w:val="auto"/>
          <w:szCs w:val="24"/>
          <w:highlight w:val="none"/>
        </w:rPr>
        <w:t>▲</w:t>
      </w:r>
      <w:r>
        <w:rPr>
          <w:rFonts w:hint="eastAsia"/>
          <w:color w:val="auto"/>
          <w:highlight w:val="none"/>
        </w:rPr>
        <w:t>11.2.9承诺函；</w:t>
      </w:r>
    </w:p>
    <w:p w14:paraId="0483182E">
      <w:pPr>
        <w:pStyle w:val="83"/>
        <w:rPr>
          <w:color w:val="auto"/>
          <w:highlight w:val="none"/>
        </w:rPr>
      </w:pPr>
      <w:r>
        <w:rPr>
          <w:rFonts w:hint="eastAsia"/>
          <w:color w:val="auto"/>
          <w:highlight w:val="none"/>
        </w:rPr>
        <w:t>11.2.10技术解决方案</w:t>
      </w:r>
      <w:r>
        <w:rPr>
          <w:rFonts w:hint="eastAsia" w:cs="宋体"/>
          <w:snapToGrid w:val="0"/>
          <w:color w:val="auto"/>
          <w:kern w:val="28"/>
          <w:highlight w:val="none"/>
        </w:rPr>
        <w:t>（如果有)</w:t>
      </w:r>
      <w:r>
        <w:rPr>
          <w:rFonts w:hint="eastAsia"/>
          <w:color w:val="auto"/>
          <w:highlight w:val="none"/>
        </w:rPr>
        <w:t>。可以是针对本项目的完整技术解决方案和实施方案；详细阐述项目方案的实现思路及关键技术；符合本项目对当前和未来发展的要求；以及对功能设计和实施计划的建议；</w:t>
      </w:r>
    </w:p>
    <w:p w14:paraId="6A20DE90">
      <w:pPr>
        <w:pStyle w:val="83"/>
        <w:rPr>
          <w:color w:val="auto"/>
          <w:highlight w:val="none"/>
        </w:rPr>
      </w:pPr>
      <w:r>
        <w:rPr>
          <w:rFonts w:hint="eastAsia" w:cs="宋体"/>
          <w:b/>
          <w:color w:val="auto"/>
          <w:szCs w:val="24"/>
          <w:highlight w:val="none"/>
        </w:rPr>
        <w:t>▲</w:t>
      </w:r>
      <w:r>
        <w:rPr>
          <w:rFonts w:hint="eastAsia"/>
          <w:color w:val="auto"/>
          <w:highlight w:val="none"/>
        </w:rPr>
        <w:t>11.2.11组织实施方案。可以是本项目详细工作实施组织方案，包括(但不限于)以下内容：组织机构、工作时间进度表、工作程序和步骤、管理和协调方法、关键步骤的思路和要点；</w:t>
      </w:r>
    </w:p>
    <w:p w14:paraId="73EF0415">
      <w:pPr>
        <w:pStyle w:val="83"/>
        <w:rPr>
          <w:color w:val="auto"/>
          <w:highlight w:val="none"/>
        </w:rPr>
      </w:pPr>
      <w:r>
        <w:rPr>
          <w:rFonts w:hint="eastAsia"/>
          <w:color w:val="auto"/>
          <w:highlight w:val="none"/>
        </w:rPr>
        <w:t>11.2.12售后服务方案</w:t>
      </w:r>
      <w:r>
        <w:rPr>
          <w:rFonts w:hint="eastAsia" w:cs="宋体"/>
          <w:snapToGrid w:val="0"/>
          <w:color w:val="auto"/>
          <w:kern w:val="28"/>
          <w:highlight w:val="none"/>
        </w:rPr>
        <w:t>（如果有)</w:t>
      </w:r>
      <w:r>
        <w:rPr>
          <w:rFonts w:hint="eastAsia"/>
          <w:color w:val="auto"/>
          <w:highlight w:val="none"/>
        </w:rPr>
        <w:t>。可以是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009D6EF3">
      <w:pPr>
        <w:snapToGrid w:val="0"/>
        <w:spacing w:line="360" w:lineRule="auto"/>
        <w:ind w:firstLine="482" w:firstLineChars="200"/>
        <w:rPr>
          <w:rFonts w:ascii="宋体" w:hAnsi="宋体" w:cs="宋体"/>
          <w:b/>
          <w:color w:val="auto"/>
          <w:sz w:val="24"/>
          <w:highlight w:val="none"/>
          <w:u w:val="single"/>
          <w:lang w:val="zh-CN"/>
        </w:rPr>
      </w:pPr>
      <w:r>
        <w:rPr>
          <w:rFonts w:hint="eastAsia" w:ascii="宋体" w:hAnsi="宋体" w:cs="宋体"/>
          <w:b/>
          <w:color w:val="auto"/>
          <w:kern w:val="0"/>
          <w:sz w:val="24"/>
          <w:highlight w:val="none"/>
          <w:lang w:val="zh-CN"/>
        </w:rPr>
        <w:t>11.</w:t>
      </w:r>
      <w:r>
        <w:rPr>
          <w:rFonts w:hint="eastAsia" w:ascii="宋体" w:hAnsi="宋体" w:cs="宋体"/>
          <w:b/>
          <w:color w:val="auto"/>
          <w:kern w:val="0"/>
          <w:sz w:val="24"/>
          <w:highlight w:val="none"/>
        </w:rPr>
        <w:t>3</w:t>
      </w:r>
      <w:r>
        <w:rPr>
          <w:rFonts w:hint="eastAsia" w:ascii="宋体" w:hAnsi="宋体" w:cs="宋体"/>
          <w:b/>
          <w:color w:val="auto"/>
          <w:sz w:val="24"/>
          <w:highlight w:val="none"/>
        </w:rPr>
        <w:t xml:space="preserve">报价文件： </w:t>
      </w:r>
    </w:p>
    <w:p w14:paraId="44CF1B0C">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11.3.1开标一览表（报价表）；</w:t>
      </w:r>
    </w:p>
    <w:p w14:paraId="5C6B59A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▲11.3.2中小企业声明函；</w:t>
      </w:r>
    </w:p>
    <w:p w14:paraId="7EB0C618">
      <w:pPr>
        <w:snapToGrid w:val="0"/>
        <w:spacing w:line="360" w:lineRule="auto"/>
        <w:ind w:firstLine="480" w:firstLineChars="200"/>
        <w:rPr>
          <w:rFonts w:ascii="宋体" w:hAnsi="宋体" w:cs="宋体"/>
          <w:color w:val="auto"/>
          <w:sz w:val="24"/>
          <w:highlight w:val="none"/>
        </w:rPr>
      </w:pPr>
      <w:bookmarkStart w:id="32" w:name="OLE_LINK6"/>
      <w:bookmarkStart w:id="33" w:name="OLE_LINK5"/>
      <w:r>
        <w:rPr>
          <w:rFonts w:hint="eastAsia" w:ascii="宋体" w:hAnsi="宋体" w:cs="宋体"/>
          <w:color w:val="auto"/>
          <w:sz w:val="24"/>
          <w:highlight w:val="none"/>
        </w:rPr>
        <w:t>11.3.3关于符合本国产品标准的声明函</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 xml:space="preserve"> ；</w:t>
      </w:r>
    </w:p>
    <w:p w14:paraId="5014D89B">
      <w:pPr>
        <w:snapToGrid w:val="0"/>
        <w:spacing w:line="360" w:lineRule="auto"/>
        <w:ind w:firstLine="480" w:firstLineChars="200"/>
        <w:rPr>
          <w:color w:val="auto"/>
          <w:highlight w:val="none"/>
        </w:rPr>
      </w:pPr>
      <w:r>
        <w:rPr>
          <w:rFonts w:hint="eastAsia" w:ascii="宋体" w:hAnsi="宋体" w:cs="宋体"/>
          <w:color w:val="auto"/>
          <w:sz w:val="24"/>
          <w:highlight w:val="none"/>
        </w:rPr>
        <w:t>11.3.4关于符合本国产品标准的产品成本之和占所提供的全部产品成本之和的比例达到80%以上的声明函</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bookmarkEnd w:id="32"/>
    <w:bookmarkEnd w:id="33"/>
    <w:p w14:paraId="60ADFEA3">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4F05900B">
      <w:pPr>
        <w:spacing w:line="360" w:lineRule="auto"/>
        <w:ind w:firstLine="482" w:firstLineChars="200"/>
        <w:rPr>
          <w:rFonts w:ascii="宋体" w:hAnsi="宋体" w:cs="宋体"/>
          <w:b/>
          <w:color w:val="auto"/>
          <w:sz w:val="24"/>
          <w:szCs w:val="21"/>
          <w:highlight w:val="none"/>
        </w:rPr>
      </w:pPr>
      <w:r>
        <w:rPr>
          <w:rFonts w:hint="eastAsia" w:ascii="宋体" w:hAnsi="宋体" w:cs="宋体"/>
          <w:b/>
          <w:color w:val="auto"/>
          <w:sz w:val="24"/>
          <w:highlight w:val="none"/>
        </w:rPr>
        <w:t>投标人提供虚假材料投标的，投标无效。</w:t>
      </w:r>
    </w:p>
    <w:p w14:paraId="64F9B220">
      <w:pPr>
        <w:pStyle w:val="129"/>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743FD23C">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5E18455D">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广西政府采购云平台电子交易客户端”，并按照招标文件和电子交易平台的要求编制并加密投标文件。投标人未按规定加密的投标文件，电子交易平台将拒收并提示。</w:t>
      </w:r>
    </w:p>
    <w:p w14:paraId="5E2130ED">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12.3使用“广西政府采购云平台电子交易客户端”需要提前申领CA数字证书，申领流程请自行前往“</w:t>
      </w:r>
      <w:r>
        <w:rPr>
          <w:rFonts w:hint="eastAsia" w:ascii="宋体" w:hAnsi="宋体" w:cs="宋体"/>
          <w:color w:val="auto"/>
          <w:sz w:val="24"/>
          <w:highlight w:val="none"/>
        </w:rPr>
        <w:t>广西政府采购网（http://zfcg.gxzf.gov.cn/）—办事服务—下载专区</w:t>
      </w:r>
      <w:r>
        <w:rPr>
          <w:rFonts w:hint="eastAsia" w:ascii="宋体" w:hAnsi="宋体" w:cs="宋体"/>
          <w:color w:val="auto"/>
          <w:kern w:val="0"/>
          <w:sz w:val="24"/>
          <w:highlight w:val="none"/>
          <w:lang w:val="zh-CN"/>
        </w:rPr>
        <w:t>”进行查阅。</w:t>
      </w:r>
    </w:p>
    <w:p w14:paraId="52C3D79B">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0DDE9290">
      <w:pPr>
        <w:pStyle w:val="129"/>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04C04592">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13.2为确保网上操作合法、有效和安全，投标人应当在投标截止时间前完成在“广西政府采购云平台”的身份认证，确保在电子投标过程中能够对相关数据电文进行加密和使用电子签名。</w:t>
      </w:r>
    </w:p>
    <w:p w14:paraId="57214BD3">
      <w:pPr>
        <w:pStyle w:val="129"/>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13.3招标文件对投标文件签署、盖章的要求适用于电子签名、CA签章以及招标文件明确允许的其他方式。</w:t>
      </w:r>
    </w:p>
    <w:p w14:paraId="2C919D96">
      <w:pPr>
        <w:pStyle w:val="129"/>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475D9837">
      <w:pPr>
        <w:pStyle w:val="129"/>
        <w:spacing w:before="0"/>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592F9D27">
      <w:pPr>
        <w:pStyle w:val="129"/>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414D2E14">
      <w:pPr>
        <w:pStyle w:val="129"/>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14.3采购人、采购代理机构可以视情况延长投标文件提交的截止时间。在上述情况下，采购代理机构与投标人以前在投标截止期方面的全部权利、责任和义务，将适用于延长至新的投标截止期。</w:t>
      </w:r>
    </w:p>
    <w:p w14:paraId="33B62C45">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14:paraId="0903044B">
      <w:pPr>
        <w:ind w:firstLine="480" w:firstLineChars="200"/>
        <w:rPr>
          <w:rFonts w:hAnsi="宋体" w:cs="宋体"/>
          <w:b/>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highlight w:val="none"/>
        </w:rPr>
        <w:t xml:space="preserve"> </w:t>
      </w:r>
      <w:r>
        <w:rPr>
          <w:rFonts w:hint="eastAsia" w:ascii="宋体" w:hAnsi="宋体" w:cs="宋体"/>
          <w:color w:val="auto"/>
          <w:sz w:val="24"/>
          <w:highlight w:val="none"/>
        </w:rPr>
        <w:t>本项目不提交。</w:t>
      </w:r>
    </w:p>
    <w:p w14:paraId="49D46822">
      <w:pPr>
        <w:pStyle w:val="129"/>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0DD734D4">
      <w:pPr>
        <w:pStyle w:val="26"/>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szCs w:val="21"/>
          <w:highlight w:val="none"/>
        </w:rPr>
        <w:t>4.2规定</w:t>
      </w:r>
      <w:r>
        <w:rPr>
          <w:rFonts w:hint="eastAsia" w:cs="宋体"/>
          <w:color w:val="auto"/>
          <w:szCs w:val="21"/>
          <w:highlight w:val="none"/>
        </w:rPr>
        <w:t>的情形之一的，投标无效：</w:t>
      </w:r>
    </w:p>
    <w:p w14:paraId="6077AF28">
      <w:pPr>
        <w:pStyle w:val="129"/>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14:paraId="0ACEF91F">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17.1投标有效期为从提交投标文件的截止之日起60天。▲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3F6583A2">
      <w:pPr>
        <w:pStyle w:val="129"/>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72E47B83">
      <w:pPr>
        <w:pStyle w:val="129"/>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采购人或采购代理机构可以以书面形式通知所有投标人延长投标有效期。投标人同意延长的，不得要求或被允许修改其投标文件，投标人拒绝延长的，其投标无效。</w:t>
      </w:r>
    </w:p>
    <w:p w14:paraId="310F4376">
      <w:pPr>
        <w:pStyle w:val="129"/>
        <w:spacing w:before="0"/>
        <w:ind w:firstLine="643"/>
        <w:rPr>
          <w:rFonts w:ascii="宋体" w:hAnsi="宋体" w:cs="宋体"/>
          <w:b/>
          <w:color w:val="auto"/>
          <w:sz w:val="32"/>
          <w:highlight w:val="none"/>
        </w:rPr>
      </w:pPr>
    </w:p>
    <w:p w14:paraId="36DDA8B0">
      <w:pPr>
        <w:pStyle w:val="129"/>
        <w:spacing w:before="0"/>
        <w:ind w:firstLine="1928" w:firstLineChars="600"/>
        <w:outlineLvl w:val="1"/>
        <w:rPr>
          <w:rFonts w:ascii="宋体" w:hAnsi="宋体" w:cs="宋体"/>
          <w:b/>
          <w:color w:val="auto"/>
          <w:sz w:val="32"/>
          <w:highlight w:val="none"/>
        </w:rPr>
      </w:pPr>
      <w:r>
        <w:rPr>
          <w:rFonts w:hint="eastAsia" w:ascii="宋体" w:hAnsi="宋体" w:cs="宋体"/>
          <w:b/>
          <w:color w:val="auto"/>
          <w:sz w:val="32"/>
          <w:highlight w:val="none"/>
        </w:rPr>
        <w:t>四、开标、资格审查与信用信息查询</w:t>
      </w:r>
    </w:p>
    <w:p w14:paraId="64BAEF72">
      <w:pPr>
        <w:pStyle w:val="555"/>
        <w:spacing w:before="0" w:line="360" w:lineRule="auto"/>
        <w:ind w:left="0" w:firstLine="241"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14:paraId="034DA7DB">
      <w:pPr>
        <w:pStyle w:val="555"/>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18.1采购代理机构按照招标文件规定的时间通过电子交易平台组织开标，所有投标人均应当准时在线参加。投标人不足3家的，不得开标。</w:t>
      </w:r>
    </w:p>
    <w:p w14:paraId="79D0BBD2">
      <w:pPr>
        <w:pStyle w:val="555"/>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18.2开标时，电子交易平台按开标时间自动提取所有投标文件。采购代理机构依托电子交易平台发起开始解密指令，投标人按照平台提示和招标文件的规定在半小时内完成在线解密。</w:t>
      </w:r>
    </w:p>
    <w:p w14:paraId="57588BF2">
      <w:pPr>
        <w:pStyle w:val="555"/>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61EBE27F">
      <w:pPr>
        <w:widowControl/>
        <w:spacing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　19、资格审查</w:t>
      </w:r>
    </w:p>
    <w:p w14:paraId="3805E64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19.1</w:t>
      </w:r>
      <w:r>
        <w:rPr>
          <w:rFonts w:hint="eastAsia" w:ascii="宋体" w:hAnsi="宋体" w:cs="宋体"/>
          <w:color w:val="auto"/>
          <w:sz w:val="24"/>
          <w:highlight w:val="none"/>
        </w:rPr>
        <w:t>采购人或采购代理机构依据法律法规和招标文件的规定，对投标人的资格进行审查。</w:t>
      </w:r>
    </w:p>
    <w:p w14:paraId="67834E26">
      <w:pPr>
        <w:pStyle w:val="129"/>
        <w:spacing w:before="0"/>
        <w:ind w:firstLine="480"/>
        <w:rPr>
          <w:rFonts w:ascii="宋体" w:hAnsi="宋体" w:cs="宋体"/>
          <w:color w:val="auto"/>
          <w:highlight w:val="none"/>
        </w:rPr>
      </w:pPr>
      <w:r>
        <w:rPr>
          <w:rFonts w:hint="eastAsia" w:ascii="宋体" w:hAnsi="宋体" w:cs="宋体"/>
          <w:color w:val="auto"/>
          <w:kern w:val="0"/>
          <w:szCs w:val="24"/>
          <w:highlight w:val="none"/>
        </w:rPr>
        <w:t>19.2投标人未按照招标文件要求提供与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7077D4CE">
      <w:pPr>
        <w:pStyle w:val="129"/>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3对未通过资格审查的投标人，采购人或采购代理机构告知其未通过的原因。</w:t>
      </w:r>
    </w:p>
    <w:p w14:paraId="7C272112">
      <w:pPr>
        <w:pStyle w:val="129"/>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4合格投标人不足3家的，不再评标。</w:t>
      </w:r>
    </w:p>
    <w:p w14:paraId="47FAE4A0">
      <w:pPr>
        <w:pStyle w:val="129"/>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20、信用信息查询</w:t>
      </w:r>
    </w:p>
    <w:p w14:paraId="24F095FC">
      <w:pPr>
        <w:pStyle w:val="129"/>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20.1信用信息查询渠道及截止时间：采购人或采购代理机构将在资格审查时通过“信用中国”网站(www.creditchina.gov.cn)、中国政府采购网(www.ccgp.gov.cn)渠道查询投标人接受资格时的信用记录。</w:t>
      </w:r>
    </w:p>
    <w:p w14:paraId="55958DA0">
      <w:pPr>
        <w:pStyle w:val="129"/>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5E58BF42">
      <w:pPr>
        <w:pStyle w:val="129"/>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62B2F441">
      <w:pPr>
        <w:pStyle w:val="129"/>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0538674F">
      <w:pPr>
        <w:pStyle w:val="129"/>
        <w:spacing w:before="0"/>
        <w:ind w:firstLine="0" w:firstLineChars="0"/>
        <w:rPr>
          <w:rFonts w:ascii="宋体" w:hAnsi="宋体" w:cs="宋体"/>
          <w:color w:val="auto"/>
          <w:kern w:val="0"/>
          <w:szCs w:val="24"/>
          <w:highlight w:val="none"/>
        </w:rPr>
      </w:pPr>
    </w:p>
    <w:p w14:paraId="6FF6F078">
      <w:pPr>
        <w:snapToGrid w:val="0"/>
        <w:spacing w:line="360" w:lineRule="auto"/>
        <w:jc w:val="center"/>
        <w:outlineLvl w:val="1"/>
        <w:rPr>
          <w:rFonts w:ascii="宋体" w:hAnsi="宋体" w:cs="宋体"/>
          <w:b/>
          <w:color w:val="auto"/>
          <w:sz w:val="36"/>
          <w:szCs w:val="36"/>
          <w:highlight w:val="none"/>
        </w:rPr>
      </w:pPr>
      <w:r>
        <w:rPr>
          <w:rFonts w:hint="eastAsia" w:ascii="宋体" w:hAnsi="宋体" w:cs="宋体"/>
          <w:b/>
          <w:color w:val="auto"/>
          <w:sz w:val="36"/>
          <w:szCs w:val="36"/>
          <w:highlight w:val="none"/>
        </w:rPr>
        <w:t>五、评标</w:t>
      </w:r>
    </w:p>
    <w:p w14:paraId="746E88D8">
      <w:pPr>
        <w:spacing w:line="360" w:lineRule="auto"/>
        <w:rPr>
          <w:rFonts w:ascii="宋体" w:hAnsi="宋体" w:cs="宋体"/>
          <w:b/>
          <w:color w:val="auto"/>
          <w:sz w:val="24"/>
          <w:highlight w:val="none"/>
        </w:rPr>
      </w:pPr>
      <w:bookmarkStart w:id="34" w:name="_Toc91899903"/>
      <w:r>
        <w:rPr>
          <w:rFonts w:hint="eastAsia" w:ascii="宋体" w:hAnsi="宋体" w:cs="宋体"/>
          <w:b/>
          <w:color w:val="auto"/>
          <w:sz w:val="24"/>
          <w:highlight w:val="none"/>
        </w:rPr>
        <w:t>21.评标</w:t>
      </w:r>
    </w:p>
    <w:p w14:paraId="6CEBC9E8">
      <w:pPr>
        <w:pStyle w:val="83"/>
        <w:rPr>
          <w:color w:val="auto"/>
          <w:highlight w:val="none"/>
        </w:rPr>
      </w:pPr>
      <w:r>
        <w:rPr>
          <w:rFonts w:hint="eastAsia"/>
          <w:color w:val="auto"/>
          <w:highlight w:val="none"/>
        </w:rPr>
        <w:t>21.1本招标采购项目的评标委员会由采购人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14:paraId="7F1155A6">
      <w:pPr>
        <w:spacing w:line="360" w:lineRule="auto"/>
        <w:ind w:firstLine="482" w:firstLineChars="200"/>
        <w:rPr>
          <w:rFonts w:cs="宋体" w:asciiTheme="minorEastAsia" w:hAnsiTheme="minorEastAsia" w:eastAsiaTheme="minorEastAsia"/>
          <w:b/>
          <w:color w:val="auto"/>
          <w:sz w:val="24"/>
          <w:highlight w:val="none"/>
        </w:rPr>
      </w:pPr>
      <w:r>
        <w:rPr>
          <w:rFonts w:hint="eastAsia" w:ascii="宋体" w:hAnsi="宋体" w:cs="宋体"/>
          <w:b/>
          <w:color w:val="auto"/>
          <w:sz w:val="24"/>
          <w:highlight w:val="none"/>
        </w:rPr>
        <w:t>21.2</w:t>
      </w:r>
      <w:r>
        <w:rPr>
          <w:rFonts w:hint="eastAsia" w:cs="宋体" w:asciiTheme="minorEastAsia" w:hAnsiTheme="minorEastAsia" w:eastAsiaTheme="minorEastAsia"/>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cs="宋体" w:asciiTheme="minorEastAsia" w:hAnsiTheme="minorEastAsia" w:eastAsiaTheme="minorEastAsia"/>
          <w:b/>
          <w:color w:val="auto"/>
          <w:sz w:val="24"/>
          <w:highlight w:val="none"/>
        </w:rPr>
        <w:t>详见招标文件第四部分评标办法。</w:t>
      </w:r>
    </w:p>
    <w:p w14:paraId="4DF17688">
      <w:pPr>
        <w:spacing w:line="360" w:lineRule="auto"/>
        <w:rPr>
          <w:rFonts w:ascii="宋体" w:hAnsi="宋体" w:cs="宋体"/>
          <w:b/>
          <w:color w:val="auto"/>
          <w:sz w:val="24"/>
          <w:highlight w:val="none"/>
        </w:rPr>
      </w:pPr>
    </w:p>
    <w:p w14:paraId="0499BFC9">
      <w:pPr>
        <w:snapToGrid w:val="0"/>
        <w:spacing w:line="360" w:lineRule="auto"/>
        <w:jc w:val="center"/>
        <w:outlineLvl w:val="1"/>
        <w:rPr>
          <w:rFonts w:ascii="宋体" w:hAnsi="宋体" w:cs="宋体"/>
          <w:b/>
          <w:color w:val="auto"/>
          <w:sz w:val="36"/>
          <w:szCs w:val="36"/>
          <w:highlight w:val="none"/>
        </w:rPr>
      </w:pPr>
      <w:r>
        <w:rPr>
          <w:rFonts w:hint="eastAsia" w:ascii="宋体" w:hAnsi="宋体" w:cs="宋体"/>
          <w:b/>
          <w:color w:val="auto"/>
          <w:sz w:val="36"/>
          <w:szCs w:val="36"/>
          <w:highlight w:val="none"/>
        </w:rPr>
        <w:t>六、定 标</w:t>
      </w:r>
    </w:p>
    <w:p w14:paraId="397D344D">
      <w:pPr>
        <w:pStyle w:val="26"/>
        <w:spacing w:line="360" w:lineRule="auto"/>
        <w:ind w:left="479" w:hanging="479" w:hangingChars="199"/>
        <w:rPr>
          <w:rFonts w:cs="宋体"/>
          <w:b/>
          <w:color w:val="auto"/>
          <w:highlight w:val="none"/>
        </w:rPr>
      </w:pPr>
      <w:r>
        <w:rPr>
          <w:rFonts w:hint="eastAsia" w:cs="宋体"/>
          <w:b/>
          <w:color w:val="auto"/>
          <w:highlight w:val="none"/>
        </w:rPr>
        <w:t>22. 确定中标供应商</w:t>
      </w:r>
    </w:p>
    <w:p w14:paraId="3690ED15">
      <w:pPr>
        <w:pStyle w:val="129"/>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5个工作日内在线确定中标供应商。中标通知书和中标结果公告应当在规定时间内同时发出。</w:t>
      </w:r>
    </w:p>
    <w:p w14:paraId="67CFDD0D">
      <w:pPr>
        <w:pStyle w:val="129"/>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145B291B">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23.1自中标人确定之日起2个工作日内，采购代理机构通过电子交易平台向中标人发出中标通知书，同时编制发布采购结果公告。采购代理机构也可以以纸质形式进行中标通知。</w:t>
      </w:r>
    </w:p>
    <w:p w14:paraId="0ABFB04F">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采购代理机构的名称、地址、联系方式，项目名称和项目编号，中标人名称、地址和中标金额，主要中标标的的名称、规格型号、数量、单价、服务要求，开标记录、评审专家抽取规则、未中标情况说明、中标公告期限以及评审专家名单。项目采购采用最低评标价法的，公告中标结果时应当同时公告因落实政府采购政策等原因进行价格扣除后中标供应商和未中标供应商的评审报价及排名；项目采购采用综合评分法的，公告中标结果时应当同时公告中标供应商和未中标供应商的评审总得分及排名。鼓励发布中标结果公告时加大评审过程公开力度，但发布内容不得涉及国家秘密和商业秘密。</w:t>
      </w:r>
    </w:p>
    <w:p w14:paraId="6794824A">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23.3公告期限为1个工作日。</w:t>
      </w:r>
    </w:p>
    <w:p w14:paraId="2AEF4BC4">
      <w:pPr>
        <w:snapToGrid w:val="0"/>
        <w:spacing w:line="360" w:lineRule="auto"/>
        <w:ind w:left="120" w:leftChars="57" w:firstLine="482" w:firstLineChars="150"/>
        <w:jc w:val="center"/>
        <w:rPr>
          <w:rFonts w:ascii="宋体" w:hAnsi="宋体" w:cs="宋体"/>
          <w:b/>
          <w:color w:val="auto"/>
          <w:sz w:val="32"/>
          <w:highlight w:val="none"/>
        </w:rPr>
      </w:pPr>
    </w:p>
    <w:p w14:paraId="32570F86">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七、合同授予</w:t>
      </w:r>
    </w:p>
    <w:p w14:paraId="7D511166">
      <w:pPr>
        <w:pStyle w:val="26"/>
        <w:spacing w:line="360" w:lineRule="auto"/>
        <w:ind w:left="479" w:hanging="479" w:hangingChars="199"/>
        <w:rPr>
          <w:rFonts w:cs="宋体"/>
          <w:b/>
          <w:color w:val="auto"/>
          <w:highlight w:val="none"/>
        </w:rPr>
      </w:pPr>
      <w:r>
        <w:rPr>
          <w:rFonts w:hint="eastAsia" w:cs="宋体"/>
          <w:b/>
          <w:color w:val="auto"/>
          <w:highlight w:val="none"/>
        </w:rPr>
        <w:t xml:space="preserve">24. </w:t>
      </w:r>
      <w:r>
        <w:rPr>
          <w:rFonts w:hint="eastAsia" w:cs="宋体"/>
          <w:color w:val="auto"/>
          <w:highlight w:val="none"/>
        </w:rPr>
        <w:t>合同主要条款详见第五部分拟签订的合同文本。</w:t>
      </w:r>
    </w:p>
    <w:p w14:paraId="43FA4CAE">
      <w:pPr>
        <w:pStyle w:val="26"/>
        <w:spacing w:line="360" w:lineRule="auto"/>
        <w:ind w:left="479" w:hanging="479" w:hangingChars="199"/>
        <w:rPr>
          <w:rFonts w:cs="宋体"/>
          <w:b/>
          <w:color w:val="auto"/>
          <w:highlight w:val="none"/>
        </w:rPr>
      </w:pPr>
      <w:r>
        <w:rPr>
          <w:rFonts w:hint="eastAsia" w:cs="宋体"/>
          <w:b/>
          <w:color w:val="auto"/>
          <w:highlight w:val="none"/>
        </w:rPr>
        <w:t>25. 合同的签订</w:t>
      </w:r>
    </w:p>
    <w:p w14:paraId="38C66C5C">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rPr>
        <w:t>采购人与中标供应商应当自中标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66D80186">
      <w:pPr>
        <w:pStyle w:val="129"/>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035E0778">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25.3如签订合同并生效后，供应商无故拒绝或延期，除按照合同条款处理外，列入不良行为记录一次，并给予通报。</w:t>
      </w:r>
    </w:p>
    <w:p w14:paraId="2C68020C">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25.4中标供应商拒绝与采购人签订合同的，采购人可以按照评审报告推荐的中标候选人名单排序，确定下一候选人为中标供应商，也可以重新开展政府采购活动。</w:t>
      </w:r>
    </w:p>
    <w:p w14:paraId="161A95D5">
      <w:pPr>
        <w:pStyle w:val="129"/>
        <w:snapToGrid w:val="0"/>
        <w:spacing w:before="0" w:after="120"/>
        <w:ind w:firstLine="480"/>
        <w:rPr>
          <w:rFonts w:ascii="宋体" w:hAnsi="宋体" w:cs="宋体"/>
          <w:color w:val="auto"/>
          <w:highlight w:val="none"/>
        </w:rPr>
      </w:pPr>
      <w:r>
        <w:rPr>
          <w:rFonts w:hint="eastAsia" w:ascii="宋体" w:hAnsi="宋体" w:cs="宋体"/>
          <w:color w:val="auto"/>
          <w:highlight w:val="none"/>
        </w:rPr>
        <w:t>25.5采购合同由采购人与中标供应商根据招标文件、投标文件等内容通过政府采购电子交易平台在线签订，自动备案。</w:t>
      </w:r>
    </w:p>
    <w:p w14:paraId="50F6D68D">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25.6政采贷</w:t>
      </w:r>
    </w:p>
    <w:p w14:paraId="0D8AABE3">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2F7F653C">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一）融资申请。有融资需求的供应商取得《中标通知书》后，在签订采购合同前，向贷款金融机构递交融资申请表。中标供应商可以根据贷款需求等实际情况选择是否需要北海市小微企业融资担保有限公司提供担保增信，如需要提供担保增信则同时向北海市小微企业融资担保有限公司递交融资申请表。</w:t>
      </w:r>
    </w:p>
    <w:p w14:paraId="75C0361D">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18525E48">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0CE692A5">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（四）贷款发放。贷款金融机构根据贷款协议向供应商发放贷款。</w:t>
      </w:r>
    </w:p>
    <w:p w14:paraId="084FAAE7">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58B0CEAC">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（六）业务终止。贷款偿清后，贷款金融机构或北海市小微企业融资担保有限公司及时办理应收账款质押注销登记，业务终止。</w:t>
      </w:r>
    </w:p>
    <w:p w14:paraId="226B72DC">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注：相关合作银行的具体操作流程详见北海市政府采购中心首页“政采贷”板块。</w:t>
      </w:r>
    </w:p>
    <w:p w14:paraId="528958A8">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14D86761">
      <w:pPr>
        <w:autoSpaceDE w:val="0"/>
        <w:autoSpaceDN w:val="0"/>
        <w:adjustRightInd/>
        <w:snapToGrid w:val="0"/>
        <w:spacing w:line="360" w:lineRule="auto"/>
        <w:ind w:firstLine="480" w:firstLineChars="200"/>
        <w:textAlignment w:val="bottom"/>
        <w:rPr>
          <w:rFonts w:ascii="宋体" w:hAnsi="宋体" w:cs="宋体"/>
          <w:color w:val="auto"/>
          <w:sz w:val="24"/>
          <w:szCs w:val="20"/>
          <w:highlight w:val="none"/>
        </w:rPr>
      </w:pPr>
      <w:r>
        <w:rPr>
          <w:rFonts w:hint="eastAsia" w:ascii="宋体" w:hAnsi="宋体" w:cs="宋体"/>
          <w:color w:val="auto"/>
          <w:sz w:val="24"/>
          <w:szCs w:val="20"/>
          <w:highlight w:val="none"/>
        </w:rPr>
        <w:t>供应商中标后可在“广西政府采购云”平台申请政采贷：操作路径：登录广西政府采购云平台-金融服务中心-【融资服务】，可在热门申请中选择产品直接申请。详见如下：</w:t>
      </w:r>
    </w:p>
    <w:p w14:paraId="796D459A">
      <w:pPr>
        <w:pStyle w:val="83"/>
        <w:rPr>
          <w:color w:val="auto"/>
          <w:highlight w:val="none"/>
        </w:rPr>
      </w:pPr>
      <w:r>
        <w:rPr>
          <w:rFonts w:hint="eastAsia"/>
          <w:color w:val="auto"/>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Style w:val="77"/>
          <w:rFonts w:ascii="宋体" w:hAnsi="宋体" w:eastAsia="宋体" w:cs="Times New Roman"/>
          <w:snapToGrid/>
          <w:color w:val="auto"/>
          <w:sz w:val="24"/>
          <w:szCs w:val="20"/>
          <w:highlight w:val="none"/>
        </w:rPr>
        <w:t>https://jinrong.gcy.zfcg.gxzf.gov.cn/finance/loan/gx</w:t>
      </w:r>
      <w:r>
        <w:rPr>
          <w:rStyle w:val="77"/>
          <w:rFonts w:ascii="宋体" w:hAnsi="宋体" w:eastAsia="宋体" w:cs="Times New Roman"/>
          <w:snapToGrid/>
          <w:color w:val="auto"/>
          <w:sz w:val="24"/>
          <w:szCs w:val="20"/>
          <w:highlight w:val="none"/>
        </w:rPr>
        <w:fldChar w:fldCharType="end"/>
      </w:r>
      <w:r>
        <w:rPr>
          <w:rFonts w:hint="eastAsia"/>
          <w:color w:val="auto"/>
          <w:highlight w:val="none"/>
        </w:rPr>
        <w:t>）</w:t>
      </w:r>
    </w:p>
    <w:p w14:paraId="2E9DB9A1">
      <w:pPr>
        <w:pStyle w:val="83"/>
        <w:rPr>
          <w:color w:val="auto"/>
          <w:highlight w:val="none"/>
        </w:rPr>
      </w:pPr>
      <w:r>
        <w:rPr>
          <w:rFonts w:hint="eastAsia"/>
          <w:color w:val="auto"/>
          <w:highlight w:val="none"/>
        </w:rPr>
        <w:t>2.合作银行咨询办理</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40E8D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FA435EA">
            <w:pPr>
              <w:pStyle w:val="83"/>
              <w:ind w:firstLine="0"/>
              <w:jc w:val="center"/>
              <w:rPr>
                <w:color w:val="auto"/>
                <w:highlight w:val="none"/>
              </w:rPr>
            </w:pPr>
            <w:r>
              <w:rPr>
                <w:rFonts w:hint="eastAsia"/>
                <w:color w:val="auto"/>
                <w:highlight w:val="none"/>
              </w:rPr>
              <w:t>银行名称</w:t>
            </w:r>
          </w:p>
        </w:tc>
        <w:tc>
          <w:tcPr>
            <w:tcW w:w="1134" w:type="dxa"/>
            <w:vAlign w:val="center"/>
          </w:tcPr>
          <w:p w14:paraId="54507CAC">
            <w:pPr>
              <w:pStyle w:val="83"/>
              <w:ind w:firstLine="0"/>
              <w:jc w:val="center"/>
              <w:rPr>
                <w:color w:val="auto"/>
                <w:highlight w:val="none"/>
              </w:rPr>
            </w:pPr>
            <w:r>
              <w:rPr>
                <w:rFonts w:hint="eastAsia"/>
                <w:color w:val="auto"/>
                <w:highlight w:val="none"/>
              </w:rPr>
              <w:t>联系电话</w:t>
            </w:r>
          </w:p>
        </w:tc>
        <w:tc>
          <w:tcPr>
            <w:tcW w:w="1701" w:type="dxa"/>
            <w:vAlign w:val="center"/>
          </w:tcPr>
          <w:p w14:paraId="2C8D3231">
            <w:pPr>
              <w:pStyle w:val="83"/>
              <w:ind w:firstLine="0"/>
              <w:jc w:val="center"/>
              <w:rPr>
                <w:color w:val="auto"/>
                <w:highlight w:val="none"/>
              </w:rPr>
            </w:pPr>
            <w:r>
              <w:rPr>
                <w:rFonts w:hint="eastAsia"/>
                <w:color w:val="auto"/>
                <w:highlight w:val="none"/>
              </w:rPr>
              <w:t>最高授信金额</w:t>
            </w:r>
          </w:p>
        </w:tc>
        <w:tc>
          <w:tcPr>
            <w:tcW w:w="993" w:type="dxa"/>
            <w:vAlign w:val="center"/>
          </w:tcPr>
          <w:p w14:paraId="4D0ECFCC">
            <w:pPr>
              <w:pStyle w:val="83"/>
              <w:ind w:firstLine="0"/>
              <w:jc w:val="center"/>
              <w:rPr>
                <w:color w:val="auto"/>
                <w:highlight w:val="none"/>
              </w:rPr>
            </w:pPr>
            <w:r>
              <w:rPr>
                <w:rFonts w:hint="eastAsia"/>
                <w:color w:val="auto"/>
                <w:highlight w:val="none"/>
              </w:rPr>
              <w:t>最长授信期限</w:t>
            </w:r>
          </w:p>
        </w:tc>
        <w:tc>
          <w:tcPr>
            <w:tcW w:w="850" w:type="dxa"/>
            <w:vAlign w:val="center"/>
          </w:tcPr>
          <w:p w14:paraId="76420526">
            <w:pPr>
              <w:pStyle w:val="83"/>
              <w:ind w:firstLine="0"/>
              <w:jc w:val="center"/>
              <w:rPr>
                <w:color w:val="auto"/>
                <w:highlight w:val="none"/>
              </w:rPr>
            </w:pPr>
            <w:r>
              <w:rPr>
                <w:rFonts w:hint="eastAsia"/>
                <w:color w:val="auto"/>
                <w:highlight w:val="none"/>
              </w:rPr>
              <w:t>最低利率</w:t>
            </w:r>
          </w:p>
        </w:tc>
        <w:tc>
          <w:tcPr>
            <w:tcW w:w="3366" w:type="dxa"/>
            <w:vAlign w:val="center"/>
          </w:tcPr>
          <w:p w14:paraId="78BD25A7">
            <w:pPr>
              <w:pStyle w:val="83"/>
              <w:ind w:firstLine="0"/>
              <w:jc w:val="center"/>
              <w:rPr>
                <w:color w:val="auto"/>
                <w:highlight w:val="none"/>
              </w:rPr>
            </w:pPr>
            <w:r>
              <w:rPr>
                <w:rFonts w:hint="eastAsia"/>
                <w:color w:val="auto"/>
                <w:highlight w:val="none"/>
              </w:rPr>
              <w:t>流程简介</w:t>
            </w:r>
          </w:p>
        </w:tc>
      </w:tr>
      <w:tr w14:paraId="2B24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9044C0D">
            <w:pPr>
              <w:pStyle w:val="83"/>
              <w:ind w:firstLine="0"/>
              <w:jc w:val="center"/>
              <w:rPr>
                <w:color w:val="auto"/>
                <w:highlight w:val="none"/>
              </w:rPr>
            </w:pPr>
            <w:r>
              <w:rPr>
                <w:rFonts w:hint="eastAsia"/>
                <w:color w:val="auto"/>
                <w:highlight w:val="none"/>
              </w:rPr>
              <w:t>建设银行</w:t>
            </w:r>
          </w:p>
        </w:tc>
        <w:tc>
          <w:tcPr>
            <w:tcW w:w="1134" w:type="dxa"/>
            <w:vAlign w:val="center"/>
          </w:tcPr>
          <w:p w14:paraId="304EFF50">
            <w:pPr>
              <w:pStyle w:val="83"/>
              <w:ind w:firstLine="0"/>
              <w:jc w:val="center"/>
              <w:rPr>
                <w:color w:val="auto"/>
                <w:highlight w:val="none"/>
              </w:rPr>
            </w:pPr>
            <w:r>
              <w:rPr>
                <w:rFonts w:hint="eastAsia"/>
                <w:color w:val="auto"/>
                <w:highlight w:val="none"/>
              </w:rPr>
              <w:t>13077729988</w:t>
            </w:r>
          </w:p>
        </w:tc>
        <w:tc>
          <w:tcPr>
            <w:tcW w:w="1701" w:type="dxa"/>
            <w:vAlign w:val="center"/>
          </w:tcPr>
          <w:p w14:paraId="3569FDA4">
            <w:pPr>
              <w:pStyle w:val="83"/>
              <w:ind w:firstLine="0"/>
              <w:rPr>
                <w:color w:val="auto"/>
                <w:highlight w:val="none"/>
              </w:rPr>
            </w:pPr>
            <w:r>
              <w:rPr>
                <w:rFonts w:hint="eastAsia"/>
                <w:color w:val="auto"/>
                <w:highlight w:val="none"/>
              </w:rPr>
              <w:t>最高3千万</w:t>
            </w:r>
          </w:p>
        </w:tc>
        <w:tc>
          <w:tcPr>
            <w:tcW w:w="993" w:type="dxa"/>
            <w:vAlign w:val="center"/>
          </w:tcPr>
          <w:p w14:paraId="003C2F36">
            <w:pPr>
              <w:pStyle w:val="83"/>
              <w:ind w:firstLine="0"/>
              <w:jc w:val="center"/>
              <w:rPr>
                <w:color w:val="auto"/>
                <w:highlight w:val="none"/>
              </w:rPr>
            </w:pPr>
            <w:r>
              <w:rPr>
                <w:rFonts w:hint="eastAsia"/>
                <w:color w:val="auto"/>
                <w:highlight w:val="none"/>
              </w:rPr>
              <w:t>1年</w:t>
            </w:r>
          </w:p>
        </w:tc>
        <w:tc>
          <w:tcPr>
            <w:tcW w:w="850" w:type="dxa"/>
            <w:vAlign w:val="center"/>
          </w:tcPr>
          <w:p w14:paraId="2A0DD006">
            <w:pPr>
              <w:pStyle w:val="83"/>
              <w:ind w:firstLine="0"/>
              <w:jc w:val="center"/>
              <w:rPr>
                <w:color w:val="auto"/>
                <w:highlight w:val="none"/>
              </w:rPr>
            </w:pPr>
            <w:r>
              <w:rPr>
                <w:rFonts w:hint="eastAsia"/>
                <w:color w:val="auto"/>
                <w:highlight w:val="none"/>
              </w:rPr>
              <w:t>4%</w:t>
            </w:r>
          </w:p>
        </w:tc>
        <w:tc>
          <w:tcPr>
            <w:tcW w:w="3366" w:type="dxa"/>
            <w:vAlign w:val="center"/>
          </w:tcPr>
          <w:p w14:paraId="5CB3811A">
            <w:pPr>
              <w:pStyle w:val="83"/>
              <w:ind w:firstLine="0"/>
              <w:rPr>
                <w:color w:val="auto"/>
                <w:highlight w:val="none"/>
              </w:rPr>
            </w:pPr>
            <w:r>
              <w:rPr>
                <w:rFonts w:hint="eastAsia"/>
                <w:color w:val="auto"/>
                <w:highlight w:val="none"/>
              </w:rPr>
              <w:t>开设账号，线下提供申请材料，进入贷款审批流程，贷款审批通过后可自主用款，银行官方网银可自主还款。</w:t>
            </w:r>
          </w:p>
        </w:tc>
      </w:tr>
      <w:tr w14:paraId="6FB49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4C62BC6">
            <w:pPr>
              <w:pStyle w:val="83"/>
              <w:ind w:firstLine="0"/>
              <w:jc w:val="center"/>
              <w:rPr>
                <w:color w:val="auto"/>
                <w:highlight w:val="none"/>
              </w:rPr>
            </w:pPr>
            <w:r>
              <w:rPr>
                <w:rFonts w:hint="eastAsia"/>
                <w:color w:val="auto"/>
                <w:highlight w:val="none"/>
              </w:rPr>
              <w:t>中国银行</w:t>
            </w:r>
          </w:p>
        </w:tc>
        <w:tc>
          <w:tcPr>
            <w:tcW w:w="1134" w:type="dxa"/>
            <w:vAlign w:val="center"/>
          </w:tcPr>
          <w:p w14:paraId="4FE2C36F">
            <w:pPr>
              <w:pStyle w:val="83"/>
              <w:ind w:firstLine="0"/>
              <w:jc w:val="center"/>
              <w:rPr>
                <w:color w:val="auto"/>
                <w:highlight w:val="none"/>
              </w:rPr>
            </w:pPr>
            <w:r>
              <w:rPr>
                <w:rFonts w:hint="eastAsia"/>
                <w:color w:val="auto"/>
                <w:highlight w:val="none"/>
              </w:rPr>
              <w:t>0779-3997084</w:t>
            </w:r>
          </w:p>
        </w:tc>
        <w:tc>
          <w:tcPr>
            <w:tcW w:w="1701" w:type="dxa"/>
            <w:vAlign w:val="center"/>
          </w:tcPr>
          <w:p w14:paraId="310FAB49">
            <w:pPr>
              <w:pStyle w:val="83"/>
              <w:ind w:firstLine="0"/>
              <w:rPr>
                <w:color w:val="auto"/>
                <w:highlight w:val="none"/>
              </w:rPr>
            </w:pPr>
            <w:r>
              <w:rPr>
                <w:rFonts w:hint="eastAsia"/>
                <w:color w:val="auto"/>
                <w:highlight w:val="none"/>
              </w:rPr>
              <w:t>最高1千万</w:t>
            </w:r>
          </w:p>
        </w:tc>
        <w:tc>
          <w:tcPr>
            <w:tcW w:w="993" w:type="dxa"/>
            <w:vAlign w:val="center"/>
          </w:tcPr>
          <w:p w14:paraId="73202C1B">
            <w:pPr>
              <w:pStyle w:val="83"/>
              <w:ind w:firstLine="0"/>
              <w:jc w:val="center"/>
              <w:rPr>
                <w:color w:val="auto"/>
                <w:highlight w:val="none"/>
              </w:rPr>
            </w:pPr>
            <w:r>
              <w:rPr>
                <w:rFonts w:hint="eastAsia"/>
                <w:color w:val="auto"/>
                <w:highlight w:val="none"/>
              </w:rPr>
              <w:t>3年</w:t>
            </w:r>
          </w:p>
        </w:tc>
        <w:tc>
          <w:tcPr>
            <w:tcW w:w="850" w:type="dxa"/>
            <w:vAlign w:val="center"/>
          </w:tcPr>
          <w:p w14:paraId="1150EFDC">
            <w:pPr>
              <w:pStyle w:val="83"/>
              <w:ind w:firstLine="0"/>
              <w:jc w:val="center"/>
              <w:rPr>
                <w:color w:val="auto"/>
                <w:highlight w:val="none"/>
              </w:rPr>
            </w:pPr>
            <w:r>
              <w:rPr>
                <w:rFonts w:hint="eastAsia"/>
                <w:color w:val="auto"/>
                <w:highlight w:val="none"/>
              </w:rPr>
              <w:t>1.93%</w:t>
            </w:r>
          </w:p>
        </w:tc>
        <w:tc>
          <w:tcPr>
            <w:tcW w:w="3366" w:type="dxa"/>
            <w:vAlign w:val="center"/>
          </w:tcPr>
          <w:p w14:paraId="4E37D823">
            <w:pPr>
              <w:pStyle w:val="83"/>
              <w:ind w:firstLine="0"/>
              <w:rPr>
                <w:color w:val="auto"/>
                <w:highlight w:val="none"/>
              </w:rPr>
            </w:pPr>
            <w:r>
              <w:rPr>
                <w:rFonts w:hint="eastAsia"/>
                <w:color w:val="auto"/>
                <w:highlight w:val="none"/>
              </w:rPr>
              <w:t>在银行开户，线上申请，上传所需材料，等待审批，审批通过后可直接在手机银行提款。</w:t>
            </w:r>
          </w:p>
        </w:tc>
      </w:tr>
      <w:tr w14:paraId="47A0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1230A44">
            <w:pPr>
              <w:pStyle w:val="83"/>
              <w:ind w:firstLine="0"/>
              <w:jc w:val="center"/>
              <w:rPr>
                <w:color w:val="auto"/>
                <w:highlight w:val="none"/>
              </w:rPr>
            </w:pPr>
            <w:r>
              <w:rPr>
                <w:rFonts w:hint="eastAsia"/>
                <w:color w:val="auto"/>
                <w:highlight w:val="none"/>
              </w:rPr>
              <w:t>兴业银行</w:t>
            </w:r>
          </w:p>
        </w:tc>
        <w:tc>
          <w:tcPr>
            <w:tcW w:w="1134" w:type="dxa"/>
            <w:vAlign w:val="center"/>
          </w:tcPr>
          <w:p w14:paraId="29BB3993">
            <w:pPr>
              <w:pStyle w:val="83"/>
              <w:ind w:firstLine="0"/>
              <w:jc w:val="center"/>
              <w:rPr>
                <w:color w:val="auto"/>
                <w:highlight w:val="none"/>
              </w:rPr>
            </w:pPr>
            <w:r>
              <w:rPr>
                <w:rFonts w:hint="eastAsia"/>
                <w:color w:val="auto"/>
                <w:highlight w:val="none"/>
              </w:rPr>
              <w:t>0779-3158330</w:t>
            </w:r>
          </w:p>
        </w:tc>
        <w:tc>
          <w:tcPr>
            <w:tcW w:w="1701" w:type="dxa"/>
            <w:vAlign w:val="center"/>
          </w:tcPr>
          <w:p w14:paraId="0302E573">
            <w:pPr>
              <w:pStyle w:val="83"/>
              <w:ind w:firstLine="0"/>
              <w:rPr>
                <w:color w:val="auto"/>
                <w:highlight w:val="none"/>
              </w:rPr>
            </w:pPr>
            <w:r>
              <w:rPr>
                <w:rFonts w:hint="eastAsia"/>
                <w:color w:val="auto"/>
                <w:highlight w:val="none"/>
              </w:rPr>
              <w:t>最高1千万（单笔提款金额达合同金额70%）</w:t>
            </w:r>
          </w:p>
        </w:tc>
        <w:tc>
          <w:tcPr>
            <w:tcW w:w="993" w:type="dxa"/>
            <w:vAlign w:val="center"/>
          </w:tcPr>
          <w:p w14:paraId="3C606B44">
            <w:pPr>
              <w:pStyle w:val="83"/>
              <w:ind w:firstLine="0"/>
              <w:jc w:val="center"/>
              <w:rPr>
                <w:color w:val="auto"/>
                <w:highlight w:val="none"/>
              </w:rPr>
            </w:pPr>
            <w:r>
              <w:rPr>
                <w:rFonts w:hint="eastAsia"/>
                <w:color w:val="auto"/>
                <w:highlight w:val="none"/>
              </w:rPr>
              <w:t>1年</w:t>
            </w:r>
          </w:p>
        </w:tc>
        <w:tc>
          <w:tcPr>
            <w:tcW w:w="850" w:type="dxa"/>
            <w:vAlign w:val="center"/>
          </w:tcPr>
          <w:p w14:paraId="451519DB">
            <w:pPr>
              <w:pStyle w:val="83"/>
              <w:ind w:firstLine="0"/>
              <w:jc w:val="center"/>
              <w:rPr>
                <w:color w:val="auto"/>
                <w:highlight w:val="none"/>
              </w:rPr>
            </w:pPr>
            <w:r>
              <w:rPr>
                <w:rFonts w:hint="eastAsia"/>
                <w:color w:val="auto"/>
                <w:highlight w:val="none"/>
              </w:rPr>
              <w:t>3.70%</w:t>
            </w:r>
          </w:p>
        </w:tc>
        <w:tc>
          <w:tcPr>
            <w:tcW w:w="3366" w:type="dxa"/>
            <w:vAlign w:val="center"/>
          </w:tcPr>
          <w:p w14:paraId="70425565">
            <w:pPr>
              <w:pStyle w:val="83"/>
              <w:ind w:firstLine="0"/>
              <w:rPr>
                <w:color w:val="auto"/>
                <w:highlight w:val="none"/>
              </w:rPr>
            </w:pPr>
            <w:r>
              <w:rPr>
                <w:rFonts w:hint="eastAsia"/>
                <w:color w:val="auto"/>
                <w:highlight w:val="none"/>
              </w:rPr>
              <w:t>全流程线上，初次申请开立账户，提供营业执照、采购合同、信用材料等，申请复审，签订合同，提交单笔贷款使用需求，贷款到账后受托使用。</w:t>
            </w:r>
          </w:p>
        </w:tc>
      </w:tr>
      <w:tr w14:paraId="2901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A66F73A">
            <w:pPr>
              <w:pStyle w:val="83"/>
              <w:ind w:firstLine="0"/>
              <w:jc w:val="center"/>
              <w:rPr>
                <w:color w:val="auto"/>
                <w:highlight w:val="none"/>
              </w:rPr>
            </w:pPr>
            <w:r>
              <w:rPr>
                <w:rFonts w:hint="eastAsia"/>
                <w:color w:val="auto"/>
                <w:highlight w:val="none"/>
              </w:rPr>
              <w:t>工商银行</w:t>
            </w:r>
          </w:p>
        </w:tc>
        <w:tc>
          <w:tcPr>
            <w:tcW w:w="1134" w:type="dxa"/>
            <w:vAlign w:val="center"/>
          </w:tcPr>
          <w:p w14:paraId="5058D163">
            <w:pPr>
              <w:pStyle w:val="83"/>
              <w:ind w:firstLine="0"/>
              <w:jc w:val="center"/>
              <w:rPr>
                <w:color w:val="auto"/>
                <w:highlight w:val="none"/>
              </w:rPr>
            </w:pPr>
            <w:r>
              <w:rPr>
                <w:rFonts w:hint="eastAsia"/>
                <w:color w:val="auto"/>
                <w:highlight w:val="none"/>
              </w:rPr>
              <w:t>0779-3050645</w:t>
            </w:r>
          </w:p>
        </w:tc>
        <w:tc>
          <w:tcPr>
            <w:tcW w:w="1701" w:type="dxa"/>
            <w:vAlign w:val="center"/>
          </w:tcPr>
          <w:p w14:paraId="6DC1D820">
            <w:pPr>
              <w:pStyle w:val="83"/>
              <w:ind w:firstLine="0"/>
              <w:rPr>
                <w:color w:val="auto"/>
                <w:highlight w:val="none"/>
              </w:rPr>
            </w:pPr>
            <w:r>
              <w:rPr>
                <w:rFonts w:hint="eastAsia"/>
                <w:color w:val="auto"/>
                <w:highlight w:val="none"/>
              </w:rPr>
              <w:t>最高1千万且不超过合同金额70%</w:t>
            </w:r>
          </w:p>
        </w:tc>
        <w:tc>
          <w:tcPr>
            <w:tcW w:w="993" w:type="dxa"/>
            <w:vAlign w:val="center"/>
          </w:tcPr>
          <w:p w14:paraId="35A55BEF">
            <w:pPr>
              <w:pStyle w:val="83"/>
              <w:ind w:firstLine="0"/>
              <w:jc w:val="center"/>
              <w:rPr>
                <w:color w:val="auto"/>
                <w:highlight w:val="none"/>
              </w:rPr>
            </w:pPr>
            <w:r>
              <w:rPr>
                <w:rFonts w:hint="eastAsia"/>
                <w:color w:val="auto"/>
                <w:highlight w:val="none"/>
              </w:rPr>
              <w:t>货物类1年</w:t>
            </w:r>
          </w:p>
          <w:p w14:paraId="10B34BFF">
            <w:pPr>
              <w:pStyle w:val="83"/>
              <w:ind w:firstLine="0"/>
              <w:jc w:val="center"/>
              <w:rPr>
                <w:color w:val="auto"/>
                <w:highlight w:val="none"/>
              </w:rPr>
            </w:pPr>
            <w:r>
              <w:rPr>
                <w:rFonts w:hint="eastAsia"/>
                <w:color w:val="auto"/>
                <w:highlight w:val="none"/>
              </w:rPr>
              <w:t>服务类3年</w:t>
            </w:r>
          </w:p>
          <w:p w14:paraId="0AB7440B">
            <w:pPr>
              <w:pStyle w:val="83"/>
              <w:ind w:firstLine="0"/>
              <w:jc w:val="center"/>
              <w:rPr>
                <w:color w:val="auto"/>
                <w:highlight w:val="none"/>
              </w:rPr>
            </w:pPr>
            <w:r>
              <w:rPr>
                <w:rFonts w:hint="eastAsia"/>
                <w:color w:val="auto"/>
                <w:highlight w:val="none"/>
              </w:rPr>
              <w:t>工程类5年</w:t>
            </w:r>
          </w:p>
        </w:tc>
        <w:tc>
          <w:tcPr>
            <w:tcW w:w="850" w:type="dxa"/>
            <w:vAlign w:val="center"/>
          </w:tcPr>
          <w:p w14:paraId="28F1A19C">
            <w:pPr>
              <w:pStyle w:val="83"/>
              <w:ind w:firstLine="0"/>
              <w:jc w:val="center"/>
              <w:rPr>
                <w:color w:val="auto"/>
                <w:highlight w:val="none"/>
              </w:rPr>
            </w:pPr>
            <w:r>
              <w:rPr>
                <w:rFonts w:hint="eastAsia"/>
                <w:color w:val="auto"/>
                <w:highlight w:val="none"/>
              </w:rPr>
              <w:t>3.45%</w:t>
            </w:r>
          </w:p>
        </w:tc>
        <w:tc>
          <w:tcPr>
            <w:tcW w:w="3366" w:type="dxa"/>
            <w:vAlign w:val="center"/>
          </w:tcPr>
          <w:p w14:paraId="5C6F2951">
            <w:pPr>
              <w:pStyle w:val="83"/>
              <w:ind w:firstLine="0"/>
              <w:rPr>
                <w:color w:val="auto"/>
                <w:highlight w:val="none"/>
              </w:rPr>
            </w:pPr>
            <w:r>
              <w:rPr>
                <w:rFonts w:hint="eastAsia"/>
                <w:color w:val="auto"/>
                <w:highlight w:val="none"/>
              </w:rPr>
              <w:t>为中征系统白名单企业，提供相关要求材料，内部审批后放款自主借还。</w:t>
            </w:r>
          </w:p>
        </w:tc>
      </w:tr>
      <w:tr w14:paraId="04892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92451F1">
            <w:pPr>
              <w:pStyle w:val="83"/>
              <w:ind w:firstLine="0"/>
              <w:jc w:val="center"/>
              <w:rPr>
                <w:color w:val="auto"/>
                <w:highlight w:val="none"/>
              </w:rPr>
            </w:pPr>
            <w:r>
              <w:rPr>
                <w:rFonts w:hint="eastAsia"/>
                <w:color w:val="auto"/>
                <w:highlight w:val="none"/>
              </w:rPr>
              <w:t>国民村镇银行</w:t>
            </w:r>
          </w:p>
        </w:tc>
        <w:tc>
          <w:tcPr>
            <w:tcW w:w="1134" w:type="dxa"/>
            <w:vAlign w:val="center"/>
          </w:tcPr>
          <w:p w14:paraId="665754F7">
            <w:pPr>
              <w:pStyle w:val="83"/>
              <w:ind w:firstLine="0"/>
              <w:jc w:val="center"/>
              <w:rPr>
                <w:color w:val="auto"/>
                <w:highlight w:val="none"/>
              </w:rPr>
            </w:pPr>
            <w:r>
              <w:rPr>
                <w:rFonts w:hint="eastAsia"/>
                <w:color w:val="auto"/>
                <w:highlight w:val="none"/>
              </w:rPr>
              <w:t>0779-2668801</w:t>
            </w:r>
          </w:p>
        </w:tc>
        <w:tc>
          <w:tcPr>
            <w:tcW w:w="1701" w:type="dxa"/>
            <w:vAlign w:val="center"/>
          </w:tcPr>
          <w:p w14:paraId="09B01A0B">
            <w:pPr>
              <w:pStyle w:val="83"/>
              <w:ind w:firstLine="0"/>
              <w:rPr>
                <w:color w:val="auto"/>
                <w:highlight w:val="none"/>
              </w:rPr>
            </w:pPr>
            <w:r>
              <w:rPr>
                <w:rFonts w:hint="eastAsia"/>
                <w:color w:val="auto"/>
                <w:highlight w:val="none"/>
              </w:rPr>
              <w:t>最高500万</w:t>
            </w:r>
          </w:p>
        </w:tc>
        <w:tc>
          <w:tcPr>
            <w:tcW w:w="993" w:type="dxa"/>
            <w:vAlign w:val="center"/>
          </w:tcPr>
          <w:p w14:paraId="7A62A7CA">
            <w:pPr>
              <w:pStyle w:val="83"/>
              <w:ind w:firstLine="0"/>
              <w:jc w:val="center"/>
              <w:rPr>
                <w:color w:val="auto"/>
                <w:highlight w:val="none"/>
              </w:rPr>
            </w:pPr>
            <w:r>
              <w:rPr>
                <w:rFonts w:hint="eastAsia"/>
                <w:color w:val="auto"/>
                <w:highlight w:val="none"/>
              </w:rPr>
              <w:t>5年</w:t>
            </w:r>
          </w:p>
        </w:tc>
        <w:tc>
          <w:tcPr>
            <w:tcW w:w="850" w:type="dxa"/>
            <w:vAlign w:val="center"/>
          </w:tcPr>
          <w:p w14:paraId="570EA9CE">
            <w:pPr>
              <w:pStyle w:val="83"/>
              <w:ind w:firstLine="0"/>
              <w:jc w:val="center"/>
              <w:rPr>
                <w:color w:val="auto"/>
                <w:highlight w:val="none"/>
              </w:rPr>
            </w:pPr>
            <w:r>
              <w:rPr>
                <w:rFonts w:hint="eastAsia"/>
                <w:color w:val="auto"/>
                <w:highlight w:val="none"/>
              </w:rPr>
              <w:t>2.80%</w:t>
            </w:r>
          </w:p>
        </w:tc>
        <w:tc>
          <w:tcPr>
            <w:tcW w:w="3366" w:type="dxa"/>
            <w:vAlign w:val="center"/>
          </w:tcPr>
          <w:p w14:paraId="70738780">
            <w:pPr>
              <w:pStyle w:val="83"/>
              <w:ind w:firstLine="0"/>
              <w:rPr>
                <w:color w:val="auto"/>
                <w:highlight w:val="none"/>
              </w:rPr>
            </w:pPr>
            <w:r>
              <w:rPr>
                <w:rFonts w:hint="eastAsia"/>
                <w:color w:val="auto"/>
                <w:highlight w:val="none"/>
              </w:rPr>
              <w:t>银行开户，线下申请并提供材料，信用良好企业最快1天获批即可提款</w:t>
            </w:r>
          </w:p>
        </w:tc>
      </w:tr>
      <w:tr w14:paraId="14B1C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4DB89A5">
            <w:pPr>
              <w:pStyle w:val="83"/>
              <w:ind w:firstLine="0"/>
              <w:jc w:val="center"/>
              <w:rPr>
                <w:color w:val="auto"/>
                <w:highlight w:val="none"/>
              </w:rPr>
            </w:pPr>
            <w:r>
              <w:rPr>
                <w:rFonts w:hint="eastAsia"/>
                <w:color w:val="auto"/>
                <w:highlight w:val="none"/>
              </w:rPr>
              <w:t>桂林银行</w:t>
            </w:r>
          </w:p>
        </w:tc>
        <w:tc>
          <w:tcPr>
            <w:tcW w:w="1134" w:type="dxa"/>
            <w:vAlign w:val="center"/>
          </w:tcPr>
          <w:p w14:paraId="315FF833">
            <w:pPr>
              <w:pStyle w:val="83"/>
              <w:ind w:firstLine="0"/>
              <w:jc w:val="center"/>
              <w:rPr>
                <w:color w:val="auto"/>
                <w:highlight w:val="none"/>
              </w:rPr>
            </w:pPr>
            <w:r>
              <w:rPr>
                <w:rFonts w:hint="eastAsia"/>
                <w:color w:val="auto"/>
                <w:highlight w:val="none"/>
              </w:rPr>
              <w:t>18577993959</w:t>
            </w:r>
          </w:p>
        </w:tc>
        <w:tc>
          <w:tcPr>
            <w:tcW w:w="1701" w:type="dxa"/>
            <w:vAlign w:val="center"/>
          </w:tcPr>
          <w:p w14:paraId="3AB42787">
            <w:pPr>
              <w:pStyle w:val="83"/>
              <w:ind w:firstLine="0"/>
              <w:rPr>
                <w:color w:val="auto"/>
                <w:highlight w:val="none"/>
              </w:rPr>
            </w:pPr>
            <w:r>
              <w:rPr>
                <w:rFonts w:hint="eastAsia"/>
                <w:color w:val="auto"/>
                <w:highlight w:val="none"/>
              </w:rPr>
              <w:t>最高1千万</w:t>
            </w:r>
          </w:p>
        </w:tc>
        <w:tc>
          <w:tcPr>
            <w:tcW w:w="993" w:type="dxa"/>
            <w:vAlign w:val="center"/>
          </w:tcPr>
          <w:p w14:paraId="3B79948E">
            <w:pPr>
              <w:pStyle w:val="83"/>
              <w:ind w:firstLine="0"/>
              <w:jc w:val="center"/>
              <w:rPr>
                <w:color w:val="auto"/>
                <w:highlight w:val="none"/>
              </w:rPr>
            </w:pPr>
            <w:r>
              <w:rPr>
                <w:rFonts w:hint="eastAsia"/>
                <w:color w:val="auto"/>
                <w:highlight w:val="none"/>
              </w:rPr>
              <w:t>1年</w:t>
            </w:r>
          </w:p>
        </w:tc>
        <w:tc>
          <w:tcPr>
            <w:tcW w:w="850" w:type="dxa"/>
            <w:vAlign w:val="center"/>
          </w:tcPr>
          <w:p w14:paraId="62F1BDA4">
            <w:pPr>
              <w:pStyle w:val="83"/>
              <w:ind w:firstLine="0"/>
              <w:jc w:val="center"/>
              <w:rPr>
                <w:color w:val="auto"/>
                <w:highlight w:val="none"/>
              </w:rPr>
            </w:pPr>
            <w:r>
              <w:rPr>
                <w:rFonts w:hint="eastAsia"/>
                <w:color w:val="auto"/>
                <w:highlight w:val="none"/>
              </w:rPr>
              <w:t>3.45%</w:t>
            </w:r>
          </w:p>
        </w:tc>
        <w:tc>
          <w:tcPr>
            <w:tcW w:w="3366" w:type="dxa"/>
            <w:vAlign w:val="center"/>
          </w:tcPr>
          <w:p w14:paraId="35E10F1B">
            <w:pPr>
              <w:pStyle w:val="83"/>
              <w:ind w:firstLine="0"/>
              <w:rPr>
                <w:color w:val="auto"/>
                <w:highlight w:val="none"/>
              </w:rPr>
            </w:pPr>
            <w:r>
              <w:rPr>
                <w:rFonts w:hint="eastAsia"/>
                <w:color w:val="auto"/>
                <w:highlight w:val="none"/>
              </w:rPr>
              <w:t>线下申请，材料齐全最快1周内即可放款。</w:t>
            </w:r>
          </w:p>
        </w:tc>
      </w:tr>
      <w:tr w14:paraId="2070C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196480F">
            <w:pPr>
              <w:pStyle w:val="83"/>
              <w:ind w:firstLine="0"/>
              <w:jc w:val="center"/>
              <w:rPr>
                <w:color w:val="auto"/>
                <w:highlight w:val="none"/>
              </w:rPr>
            </w:pPr>
            <w:r>
              <w:rPr>
                <w:rFonts w:hint="eastAsia"/>
                <w:color w:val="auto"/>
                <w:highlight w:val="none"/>
              </w:rPr>
              <w:t>中小微商务服务公司</w:t>
            </w:r>
          </w:p>
        </w:tc>
        <w:tc>
          <w:tcPr>
            <w:tcW w:w="1134" w:type="dxa"/>
            <w:vAlign w:val="center"/>
          </w:tcPr>
          <w:p w14:paraId="6D23FA26">
            <w:pPr>
              <w:pStyle w:val="83"/>
              <w:ind w:firstLine="0"/>
              <w:jc w:val="center"/>
              <w:rPr>
                <w:color w:val="auto"/>
                <w:highlight w:val="none"/>
              </w:rPr>
            </w:pPr>
            <w:r>
              <w:rPr>
                <w:rFonts w:hint="eastAsia"/>
                <w:color w:val="auto"/>
                <w:highlight w:val="none"/>
              </w:rPr>
              <w:t>19907799988</w:t>
            </w:r>
          </w:p>
        </w:tc>
        <w:tc>
          <w:tcPr>
            <w:tcW w:w="1701" w:type="dxa"/>
            <w:vAlign w:val="center"/>
          </w:tcPr>
          <w:p w14:paraId="4A5ED827">
            <w:pPr>
              <w:pStyle w:val="83"/>
              <w:ind w:firstLine="0"/>
              <w:rPr>
                <w:color w:val="auto"/>
                <w:highlight w:val="none"/>
              </w:rPr>
            </w:pPr>
          </w:p>
        </w:tc>
        <w:tc>
          <w:tcPr>
            <w:tcW w:w="993" w:type="dxa"/>
            <w:vAlign w:val="center"/>
          </w:tcPr>
          <w:p w14:paraId="710BE896">
            <w:pPr>
              <w:pStyle w:val="83"/>
              <w:ind w:firstLine="0"/>
              <w:jc w:val="center"/>
              <w:rPr>
                <w:color w:val="auto"/>
                <w:highlight w:val="none"/>
              </w:rPr>
            </w:pPr>
          </w:p>
        </w:tc>
        <w:tc>
          <w:tcPr>
            <w:tcW w:w="850" w:type="dxa"/>
            <w:vAlign w:val="center"/>
          </w:tcPr>
          <w:p w14:paraId="052ED569">
            <w:pPr>
              <w:pStyle w:val="83"/>
              <w:ind w:firstLine="0"/>
              <w:jc w:val="center"/>
              <w:rPr>
                <w:color w:val="auto"/>
                <w:highlight w:val="none"/>
              </w:rPr>
            </w:pPr>
          </w:p>
        </w:tc>
        <w:tc>
          <w:tcPr>
            <w:tcW w:w="3366" w:type="dxa"/>
            <w:vAlign w:val="center"/>
          </w:tcPr>
          <w:p w14:paraId="6EDFA367">
            <w:pPr>
              <w:pStyle w:val="83"/>
              <w:ind w:firstLine="0"/>
              <w:rPr>
                <w:color w:val="auto"/>
                <w:highlight w:val="none"/>
              </w:rPr>
            </w:pPr>
            <w:r>
              <w:rPr>
                <w:rFonts w:hint="eastAsia"/>
                <w:color w:val="auto"/>
                <w:highlight w:val="none"/>
              </w:rPr>
              <w:t>具体业务可电话咨询。</w:t>
            </w:r>
          </w:p>
        </w:tc>
      </w:tr>
    </w:tbl>
    <w:p w14:paraId="6D1B7181">
      <w:pPr>
        <w:pStyle w:val="83"/>
        <w:rPr>
          <w:color w:val="auto"/>
          <w:highlight w:val="none"/>
        </w:rPr>
      </w:pPr>
      <w:r>
        <w:rPr>
          <w:rFonts w:hint="eastAsia"/>
          <w:color w:val="auto"/>
          <w:highlight w:val="none"/>
        </w:rPr>
        <w:t>注：表中联系电话、授信金额、授信期限、最低利率等信息可能动态更新，仅供参考，具体以办理时相关银行公布的为准。</w:t>
      </w:r>
    </w:p>
    <w:p w14:paraId="67DE94DD">
      <w:pPr>
        <w:pStyle w:val="26"/>
        <w:spacing w:line="360" w:lineRule="auto"/>
        <w:ind w:left="479" w:hanging="479" w:hangingChars="199"/>
        <w:rPr>
          <w:rFonts w:cs="宋体"/>
          <w:b/>
          <w:color w:val="auto"/>
          <w:highlight w:val="none"/>
        </w:rPr>
      </w:pPr>
      <w:r>
        <w:rPr>
          <w:rFonts w:hint="eastAsia" w:cs="宋体"/>
          <w:b/>
          <w:color w:val="auto"/>
          <w:highlight w:val="none"/>
        </w:rPr>
        <w:t>26. 履约保证金</w:t>
      </w:r>
    </w:p>
    <w:p w14:paraId="1257A4EC">
      <w:pPr>
        <w:pStyle w:val="34"/>
        <w:spacing w:line="360" w:lineRule="auto"/>
        <w:ind w:firstLine="472" w:firstLineChars="196"/>
        <w:rPr>
          <w:color w:val="auto"/>
          <w:highlight w:val="none"/>
        </w:rPr>
      </w:pPr>
      <w:r>
        <w:rPr>
          <w:rFonts w:hint="eastAsia" w:hAnsi="宋体" w:cs="宋体"/>
          <w:b/>
          <w:color w:val="auto"/>
          <w:kern w:val="28"/>
          <w:sz w:val="24"/>
          <w:szCs w:val="24"/>
          <w:highlight w:val="none"/>
        </w:rPr>
        <w:t>本项目不收取履约保证金。</w:t>
      </w:r>
    </w:p>
    <w:p w14:paraId="50F623F6">
      <w:pPr>
        <w:pStyle w:val="26"/>
        <w:spacing w:line="360" w:lineRule="auto"/>
        <w:ind w:left="479" w:hanging="479" w:hangingChars="199"/>
        <w:rPr>
          <w:rFonts w:cs="宋体"/>
          <w:b/>
          <w:color w:val="auto"/>
          <w:highlight w:val="none"/>
        </w:rPr>
      </w:pPr>
      <w:r>
        <w:rPr>
          <w:rFonts w:cs="宋体"/>
          <w:b/>
          <w:color w:val="auto"/>
          <w:highlight w:val="none"/>
        </w:rPr>
        <w:t>27.预付款</w:t>
      </w:r>
    </w:p>
    <w:p w14:paraId="362C1E54">
      <w:pPr>
        <w:adjustRightInd/>
        <w:spacing w:line="360" w:lineRule="auto"/>
        <w:ind w:firstLine="482" w:firstLineChars="200"/>
        <w:rPr>
          <w:rFonts w:hint="eastAsia" w:ascii="宋体" w:hAnsi="宋体" w:eastAsia="宋体" w:cs="宋体"/>
          <w:b/>
          <w:color w:val="auto"/>
          <w:kern w:val="28"/>
          <w:sz w:val="24"/>
          <w:szCs w:val="24"/>
          <w:highlight w:val="none"/>
        </w:rPr>
      </w:pPr>
      <w:r>
        <w:rPr>
          <w:rFonts w:hint="eastAsia" w:ascii="宋体" w:hAnsi="宋体" w:eastAsia="宋体" w:cs="宋体"/>
          <w:b/>
          <w:color w:val="auto"/>
          <w:kern w:val="28"/>
          <w:sz w:val="24"/>
          <w:szCs w:val="24"/>
          <w:highlight w:val="none"/>
        </w:rPr>
        <w:t>自合同签订后且中标单位服务人员进场（进场时间以各服务单位具体要求为准）、财政资金到位后，预付合同总金额的10%;剩余款项按季度平均支付，每季度第一个月支付上季度服务费。</w:t>
      </w:r>
    </w:p>
    <w:p w14:paraId="489071CE">
      <w:pPr>
        <w:adjustRightInd/>
        <w:spacing w:line="360" w:lineRule="auto"/>
        <w:ind w:firstLine="480" w:firstLineChars="200"/>
        <w:rPr>
          <w:color w:val="auto"/>
          <w:highlight w:val="none"/>
        </w:rPr>
      </w:pPr>
      <w:r>
        <w:rPr>
          <w:rFonts w:hint="eastAsia" w:ascii="宋体" w:hAnsi="宋体"/>
          <w:color w:val="auto"/>
          <w:sz w:val="24"/>
          <w:highlight w:val="none"/>
        </w:rPr>
        <w:t>供应商可登录广西政府采购云平台前台大厅选择金融服务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/保函受理—确认保单—支付保费—成功出单。广西政府采购云平台</w:t>
      </w:r>
      <w:r>
        <w:rPr>
          <w:rFonts w:hint="eastAsia" w:ascii="宋体" w:hAnsi="宋体"/>
          <w:color w:val="auto"/>
          <w:sz w:val="24"/>
          <w:highlight w:val="none"/>
        </w:rPr>
        <w:t>金融专线</w:t>
      </w:r>
      <w:r>
        <w:rPr>
          <w:rFonts w:ascii="宋体" w:hAnsi="宋体"/>
          <w:color w:val="auto"/>
          <w:sz w:val="24"/>
          <w:highlight w:val="none"/>
        </w:rPr>
        <w:t>400-903-9583。</w:t>
      </w:r>
    </w:p>
    <w:p w14:paraId="6756DF65">
      <w:pPr>
        <w:rPr>
          <w:color w:val="auto"/>
          <w:highlight w:val="none"/>
        </w:rPr>
      </w:pPr>
    </w:p>
    <w:p w14:paraId="436DB477">
      <w:pPr>
        <w:snapToGrid w:val="0"/>
        <w:spacing w:line="360" w:lineRule="auto"/>
        <w:ind w:firstLine="3357" w:firstLineChars="1045"/>
        <w:rPr>
          <w:rFonts w:ascii="宋体" w:hAnsi="宋体" w:cs="宋体"/>
          <w:b/>
          <w:color w:val="auto"/>
          <w:sz w:val="32"/>
          <w:highlight w:val="none"/>
        </w:rPr>
      </w:pPr>
    </w:p>
    <w:p w14:paraId="3673D486">
      <w:pPr>
        <w:snapToGrid w:val="0"/>
        <w:spacing w:line="360" w:lineRule="auto"/>
        <w:ind w:firstLine="3357" w:firstLineChars="1045"/>
        <w:outlineLvl w:val="1"/>
        <w:rPr>
          <w:rFonts w:ascii="宋体" w:hAnsi="宋体" w:cs="宋体"/>
          <w:b/>
          <w:color w:val="auto"/>
          <w:sz w:val="24"/>
          <w:highlight w:val="none"/>
        </w:rPr>
      </w:pPr>
      <w:r>
        <w:rPr>
          <w:rFonts w:hint="eastAsia" w:ascii="宋体" w:hAnsi="宋体" w:cs="宋体"/>
          <w:b/>
          <w:color w:val="auto"/>
          <w:sz w:val="32"/>
          <w:highlight w:val="none"/>
        </w:rPr>
        <w:t>八、电子交易活动的中止</w:t>
      </w:r>
    </w:p>
    <w:p w14:paraId="78459171">
      <w:pPr>
        <w:pStyle w:val="129"/>
        <w:snapToGrid w:val="0"/>
        <w:spacing w:before="0"/>
        <w:ind w:firstLine="0" w:firstLineChars="0"/>
        <w:rPr>
          <w:rFonts w:ascii="宋体" w:hAnsi="宋体" w:cs="宋体"/>
          <w:color w:val="auto"/>
          <w:highlight w:val="none"/>
        </w:rPr>
      </w:pPr>
      <w:r>
        <w:rPr>
          <w:rFonts w:ascii="宋体" w:hAnsi="宋体" w:cs="宋体"/>
          <w:b/>
          <w:bCs/>
          <w:color w:val="auto"/>
          <w:highlight w:val="none"/>
        </w:rPr>
        <w:t>2</w:t>
      </w:r>
      <w:r>
        <w:rPr>
          <w:rFonts w:ascii="宋体" w:hAnsi="宋体" w:cs="宋体"/>
          <w:b/>
          <w:bCs/>
          <w:color w:val="auto"/>
          <w:szCs w:val="24"/>
          <w:highlight w:val="none"/>
        </w:rPr>
        <w:t>8</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采购过程中出现以下情形，导致电子交易平台无法正常运行，或者无法保证电子交易的公平、公正和安全时，采购代理机构可中止电子交易活动：</w:t>
      </w:r>
    </w:p>
    <w:p w14:paraId="1D2CAA37">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 xml:space="preserve">28.1电子交易平台发生故障而无法登录访问的； </w:t>
      </w:r>
    </w:p>
    <w:p w14:paraId="4C38773B">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14:paraId="26DF31BB">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28.3电子交易平台发现严重安全漏洞，有潜在泄密危险的；</w:t>
      </w:r>
    </w:p>
    <w:p w14:paraId="28BB42A9">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 xml:space="preserve">28.4病毒发作导致不能进行正常操作的； </w:t>
      </w:r>
    </w:p>
    <w:p w14:paraId="0AE7BFDB">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28.5其他无法保证电子交易的公平、公正和安全的情况。</w:t>
      </w:r>
    </w:p>
    <w:p w14:paraId="06222477">
      <w:pPr>
        <w:pStyle w:val="129"/>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5AD46B7A">
      <w:pPr>
        <w:tabs>
          <w:tab w:val="left" w:pos="0"/>
        </w:tabs>
        <w:spacing w:line="360" w:lineRule="auto"/>
        <w:ind w:firstLine="480"/>
        <w:rPr>
          <w:rFonts w:ascii="宋体" w:hAnsi="宋体" w:cs="宋体"/>
          <w:color w:val="auto"/>
          <w:sz w:val="24"/>
          <w:highlight w:val="none"/>
        </w:rPr>
      </w:pPr>
    </w:p>
    <w:p w14:paraId="58A1B791">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九、验收</w:t>
      </w:r>
    </w:p>
    <w:p w14:paraId="30D8FF45">
      <w:pPr>
        <w:pStyle w:val="26"/>
        <w:spacing w:line="360" w:lineRule="auto"/>
        <w:ind w:firstLine="0" w:firstLineChars="0"/>
        <w:rPr>
          <w:rFonts w:cs="宋体"/>
          <w:b/>
          <w:color w:val="auto"/>
          <w:highlight w:val="none"/>
        </w:rPr>
      </w:pPr>
      <w:r>
        <w:rPr>
          <w:rFonts w:hint="eastAsia" w:cs="宋体"/>
          <w:b/>
          <w:color w:val="auto"/>
          <w:highlight w:val="none"/>
        </w:rPr>
        <w:t>30.验收</w:t>
      </w:r>
    </w:p>
    <w:p w14:paraId="515AAC43">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F2FF099">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30.2采购人可以邀请参加本项目的其他投标人或者第三方机构参与验收。参与验收的投标人或者第三方机构的意见作为验收书的参考资料一并存档。</w:t>
      </w:r>
    </w:p>
    <w:p w14:paraId="7EBAC4E3">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1ABD254">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C8AEBCC">
      <w:pPr>
        <w:tabs>
          <w:tab w:val="left" w:pos="0"/>
        </w:tabs>
        <w:spacing w:line="360" w:lineRule="auto"/>
        <w:ind w:firstLine="480"/>
        <w:rPr>
          <w:rFonts w:ascii="宋体" w:hAnsi="宋体" w:cs="宋体"/>
          <w:color w:val="auto"/>
          <w:kern w:val="0"/>
          <w:sz w:val="24"/>
          <w:highlight w:val="none"/>
        </w:rPr>
      </w:pPr>
    </w:p>
    <w:p w14:paraId="0AEC6562">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十、代理费用的收取标准和方式</w:t>
      </w:r>
    </w:p>
    <w:bookmarkEnd w:id="26"/>
    <w:bookmarkEnd w:id="27"/>
    <w:bookmarkEnd w:id="34"/>
    <w:p w14:paraId="17371DFB">
      <w:pPr>
        <w:snapToGrid w:val="0"/>
        <w:spacing w:line="360" w:lineRule="auto"/>
        <w:ind w:firstLine="422" w:firstLineChars="200"/>
        <w:rPr>
          <w:rFonts w:hint="eastAsia" w:cs="宋体"/>
          <w:b/>
          <w:color w:val="auto"/>
          <w:highlight w:val="none"/>
        </w:rPr>
      </w:pPr>
      <w:bookmarkStart w:id="35" w:name="_Toc176368904"/>
      <w:bookmarkStart w:id="36" w:name="第四部分"/>
      <w:r>
        <w:rPr>
          <w:rFonts w:hint="eastAsia" w:cs="宋体"/>
          <w:b/>
          <w:color w:val="auto"/>
          <w:highlight w:val="none"/>
        </w:rPr>
        <w:t>本项目不收取。</w:t>
      </w:r>
    </w:p>
    <w:p w14:paraId="301F69F6">
      <w:pPr>
        <w:pStyle w:val="4"/>
        <w:rPr>
          <w:rFonts w:hint="eastAsia" w:cs="宋体"/>
          <w:b/>
          <w:color w:val="auto"/>
          <w:highlight w:val="none"/>
        </w:rPr>
      </w:pPr>
    </w:p>
    <w:p w14:paraId="7F88D08A">
      <w:pPr>
        <w:rPr>
          <w:rFonts w:hint="eastAsia" w:cs="宋体"/>
          <w:b/>
          <w:color w:val="auto"/>
          <w:highlight w:val="none"/>
        </w:rPr>
      </w:pPr>
    </w:p>
    <w:p w14:paraId="46CD2557">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第三部分 采购需求</w:t>
      </w:r>
      <w:bookmarkEnd w:id="35"/>
    </w:p>
    <w:p w14:paraId="074E0B51">
      <w:pPr>
        <w:pBdr>
          <w:bottom w:val="single" w:color="auto" w:sz="6" w:space="1"/>
        </w:pBdr>
        <w:tabs>
          <w:tab w:val="center" w:pos="4153"/>
          <w:tab w:val="right" w:pos="8306"/>
        </w:tabs>
        <w:adjustRightInd/>
        <w:snapToGrid w:val="0"/>
        <w:jc w:val="center"/>
        <w:rPr>
          <w:color w:val="auto"/>
          <w:sz w:val="18"/>
          <w:szCs w:val="18"/>
          <w:highlight w:val="none"/>
        </w:rPr>
      </w:pPr>
    </w:p>
    <w:p w14:paraId="00262C05">
      <w:pPr>
        <w:pStyle w:val="513"/>
        <w:spacing w:line="440" w:lineRule="exact"/>
        <w:ind w:firstLine="402"/>
        <w:jc w:val="center"/>
        <w:outlineLvl w:val="1"/>
        <w:rPr>
          <w:rFonts w:hint="eastAsia" w:ascii="Times New Roman" w:hAnsi="Times New Roman" w:eastAsia="宋体" w:cs="Times New Roman"/>
          <w:b/>
          <w:bCs/>
          <w:snapToGrid w:val="0"/>
          <w:color w:val="auto"/>
          <w:spacing w:val="0"/>
          <w:kern w:val="2"/>
          <w:sz w:val="36"/>
          <w:szCs w:val="36"/>
          <w:highlight w:val="none"/>
          <w:lang w:val="en-US" w:eastAsia="zh-CN" w:bidi="ar-SA"/>
        </w:rPr>
      </w:pPr>
    </w:p>
    <w:p w14:paraId="6ECCBB5E">
      <w:pPr>
        <w:pStyle w:val="513"/>
        <w:spacing w:line="440" w:lineRule="exact"/>
        <w:ind w:firstLine="402"/>
        <w:jc w:val="center"/>
        <w:outlineLvl w:val="1"/>
        <w:rPr>
          <w:rFonts w:hint="default" w:ascii="Times New Roman" w:hAnsi="Times New Roman" w:eastAsia="宋体" w:cs="Times New Roman"/>
          <w:b/>
          <w:bCs/>
          <w:snapToGrid w:val="0"/>
          <w:color w:val="auto"/>
          <w:spacing w:val="0"/>
          <w:kern w:val="2"/>
          <w:sz w:val="36"/>
          <w:szCs w:val="36"/>
          <w:highlight w:val="none"/>
          <w:lang w:val="en-US" w:eastAsia="zh-CN" w:bidi="ar-SA"/>
        </w:rPr>
      </w:pPr>
      <w:r>
        <w:rPr>
          <w:rFonts w:hint="eastAsia" w:ascii="Times New Roman" w:hAnsi="Times New Roman" w:eastAsia="宋体" w:cs="Times New Roman"/>
          <w:b/>
          <w:bCs/>
          <w:snapToGrid w:val="0"/>
          <w:color w:val="auto"/>
          <w:spacing w:val="0"/>
          <w:kern w:val="2"/>
          <w:sz w:val="36"/>
          <w:szCs w:val="36"/>
          <w:highlight w:val="none"/>
          <w:lang w:val="en-US" w:eastAsia="zh-CN" w:bidi="ar-SA"/>
        </w:rPr>
        <w:t>标项一：物业服务1</w:t>
      </w:r>
    </w:p>
    <w:p w14:paraId="775ACEC3">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说明：</w:t>
      </w:r>
    </w:p>
    <w:p w14:paraId="17E4E582">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1.本项目的政府采购预算控制价为人民币7633100元，高于预算控制价的报价将视为无效投标。</w:t>
      </w:r>
    </w:p>
    <w:p w14:paraId="6FB04D56">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采购需求中标注“★”的内容必须满足或者优于，否则投标无效。</w:t>
      </w:r>
    </w:p>
    <w:p w14:paraId="69B030FD">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3.根据《关于印发中小企业划型标准规定的通知》（工信部联企业</w:t>
      </w:r>
      <w:r>
        <w:rPr>
          <w:rFonts w:hint="eastAsia" w:ascii="宋体" w:hAnsi="宋体" w:cs="Book Antiqua"/>
          <w:color w:val="auto"/>
          <w:szCs w:val="21"/>
          <w:highlight w:val="none"/>
        </w:rPr>
        <w:t>〔2011〕</w:t>
      </w:r>
      <w:r>
        <w:rPr>
          <w:rFonts w:hint="eastAsia" w:ascii="宋体" w:hAnsi="宋体" w:cs="宋体"/>
          <w:color w:val="auto"/>
          <w:szCs w:val="21"/>
          <w:highlight w:val="none"/>
        </w:rPr>
        <w:t>300号）规定的划分标准，本项目采购所有标的对应的中小企业划分标准所属行业为：</w:t>
      </w:r>
      <w:r>
        <w:rPr>
          <w:rFonts w:hint="eastAsia" w:ascii="宋体" w:hAnsi="宋体" w:cs="Book Antiqua"/>
          <w:b/>
          <w:color w:val="auto"/>
          <w:szCs w:val="21"/>
          <w:highlight w:val="none"/>
          <w:lang w:eastAsia="zh-CN"/>
        </w:rPr>
        <w:t>物业管理</w:t>
      </w:r>
      <w:r>
        <w:rPr>
          <w:rFonts w:hint="eastAsia" w:ascii="宋体" w:hAnsi="宋体" w:cs="宋体"/>
          <w:color w:val="auto"/>
          <w:szCs w:val="21"/>
          <w:highlight w:val="none"/>
        </w:rPr>
        <w:t>。</w:t>
      </w:r>
    </w:p>
    <w:p w14:paraId="03FDF724">
      <w:pPr>
        <w:spacing w:line="440" w:lineRule="exact"/>
        <w:ind w:firstLine="420" w:firstLineChars="200"/>
        <w:jc w:val="left"/>
        <w:rPr>
          <w:rFonts w:hint="eastAsia" w:ascii="宋体" w:hAnsi="宋体" w:cs="宋体"/>
          <w:bCs/>
          <w:color w:val="auto"/>
          <w:szCs w:val="21"/>
          <w:highlight w:val="none"/>
        </w:rPr>
      </w:pPr>
    </w:p>
    <w:tbl>
      <w:tblPr>
        <w:tblStyle w:val="64"/>
        <w:tblW w:w="9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8486"/>
      </w:tblGrid>
      <w:tr w14:paraId="53F6E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44" w:type="dxa"/>
            <w:gridSpan w:val="2"/>
            <w:shd w:val="clear" w:color="auto" w:fill="auto"/>
            <w:vAlign w:val="center"/>
          </w:tcPr>
          <w:p w14:paraId="62DA9924">
            <w:pPr>
              <w:spacing w:line="440" w:lineRule="exact"/>
              <w:jc w:val="left"/>
              <w:rPr>
                <w:rFonts w:hint="default" w:ascii="Times New Roman" w:hAnsi="Times New Roman" w:cs="Times New Roman"/>
                <w:color w:val="auto"/>
                <w:highlight w:val="none"/>
                <w:lang w:val="en-US" w:eastAsia="zh-CN"/>
              </w:rPr>
            </w:pPr>
            <w:r>
              <w:rPr>
                <w:rFonts w:hint="eastAsia" w:ascii="Times New Roman" w:hAnsi="Times New Roman" w:eastAsia="宋体" w:cs="Times New Roman"/>
                <w:b/>
                <w:bCs/>
                <w:snapToGrid w:val="0"/>
                <w:color w:val="auto"/>
                <w:kern w:val="2"/>
                <w:sz w:val="24"/>
                <w:szCs w:val="24"/>
                <w:highlight w:val="none"/>
                <w:lang w:val="en-US" w:eastAsia="zh-CN" w:bidi="ar-SA"/>
              </w:rPr>
              <w:t>★   技术要求</w:t>
            </w:r>
          </w:p>
        </w:tc>
      </w:tr>
      <w:tr w14:paraId="5642C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44" w:type="dxa"/>
            <w:gridSpan w:val="2"/>
            <w:shd w:val="clear" w:color="auto" w:fill="auto"/>
            <w:vAlign w:val="center"/>
          </w:tcPr>
          <w:p w14:paraId="7EAB4060">
            <w:pPr>
              <w:pStyle w:val="24"/>
              <w:keepNext w:val="0"/>
              <w:keepLines w:val="0"/>
              <w:pageBreakBefore w:val="0"/>
              <w:widowControl w:val="0"/>
              <w:kinsoku/>
              <w:overflowPunct/>
              <w:topLinePunct w:val="0"/>
              <w:autoSpaceDE/>
              <w:autoSpaceDN/>
              <w:bidi w:val="0"/>
              <w:snapToGrid/>
              <w:spacing w:line="500" w:lineRule="exact"/>
              <w:textAlignment w:val="auto"/>
              <w:rPr>
                <w:rFonts w:hint="default"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第一部分 北海市第七幼儿园、北海市第十二中学和北海市北海中学物业服务</w:t>
            </w:r>
          </w:p>
        </w:tc>
      </w:tr>
      <w:tr w14:paraId="29DF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44" w:type="dxa"/>
            <w:gridSpan w:val="2"/>
            <w:vMerge w:val="restart"/>
            <w:shd w:val="clear" w:color="auto" w:fill="auto"/>
            <w:vAlign w:val="center"/>
          </w:tcPr>
          <w:p w14:paraId="6B2D17CD">
            <w:pPr>
              <w:pStyle w:val="24"/>
              <w:keepNext w:val="0"/>
              <w:keepLines w:val="0"/>
              <w:pageBreakBefore w:val="0"/>
              <w:widowControl w:val="0"/>
              <w:kinsoku/>
              <w:wordWrap/>
              <w:overflowPunct/>
              <w:topLinePunct w:val="0"/>
              <w:autoSpaceDE/>
              <w:autoSpaceDN/>
              <w:bidi w:val="0"/>
              <w:snapToGrid/>
              <w:spacing w:line="440" w:lineRule="exact"/>
              <w:ind w:left="0" w:leftChars="0" w:firstLine="0" w:firstLineChars="0"/>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一、服务范围和内容</w:t>
            </w:r>
          </w:p>
          <w:p w14:paraId="7376D64D">
            <w:pPr>
              <w:pStyle w:val="24"/>
              <w:keepNext w:val="0"/>
              <w:keepLines w:val="0"/>
              <w:pageBreakBefore w:val="0"/>
              <w:widowControl w:val="0"/>
              <w:kinsoku/>
              <w:wordWrap/>
              <w:overflowPunct/>
              <w:topLinePunct w:val="0"/>
              <w:autoSpaceDE/>
              <w:autoSpaceDN/>
              <w:bidi w:val="0"/>
              <w:adjustRightInd w:val="0"/>
              <w:snapToGrid/>
              <w:spacing w:line="440" w:lineRule="exact"/>
              <w:ind w:left="0" w:leftChars="0" w:firstLine="0" w:firstLineChars="0"/>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（一）服务范围</w:t>
            </w:r>
          </w:p>
          <w:p w14:paraId="032FBFFA">
            <w:pPr>
              <w:pStyle w:val="24"/>
              <w:keepNext w:val="0"/>
              <w:keepLines w:val="0"/>
              <w:pageBreakBefore w:val="0"/>
              <w:widowControl w:val="0"/>
              <w:kinsoku/>
              <w:wordWrap/>
              <w:overflowPunct/>
              <w:topLinePunct w:val="0"/>
              <w:autoSpaceDE/>
              <w:autoSpaceDN/>
              <w:bidi w:val="0"/>
              <w:adjustRightInd w:val="0"/>
              <w:snapToGrid/>
              <w:spacing w:line="44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highlight w:val="none"/>
                <w:lang w:val="en-US" w:eastAsia="zh-CN"/>
              </w:rPr>
              <w:t>为派驻学校校园全域（包括所有建筑物、公共场所）</w:t>
            </w:r>
            <w:r>
              <w:rPr>
                <w:rFonts w:hint="default" w:ascii="Times New Roman" w:hAnsi="Times New Roman" w:cs="Times New Roman"/>
                <w:color w:val="auto"/>
                <w:sz w:val="24"/>
                <w:szCs w:val="24"/>
                <w:highlight w:val="none"/>
                <w:lang w:val="en-US" w:eastAsia="zh-CN"/>
              </w:rPr>
              <w:t>提供物业服务，负责</w:t>
            </w:r>
            <w:r>
              <w:rPr>
                <w:rFonts w:hint="default" w:ascii="Times New Roman" w:hAnsi="Times New Roman" w:cs="Times New Roman"/>
                <w:color w:val="auto"/>
                <w:sz w:val="24"/>
                <w:highlight w:val="none"/>
              </w:rPr>
              <w:t>学校卫生保洁、绿化维护管理和</w:t>
            </w:r>
            <w:r>
              <w:rPr>
                <w:rFonts w:hint="default" w:ascii="Times New Roman" w:hAnsi="Times New Roman" w:cs="Times New Roman"/>
                <w:color w:val="auto"/>
                <w:sz w:val="24"/>
                <w:szCs w:val="24"/>
                <w:highlight w:val="none"/>
                <w:lang w:val="en-US" w:eastAsia="zh-CN"/>
              </w:rPr>
              <w:t>日常维修等服务。</w:t>
            </w:r>
          </w:p>
          <w:p w14:paraId="5EED84B5">
            <w:pPr>
              <w:pStyle w:val="24"/>
              <w:keepNext w:val="0"/>
              <w:keepLines w:val="0"/>
              <w:pageBreakBefore w:val="0"/>
              <w:widowControl w:val="0"/>
              <w:kinsoku/>
              <w:wordWrap/>
              <w:overflowPunct/>
              <w:topLinePunct w:val="0"/>
              <w:autoSpaceDE/>
              <w:autoSpaceDN/>
              <w:bidi w:val="0"/>
              <w:adjustRightInd w:val="0"/>
              <w:snapToGrid/>
              <w:spacing w:line="440" w:lineRule="exact"/>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（二）服务内容</w:t>
            </w:r>
          </w:p>
          <w:p w14:paraId="41021502">
            <w:pPr>
              <w:pStyle w:val="24"/>
              <w:keepNext w:val="0"/>
              <w:keepLines w:val="0"/>
              <w:pageBreakBefore w:val="0"/>
              <w:widowControl w:val="0"/>
              <w:kinsoku/>
              <w:wordWrap/>
              <w:overflowPunct/>
              <w:topLinePunct w:val="0"/>
              <w:autoSpaceDE/>
              <w:autoSpaceDN/>
              <w:bidi w:val="0"/>
              <w:adjustRightInd w:val="0"/>
              <w:snapToGrid/>
              <w:spacing w:line="44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 校园内物业负责公共路面、卫生间、校领导办公室等所有公共卫生区域的卫生清洁、垃圾收集、卫生间简单管道疏通等清洁保洁服务；</w:t>
            </w:r>
          </w:p>
          <w:p w14:paraId="3D2D8DD0">
            <w:pPr>
              <w:pStyle w:val="24"/>
              <w:keepNext w:val="0"/>
              <w:keepLines w:val="0"/>
              <w:pageBreakBefore w:val="0"/>
              <w:widowControl w:val="0"/>
              <w:kinsoku/>
              <w:wordWrap/>
              <w:overflowPunct/>
              <w:topLinePunct w:val="0"/>
              <w:autoSpaceDE/>
              <w:autoSpaceDN/>
              <w:bidi w:val="0"/>
              <w:adjustRightInd w:val="0"/>
              <w:snapToGrid/>
              <w:spacing w:line="44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 校区内公共绿地、花木、建筑小品的养护管理；</w:t>
            </w:r>
          </w:p>
          <w:p w14:paraId="46929F26">
            <w:pPr>
              <w:pStyle w:val="24"/>
              <w:keepNext w:val="0"/>
              <w:keepLines w:val="0"/>
              <w:pageBreakBefore w:val="0"/>
              <w:widowControl w:val="0"/>
              <w:kinsoku/>
              <w:wordWrap/>
              <w:overflowPunct/>
              <w:topLinePunct w:val="0"/>
              <w:autoSpaceDE/>
              <w:autoSpaceDN/>
              <w:bidi w:val="0"/>
              <w:adjustRightInd w:val="0"/>
              <w:snapToGrid/>
              <w:spacing w:line="44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3. 校内学生宿舍的管理服务；</w:t>
            </w:r>
          </w:p>
          <w:p w14:paraId="36B479D2">
            <w:pPr>
              <w:pStyle w:val="24"/>
              <w:keepNext w:val="0"/>
              <w:keepLines w:val="0"/>
              <w:pageBreakBefore w:val="0"/>
              <w:widowControl w:val="0"/>
              <w:kinsoku/>
              <w:wordWrap/>
              <w:overflowPunct/>
              <w:topLinePunct w:val="0"/>
              <w:autoSpaceDE/>
              <w:autoSpaceDN/>
              <w:bidi w:val="0"/>
              <w:adjustRightInd w:val="0"/>
              <w:snapToGrid/>
              <w:spacing w:line="44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4. 水电维修管理、协助学校完成设施设备维修保养；积极完成校方安排的其他临时工作任务。</w:t>
            </w:r>
          </w:p>
          <w:p w14:paraId="5E337679">
            <w:pPr>
              <w:pStyle w:val="24"/>
              <w:keepNext w:val="0"/>
              <w:keepLines w:val="0"/>
              <w:pageBreakBefore w:val="0"/>
              <w:widowControl w:val="0"/>
              <w:kinsoku/>
              <w:wordWrap/>
              <w:overflowPunct/>
              <w:topLinePunct w:val="0"/>
              <w:autoSpaceDE/>
              <w:autoSpaceDN/>
              <w:bidi w:val="0"/>
              <w:snapToGrid/>
              <w:spacing w:line="440" w:lineRule="exact"/>
              <w:textAlignment w:val="auto"/>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（三）</w:t>
            </w:r>
            <w:r>
              <w:rPr>
                <w:rFonts w:hint="default" w:ascii="Times New Roman" w:hAnsi="Times New Roman" w:eastAsia="宋体" w:cs="Times New Roman"/>
                <w:b/>
                <w:bCs/>
                <w:color w:val="auto"/>
                <w:sz w:val="24"/>
                <w:szCs w:val="24"/>
                <w:highlight w:val="none"/>
                <w:lang w:val="en-US" w:eastAsia="zh-CN"/>
              </w:rPr>
              <w:t>人员需求</w:t>
            </w:r>
            <w:r>
              <w:rPr>
                <w:rFonts w:hint="eastAsia" w:ascii="Times New Roman" w:hAnsi="Times New Roman" w:cs="Times New Roman"/>
                <w:b/>
                <w:bCs/>
                <w:color w:val="auto"/>
                <w:sz w:val="24"/>
                <w:szCs w:val="24"/>
                <w:highlight w:val="none"/>
                <w:lang w:val="en-US" w:eastAsia="zh-CN"/>
              </w:rPr>
              <w:t>表</w:t>
            </w:r>
          </w:p>
          <w:tbl>
            <w:tblPr>
              <w:tblStyle w:val="64"/>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52"/>
              <w:gridCol w:w="2102"/>
              <w:gridCol w:w="1967"/>
              <w:gridCol w:w="1744"/>
            </w:tblGrid>
            <w:tr w14:paraId="06E61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73" w:type="dxa"/>
                  <w:vAlign w:val="center"/>
                </w:tcPr>
                <w:p w14:paraId="29FE4CC3">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序号</w:t>
                  </w:r>
                </w:p>
              </w:tc>
              <w:tc>
                <w:tcPr>
                  <w:tcW w:w="1952" w:type="dxa"/>
                  <w:vAlign w:val="center"/>
                </w:tcPr>
                <w:p w14:paraId="01EACE14">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服务单位</w:t>
                  </w:r>
                </w:p>
              </w:tc>
              <w:tc>
                <w:tcPr>
                  <w:tcW w:w="2102" w:type="dxa"/>
                  <w:vAlign w:val="center"/>
                </w:tcPr>
                <w:p w14:paraId="684A7D05">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人员类别</w:t>
                  </w:r>
                </w:p>
              </w:tc>
              <w:tc>
                <w:tcPr>
                  <w:tcW w:w="1967" w:type="dxa"/>
                  <w:vAlign w:val="center"/>
                </w:tcPr>
                <w:p w14:paraId="12D8677B">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配备人数</w:t>
                  </w:r>
                </w:p>
              </w:tc>
              <w:tc>
                <w:tcPr>
                  <w:tcW w:w="1744" w:type="dxa"/>
                  <w:vAlign w:val="center"/>
                </w:tcPr>
                <w:p w14:paraId="29B4DAB4">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最高限价</w:t>
                  </w:r>
                </w:p>
                <w:p w14:paraId="18FDD11F">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（万元）</w:t>
                  </w:r>
                </w:p>
              </w:tc>
            </w:tr>
            <w:tr w14:paraId="69FF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restart"/>
                  <w:vAlign w:val="center"/>
                </w:tcPr>
                <w:p w14:paraId="5A5DCC4E">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w:t>
                  </w:r>
                </w:p>
              </w:tc>
              <w:tc>
                <w:tcPr>
                  <w:tcW w:w="1952" w:type="dxa"/>
                  <w:vMerge w:val="restart"/>
                  <w:vAlign w:val="center"/>
                </w:tcPr>
                <w:p w14:paraId="058466D9">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北海市第七幼儿园</w:t>
                  </w:r>
                </w:p>
              </w:tc>
              <w:tc>
                <w:tcPr>
                  <w:tcW w:w="2102" w:type="dxa"/>
                  <w:vAlign w:val="center"/>
                </w:tcPr>
                <w:p w14:paraId="0EFC66EA">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水电工</w:t>
                  </w:r>
                </w:p>
              </w:tc>
              <w:tc>
                <w:tcPr>
                  <w:tcW w:w="1967" w:type="dxa"/>
                  <w:vAlign w:val="center"/>
                </w:tcPr>
                <w:p w14:paraId="643E3B8A">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w:t>
                  </w:r>
                </w:p>
              </w:tc>
              <w:tc>
                <w:tcPr>
                  <w:tcW w:w="1744" w:type="dxa"/>
                  <w:vMerge w:val="restart"/>
                  <w:vAlign w:val="center"/>
                </w:tcPr>
                <w:p w14:paraId="717BBE36">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b w:val="0"/>
                      <w:bCs/>
                      <w:color w:val="auto"/>
                      <w:sz w:val="21"/>
                      <w:szCs w:val="21"/>
                      <w:highlight w:val="none"/>
                      <w:lang w:val="en-US" w:eastAsia="zh-CN"/>
                    </w:rPr>
                    <w:t>28.28</w:t>
                  </w:r>
                </w:p>
              </w:tc>
            </w:tr>
            <w:tr w14:paraId="1135A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continue"/>
                  <w:vAlign w:val="center"/>
                </w:tcPr>
                <w:p w14:paraId="50EA8CE0">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c>
                <w:tcPr>
                  <w:tcW w:w="1952" w:type="dxa"/>
                  <w:vMerge w:val="continue"/>
                  <w:vAlign w:val="center"/>
                </w:tcPr>
                <w:p w14:paraId="301CB982">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c>
                <w:tcPr>
                  <w:tcW w:w="2102" w:type="dxa"/>
                  <w:vAlign w:val="center"/>
                </w:tcPr>
                <w:p w14:paraId="4F7C96BD">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保洁员</w:t>
                  </w:r>
                </w:p>
              </w:tc>
              <w:tc>
                <w:tcPr>
                  <w:tcW w:w="1967" w:type="dxa"/>
                  <w:vAlign w:val="center"/>
                </w:tcPr>
                <w:p w14:paraId="276A2CD8">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w:t>
                  </w:r>
                </w:p>
              </w:tc>
              <w:tc>
                <w:tcPr>
                  <w:tcW w:w="1744" w:type="dxa"/>
                  <w:vMerge w:val="continue"/>
                  <w:vAlign w:val="center"/>
                </w:tcPr>
                <w:p w14:paraId="34FC1088">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r>
            <w:tr w14:paraId="1F0B5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continue"/>
                  <w:vAlign w:val="center"/>
                </w:tcPr>
                <w:p w14:paraId="258D9146">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c>
                <w:tcPr>
                  <w:tcW w:w="1952" w:type="dxa"/>
                  <w:vMerge w:val="continue"/>
                  <w:vAlign w:val="center"/>
                </w:tcPr>
                <w:p w14:paraId="662279DD">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c>
                <w:tcPr>
                  <w:tcW w:w="2102" w:type="dxa"/>
                  <w:vAlign w:val="center"/>
                </w:tcPr>
                <w:p w14:paraId="27377D0E">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绿化员</w:t>
                  </w:r>
                </w:p>
              </w:tc>
              <w:tc>
                <w:tcPr>
                  <w:tcW w:w="1967" w:type="dxa"/>
                  <w:vAlign w:val="center"/>
                </w:tcPr>
                <w:p w14:paraId="6A68D576">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w:t>
                  </w:r>
                </w:p>
              </w:tc>
              <w:tc>
                <w:tcPr>
                  <w:tcW w:w="1744" w:type="dxa"/>
                  <w:vMerge w:val="continue"/>
                  <w:vAlign w:val="center"/>
                </w:tcPr>
                <w:p w14:paraId="08C0D22A">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r>
            <w:tr w14:paraId="3ED06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Align w:val="center"/>
                </w:tcPr>
                <w:p w14:paraId="3AE63F22">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2</w:t>
                  </w:r>
                </w:p>
              </w:tc>
              <w:tc>
                <w:tcPr>
                  <w:tcW w:w="1952" w:type="dxa"/>
                  <w:vAlign w:val="center"/>
                </w:tcPr>
                <w:p w14:paraId="44668263">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北海市第十二中学</w:t>
                  </w:r>
                </w:p>
              </w:tc>
              <w:tc>
                <w:tcPr>
                  <w:tcW w:w="2102" w:type="dxa"/>
                  <w:shd w:val="clear" w:color="auto" w:fill="auto"/>
                  <w:vAlign w:val="center"/>
                </w:tcPr>
                <w:p w14:paraId="72ED4F57">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保洁员</w:t>
                  </w:r>
                </w:p>
              </w:tc>
              <w:tc>
                <w:tcPr>
                  <w:tcW w:w="1967" w:type="dxa"/>
                  <w:vAlign w:val="center"/>
                </w:tcPr>
                <w:p w14:paraId="3F7B36C8">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4</w:t>
                  </w:r>
                </w:p>
              </w:tc>
              <w:tc>
                <w:tcPr>
                  <w:tcW w:w="1744" w:type="dxa"/>
                  <w:vAlign w:val="center"/>
                </w:tcPr>
                <w:p w14:paraId="3E6E8D96">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b w:val="0"/>
                      <w:bCs/>
                      <w:color w:val="auto"/>
                      <w:sz w:val="21"/>
                      <w:szCs w:val="21"/>
                      <w:highlight w:val="none"/>
                      <w:lang w:val="en-US" w:eastAsia="zh-CN"/>
                    </w:rPr>
                    <w:t>35.11</w:t>
                  </w:r>
                </w:p>
              </w:tc>
            </w:tr>
            <w:tr w14:paraId="476D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restart"/>
                  <w:vAlign w:val="center"/>
                </w:tcPr>
                <w:p w14:paraId="0B2959B6">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3</w:t>
                  </w:r>
                </w:p>
              </w:tc>
              <w:tc>
                <w:tcPr>
                  <w:tcW w:w="1952" w:type="dxa"/>
                  <w:vMerge w:val="restart"/>
                  <w:vAlign w:val="center"/>
                </w:tcPr>
                <w:p w14:paraId="2A421022">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北海市北海中学</w:t>
                  </w:r>
                </w:p>
              </w:tc>
              <w:tc>
                <w:tcPr>
                  <w:tcW w:w="2102" w:type="dxa"/>
                  <w:vAlign w:val="center"/>
                </w:tcPr>
                <w:p w14:paraId="2E5C28F1">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水电工</w:t>
                  </w:r>
                </w:p>
              </w:tc>
              <w:tc>
                <w:tcPr>
                  <w:tcW w:w="1967" w:type="dxa"/>
                  <w:vAlign w:val="center"/>
                </w:tcPr>
                <w:p w14:paraId="1A9F397A">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2</w:t>
                  </w:r>
                </w:p>
              </w:tc>
              <w:tc>
                <w:tcPr>
                  <w:tcW w:w="1744" w:type="dxa"/>
                  <w:vMerge w:val="restart"/>
                  <w:vAlign w:val="center"/>
                </w:tcPr>
                <w:p w14:paraId="6D5D809F">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b w:val="0"/>
                      <w:bCs/>
                      <w:color w:val="auto"/>
                      <w:sz w:val="21"/>
                      <w:szCs w:val="21"/>
                      <w:highlight w:val="none"/>
                      <w:lang w:val="en-US" w:eastAsia="zh-CN"/>
                    </w:rPr>
                    <w:t>242.85</w:t>
                  </w:r>
                </w:p>
              </w:tc>
            </w:tr>
            <w:tr w14:paraId="6F19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continue"/>
                  <w:vAlign w:val="center"/>
                </w:tcPr>
                <w:p w14:paraId="356BF48C">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c>
                <w:tcPr>
                  <w:tcW w:w="1952" w:type="dxa"/>
                  <w:vMerge w:val="continue"/>
                  <w:vAlign w:val="center"/>
                </w:tcPr>
                <w:p w14:paraId="587A8FD4">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c>
                <w:tcPr>
                  <w:tcW w:w="2102" w:type="dxa"/>
                  <w:vAlign w:val="center"/>
                </w:tcPr>
                <w:p w14:paraId="47A131DF">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保洁员</w:t>
                  </w:r>
                </w:p>
              </w:tc>
              <w:tc>
                <w:tcPr>
                  <w:tcW w:w="1967" w:type="dxa"/>
                  <w:vAlign w:val="center"/>
                </w:tcPr>
                <w:p w14:paraId="5982CBFA">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16</w:t>
                  </w:r>
                </w:p>
              </w:tc>
              <w:tc>
                <w:tcPr>
                  <w:tcW w:w="1744" w:type="dxa"/>
                  <w:vMerge w:val="continue"/>
                  <w:vAlign w:val="center"/>
                </w:tcPr>
                <w:p w14:paraId="0D230514">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r>
            <w:tr w14:paraId="18721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continue"/>
                  <w:vAlign w:val="center"/>
                </w:tcPr>
                <w:p w14:paraId="5475FE01">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c>
                <w:tcPr>
                  <w:tcW w:w="1952" w:type="dxa"/>
                  <w:vMerge w:val="continue"/>
                  <w:vAlign w:val="center"/>
                </w:tcPr>
                <w:p w14:paraId="7D7193B6">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c>
                <w:tcPr>
                  <w:tcW w:w="2102" w:type="dxa"/>
                  <w:vAlign w:val="center"/>
                </w:tcPr>
                <w:p w14:paraId="1A05254A">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绿化员</w:t>
                  </w:r>
                </w:p>
              </w:tc>
              <w:tc>
                <w:tcPr>
                  <w:tcW w:w="1967" w:type="dxa"/>
                  <w:vAlign w:val="center"/>
                </w:tcPr>
                <w:p w14:paraId="7C467039">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9</w:t>
                  </w:r>
                </w:p>
              </w:tc>
              <w:tc>
                <w:tcPr>
                  <w:tcW w:w="1744" w:type="dxa"/>
                  <w:vMerge w:val="continue"/>
                  <w:vAlign w:val="center"/>
                </w:tcPr>
                <w:p w14:paraId="5A5FAF9D">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r>
            <w:tr w14:paraId="4ADA6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restart"/>
                  <w:vAlign w:val="center"/>
                </w:tcPr>
                <w:p w14:paraId="5003BB35">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4</w:t>
                  </w:r>
                </w:p>
              </w:tc>
              <w:tc>
                <w:tcPr>
                  <w:tcW w:w="1952" w:type="dxa"/>
                  <w:vMerge w:val="restart"/>
                  <w:vAlign w:val="center"/>
                </w:tcPr>
                <w:p w14:paraId="2DC7F09C">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lang w:val="en-US" w:eastAsia="zh-CN"/>
                    </w:rPr>
                    <w:t>北海市卫生学校</w:t>
                  </w:r>
                </w:p>
              </w:tc>
              <w:tc>
                <w:tcPr>
                  <w:tcW w:w="2102" w:type="dxa"/>
                  <w:vAlign w:val="center"/>
                </w:tcPr>
                <w:p w14:paraId="45B64FE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lang w:val="en-US" w:eastAsia="zh-CN"/>
                    </w:rPr>
                    <w:t>宿管员</w:t>
                  </w:r>
                </w:p>
              </w:tc>
              <w:tc>
                <w:tcPr>
                  <w:tcW w:w="1967" w:type="dxa"/>
                  <w:vMerge w:val="restart"/>
                  <w:vAlign w:val="center"/>
                </w:tcPr>
                <w:p w14:paraId="3D945B39">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vertAlign w:val="baseline"/>
                      <w:lang w:val="en-US" w:eastAsia="zh-CN"/>
                    </w:rPr>
                    <w:t>详见本项第二部分北海市卫生学校物业服务中具体人员配备要求</w:t>
                  </w:r>
                </w:p>
              </w:tc>
              <w:tc>
                <w:tcPr>
                  <w:tcW w:w="1744" w:type="dxa"/>
                  <w:vMerge w:val="restart"/>
                  <w:shd w:val="clear" w:color="auto" w:fill="auto"/>
                  <w:vAlign w:val="center"/>
                </w:tcPr>
                <w:p w14:paraId="19447F69">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仿宋_GB2312" w:cs="Times New Roman"/>
                      <w:b w:val="0"/>
                      <w:bCs/>
                      <w:color w:val="auto"/>
                      <w:kern w:val="2"/>
                      <w:sz w:val="21"/>
                      <w:szCs w:val="21"/>
                      <w:highlight w:val="none"/>
                      <w:lang w:val="en-US" w:eastAsia="zh-CN" w:bidi="ar-SA"/>
                    </w:rPr>
                  </w:pPr>
                  <w:r>
                    <w:rPr>
                      <w:rFonts w:hint="default" w:ascii="Times New Roman" w:hAnsi="Times New Roman" w:cs="Times New Roman"/>
                      <w:b w:val="0"/>
                      <w:bCs/>
                      <w:color w:val="auto"/>
                      <w:sz w:val="21"/>
                      <w:szCs w:val="21"/>
                      <w:highlight w:val="none"/>
                      <w:lang w:val="en-US" w:eastAsia="zh-CN"/>
                    </w:rPr>
                    <w:t>457.07</w:t>
                  </w:r>
                </w:p>
              </w:tc>
            </w:tr>
            <w:tr w14:paraId="2BF57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continue"/>
                  <w:vAlign w:val="center"/>
                </w:tcPr>
                <w:p w14:paraId="5909280E">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c>
                <w:tcPr>
                  <w:tcW w:w="1952" w:type="dxa"/>
                  <w:vMerge w:val="continue"/>
                  <w:vAlign w:val="center"/>
                </w:tcPr>
                <w:p w14:paraId="572E0CBE">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c>
                <w:tcPr>
                  <w:tcW w:w="2102" w:type="dxa"/>
                  <w:vAlign w:val="center"/>
                </w:tcPr>
                <w:p w14:paraId="7A6FF88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lang w:val="en-US" w:eastAsia="zh-CN"/>
                    </w:rPr>
                    <w:t>水电工</w:t>
                  </w:r>
                </w:p>
              </w:tc>
              <w:tc>
                <w:tcPr>
                  <w:tcW w:w="1967" w:type="dxa"/>
                  <w:vMerge w:val="continue"/>
                  <w:vAlign w:val="center"/>
                </w:tcPr>
                <w:p w14:paraId="53D01555">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c>
                <w:tcPr>
                  <w:tcW w:w="1744" w:type="dxa"/>
                  <w:vMerge w:val="continue"/>
                  <w:vAlign w:val="center"/>
                </w:tcPr>
                <w:p w14:paraId="133C81F9">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r>
            <w:tr w14:paraId="352D7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continue"/>
                  <w:vAlign w:val="center"/>
                </w:tcPr>
                <w:p w14:paraId="59636FC6">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c>
                <w:tcPr>
                  <w:tcW w:w="1952" w:type="dxa"/>
                  <w:vMerge w:val="continue"/>
                  <w:vAlign w:val="center"/>
                </w:tcPr>
                <w:p w14:paraId="174E3240">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c>
                <w:tcPr>
                  <w:tcW w:w="2102" w:type="dxa"/>
                  <w:vAlign w:val="center"/>
                </w:tcPr>
                <w:p w14:paraId="60646134">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lang w:val="en-US" w:eastAsia="zh-CN"/>
                    </w:rPr>
                    <w:t>绿化员</w:t>
                  </w:r>
                </w:p>
              </w:tc>
              <w:tc>
                <w:tcPr>
                  <w:tcW w:w="1967" w:type="dxa"/>
                  <w:vMerge w:val="continue"/>
                  <w:vAlign w:val="center"/>
                </w:tcPr>
                <w:p w14:paraId="205E3163">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c>
                <w:tcPr>
                  <w:tcW w:w="1744" w:type="dxa"/>
                  <w:vMerge w:val="continue"/>
                  <w:vAlign w:val="center"/>
                </w:tcPr>
                <w:p w14:paraId="7D2F047C">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r>
            <w:tr w14:paraId="6CD0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continue"/>
                  <w:vAlign w:val="center"/>
                </w:tcPr>
                <w:p w14:paraId="0FC42F0F">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c>
                <w:tcPr>
                  <w:tcW w:w="1952" w:type="dxa"/>
                  <w:vMerge w:val="continue"/>
                  <w:vAlign w:val="center"/>
                </w:tcPr>
                <w:p w14:paraId="624DAAE5">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c>
                <w:tcPr>
                  <w:tcW w:w="2102" w:type="dxa"/>
                  <w:vAlign w:val="center"/>
                </w:tcPr>
                <w:p w14:paraId="738156AA">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eastAsia="仿宋_GB2312" w:cs="Times New Roman"/>
                      <w:b w:val="0"/>
                      <w:bCs/>
                      <w:color w:val="auto"/>
                      <w:sz w:val="21"/>
                      <w:szCs w:val="21"/>
                      <w:highlight w:val="none"/>
                      <w:lang w:val="en-US" w:eastAsia="zh-CN"/>
                    </w:rPr>
                    <w:t>保洁员</w:t>
                  </w:r>
                </w:p>
              </w:tc>
              <w:tc>
                <w:tcPr>
                  <w:tcW w:w="1967" w:type="dxa"/>
                  <w:vMerge w:val="continue"/>
                  <w:vAlign w:val="center"/>
                </w:tcPr>
                <w:p w14:paraId="4FF022F3">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c>
                <w:tcPr>
                  <w:tcW w:w="1744" w:type="dxa"/>
                  <w:vMerge w:val="continue"/>
                  <w:vAlign w:val="center"/>
                </w:tcPr>
                <w:p w14:paraId="7498F006">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r>
          </w:tbl>
          <w:p w14:paraId="5A946022">
            <w:pPr>
              <w:pStyle w:val="24"/>
              <w:keepNext w:val="0"/>
              <w:keepLines w:val="0"/>
              <w:pageBreakBefore w:val="0"/>
              <w:widowControl w:val="0"/>
              <w:kinsoku/>
              <w:wordWrap/>
              <w:overflowPunct/>
              <w:topLinePunct w:val="0"/>
              <w:autoSpaceDE/>
              <w:autoSpaceDN/>
              <w:bidi w:val="0"/>
              <w:snapToGrid/>
              <w:spacing w:line="440" w:lineRule="exact"/>
              <w:textAlignment w:val="auto"/>
              <w:rPr>
                <w:rFonts w:hint="default" w:ascii="Times New Roman" w:hAnsi="Times New Roman" w:eastAsia="宋体" w:cs="Times New Roman"/>
                <w:b/>
                <w:bCs/>
                <w:color w:val="auto"/>
                <w:sz w:val="24"/>
                <w:szCs w:val="24"/>
                <w:highlight w:val="none"/>
                <w:lang w:val="en-US" w:eastAsia="zh-CN"/>
              </w:rPr>
            </w:pPr>
          </w:p>
          <w:p w14:paraId="77BD16DF">
            <w:pPr>
              <w:pStyle w:val="24"/>
              <w:keepNext w:val="0"/>
              <w:keepLines w:val="0"/>
              <w:pageBreakBefore w:val="0"/>
              <w:widowControl w:val="0"/>
              <w:kinsoku/>
              <w:wordWrap/>
              <w:overflowPunct/>
              <w:topLinePunct w:val="0"/>
              <w:autoSpaceDE/>
              <w:autoSpaceDN/>
              <w:bidi w:val="0"/>
              <w:snapToGrid/>
              <w:spacing w:line="440" w:lineRule="exact"/>
              <w:ind w:left="0" w:leftChars="0" w:firstLine="0" w:firstLineChars="0"/>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二、服务要求</w:t>
            </w:r>
          </w:p>
          <w:p w14:paraId="4B65297F">
            <w:pPr>
              <w:pStyle w:val="24"/>
              <w:keepNext w:val="0"/>
              <w:keepLines w:val="0"/>
              <w:pageBreakBefore w:val="0"/>
              <w:widowControl w:val="0"/>
              <w:kinsoku/>
              <w:wordWrap/>
              <w:overflowPunct/>
              <w:topLinePunct w:val="0"/>
              <w:autoSpaceDE/>
              <w:autoSpaceDN/>
              <w:bidi w:val="0"/>
              <w:snapToGrid/>
              <w:spacing w:line="440" w:lineRule="exact"/>
              <w:ind w:left="0" w:leftChars="0" w:firstLine="0" w:firstLineChars="0"/>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（一）总体服务要求</w:t>
            </w:r>
          </w:p>
          <w:p w14:paraId="4C31F177">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highlight w:val="none"/>
                <w:lang w:val="en-US" w:eastAsia="zh-CN"/>
              </w:rPr>
              <w:t>1．各派驻学校服务用工人数不少于该校区所需人数（详见人员需求表）</w:t>
            </w:r>
            <w:r>
              <w:rPr>
                <w:rFonts w:hint="default" w:ascii="Times New Roman" w:hAnsi="Times New Roman" w:cs="Times New Roman"/>
                <w:color w:val="auto"/>
                <w:sz w:val="24"/>
                <w:szCs w:val="24"/>
                <w:highlight w:val="none"/>
                <w:lang w:val="en-US" w:eastAsia="zh-CN"/>
              </w:rPr>
              <w:t>。</w:t>
            </w:r>
          </w:p>
          <w:p w14:paraId="1CA4D9AD">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 xml:space="preserve">2. </w:t>
            </w:r>
            <w:r>
              <w:rPr>
                <w:rFonts w:hint="eastAsia" w:ascii="Times New Roman" w:hAnsi="Times New Roman" w:cs="Times New Roman"/>
                <w:color w:val="auto"/>
                <w:highlight w:val="none"/>
                <w:lang w:val="en-US" w:eastAsia="zh-CN"/>
              </w:rPr>
              <w:t>供应商</w:t>
            </w:r>
            <w:r>
              <w:rPr>
                <w:rFonts w:hint="default" w:ascii="Times New Roman" w:hAnsi="Times New Roman" w:cs="Times New Roman"/>
                <w:color w:val="auto"/>
                <w:highlight w:val="none"/>
                <w:lang w:val="en-US" w:eastAsia="zh-CN"/>
              </w:rPr>
              <w:t>必须为所有上岗人员购买社会保险及人身意外保险。</w:t>
            </w:r>
          </w:p>
          <w:p w14:paraId="0C67C24C">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 女员工年龄在18-50岁，男员工年龄在18-58 岁。</w:t>
            </w:r>
          </w:p>
          <w:p w14:paraId="0FB375FE">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 上岗人员在工作期间发生员工工伤及意外伤害事故以及涉及用工方面的劳务纠纷和劳动事故全部由</w:t>
            </w:r>
            <w:r>
              <w:rPr>
                <w:rFonts w:hint="eastAsia" w:ascii="Times New Roman" w:hAnsi="Times New Roman" w:cs="Times New Roman"/>
                <w:color w:val="auto"/>
                <w:highlight w:val="none"/>
                <w:lang w:val="en-US" w:eastAsia="zh-CN"/>
              </w:rPr>
              <w:t>供应商</w:t>
            </w:r>
            <w:r>
              <w:rPr>
                <w:rFonts w:hint="default" w:ascii="Times New Roman" w:hAnsi="Times New Roman" w:cs="Times New Roman"/>
                <w:color w:val="auto"/>
                <w:highlight w:val="none"/>
                <w:lang w:val="en-US" w:eastAsia="zh-CN"/>
              </w:rPr>
              <w:t>承担责任。</w:t>
            </w:r>
          </w:p>
          <w:p w14:paraId="383939EF">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 服务费涵盖基本工资、社会保险、物业服务费、税费等费用。</w:t>
            </w:r>
          </w:p>
          <w:p w14:paraId="4AAC879A">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 xml:space="preserve">6. </w:t>
            </w:r>
            <w:r>
              <w:rPr>
                <w:rFonts w:hint="eastAsia" w:ascii="Times New Roman" w:hAnsi="Times New Roman" w:cs="Times New Roman"/>
                <w:color w:val="auto"/>
                <w:highlight w:val="none"/>
                <w:lang w:val="en-US" w:eastAsia="zh-CN"/>
              </w:rPr>
              <w:t>供应商</w:t>
            </w:r>
            <w:r>
              <w:rPr>
                <w:rFonts w:hint="default" w:ascii="Times New Roman" w:hAnsi="Times New Roman" w:cs="Times New Roman"/>
                <w:color w:val="auto"/>
                <w:highlight w:val="none"/>
                <w:lang w:val="en-US" w:eastAsia="zh-CN"/>
              </w:rPr>
              <w:t>必须每月按时足额发放员工工资，不得以任何理由拖欠员工工资，确保及时足额支付。</w:t>
            </w:r>
          </w:p>
          <w:p w14:paraId="48F9D6C4">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 xml:space="preserve">7. </w:t>
            </w:r>
            <w:r>
              <w:rPr>
                <w:rFonts w:hint="eastAsia" w:ascii="Times New Roman" w:hAnsi="Times New Roman" w:cs="Times New Roman"/>
                <w:color w:val="auto"/>
                <w:highlight w:val="none"/>
                <w:lang w:val="en-US" w:eastAsia="zh-CN"/>
              </w:rPr>
              <w:t>供应商</w:t>
            </w:r>
            <w:r>
              <w:rPr>
                <w:rFonts w:hint="default" w:ascii="Times New Roman" w:hAnsi="Times New Roman" w:cs="Times New Roman"/>
                <w:color w:val="auto"/>
                <w:highlight w:val="none"/>
                <w:lang w:val="en-US" w:eastAsia="zh-CN"/>
              </w:rPr>
              <w:t>需有物业服务方案，质量管理、档案管理等制度。</w:t>
            </w:r>
          </w:p>
          <w:p w14:paraId="32F3F68F">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8. 物业服务人员统一着装，行为规范，服务主动热情。</w:t>
            </w:r>
          </w:p>
          <w:p w14:paraId="778FD2FD">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 xml:space="preserve">9. </w:t>
            </w:r>
            <w:r>
              <w:rPr>
                <w:rFonts w:hint="eastAsia" w:ascii="Times New Roman" w:hAnsi="Times New Roman" w:cs="Times New Roman"/>
                <w:color w:val="auto"/>
                <w:highlight w:val="none"/>
                <w:lang w:val="en-US" w:eastAsia="zh-CN"/>
              </w:rPr>
              <w:t>供应商</w:t>
            </w:r>
            <w:r>
              <w:rPr>
                <w:rFonts w:hint="default" w:ascii="Times New Roman" w:hAnsi="Times New Roman" w:cs="Times New Roman"/>
                <w:color w:val="auto"/>
                <w:highlight w:val="none"/>
                <w:lang w:val="en-US" w:eastAsia="zh-CN"/>
              </w:rPr>
              <w:t>须为所有上岗人员统一配备工服、水鞋、雨衣等劳动保护用品，并为电工、绿化、水泥工等岗位人员配备安全帽，且督促其在作业期间规范佩戴。相关费用已包含在服务费中，采购人有权对此进行监督与考核。</w:t>
            </w:r>
          </w:p>
          <w:p w14:paraId="3527F1A0">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 xml:space="preserve">10. </w:t>
            </w:r>
            <w:r>
              <w:rPr>
                <w:rFonts w:hint="eastAsia" w:ascii="Times New Roman" w:hAnsi="Times New Roman" w:cs="Times New Roman"/>
                <w:color w:val="auto"/>
                <w:highlight w:val="none"/>
                <w:lang w:val="en-US" w:eastAsia="zh-CN"/>
              </w:rPr>
              <w:t>供应商</w:t>
            </w:r>
            <w:r>
              <w:rPr>
                <w:rFonts w:hint="default" w:ascii="Times New Roman" w:hAnsi="Times New Roman" w:cs="Times New Roman"/>
                <w:color w:val="auto"/>
                <w:highlight w:val="none"/>
                <w:lang w:val="en-US" w:eastAsia="zh-CN"/>
              </w:rPr>
              <w:t>须严格遵守采购人资产与废弃物管理规定。所有上岗人员在日常工作中，不得捡拾、收集、私占校内产生的各类可回收废弃物（如纸皮、水瓶、废弃金属、塑料等）并带离校园出售或个人牟利。维修更换产生的废旧设施、材料、零部件等均属采购人资产，</w:t>
            </w:r>
            <w:r>
              <w:rPr>
                <w:rFonts w:hint="eastAsia" w:ascii="Times New Roman" w:hAnsi="Times New Roman" w:cs="Times New Roman"/>
                <w:color w:val="auto"/>
                <w:highlight w:val="none"/>
                <w:lang w:val="en-US" w:eastAsia="zh-CN"/>
              </w:rPr>
              <w:t>供应商</w:t>
            </w:r>
            <w:r>
              <w:rPr>
                <w:rFonts w:hint="default" w:ascii="Times New Roman" w:hAnsi="Times New Roman" w:cs="Times New Roman"/>
                <w:color w:val="auto"/>
                <w:highlight w:val="none"/>
                <w:lang w:val="en-US" w:eastAsia="zh-CN"/>
              </w:rPr>
              <w:t>须集中存放、登记，并按学校要求进行统一处置，不得擅自处理或变卖。</w:t>
            </w:r>
            <w:r>
              <w:rPr>
                <w:rFonts w:hint="eastAsia" w:ascii="Times New Roman" w:hAnsi="Times New Roman" w:cs="Times New Roman"/>
                <w:color w:val="auto"/>
                <w:highlight w:val="none"/>
                <w:lang w:val="en-US" w:eastAsia="zh-CN"/>
              </w:rPr>
              <w:t>供应商</w:t>
            </w:r>
            <w:r>
              <w:rPr>
                <w:rFonts w:hint="default" w:ascii="Times New Roman" w:hAnsi="Times New Roman" w:cs="Times New Roman"/>
                <w:color w:val="auto"/>
                <w:highlight w:val="none"/>
                <w:lang w:val="en-US" w:eastAsia="zh-CN"/>
              </w:rPr>
              <w:t>有责任对所属员工进行教育与管理，确保本要求得到有效执行。如有违反，采购人将视情节在月度服务质量考核中扣分，并有权要求成交供应商对相关人员进行严肃处理；造成学校资产损失的，</w:t>
            </w:r>
            <w:r>
              <w:rPr>
                <w:rFonts w:hint="eastAsia" w:ascii="Times New Roman" w:hAnsi="Times New Roman" w:cs="Times New Roman"/>
                <w:color w:val="auto"/>
                <w:highlight w:val="none"/>
                <w:lang w:val="en-US" w:eastAsia="zh-CN"/>
              </w:rPr>
              <w:t>供应商</w:t>
            </w:r>
            <w:r>
              <w:rPr>
                <w:rFonts w:hint="default" w:ascii="Times New Roman" w:hAnsi="Times New Roman" w:cs="Times New Roman"/>
                <w:color w:val="auto"/>
                <w:highlight w:val="none"/>
                <w:lang w:val="en-US" w:eastAsia="zh-CN"/>
              </w:rPr>
              <w:t>承担相应赔偿责任。</w:t>
            </w:r>
          </w:p>
          <w:p w14:paraId="7B599A27">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 xml:space="preserve">11. </w:t>
            </w:r>
            <w:r>
              <w:rPr>
                <w:rFonts w:hint="eastAsia" w:ascii="Times New Roman" w:hAnsi="Times New Roman" w:cs="Times New Roman"/>
                <w:color w:val="auto"/>
                <w:highlight w:val="none"/>
                <w:lang w:val="en-US" w:eastAsia="zh-CN"/>
              </w:rPr>
              <w:t>供应商</w:t>
            </w:r>
            <w:r>
              <w:rPr>
                <w:rFonts w:hint="default" w:ascii="Times New Roman" w:hAnsi="Times New Roman" w:cs="Times New Roman"/>
                <w:color w:val="auto"/>
                <w:highlight w:val="none"/>
                <w:lang w:val="en-US" w:eastAsia="zh-CN"/>
              </w:rPr>
              <w:t>每季度接受采购人服务质量考核，考核由采购人或校方采取日常巡查、随机抽查、专项检查相结合的方式进行。服务费以考核得分等级支付，支付比例如下：得分≥90分：支付当季应付服务费的100%；80分≤得分&lt;90分：支付当季应付服务费的95%；70 分≤得分&lt;80分：支付当季应付服务费的90%；得分&lt;70分：支付当季应付服务费的85%。得分低于70分或连续两季度低于80分，采购人或校方有权发出警告，要求限期整改，未能完成整改的采购人有权终止合同。</w:t>
            </w:r>
            <w:r>
              <w:rPr>
                <w:rFonts w:hint="eastAsia" w:ascii="Times New Roman" w:hAnsi="Times New Roman" w:cs="Times New Roman"/>
                <w:color w:val="auto"/>
                <w:highlight w:val="none"/>
                <w:lang w:val="en-US" w:eastAsia="zh-CN"/>
              </w:rPr>
              <w:t>（考核标准详见《附件：考核标准》）</w:t>
            </w:r>
          </w:p>
          <w:p w14:paraId="4CA5B87F">
            <w:pPr>
              <w:pStyle w:val="24"/>
              <w:keepNext w:val="0"/>
              <w:keepLines w:val="0"/>
              <w:pageBreakBefore w:val="0"/>
              <w:widowControl w:val="0"/>
              <w:kinsoku/>
              <w:wordWrap/>
              <w:overflowPunct/>
              <w:topLinePunct w:val="0"/>
              <w:autoSpaceDE/>
              <w:autoSpaceDN/>
              <w:bidi w:val="0"/>
              <w:snapToGrid/>
              <w:spacing w:line="440" w:lineRule="exact"/>
              <w:ind w:left="0" w:leftChars="0" w:firstLine="0" w:firstLineChars="0"/>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（二）具体工作要求</w:t>
            </w:r>
          </w:p>
          <w:p w14:paraId="13D25A9D">
            <w:pPr>
              <w:pStyle w:val="24"/>
              <w:keepNext w:val="0"/>
              <w:keepLines w:val="0"/>
              <w:pageBreakBefore w:val="0"/>
              <w:widowControl w:val="0"/>
              <w:kinsoku/>
              <w:wordWrap/>
              <w:overflowPunct/>
              <w:topLinePunct w:val="0"/>
              <w:autoSpaceDE/>
              <w:autoSpaceDN/>
              <w:bidi w:val="0"/>
              <w:snapToGrid/>
              <w:spacing w:line="440" w:lineRule="exact"/>
              <w:ind w:left="0" w:leftChars="0" w:firstLine="482" w:firstLineChars="200"/>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1. 保洁员的卫生保洁服务</w:t>
            </w:r>
          </w:p>
          <w:p w14:paraId="0BAE4593">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（1）服务原则</w:t>
            </w:r>
          </w:p>
          <w:p w14:paraId="3F5D61CC">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坚持“教学零干扰”作业，所有清洁、消毒、通风工作须安排于上课前、下课后或非教学高峰时段进行，确保正常教学秩序。</w:t>
            </w:r>
          </w:p>
          <w:p w14:paraId="2BB311EF">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（2）服务范围</w:t>
            </w:r>
          </w:p>
          <w:p w14:paraId="58A764B3">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涵盖校内各类建筑及公共区域，具体包括：</w:t>
            </w:r>
          </w:p>
          <w:p w14:paraId="4C1F5AB5">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①楼宇内部：教学楼、实训楼、办公楼等楼宇的各楼层卫生间、走廊、楼梯，学生食堂、厕所、楼梯等。</w:t>
            </w:r>
          </w:p>
          <w:p w14:paraId="629F709E">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②功能场所：行政办公室、教研组办公室、会议室、报告厅、图书馆、大礼堂、电梯等。</w:t>
            </w:r>
          </w:p>
          <w:p w14:paraId="1D18A913">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③公共区域：公共教室、运动场所、校内广场、道路、停车场、绿化带、垃圾桶、垃圾池、宣传栏、标识牌等。</w:t>
            </w:r>
          </w:p>
          <w:p w14:paraId="5BB5DC4D">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④专项清洁：路面灯具、不锈钢饰品、宣传栏、校牌、标示牌、楼梯栏杆、护栏、雨篷、3米以下玻璃的日常保洁（3米以上高空部位玻璃幕墙清洗的，由中标人组织进行，涉及的费用由校方另行支付）。</w:t>
            </w:r>
          </w:p>
          <w:p w14:paraId="79639BB1">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（3）作业频次与标准</w:t>
            </w:r>
          </w:p>
          <w:p w14:paraId="1194E41D">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①日常保洁：合理安排保洁人员工作区域。每日上、下午各进行一次保洁，所有区域全天候循环保洁，做到随脏随清。</w:t>
            </w:r>
          </w:p>
          <w:p w14:paraId="26B5D2DA">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②清洁通风：每日对楼宇内部、功能场所及通道等区域进行清洁并通风，并定期消毒。</w:t>
            </w:r>
          </w:p>
          <w:p w14:paraId="55E8F46C">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③垃圾管理：每日对食堂厨余垃圾进行收集清运放到指定地方。每日对校内垃圾及时收集、中转、清运并清理垃圾池（涉及环境部门垃圾清运及处理费用由校方负责）。</w:t>
            </w:r>
          </w:p>
          <w:p w14:paraId="4D3ACCE0">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（4）清洁质量要求：</w:t>
            </w:r>
          </w:p>
          <w:p w14:paraId="46344D7A">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①地面无垃圾、杂物、污渍、积水，公共场所无明显泥沙、污垢，每100㎡内纸屑不超过2片、无大于1cm石子。</w:t>
            </w:r>
          </w:p>
          <w:p w14:paraId="6AF67542">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②墙面无浮灰、蛛网、污迹；玻璃光洁无痕，灯具无尘无虫。</w:t>
            </w:r>
          </w:p>
          <w:p w14:paraId="2CD8FD4F">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③卫生间无异味，便器无黄渍，天花、墙角清洁。</w:t>
            </w:r>
          </w:p>
          <w:p w14:paraId="0901FA99">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④垃圾箱清运及时，清运率100%；垃圾桶外表干净、无满溢，周边无污垢、积水、异味。</w:t>
            </w:r>
          </w:p>
          <w:p w14:paraId="194C6B5F">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⑤排水沟无淤积，校园无卫生死角。</w:t>
            </w:r>
          </w:p>
          <w:p w14:paraId="46CC33E9">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（5）其他服务要求</w:t>
            </w:r>
          </w:p>
          <w:p w14:paraId="23CDE049">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①卫生防疫：根据校方安排，定期开展灭蚊、灭蝇、灭蚁、灭蟑、灭鼠等卫生防疫工作（药品由校方另行提供）。</w:t>
            </w:r>
          </w:p>
          <w:p w14:paraId="0743357A">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②协助学校做好疫情防控、创城等与物业服务相关的工作</w:t>
            </w:r>
          </w:p>
          <w:p w14:paraId="356063D6">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③临时任务配合：积极配合学校大型活动、检查等临时性活动卫生保洁工作。</w:t>
            </w:r>
          </w:p>
          <w:p w14:paraId="29A439D9">
            <w:pPr>
              <w:pStyle w:val="24"/>
              <w:keepNext w:val="0"/>
              <w:keepLines w:val="0"/>
              <w:pageBreakBefore w:val="0"/>
              <w:widowControl w:val="0"/>
              <w:kinsoku/>
              <w:wordWrap/>
              <w:overflowPunct/>
              <w:topLinePunct w:val="0"/>
              <w:autoSpaceDE/>
              <w:autoSpaceDN/>
              <w:bidi w:val="0"/>
              <w:snapToGrid/>
              <w:spacing w:line="440" w:lineRule="exact"/>
              <w:ind w:left="0" w:leftChars="0" w:firstLine="482" w:firstLineChars="200"/>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2. 绿化员的绿化维护服务</w:t>
            </w:r>
          </w:p>
          <w:p w14:paraId="0C2479FF">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（1）总体养护目标</w:t>
            </w:r>
          </w:p>
          <w:p w14:paraId="538724A0">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确保校园绿化景观“三季有花，四季常青”，植株生长健壮、形态美观。负责学校大型活动及重大节日的花卉布置工作。</w:t>
            </w:r>
          </w:p>
          <w:p w14:paraId="3EDC7B79">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（2）日常养护工作项目与标准</w:t>
            </w:r>
          </w:p>
          <w:p w14:paraId="1C5D4B55">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①浇水：草地灌木每周至少浇两次（具体视天气情况）。做到保持植物良好长势，杜绝因为缺水出现枯萎等现象。</w:t>
            </w:r>
          </w:p>
          <w:p w14:paraId="1BAC0386">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②施肥：平均2-3次/年。做到施肥均匀、充足、适度、保证绿化植物强壮、枝叶茂盛。</w:t>
            </w:r>
          </w:p>
          <w:p w14:paraId="27BC1D04">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③修剪整形：草地8-10次/年，灌木6-8次/年（根据长势状况而定），乔木修剪2-4次/年。做到草的高度一致，整齐美观。乔、灌木：植物主枝分布均匀；绿篱整齐一致。</w:t>
            </w:r>
          </w:p>
          <w:p w14:paraId="1DA009BE">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④病虫害防治：草地、灌木、乔木及时防治。视病害发生情况适时喷药，使用国家规定的绿色环保农药。</w:t>
            </w:r>
          </w:p>
          <w:p w14:paraId="4ABC3F2A">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⑤病虫草松土：每月除杂草一遍，雨后杂草严重者每周一遍。做到花丛下无杂草，树盘内无杂草，花木丛中不允许有高于花木的杂草，草坪上不允许有开花杂草。</w:t>
            </w:r>
          </w:p>
          <w:p w14:paraId="575FC821">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⑥清理绿化垃圾：修剪下来的树枝和杂草要当天清运，不准就地焚烧。做到有专人跟踪保洁。</w:t>
            </w:r>
          </w:p>
          <w:p w14:paraId="27DE8575">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⑦防风防汛：灾前积极预防，对树木加固，灾后及时清除倒树断枝、疏通道路、清理垃圾。做到尽快恢复原状、不能影响学校正常工作。</w:t>
            </w:r>
          </w:p>
          <w:p w14:paraId="60C4C578">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（3）整体质量要求</w:t>
            </w:r>
          </w:p>
          <w:p w14:paraId="2EF69426">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按不同季节对花卉苗木的养护要求进行养护，并做到：</w:t>
            </w:r>
          </w:p>
          <w:p w14:paraId="5D6B2F90">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①树灌木完整，长势茂盛，无枯枝死杈，无病虫害，树木无钉枪捆绑。</w:t>
            </w:r>
          </w:p>
          <w:p w14:paraId="1DC255BA">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②绿篱、绿地整洁无杂草、杂物、物料堆放。</w:t>
            </w:r>
          </w:p>
          <w:p w14:paraId="38265010">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③绿化设施完好率不低于98%。</w:t>
            </w:r>
          </w:p>
          <w:p w14:paraId="46E094A0">
            <w:pPr>
              <w:pStyle w:val="24"/>
              <w:keepNext w:val="0"/>
              <w:keepLines w:val="0"/>
              <w:pageBreakBefore w:val="0"/>
              <w:widowControl w:val="0"/>
              <w:kinsoku/>
              <w:wordWrap/>
              <w:overflowPunct/>
              <w:topLinePunct w:val="0"/>
              <w:autoSpaceDE/>
              <w:autoSpaceDN/>
              <w:bidi w:val="0"/>
              <w:snapToGrid/>
              <w:spacing w:line="440" w:lineRule="exact"/>
              <w:ind w:left="0" w:leftChars="0" w:firstLine="482" w:firstLineChars="200"/>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3. 水电工的日常维修服务</w:t>
            </w:r>
          </w:p>
          <w:p w14:paraId="278DD627">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（1）维修服务原则</w:t>
            </w:r>
          </w:p>
          <w:p w14:paraId="5C42C63E">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应遵循“经济节约、修旧利废”的原则。对于损坏的设施设备及物品，应首先评估其维修可行性及成本。凡通过维修可以恢复正常使用功能、且维修成本低于更换成本的，必须优先进行维修处理，不得无故建议或要求更换。若确需更换，必须向采购人提交书面说明，并经采购人确认同意后，方可进行更换。</w:t>
            </w:r>
          </w:p>
          <w:p w14:paraId="01BC9B6F">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（2）日常巡检制度</w:t>
            </w:r>
          </w:p>
          <w:p w14:paraId="1D06C923">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建立巡视制度，每日上、下午各进行一次全面巡检并记录，覆盖以下系统：</w:t>
            </w:r>
          </w:p>
          <w:p w14:paraId="137FACEC">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①排水排污：检查管道畅通情况，及时清理杂物（化粪池沉积物的抽吸、清掏由中标人负责实施及联络工作，相关费用由学校另行负责）。</w:t>
            </w:r>
          </w:p>
          <w:p w14:paraId="30B222AF">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②公共照明：检查学校路灯及楼梯照明是否正常，发现故障及时修复，并早晚巡检及时关闭无照明需要的电灯，避免浪费电力。</w:t>
            </w:r>
          </w:p>
          <w:p w14:paraId="63A0CEE0">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③公共设施：检查有无损毁公共设施，包括门窗、家具、室内照明、水电管线等，发现损坏立即维修；如属人为破坏情况需制止并上报。</w:t>
            </w:r>
          </w:p>
          <w:p w14:paraId="40F62402">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④管线安全：检查各类水、电、气等管线有无破损、断裂、锈蚀，一经发现立即进行维修并做好记录，保证各类管道电线正常使用。</w:t>
            </w:r>
          </w:p>
          <w:p w14:paraId="105D9A4C">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⑤配电设施：保持电缆沟（竖井）无水渍、杂物、鼠害、配电箱外观干燥完好、整洁、运行正常。</w:t>
            </w:r>
          </w:p>
          <w:p w14:paraId="470FF810">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⑥节能管理：杜绝“长明灯、长流水”及“跑冒滴漏”现象。</w:t>
            </w:r>
          </w:p>
          <w:p w14:paraId="3674DFBD">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（3）维修维护内容</w:t>
            </w:r>
          </w:p>
          <w:p w14:paraId="60FC8E69">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①公共区域：维修教学楼、办公楼等场所的门窗、桌椅、照明、给排水、电器及户外设施（道路、宣传栏等）。</w:t>
            </w:r>
          </w:p>
          <w:p w14:paraId="451BD112">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②宿舍区域：维修宿舍内家具、门窗锁具、水电设施（灯具插座、龙头、淋浴器等），并保障热水系统正常运行。</w:t>
            </w:r>
          </w:p>
          <w:p w14:paraId="29FACF03">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③响应要求：影响教学的公共区域故障及宿舍区紧急报修（如断电、漏水），须优先按应急流程处理。</w:t>
            </w:r>
          </w:p>
          <w:p w14:paraId="76C50144">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（4）应急与值班制度</w:t>
            </w:r>
          </w:p>
          <w:p w14:paraId="7DB28EB7">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①水电工24小时值班，随时响应。</w:t>
            </w:r>
          </w:p>
          <w:p w14:paraId="0951344B">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②向校方提供紧急联络名录，确保信息畅通。</w:t>
            </w:r>
          </w:p>
          <w:p w14:paraId="64ACFA1A">
            <w:pPr>
              <w:pStyle w:val="24"/>
              <w:keepNext w:val="0"/>
              <w:keepLines w:val="0"/>
              <w:pageBreakBefore w:val="0"/>
              <w:widowControl w:val="0"/>
              <w:kinsoku/>
              <w:wordWrap/>
              <w:overflowPunct/>
              <w:topLinePunct w:val="0"/>
              <w:autoSpaceDE/>
              <w:autoSpaceDN/>
              <w:bidi w:val="0"/>
              <w:snapToGrid/>
              <w:spacing w:line="440" w:lineRule="exact"/>
              <w:ind w:left="0" w:leftChars="0" w:firstLine="0" w:firstLineChars="0"/>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三、岗位配置要求及素质要求</w:t>
            </w:r>
          </w:p>
          <w:p w14:paraId="11191ED7">
            <w:pPr>
              <w:pStyle w:val="24"/>
              <w:keepNext w:val="0"/>
              <w:keepLines w:val="0"/>
              <w:pageBreakBefore w:val="0"/>
              <w:widowControl w:val="0"/>
              <w:kinsoku/>
              <w:wordWrap/>
              <w:overflowPunct/>
              <w:topLinePunct w:val="0"/>
              <w:autoSpaceDE/>
              <w:autoSpaceDN/>
              <w:bidi w:val="0"/>
              <w:snapToGrid/>
              <w:spacing w:line="440" w:lineRule="exact"/>
              <w:ind w:left="0" w:leftChars="0" w:firstLine="0" w:firstLineChars="0"/>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（一）岗位人员配置</w:t>
            </w:r>
          </w:p>
          <w:p w14:paraId="7B12944B">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1.</w:t>
            </w:r>
            <w:r>
              <w:rPr>
                <w:rFonts w:hint="eastAsia" w:ascii="Times New Roman" w:hAnsi="Times New Roman" w:cs="Times New Roman"/>
                <w:b w:val="0"/>
                <w:bCs w:val="0"/>
                <w:color w:val="auto"/>
                <w:sz w:val="24"/>
                <w:szCs w:val="24"/>
                <w:highlight w:val="none"/>
                <w:lang w:val="en-US" w:eastAsia="zh-CN"/>
              </w:rPr>
              <w:t>供应商</w:t>
            </w:r>
            <w:r>
              <w:rPr>
                <w:rFonts w:hint="default" w:ascii="Times New Roman" w:hAnsi="Times New Roman" w:cs="Times New Roman"/>
                <w:b w:val="0"/>
                <w:bCs w:val="0"/>
                <w:color w:val="auto"/>
                <w:sz w:val="24"/>
                <w:szCs w:val="24"/>
                <w:highlight w:val="none"/>
                <w:lang w:val="en-US" w:eastAsia="zh-CN"/>
              </w:rPr>
              <w:t>必须按各派驻校区的对要求，对各个岗位不同时段的人员数量和岗位要求配备相应物业服务人员，并保证实际到岗。</w:t>
            </w:r>
            <w:r>
              <w:rPr>
                <w:rFonts w:hint="eastAsia" w:ascii="Times New Roman" w:hAnsi="Times New Roman" w:cs="Times New Roman"/>
                <w:b w:val="0"/>
                <w:bCs w:val="0"/>
                <w:color w:val="auto"/>
                <w:sz w:val="24"/>
                <w:szCs w:val="24"/>
                <w:highlight w:val="none"/>
                <w:lang w:val="en-US" w:eastAsia="zh-CN"/>
              </w:rPr>
              <w:t>供应商</w:t>
            </w:r>
            <w:r>
              <w:rPr>
                <w:rFonts w:hint="default" w:ascii="Times New Roman" w:hAnsi="Times New Roman" w:cs="Times New Roman"/>
                <w:b w:val="0"/>
                <w:bCs w:val="0"/>
                <w:color w:val="auto"/>
                <w:sz w:val="24"/>
                <w:szCs w:val="24"/>
                <w:highlight w:val="none"/>
                <w:lang w:val="en-US" w:eastAsia="zh-CN"/>
              </w:rPr>
              <w:t>在组织、安排保安工作时，应符合国家相关法规，维护物业服务人员的正当权益。</w:t>
            </w:r>
            <w:r>
              <w:rPr>
                <w:rFonts w:hint="eastAsia" w:ascii="Times New Roman" w:hAnsi="Times New Roman" w:cs="Times New Roman"/>
                <w:b w:val="0"/>
                <w:bCs w:val="0"/>
                <w:color w:val="auto"/>
                <w:sz w:val="24"/>
                <w:szCs w:val="24"/>
                <w:highlight w:val="none"/>
                <w:lang w:val="en-US" w:eastAsia="zh-CN"/>
              </w:rPr>
              <w:t>供应商</w:t>
            </w:r>
            <w:r>
              <w:rPr>
                <w:rFonts w:hint="default" w:ascii="Times New Roman" w:hAnsi="Times New Roman" w:cs="Times New Roman"/>
                <w:b w:val="0"/>
                <w:bCs w:val="0"/>
                <w:color w:val="auto"/>
                <w:sz w:val="24"/>
                <w:szCs w:val="24"/>
                <w:highlight w:val="none"/>
                <w:lang w:val="en-US" w:eastAsia="zh-CN"/>
              </w:rPr>
              <w:t>对其用工行为承担一切法律责任。</w:t>
            </w:r>
          </w:p>
          <w:p w14:paraId="7110A95C">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color w:val="auto"/>
                <w:highlight w:val="none"/>
                <w:lang w:val="en-US" w:eastAsia="zh-CN"/>
              </w:rPr>
              <w:t>2.拟</w:t>
            </w:r>
            <w:r>
              <w:rPr>
                <w:rFonts w:hint="default" w:ascii="Times New Roman" w:hAnsi="Times New Roman" w:cs="Times New Roman"/>
                <w:b w:val="0"/>
                <w:bCs w:val="0"/>
                <w:color w:val="auto"/>
                <w:sz w:val="24"/>
                <w:szCs w:val="24"/>
                <w:highlight w:val="none"/>
                <w:lang w:val="en-US" w:eastAsia="zh-CN"/>
              </w:rPr>
              <w:t>派物业人员</w:t>
            </w:r>
            <w:r>
              <w:rPr>
                <w:rFonts w:hint="default" w:ascii="Times New Roman" w:hAnsi="Times New Roman" w:cs="Times New Roman"/>
                <w:color w:val="auto"/>
                <w:highlight w:val="none"/>
                <w:lang w:val="en-US" w:eastAsia="zh-CN"/>
              </w:rPr>
              <w:t>身体健康，视力正常，无传染性、肝、肾、心脏、心血管等严重疾病，无不良社会记录等，提供正规医院健康证明，年龄58岁以下（女员工年龄在18-50岁，男员工年龄在18-58岁）。</w:t>
            </w:r>
          </w:p>
          <w:p w14:paraId="09F80829">
            <w:pPr>
              <w:pStyle w:val="24"/>
              <w:keepNext w:val="0"/>
              <w:keepLines w:val="0"/>
              <w:pageBreakBefore w:val="0"/>
              <w:widowControl w:val="0"/>
              <w:kinsoku/>
              <w:wordWrap/>
              <w:overflowPunct/>
              <w:topLinePunct w:val="0"/>
              <w:autoSpaceDE/>
              <w:autoSpaceDN/>
              <w:bidi w:val="0"/>
              <w:snapToGrid/>
              <w:spacing w:line="440" w:lineRule="exact"/>
              <w:ind w:left="0" w:leftChars="0" w:firstLine="0" w:firstLineChars="0"/>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（二）岗位时间安排</w:t>
            </w:r>
          </w:p>
          <w:p w14:paraId="73720128">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1. 水电工：上午7:30-12:00，下午14:30-18:00。</w:t>
            </w:r>
          </w:p>
          <w:p w14:paraId="269EBD74">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2. 保洁员：上午7:30-12:00，下午14:30-18:00。</w:t>
            </w:r>
          </w:p>
          <w:p w14:paraId="1D6DAE62">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3. 绿化员：上午7:30-12:00，下午14:30-18:00。</w:t>
            </w:r>
          </w:p>
          <w:p w14:paraId="15385098">
            <w:pPr>
              <w:pStyle w:val="24"/>
              <w:keepNext w:val="0"/>
              <w:keepLines w:val="0"/>
              <w:pageBreakBefore w:val="0"/>
              <w:widowControl w:val="0"/>
              <w:kinsoku/>
              <w:wordWrap/>
              <w:overflowPunct/>
              <w:topLinePunct w:val="0"/>
              <w:autoSpaceDE/>
              <w:autoSpaceDN/>
              <w:bidi w:val="0"/>
              <w:snapToGrid/>
              <w:spacing w:line="440" w:lineRule="exact"/>
              <w:ind w:left="0" w:leftChars="0" w:firstLine="482" w:firstLineChars="200"/>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（注：如所服务单位有特殊要求，具体安排由相关单位自行安排）</w:t>
            </w:r>
          </w:p>
          <w:p w14:paraId="50BAAFDA">
            <w:pPr>
              <w:pStyle w:val="24"/>
              <w:keepNext w:val="0"/>
              <w:keepLines w:val="0"/>
              <w:pageBreakBefore w:val="0"/>
              <w:widowControl w:val="0"/>
              <w:kinsoku/>
              <w:wordWrap/>
              <w:overflowPunct/>
              <w:topLinePunct w:val="0"/>
              <w:autoSpaceDE/>
              <w:autoSpaceDN/>
              <w:bidi w:val="0"/>
              <w:snapToGrid/>
              <w:spacing w:line="440" w:lineRule="exact"/>
              <w:ind w:left="0" w:leftChars="0" w:firstLine="482" w:firstLineChars="200"/>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（二）岗位素质要求</w:t>
            </w:r>
          </w:p>
          <w:p w14:paraId="557BBC4D">
            <w:pPr>
              <w:pStyle w:val="24"/>
              <w:keepNext w:val="0"/>
              <w:keepLines w:val="0"/>
              <w:pageBreakBefore w:val="0"/>
              <w:widowControl w:val="0"/>
              <w:kinsoku/>
              <w:wordWrap/>
              <w:overflowPunct/>
              <w:topLinePunct w:val="0"/>
              <w:autoSpaceDE/>
              <w:autoSpaceDN/>
              <w:bidi w:val="0"/>
              <w:snapToGrid/>
              <w:spacing w:line="440" w:lineRule="exact"/>
              <w:ind w:left="0" w:leftChars="0" w:firstLine="482" w:firstLineChars="200"/>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1. 职业道德规范</w:t>
            </w:r>
          </w:p>
          <w:p w14:paraId="60AD63A5">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（1）敬业爱岗，恪尽职守：勤奋务实，积极投入本职工作，热爱岗位并乐于奉献。</w:t>
            </w:r>
          </w:p>
          <w:p w14:paraId="38821796">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（2）遵纪守法，严守规章：自觉遵守国家法律法规，严格执行公司及校方各项规章制度与劳动纪律。</w:t>
            </w:r>
          </w:p>
          <w:p w14:paraId="28822284">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（3）勤学善思，提升技能：主动学习相关知识，持续提升业务能力与服务水准。</w:t>
            </w:r>
          </w:p>
          <w:p w14:paraId="3114BF85">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（4）廉洁奉公，维护声誉：爱护公共财产，不以权谋私，自觉维护公司与学校的利益及形象。</w:t>
            </w:r>
          </w:p>
          <w:p w14:paraId="3AA649E0">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（5）勤俭节约，节能降耗：树立节约意识，在日常工作中践行节约能源、爱惜物资。</w:t>
            </w:r>
          </w:p>
          <w:p w14:paraId="36489EFB">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（6）团结协作，和谐共事：严于律己，宽以待人，妥善处理个人与集体、同事间关系，具备良好的团队协作精神。</w:t>
            </w:r>
          </w:p>
          <w:p w14:paraId="3D6A422D">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（7）严守秘密，谨言慎行：未经授权，不得对外泄露或传播学校的任何信息与资料。</w:t>
            </w:r>
          </w:p>
          <w:p w14:paraId="1F8C532C">
            <w:pPr>
              <w:pStyle w:val="24"/>
              <w:keepNext w:val="0"/>
              <w:keepLines w:val="0"/>
              <w:pageBreakBefore w:val="0"/>
              <w:widowControl w:val="0"/>
              <w:kinsoku/>
              <w:wordWrap/>
              <w:overflowPunct/>
              <w:topLinePunct w:val="0"/>
              <w:autoSpaceDE/>
              <w:autoSpaceDN/>
              <w:bidi w:val="0"/>
              <w:snapToGrid/>
              <w:spacing w:line="440" w:lineRule="exact"/>
              <w:ind w:left="0" w:leftChars="0" w:firstLine="482" w:firstLineChars="200"/>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2. 服务意识规范</w:t>
            </w:r>
          </w:p>
          <w:p w14:paraId="346FA28C">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（1）文明礼貌，举止得体：使用规范用语，谈吐文雅，保持衣着整洁，举止大方端庄。</w:t>
            </w:r>
          </w:p>
          <w:p w14:paraId="1CE8D8AD">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（2）主动热情，真诚服务：以积极热情的态度面对师生，主动识别服务需求，乐于为师生解决实际困难，常面带微笑，态度谦和。</w:t>
            </w:r>
          </w:p>
          <w:p w14:paraId="28741D79">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（3）耐心周到，细致入微：服务过程中保持耐心，不厌其烦，虚心听取师生意见，细致解答疑问，力求提供全面、满意的服务。</w:t>
            </w:r>
          </w:p>
          <w:p w14:paraId="5E359F92">
            <w:pPr>
              <w:pStyle w:val="24"/>
              <w:keepNext w:val="0"/>
              <w:keepLines w:val="0"/>
              <w:pageBreakBefore w:val="0"/>
              <w:widowControl w:val="0"/>
              <w:kinsoku/>
              <w:wordWrap/>
              <w:overflowPunct/>
              <w:topLinePunct w:val="0"/>
              <w:autoSpaceDE/>
              <w:autoSpaceDN/>
              <w:bidi w:val="0"/>
              <w:snapToGrid/>
              <w:spacing w:line="440" w:lineRule="exact"/>
              <w:ind w:left="0" w:leftChars="0" w:firstLine="482" w:firstLineChars="200"/>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3. 仪容仪表规范</w:t>
            </w:r>
          </w:p>
          <w:p w14:paraId="30091317">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（1）保持个人卫生，着装统一、整洁，工作证应端正佩戴于左胸前。</w:t>
            </w:r>
          </w:p>
          <w:p w14:paraId="3ED289BD">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（2）工作时间内不得穿短裤、背心、拖鞋等不规范着装进入工作区域。</w:t>
            </w:r>
          </w:p>
          <w:p w14:paraId="5AE24AC3">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（3）男员工：发长不掩耳、不遮领，每日剃须；保持指甲清洁，不留长指甲；衣着纽扣扣齐，领带紧束（大箭头下端以垂至皮带扣处为准），衬衣下摆应束于裤内。</w:t>
            </w:r>
          </w:p>
          <w:p w14:paraId="0109038B">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（4）女员工：发长不过肩，发型简洁大方，不染怪异发色；不留长指甲，不涂染艳丽指甲油；妆容朴素淡雅，不浓妆艳抹；不穿着黑色或带花纹的丝袜。</w:t>
            </w:r>
          </w:p>
          <w:p w14:paraId="73D1FFF0">
            <w:pPr>
              <w:pStyle w:val="24"/>
              <w:keepNext w:val="0"/>
              <w:keepLines w:val="0"/>
              <w:pageBreakBefore w:val="0"/>
              <w:widowControl w:val="0"/>
              <w:kinsoku/>
              <w:wordWrap/>
              <w:overflowPunct/>
              <w:topLinePunct w:val="0"/>
              <w:autoSpaceDE/>
              <w:autoSpaceDN/>
              <w:bidi w:val="0"/>
              <w:snapToGrid/>
              <w:spacing w:line="440" w:lineRule="exact"/>
              <w:ind w:left="0" w:leftChars="0" w:firstLine="482" w:firstLineChars="200"/>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（三）岗位工作职责要求</w:t>
            </w:r>
          </w:p>
          <w:p w14:paraId="0CF51EA2">
            <w:pPr>
              <w:pStyle w:val="24"/>
              <w:keepNext w:val="0"/>
              <w:keepLines w:val="0"/>
              <w:pageBreakBefore w:val="0"/>
              <w:widowControl w:val="0"/>
              <w:kinsoku/>
              <w:wordWrap/>
              <w:overflowPunct/>
              <w:topLinePunct w:val="0"/>
              <w:autoSpaceDE/>
              <w:autoSpaceDN/>
              <w:bidi w:val="0"/>
              <w:snapToGrid/>
              <w:spacing w:line="440" w:lineRule="exact"/>
              <w:ind w:left="0" w:leftChars="0" w:firstLine="482" w:firstLineChars="200"/>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1. 水电工</w:t>
            </w:r>
          </w:p>
          <w:p w14:paraId="18A5E777">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（1）水电综合维修：</w:t>
            </w:r>
          </w:p>
          <w:p w14:paraId="7EB8E434">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① 熟悉并遵守相关法规及各项规章制度，熟练掌握应急预案。</w:t>
            </w:r>
          </w:p>
          <w:p w14:paraId="155C79F5">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微软雅黑" w:cs="Times New Roman"/>
                <w:color w:val="auto"/>
                <w:sz w:val="24"/>
                <w:szCs w:val="24"/>
                <w:highlight w:val="none"/>
                <w:lang w:val="en-US" w:eastAsia="zh-CN"/>
              </w:rPr>
              <w:t xml:space="preserve">② </w:t>
            </w:r>
            <w:r>
              <w:rPr>
                <w:rFonts w:hint="default" w:ascii="Times New Roman" w:hAnsi="Times New Roman" w:cs="Times New Roman"/>
                <w:color w:val="auto"/>
                <w:highlight w:val="none"/>
                <w:lang w:val="en-US" w:eastAsia="zh-CN"/>
              </w:rPr>
              <w:t>持证上岗，定期培训。</w:t>
            </w:r>
          </w:p>
          <w:p w14:paraId="6CD0BA9B">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sz w:val="24"/>
                <w:szCs w:val="24"/>
                <w:highlight w:val="none"/>
                <w:lang w:val="en-US" w:eastAsia="zh-CN"/>
              </w:rPr>
              <w:t xml:space="preserve">③ </w:t>
            </w:r>
            <w:r>
              <w:rPr>
                <w:rFonts w:hint="default" w:ascii="Times New Roman" w:hAnsi="Times New Roman" w:cs="Times New Roman"/>
                <w:color w:val="auto"/>
                <w:highlight w:val="none"/>
                <w:lang w:val="en-US" w:eastAsia="zh-CN"/>
              </w:rPr>
              <w:t>熟悉辖区内水电线路、开关等设施设备功能及分布情况。熟练掌握相关维修技能，严格执行操作规程。</w:t>
            </w:r>
          </w:p>
          <w:p w14:paraId="71BDF39B">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微软雅黑" w:cs="Times New Roman"/>
                <w:color w:val="auto"/>
                <w:highlight w:val="none"/>
              </w:rPr>
              <w:t>④</w:t>
            </w:r>
            <w:r>
              <w:rPr>
                <w:rFonts w:hint="default" w:ascii="Times New Roman" w:hAnsi="Times New Roman" w:eastAsia="微软雅黑"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定时巡检水电线路等设施设备，填写记录，保持完好运行，发现问题时，应准确判断，及时处理。</w:t>
            </w:r>
          </w:p>
          <w:p w14:paraId="5E79A517">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微软雅黑" w:cs="Times New Roman"/>
                <w:color w:val="auto"/>
                <w:highlight w:val="none"/>
              </w:rPr>
              <w:t>⑤</w:t>
            </w:r>
            <w:r>
              <w:rPr>
                <w:rFonts w:hint="default" w:ascii="Times New Roman" w:hAnsi="Times New Roman" w:eastAsia="微软雅黑"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接到报修后60分钟内到达现场，维修合格率达100%。水电抢修不过夜。</w:t>
            </w:r>
          </w:p>
          <w:p w14:paraId="6BC3388E">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微软雅黑" w:cs="Times New Roman"/>
                <w:color w:val="auto"/>
                <w:highlight w:val="none"/>
              </w:rPr>
              <w:t>⑥</w:t>
            </w:r>
            <w:r>
              <w:rPr>
                <w:rFonts w:hint="default" w:ascii="Times New Roman" w:hAnsi="Times New Roman" w:eastAsia="微软雅黑"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供配电室及室外变台、箱变、低压配电室双人巡检维护。</w:t>
            </w:r>
          </w:p>
          <w:p w14:paraId="0CB92BA5">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微软雅黑" w:cs="Times New Roman"/>
                <w:color w:val="auto"/>
                <w:highlight w:val="none"/>
              </w:rPr>
              <w:t>⑦</w:t>
            </w:r>
            <w:r>
              <w:rPr>
                <w:rFonts w:hint="default" w:ascii="Times New Roman" w:hAnsi="Times New Roman" w:eastAsia="微软雅黑"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停送电操作，应填写相关工作票，做好安全组织，按规范程序操作。</w:t>
            </w:r>
          </w:p>
          <w:p w14:paraId="55F01B38">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微软雅黑" w:cs="Times New Roman"/>
                <w:color w:val="auto"/>
                <w:highlight w:val="none"/>
              </w:rPr>
              <w:t>⑧</w:t>
            </w:r>
            <w:r>
              <w:rPr>
                <w:rFonts w:hint="default" w:ascii="Times New Roman" w:hAnsi="Times New Roman" w:eastAsia="微软雅黑"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定期检查避雷、接地设施完好性，定期进行相关试验。</w:t>
            </w:r>
          </w:p>
          <w:p w14:paraId="5BD60B29">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微软雅黑" w:cs="Times New Roman"/>
                <w:color w:val="auto"/>
                <w:highlight w:val="none"/>
              </w:rPr>
              <w:t>⑨</w:t>
            </w:r>
            <w:r>
              <w:rPr>
                <w:rFonts w:hint="default" w:ascii="Times New Roman" w:hAnsi="Times New Roman" w:eastAsia="微软雅黑"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按规范要求，配置安全防护设施，定时清扫设备及配电室卫生。</w:t>
            </w:r>
          </w:p>
          <w:p w14:paraId="22542C6D">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微软雅黑" w:cs="Times New Roman"/>
                <w:color w:val="auto"/>
                <w:highlight w:val="none"/>
              </w:rPr>
              <w:t>⑩</w:t>
            </w:r>
            <w:r>
              <w:rPr>
                <w:rFonts w:hint="default" w:ascii="Times New Roman" w:hAnsi="Times New Roman" w:eastAsia="微软雅黑"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制定并组织实施设备维保计划。</w:t>
            </w:r>
          </w:p>
          <w:p w14:paraId="37BE46B8">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（2）公共设施小型维修：</w:t>
            </w:r>
          </w:p>
          <w:p w14:paraId="3439D105">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微软雅黑" w:cs="Times New Roman"/>
                <w:color w:val="auto"/>
                <w:highlight w:val="none"/>
              </w:rPr>
              <w:t>①</w:t>
            </w:r>
            <w:r>
              <w:rPr>
                <w:rFonts w:hint="default" w:ascii="Times New Roman" w:hAnsi="Times New Roman" w:eastAsia="微软雅黑"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熟悉并遵守相关法规及各项规章制度，熟练掌握应急预案。</w:t>
            </w:r>
          </w:p>
          <w:p w14:paraId="74C776BF">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微软雅黑" w:cs="Times New Roman"/>
                <w:color w:val="auto"/>
                <w:highlight w:val="none"/>
              </w:rPr>
              <w:t>②</w:t>
            </w:r>
            <w:r>
              <w:rPr>
                <w:rFonts w:hint="default" w:ascii="Times New Roman" w:hAnsi="Times New Roman" w:eastAsia="微软雅黑"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定期培训，特种作业必须持证上岗。</w:t>
            </w:r>
          </w:p>
          <w:p w14:paraId="6446CAC2">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微软雅黑" w:cs="Times New Roman"/>
                <w:color w:val="auto"/>
                <w:highlight w:val="none"/>
              </w:rPr>
              <w:t>③</w:t>
            </w:r>
            <w:r>
              <w:rPr>
                <w:rFonts w:hint="default" w:ascii="Times New Roman" w:hAnsi="Times New Roman" w:eastAsia="微软雅黑"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辖区内建筑设施维修，包括：房屋、门窗、学生宿舍门锁家具、道路、广场、管井、化粪池、景观小品等设施。</w:t>
            </w:r>
          </w:p>
          <w:p w14:paraId="7B5BC54C">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微软雅黑" w:cs="Times New Roman"/>
                <w:color w:val="auto"/>
                <w:highlight w:val="none"/>
              </w:rPr>
              <w:t>④</w:t>
            </w:r>
            <w:r>
              <w:rPr>
                <w:rFonts w:hint="default" w:ascii="Times New Roman" w:hAnsi="Times New Roman" w:eastAsia="微软雅黑"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定时巡检，填写记录，保持设施完好，发现问题时，应准确判断，及时处理。</w:t>
            </w:r>
          </w:p>
          <w:p w14:paraId="70A0C0DB">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⑤接到报修后60分钟内到达现场，维修合格率达100%。</w:t>
            </w:r>
          </w:p>
          <w:p w14:paraId="4E9DB409">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⑥常备配件类维修，自接到报修后应当日修复。</w:t>
            </w:r>
          </w:p>
          <w:p w14:paraId="31E641D3">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⑦外购配件及土建类维修，自接到报修之日起应3日内修复。</w:t>
            </w:r>
          </w:p>
          <w:p w14:paraId="5906D767">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Yu Gothic UI Light" w:cs="Times New Roman"/>
                <w:color w:val="auto"/>
                <w:highlight w:val="none"/>
                <w:lang w:val="en-US" w:eastAsia="zh-CN"/>
              </w:rPr>
              <w:t>⑧</w:t>
            </w:r>
            <w:r>
              <w:rPr>
                <w:rFonts w:hint="default" w:ascii="Times New Roman" w:hAnsi="Times New Roman" w:cs="Times New Roman"/>
                <w:color w:val="auto"/>
                <w:highlight w:val="none"/>
                <w:lang w:val="en-US" w:eastAsia="zh-CN"/>
              </w:rPr>
              <w:t>雨季做好本职防汛工作，排查有关隐患。</w:t>
            </w:r>
          </w:p>
          <w:p w14:paraId="39C9A197">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Yu Gothic UI Light" w:cs="Times New Roman"/>
                <w:color w:val="auto"/>
                <w:highlight w:val="none"/>
                <w:lang w:val="en-US" w:eastAsia="zh-CN"/>
              </w:rPr>
              <w:t>➈</w:t>
            </w:r>
            <w:r>
              <w:rPr>
                <w:rFonts w:hint="default" w:ascii="Times New Roman" w:hAnsi="Times New Roman" w:cs="Times New Roman"/>
                <w:color w:val="auto"/>
                <w:highlight w:val="none"/>
                <w:lang w:val="en-US" w:eastAsia="zh-CN"/>
              </w:rPr>
              <w:t>提出专项修缮建议。</w:t>
            </w:r>
          </w:p>
          <w:p w14:paraId="0D224441">
            <w:pPr>
              <w:pStyle w:val="24"/>
              <w:keepNext w:val="0"/>
              <w:keepLines w:val="0"/>
              <w:pageBreakBefore w:val="0"/>
              <w:widowControl w:val="0"/>
              <w:kinsoku/>
              <w:wordWrap/>
              <w:overflowPunct/>
              <w:topLinePunct w:val="0"/>
              <w:autoSpaceDE/>
              <w:autoSpaceDN/>
              <w:bidi w:val="0"/>
              <w:snapToGrid/>
              <w:spacing w:line="440" w:lineRule="exact"/>
              <w:ind w:left="0" w:leftChars="0" w:firstLine="482" w:firstLineChars="200"/>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2. 保洁员</w:t>
            </w:r>
          </w:p>
          <w:p w14:paraId="6951E070">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（1）熟悉并遵守相关法规及各项规章制度。保洁服务讲求文明礼貌。</w:t>
            </w:r>
          </w:p>
          <w:p w14:paraId="7BA0BD3D">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（2）以下公共区域的设施设备要保持整洁：墙壁、门窗、玻璃、照明、地墙面、楼梯、扶手、水房、卫生间、天花板、标识牌、消防、水暖电气、电梯、宣传栏等。</w:t>
            </w:r>
          </w:p>
          <w:p w14:paraId="5783B661">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（3）公共卫生间要保持空气清新、洁具明亮，无异味、无积水、无污垢。</w:t>
            </w:r>
          </w:p>
          <w:p w14:paraId="74DDF0FF">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（4）楼宇周边，要保持环境整洁、各种车辆整齐有序。</w:t>
            </w:r>
          </w:p>
          <w:p w14:paraId="1EA22DC2">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（5）雨、雪天气时，负责清扫责任区的积水和积雪。</w:t>
            </w:r>
          </w:p>
          <w:p w14:paraId="394BEC62">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（6）捡拾遗失物品应登记备案、完好交还失主。</w:t>
            </w:r>
          </w:p>
          <w:p w14:paraId="4E3880DD">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（7）发现火情、治安事件、嫌疑人员、可疑现象、水暖跑冒、燃气泄漏等紧急情况，应及时上报并协助处理。</w:t>
            </w:r>
          </w:p>
          <w:p w14:paraId="7737FFE8">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 绿化员</w:t>
            </w:r>
          </w:p>
          <w:p w14:paraId="41C3B6BF">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（1）熟悉并遵守相关法规及各项规章制度，熟练掌握应急预案。</w:t>
            </w:r>
          </w:p>
          <w:p w14:paraId="4A477D47">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（2）熟悉花草树木名称、习性和养护，定期进行培训。</w:t>
            </w:r>
          </w:p>
          <w:p w14:paraId="4175952B">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（3）做好辖区乔灌草等植物的修剪、施肥、浇水、除草等工作，保持植物生长状态良好，形状美观。</w:t>
            </w:r>
          </w:p>
          <w:p w14:paraId="7FBCAD46">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（4）有效利用生物、化学、物理方法防控病虫害。</w:t>
            </w:r>
          </w:p>
          <w:p w14:paraId="07A6D0C0">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（5）熟练使用、维护园林机械设备和喷灌设施。</w:t>
            </w:r>
          </w:p>
          <w:p w14:paraId="32E44ADB">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（6）熟练掌握种植、移植技术。</w:t>
            </w:r>
          </w:p>
          <w:p w14:paraId="71C7B295">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（7）保持绿地整洁无杂物、无污染物。</w:t>
            </w:r>
          </w:p>
          <w:p w14:paraId="42DD8B35">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（8）按规范要求，有效维护古树健康生长。</w:t>
            </w:r>
          </w:p>
          <w:p w14:paraId="1C8AAB51">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（9）做好防范植物倒伏隐患排查工作。</w:t>
            </w:r>
          </w:p>
          <w:p w14:paraId="116E9CC3">
            <w:pPr>
              <w:pStyle w:val="24"/>
              <w:keepNext w:val="0"/>
              <w:keepLines w:val="0"/>
              <w:pageBreakBefore w:val="0"/>
              <w:widowControl w:val="0"/>
              <w:kinsoku/>
              <w:wordWrap/>
              <w:overflowPunct/>
              <w:topLinePunct w:val="0"/>
              <w:autoSpaceDE/>
              <w:autoSpaceDN/>
              <w:bidi w:val="0"/>
              <w:snapToGrid/>
              <w:spacing w:line="440" w:lineRule="exact"/>
              <w:ind w:left="0" w:leftChars="0" w:firstLine="482" w:firstLineChars="200"/>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四、档案管理要求</w:t>
            </w:r>
          </w:p>
          <w:p w14:paraId="4BB1F4B6">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default" w:ascii="Times New Roman" w:hAnsi="Times New Roman" w:eastAsia="仿宋_GB2312" w:cs="Times New Roman"/>
                <w:color w:val="auto"/>
                <w:kern w:val="2"/>
                <w:sz w:val="24"/>
                <w:highlight w:val="none"/>
                <w:lang w:val="en-US" w:eastAsia="zh-CN" w:bidi="ar-SA"/>
              </w:rPr>
            </w:pPr>
            <w:r>
              <w:rPr>
                <w:rFonts w:hint="eastAsia" w:ascii="Times New Roman" w:hAnsi="Times New Roman" w:cs="Times New Roman"/>
                <w:color w:val="auto"/>
                <w:highlight w:val="none"/>
                <w:lang w:val="en-US" w:eastAsia="zh-CN"/>
              </w:rPr>
              <w:t>供应商</w:t>
            </w:r>
            <w:r>
              <w:rPr>
                <w:rFonts w:hint="default" w:ascii="Times New Roman" w:hAnsi="Times New Roman" w:cs="Times New Roman"/>
                <w:color w:val="auto"/>
                <w:highlight w:val="none"/>
                <w:lang w:val="en-US" w:eastAsia="zh-CN"/>
              </w:rPr>
              <w:t>须建立并妥善保管包括但不限于：员工档案与培训记录、日常巡检与维修日志、设备设施保养台账、考核记录、消杀记录、宿舍管理值班与检查记录等全套物业管理档案，供学校随时抽查。</w:t>
            </w:r>
          </w:p>
        </w:tc>
      </w:tr>
      <w:tr w14:paraId="2645E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44" w:type="dxa"/>
            <w:gridSpan w:val="2"/>
            <w:vMerge w:val="continue"/>
            <w:shd w:val="clear" w:color="auto" w:fill="auto"/>
            <w:vAlign w:val="center"/>
          </w:tcPr>
          <w:p w14:paraId="64007758">
            <w:pPr>
              <w:pStyle w:val="24"/>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eastAsia="仿宋_GB2312" w:cs="Times New Roman"/>
                <w:color w:val="auto"/>
                <w:kern w:val="2"/>
                <w:sz w:val="24"/>
                <w:highlight w:val="none"/>
                <w:lang w:val="en-US" w:eastAsia="zh-CN" w:bidi="ar-SA"/>
              </w:rPr>
            </w:pPr>
          </w:p>
        </w:tc>
      </w:tr>
      <w:tr w14:paraId="4C0A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44" w:type="dxa"/>
            <w:gridSpan w:val="2"/>
            <w:vMerge w:val="continue"/>
            <w:shd w:val="clear" w:color="auto" w:fill="auto"/>
            <w:vAlign w:val="center"/>
          </w:tcPr>
          <w:p w14:paraId="73E2067F">
            <w:pPr>
              <w:pStyle w:val="24"/>
              <w:keepNext w:val="0"/>
              <w:keepLines w:val="0"/>
              <w:pageBreakBefore w:val="0"/>
              <w:widowControl w:val="0"/>
              <w:kinsoku/>
              <w:overflowPunct/>
              <w:topLinePunct w:val="0"/>
              <w:autoSpaceDE/>
              <w:autoSpaceDN/>
              <w:bidi w:val="0"/>
              <w:snapToGrid/>
              <w:spacing w:line="500" w:lineRule="exact"/>
              <w:ind w:left="0" w:leftChars="0" w:firstLine="480" w:firstLineChars="200"/>
              <w:textAlignment w:val="auto"/>
              <w:rPr>
                <w:rFonts w:hint="default" w:ascii="Times New Roman" w:hAnsi="Times New Roman" w:eastAsia="仿宋_GB2312" w:cs="Times New Roman"/>
                <w:color w:val="auto"/>
                <w:kern w:val="2"/>
                <w:sz w:val="24"/>
                <w:highlight w:val="none"/>
                <w:lang w:val="en-US" w:eastAsia="zh-CN" w:bidi="ar-SA"/>
              </w:rPr>
            </w:pPr>
          </w:p>
        </w:tc>
      </w:tr>
      <w:tr w14:paraId="55633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844" w:type="dxa"/>
            <w:gridSpan w:val="2"/>
            <w:shd w:val="clear" w:color="auto" w:fill="auto"/>
            <w:vAlign w:val="center"/>
          </w:tcPr>
          <w:p w14:paraId="52FCD556">
            <w:pPr>
              <w:pStyle w:val="24"/>
              <w:keepNext w:val="0"/>
              <w:keepLines w:val="0"/>
              <w:pageBreakBefore w:val="0"/>
              <w:widowControl w:val="0"/>
              <w:kinsoku/>
              <w:wordWrap/>
              <w:overflowPunct/>
              <w:topLinePunct w:val="0"/>
              <w:autoSpaceDE/>
              <w:autoSpaceDN/>
              <w:bidi w:val="0"/>
              <w:snapToGrid/>
              <w:spacing w:line="38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第二部分 北海市卫生学校物业服务</w:t>
            </w:r>
          </w:p>
        </w:tc>
      </w:tr>
      <w:tr w14:paraId="2F93B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4" w:type="dxa"/>
            <w:gridSpan w:val="2"/>
            <w:shd w:val="clear" w:color="auto" w:fill="auto"/>
            <w:vAlign w:val="center"/>
          </w:tcPr>
          <w:p w14:paraId="0F9A3BCE">
            <w:pPr>
              <w:pStyle w:val="24"/>
              <w:keepNext w:val="0"/>
              <w:keepLines w:val="0"/>
              <w:pageBreakBefore w:val="0"/>
              <w:widowControl w:val="0"/>
              <w:kinsoku/>
              <w:wordWrap/>
              <w:overflowPunct/>
              <w:topLinePunct w:val="0"/>
              <w:autoSpaceDE/>
              <w:autoSpaceDN/>
              <w:bidi w:val="0"/>
              <w:snapToGrid/>
              <w:spacing w:line="42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一、服务范围和内容</w:t>
            </w:r>
          </w:p>
          <w:p w14:paraId="39FC6456">
            <w:pPr>
              <w:pStyle w:val="24"/>
              <w:keepNext w:val="0"/>
              <w:keepLines w:val="0"/>
              <w:pageBreakBefore w:val="0"/>
              <w:widowControl w:val="0"/>
              <w:kinsoku/>
              <w:wordWrap/>
              <w:overflowPunct/>
              <w:topLinePunct w:val="0"/>
              <w:autoSpaceDE/>
              <w:autoSpaceDN/>
              <w:bidi w:val="0"/>
              <w:snapToGrid/>
              <w:spacing w:line="42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（一）服务范围</w:t>
            </w:r>
          </w:p>
          <w:p w14:paraId="2784DDAD">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为派驻学校校园全域（包括所有建筑物、公共场所）提供物业服务，负责</w:t>
            </w:r>
            <w:r>
              <w:rPr>
                <w:rFonts w:hint="eastAsia" w:ascii="宋体" w:hAnsi="宋体" w:eastAsia="宋体" w:cs="宋体"/>
                <w:color w:val="auto"/>
                <w:sz w:val="24"/>
                <w:szCs w:val="24"/>
                <w:highlight w:val="none"/>
              </w:rPr>
              <w:t>学校卫生保洁、绿化维护管理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日常维修</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val="en-US" w:eastAsia="zh-CN"/>
              </w:rPr>
              <w:t>学生宿舍管理等服务。</w:t>
            </w:r>
          </w:p>
          <w:p w14:paraId="63A8E9C2">
            <w:pPr>
              <w:pStyle w:val="24"/>
              <w:keepNext w:val="0"/>
              <w:keepLines w:val="0"/>
              <w:pageBreakBefore w:val="0"/>
              <w:widowControl w:val="0"/>
              <w:kinsoku/>
              <w:wordWrap/>
              <w:overflowPunct/>
              <w:topLinePunct w:val="0"/>
              <w:autoSpaceDE/>
              <w:autoSpaceDN/>
              <w:bidi w:val="0"/>
              <w:snapToGrid/>
              <w:spacing w:line="42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（二）服务内容</w:t>
            </w:r>
          </w:p>
          <w:p w14:paraId="0FC09667">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校园内物业负责公共路面、卫生间、教学及行政办公室等所有公共卫生区域的卫生清洁、垃圾收集、卫生间简单管道疏通等清洁保洁服务；</w:t>
            </w:r>
          </w:p>
          <w:p w14:paraId="407DC3BC">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校区内公共绿地、花木、建筑小品的养护管理；</w:t>
            </w:r>
          </w:p>
          <w:p w14:paraId="77A92008">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校内学生宿舍的管理服务；</w:t>
            </w:r>
          </w:p>
          <w:p w14:paraId="31C491C2">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水电维修管理、协助学校完成设施设备维修保养；积极完成校方安排的其他临时工作任务。</w:t>
            </w:r>
          </w:p>
          <w:p w14:paraId="6601F0FB">
            <w:pPr>
              <w:pStyle w:val="24"/>
              <w:keepNext w:val="0"/>
              <w:keepLines w:val="0"/>
              <w:pageBreakBefore w:val="0"/>
              <w:widowControl w:val="0"/>
              <w:kinsoku/>
              <w:wordWrap/>
              <w:overflowPunct/>
              <w:topLinePunct w:val="0"/>
              <w:autoSpaceDE/>
              <w:autoSpaceDN/>
              <w:bidi w:val="0"/>
              <w:snapToGrid/>
              <w:spacing w:line="42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二、服务要求</w:t>
            </w:r>
          </w:p>
          <w:p w14:paraId="0DC3D8ED">
            <w:pPr>
              <w:pStyle w:val="24"/>
              <w:keepNext w:val="0"/>
              <w:keepLines w:val="0"/>
              <w:pageBreakBefore w:val="0"/>
              <w:widowControl w:val="0"/>
              <w:kinsoku/>
              <w:wordWrap/>
              <w:overflowPunct/>
              <w:topLinePunct w:val="0"/>
              <w:autoSpaceDE/>
              <w:autoSpaceDN/>
              <w:bidi w:val="0"/>
              <w:snapToGrid/>
              <w:spacing w:line="42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（一）总体服务要求</w:t>
            </w:r>
          </w:p>
          <w:p w14:paraId="3311757A">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1．服务用工人数正常班不少于 55 人，假期班不少于26人。具体安排如下：</w:t>
            </w:r>
          </w:p>
          <w:tbl>
            <w:tblPr>
              <w:tblStyle w:val="64"/>
              <w:tblW w:w="7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5"/>
              <w:gridCol w:w="2454"/>
              <w:gridCol w:w="2612"/>
            </w:tblGrid>
            <w:tr w14:paraId="1799C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625" w:type="dxa"/>
                  <w:vAlign w:val="center"/>
                </w:tcPr>
                <w:p w14:paraId="0BA53AF6">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班期</w:t>
                  </w:r>
                </w:p>
              </w:tc>
              <w:tc>
                <w:tcPr>
                  <w:tcW w:w="2454" w:type="dxa"/>
                  <w:vAlign w:val="center"/>
                </w:tcPr>
                <w:p w14:paraId="557A07EA">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人员类别</w:t>
                  </w:r>
                </w:p>
              </w:tc>
              <w:tc>
                <w:tcPr>
                  <w:tcW w:w="2612" w:type="dxa"/>
                  <w:vAlign w:val="center"/>
                </w:tcPr>
                <w:p w14:paraId="0AC2040B">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配备人数</w:t>
                  </w:r>
                </w:p>
              </w:tc>
            </w:tr>
            <w:tr w14:paraId="01CD6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625" w:type="dxa"/>
                  <w:vMerge w:val="restart"/>
                  <w:vAlign w:val="center"/>
                </w:tcPr>
                <w:p w14:paraId="0EC04D15">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2026-2027年度正常班</w:t>
                  </w:r>
                </w:p>
                <w:p w14:paraId="34A459D0">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（11个月）</w:t>
                  </w:r>
                </w:p>
              </w:tc>
              <w:tc>
                <w:tcPr>
                  <w:tcW w:w="2454" w:type="dxa"/>
                  <w:vAlign w:val="center"/>
                </w:tcPr>
                <w:p w14:paraId="43A504B4">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水电工</w:t>
                  </w:r>
                </w:p>
              </w:tc>
              <w:tc>
                <w:tcPr>
                  <w:tcW w:w="2612" w:type="dxa"/>
                  <w:vAlign w:val="center"/>
                </w:tcPr>
                <w:p w14:paraId="6764DEB4">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w:t>
                  </w:r>
                </w:p>
              </w:tc>
            </w:tr>
            <w:tr w14:paraId="013F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625" w:type="dxa"/>
                  <w:vMerge w:val="continue"/>
                  <w:vAlign w:val="center"/>
                </w:tcPr>
                <w:p w14:paraId="32AB354E">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2454" w:type="dxa"/>
                  <w:vAlign w:val="center"/>
                </w:tcPr>
                <w:p w14:paraId="22D69914">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保洁员</w:t>
                  </w:r>
                </w:p>
              </w:tc>
              <w:tc>
                <w:tcPr>
                  <w:tcW w:w="2612" w:type="dxa"/>
                  <w:vAlign w:val="center"/>
                </w:tcPr>
                <w:p w14:paraId="4357D416">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17</w:t>
                  </w:r>
                </w:p>
              </w:tc>
            </w:tr>
            <w:tr w14:paraId="22198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625" w:type="dxa"/>
                  <w:vMerge w:val="continue"/>
                  <w:vAlign w:val="center"/>
                </w:tcPr>
                <w:p w14:paraId="6F541188">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2454" w:type="dxa"/>
                  <w:vAlign w:val="center"/>
                </w:tcPr>
                <w:p w14:paraId="20CB6A2C">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绿化员</w:t>
                  </w:r>
                </w:p>
              </w:tc>
              <w:tc>
                <w:tcPr>
                  <w:tcW w:w="2612" w:type="dxa"/>
                  <w:vAlign w:val="center"/>
                </w:tcPr>
                <w:p w14:paraId="72B14520">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r>
            <w:tr w14:paraId="5F4D7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625" w:type="dxa"/>
                  <w:vMerge w:val="continue"/>
                  <w:vAlign w:val="center"/>
                </w:tcPr>
                <w:p w14:paraId="1E7A2525">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2454" w:type="dxa"/>
                  <w:vAlign w:val="center"/>
                </w:tcPr>
                <w:p w14:paraId="0BBEF5C4">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宿管员</w:t>
                  </w:r>
                </w:p>
              </w:tc>
              <w:tc>
                <w:tcPr>
                  <w:tcW w:w="2612" w:type="dxa"/>
                  <w:vAlign w:val="center"/>
                </w:tcPr>
                <w:p w14:paraId="530A0C64">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27</w:t>
                  </w:r>
                </w:p>
              </w:tc>
            </w:tr>
            <w:tr w14:paraId="6DB59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625" w:type="dxa"/>
                  <w:vMerge w:val="continue"/>
                  <w:vAlign w:val="center"/>
                </w:tcPr>
                <w:p w14:paraId="23E63B79">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2454" w:type="dxa"/>
                  <w:vAlign w:val="center"/>
                </w:tcPr>
                <w:p w14:paraId="312B205E">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合计</w:t>
                  </w:r>
                </w:p>
              </w:tc>
              <w:tc>
                <w:tcPr>
                  <w:tcW w:w="2612" w:type="dxa"/>
                  <w:vAlign w:val="center"/>
                </w:tcPr>
                <w:p w14:paraId="0F692A87">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55</w:t>
                  </w:r>
                </w:p>
              </w:tc>
            </w:tr>
            <w:tr w14:paraId="118C8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625" w:type="dxa"/>
                  <w:vMerge w:val="restart"/>
                  <w:vAlign w:val="center"/>
                </w:tcPr>
                <w:p w14:paraId="33CF3E40">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2026-2027年度假期班</w:t>
                  </w:r>
                </w:p>
                <w:p w14:paraId="60D7A98D">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（1.2个月）</w:t>
                  </w:r>
                </w:p>
              </w:tc>
              <w:tc>
                <w:tcPr>
                  <w:tcW w:w="2454" w:type="dxa"/>
                  <w:shd w:val="clear" w:color="auto" w:fill="auto"/>
                  <w:vAlign w:val="center"/>
                </w:tcPr>
                <w:p w14:paraId="5967B4E0">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水电工</w:t>
                  </w:r>
                </w:p>
              </w:tc>
              <w:tc>
                <w:tcPr>
                  <w:tcW w:w="2612" w:type="dxa"/>
                  <w:vAlign w:val="center"/>
                </w:tcPr>
                <w:p w14:paraId="3F348943">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w:t>
                  </w:r>
                </w:p>
              </w:tc>
            </w:tr>
            <w:tr w14:paraId="0EB9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625" w:type="dxa"/>
                  <w:vMerge w:val="continue"/>
                  <w:vAlign w:val="center"/>
                </w:tcPr>
                <w:p w14:paraId="5513FC58">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2454" w:type="dxa"/>
                  <w:vAlign w:val="center"/>
                </w:tcPr>
                <w:p w14:paraId="24CEF006">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保洁员</w:t>
                  </w:r>
                </w:p>
              </w:tc>
              <w:tc>
                <w:tcPr>
                  <w:tcW w:w="2612" w:type="dxa"/>
                  <w:vAlign w:val="center"/>
                </w:tcPr>
                <w:p w14:paraId="586BA143">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w:t>
                  </w:r>
                </w:p>
              </w:tc>
            </w:tr>
            <w:tr w14:paraId="2B6F2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625" w:type="dxa"/>
                  <w:vMerge w:val="continue"/>
                  <w:vAlign w:val="center"/>
                </w:tcPr>
                <w:p w14:paraId="1D805163">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2454" w:type="dxa"/>
                  <w:vAlign w:val="center"/>
                </w:tcPr>
                <w:p w14:paraId="65F45C7C">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绿化员</w:t>
                  </w:r>
                </w:p>
              </w:tc>
              <w:tc>
                <w:tcPr>
                  <w:tcW w:w="2612" w:type="dxa"/>
                  <w:vAlign w:val="center"/>
                </w:tcPr>
                <w:p w14:paraId="26670C2C">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r>
            <w:tr w14:paraId="16832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625" w:type="dxa"/>
                  <w:vMerge w:val="continue"/>
                  <w:vAlign w:val="center"/>
                </w:tcPr>
                <w:p w14:paraId="67DA47F9">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2454" w:type="dxa"/>
                  <w:vAlign w:val="center"/>
                </w:tcPr>
                <w:p w14:paraId="58E31423">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宿管员</w:t>
                  </w:r>
                </w:p>
              </w:tc>
              <w:tc>
                <w:tcPr>
                  <w:tcW w:w="2612" w:type="dxa"/>
                  <w:vAlign w:val="center"/>
                </w:tcPr>
                <w:p w14:paraId="2BBB9DF6">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r>
            <w:tr w14:paraId="21DE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625" w:type="dxa"/>
                  <w:vMerge w:val="continue"/>
                  <w:vAlign w:val="center"/>
                </w:tcPr>
                <w:p w14:paraId="1E775D81">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2454" w:type="dxa"/>
                  <w:vAlign w:val="center"/>
                </w:tcPr>
                <w:p w14:paraId="4DD66F1A">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合计</w:t>
                  </w:r>
                </w:p>
              </w:tc>
              <w:tc>
                <w:tcPr>
                  <w:tcW w:w="2612" w:type="dxa"/>
                  <w:vAlign w:val="center"/>
                </w:tcPr>
                <w:p w14:paraId="7440B9D7">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26</w:t>
                  </w:r>
                </w:p>
              </w:tc>
            </w:tr>
            <w:tr w14:paraId="5A86D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625" w:type="dxa"/>
                  <w:vMerge w:val="restart"/>
                  <w:shd w:val="clear" w:color="auto" w:fill="auto"/>
                  <w:vAlign w:val="center"/>
                </w:tcPr>
                <w:p w14:paraId="4786EE87">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2027-2028年度正常班</w:t>
                  </w:r>
                </w:p>
                <w:p w14:paraId="58EA3E3A">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（11个月）</w:t>
                  </w:r>
                </w:p>
              </w:tc>
              <w:tc>
                <w:tcPr>
                  <w:tcW w:w="2454" w:type="dxa"/>
                  <w:vAlign w:val="center"/>
                </w:tcPr>
                <w:p w14:paraId="364A9A4A">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水电工</w:t>
                  </w:r>
                </w:p>
              </w:tc>
              <w:tc>
                <w:tcPr>
                  <w:tcW w:w="2612" w:type="dxa"/>
                  <w:vAlign w:val="center"/>
                </w:tcPr>
                <w:p w14:paraId="28722AFD">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w:t>
                  </w:r>
                </w:p>
              </w:tc>
            </w:tr>
            <w:tr w14:paraId="3B42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625" w:type="dxa"/>
                  <w:vMerge w:val="continue"/>
                  <w:vAlign w:val="center"/>
                </w:tcPr>
                <w:p w14:paraId="0935375B">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2454" w:type="dxa"/>
                  <w:vAlign w:val="center"/>
                </w:tcPr>
                <w:p w14:paraId="71B205CF">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保洁员</w:t>
                  </w:r>
                </w:p>
              </w:tc>
              <w:tc>
                <w:tcPr>
                  <w:tcW w:w="2612" w:type="dxa"/>
                  <w:vAlign w:val="center"/>
                </w:tcPr>
                <w:p w14:paraId="599761A7">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17</w:t>
                  </w:r>
                </w:p>
              </w:tc>
            </w:tr>
            <w:tr w14:paraId="6490A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625" w:type="dxa"/>
                  <w:vMerge w:val="continue"/>
                  <w:vAlign w:val="center"/>
                </w:tcPr>
                <w:p w14:paraId="3D8663F2">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2454" w:type="dxa"/>
                  <w:vAlign w:val="center"/>
                </w:tcPr>
                <w:p w14:paraId="455E34F4">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绿化员</w:t>
                  </w:r>
                </w:p>
              </w:tc>
              <w:tc>
                <w:tcPr>
                  <w:tcW w:w="2612" w:type="dxa"/>
                  <w:vAlign w:val="center"/>
                </w:tcPr>
                <w:p w14:paraId="0313B821">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r>
            <w:tr w14:paraId="676C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625" w:type="dxa"/>
                  <w:vMerge w:val="continue"/>
                  <w:vAlign w:val="center"/>
                </w:tcPr>
                <w:p w14:paraId="457C887B">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2454" w:type="dxa"/>
                  <w:vAlign w:val="center"/>
                </w:tcPr>
                <w:p w14:paraId="35D1D9E0">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宿管员</w:t>
                  </w:r>
                </w:p>
              </w:tc>
              <w:tc>
                <w:tcPr>
                  <w:tcW w:w="2612" w:type="dxa"/>
                  <w:vAlign w:val="center"/>
                </w:tcPr>
                <w:p w14:paraId="18CA6C9B">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27</w:t>
                  </w:r>
                </w:p>
              </w:tc>
            </w:tr>
            <w:tr w14:paraId="6C567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625" w:type="dxa"/>
                  <w:vMerge w:val="continue"/>
                  <w:vAlign w:val="center"/>
                </w:tcPr>
                <w:p w14:paraId="23899E9C">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2454" w:type="dxa"/>
                  <w:vAlign w:val="center"/>
                </w:tcPr>
                <w:p w14:paraId="22C2DAE7">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合计</w:t>
                  </w:r>
                </w:p>
              </w:tc>
              <w:tc>
                <w:tcPr>
                  <w:tcW w:w="2612" w:type="dxa"/>
                  <w:vAlign w:val="center"/>
                </w:tcPr>
                <w:p w14:paraId="20D510C1">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55</w:t>
                  </w:r>
                </w:p>
              </w:tc>
            </w:tr>
            <w:tr w14:paraId="6E7F1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625" w:type="dxa"/>
                  <w:vMerge w:val="restart"/>
                  <w:vAlign w:val="center"/>
                </w:tcPr>
                <w:p w14:paraId="28F5AC7A">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2027-2028年度假期班</w:t>
                  </w:r>
                </w:p>
                <w:p w14:paraId="1E399519">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（1个月）</w:t>
                  </w:r>
                </w:p>
              </w:tc>
              <w:tc>
                <w:tcPr>
                  <w:tcW w:w="2454" w:type="dxa"/>
                  <w:vAlign w:val="center"/>
                </w:tcPr>
                <w:p w14:paraId="027C935C">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水电工</w:t>
                  </w:r>
                </w:p>
              </w:tc>
              <w:tc>
                <w:tcPr>
                  <w:tcW w:w="2612" w:type="dxa"/>
                </w:tcPr>
                <w:p w14:paraId="74BEFB27">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w:t>
                  </w:r>
                </w:p>
              </w:tc>
            </w:tr>
            <w:tr w14:paraId="2510D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625" w:type="dxa"/>
                  <w:vMerge w:val="continue"/>
                </w:tcPr>
                <w:p w14:paraId="697B809B">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2454" w:type="dxa"/>
                  <w:vAlign w:val="center"/>
                </w:tcPr>
                <w:p w14:paraId="57A45E32">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保洁员</w:t>
                  </w:r>
                </w:p>
              </w:tc>
              <w:tc>
                <w:tcPr>
                  <w:tcW w:w="2612" w:type="dxa"/>
                </w:tcPr>
                <w:p w14:paraId="73819791">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w:t>
                  </w:r>
                </w:p>
              </w:tc>
            </w:tr>
            <w:tr w14:paraId="2FDD5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625" w:type="dxa"/>
                  <w:vMerge w:val="continue"/>
                </w:tcPr>
                <w:p w14:paraId="59A16019">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2454" w:type="dxa"/>
                  <w:vAlign w:val="center"/>
                </w:tcPr>
                <w:p w14:paraId="18EE8509">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绿化员</w:t>
                  </w:r>
                </w:p>
              </w:tc>
              <w:tc>
                <w:tcPr>
                  <w:tcW w:w="2612" w:type="dxa"/>
                </w:tcPr>
                <w:p w14:paraId="444ACA93">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r>
            <w:tr w14:paraId="438F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625" w:type="dxa"/>
                  <w:vMerge w:val="continue"/>
                </w:tcPr>
                <w:p w14:paraId="29CFD887">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2454" w:type="dxa"/>
                  <w:vAlign w:val="center"/>
                </w:tcPr>
                <w:p w14:paraId="69FC0F5D">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宿管员</w:t>
                  </w:r>
                </w:p>
              </w:tc>
              <w:tc>
                <w:tcPr>
                  <w:tcW w:w="2612" w:type="dxa"/>
                </w:tcPr>
                <w:p w14:paraId="5A3F3C91">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r>
            <w:tr w14:paraId="61794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625" w:type="dxa"/>
                  <w:vMerge w:val="continue"/>
                </w:tcPr>
                <w:p w14:paraId="7F0DD023">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2454" w:type="dxa"/>
                  <w:vAlign w:val="center"/>
                </w:tcPr>
                <w:p w14:paraId="21CB62F1">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合计</w:t>
                  </w:r>
                </w:p>
              </w:tc>
              <w:tc>
                <w:tcPr>
                  <w:tcW w:w="2612" w:type="dxa"/>
                </w:tcPr>
                <w:p w14:paraId="28DF3D28">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26</w:t>
                  </w:r>
                </w:p>
              </w:tc>
            </w:tr>
          </w:tbl>
          <w:p w14:paraId="2FD4C978">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 </w:t>
            </w:r>
            <w:r>
              <w:rPr>
                <w:rFonts w:hint="eastAsia"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必须为所有上岗人员购买社会保险及人身意外保险。</w:t>
            </w:r>
          </w:p>
          <w:p w14:paraId="5F55B963">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女员工年龄在18-50岁，男员工年龄在18-58 岁。</w:t>
            </w:r>
          </w:p>
          <w:p w14:paraId="230BCC13">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上岗人员在工作期间发生员工工伤及意外伤害事故以及涉及用工方面的劳务纠纷和劳动事故全部由</w:t>
            </w:r>
            <w:r>
              <w:rPr>
                <w:rFonts w:hint="eastAsia"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承担责任。</w:t>
            </w:r>
          </w:p>
          <w:p w14:paraId="17621549">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 服务费涵盖基本工资、社会保险、物业服务费、税费等费用。</w:t>
            </w:r>
          </w:p>
          <w:p w14:paraId="3399C002">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 </w:t>
            </w:r>
            <w:r>
              <w:rPr>
                <w:rFonts w:hint="eastAsia"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必须每月按时足额发放员工工资，不得以任何理由拖欠员工工资，确保及时足额支付。</w:t>
            </w:r>
          </w:p>
          <w:p w14:paraId="534A9340">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7. </w:t>
            </w:r>
            <w:r>
              <w:rPr>
                <w:rFonts w:hint="eastAsia"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需有物业服务方案，质量管理、档案管理等制度。</w:t>
            </w:r>
          </w:p>
          <w:p w14:paraId="2C045670">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 物业服务人员统一着装，行为规范，服务主动热情。</w:t>
            </w:r>
          </w:p>
          <w:p w14:paraId="2F7FF185">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9. </w:t>
            </w:r>
            <w:r>
              <w:rPr>
                <w:rFonts w:hint="eastAsia"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须为所有上岗人员统一配备工服、水鞋、雨衣等劳动保护用品，并为电工、绿化、水泥工等岗位人员配备安全帽，且督促其在作业期间规范佩戴。相关费用已包含在服务费中，采购人有权对此进行监督与考核。</w:t>
            </w:r>
          </w:p>
          <w:p w14:paraId="0456CEFD">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10. </w:t>
            </w:r>
            <w:r>
              <w:rPr>
                <w:rFonts w:hint="eastAsia"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须严格遵守采购人资产与废弃物管理规定。所有上岗人员在日常工作中，不得捡拾、收集、私占校内产生的各类可回收废弃物（如纸皮、水瓶、废弃金属、塑料等）并带离校园出售或个人牟利。维修更换产生的废旧设施、材料、零部件等均属采购人资产，成交供应商须集中存放、登记，并按学校要求进行统一处置，不得擅自处理或变卖。成交供应商有责任对所属员工进行教育与管理，确保本要求得到有效执行。如有违反，采购人将视情节在月度服务质量考核中扣分，并有权要求成交供应商对相关人员进行严肃处理；造成学校资产损失的，成交供应商承担相应赔偿责任。</w:t>
            </w:r>
          </w:p>
          <w:p w14:paraId="29476AEB">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11. </w:t>
            </w:r>
            <w:r>
              <w:rPr>
                <w:rFonts w:hint="eastAsia"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每季度接受采购人服务质量考核，考核由采购人或校方采取日常巡查、随机抽查、专项检查相结合的方式进行。服务费以考核得分等级支付，支付比例如下：得分≥90分：支付当季应付服务费的100%；80分≤得分&lt;90分：支付当季应付服务费的95%；70 分≤得分&lt;80分：支付当季应付服务费的90%；得分&lt;70分：支付当季应付服务费的85%。得分低于70分或连续两季度低于80分，采购人或校方有权发出警告，要求限期整改，未能完成整改的采购人有权终止合同。（考核标准详见《附件：考核标准》）</w:t>
            </w:r>
          </w:p>
          <w:p w14:paraId="626E9FDB">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p>
          <w:p w14:paraId="163C0E69">
            <w:pPr>
              <w:pStyle w:val="24"/>
              <w:keepNext w:val="0"/>
              <w:keepLines w:val="0"/>
              <w:pageBreakBefore w:val="0"/>
              <w:widowControl w:val="0"/>
              <w:kinsoku/>
              <w:wordWrap/>
              <w:overflowPunct/>
              <w:topLinePunct w:val="0"/>
              <w:autoSpaceDE/>
              <w:autoSpaceDN/>
              <w:bidi w:val="0"/>
              <w:snapToGrid/>
              <w:spacing w:line="42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（二）具体工作要求</w:t>
            </w:r>
          </w:p>
          <w:p w14:paraId="6C69DAEB">
            <w:pPr>
              <w:pStyle w:val="24"/>
              <w:keepNext w:val="0"/>
              <w:keepLines w:val="0"/>
              <w:pageBreakBefore w:val="0"/>
              <w:widowControl w:val="0"/>
              <w:kinsoku/>
              <w:wordWrap/>
              <w:overflowPunct/>
              <w:topLinePunct w:val="0"/>
              <w:autoSpaceDE/>
              <w:autoSpaceDN/>
              <w:bidi w:val="0"/>
              <w:snapToGrid/>
              <w:spacing w:line="42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 保洁员的卫生保洁服务</w:t>
            </w:r>
          </w:p>
          <w:p w14:paraId="7CF1B7EB">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（1）服务原则</w:t>
            </w:r>
          </w:p>
          <w:p w14:paraId="0E290B84">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坚持“教学零干扰”作业，所有清洁、消毒、通风工作须安排于上课前、下课后或非教学高峰时段进行，确保正常教学秩序。</w:t>
            </w:r>
          </w:p>
          <w:p w14:paraId="5D62A1F1">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（2）服务范围</w:t>
            </w:r>
          </w:p>
          <w:p w14:paraId="23504C56">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涵盖校内各类建筑及公共区域，具体包括：</w:t>
            </w:r>
          </w:p>
          <w:p w14:paraId="07CC5EC3">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①楼宇内部：楼宇内部：教学楼①②栋、实训楼①②③栋、综合楼A、B 座、公租房①②栋、教师公寓 12 栋的各楼层卫生间、走廊、楼梯，学生食堂 1 至 3 楼就餐区、厕所、楼梯等。</w:t>
            </w:r>
          </w:p>
          <w:p w14:paraId="1DA9E76B">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②功能场所：行政办公室、教研组办公室、会议室、报告厅、图书馆、大礼堂、电梯等。</w:t>
            </w:r>
          </w:p>
          <w:p w14:paraId="7B234599">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③公共区域：公共教室、运动场所、校内广场、道路、停车场、绿化带、垃圾桶、垃圾池、宣传栏、标识牌等。</w:t>
            </w:r>
          </w:p>
          <w:p w14:paraId="35D0B31D">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④专项清洁：路面灯具、不锈钢饰品、宣传栏、校牌、标示牌、楼梯栏杆、护栏、雨篷、3米以下玻璃的日常保洁（3米以上高空部位玻璃幕墙清洗的，由中标人组织进行，涉及的费用由校方另行支付）。</w:t>
            </w:r>
          </w:p>
          <w:p w14:paraId="0989E561">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（3）作业频次与标准</w:t>
            </w:r>
          </w:p>
          <w:p w14:paraId="029A1F20">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①日常保洁：学生食堂就餐区、厕所、楼梯等每日早、中、晚均需保洁，其他区域（包括公共大教室）每日上、下午各进行一次保洁，所有区域全天候循环保洁，做到随脏随清。</w:t>
            </w:r>
          </w:p>
          <w:p w14:paraId="6EE7BCA1">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②清洁通风：每日对楼宇内部、功能场所及通道等区域进行清洁并通风，并定期消毒。</w:t>
            </w:r>
          </w:p>
          <w:p w14:paraId="4DC5E082">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③垃圾管理：每日对食堂厨余垃圾进行收集清运放到指定地方。每日对校内垃圾及时收集、中转、清运并清理垃圾池（涉及环境部门垃圾清运及处理费用由校方负责）。</w:t>
            </w:r>
          </w:p>
          <w:p w14:paraId="5EBB809D">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（4）清洁质量要求：</w:t>
            </w:r>
          </w:p>
          <w:p w14:paraId="237052E4">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①地面无垃圾、杂物、污渍、积水，公共场所无明显泥沙、污垢，每100㎡内纸屑不超过2片、无大于1cm石子。</w:t>
            </w:r>
          </w:p>
          <w:p w14:paraId="4D6BE92A">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②墙面无浮灰、蛛网、污迹；玻璃光洁无痕，灯具无尘无虫。</w:t>
            </w:r>
          </w:p>
          <w:p w14:paraId="35738B6F">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③卫生间无异味，便器无黄渍，天花、墙角清洁。</w:t>
            </w:r>
          </w:p>
          <w:p w14:paraId="7BB6C39F">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④垃圾箱清运及时，清运率100%；垃圾桶外表干净、无满溢，周边无污垢、积水、异味。</w:t>
            </w:r>
          </w:p>
          <w:p w14:paraId="054C1628">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⑤排水沟无淤积，校园无卫生死角。</w:t>
            </w:r>
          </w:p>
          <w:p w14:paraId="3693D241">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⑥食堂就餐区地面无油渍、无食物残渣堆积，餐桌椅清洁无污渍，残食回收台周边整洁、无堵塞。</w:t>
            </w:r>
          </w:p>
          <w:p w14:paraId="264C711F">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（5）其他服务要求</w:t>
            </w:r>
          </w:p>
          <w:p w14:paraId="1450E281">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①卫生防疫：根据校方安排，定期开展灭蚊、灭蝇、灭蚁、灭蟑、灭鼠等卫生防疫工作（药品由校方另行提供）。</w:t>
            </w:r>
          </w:p>
          <w:p w14:paraId="172C057E">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②协助学校做好疫情防控、创城等与物业服务相关的工作</w:t>
            </w:r>
          </w:p>
          <w:p w14:paraId="440131C6">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③临时任务配合：积极配合学校大型活动、检查等临时性活动卫生保洁工作。</w:t>
            </w:r>
          </w:p>
          <w:p w14:paraId="19560328">
            <w:pPr>
              <w:pStyle w:val="24"/>
              <w:keepNext w:val="0"/>
              <w:keepLines w:val="0"/>
              <w:pageBreakBefore w:val="0"/>
              <w:widowControl w:val="0"/>
              <w:kinsoku/>
              <w:wordWrap/>
              <w:overflowPunct/>
              <w:topLinePunct w:val="0"/>
              <w:autoSpaceDE/>
              <w:autoSpaceDN/>
              <w:bidi w:val="0"/>
              <w:snapToGrid/>
              <w:spacing w:line="42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 绿化员的绿化维护服务</w:t>
            </w:r>
          </w:p>
          <w:p w14:paraId="79C262F8">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（1）总体养护目标</w:t>
            </w:r>
          </w:p>
          <w:p w14:paraId="5BBA03BB">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确保校园绿化景观“三季有花，四季常青”，植株生长健壮、形态美观。负责学校大型活动及重大节日的花卉布置工作。</w:t>
            </w:r>
          </w:p>
          <w:p w14:paraId="5D5DE949">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（2）日常养护工作项目与标准</w:t>
            </w:r>
          </w:p>
          <w:p w14:paraId="5924AAAD">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①浇水：草地灌木每周至少浇两次（具体视天气情况）。做到保持植物良好长势，杜绝因为缺水出现枯萎等现象。</w:t>
            </w:r>
          </w:p>
          <w:p w14:paraId="3FBE1E4B">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②施肥：平均2-3次/年。做到施肥均匀、充足、适度、保证绿化植物强壮、枝叶茂盛。</w:t>
            </w:r>
          </w:p>
          <w:p w14:paraId="7D7F9F38">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③修剪整形：草地8-10次/年，灌木6-8次/年（根据长势状况而定），乔木修剪2-4次/年。做到草的高度一致，整齐美观。乔、灌木：植物主枝分布均匀；绿篱整齐一致。</w:t>
            </w:r>
          </w:p>
          <w:p w14:paraId="4FEBA667">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④病虫害防治：草地、灌木、乔木及时防治。视病害发生情况适时喷药，使用国家规定的绿色环保农药。</w:t>
            </w:r>
          </w:p>
          <w:p w14:paraId="30B1827A">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⑤病虫草松土：每月除杂草一遍，雨后杂草严重者每周一遍。做到花丛下无杂草，树盘内无杂草，花木丛中不允许有高于花木的杂草，草坪上不允许有开花杂草。</w:t>
            </w:r>
          </w:p>
          <w:p w14:paraId="24B56515">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⑥清理绿化垃圾：修剪下来的树枝和杂草要当天清运，不准就地焚烧。做到有专人跟踪保洁。</w:t>
            </w:r>
          </w:p>
          <w:p w14:paraId="0264C04B">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⑦防风防汛：灾前积极预防，对树木加固，灾后及时清除倒树断枝、疏通道路、清理垃圾。做到尽快恢复原状、不能影响学校正常工作。</w:t>
            </w:r>
          </w:p>
          <w:p w14:paraId="4AFB09C3">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（3）整体质量要求</w:t>
            </w:r>
          </w:p>
          <w:p w14:paraId="4BFB1F99">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按不同季节对花卉苗木的养护要求进行养护，并做到：</w:t>
            </w:r>
          </w:p>
          <w:p w14:paraId="3DBB29DA">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①树灌木完整，长势茂盛，无枯枝死杈，无病虫害，树木无钉枪捆绑。</w:t>
            </w:r>
          </w:p>
          <w:p w14:paraId="56788622">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②绿篱、绿地整洁无杂草、杂物、物料堆放。</w:t>
            </w:r>
          </w:p>
          <w:p w14:paraId="79515BA6">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③绿化设施完好率不低于98%。</w:t>
            </w:r>
          </w:p>
          <w:p w14:paraId="06AA4DEA">
            <w:pPr>
              <w:pStyle w:val="24"/>
              <w:keepNext w:val="0"/>
              <w:keepLines w:val="0"/>
              <w:pageBreakBefore w:val="0"/>
              <w:widowControl w:val="0"/>
              <w:kinsoku/>
              <w:wordWrap/>
              <w:overflowPunct/>
              <w:topLinePunct w:val="0"/>
              <w:autoSpaceDE/>
              <w:autoSpaceDN/>
              <w:bidi w:val="0"/>
              <w:snapToGrid/>
              <w:spacing w:line="42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 水电工的日常维修服务</w:t>
            </w:r>
          </w:p>
          <w:p w14:paraId="0FB68792">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（1）维修服务原则</w:t>
            </w:r>
          </w:p>
          <w:p w14:paraId="3546023E">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应遵循“经济节约、修旧利废”的原则。对于损坏的设施设备及物品，应首先评估其维修可行性及成本。凡通过维修可以恢复正常使用功能、且维修成本低于更换成本的，必须优先进行维修处理，不得无故建议或要求更换。若确需更换，必须向采购人提交书面说明，并经采购人确认同意后，方可进行更换。</w:t>
            </w:r>
          </w:p>
          <w:p w14:paraId="49900A1E">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（2）日常巡检制度</w:t>
            </w:r>
          </w:p>
          <w:p w14:paraId="4FAA0B31">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建立巡视制度，每日上、下午各进行一次全面巡检并记录，覆盖以下系统：</w:t>
            </w:r>
          </w:p>
          <w:p w14:paraId="03240EBA">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①排水排污：检查管道畅通情况，及时清理杂物（化粪池沉积物的抽吸、清掏由中标人负责实施及联络工作，相关费用由学校另行负责）。</w:t>
            </w:r>
          </w:p>
          <w:p w14:paraId="20D32481">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②公共照明：检查学校路灯及楼梯照明是否正常，发现故障及时修复，并早晚巡检及时关闭无照明需要的电灯，避免浪费电力。</w:t>
            </w:r>
          </w:p>
          <w:p w14:paraId="393AF6CF">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③公共设施：检查有无损毁公共设施，包括门窗、家具、室内照明、水电管线等，发现损坏立即维修；如属人为破坏情况需制止并上报。</w:t>
            </w:r>
          </w:p>
          <w:p w14:paraId="0A8812DB">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④管线安全：检查各类水、电、气等管线有无破损、断裂、锈蚀，一经发现立即进行维修并做好记录，保证各类管道电线正常使用。</w:t>
            </w:r>
          </w:p>
          <w:p w14:paraId="0F5B7EF6">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⑤配电设施：保持电缆沟（竖井）无水渍、杂物、鼠害、配电箱外观干燥完好、整洁、运行正常。</w:t>
            </w:r>
          </w:p>
          <w:p w14:paraId="49A759F1">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⑥节能管理：杜绝“长明灯、长流水”及“跑冒滴漏”现象。</w:t>
            </w:r>
          </w:p>
          <w:p w14:paraId="58FFF835">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（3）维修维护内容</w:t>
            </w:r>
          </w:p>
          <w:p w14:paraId="37873844">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①公共区域：维修教学楼、办公楼等场所的门窗、桌椅、照明、给排水、电器及户外设施（道路、宣传栏等）。</w:t>
            </w:r>
          </w:p>
          <w:p w14:paraId="25AEC0A4">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②宿舍区域：维修宿舍内家具、门窗锁具、水电设施（灯具插座、龙头、淋浴器等），并保障热水系统正常运行。</w:t>
            </w:r>
          </w:p>
          <w:p w14:paraId="7AC1DE56">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③响应要求：影响教学的公共区域故障及宿舍区紧急报修（如断电、漏水），须优先按应急流程处理。</w:t>
            </w:r>
          </w:p>
          <w:p w14:paraId="2D3DC5BF">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（4）应急与值班制度</w:t>
            </w:r>
          </w:p>
          <w:p w14:paraId="491AACA3">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①水电工24小时值班，随时响应。</w:t>
            </w:r>
          </w:p>
          <w:p w14:paraId="351371D3">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②向校方提供紧急联络名录，确保信息畅通。</w:t>
            </w:r>
          </w:p>
          <w:p w14:paraId="613B4D17">
            <w:pPr>
              <w:pStyle w:val="24"/>
              <w:keepNext w:val="0"/>
              <w:keepLines w:val="0"/>
              <w:pageBreakBefore w:val="0"/>
              <w:widowControl w:val="0"/>
              <w:kinsoku/>
              <w:wordWrap/>
              <w:overflowPunct/>
              <w:topLinePunct w:val="0"/>
              <w:autoSpaceDE/>
              <w:autoSpaceDN/>
              <w:bidi w:val="0"/>
              <w:snapToGrid/>
              <w:spacing w:line="420" w:lineRule="exact"/>
              <w:ind w:left="0" w:leftChars="0" w:firstLine="482" w:firstLineChars="200"/>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 xml:space="preserve">4. </w:t>
            </w:r>
            <w:r>
              <w:rPr>
                <w:rFonts w:hint="eastAsia" w:ascii="宋体" w:hAnsi="宋体" w:eastAsia="宋体" w:cs="宋体"/>
                <w:b/>
                <w:bCs/>
                <w:color w:val="auto"/>
                <w:sz w:val="24"/>
                <w:szCs w:val="24"/>
                <w:highlight w:val="none"/>
                <w:vertAlign w:val="baseline"/>
                <w:lang w:val="en-US" w:eastAsia="zh-CN"/>
              </w:rPr>
              <w:t>宿管员的学生宿舍服务</w:t>
            </w:r>
          </w:p>
          <w:p w14:paraId="1EE90D33">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（1）服务模式</w:t>
            </w:r>
          </w:p>
          <w:p w14:paraId="1A700713">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学生宿舍实行24 小时值班制。共计12 栋宿舍楼，每栋楼每班次配备1 名宿管员，实行三班倒。</w:t>
            </w:r>
          </w:p>
          <w:p w14:paraId="7A03F6A9">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（2）核心职责与服务要求</w:t>
            </w:r>
          </w:p>
          <w:p w14:paraId="49B1034A">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在学校相关科室的领导下，做好学生宿舍的各项管理、服务工作。</w:t>
            </w:r>
          </w:p>
          <w:p w14:paraId="7C1CBD7A">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①热爱本职工作，按时上岗。坚持原则，严格执行学生宿舍管理规章制度，保持高度的警惕性和责任感，负责管理区域内的安全防范工作和过道、楼梯及周边环境卫生工作。</w:t>
            </w:r>
          </w:p>
          <w:p w14:paraId="41265C61">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②了解住宿学生的基本情况，熟悉学生管理工作老师及联系方式。</w:t>
            </w:r>
          </w:p>
          <w:p w14:paraId="4AC601F2">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③实行全天24 小时值班制，节假日、寒暑假按照学校工作要求进行排班，并且服从学校工作安排（包含且不限于宿舍管理工作）。按规定时间准时值班并做好当班记录，并在值班情况栏上签名。</w:t>
            </w:r>
          </w:p>
          <w:p w14:paraId="2E97EA53">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④禁止闲人进入值班室，禁止做与值班无关的事。严禁任意叫人顶班，严禁随意离岗。</w:t>
            </w:r>
          </w:p>
          <w:p w14:paraId="5C0175B8">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⑤执行学校半封闭管理规章制度，按时开关学生宿舍大门，关闭时原则上禁止人员出入。发现公物丢失或损坏的作好记录，并及时报告总务处，同时将内务卫生检查情况公布在黑板上。每晚按规定关闭宿舍楼大门并巡视楼内，督促学生按时休息。</w:t>
            </w:r>
          </w:p>
          <w:p w14:paraId="0AAF4E1D">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⑥执行来访登记制度，对来访人员应查看其有效证件，询问来访目的，办理登记手续后方可进入学生宿舍楼。严禁异性人员进入宿舍内，认真检查进出人员携带的物品，对可疑人员要盘问，午休及晚上21：30 后不接待来访，禁止学生留宿外来人员，禁止推销及收废品人员进入宿舍楼。</w:t>
            </w:r>
          </w:p>
          <w:p w14:paraId="43ED66F9">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⑦检查和督促学生佩戴校牌出入学生宿舍楼，制止学生在学习、休息时间进行阻碍他人学习和休息的活动，制止学生的不文明行为，制止学生酗酒、打架斗殴、搓麻将、打麻将牌、赌博等，敢于同坏人坏事作斗争，若遇突发事件，及时报告学校领导。</w:t>
            </w:r>
          </w:p>
          <w:p w14:paraId="42A56B3D">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⑧负责学生宿舍的卫生管理，维护学生宿舍区内的秩序，规范物品的堆放，制止乱停乱放。具体要求如下： </w:t>
            </w:r>
          </w:p>
          <w:p w14:paraId="08E22632">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a .坚持每天对宿舍楼公物、门窗玻璃、消防器材等设施设备、学生反映的维修项目和安全隐患情况及时掌握，分清责任，如实上报且做好记录。熟悉消防器材的使用与保养，熟知消防通道钥匙的放置位置，遇到特殊紧急情况能及时打开消防通道，组织学生疏散撤离。</w:t>
            </w:r>
          </w:p>
          <w:p w14:paraId="0B028285">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b.学生上课后检查学生宿舍安全和卫生；保持宿舍楼道、走廊清洁卫生，墙壁无浮灰、蜘蛛网、无明显污迹。 </w:t>
            </w:r>
          </w:p>
          <w:p w14:paraId="5B703352">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c .指导学生做好内务整理工作，监督检查寝室纪律，并把每天检查的结果报学校管理部门。按照学校的宿舍卫生评比标准，进行内务卫生及纪律检查评分，并及时公布，改善学生不好的生活习惯，培养学生文明行为习惯。</w:t>
            </w:r>
          </w:p>
          <w:p w14:paraId="7007AE97">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⑨保持值班室内清洁、卫生、整齐，搞好值班室周围的环境卫生。禁止任何人在宿舍楼内外墙体张贴广告、标语等，发现后要及时清理掉。</w:t>
            </w:r>
          </w:p>
          <w:p w14:paraId="422D2109">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⑩监督学生爱护宿舍公共设施，发现问题及时报告总务处。制止学生随意移动或搬走宿舍公共设施。</w:t>
            </w:r>
          </w:p>
          <w:p w14:paraId="6ABF1F3E">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⑪协助学校办理住宿学生的入住手续，告知学生学校关于宿舍管理的有关规章制度；及时反映学生住宿方面存在的问题，树立服务意识。</w:t>
            </w:r>
          </w:p>
          <w:p w14:paraId="0211E218">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⑫严格管理，热情服务，注重情感教育。</w:t>
            </w:r>
          </w:p>
          <w:p w14:paraId="05990039">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⑬完成领导临时交办的其他工作任务</w:t>
            </w:r>
          </w:p>
          <w:p w14:paraId="045A0A55">
            <w:pPr>
              <w:pStyle w:val="24"/>
              <w:keepNext w:val="0"/>
              <w:keepLines w:val="0"/>
              <w:pageBreakBefore w:val="0"/>
              <w:widowControl w:val="0"/>
              <w:kinsoku/>
              <w:wordWrap/>
              <w:overflowPunct/>
              <w:topLinePunct w:val="0"/>
              <w:autoSpaceDE/>
              <w:autoSpaceDN/>
              <w:bidi w:val="0"/>
              <w:snapToGrid/>
              <w:spacing w:line="42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三、岗位配置要求及素质要求</w:t>
            </w:r>
          </w:p>
          <w:p w14:paraId="530400C3">
            <w:pPr>
              <w:pStyle w:val="24"/>
              <w:keepNext w:val="0"/>
              <w:keepLines w:val="0"/>
              <w:pageBreakBefore w:val="0"/>
              <w:widowControl w:val="0"/>
              <w:kinsoku/>
              <w:wordWrap/>
              <w:overflowPunct/>
              <w:topLinePunct w:val="0"/>
              <w:autoSpaceDE/>
              <w:autoSpaceDN/>
              <w:bidi w:val="0"/>
              <w:snapToGrid/>
              <w:spacing w:line="42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（一）岗位人员配置</w:t>
            </w:r>
          </w:p>
          <w:p w14:paraId="1FCF86B8">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hAnsi="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lang w:val="en-US" w:eastAsia="zh-CN"/>
              </w:rPr>
              <w:t>必须按各派驻校区的要求，对各个岗位不同时段的人员数量和岗位要求配备相应物业服务人员，并保证实际到岗。</w:t>
            </w:r>
            <w:r>
              <w:rPr>
                <w:rFonts w:hint="eastAsia" w:hAnsi="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lang w:val="en-US" w:eastAsia="zh-CN"/>
              </w:rPr>
              <w:t>在组织、安排</w:t>
            </w:r>
            <w:r>
              <w:rPr>
                <w:rFonts w:hint="eastAsia" w:ascii="宋体" w:hAnsi="宋体" w:eastAsia="宋体" w:cs="宋体"/>
                <w:color w:val="auto"/>
                <w:sz w:val="24"/>
                <w:szCs w:val="24"/>
                <w:highlight w:val="none"/>
                <w:lang w:val="en-US" w:eastAsia="zh-CN"/>
              </w:rPr>
              <w:t>物业服务人员</w:t>
            </w:r>
            <w:r>
              <w:rPr>
                <w:rFonts w:hint="eastAsia" w:ascii="宋体" w:hAnsi="宋体" w:eastAsia="宋体" w:cs="宋体"/>
                <w:b w:val="0"/>
                <w:bCs w:val="0"/>
                <w:color w:val="auto"/>
                <w:sz w:val="24"/>
                <w:szCs w:val="24"/>
                <w:highlight w:val="none"/>
                <w:lang w:val="en-US" w:eastAsia="zh-CN"/>
              </w:rPr>
              <w:t>工作时，应符合国家相关法规，维护物业服务人员的正当权益。</w:t>
            </w:r>
            <w:r>
              <w:rPr>
                <w:rFonts w:hint="eastAsia" w:hAnsi="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lang w:val="en-US" w:eastAsia="zh-CN"/>
              </w:rPr>
              <w:t>对其用工行为承担一切法律责任。</w:t>
            </w:r>
          </w:p>
          <w:p w14:paraId="4A5CACE1">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2.拟</w:t>
            </w:r>
            <w:r>
              <w:rPr>
                <w:rFonts w:hint="eastAsia" w:ascii="宋体" w:hAnsi="宋体" w:eastAsia="宋体" w:cs="宋体"/>
                <w:b w:val="0"/>
                <w:bCs w:val="0"/>
                <w:color w:val="auto"/>
                <w:sz w:val="24"/>
                <w:szCs w:val="24"/>
                <w:highlight w:val="none"/>
                <w:lang w:val="en-US" w:eastAsia="zh-CN"/>
              </w:rPr>
              <w:t>派</w:t>
            </w:r>
            <w:r>
              <w:rPr>
                <w:rFonts w:hint="eastAsia" w:ascii="宋体" w:hAnsi="宋体" w:eastAsia="宋体" w:cs="宋体"/>
                <w:color w:val="auto"/>
                <w:sz w:val="24"/>
                <w:szCs w:val="24"/>
                <w:highlight w:val="none"/>
                <w:lang w:val="en-US" w:eastAsia="zh-CN"/>
              </w:rPr>
              <w:t>物业服务人员身体健康，视力正常，无传染性、肝、肾、心脏、心血管等严重疾病，无不良社会记录等，提供正规医院健康证明，年龄58岁以下（女员工年龄在18-50岁，男员工年龄在18-58岁）。</w:t>
            </w:r>
          </w:p>
          <w:p w14:paraId="4703832C">
            <w:pPr>
              <w:pStyle w:val="24"/>
              <w:keepNext w:val="0"/>
              <w:keepLines w:val="0"/>
              <w:pageBreakBefore w:val="0"/>
              <w:widowControl w:val="0"/>
              <w:kinsoku/>
              <w:wordWrap/>
              <w:overflowPunct/>
              <w:topLinePunct w:val="0"/>
              <w:autoSpaceDE/>
              <w:autoSpaceDN/>
              <w:bidi w:val="0"/>
              <w:snapToGrid/>
              <w:spacing w:line="42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（二）岗位时间安排</w:t>
            </w:r>
          </w:p>
          <w:p w14:paraId="059FF102">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 水电工：上午7:30-12:00，下午14:30-18:00。</w:t>
            </w:r>
          </w:p>
          <w:p w14:paraId="0B858448">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除正常上班时间外，安排2名水电工24小时轮班</w:t>
            </w:r>
          </w:p>
          <w:p w14:paraId="6E22DC18">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 保洁员：上午7:30-12:00，下午14:30-18:00。</w:t>
            </w:r>
          </w:p>
          <w:p w14:paraId="343B2579">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 绿化员：上午7:30-12:00，下午14:30-18:00。</w:t>
            </w:r>
          </w:p>
          <w:p w14:paraId="54709679">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 宿管员，实行三班倒。</w:t>
            </w:r>
          </w:p>
          <w:p w14:paraId="294F0B61">
            <w:pPr>
              <w:pStyle w:val="24"/>
              <w:keepNext w:val="0"/>
              <w:keepLines w:val="0"/>
              <w:pageBreakBefore w:val="0"/>
              <w:widowControl w:val="0"/>
              <w:kinsoku/>
              <w:wordWrap/>
              <w:overflowPunct/>
              <w:topLinePunct w:val="0"/>
              <w:autoSpaceDE/>
              <w:autoSpaceDN/>
              <w:bidi w:val="0"/>
              <w:snapToGrid/>
              <w:spacing w:line="42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（注：如所服务单位有特殊要求，具体安排由相关单位自行安排）</w:t>
            </w:r>
          </w:p>
          <w:p w14:paraId="5D36F81A">
            <w:pPr>
              <w:pStyle w:val="24"/>
              <w:keepNext w:val="0"/>
              <w:keepLines w:val="0"/>
              <w:pageBreakBefore w:val="0"/>
              <w:widowControl w:val="0"/>
              <w:kinsoku/>
              <w:wordWrap/>
              <w:overflowPunct/>
              <w:topLinePunct w:val="0"/>
              <w:autoSpaceDE/>
              <w:autoSpaceDN/>
              <w:bidi w:val="0"/>
              <w:snapToGrid/>
              <w:spacing w:line="42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（三）岗位素质要求</w:t>
            </w:r>
          </w:p>
          <w:p w14:paraId="345034A5">
            <w:pPr>
              <w:pStyle w:val="24"/>
              <w:keepNext w:val="0"/>
              <w:keepLines w:val="0"/>
              <w:pageBreakBefore w:val="0"/>
              <w:widowControl w:val="0"/>
              <w:kinsoku/>
              <w:wordWrap/>
              <w:overflowPunct/>
              <w:topLinePunct w:val="0"/>
              <w:autoSpaceDE/>
              <w:autoSpaceDN/>
              <w:bidi w:val="0"/>
              <w:snapToGrid/>
              <w:spacing w:line="42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 职业道德规范</w:t>
            </w:r>
          </w:p>
          <w:p w14:paraId="7A56F4DB">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（1）敬业爱岗，恪尽职守：勤奋务实，积极投入本职工作，热爱岗位并乐于奉献。</w:t>
            </w:r>
          </w:p>
          <w:p w14:paraId="64840FA0">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（2）遵纪守法，严守规章：自觉遵守国家法律法规，严格执行公司及校方各项规章制度与劳动纪律。</w:t>
            </w:r>
          </w:p>
          <w:p w14:paraId="3F643405">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（3）勤学善思，提升技能：主动学习相关知识，持续提升业务能力与服务水准。</w:t>
            </w:r>
          </w:p>
          <w:p w14:paraId="4CCC7F24">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（4）廉洁奉公，维护声誉：爱护公共财产，不以权谋私，自觉维护公司与学校的利益及形象。</w:t>
            </w:r>
          </w:p>
          <w:p w14:paraId="19082ECD">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（5）勤俭节约，节能降耗：树立节约意识，在日常工作中践行节约能源、爱惜物资。</w:t>
            </w:r>
          </w:p>
          <w:p w14:paraId="26814596">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（6）团结协作，和谐共事：严于律己，宽以待人，妥善处理个人与集体、同事间关系，具备良好的团队协作精神。</w:t>
            </w:r>
          </w:p>
          <w:p w14:paraId="6E3153DD">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（7）严守秘密，谨言慎行：未经授权，不得对外泄露或传播学校的任何信息与资料。</w:t>
            </w:r>
          </w:p>
          <w:p w14:paraId="26156FBB">
            <w:pPr>
              <w:pStyle w:val="24"/>
              <w:keepNext w:val="0"/>
              <w:keepLines w:val="0"/>
              <w:pageBreakBefore w:val="0"/>
              <w:widowControl w:val="0"/>
              <w:kinsoku/>
              <w:wordWrap/>
              <w:overflowPunct/>
              <w:topLinePunct w:val="0"/>
              <w:autoSpaceDE/>
              <w:autoSpaceDN/>
              <w:bidi w:val="0"/>
              <w:snapToGrid/>
              <w:spacing w:line="42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 服务意识规范</w:t>
            </w:r>
          </w:p>
          <w:p w14:paraId="6B744515">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（1）文明礼貌，举止得体：使用规范用语，谈吐文雅，保持衣着整洁，举止大方端庄。</w:t>
            </w:r>
          </w:p>
          <w:p w14:paraId="183A2DAF">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（2）主动热情，真诚服务：以积极热情的态度面对师生，主动识别服务需求，乐于为师生解决实际困难，常面带微笑，态度谦和。</w:t>
            </w:r>
          </w:p>
          <w:p w14:paraId="48E29AE5">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（3）耐心周到，细致入微：服务过程中保持耐心，不厌其烦，虚心听取师生意见，细致解答疑问，力求提供全面、满意的服务。</w:t>
            </w:r>
          </w:p>
          <w:p w14:paraId="7322C24F">
            <w:pPr>
              <w:pStyle w:val="24"/>
              <w:keepNext w:val="0"/>
              <w:keepLines w:val="0"/>
              <w:pageBreakBefore w:val="0"/>
              <w:widowControl w:val="0"/>
              <w:kinsoku/>
              <w:wordWrap/>
              <w:overflowPunct/>
              <w:topLinePunct w:val="0"/>
              <w:autoSpaceDE/>
              <w:autoSpaceDN/>
              <w:bidi w:val="0"/>
              <w:snapToGrid/>
              <w:spacing w:line="42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 仪容仪表规范</w:t>
            </w:r>
          </w:p>
          <w:p w14:paraId="47DA4EAD">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（1）保持个人卫生，着装统一、整洁，工作证应端正佩戴于左胸前。</w:t>
            </w:r>
          </w:p>
          <w:p w14:paraId="327F1EE5">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（2）工作时间内不得穿短裤、背心、拖鞋等不规范着装进入工作区域。</w:t>
            </w:r>
          </w:p>
          <w:p w14:paraId="5ED687D9">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（3）男员工：发长不掩耳、不遮领，每日剃须；保持指甲清洁，不留长指甲；衣着纽扣扣齐，领带紧束（大箭头下端以垂至皮带扣处为准），衬衣下摆应束于裤内。</w:t>
            </w:r>
          </w:p>
          <w:p w14:paraId="73E56968">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（4）女员工：发长不过肩，发型简洁大方，不染怪异发色；不留长指甲，不涂染艳丽指甲油；妆容朴素淡雅，不浓妆艳抹；不穿着黑色或带花纹的丝袜。</w:t>
            </w:r>
          </w:p>
          <w:p w14:paraId="340ADA0C">
            <w:pPr>
              <w:pStyle w:val="24"/>
              <w:keepNext w:val="0"/>
              <w:keepLines w:val="0"/>
              <w:pageBreakBefore w:val="0"/>
              <w:widowControl w:val="0"/>
              <w:kinsoku/>
              <w:wordWrap/>
              <w:overflowPunct/>
              <w:topLinePunct w:val="0"/>
              <w:autoSpaceDE/>
              <w:autoSpaceDN/>
              <w:bidi w:val="0"/>
              <w:snapToGrid/>
              <w:spacing w:line="42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（四）岗位工作职责要求</w:t>
            </w:r>
          </w:p>
          <w:p w14:paraId="048ED376">
            <w:pPr>
              <w:pStyle w:val="24"/>
              <w:keepNext w:val="0"/>
              <w:keepLines w:val="0"/>
              <w:pageBreakBefore w:val="0"/>
              <w:widowControl w:val="0"/>
              <w:kinsoku/>
              <w:wordWrap/>
              <w:overflowPunct/>
              <w:topLinePunct w:val="0"/>
              <w:autoSpaceDE/>
              <w:autoSpaceDN/>
              <w:bidi w:val="0"/>
              <w:snapToGrid/>
              <w:spacing w:line="42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 水电工</w:t>
            </w:r>
          </w:p>
          <w:p w14:paraId="14779696">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（1）水电综合维修：</w:t>
            </w:r>
          </w:p>
          <w:p w14:paraId="162798E5">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 熟悉并遵守相关法规及各项规章制度，熟练掌握应急预案。</w:t>
            </w:r>
          </w:p>
          <w:p w14:paraId="3DB82852">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 持证上岗，定期培训。</w:t>
            </w:r>
          </w:p>
          <w:p w14:paraId="789F4680">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 熟悉辖区内水电线路、开关等设施设备功能及分布情况。熟练掌握相关维修技能，严格执行操作规程。</w:t>
            </w:r>
          </w:p>
          <w:p w14:paraId="3F199933">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④</w:t>
            </w:r>
            <w:r>
              <w:rPr>
                <w:rFonts w:hint="eastAsia" w:ascii="宋体" w:hAnsi="宋体" w:eastAsia="宋体" w:cs="宋体"/>
                <w:color w:val="auto"/>
                <w:sz w:val="24"/>
                <w:szCs w:val="24"/>
                <w:highlight w:val="none"/>
                <w:lang w:val="en-US" w:eastAsia="zh-CN"/>
              </w:rPr>
              <w:t xml:space="preserve"> 定时巡检水电线路等设施设备，填写记录，保持完好运行，发现问题时，应准确判断，及时处理。</w:t>
            </w:r>
          </w:p>
          <w:p w14:paraId="3E1C911C">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⑤</w:t>
            </w:r>
            <w:r>
              <w:rPr>
                <w:rFonts w:hint="eastAsia" w:ascii="宋体" w:hAnsi="宋体" w:eastAsia="宋体" w:cs="宋体"/>
                <w:color w:val="auto"/>
                <w:sz w:val="24"/>
                <w:szCs w:val="24"/>
                <w:highlight w:val="none"/>
                <w:lang w:val="en-US" w:eastAsia="zh-CN"/>
              </w:rPr>
              <w:t xml:space="preserve"> 接到报修后30分钟内到达现场，维修合格率达100%。水电抢修不过夜。</w:t>
            </w:r>
          </w:p>
          <w:p w14:paraId="3E9D851A">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⑥</w:t>
            </w:r>
            <w:r>
              <w:rPr>
                <w:rFonts w:hint="eastAsia" w:ascii="宋体" w:hAnsi="宋体" w:eastAsia="宋体" w:cs="宋体"/>
                <w:color w:val="auto"/>
                <w:sz w:val="24"/>
                <w:szCs w:val="24"/>
                <w:highlight w:val="none"/>
                <w:lang w:val="en-US" w:eastAsia="zh-CN"/>
              </w:rPr>
              <w:t xml:space="preserve"> 供配电室及室外变台、箱变、低压配电室双人巡检维护。</w:t>
            </w:r>
          </w:p>
          <w:p w14:paraId="268ED1ED">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⑦</w:t>
            </w:r>
            <w:r>
              <w:rPr>
                <w:rFonts w:hint="eastAsia" w:ascii="宋体" w:hAnsi="宋体" w:eastAsia="宋体" w:cs="宋体"/>
                <w:color w:val="auto"/>
                <w:sz w:val="24"/>
                <w:szCs w:val="24"/>
                <w:highlight w:val="none"/>
                <w:lang w:val="en-US" w:eastAsia="zh-CN"/>
              </w:rPr>
              <w:t xml:space="preserve"> 停送电操作，应填写相关工作票，做好安全组织，按规范程序操作。</w:t>
            </w:r>
          </w:p>
          <w:p w14:paraId="56405A71">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⑧</w:t>
            </w:r>
            <w:r>
              <w:rPr>
                <w:rFonts w:hint="eastAsia" w:ascii="宋体" w:hAnsi="宋体" w:eastAsia="宋体" w:cs="宋体"/>
                <w:color w:val="auto"/>
                <w:sz w:val="24"/>
                <w:szCs w:val="24"/>
                <w:highlight w:val="none"/>
                <w:lang w:val="en-US" w:eastAsia="zh-CN"/>
              </w:rPr>
              <w:t xml:space="preserve"> 定期检查避雷、接地设施完好性，定期进行相关试验。</w:t>
            </w:r>
          </w:p>
          <w:p w14:paraId="55EB74C0">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⑨</w:t>
            </w:r>
            <w:r>
              <w:rPr>
                <w:rFonts w:hint="eastAsia" w:ascii="宋体" w:hAnsi="宋体" w:eastAsia="宋体" w:cs="宋体"/>
                <w:color w:val="auto"/>
                <w:sz w:val="24"/>
                <w:szCs w:val="24"/>
                <w:highlight w:val="none"/>
                <w:lang w:val="en-US" w:eastAsia="zh-CN"/>
              </w:rPr>
              <w:t xml:space="preserve"> 按规范要求，配置安全防护设施，定时清扫设备及配电室卫生。</w:t>
            </w:r>
          </w:p>
          <w:p w14:paraId="051D3463">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⑩</w:t>
            </w:r>
            <w:r>
              <w:rPr>
                <w:rFonts w:hint="eastAsia" w:ascii="宋体" w:hAnsi="宋体" w:eastAsia="宋体" w:cs="宋体"/>
                <w:color w:val="auto"/>
                <w:sz w:val="24"/>
                <w:szCs w:val="24"/>
                <w:highlight w:val="none"/>
                <w:lang w:val="en-US" w:eastAsia="zh-CN"/>
              </w:rPr>
              <w:t xml:space="preserve"> 制定并组织实施设备维保计划。</w:t>
            </w:r>
          </w:p>
          <w:p w14:paraId="5942D217">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（2）公共设施小型维修：</w:t>
            </w:r>
          </w:p>
          <w:p w14:paraId="1774A836">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lang w:val="en-US" w:eastAsia="zh-CN"/>
              </w:rPr>
              <w:t xml:space="preserve"> 熟悉并遵守相关法规及各项规章制度，熟练掌握应急预案。</w:t>
            </w:r>
          </w:p>
          <w:p w14:paraId="3190B5E9">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val="en-US" w:eastAsia="zh-CN"/>
              </w:rPr>
              <w:t xml:space="preserve"> 定期培训，特种作业必须持证上岗。</w:t>
            </w:r>
          </w:p>
          <w:p w14:paraId="74F37305">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lang w:val="en-US" w:eastAsia="zh-CN"/>
              </w:rPr>
              <w:t xml:space="preserve"> 辖区内建筑设施维修，包括：房屋、门窗、学生宿舍门锁家具、道路、广场、管井、化粪池、景观小品等设施。</w:t>
            </w:r>
          </w:p>
          <w:p w14:paraId="2F6DD330">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④</w:t>
            </w:r>
            <w:r>
              <w:rPr>
                <w:rFonts w:hint="eastAsia" w:ascii="宋体" w:hAnsi="宋体" w:eastAsia="宋体" w:cs="宋体"/>
                <w:color w:val="auto"/>
                <w:sz w:val="24"/>
                <w:szCs w:val="24"/>
                <w:highlight w:val="none"/>
                <w:lang w:val="en-US" w:eastAsia="zh-CN"/>
              </w:rPr>
              <w:t xml:space="preserve"> 定时巡检，填写记录，保持设施完好，发现问题时，应准确判断，及时处理。</w:t>
            </w:r>
          </w:p>
          <w:p w14:paraId="434A07AD">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⑤接到报修后30分钟内到达现场，维修合格率达100%。</w:t>
            </w:r>
          </w:p>
          <w:p w14:paraId="043B71FC">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⑥常备配件类维修，自接到报修后应当日修复。</w:t>
            </w:r>
          </w:p>
          <w:p w14:paraId="0A79550D">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⑦外购配件及土建类维修，自接到报修之日起应3日内修复。</w:t>
            </w:r>
          </w:p>
          <w:p w14:paraId="24079877">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⑧雨季做好本职防汛工作，排查有关隐患。</w:t>
            </w:r>
          </w:p>
          <w:p w14:paraId="1ED22E70">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➈提出专项修缮建议。</w:t>
            </w:r>
          </w:p>
          <w:p w14:paraId="669297CD">
            <w:pPr>
              <w:pStyle w:val="24"/>
              <w:keepNext w:val="0"/>
              <w:keepLines w:val="0"/>
              <w:pageBreakBefore w:val="0"/>
              <w:widowControl w:val="0"/>
              <w:kinsoku/>
              <w:wordWrap/>
              <w:overflowPunct/>
              <w:topLinePunct w:val="0"/>
              <w:autoSpaceDE/>
              <w:autoSpaceDN/>
              <w:bidi w:val="0"/>
              <w:snapToGrid/>
              <w:spacing w:line="42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 保洁员</w:t>
            </w:r>
          </w:p>
          <w:p w14:paraId="18EC2716">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（1）熟悉并遵守相关法规及各项规章制度。保洁服务讲求文明礼貌。</w:t>
            </w:r>
          </w:p>
          <w:p w14:paraId="305F9158">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（2）以下公共区域的设施设备要保持整洁：墙壁、门窗、玻璃、照明、地墙面、楼梯、扶手、水房、卫生间、天花板、标识牌、消防、水暖电气、电梯、宣传栏等。</w:t>
            </w:r>
          </w:p>
          <w:p w14:paraId="4094CB23">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（3）公共卫生间要保持空气清新、洁具明亮，无异味、无积水、无污垢。</w:t>
            </w:r>
          </w:p>
          <w:p w14:paraId="0547920F">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（4）楼宇周边，要保持环境整洁、各种车辆整齐有序。</w:t>
            </w:r>
          </w:p>
          <w:p w14:paraId="00C7E6F8">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（5）雨、雪天气时，负责清扫责任区的积水和积雪。</w:t>
            </w:r>
          </w:p>
          <w:p w14:paraId="471BB624">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（6）捡拾遗失物品应登记备案、完好交还失主。</w:t>
            </w:r>
          </w:p>
          <w:p w14:paraId="1A53D3C5">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（7）发现火情、治安事件、嫌疑人员、可疑现象、水暖跑冒、燃气泄漏等紧急情况，应及时上报并协助处理。</w:t>
            </w:r>
          </w:p>
          <w:p w14:paraId="1F194220">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绿化员</w:t>
            </w:r>
          </w:p>
          <w:p w14:paraId="50624CD4">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（1）熟悉并遵守相关法规及各项规章制度，熟练掌握应急预案。</w:t>
            </w:r>
          </w:p>
          <w:p w14:paraId="31244DA6">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（2）熟悉花草树木名称、习性和养护，定期进行培训。</w:t>
            </w:r>
          </w:p>
          <w:p w14:paraId="044DBF53">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（3）做好辖区乔灌草等植物的修剪、施肥、浇水、除草等工作，保持植物生长状态良好，形状美观。</w:t>
            </w:r>
          </w:p>
          <w:p w14:paraId="044CE4B6">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（4）有效利用生物、化学、物理方法防控病虫害。</w:t>
            </w:r>
          </w:p>
          <w:p w14:paraId="3F28CE3D">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（5）熟练使用、维护园林机械设备和喷灌设施。</w:t>
            </w:r>
          </w:p>
          <w:p w14:paraId="45E8EF73">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（6）熟练掌握种植、移植技术。</w:t>
            </w:r>
          </w:p>
          <w:p w14:paraId="328E5F2B">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（7）保持绿地整洁无杂物、无污染物。</w:t>
            </w:r>
          </w:p>
          <w:p w14:paraId="03B9EB07">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（8）按规范要求，有效维护古树健康生长。</w:t>
            </w:r>
          </w:p>
          <w:p w14:paraId="3FAD6A5B">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（9）做好防范植物倒伏隐患排查工作。</w:t>
            </w:r>
          </w:p>
          <w:p w14:paraId="0B5353F7">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宿管员</w:t>
            </w:r>
          </w:p>
          <w:p w14:paraId="76B2BF51">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（1）严格执行学校及物业公司宿舍管理制度，落实作息、门禁、熄灯管理。</w:t>
            </w:r>
          </w:p>
          <w:p w14:paraId="75708B4D">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（2）全天值守学生宿舍楼，严格管控进出人员及外来访客。</w:t>
            </w:r>
          </w:p>
          <w:p w14:paraId="6480E4A1">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（3）按规定时间开关宿舍大门、执行熄灯制度，做好晚归、旷寝、请假登记，及时登记上报。</w:t>
            </w:r>
          </w:p>
          <w:p w14:paraId="3D2DA4DC">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（3）常态化巡查宿舍楼道、消防通道，排查违禁物品、私拉电线、违规电器、明火使用、消防隐患，杜绝安全事故。</w:t>
            </w:r>
          </w:p>
          <w:p w14:paraId="7BCB213A">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（4）监督宿舍内务整理、环境卫生，督促学生养成良好住宿生活习惯，定期配合学校进行宿舍卫生评比</w:t>
            </w:r>
          </w:p>
          <w:p w14:paraId="033FE00F">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（5）维护宿舍公共秩序，劝阻喧哗打闹、晚归违纪，调解同学间矛盾纠纷。</w:t>
            </w:r>
          </w:p>
          <w:p w14:paraId="59DAB515">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（6）负责宿舍公共区域保洁监督，宿舍门窗、水电、设施损坏登记报修，管理宿舍钥匙及公共物资。</w:t>
            </w:r>
          </w:p>
          <w:p w14:paraId="3B5C4CBE">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（7）做好住宿学生日常人文关怀，关注学生身心健康，及时疏导情绪、调解宿舍人际矛盾，遇突发疾病、纠纷、安全事件立即处置并上报校方及物业主管。</w:t>
            </w:r>
          </w:p>
          <w:p w14:paraId="0C02EF65">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（8）配合学校开展安全教育、纪律整治、宿舍评比等专项工作。</w:t>
            </w:r>
          </w:p>
          <w:p w14:paraId="4A50C3B5">
            <w:pPr>
              <w:pStyle w:val="24"/>
              <w:keepNext w:val="0"/>
              <w:keepLines w:val="0"/>
              <w:pageBreakBefore w:val="0"/>
              <w:widowControl w:val="0"/>
              <w:kinsoku/>
              <w:wordWrap/>
              <w:overflowPunct/>
              <w:topLinePunct w:val="0"/>
              <w:autoSpaceDE/>
              <w:autoSpaceDN/>
              <w:bidi w:val="0"/>
              <w:snapToGrid/>
              <w:spacing w:line="420" w:lineRule="exact"/>
              <w:ind w:left="0" w:leftChars="0"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注：如所服务单位有特殊要求，具体安排由服务单位自行安排</w:t>
            </w:r>
          </w:p>
          <w:p w14:paraId="4584BA04">
            <w:pPr>
              <w:pStyle w:val="24"/>
              <w:keepNext w:val="0"/>
              <w:keepLines w:val="0"/>
              <w:pageBreakBefore w:val="0"/>
              <w:widowControl w:val="0"/>
              <w:kinsoku/>
              <w:wordWrap/>
              <w:overflowPunct/>
              <w:topLinePunct w:val="0"/>
              <w:autoSpaceDE/>
              <w:autoSpaceDN/>
              <w:bidi w:val="0"/>
              <w:snapToGrid/>
              <w:spacing w:line="42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四、档案管理要求</w:t>
            </w:r>
          </w:p>
          <w:p w14:paraId="4E8CC1F8">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须建立并妥善保管包括但不限于：员工档案与培训记录、日常巡检与维修日志、设备设施保养台账、考核记录、消杀记录、宿舍管理值班与检查记录等全套物业管理档案，供学校随时抽查。</w:t>
            </w:r>
          </w:p>
        </w:tc>
      </w:tr>
      <w:tr w14:paraId="1391B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44" w:type="dxa"/>
            <w:gridSpan w:val="2"/>
            <w:shd w:val="clear" w:color="auto" w:fill="auto"/>
            <w:vAlign w:val="center"/>
          </w:tcPr>
          <w:p w14:paraId="4483BBC4">
            <w:pPr>
              <w:pStyle w:val="24"/>
              <w:keepNext w:val="0"/>
              <w:keepLines w:val="0"/>
              <w:pageBreakBefore w:val="0"/>
              <w:widowControl w:val="0"/>
              <w:numPr>
                <w:ilvl w:val="0"/>
                <w:numId w:val="0"/>
              </w:numPr>
              <w:kinsoku/>
              <w:wordWrap/>
              <w:overflowPunct/>
              <w:topLinePunct w:val="0"/>
              <w:autoSpaceDE/>
              <w:autoSpaceDN/>
              <w:bidi w:val="0"/>
              <w:snapToGrid/>
              <w:spacing w:line="380" w:lineRule="exact"/>
              <w:ind w:leftChars="200"/>
              <w:textAlignment w:val="auto"/>
              <w:rPr>
                <w:rFonts w:hint="default" w:ascii="宋体" w:hAnsi="宋体" w:eastAsia="宋体" w:cs="宋体"/>
                <w:b/>
                <w:bCs/>
                <w:color w:val="auto"/>
                <w:sz w:val="32"/>
                <w:szCs w:val="32"/>
                <w:highlight w:val="none"/>
                <w:lang w:val="en-US" w:eastAsia="zh-CN"/>
              </w:rPr>
            </w:pPr>
            <w:r>
              <w:rPr>
                <w:rFonts w:hint="eastAsia" w:ascii="Times New Roman" w:hAnsi="Times New Roman" w:eastAsia="宋体" w:cs="Times New Roman"/>
                <w:b/>
                <w:bCs/>
                <w:snapToGrid w:val="0"/>
                <w:color w:val="auto"/>
                <w:kern w:val="2"/>
                <w:sz w:val="24"/>
                <w:szCs w:val="24"/>
                <w:highlight w:val="none"/>
                <w:lang w:val="en-US" w:eastAsia="zh-CN" w:bidi="ar-SA"/>
              </w:rPr>
              <w:t xml:space="preserve">★ </w:t>
            </w:r>
            <w:r>
              <w:rPr>
                <w:rFonts w:hint="eastAsia" w:ascii="宋体" w:hAnsi="宋体" w:eastAsia="宋体" w:cs="宋体"/>
                <w:b/>
                <w:bCs/>
                <w:color w:val="auto"/>
                <w:sz w:val="32"/>
                <w:szCs w:val="32"/>
                <w:highlight w:val="none"/>
                <w:lang w:val="en-US" w:eastAsia="zh-CN"/>
              </w:rPr>
              <w:t>商务要求</w:t>
            </w:r>
          </w:p>
        </w:tc>
      </w:tr>
      <w:tr w14:paraId="4C1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8" w:type="dxa"/>
            <w:shd w:val="clear" w:color="auto" w:fill="auto"/>
            <w:vAlign w:val="center"/>
          </w:tcPr>
          <w:p w14:paraId="367FE819">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投标报价要求</w:t>
            </w:r>
          </w:p>
        </w:tc>
        <w:tc>
          <w:tcPr>
            <w:tcW w:w="8486" w:type="dxa"/>
            <w:shd w:val="clear" w:color="auto" w:fill="auto"/>
            <w:vAlign w:val="center"/>
          </w:tcPr>
          <w:p w14:paraId="77BA4D03">
            <w:pPr>
              <w:keepNext w:val="0"/>
              <w:keepLines w:val="0"/>
              <w:pageBreakBefore w:val="0"/>
              <w:widowControl/>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1.投标报价包含人员工资、培训、服装、奖金、五险、其他必要的保险等营业成本以及利润、物业管理服务中所发生的各项税收等费用。</w:t>
            </w:r>
          </w:p>
          <w:p w14:paraId="4228A007">
            <w:pPr>
              <w:keepNext w:val="0"/>
              <w:keepLines w:val="0"/>
              <w:pageBreakBefore w:val="0"/>
              <w:widowControl/>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2.供应商报价须列明各服务单位（各学校）的投入服务人数及报价。各学校的报价不得超过该服务单位的投标最高限价。</w:t>
            </w:r>
          </w:p>
        </w:tc>
      </w:tr>
      <w:tr w14:paraId="1BD35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8" w:type="dxa"/>
            <w:shd w:val="clear" w:color="auto" w:fill="auto"/>
            <w:vAlign w:val="center"/>
          </w:tcPr>
          <w:p w14:paraId="441D1473">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w:t>
            </w:r>
          </w:p>
          <w:p w14:paraId="72EEAC2B">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签订</w:t>
            </w:r>
          </w:p>
        </w:tc>
        <w:tc>
          <w:tcPr>
            <w:tcW w:w="8486" w:type="dxa"/>
            <w:shd w:val="clear" w:color="auto" w:fill="auto"/>
            <w:vAlign w:val="center"/>
          </w:tcPr>
          <w:p w14:paraId="1FBC8143">
            <w:pPr>
              <w:keepNext w:val="0"/>
              <w:keepLines w:val="0"/>
              <w:pageBreakBefore w:val="0"/>
              <w:widowControl/>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按照政府采购有关规定，由市教育局、服务单位与成交供应商公司三方签订合同，在合同中明确各自的权利、义务及责任，切实履行协议内容。中标人须接受采购人和服务单位（各学校）的共同管理。</w:t>
            </w:r>
          </w:p>
        </w:tc>
      </w:tr>
      <w:tr w14:paraId="7D5D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8" w:type="dxa"/>
            <w:shd w:val="clear" w:color="auto" w:fill="auto"/>
            <w:vAlign w:val="center"/>
          </w:tcPr>
          <w:p w14:paraId="56C74115">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服务期限及地点</w:t>
            </w:r>
          </w:p>
        </w:tc>
        <w:tc>
          <w:tcPr>
            <w:tcW w:w="8486" w:type="dxa"/>
            <w:shd w:val="clear" w:color="auto" w:fill="auto"/>
            <w:vAlign w:val="center"/>
          </w:tcPr>
          <w:p w14:paraId="4106C131">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1.服务的时间：自签订合同完成并开始履行之日起2年（其中北海市卫生学校服务期限为2026 年6月25日至2028 年6月30日，总服务期限两年零六天）。 </w:t>
            </w:r>
          </w:p>
          <w:p w14:paraId="28A73524">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2.服务的地点：北海市第七幼儿园、北海市第十二中学、北海市北海中学、北海市卫生学校。</w:t>
            </w:r>
          </w:p>
        </w:tc>
      </w:tr>
      <w:tr w14:paraId="32D63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8" w:type="dxa"/>
            <w:shd w:val="clear" w:color="auto" w:fill="auto"/>
            <w:vAlign w:val="center"/>
          </w:tcPr>
          <w:p w14:paraId="049C5668">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w:t>
            </w:r>
          </w:p>
          <w:p w14:paraId="0D5389A8">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要求</w:t>
            </w:r>
          </w:p>
        </w:tc>
        <w:tc>
          <w:tcPr>
            <w:tcW w:w="8486" w:type="dxa"/>
            <w:shd w:val="clear" w:color="auto" w:fill="auto"/>
            <w:vAlign w:val="center"/>
          </w:tcPr>
          <w:p w14:paraId="41E75022">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中标人按照所服务单位划定的工作范围、工作内容及管理目标成立相关机构，制定相应工作流程、工作制度、监督考核办法，合理安排人员，科学管理，严格要求，达标运行。接受市教育局、所服务单位及相关职能部门的监督、检查、指导，发现问题及时沟通、整改，保证规范运行。</w:t>
            </w:r>
          </w:p>
          <w:p w14:paraId="194EB038">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2.中标人须为聘用员工购买基本社会保险，对员工的疾病和人身安全负责，采购人不承担责任。</w:t>
            </w:r>
          </w:p>
          <w:p w14:paraId="380E2D8F">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每季度接受所服务单位质量考核（按照招标文件、投标文件及合同条款标准进行考核），未达标准的从当季度应付款中扣除10‰服务费。连续两季度达不到标准且未及时整改的，所服务单位向采购人书面报告，且采购人有权终止合同。</w:t>
            </w:r>
          </w:p>
          <w:p w14:paraId="1A2A4EE5">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4.中标人须全部接收原负责所服务单位有意愿继续留下工作的服务人员，确保他们的工资待遇不低于北海市最低工资加社保。</w:t>
            </w:r>
          </w:p>
          <w:p w14:paraId="57934452">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5.中标人的服务工作人员必须经过上岗前培训，符合国家有关劳动用工的法律法规。上班时必须佩戴工卡、穿统一制服。</w:t>
            </w:r>
          </w:p>
          <w:p w14:paraId="5EBBB0C5">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6.管理范围内发生的人身伤害、物品被盗、人为损坏设备设施，属中标人及其工作人员管理不善原因造成的，由中标人负责赔偿。</w:t>
            </w:r>
          </w:p>
          <w:p w14:paraId="601D5A6D">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中标人工作人员应固定保持在90%以上，凡更换人员必须向所服务单位申请，经所服务单位和教育局同意后方可更换，并做好交接班工作，若因交接班衔接不好，致使所服务单位工作受到影响者，按考核制度处罚。</w:t>
            </w:r>
          </w:p>
          <w:p w14:paraId="26C7320C">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中标人在提供管理服务时必须做好各项安全防范措施，中标人所有工作人员在合约期间如发生任何人身意外（生病、伤亡事故）、事故、触犯法律法规（包括劳动用工制度、发生劳资纠纷、所服务单位的规章制度等）、或损坏学校的设施和物品，由中标人负责处理并承担经济和责任。</w:t>
            </w:r>
          </w:p>
          <w:p w14:paraId="4BF4D13C">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若中标人违约，未能达到招标文件中约定的管理目标，所服务单位有权要求中标人在规定时间内进行整改；如中标人未能按时整改，所服务单位有权向教育局申请与中标人解除合同，中标人须承担违约责任；造成所服务单位和教育局经济损失的，按造成的实际损失予以赔偿。</w:t>
            </w:r>
          </w:p>
          <w:p w14:paraId="14446B5C">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10.若中标人擅自转包、分包，或以任何形式与第三方进行合作的属违约，一经查实，中标人应向所服务单位及教育局承担违约责任，所服务单位和教育局有权解除合同。</w:t>
            </w:r>
          </w:p>
          <w:p w14:paraId="2C5F791B">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11.中标人若违背本招标文件中确定的义务，必须承担违约责任。</w:t>
            </w:r>
          </w:p>
          <w:p w14:paraId="55DCA46D">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12.中标人及其工作人员在所服务单位交由中标人管理和服务的工作区域内违法犯罪属实，中标人应赔偿并承担相应的法律责任，并不得再使用有关员工。</w:t>
            </w:r>
          </w:p>
          <w:p w14:paraId="35C07C41">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13.服务人员要求：</w:t>
            </w:r>
          </w:p>
          <w:p w14:paraId="24A73B5A">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（1）用工人数不少于各服务单位要求的人数。</w:t>
            </w:r>
          </w:p>
          <w:p w14:paraId="592AAE63">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（2）上岗人员必须经过岗前培训。</w:t>
            </w:r>
          </w:p>
          <w:p w14:paraId="4FA8EE8B">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（3）上岗人员的服装及所有的福利由</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承担。</w:t>
            </w:r>
          </w:p>
          <w:p w14:paraId="1E36FECA">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（4）对于不服从安排的服务人员，</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需向所服务单位及教育局进行书面申请，并在采购人同意后的2个工作日内替换新的服务人员。</w:t>
            </w:r>
          </w:p>
        </w:tc>
      </w:tr>
      <w:tr w14:paraId="741D3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8" w:type="dxa"/>
            <w:shd w:val="clear" w:color="auto" w:fill="auto"/>
            <w:vAlign w:val="center"/>
          </w:tcPr>
          <w:p w14:paraId="1F2404FF">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考核</w:t>
            </w:r>
          </w:p>
          <w:p w14:paraId="7533286A">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要求</w:t>
            </w:r>
          </w:p>
        </w:tc>
        <w:tc>
          <w:tcPr>
            <w:tcW w:w="8486" w:type="dxa"/>
            <w:shd w:val="clear" w:color="auto" w:fill="auto"/>
            <w:vAlign w:val="center"/>
          </w:tcPr>
          <w:p w14:paraId="0174BC2D">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1.对当班工作人员要严加管理，发生空岗、缺岗、脱岗、睡岗、上岗前喝酒（以人为记录和电子记录为准）等行为的，每次处罚100元，严重行为即时更换并处理。</w:t>
            </w:r>
          </w:p>
          <w:p w14:paraId="758A2F52">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2.发生不法分子对所服务单位的干扰，特别是暴恐和盗窃事件不及时妥善处理（阻止、制止、控制）的，每次处罚</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1000—3000元。</w:t>
            </w:r>
          </w:p>
          <w:p w14:paraId="3CB77DEF">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3.当班人员责任心不强，服务不到位导致公共设施被盗、被破坏的，</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及当班人员应共同承担相应的法律及经济损失赔偿责任，责任的界定由所服务单位确定或由公安司法部门裁定。</w:t>
            </w:r>
          </w:p>
          <w:p w14:paraId="2567866E">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4.当班人员须着规定制服上班，不穿制服上班的，每人每次扣100元。</w:t>
            </w:r>
          </w:p>
          <w:p w14:paraId="72D88CBA">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在所服务单位所属范围内开展工作，做到不迟到，不早退。有交接班的岗位须提前10分钟到达交接地点，并认真做好交接班工作，检查所配装备是否完好有效，并填报《值班交接记录表》。上班迟到、早退达到10分钟的每人每次扣50元，迟到、早退超过30分钟的算旷工。</w:t>
            </w:r>
          </w:p>
          <w:p w14:paraId="610C25E4">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6.不开展交接班工作的，每人每次50元。因交接班工作盘点财物不到位造成损失的由交接班双方共同承担。</w:t>
            </w:r>
          </w:p>
          <w:p w14:paraId="5BE423B2">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7.详细考核标准详见本章节附件：物业管理服务考核标准。</w:t>
            </w:r>
          </w:p>
        </w:tc>
      </w:tr>
      <w:tr w14:paraId="5DCB6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8" w:type="dxa"/>
            <w:shd w:val="clear" w:color="auto" w:fill="auto"/>
            <w:vAlign w:val="center"/>
          </w:tcPr>
          <w:p w14:paraId="763C1E18">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w:t>
            </w:r>
          </w:p>
          <w:p w14:paraId="5E44BF39">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监管</w:t>
            </w:r>
          </w:p>
        </w:tc>
        <w:tc>
          <w:tcPr>
            <w:tcW w:w="8486" w:type="dxa"/>
            <w:shd w:val="clear" w:color="auto" w:fill="auto"/>
            <w:vAlign w:val="center"/>
          </w:tcPr>
          <w:p w14:paraId="1F6A0350">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（1）供应商自行负责对派出的工作人员进行政治思想、职业道德、业务技术、劳动纪律的教育和培训。</w:t>
            </w:r>
          </w:p>
          <w:p w14:paraId="5C55E336">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选派的工作人员须经过岗前专业培训，上岗后继续对工作人员进行必要的教育和训练，保证工作人员的素质满足所服务单位工作的要求；保留工作人员的身份证复印件、个人简历等资料，并保证所提供资料的真实性，供应商不得随意减少或更换所派出的服务人员。</w:t>
            </w:r>
          </w:p>
          <w:p w14:paraId="504AF968">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（3）供应商负责按时支付工作人员的工资和福利费用，提供工作人员的执勤被服、工具等基本条件。</w:t>
            </w:r>
          </w:p>
          <w:p w14:paraId="790C9306">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所服务单位有权对工作人员的工作进行检查、督促、评价，对不称职的工作人员提出批评及教育，屡教不改者，有权要求更换工作人员，并将实际情况以书面形式向供应商提出撤换的要求，供应商在接到撤换要求书后三个工作日内做出更换。</w:t>
            </w:r>
          </w:p>
          <w:p w14:paraId="55464A56">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（5）所服务单位对供应商拟派的工作人员的一切行为所产生的后果不承担任何责任，供应商须自行就问题进行解决处理。</w:t>
            </w:r>
          </w:p>
          <w:p w14:paraId="44B50F86">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（6）供应商若发现工作期间的影藏因素存在的安全隐患可向所服务单位提出改进意见，并和所服务单位进行协商处理。</w:t>
            </w:r>
          </w:p>
          <w:p w14:paraId="77446C84">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所服务单位有权对供应商的工作进行考核，发现供应商不按照合同约定开展工作，对工作人员管理不规范、不严格，培训及安全措施不能达到所服务单位要求，第一次予以警告，第二次予以处罚，对连续三次不达标也不整改者（以书面通知为准），采购人有权解除合同。</w:t>
            </w:r>
          </w:p>
          <w:p w14:paraId="20D0B66D">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（8）服务期满后，须把服务期间涉及的所有档案移交给所服务单位，并在十个工作日内和新接替工作的</w:t>
            </w:r>
            <w:r>
              <w:rPr>
                <w:rFonts w:hint="eastAsia" w:ascii="宋体" w:hAnsi="宋体" w:cs="宋体"/>
                <w:color w:val="auto"/>
                <w:sz w:val="24"/>
                <w:szCs w:val="24"/>
                <w:highlight w:val="none"/>
                <w:lang w:val="en-US" w:eastAsia="zh-CN"/>
              </w:rPr>
              <w:t>物业</w:t>
            </w:r>
            <w:r>
              <w:rPr>
                <w:rFonts w:hint="eastAsia" w:ascii="宋体" w:hAnsi="宋体" w:eastAsia="宋体" w:cs="宋体"/>
                <w:color w:val="auto"/>
                <w:sz w:val="24"/>
                <w:szCs w:val="24"/>
                <w:highlight w:val="none"/>
                <w:lang w:val="en-US" w:eastAsia="zh-CN"/>
              </w:rPr>
              <w:t>公司进行工作交接，若出现不可抗力因素导致无法在规定时间内进行交接，供应商须书面告知所服务单位。</w:t>
            </w:r>
          </w:p>
        </w:tc>
      </w:tr>
      <w:tr w14:paraId="6D6CF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8" w:type="dxa"/>
            <w:shd w:val="clear" w:color="auto" w:fill="auto"/>
            <w:vAlign w:val="center"/>
          </w:tcPr>
          <w:p w14:paraId="576A4BA0">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服务质量要求</w:t>
            </w:r>
          </w:p>
        </w:tc>
        <w:tc>
          <w:tcPr>
            <w:tcW w:w="8486" w:type="dxa"/>
            <w:shd w:val="clear" w:color="auto" w:fill="auto"/>
            <w:vAlign w:val="center"/>
          </w:tcPr>
          <w:p w14:paraId="3C154436">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每月接受采购人或校方单位质量考核，未达标准从承包价中扣除。满意率至少在85％以上</w:t>
            </w:r>
            <w:r>
              <w:rPr>
                <w:rFonts w:hint="eastAsia" w:ascii="宋体" w:hAnsi="宋体" w:eastAsia="宋体" w:cs="宋体"/>
                <w:b/>
                <w:bCs/>
                <w:color w:val="auto"/>
                <w:sz w:val="24"/>
                <w:szCs w:val="24"/>
                <w:highlight w:val="none"/>
                <w:lang w:val="en-US" w:eastAsia="zh-CN"/>
              </w:rPr>
              <w:t>（各服务学校另有要求的该学校要求为准）</w:t>
            </w:r>
            <w:r>
              <w:rPr>
                <w:rFonts w:hint="eastAsia" w:ascii="宋体" w:hAnsi="宋体" w:eastAsia="宋体" w:cs="宋体"/>
                <w:color w:val="auto"/>
                <w:sz w:val="24"/>
                <w:szCs w:val="24"/>
                <w:highlight w:val="none"/>
                <w:lang w:val="en-US" w:eastAsia="zh-CN"/>
              </w:rPr>
              <w:t>、合同履约率达98%以上、上岗培训合格率达100%、合理投诉解决率达100%，连续两个月达不到，采购人可以终止合同。</w:t>
            </w:r>
          </w:p>
        </w:tc>
      </w:tr>
      <w:tr w14:paraId="3EE2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8" w:type="dxa"/>
            <w:shd w:val="clear" w:color="auto" w:fill="auto"/>
            <w:vAlign w:val="center"/>
          </w:tcPr>
          <w:p w14:paraId="6B584393">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保密</w:t>
            </w:r>
          </w:p>
          <w:p w14:paraId="63D5F368">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要求</w:t>
            </w:r>
          </w:p>
        </w:tc>
        <w:tc>
          <w:tcPr>
            <w:tcW w:w="8486" w:type="dxa"/>
            <w:shd w:val="clear" w:color="auto" w:fill="auto"/>
            <w:vAlign w:val="center"/>
          </w:tcPr>
          <w:p w14:paraId="24672739">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不得以任何形式向第三方透露本项目服务时的任何内容。如有泄密，需承担相应的法律责任。</w:t>
            </w:r>
          </w:p>
        </w:tc>
      </w:tr>
      <w:tr w14:paraId="6B454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8" w:type="dxa"/>
            <w:shd w:val="clear" w:color="auto" w:fill="auto"/>
            <w:vAlign w:val="center"/>
          </w:tcPr>
          <w:p w14:paraId="587A54A0">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违约责任</w:t>
            </w:r>
          </w:p>
        </w:tc>
        <w:tc>
          <w:tcPr>
            <w:tcW w:w="8486" w:type="dxa"/>
            <w:shd w:val="clear" w:color="auto" w:fill="auto"/>
            <w:vAlign w:val="center"/>
          </w:tcPr>
          <w:p w14:paraId="5512EE73">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若</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所提供服务成果，无法达到本项目招标文件要求以及投标文件所承诺的内容的，所服务单位和教育局有权要求</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作出整改。如整改完毕仍达不到上述要求的，所服务单位和教育局有权拒绝支付款项，且</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应向所服务单位和教育局支付中标总金额的5%作为违约金并赔偿所服务单位和教育局的一切损失。</w:t>
            </w:r>
          </w:p>
          <w:p w14:paraId="35F0B16C">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违约责任的赔偿不意味违约方整个合同责任的解除，未经所服务单位和教育局同意，</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不得以任何理由推迟、降低、减少有关合同条款履行的承诺。</w:t>
            </w:r>
          </w:p>
          <w:p w14:paraId="002DFD2A">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其它违约行为按成交总金额5%收取违约金并赔偿其他经济损失。</w:t>
            </w:r>
          </w:p>
        </w:tc>
      </w:tr>
      <w:tr w14:paraId="7EE3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58" w:type="dxa"/>
            <w:shd w:val="clear" w:color="auto" w:fill="auto"/>
            <w:vAlign w:val="center"/>
          </w:tcPr>
          <w:p w14:paraId="3A287CC9">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付款条件</w:t>
            </w:r>
          </w:p>
        </w:tc>
        <w:tc>
          <w:tcPr>
            <w:tcW w:w="8486" w:type="dxa"/>
            <w:shd w:val="clear" w:color="auto" w:fill="auto"/>
            <w:vAlign w:val="center"/>
          </w:tcPr>
          <w:p w14:paraId="1BB0807C">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自合同签订后且中标单位服务人员进场（进场时间以各服务单位具体要求为准）、财政资金到位后，预付合同总金额的10%;剩余款项按季度平均支付，每季度第一个月支付上季度服务费。</w:t>
            </w:r>
          </w:p>
          <w:p w14:paraId="422178C7">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根据每季度考核结果结算支付。三方在签订合同时可就服务质量及检查标准制定奖罚细则，在支付服务费用时采购人（甲方）、服务单位（丙方）有权根据奖罚细则增减服务费用的支付或终止合同。每次请款供应商（乙方）先交请款申请函，后根据要求开具发票，再根据实际情况、考核情况付款。</w:t>
            </w:r>
          </w:p>
        </w:tc>
      </w:tr>
      <w:tr w14:paraId="21DC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8" w:type="dxa"/>
            <w:shd w:val="clear" w:color="auto" w:fill="auto"/>
            <w:vAlign w:val="center"/>
          </w:tcPr>
          <w:p w14:paraId="5FDA0BAA">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其他要求</w:t>
            </w:r>
          </w:p>
        </w:tc>
        <w:tc>
          <w:tcPr>
            <w:tcW w:w="8486" w:type="dxa"/>
            <w:shd w:val="clear" w:color="auto" w:fill="auto"/>
            <w:vAlign w:val="center"/>
          </w:tcPr>
          <w:p w14:paraId="393CCFBE">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为了更好履约及支持中小企业发展，本标项与其他标项兼投不兼中。评审规则：本项目划分为1、2、3、4四个分标，实行兼投不兼中，供应商可以同时参与多个分标投标，但只能中标一个分标。评标委员会严格按照1→2→3→4的顺序依次开展评审；若某供应商在前序分标被确定为第一中标候选人，该供应商不再进入后续详细评审及中标候选人推荐环节，在后续所有分标评审中，评标委员会直接对其作符合性审查否决处理，后续分标从剩余有效投标人（不得少于3家）中正常评审。</w:t>
            </w:r>
          </w:p>
        </w:tc>
      </w:tr>
    </w:tbl>
    <w:p w14:paraId="5A29ECF2">
      <w:pPr>
        <w:bidi w:val="0"/>
        <w:rPr>
          <w:rFonts w:hint="default" w:ascii="Times New Roman" w:hAnsi="Times New Roman" w:cs="Times New Roman"/>
          <w:color w:val="auto"/>
          <w:highlight w:val="none"/>
          <w:lang w:val="en-US" w:eastAsia="zh-CN"/>
        </w:rPr>
      </w:pPr>
    </w:p>
    <w:p w14:paraId="18653271">
      <w:pPr>
        <w:snapToGrid w:val="0"/>
        <w:spacing w:before="156" w:beforeLines="50" w:after="156" w:afterLines="50" w:line="600" w:lineRule="exact"/>
        <w:ind w:left="238"/>
        <w:jc w:val="center"/>
        <w:rPr>
          <w:rFonts w:ascii="宋体" w:hAnsi="宋体" w:cs="宋体"/>
          <w:b/>
          <w:bCs/>
          <w:color w:val="auto"/>
          <w:szCs w:val="21"/>
          <w:highlight w:val="none"/>
        </w:rPr>
      </w:pPr>
      <w:r>
        <w:rPr>
          <w:rFonts w:ascii="宋体" w:hAnsi="宋体" w:cs="宋体"/>
          <w:b/>
          <w:bCs/>
          <w:color w:val="auto"/>
          <w:szCs w:val="21"/>
          <w:highlight w:val="none"/>
        </w:rPr>
        <w:br w:type="page"/>
      </w:r>
    </w:p>
    <w:p w14:paraId="2C5827A8">
      <w:pPr>
        <w:pStyle w:val="513"/>
        <w:spacing w:line="440" w:lineRule="exact"/>
        <w:ind w:firstLine="402"/>
        <w:jc w:val="center"/>
        <w:outlineLvl w:val="1"/>
        <w:rPr>
          <w:rFonts w:hint="eastAsia" w:ascii="宋体" w:hAnsi="宋体" w:cs="宋体"/>
          <w:b/>
          <w:color w:val="auto"/>
          <w:sz w:val="44"/>
          <w:szCs w:val="44"/>
          <w:highlight w:val="none"/>
        </w:rPr>
      </w:pPr>
    </w:p>
    <w:p w14:paraId="7F9D2CFB">
      <w:pPr>
        <w:pStyle w:val="513"/>
        <w:keepNext w:val="0"/>
        <w:keepLines w:val="0"/>
        <w:pageBreakBefore w:val="0"/>
        <w:widowControl w:val="0"/>
        <w:kinsoku/>
        <w:wordWrap/>
        <w:overflowPunct/>
        <w:topLinePunct w:val="0"/>
        <w:autoSpaceDE/>
        <w:autoSpaceDN/>
        <w:bidi w:val="0"/>
        <w:adjustRightInd/>
        <w:snapToGrid/>
        <w:spacing w:line="600" w:lineRule="exact"/>
        <w:ind w:firstLine="402"/>
        <w:jc w:val="center"/>
        <w:textAlignment w:val="auto"/>
        <w:outlineLvl w:val="1"/>
        <w:rPr>
          <w:rFonts w:hint="default" w:eastAsia="宋体"/>
          <w:color w:val="auto"/>
          <w:sz w:val="44"/>
          <w:szCs w:val="44"/>
          <w:highlight w:val="none"/>
          <w:lang w:val="en-US" w:eastAsia="zh-CN"/>
        </w:rPr>
      </w:pPr>
      <w:r>
        <w:rPr>
          <w:rFonts w:hint="eastAsia" w:ascii="宋体" w:hAnsi="宋体" w:cs="宋体"/>
          <w:b/>
          <w:color w:val="auto"/>
          <w:sz w:val="44"/>
          <w:szCs w:val="44"/>
          <w:highlight w:val="none"/>
        </w:rPr>
        <w:t>标项二：</w:t>
      </w:r>
      <w:r>
        <w:rPr>
          <w:rFonts w:hint="eastAsia" w:ascii="宋体" w:hAnsi="宋体" w:cs="宋体"/>
          <w:b/>
          <w:color w:val="auto"/>
          <w:sz w:val="44"/>
          <w:szCs w:val="44"/>
          <w:highlight w:val="none"/>
          <w:lang w:eastAsia="zh-CN"/>
        </w:rPr>
        <w:t>物业服务</w:t>
      </w:r>
      <w:r>
        <w:rPr>
          <w:rFonts w:hint="eastAsia" w:ascii="宋体" w:hAnsi="宋体" w:cs="宋体"/>
          <w:b/>
          <w:color w:val="auto"/>
          <w:sz w:val="44"/>
          <w:szCs w:val="44"/>
          <w:highlight w:val="none"/>
          <w:lang w:val="en-US" w:eastAsia="zh-CN"/>
        </w:rPr>
        <w:t>2</w:t>
      </w:r>
    </w:p>
    <w:p w14:paraId="060E79A3">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说明：</w:t>
      </w:r>
    </w:p>
    <w:p w14:paraId="35C73299">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1.本项目的政府采购预算控制价为人民币6592300元，高于预算控制价的报价将视为无效投标。</w:t>
      </w:r>
    </w:p>
    <w:p w14:paraId="6354752C">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采购需求中标注“★”的内容必须满足或者优于，否则投标无效。</w:t>
      </w:r>
    </w:p>
    <w:p w14:paraId="66C9D525">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3.根据《关于印发中小企业划型标准规定的通知》（工信部联企业</w:t>
      </w:r>
      <w:r>
        <w:rPr>
          <w:rFonts w:hint="eastAsia" w:ascii="宋体" w:hAnsi="宋体" w:cs="Book Antiqua"/>
          <w:color w:val="auto"/>
          <w:szCs w:val="21"/>
          <w:highlight w:val="none"/>
        </w:rPr>
        <w:t>〔2011〕</w:t>
      </w:r>
      <w:r>
        <w:rPr>
          <w:rFonts w:hint="eastAsia" w:ascii="宋体" w:hAnsi="宋体" w:cs="宋体"/>
          <w:color w:val="auto"/>
          <w:szCs w:val="21"/>
          <w:highlight w:val="none"/>
        </w:rPr>
        <w:t>300号）规定的划分标准，本项目采购所有标的对应的中小企业划分标准所属行业为：</w:t>
      </w:r>
      <w:r>
        <w:rPr>
          <w:rFonts w:hint="eastAsia" w:ascii="宋体" w:hAnsi="宋体" w:cs="Book Antiqua"/>
          <w:b/>
          <w:color w:val="auto"/>
          <w:szCs w:val="21"/>
          <w:highlight w:val="none"/>
          <w:lang w:eastAsia="zh-CN"/>
        </w:rPr>
        <w:t>物业管理</w:t>
      </w:r>
      <w:r>
        <w:rPr>
          <w:rFonts w:hint="eastAsia" w:ascii="宋体" w:hAnsi="宋体" w:cs="宋体"/>
          <w:color w:val="auto"/>
          <w:szCs w:val="21"/>
          <w:highlight w:val="none"/>
        </w:rPr>
        <w:t>。</w:t>
      </w:r>
    </w:p>
    <w:tbl>
      <w:tblPr>
        <w:tblStyle w:val="64"/>
        <w:tblW w:w="9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8530"/>
      </w:tblGrid>
      <w:tr w14:paraId="6327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910" w:type="dxa"/>
            <w:gridSpan w:val="2"/>
            <w:shd w:val="clear" w:color="auto" w:fill="auto"/>
            <w:vAlign w:val="center"/>
          </w:tcPr>
          <w:p w14:paraId="7B63EDD5">
            <w:pPr>
              <w:keepNext w:val="0"/>
              <w:keepLines w:val="0"/>
              <w:pageBreakBefore w:val="0"/>
              <w:kinsoku/>
              <w:overflowPunct/>
              <w:topLinePunct w:val="0"/>
              <w:bidi w:val="0"/>
              <w:snapToGrid/>
              <w:spacing w:line="42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eastAsia" w:ascii="宋体" w:hAnsi="宋体" w:cs="宋体"/>
                <w:bCs/>
                <w:color w:val="auto"/>
                <w:sz w:val="32"/>
                <w:szCs w:val="32"/>
                <w:highlight w:val="none"/>
              </w:rPr>
              <w:t>★</w:t>
            </w: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rPr>
              <w:t>技术要求</w:t>
            </w:r>
          </w:p>
        </w:tc>
      </w:tr>
      <w:tr w14:paraId="1755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910" w:type="dxa"/>
            <w:gridSpan w:val="2"/>
            <w:shd w:val="clear" w:color="auto" w:fill="auto"/>
            <w:vAlign w:val="center"/>
          </w:tcPr>
          <w:p w14:paraId="6E134F9D">
            <w:pPr>
              <w:keepNext w:val="0"/>
              <w:keepLines w:val="0"/>
              <w:pageBreakBefore w:val="0"/>
              <w:kinsoku/>
              <w:overflowPunct/>
              <w:topLinePunct w:val="0"/>
              <w:bidi w:val="0"/>
              <w:snapToGrid/>
              <w:spacing w:line="420" w:lineRule="exact"/>
              <w:ind w:firstLine="643" w:firstLineChars="200"/>
              <w:jc w:val="left"/>
              <w:textAlignment w:val="auto"/>
              <w:rPr>
                <w:rFonts w:hint="default" w:ascii="宋体" w:hAnsi="宋体" w:eastAsia="宋体" w:cs="宋体"/>
                <w:bCs/>
                <w:color w:val="auto"/>
                <w:sz w:val="32"/>
                <w:szCs w:val="32"/>
                <w:highlight w:val="none"/>
                <w:lang w:val="en-US" w:eastAsia="zh-CN"/>
              </w:rPr>
            </w:pPr>
            <w:r>
              <w:rPr>
                <w:rFonts w:hint="eastAsia" w:ascii="宋体" w:hAnsi="宋体" w:cs="宋体"/>
                <w:b/>
                <w:bCs w:val="0"/>
                <w:color w:val="auto"/>
                <w:sz w:val="32"/>
                <w:szCs w:val="32"/>
                <w:highlight w:val="none"/>
                <w:lang w:eastAsia="zh-CN"/>
              </w:rPr>
              <w:t>第一部分</w:t>
            </w:r>
            <w:r>
              <w:rPr>
                <w:rFonts w:hint="eastAsia" w:ascii="宋体" w:hAnsi="宋体" w:cs="宋体"/>
                <w:b/>
                <w:bCs w:val="0"/>
                <w:color w:val="auto"/>
                <w:sz w:val="32"/>
                <w:szCs w:val="32"/>
                <w:highlight w:val="none"/>
                <w:lang w:val="en-US" w:eastAsia="zh-CN"/>
              </w:rPr>
              <w:t xml:space="preserve"> 北海市第六幼儿园、北海市第二中学、北海市第六中学以及北海市第十一中学物业服务要求</w:t>
            </w:r>
          </w:p>
        </w:tc>
      </w:tr>
      <w:tr w14:paraId="6DFA8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910" w:type="dxa"/>
            <w:gridSpan w:val="2"/>
            <w:vMerge w:val="restart"/>
            <w:shd w:val="clear" w:color="auto" w:fill="auto"/>
            <w:vAlign w:val="center"/>
          </w:tcPr>
          <w:p w14:paraId="2A166257">
            <w:pPr>
              <w:pStyle w:val="24"/>
              <w:keepNext w:val="0"/>
              <w:keepLines w:val="0"/>
              <w:pageBreakBefore w:val="0"/>
              <w:widowControl w:val="0"/>
              <w:kinsoku/>
              <w:overflowPunct/>
              <w:topLinePunct w:val="0"/>
              <w:autoSpaceDE/>
              <w:autoSpaceDN/>
              <w:bidi w:val="0"/>
              <w:snapToGrid/>
              <w:spacing w:line="420" w:lineRule="exact"/>
              <w:ind w:left="0" w:leftChars="0" w:firstLine="0" w:firstLineChars="0"/>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一、服务范围和内容</w:t>
            </w:r>
          </w:p>
          <w:p w14:paraId="060C2236">
            <w:pPr>
              <w:pStyle w:val="24"/>
              <w:keepNext w:val="0"/>
              <w:keepLines w:val="0"/>
              <w:pageBreakBefore w:val="0"/>
              <w:widowControl w:val="0"/>
              <w:kinsoku/>
              <w:overflowPunct/>
              <w:topLinePunct w:val="0"/>
              <w:autoSpaceDE/>
              <w:autoSpaceDN/>
              <w:bidi w:val="0"/>
              <w:snapToGrid/>
              <w:spacing w:line="420" w:lineRule="exact"/>
              <w:ind w:left="0" w:leftChars="0" w:firstLine="0" w:firstLineChars="0"/>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（一）服务范围</w:t>
            </w:r>
          </w:p>
          <w:p w14:paraId="48D3123C">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highlight w:val="none"/>
                <w:lang w:val="en-US" w:eastAsia="zh-CN"/>
              </w:rPr>
              <w:t>为派驻学校校园全域（包括所有建筑物、公共场所）</w:t>
            </w:r>
            <w:r>
              <w:rPr>
                <w:rFonts w:hint="default" w:ascii="Times New Roman" w:hAnsi="Times New Roman" w:cs="Times New Roman"/>
                <w:color w:val="auto"/>
                <w:sz w:val="24"/>
                <w:szCs w:val="24"/>
                <w:highlight w:val="none"/>
                <w:lang w:val="en-US" w:eastAsia="zh-CN"/>
              </w:rPr>
              <w:t>提供物业服务，负责</w:t>
            </w:r>
            <w:r>
              <w:rPr>
                <w:rFonts w:hint="default" w:ascii="Times New Roman" w:hAnsi="Times New Roman" w:cs="Times New Roman"/>
                <w:color w:val="auto"/>
                <w:sz w:val="24"/>
                <w:highlight w:val="none"/>
              </w:rPr>
              <w:t>学校卫生保洁、绿化维护管理和</w:t>
            </w:r>
            <w:r>
              <w:rPr>
                <w:rFonts w:hint="default" w:ascii="Times New Roman" w:hAnsi="Times New Roman" w:cs="Times New Roman"/>
                <w:color w:val="auto"/>
                <w:sz w:val="24"/>
                <w:szCs w:val="24"/>
                <w:highlight w:val="none"/>
                <w:lang w:val="en-US" w:eastAsia="zh-CN"/>
              </w:rPr>
              <w:t>日常维修等服务。</w:t>
            </w:r>
          </w:p>
          <w:p w14:paraId="516BBAF5">
            <w:pPr>
              <w:pStyle w:val="24"/>
              <w:keepNext w:val="0"/>
              <w:keepLines w:val="0"/>
              <w:pageBreakBefore w:val="0"/>
              <w:widowControl w:val="0"/>
              <w:kinsoku/>
              <w:overflowPunct/>
              <w:topLinePunct w:val="0"/>
              <w:autoSpaceDE/>
              <w:autoSpaceDN/>
              <w:bidi w:val="0"/>
              <w:snapToGrid/>
              <w:spacing w:line="420" w:lineRule="exact"/>
              <w:ind w:left="0" w:leftChars="0" w:firstLine="0" w:firstLineChars="0"/>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（二）服务内容</w:t>
            </w:r>
          </w:p>
          <w:p w14:paraId="28EC1672">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 校园内物业负责公共路面、卫生间、校领导办公室等所有公共卫生区域的卫生清洁、垃圾收集、卫生间简单管道疏通等清洁保洁服务；</w:t>
            </w:r>
          </w:p>
          <w:p w14:paraId="4D6AECD5">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 校区内公共绿地、花木、建筑小品的养护管理；</w:t>
            </w:r>
          </w:p>
          <w:p w14:paraId="4811959C">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3. 校内学生宿舍的管理服务；</w:t>
            </w:r>
          </w:p>
          <w:p w14:paraId="1D7161EF">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4. 水电维修管理、协助学校完成设施设备维修保养；积极完成校方安排的其他临时工作任务。</w:t>
            </w:r>
          </w:p>
          <w:p w14:paraId="0B98FF67">
            <w:pPr>
              <w:pStyle w:val="24"/>
              <w:keepNext w:val="0"/>
              <w:keepLines w:val="0"/>
              <w:pageBreakBefore w:val="0"/>
              <w:widowControl w:val="0"/>
              <w:kinsoku/>
              <w:overflowPunct/>
              <w:topLinePunct w:val="0"/>
              <w:autoSpaceDE/>
              <w:autoSpaceDN/>
              <w:bidi w:val="0"/>
              <w:snapToGrid/>
              <w:spacing w:line="420" w:lineRule="exact"/>
              <w:ind w:left="0" w:leftChars="0" w:firstLine="0" w:firstLineChars="0"/>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（三）</w:t>
            </w:r>
            <w:r>
              <w:rPr>
                <w:rFonts w:hint="eastAsia" w:ascii="宋体" w:hAnsi="宋体" w:eastAsia="宋体" w:cs="宋体"/>
                <w:b/>
                <w:bCs/>
                <w:color w:val="auto"/>
                <w:sz w:val="21"/>
                <w:szCs w:val="21"/>
                <w:highlight w:val="none"/>
                <w:lang w:val="en-US" w:eastAsia="zh-CN"/>
              </w:rPr>
              <w:t>人员需求表</w:t>
            </w:r>
          </w:p>
          <w:tbl>
            <w:tblPr>
              <w:tblStyle w:val="64"/>
              <w:tblW w:w="8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252"/>
              <w:gridCol w:w="1800"/>
              <w:gridCol w:w="1873"/>
              <w:gridCol w:w="1751"/>
            </w:tblGrid>
            <w:tr w14:paraId="24567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73" w:type="dxa"/>
                  <w:vAlign w:val="center"/>
                </w:tcPr>
                <w:p w14:paraId="744FCAB8">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2252" w:type="dxa"/>
                  <w:vAlign w:val="center"/>
                </w:tcPr>
                <w:p w14:paraId="66E21545">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hAnsi="宋体" w:cs="宋体"/>
                      <w:color w:val="auto"/>
                      <w:sz w:val="21"/>
                      <w:szCs w:val="21"/>
                      <w:highlight w:val="none"/>
                      <w:vertAlign w:val="baseline"/>
                      <w:lang w:val="en-US" w:eastAsia="zh-CN"/>
                    </w:rPr>
                    <w:t>服务单位</w:t>
                  </w:r>
                </w:p>
              </w:tc>
              <w:tc>
                <w:tcPr>
                  <w:tcW w:w="1800" w:type="dxa"/>
                  <w:vAlign w:val="center"/>
                </w:tcPr>
                <w:p w14:paraId="102D5C5D">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人员类别</w:t>
                  </w:r>
                </w:p>
              </w:tc>
              <w:tc>
                <w:tcPr>
                  <w:tcW w:w="1873" w:type="dxa"/>
                  <w:vAlign w:val="center"/>
                </w:tcPr>
                <w:p w14:paraId="1767A7D9">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配备人数</w:t>
                  </w:r>
                </w:p>
              </w:tc>
              <w:tc>
                <w:tcPr>
                  <w:tcW w:w="1751" w:type="dxa"/>
                  <w:vAlign w:val="center"/>
                </w:tcPr>
                <w:p w14:paraId="473C9A25">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投标最高限价</w:t>
                  </w:r>
                </w:p>
                <w:p w14:paraId="081918EA">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（万元）</w:t>
                  </w:r>
                </w:p>
              </w:tc>
            </w:tr>
            <w:tr w14:paraId="0F39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restart"/>
                  <w:vAlign w:val="center"/>
                </w:tcPr>
                <w:p w14:paraId="4F006158">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252" w:type="dxa"/>
                  <w:vMerge w:val="restart"/>
                  <w:vAlign w:val="center"/>
                </w:tcPr>
                <w:p w14:paraId="006960FE">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北海市第六幼儿园</w:t>
                  </w:r>
                </w:p>
              </w:tc>
              <w:tc>
                <w:tcPr>
                  <w:tcW w:w="1800" w:type="dxa"/>
                  <w:vAlign w:val="center"/>
                </w:tcPr>
                <w:p w14:paraId="370DBDFD">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保洁员</w:t>
                  </w:r>
                </w:p>
              </w:tc>
              <w:tc>
                <w:tcPr>
                  <w:tcW w:w="1873" w:type="dxa"/>
                  <w:vAlign w:val="center"/>
                </w:tcPr>
                <w:p w14:paraId="5F856BDE">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751" w:type="dxa"/>
                  <w:vMerge w:val="restart"/>
                  <w:vAlign w:val="center"/>
                </w:tcPr>
                <w:p w14:paraId="0F21B2E5">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lang w:val="en-US" w:eastAsia="zh-CN"/>
                    </w:rPr>
                    <w:t>17.83</w:t>
                  </w:r>
                </w:p>
              </w:tc>
            </w:tr>
            <w:tr w14:paraId="285F9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continue"/>
                  <w:vAlign w:val="center"/>
                </w:tcPr>
                <w:p w14:paraId="4CDB4ED8">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c>
                <w:tcPr>
                  <w:tcW w:w="2252" w:type="dxa"/>
                  <w:vMerge w:val="continue"/>
                  <w:vAlign w:val="center"/>
                </w:tcPr>
                <w:p w14:paraId="05F21CA8">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c>
                <w:tcPr>
                  <w:tcW w:w="1800" w:type="dxa"/>
                  <w:vAlign w:val="center"/>
                </w:tcPr>
                <w:p w14:paraId="4E3D5766">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绿化员</w:t>
                  </w:r>
                </w:p>
              </w:tc>
              <w:tc>
                <w:tcPr>
                  <w:tcW w:w="1873" w:type="dxa"/>
                  <w:vAlign w:val="center"/>
                </w:tcPr>
                <w:p w14:paraId="618F4C35">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751" w:type="dxa"/>
                  <w:vMerge w:val="continue"/>
                  <w:vAlign w:val="center"/>
                </w:tcPr>
                <w:p w14:paraId="30B91BD2">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r>
            <w:tr w14:paraId="368DD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restart"/>
                  <w:vAlign w:val="center"/>
                </w:tcPr>
                <w:p w14:paraId="0657FF08">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2252" w:type="dxa"/>
                  <w:vMerge w:val="restart"/>
                  <w:vAlign w:val="center"/>
                </w:tcPr>
                <w:p w14:paraId="59713329">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北海市第二中学</w:t>
                  </w:r>
                </w:p>
              </w:tc>
              <w:tc>
                <w:tcPr>
                  <w:tcW w:w="1800" w:type="dxa"/>
                  <w:shd w:val="clear" w:color="auto" w:fill="auto"/>
                  <w:vAlign w:val="center"/>
                </w:tcPr>
                <w:p w14:paraId="00F99602">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水电工</w:t>
                  </w:r>
                </w:p>
              </w:tc>
              <w:tc>
                <w:tcPr>
                  <w:tcW w:w="1873" w:type="dxa"/>
                  <w:vAlign w:val="center"/>
                </w:tcPr>
                <w:p w14:paraId="4B558454">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751" w:type="dxa"/>
                  <w:vMerge w:val="restart"/>
                  <w:vAlign w:val="center"/>
                </w:tcPr>
                <w:p w14:paraId="029F0DB2">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lang w:val="en-US" w:eastAsia="zh-CN"/>
                    </w:rPr>
                    <w:t>89.73</w:t>
                  </w:r>
                </w:p>
              </w:tc>
            </w:tr>
            <w:tr w14:paraId="5839A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continue"/>
                  <w:vAlign w:val="center"/>
                </w:tcPr>
                <w:p w14:paraId="0E591ECE">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c>
                <w:tcPr>
                  <w:tcW w:w="2252" w:type="dxa"/>
                  <w:vMerge w:val="continue"/>
                  <w:vAlign w:val="center"/>
                </w:tcPr>
                <w:p w14:paraId="588ED40B">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c>
                <w:tcPr>
                  <w:tcW w:w="1800" w:type="dxa"/>
                  <w:shd w:val="clear" w:color="auto" w:fill="auto"/>
                  <w:vAlign w:val="center"/>
                </w:tcPr>
                <w:p w14:paraId="4BA14D56">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保洁员</w:t>
                  </w:r>
                </w:p>
              </w:tc>
              <w:tc>
                <w:tcPr>
                  <w:tcW w:w="1873" w:type="dxa"/>
                  <w:vAlign w:val="center"/>
                </w:tcPr>
                <w:p w14:paraId="19198D85">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w:t>
                  </w:r>
                </w:p>
              </w:tc>
              <w:tc>
                <w:tcPr>
                  <w:tcW w:w="1751" w:type="dxa"/>
                  <w:vMerge w:val="continue"/>
                  <w:vAlign w:val="center"/>
                </w:tcPr>
                <w:p w14:paraId="7A1D18E5">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r>
            <w:tr w14:paraId="56B3C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continue"/>
                  <w:vAlign w:val="center"/>
                </w:tcPr>
                <w:p w14:paraId="6F2E8D21">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c>
                <w:tcPr>
                  <w:tcW w:w="2252" w:type="dxa"/>
                  <w:vMerge w:val="continue"/>
                  <w:vAlign w:val="center"/>
                </w:tcPr>
                <w:p w14:paraId="13551F20">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c>
                <w:tcPr>
                  <w:tcW w:w="1800" w:type="dxa"/>
                  <w:shd w:val="clear" w:color="auto" w:fill="auto"/>
                  <w:vAlign w:val="center"/>
                </w:tcPr>
                <w:p w14:paraId="1039F42F">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绿化员</w:t>
                  </w:r>
                </w:p>
              </w:tc>
              <w:tc>
                <w:tcPr>
                  <w:tcW w:w="1873" w:type="dxa"/>
                  <w:vAlign w:val="center"/>
                </w:tcPr>
                <w:p w14:paraId="0CD11D85">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751" w:type="dxa"/>
                  <w:vMerge w:val="continue"/>
                  <w:vAlign w:val="center"/>
                </w:tcPr>
                <w:p w14:paraId="02DDF0B3">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r>
            <w:tr w14:paraId="52FAE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restart"/>
                  <w:vAlign w:val="center"/>
                </w:tcPr>
                <w:p w14:paraId="387E70C0">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2252" w:type="dxa"/>
                  <w:vMerge w:val="restart"/>
                  <w:vAlign w:val="center"/>
                </w:tcPr>
                <w:p w14:paraId="6C7D17AE">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北海市第六中学</w:t>
                  </w:r>
                </w:p>
              </w:tc>
              <w:tc>
                <w:tcPr>
                  <w:tcW w:w="1800" w:type="dxa"/>
                  <w:vAlign w:val="center"/>
                </w:tcPr>
                <w:p w14:paraId="1ED34B35">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水电工</w:t>
                  </w:r>
                </w:p>
              </w:tc>
              <w:tc>
                <w:tcPr>
                  <w:tcW w:w="1873" w:type="dxa"/>
                  <w:vAlign w:val="center"/>
                </w:tcPr>
                <w:p w14:paraId="6D3C91F0">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751" w:type="dxa"/>
                  <w:vMerge w:val="restart"/>
                  <w:vAlign w:val="center"/>
                </w:tcPr>
                <w:p w14:paraId="24DEF614">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lang w:val="en-US" w:eastAsia="zh-CN"/>
                    </w:rPr>
                    <w:t>45.84</w:t>
                  </w:r>
                </w:p>
              </w:tc>
            </w:tr>
            <w:tr w14:paraId="1F673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continue"/>
                  <w:vAlign w:val="center"/>
                </w:tcPr>
                <w:p w14:paraId="3A4B3C35">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c>
                <w:tcPr>
                  <w:tcW w:w="2252" w:type="dxa"/>
                  <w:vMerge w:val="continue"/>
                  <w:vAlign w:val="center"/>
                </w:tcPr>
                <w:p w14:paraId="78C040B5">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c>
                <w:tcPr>
                  <w:tcW w:w="1800" w:type="dxa"/>
                  <w:vAlign w:val="center"/>
                </w:tcPr>
                <w:p w14:paraId="68082A26">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保洁员</w:t>
                  </w:r>
                </w:p>
              </w:tc>
              <w:tc>
                <w:tcPr>
                  <w:tcW w:w="1873" w:type="dxa"/>
                  <w:vAlign w:val="center"/>
                </w:tcPr>
                <w:p w14:paraId="49A6482F">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1751" w:type="dxa"/>
                  <w:vMerge w:val="continue"/>
                  <w:vAlign w:val="center"/>
                </w:tcPr>
                <w:p w14:paraId="3B72F4C7">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r>
            <w:tr w14:paraId="59E28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continue"/>
                  <w:vAlign w:val="center"/>
                </w:tcPr>
                <w:p w14:paraId="3B83A78A">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c>
                <w:tcPr>
                  <w:tcW w:w="2252" w:type="dxa"/>
                  <w:vMerge w:val="continue"/>
                  <w:vAlign w:val="center"/>
                </w:tcPr>
                <w:p w14:paraId="10069B1B">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c>
                <w:tcPr>
                  <w:tcW w:w="1800" w:type="dxa"/>
                  <w:vAlign w:val="center"/>
                </w:tcPr>
                <w:p w14:paraId="54811B81">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绿化员</w:t>
                  </w:r>
                </w:p>
              </w:tc>
              <w:tc>
                <w:tcPr>
                  <w:tcW w:w="1873" w:type="dxa"/>
                  <w:vAlign w:val="center"/>
                </w:tcPr>
                <w:p w14:paraId="2E59D5D8">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751" w:type="dxa"/>
                  <w:vMerge w:val="continue"/>
                  <w:vAlign w:val="center"/>
                </w:tcPr>
                <w:p w14:paraId="552F7D51">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r>
            <w:tr w14:paraId="1DE8A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restart"/>
                  <w:vAlign w:val="center"/>
                </w:tcPr>
                <w:p w14:paraId="689B4EBE">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2252" w:type="dxa"/>
                  <w:vMerge w:val="restart"/>
                  <w:vAlign w:val="center"/>
                </w:tcPr>
                <w:p w14:paraId="4FB42396">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北海市第十一中学</w:t>
                  </w:r>
                </w:p>
              </w:tc>
              <w:tc>
                <w:tcPr>
                  <w:tcW w:w="1800" w:type="dxa"/>
                  <w:vAlign w:val="center"/>
                </w:tcPr>
                <w:p w14:paraId="02350DD9">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水电工</w:t>
                  </w:r>
                </w:p>
              </w:tc>
              <w:tc>
                <w:tcPr>
                  <w:tcW w:w="1873" w:type="dxa"/>
                  <w:vAlign w:val="center"/>
                </w:tcPr>
                <w:p w14:paraId="25B63ADC">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1751" w:type="dxa"/>
                  <w:vMerge w:val="restart"/>
                  <w:vAlign w:val="center"/>
                </w:tcPr>
                <w:p w14:paraId="0CF96E18">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56.29</w:t>
                  </w:r>
                </w:p>
              </w:tc>
            </w:tr>
            <w:tr w14:paraId="247C6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continue"/>
                  <w:vAlign w:val="center"/>
                </w:tcPr>
                <w:p w14:paraId="4F13C21F">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c>
                <w:tcPr>
                  <w:tcW w:w="2252" w:type="dxa"/>
                  <w:vMerge w:val="continue"/>
                  <w:vAlign w:val="center"/>
                </w:tcPr>
                <w:p w14:paraId="76821159">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c>
                <w:tcPr>
                  <w:tcW w:w="1800" w:type="dxa"/>
                  <w:vAlign w:val="center"/>
                </w:tcPr>
                <w:p w14:paraId="4A2F924E">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保洁员</w:t>
                  </w:r>
                </w:p>
              </w:tc>
              <w:tc>
                <w:tcPr>
                  <w:tcW w:w="1873" w:type="dxa"/>
                  <w:vAlign w:val="center"/>
                </w:tcPr>
                <w:p w14:paraId="50264EF1">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1751" w:type="dxa"/>
                  <w:vMerge w:val="continue"/>
                  <w:vAlign w:val="center"/>
                </w:tcPr>
                <w:p w14:paraId="7DAFEEBA">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r>
            <w:tr w14:paraId="4F592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continue"/>
                  <w:vAlign w:val="center"/>
                </w:tcPr>
                <w:p w14:paraId="33D98B92">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c>
                <w:tcPr>
                  <w:tcW w:w="2252" w:type="dxa"/>
                  <w:vMerge w:val="continue"/>
                  <w:vAlign w:val="center"/>
                </w:tcPr>
                <w:p w14:paraId="084B020A">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c>
                <w:tcPr>
                  <w:tcW w:w="1800" w:type="dxa"/>
                  <w:vAlign w:val="center"/>
                </w:tcPr>
                <w:p w14:paraId="25A99CC0">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绿化员</w:t>
                  </w:r>
                </w:p>
              </w:tc>
              <w:tc>
                <w:tcPr>
                  <w:tcW w:w="1873" w:type="dxa"/>
                  <w:vAlign w:val="center"/>
                </w:tcPr>
                <w:p w14:paraId="5A4CEBE8">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751" w:type="dxa"/>
                  <w:vMerge w:val="continue"/>
                  <w:vAlign w:val="center"/>
                </w:tcPr>
                <w:p w14:paraId="20866CDF">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r>
            <w:tr w14:paraId="614F3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restart"/>
                  <w:vAlign w:val="center"/>
                </w:tcPr>
                <w:p w14:paraId="10565E43">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2252" w:type="dxa"/>
                  <w:vMerge w:val="restart"/>
                  <w:vAlign w:val="center"/>
                </w:tcPr>
                <w:p w14:paraId="1F5EFDF3">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lang w:val="en-US" w:eastAsia="zh-CN"/>
                    </w:rPr>
                    <w:t>北海市中等职业技术学校</w:t>
                  </w:r>
                </w:p>
              </w:tc>
              <w:tc>
                <w:tcPr>
                  <w:tcW w:w="1800" w:type="dxa"/>
                  <w:vAlign w:val="center"/>
                </w:tcPr>
                <w:p w14:paraId="52EBF1D9">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lang w:val="en-US" w:eastAsia="zh-CN"/>
                    </w:rPr>
                    <w:t>物业主管</w:t>
                  </w:r>
                </w:p>
              </w:tc>
              <w:tc>
                <w:tcPr>
                  <w:tcW w:w="1873" w:type="dxa"/>
                  <w:vMerge w:val="restart"/>
                  <w:vAlign w:val="center"/>
                </w:tcPr>
                <w:p w14:paraId="249FF647">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lang w:val="en-US" w:eastAsia="zh-CN"/>
                    </w:rPr>
                    <w:t>详见本节第二部分和第三部分</w:t>
                  </w:r>
                  <w:r>
                    <w:rPr>
                      <w:rFonts w:hint="default" w:ascii="宋体" w:hAnsi="宋体" w:eastAsia="宋体" w:cs="宋体"/>
                      <w:b w:val="0"/>
                      <w:bCs/>
                      <w:color w:val="auto"/>
                      <w:sz w:val="21"/>
                      <w:szCs w:val="21"/>
                      <w:highlight w:val="none"/>
                      <w:lang w:val="en-US" w:eastAsia="zh-CN"/>
                    </w:rPr>
                    <w:t>北海市中等职业技术学校物业服务</w:t>
                  </w:r>
                  <w:r>
                    <w:rPr>
                      <w:rFonts w:hint="eastAsia" w:ascii="宋体" w:hAnsi="宋体" w:eastAsia="宋体" w:cs="宋体"/>
                      <w:b w:val="0"/>
                      <w:bCs/>
                      <w:color w:val="auto"/>
                      <w:sz w:val="21"/>
                      <w:szCs w:val="21"/>
                      <w:highlight w:val="none"/>
                      <w:lang w:val="en-US" w:eastAsia="zh-CN"/>
                    </w:rPr>
                    <w:t>和</w:t>
                  </w:r>
                  <w:r>
                    <w:rPr>
                      <w:rFonts w:hint="default" w:ascii="宋体" w:hAnsi="宋体" w:eastAsia="宋体" w:cs="宋体"/>
                      <w:b w:val="0"/>
                      <w:bCs/>
                      <w:color w:val="auto"/>
                      <w:sz w:val="21"/>
                      <w:szCs w:val="21"/>
                      <w:highlight w:val="none"/>
                      <w:lang w:val="en-US" w:eastAsia="zh-CN"/>
                    </w:rPr>
                    <w:t>宿舍管理服务</w:t>
                  </w:r>
                  <w:r>
                    <w:rPr>
                      <w:rFonts w:hint="eastAsia" w:ascii="宋体" w:hAnsi="宋体" w:eastAsia="宋体" w:cs="宋体"/>
                      <w:b w:val="0"/>
                      <w:bCs/>
                      <w:color w:val="auto"/>
                      <w:sz w:val="21"/>
                      <w:szCs w:val="21"/>
                      <w:highlight w:val="none"/>
                      <w:lang w:val="en-US" w:eastAsia="zh-CN"/>
                    </w:rPr>
                    <w:t>的具体人员配备要求</w:t>
                  </w:r>
                </w:p>
              </w:tc>
              <w:tc>
                <w:tcPr>
                  <w:tcW w:w="1751" w:type="dxa"/>
                  <w:vMerge w:val="restart"/>
                  <w:vAlign w:val="center"/>
                </w:tcPr>
                <w:p w14:paraId="287D5245">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449.54</w:t>
                  </w:r>
                </w:p>
              </w:tc>
            </w:tr>
            <w:tr w14:paraId="4A06C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continue"/>
                  <w:vAlign w:val="center"/>
                </w:tcPr>
                <w:p w14:paraId="09DB1992">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c>
                <w:tcPr>
                  <w:tcW w:w="2252" w:type="dxa"/>
                  <w:vMerge w:val="continue"/>
                  <w:vAlign w:val="center"/>
                </w:tcPr>
                <w:p w14:paraId="3008A100">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c>
                <w:tcPr>
                  <w:tcW w:w="1800" w:type="dxa"/>
                  <w:vAlign w:val="center"/>
                </w:tcPr>
                <w:p w14:paraId="2DFC5DD3">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lang w:val="en-US" w:eastAsia="zh-CN"/>
                    </w:rPr>
                    <w:t>保洁员</w:t>
                  </w:r>
                </w:p>
              </w:tc>
              <w:tc>
                <w:tcPr>
                  <w:tcW w:w="1873" w:type="dxa"/>
                  <w:vMerge w:val="continue"/>
                  <w:vAlign w:val="center"/>
                </w:tcPr>
                <w:p w14:paraId="7084CE0F">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c>
                <w:tcPr>
                  <w:tcW w:w="1751" w:type="dxa"/>
                  <w:vMerge w:val="continue"/>
                  <w:vAlign w:val="center"/>
                </w:tcPr>
                <w:p w14:paraId="3864F06E">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r>
            <w:tr w14:paraId="5D9C8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continue"/>
                  <w:vAlign w:val="center"/>
                </w:tcPr>
                <w:p w14:paraId="169A5FF5">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c>
                <w:tcPr>
                  <w:tcW w:w="2252" w:type="dxa"/>
                  <w:vMerge w:val="continue"/>
                  <w:vAlign w:val="center"/>
                </w:tcPr>
                <w:p w14:paraId="053B7C0C">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c>
                <w:tcPr>
                  <w:tcW w:w="1800" w:type="dxa"/>
                  <w:vAlign w:val="center"/>
                </w:tcPr>
                <w:p w14:paraId="775A8073">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lang w:val="en-US" w:eastAsia="zh-CN"/>
                    </w:rPr>
                    <w:t>绿化员</w:t>
                  </w:r>
                </w:p>
              </w:tc>
              <w:tc>
                <w:tcPr>
                  <w:tcW w:w="1873" w:type="dxa"/>
                  <w:vMerge w:val="continue"/>
                  <w:vAlign w:val="center"/>
                </w:tcPr>
                <w:p w14:paraId="3E9B4288">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c>
                <w:tcPr>
                  <w:tcW w:w="1751" w:type="dxa"/>
                  <w:vMerge w:val="continue"/>
                  <w:vAlign w:val="center"/>
                </w:tcPr>
                <w:p w14:paraId="3F64B331">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r>
            <w:tr w14:paraId="58A77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continue"/>
                  <w:vAlign w:val="center"/>
                </w:tcPr>
                <w:p w14:paraId="0094B81D">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c>
                <w:tcPr>
                  <w:tcW w:w="2252" w:type="dxa"/>
                  <w:vMerge w:val="continue"/>
                  <w:vAlign w:val="center"/>
                </w:tcPr>
                <w:p w14:paraId="22B72F14">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c>
                <w:tcPr>
                  <w:tcW w:w="1800" w:type="dxa"/>
                  <w:vAlign w:val="center"/>
                </w:tcPr>
                <w:p w14:paraId="7663916A">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lang w:val="en-US" w:eastAsia="zh-CN"/>
                    </w:rPr>
                    <w:t>宿管主管</w:t>
                  </w:r>
                </w:p>
              </w:tc>
              <w:tc>
                <w:tcPr>
                  <w:tcW w:w="1873" w:type="dxa"/>
                  <w:vMerge w:val="continue"/>
                  <w:vAlign w:val="center"/>
                </w:tcPr>
                <w:p w14:paraId="20D96037">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c>
                <w:tcPr>
                  <w:tcW w:w="1751" w:type="dxa"/>
                  <w:vMerge w:val="continue"/>
                  <w:vAlign w:val="center"/>
                </w:tcPr>
                <w:p w14:paraId="4CF54D27">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r>
            <w:tr w14:paraId="36695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continue"/>
                  <w:vAlign w:val="center"/>
                </w:tcPr>
                <w:p w14:paraId="12D5B0AA">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c>
                <w:tcPr>
                  <w:tcW w:w="2252" w:type="dxa"/>
                  <w:vMerge w:val="continue"/>
                  <w:vAlign w:val="center"/>
                </w:tcPr>
                <w:p w14:paraId="07D8302F">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c>
                <w:tcPr>
                  <w:tcW w:w="1800" w:type="dxa"/>
                  <w:vAlign w:val="center"/>
                </w:tcPr>
                <w:p w14:paraId="7D203313">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lang w:val="en-US" w:eastAsia="zh-CN"/>
                    </w:rPr>
                    <w:t>宿管员</w:t>
                  </w:r>
                </w:p>
              </w:tc>
              <w:tc>
                <w:tcPr>
                  <w:tcW w:w="1873" w:type="dxa"/>
                  <w:vMerge w:val="continue"/>
                  <w:vAlign w:val="center"/>
                </w:tcPr>
                <w:p w14:paraId="4FB67E27">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c>
                <w:tcPr>
                  <w:tcW w:w="1751" w:type="dxa"/>
                  <w:vMerge w:val="continue"/>
                  <w:vAlign w:val="center"/>
                </w:tcPr>
                <w:p w14:paraId="0D390294">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r>
          </w:tbl>
          <w:p w14:paraId="2C22CBAD">
            <w:pPr>
              <w:pStyle w:val="24"/>
              <w:keepNext w:val="0"/>
              <w:keepLines w:val="0"/>
              <w:pageBreakBefore w:val="0"/>
              <w:widowControl w:val="0"/>
              <w:kinsoku/>
              <w:overflowPunct/>
              <w:topLinePunct w:val="0"/>
              <w:autoSpaceDE/>
              <w:autoSpaceDN/>
              <w:bidi w:val="0"/>
              <w:snapToGrid/>
              <w:spacing w:line="420" w:lineRule="exact"/>
              <w:ind w:left="0" w:leftChars="0" w:firstLine="0" w:firstLineChars="0"/>
              <w:textAlignment w:val="auto"/>
              <w:rPr>
                <w:rFonts w:hint="default" w:ascii="Times New Roman" w:hAnsi="Times New Roman" w:eastAsia="宋体" w:cs="Times New Roman"/>
                <w:b/>
                <w:bCs/>
                <w:color w:val="auto"/>
                <w:sz w:val="24"/>
                <w:szCs w:val="24"/>
                <w:highlight w:val="none"/>
                <w:lang w:val="en-US" w:eastAsia="zh-CN"/>
              </w:rPr>
            </w:pPr>
          </w:p>
          <w:p w14:paraId="1AE79438">
            <w:pPr>
              <w:pStyle w:val="24"/>
              <w:keepNext w:val="0"/>
              <w:keepLines w:val="0"/>
              <w:pageBreakBefore w:val="0"/>
              <w:widowControl w:val="0"/>
              <w:kinsoku/>
              <w:overflowPunct/>
              <w:topLinePunct w:val="0"/>
              <w:autoSpaceDE/>
              <w:autoSpaceDN/>
              <w:bidi w:val="0"/>
              <w:snapToGrid/>
              <w:spacing w:line="420" w:lineRule="exact"/>
              <w:ind w:left="0" w:leftChars="0" w:firstLine="0" w:firstLineChars="0"/>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二、服务要求</w:t>
            </w:r>
          </w:p>
          <w:p w14:paraId="5674875D">
            <w:pPr>
              <w:pStyle w:val="24"/>
              <w:keepNext w:val="0"/>
              <w:keepLines w:val="0"/>
              <w:pageBreakBefore w:val="0"/>
              <w:widowControl w:val="0"/>
              <w:kinsoku/>
              <w:overflowPunct/>
              <w:topLinePunct w:val="0"/>
              <w:autoSpaceDE/>
              <w:autoSpaceDN/>
              <w:bidi w:val="0"/>
              <w:snapToGrid/>
              <w:spacing w:line="420" w:lineRule="exact"/>
              <w:ind w:left="0" w:leftChars="0" w:firstLine="0" w:firstLineChars="0"/>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（一）总体服务要求</w:t>
            </w:r>
          </w:p>
          <w:p w14:paraId="4D994D3F">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highlight w:val="none"/>
                <w:lang w:val="en-US" w:eastAsia="zh-CN"/>
              </w:rPr>
              <w:t>1．各派驻学校服务用工人数不少于该校区所需人数（详见人员需求表）</w:t>
            </w:r>
            <w:r>
              <w:rPr>
                <w:rFonts w:hint="default" w:ascii="Times New Roman" w:hAnsi="Times New Roman" w:cs="Times New Roman"/>
                <w:color w:val="auto"/>
                <w:sz w:val="24"/>
                <w:szCs w:val="24"/>
                <w:highlight w:val="none"/>
                <w:lang w:val="en-US" w:eastAsia="zh-CN"/>
              </w:rPr>
              <w:t>。</w:t>
            </w:r>
          </w:p>
          <w:p w14:paraId="43343073">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 xml:space="preserve">2. </w:t>
            </w:r>
            <w:r>
              <w:rPr>
                <w:rFonts w:hint="eastAsia" w:ascii="Times New Roman" w:hAnsi="Times New Roman" w:cs="Times New Roman"/>
                <w:color w:val="auto"/>
                <w:highlight w:val="none"/>
                <w:lang w:val="en-US" w:eastAsia="zh-CN"/>
              </w:rPr>
              <w:t>供应商</w:t>
            </w:r>
            <w:r>
              <w:rPr>
                <w:rFonts w:hint="default" w:ascii="Times New Roman" w:hAnsi="Times New Roman" w:cs="Times New Roman"/>
                <w:color w:val="auto"/>
                <w:highlight w:val="none"/>
                <w:lang w:val="en-US" w:eastAsia="zh-CN"/>
              </w:rPr>
              <w:t>必须为所有上岗人员购买社会保险及人身意外保险。</w:t>
            </w:r>
          </w:p>
          <w:p w14:paraId="2A9088BE">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 女员工年龄在18-50岁，男员工年龄在18-58 岁。</w:t>
            </w:r>
          </w:p>
          <w:p w14:paraId="5C691CD3">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 上岗人员在工作期间发生员工工伤及意外伤害事故以及涉及用工方面的劳务纠纷和劳动事故全部由</w:t>
            </w:r>
            <w:r>
              <w:rPr>
                <w:rFonts w:hint="eastAsia" w:ascii="Times New Roman" w:hAnsi="Times New Roman" w:cs="Times New Roman"/>
                <w:color w:val="auto"/>
                <w:highlight w:val="none"/>
                <w:lang w:val="en-US" w:eastAsia="zh-CN"/>
              </w:rPr>
              <w:t>供应商</w:t>
            </w:r>
            <w:r>
              <w:rPr>
                <w:rFonts w:hint="default" w:ascii="Times New Roman" w:hAnsi="Times New Roman" w:cs="Times New Roman"/>
                <w:color w:val="auto"/>
                <w:highlight w:val="none"/>
                <w:lang w:val="en-US" w:eastAsia="zh-CN"/>
              </w:rPr>
              <w:t>承担责任。</w:t>
            </w:r>
          </w:p>
          <w:p w14:paraId="6D9C6034">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 服务费涵盖基本工资、社会保险、物业服务费、税费等费用。</w:t>
            </w:r>
          </w:p>
          <w:p w14:paraId="37FB3EB6">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 xml:space="preserve">6. </w:t>
            </w:r>
            <w:r>
              <w:rPr>
                <w:rFonts w:hint="eastAsia" w:ascii="Times New Roman" w:hAnsi="Times New Roman" w:cs="Times New Roman"/>
                <w:color w:val="auto"/>
                <w:highlight w:val="none"/>
                <w:lang w:val="en-US" w:eastAsia="zh-CN"/>
              </w:rPr>
              <w:t>供应商</w:t>
            </w:r>
            <w:r>
              <w:rPr>
                <w:rFonts w:hint="default" w:ascii="Times New Roman" w:hAnsi="Times New Roman" w:cs="Times New Roman"/>
                <w:color w:val="auto"/>
                <w:highlight w:val="none"/>
                <w:lang w:val="en-US" w:eastAsia="zh-CN"/>
              </w:rPr>
              <w:t>必须每月按时足额发放员工工资，不得以任何理由拖欠员工工资，确保及时足额支付。</w:t>
            </w:r>
          </w:p>
          <w:p w14:paraId="56761D54">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 xml:space="preserve">7. </w:t>
            </w:r>
            <w:r>
              <w:rPr>
                <w:rFonts w:hint="eastAsia" w:ascii="Times New Roman" w:hAnsi="Times New Roman" w:cs="Times New Roman"/>
                <w:color w:val="auto"/>
                <w:highlight w:val="none"/>
                <w:lang w:val="en-US" w:eastAsia="zh-CN"/>
              </w:rPr>
              <w:t>供应商</w:t>
            </w:r>
            <w:r>
              <w:rPr>
                <w:rFonts w:hint="default" w:ascii="Times New Roman" w:hAnsi="Times New Roman" w:cs="Times New Roman"/>
                <w:color w:val="auto"/>
                <w:highlight w:val="none"/>
                <w:lang w:val="en-US" w:eastAsia="zh-CN"/>
              </w:rPr>
              <w:t>需有物业服务方案，质量管理、档案管理等制度。</w:t>
            </w:r>
          </w:p>
          <w:p w14:paraId="0C895241">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8. 物业服务人员统一着装，行为规范，服务主动热情。</w:t>
            </w:r>
          </w:p>
          <w:p w14:paraId="39964F9A">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 xml:space="preserve">9. </w:t>
            </w:r>
            <w:r>
              <w:rPr>
                <w:rFonts w:hint="eastAsia" w:ascii="Times New Roman" w:hAnsi="Times New Roman" w:cs="Times New Roman"/>
                <w:color w:val="auto"/>
                <w:highlight w:val="none"/>
                <w:lang w:val="en-US" w:eastAsia="zh-CN"/>
              </w:rPr>
              <w:t>供应商</w:t>
            </w:r>
            <w:r>
              <w:rPr>
                <w:rFonts w:hint="default" w:ascii="Times New Roman" w:hAnsi="Times New Roman" w:cs="Times New Roman"/>
                <w:color w:val="auto"/>
                <w:highlight w:val="none"/>
                <w:lang w:val="en-US" w:eastAsia="zh-CN"/>
              </w:rPr>
              <w:t>须为所有上岗人员统一配备工服、水鞋、雨衣等劳动保护用品，并为电工、绿化、水泥工等岗位人员配备安全帽，且督促其在作业期间规范佩戴。相关费用已包含在服务费中，采购人有权对此进行监督与考核。</w:t>
            </w:r>
          </w:p>
          <w:p w14:paraId="7E1E0763">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 xml:space="preserve">10. </w:t>
            </w:r>
            <w:r>
              <w:rPr>
                <w:rFonts w:hint="eastAsia" w:ascii="Times New Roman" w:hAnsi="Times New Roman" w:cs="Times New Roman"/>
                <w:color w:val="auto"/>
                <w:highlight w:val="none"/>
                <w:lang w:val="en-US" w:eastAsia="zh-CN"/>
              </w:rPr>
              <w:t>供应商</w:t>
            </w:r>
            <w:r>
              <w:rPr>
                <w:rFonts w:hint="default" w:ascii="Times New Roman" w:hAnsi="Times New Roman" w:cs="Times New Roman"/>
                <w:color w:val="auto"/>
                <w:highlight w:val="none"/>
                <w:lang w:val="en-US" w:eastAsia="zh-CN"/>
              </w:rPr>
              <w:t>须严格遵守采购人资产与废弃物管理规定。所有上岗人员在日常工作中，不得捡拾、收集、私占校内产生的各类可回收废弃物（如纸皮、水瓶、废弃金属、塑料等）并带离校园出售或个人牟利。维修更换产生的废旧设施、材料、零部件等均属采购人资产，</w:t>
            </w:r>
            <w:r>
              <w:rPr>
                <w:rFonts w:hint="eastAsia" w:ascii="Times New Roman" w:hAnsi="Times New Roman" w:cs="Times New Roman"/>
                <w:color w:val="auto"/>
                <w:highlight w:val="none"/>
                <w:lang w:val="en-US" w:eastAsia="zh-CN"/>
              </w:rPr>
              <w:t>供应商</w:t>
            </w:r>
            <w:r>
              <w:rPr>
                <w:rFonts w:hint="default" w:ascii="Times New Roman" w:hAnsi="Times New Roman" w:cs="Times New Roman"/>
                <w:color w:val="auto"/>
                <w:highlight w:val="none"/>
                <w:lang w:val="en-US" w:eastAsia="zh-CN"/>
              </w:rPr>
              <w:t>须集中存放、登记，并按学校要求进行统一处置，不得擅自处理或变卖。</w:t>
            </w:r>
            <w:r>
              <w:rPr>
                <w:rFonts w:hint="eastAsia" w:ascii="Times New Roman" w:hAnsi="Times New Roman" w:cs="Times New Roman"/>
                <w:color w:val="auto"/>
                <w:highlight w:val="none"/>
                <w:lang w:val="en-US" w:eastAsia="zh-CN"/>
              </w:rPr>
              <w:t>供应商</w:t>
            </w:r>
            <w:r>
              <w:rPr>
                <w:rFonts w:hint="default" w:ascii="Times New Roman" w:hAnsi="Times New Roman" w:cs="Times New Roman"/>
                <w:color w:val="auto"/>
                <w:highlight w:val="none"/>
                <w:lang w:val="en-US" w:eastAsia="zh-CN"/>
              </w:rPr>
              <w:t>有责任对所属员工进行教育与管理，确保本要求得到有效执行。如有违反，采购人将视情节在月度服务质量考核中扣分，并有权要求成交供应商对相关人员进行严肃处理；造成学校资产损失的，</w:t>
            </w:r>
            <w:r>
              <w:rPr>
                <w:rFonts w:hint="eastAsia" w:ascii="Times New Roman" w:hAnsi="Times New Roman" w:cs="Times New Roman"/>
                <w:color w:val="auto"/>
                <w:highlight w:val="none"/>
                <w:lang w:val="en-US" w:eastAsia="zh-CN"/>
              </w:rPr>
              <w:t>供应商</w:t>
            </w:r>
            <w:r>
              <w:rPr>
                <w:rFonts w:hint="default" w:ascii="Times New Roman" w:hAnsi="Times New Roman" w:cs="Times New Roman"/>
                <w:color w:val="auto"/>
                <w:highlight w:val="none"/>
                <w:lang w:val="en-US" w:eastAsia="zh-CN"/>
              </w:rPr>
              <w:t>承担相应赔偿责任。</w:t>
            </w:r>
          </w:p>
          <w:p w14:paraId="73605114">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 xml:space="preserve">11. </w:t>
            </w:r>
            <w:r>
              <w:rPr>
                <w:rFonts w:hint="eastAsia" w:ascii="Times New Roman" w:hAnsi="Times New Roman" w:cs="Times New Roman"/>
                <w:color w:val="auto"/>
                <w:highlight w:val="none"/>
                <w:lang w:val="en-US" w:eastAsia="zh-CN"/>
              </w:rPr>
              <w:t>供应商</w:t>
            </w:r>
            <w:r>
              <w:rPr>
                <w:rFonts w:hint="default" w:ascii="Times New Roman" w:hAnsi="Times New Roman" w:cs="Times New Roman"/>
                <w:color w:val="auto"/>
                <w:highlight w:val="none"/>
                <w:lang w:val="en-US" w:eastAsia="zh-CN"/>
              </w:rPr>
              <w:t>每季度接受采购人服务质量考核，考核由采购人或校方采取日常巡查、随机抽查、专项检查相结合的方式进行。服务费以考核得分等级支付，支付比例如下：得分≥90分：支付当季应付服务费的100%；80分≤得分&lt;90分：支付当季应付服务费的95%；70 分≤得分&lt;80分：支付当季应付服务费的90%；得分&lt;70分：支付当季应付服务费的85%。得分低于70分或连续两季度低于80分，采购人或校方有权发出警告，要求限期整改，未能完成整改的采购人有权终止合同。（考核标准详见《附件：考核标准》）</w:t>
            </w:r>
          </w:p>
          <w:p w14:paraId="43712D74">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color w:val="auto"/>
                <w:highlight w:val="none"/>
                <w:lang w:val="en-US" w:eastAsia="zh-CN"/>
              </w:rPr>
            </w:pPr>
          </w:p>
          <w:p w14:paraId="042ABEDF">
            <w:pPr>
              <w:pStyle w:val="24"/>
              <w:keepNext w:val="0"/>
              <w:keepLines w:val="0"/>
              <w:pageBreakBefore w:val="0"/>
              <w:widowControl w:val="0"/>
              <w:kinsoku/>
              <w:overflowPunct/>
              <w:topLinePunct w:val="0"/>
              <w:autoSpaceDE/>
              <w:autoSpaceDN/>
              <w:bidi w:val="0"/>
              <w:snapToGrid/>
              <w:spacing w:line="420" w:lineRule="exact"/>
              <w:ind w:left="0" w:leftChars="0" w:firstLine="0" w:firstLineChars="0"/>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（二）具体工作要求</w:t>
            </w:r>
          </w:p>
          <w:p w14:paraId="7BA947EE">
            <w:pPr>
              <w:pStyle w:val="24"/>
              <w:keepNext w:val="0"/>
              <w:keepLines w:val="0"/>
              <w:pageBreakBefore w:val="0"/>
              <w:widowControl w:val="0"/>
              <w:kinsoku/>
              <w:overflowPunct/>
              <w:topLinePunct w:val="0"/>
              <w:autoSpaceDE/>
              <w:autoSpaceDN/>
              <w:bidi w:val="0"/>
              <w:snapToGrid/>
              <w:spacing w:line="420" w:lineRule="exact"/>
              <w:ind w:left="0" w:leftChars="0" w:firstLine="482" w:firstLineChars="200"/>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1. 保洁员的卫生保洁服务</w:t>
            </w:r>
          </w:p>
          <w:p w14:paraId="5B7E0219">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（1）服务原则</w:t>
            </w:r>
          </w:p>
          <w:p w14:paraId="7F5296FE">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坚持“教学零干扰”作业，所有清洁、消毒、通风工作须安排于上课前、下课后或非教学高峰时段进行，确保正常教学秩序。</w:t>
            </w:r>
          </w:p>
          <w:p w14:paraId="28951E65">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（2）服务范围</w:t>
            </w:r>
          </w:p>
          <w:p w14:paraId="54B35686">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涵盖校内各类建筑及公共区域，具体包括：</w:t>
            </w:r>
          </w:p>
          <w:p w14:paraId="71599299">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①楼宇内部：教学楼、实训楼、办公楼等楼宇的各楼层卫生间、走廊、楼梯，学生食堂、厕所、楼梯等。</w:t>
            </w:r>
          </w:p>
          <w:p w14:paraId="5940ABC6">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②功能场所：行政办公室、教研组办公室、会议室、报告厅、图书馆、大礼堂、电梯等。</w:t>
            </w:r>
          </w:p>
          <w:p w14:paraId="0E56A18C">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③公共区域：公共教室、运动场所、校内广场、道路、停车场、绿化带、垃圾桶、垃圾池、宣传栏、标识牌等。</w:t>
            </w:r>
          </w:p>
          <w:p w14:paraId="5DE728FC">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④专项清洁：路面灯具、不锈钢饰品、宣传栏、校牌、标示牌、楼梯栏杆、护栏、雨篷、3米以下玻璃的日常保洁（3米以上高空部位玻璃幕墙清洗的，由中标人组织进行，涉及的费用由校方另行支付）。</w:t>
            </w:r>
          </w:p>
          <w:p w14:paraId="79D645EC">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（3）作业频次与标准</w:t>
            </w:r>
          </w:p>
          <w:p w14:paraId="72A64B41">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①日常保洁：合理安排保洁人员工作区域。每日上、下午各进行一次保洁，所有区域全天候循环保洁，做到随脏随清。</w:t>
            </w:r>
          </w:p>
          <w:p w14:paraId="45106E9B">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②清洁通风：每日对楼宇内部、功能场所及通道等区域进行清洁并通风，并定期消毒。</w:t>
            </w:r>
          </w:p>
          <w:p w14:paraId="1256C18B">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③垃圾管理：每日对食堂厨余垃圾进行收集清运放到指定地方。每日对校内垃圾及时收集、中转、清运并清理垃圾池（涉及环境部门垃圾清运及处理费用由校方负责）。</w:t>
            </w:r>
          </w:p>
          <w:p w14:paraId="19B9DDB3">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（4）清洁质量要求：</w:t>
            </w:r>
          </w:p>
          <w:p w14:paraId="52D60922">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①地面无垃圾、杂物、污渍、积水，公共场所无明显泥沙、污垢，每100㎡内纸屑不超过2片、无大于1cm石子。</w:t>
            </w:r>
          </w:p>
          <w:p w14:paraId="2C269282">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②墙面无浮灰、蛛网、污迹；玻璃光洁无痕，灯具无尘无虫。</w:t>
            </w:r>
          </w:p>
          <w:p w14:paraId="31C5639A">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③卫生间无异味，便器无黄渍，天花、墙角清洁。</w:t>
            </w:r>
          </w:p>
          <w:p w14:paraId="2093132E">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④垃圾箱清运及时，清运率100%；垃圾桶外表干净、无满溢，周边无污垢、积水、异味。</w:t>
            </w:r>
          </w:p>
          <w:p w14:paraId="196FE038">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⑤排水沟无淤积，校园无卫生死角。</w:t>
            </w:r>
          </w:p>
          <w:p w14:paraId="567DAA72">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（5）其他服务要求</w:t>
            </w:r>
          </w:p>
          <w:p w14:paraId="205EF5E4">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①卫生防疫：根据校方安排，定期开展灭蚊、灭蝇、灭蚁、灭蟑、灭鼠等卫生防疫工作（药品由校方另行提供）。</w:t>
            </w:r>
          </w:p>
          <w:p w14:paraId="651D938C">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②协助学校做好疫情防控、创城等与物业服务相关的工作</w:t>
            </w:r>
          </w:p>
          <w:p w14:paraId="7C3B5057">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③临时任务配合：积极配合学校大型活动、检查等临时性活动卫生保洁工作。</w:t>
            </w:r>
          </w:p>
          <w:p w14:paraId="12E5276C">
            <w:pPr>
              <w:pStyle w:val="24"/>
              <w:keepNext w:val="0"/>
              <w:keepLines w:val="0"/>
              <w:pageBreakBefore w:val="0"/>
              <w:widowControl w:val="0"/>
              <w:kinsoku/>
              <w:overflowPunct/>
              <w:topLinePunct w:val="0"/>
              <w:autoSpaceDE/>
              <w:autoSpaceDN/>
              <w:bidi w:val="0"/>
              <w:snapToGrid/>
              <w:spacing w:line="420" w:lineRule="exact"/>
              <w:ind w:left="0" w:leftChars="0" w:firstLine="482" w:firstLineChars="200"/>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2. 绿化员的绿化维护服务</w:t>
            </w:r>
          </w:p>
          <w:p w14:paraId="75AE3B4D">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（1）总体养护目标</w:t>
            </w:r>
          </w:p>
          <w:p w14:paraId="56D8F5C1">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确保校园绿化景观“三季有花，四季常青”，植株生长健壮、形态美观。负责学校大型活动及重大节日的花卉布置工作。</w:t>
            </w:r>
          </w:p>
          <w:p w14:paraId="7AA95F25">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（2）日常养护工作项目与标准</w:t>
            </w:r>
          </w:p>
          <w:p w14:paraId="3E14B52E">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①浇水：草地灌木每周至少浇两次（具体视天气情况）。做到保持植物良好长势，杜绝因为缺水出现枯萎等现象。</w:t>
            </w:r>
          </w:p>
          <w:p w14:paraId="6F01F067">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②施肥：平均2-3次/年。做到施肥均匀、充足、适度、保证绿化植物强壮、枝叶茂盛。</w:t>
            </w:r>
          </w:p>
          <w:p w14:paraId="43B85C52">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③修剪整形：草地8-10次/年，灌木6-8次/年（根据长势状况而定），乔木修剪2-4次/年。做到草的高度一致，整齐美观。乔、灌木：植物主枝分布均匀；绿篱整齐一致。</w:t>
            </w:r>
          </w:p>
          <w:p w14:paraId="505204AC">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④病虫害防治：草地、灌木、乔木及时防治。视病害发生情况适时喷药，使用国家规定的绿色环保农药。</w:t>
            </w:r>
          </w:p>
          <w:p w14:paraId="736528E3">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⑤病虫草松土：每月除杂草一遍，雨后杂草严重者每周一遍。做到花丛下无杂草，树盘内无杂草，花木丛中不允许有高于花木的杂草，草坪上不允许有开花杂草。</w:t>
            </w:r>
          </w:p>
          <w:p w14:paraId="1CA7AFDC">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⑥清理绿化垃圾：修剪下来的树枝和杂草要当天清运，不准就地焚烧。做到有专人跟踪保洁。</w:t>
            </w:r>
          </w:p>
          <w:p w14:paraId="19920F37">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⑦防风防汛：灾前积极预防，对树木加固，灾后及时清除倒树断枝、疏通道路、清理垃圾。做到尽快恢复原状、不能影响学校正常工作。</w:t>
            </w:r>
          </w:p>
          <w:p w14:paraId="374AED7E">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（3）整体质量要求</w:t>
            </w:r>
          </w:p>
          <w:p w14:paraId="7D527879">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按不同季节对花卉苗木的养护要求进行养护，并做到：</w:t>
            </w:r>
          </w:p>
          <w:p w14:paraId="6A70CE1D">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①树灌木完整，长势茂盛，无枯枝死杈，无病虫害，树木无钉枪捆绑。</w:t>
            </w:r>
          </w:p>
          <w:p w14:paraId="6AA03B15">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②绿篱、绿地整洁无杂草、杂物、物料堆放。</w:t>
            </w:r>
          </w:p>
          <w:p w14:paraId="6C2C8F59">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③绿化设施完好率不低于98%。</w:t>
            </w:r>
          </w:p>
          <w:p w14:paraId="402CEFDF">
            <w:pPr>
              <w:pStyle w:val="24"/>
              <w:keepNext w:val="0"/>
              <w:keepLines w:val="0"/>
              <w:pageBreakBefore w:val="0"/>
              <w:widowControl w:val="0"/>
              <w:kinsoku/>
              <w:overflowPunct/>
              <w:topLinePunct w:val="0"/>
              <w:autoSpaceDE/>
              <w:autoSpaceDN/>
              <w:bidi w:val="0"/>
              <w:snapToGrid/>
              <w:spacing w:line="420" w:lineRule="exact"/>
              <w:ind w:left="0" w:leftChars="0" w:firstLine="482" w:firstLineChars="200"/>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3. 水电工的日常维修服务</w:t>
            </w:r>
          </w:p>
          <w:p w14:paraId="7D95AF85">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（1）维修服务原则</w:t>
            </w:r>
          </w:p>
          <w:p w14:paraId="499D7B3C">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应遵循“经济节约、修旧利废”的原则。对于损坏的设施设备及物品，应首先评估其维修可行性及成本。凡通过维修可以恢复正常使用功能、且维修成本低于更换成本的，必须优先进行维修处理，不得无故建议或要求更换。若确需更换，必须向采购人提交书面说明，并经采购人确认同意后，方可进行更换。</w:t>
            </w:r>
          </w:p>
          <w:p w14:paraId="369DBE5A">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（2）日常巡检制度</w:t>
            </w:r>
          </w:p>
          <w:p w14:paraId="56B026B3">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建立巡视制度，每日上、下午各进行一次全面巡检并记录，覆盖以下系统：</w:t>
            </w:r>
          </w:p>
          <w:p w14:paraId="7A80E607">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①排水排污：检查管道畅通情况，及时清理杂物（化粪池沉积物的抽吸、清掏由中标人负责实施及联络工作，相关费用由学校另行负责）。</w:t>
            </w:r>
          </w:p>
          <w:p w14:paraId="4DCFC5CC">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②公共照明：检查学校路灯及楼梯照明是否正常，发现故障及时修复，并早晚巡检及时关闭无照明需要的电灯，避免浪费电力。</w:t>
            </w:r>
          </w:p>
          <w:p w14:paraId="4608AF86">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③公共设施：检查有无损毁公共设施，包括门窗、家具、室内照明、水电管线等，发现损坏立即维修；如属人为破坏情况需制止并上报。</w:t>
            </w:r>
          </w:p>
          <w:p w14:paraId="4ED352EA">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④管线安全：检查各类水、电、气等管线有无破损、断裂、锈蚀，一经发现立即进行维修并做好记录，保证各类管道电线正常使用。</w:t>
            </w:r>
          </w:p>
          <w:p w14:paraId="1E171FE1">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⑤配电设施：保持电缆沟（竖井）无水渍、杂物、鼠害、配电箱外观干燥完好、整洁、运行正常。</w:t>
            </w:r>
          </w:p>
          <w:p w14:paraId="6A274782">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⑥节能管理：杜绝“长明灯、长流水”及“跑冒滴漏”现象。</w:t>
            </w:r>
          </w:p>
          <w:p w14:paraId="4D8806A3">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（3）维修维护内容</w:t>
            </w:r>
          </w:p>
          <w:p w14:paraId="42F0AAC8">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①公共区域：维修教学楼、办公楼等场所的门窗、桌椅、照明、给排水、电器及户外设施（道路、宣传栏等）。</w:t>
            </w:r>
          </w:p>
          <w:p w14:paraId="5AB8E7A9">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②宿舍区域：维修宿舍内家具、门窗锁具、水电设施（灯具插座、龙头、淋浴器等），并保障热水系统正常运行。</w:t>
            </w:r>
          </w:p>
          <w:p w14:paraId="5340C637">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③响应要求：影响教学的公共区域故障及宿舍区紧急报修（如断电、漏水），须优先按应急流程处理。</w:t>
            </w:r>
          </w:p>
          <w:p w14:paraId="5C3280AB">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（4）应急与值班制度</w:t>
            </w:r>
          </w:p>
          <w:p w14:paraId="05712165">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①水电工24小时值班，随时响应。</w:t>
            </w:r>
          </w:p>
          <w:p w14:paraId="1F4864CE">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②向校方提供紧急联络名录，确保信息畅通。</w:t>
            </w:r>
          </w:p>
          <w:p w14:paraId="25F6326C">
            <w:pPr>
              <w:pStyle w:val="24"/>
              <w:keepNext w:val="0"/>
              <w:keepLines w:val="0"/>
              <w:pageBreakBefore w:val="0"/>
              <w:widowControl w:val="0"/>
              <w:kinsoku/>
              <w:overflowPunct/>
              <w:topLinePunct w:val="0"/>
              <w:autoSpaceDE/>
              <w:autoSpaceDN/>
              <w:bidi w:val="0"/>
              <w:snapToGrid/>
              <w:spacing w:line="420" w:lineRule="exact"/>
              <w:ind w:left="0" w:leftChars="0" w:firstLine="0" w:firstLineChars="0"/>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三、岗位配置要求及素质要求</w:t>
            </w:r>
          </w:p>
          <w:p w14:paraId="23019EF0">
            <w:pPr>
              <w:pStyle w:val="24"/>
              <w:keepNext w:val="0"/>
              <w:keepLines w:val="0"/>
              <w:pageBreakBefore w:val="0"/>
              <w:widowControl w:val="0"/>
              <w:kinsoku/>
              <w:overflowPunct/>
              <w:topLinePunct w:val="0"/>
              <w:autoSpaceDE/>
              <w:autoSpaceDN/>
              <w:bidi w:val="0"/>
              <w:snapToGrid/>
              <w:spacing w:line="420" w:lineRule="exact"/>
              <w:ind w:left="0" w:leftChars="0" w:firstLine="0" w:firstLineChars="0"/>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（一）岗位人员配置</w:t>
            </w:r>
          </w:p>
          <w:p w14:paraId="251193A7">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1.</w:t>
            </w:r>
            <w:r>
              <w:rPr>
                <w:rFonts w:hint="eastAsia" w:ascii="Times New Roman" w:hAnsi="Times New Roman" w:cs="Times New Roman"/>
                <w:b w:val="0"/>
                <w:bCs w:val="0"/>
                <w:color w:val="auto"/>
                <w:sz w:val="24"/>
                <w:szCs w:val="24"/>
                <w:highlight w:val="none"/>
                <w:lang w:val="en-US" w:eastAsia="zh-CN"/>
              </w:rPr>
              <w:t>供应商</w:t>
            </w:r>
            <w:r>
              <w:rPr>
                <w:rFonts w:hint="default" w:ascii="Times New Roman" w:hAnsi="Times New Roman" w:cs="Times New Roman"/>
                <w:b w:val="0"/>
                <w:bCs w:val="0"/>
                <w:color w:val="auto"/>
                <w:sz w:val="24"/>
                <w:szCs w:val="24"/>
                <w:highlight w:val="none"/>
                <w:lang w:val="en-US" w:eastAsia="zh-CN"/>
              </w:rPr>
              <w:t>必须按各派驻校区的对要求，对各个岗位不同时段的人员数量和岗位要求配备相应物业服务人员，并保证实际到岗。</w:t>
            </w:r>
            <w:r>
              <w:rPr>
                <w:rFonts w:hint="eastAsia" w:ascii="Times New Roman" w:hAnsi="Times New Roman" w:cs="Times New Roman"/>
                <w:b w:val="0"/>
                <w:bCs w:val="0"/>
                <w:color w:val="auto"/>
                <w:sz w:val="24"/>
                <w:szCs w:val="24"/>
                <w:highlight w:val="none"/>
                <w:lang w:val="en-US" w:eastAsia="zh-CN"/>
              </w:rPr>
              <w:t>供应商</w:t>
            </w:r>
            <w:r>
              <w:rPr>
                <w:rFonts w:hint="default" w:ascii="Times New Roman" w:hAnsi="Times New Roman" w:cs="Times New Roman"/>
                <w:b w:val="0"/>
                <w:bCs w:val="0"/>
                <w:color w:val="auto"/>
                <w:sz w:val="24"/>
                <w:szCs w:val="24"/>
                <w:highlight w:val="none"/>
                <w:lang w:val="en-US" w:eastAsia="zh-CN"/>
              </w:rPr>
              <w:t>在组织、安排保安工作时，应符合国家相关法规，维护物业服务人员的正当权益。</w:t>
            </w:r>
            <w:r>
              <w:rPr>
                <w:rFonts w:hint="eastAsia" w:ascii="Times New Roman" w:hAnsi="Times New Roman" w:cs="Times New Roman"/>
                <w:b w:val="0"/>
                <w:bCs w:val="0"/>
                <w:color w:val="auto"/>
                <w:sz w:val="24"/>
                <w:szCs w:val="24"/>
                <w:highlight w:val="none"/>
                <w:lang w:val="en-US" w:eastAsia="zh-CN"/>
              </w:rPr>
              <w:t>供应商</w:t>
            </w:r>
            <w:r>
              <w:rPr>
                <w:rFonts w:hint="default" w:ascii="Times New Roman" w:hAnsi="Times New Roman" w:cs="Times New Roman"/>
                <w:b w:val="0"/>
                <w:bCs w:val="0"/>
                <w:color w:val="auto"/>
                <w:sz w:val="24"/>
                <w:szCs w:val="24"/>
                <w:highlight w:val="none"/>
                <w:lang w:val="en-US" w:eastAsia="zh-CN"/>
              </w:rPr>
              <w:t>对其用工行为承担一切法律责任。</w:t>
            </w:r>
          </w:p>
          <w:p w14:paraId="6B19A18C">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color w:val="auto"/>
                <w:highlight w:val="none"/>
                <w:lang w:val="en-US" w:eastAsia="zh-CN"/>
              </w:rPr>
              <w:t>2.拟</w:t>
            </w:r>
            <w:r>
              <w:rPr>
                <w:rFonts w:hint="default" w:ascii="Times New Roman" w:hAnsi="Times New Roman" w:cs="Times New Roman"/>
                <w:b w:val="0"/>
                <w:bCs w:val="0"/>
                <w:color w:val="auto"/>
                <w:sz w:val="24"/>
                <w:szCs w:val="24"/>
                <w:highlight w:val="none"/>
                <w:lang w:val="en-US" w:eastAsia="zh-CN"/>
              </w:rPr>
              <w:t>派物业人员</w:t>
            </w:r>
            <w:r>
              <w:rPr>
                <w:rFonts w:hint="default" w:ascii="Times New Roman" w:hAnsi="Times New Roman" w:cs="Times New Roman"/>
                <w:color w:val="auto"/>
                <w:highlight w:val="none"/>
                <w:lang w:val="en-US" w:eastAsia="zh-CN"/>
              </w:rPr>
              <w:t>身体健康，视力正常，无传染性、肝、肾、心脏、心血管等严重疾病，无不良社会记录等，提供正规医院健康证明，年龄58岁以下（女员工年龄在18-50岁，男员工年龄在18-58岁）。</w:t>
            </w:r>
          </w:p>
          <w:p w14:paraId="014FE3F7">
            <w:pPr>
              <w:pStyle w:val="24"/>
              <w:keepNext w:val="0"/>
              <w:keepLines w:val="0"/>
              <w:pageBreakBefore w:val="0"/>
              <w:widowControl w:val="0"/>
              <w:kinsoku/>
              <w:overflowPunct/>
              <w:topLinePunct w:val="0"/>
              <w:autoSpaceDE/>
              <w:autoSpaceDN/>
              <w:bidi w:val="0"/>
              <w:snapToGrid/>
              <w:spacing w:line="420" w:lineRule="exact"/>
              <w:ind w:left="0" w:leftChars="0" w:firstLine="0" w:firstLineChars="0"/>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（二）岗位时间安排</w:t>
            </w:r>
          </w:p>
          <w:p w14:paraId="0D5B90E0">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1. 水电工：上午7:30-12:00，下午14:30-18:00。</w:t>
            </w:r>
          </w:p>
          <w:p w14:paraId="4CDA5FE4">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2. 保洁员：上午7:30-12:00，下午14:30-18:00。</w:t>
            </w:r>
          </w:p>
          <w:p w14:paraId="09F81C87">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3. 绿化员：上午7:30-12:00，下午14:30-18:00。</w:t>
            </w:r>
          </w:p>
          <w:p w14:paraId="09D8A8F9">
            <w:pPr>
              <w:pStyle w:val="24"/>
              <w:keepNext w:val="0"/>
              <w:keepLines w:val="0"/>
              <w:pageBreakBefore w:val="0"/>
              <w:widowControl w:val="0"/>
              <w:kinsoku/>
              <w:overflowPunct/>
              <w:topLinePunct w:val="0"/>
              <w:autoSpaceDE/>
              <w:autoSpaceDN/>
              <w:bidi w:val="0"/>
              <w:snapToGrid/>
              <w:spacing w:line="420" w:lineRule="exact"/>
              <w:ind w:left="0" w:leftChars="0" w:firstLine="482" w:firstLineChars="200"/>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（注：如所服务单位有特殊要求，具体安排由相关单位自行安排）</w:t>
            </w:r>
          </w:p>
          <w:p w14:paraId="79FE7501">
            <w:pPr>
              <w:pStyle w:val="24"/>
              <w:keepNext w:val="0"/>
              <w:keepLines w:val="0"/>
              <w:pageBreakBefore w:val="0"/>
              <w:widowControl w:val="0"/>
              <w:kinsoku/>
              <w:overflowPunct/>
              <w:topLinePunct w:val="0"/>
              <w:autoSpaceDE/>
              <w:autoSpaceDN/>
              <w:bidi w:val="0"/>
              <w:snapToGrid/>
              <w:spacing w:line="420" w:lineRule="exact"/>
              <w:ind w:left="0" w:leftChars="0" w:firstLine="482" w:firstLineChars="200"/>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（二）岗位素质要求</w:t>
            </w:r>
          </w:p>
          <w:p w14:paraId="662DA10C">
            <w:pPr>
              <w:pStyle w:val="24"/>
              <w:keepNext w:val="0"/>
              <w:keepLines w:val="0"/>
              <w:pageBreakBefore w:val="0"/>
              <w:widowControl w:val="0"/>
              <w:kinsoku/>
              <w:overflowPunct/>
              <w:topLinePunct w:val="0"/>
              <w:autoSpaceDE/>
              <w:autoSpaceDN/>
              <w:bidi w:val="0"/>
              <w:snapToGrid/>
              <w:spacing w:line="420" w:lineRule="exact"/>
              <w:ind w:left="0" w:leftChars="0" w:firstLine="482" w:firstLineChars="200"/>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1. 职业道德规范</w:t>
            </w:r>
          </w:p>
          <w:p w14:paraId="292A886B">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（1）敬业爱岗，恪尽职守：勤奋务实，积极投入本职工作，热爱岗位并乐于奉献。</w:t>
            </w:r>
          </w:p>
          <w:p w14:paraId="5DA9447E">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（2）遵纪守法，严守规章：自觉遵守国家法律法规，严格执行公司及校方各项规章制度与劳动纪律。</w:t>
            </w:r>
          </w:p>
          <w:p w14:paraId="1DC1B82E">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（3）勤学善思，提升技能：主动学习相关知识，持续提升业务能力与服务水准。</w:t>
            </w:r>
          </w:p>
          <w:p w14:paraId="1D1FB9DD">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（4）廉洁奉公，维护声誉：爱护公共财产，不以权谋私，自觉维护公司与学校的利益及形象。</w:t>
            </w:r>
          </w:p>
          <w:p w14:paraId="34CDE10F">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（5）勤俭节约，节能降耗：树立节约意识，在日常工作中践行节约能源、爱惜物资。</w:t>
            </w:r>
          </w:p>
          <w:p w14:paraId="6AA5C2F4">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（6）团结协作，和谐共事：严于律己，宽以待人，妥善处理个人与集体、同事间关系，具备良好的团队协作精神。</w:t>
            </w:r>
          </w:p>
          <w:p w14:paraId="000579E0">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（7）严守秘密，谨言慎行：未经授权，不得对外泄露或传播学校的任何信息与资料。</w:t>
            </w:r>
          </w:p>
          <w:p w14:paraId="00A6DDF0">
            <w:pPr>
              <w:pStyle w:val="24"/>
              <w:keepNext w:val="0"/>
              <w:keepLines w:val="0"/>
              <w:pageBreakBefore w:val="0"/>
              <w:widowControl w:val="0"/>
              <w:kinsoku/>
              <w:overflowPunct/>
              <w:topLinePunct w:val="0"/>
              <w:autoSpaceDE/>
              <w:autoSpaceDN/>
              <w:bidi w:val="0"/>
              <w:snapToGrid/>
              <w:spacing w:line="420" w:lineRule="exact"/>
              <w:ind w:left="0" w:leftChars="0" w:firstLine="482" w:firstLineChars="200"/>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2. 服务意识规范</w:t>
            </w:r>
          </w:p>
          <w:p w14:paraId="1C68F403">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（1）文明礼貌，举止得体：使用规范用语，谈吐文雅，保持衣着整洁，举止大方端庄。</w:t>
            </w:r>
          </w:p>
          <w:p w14:paraId="419F336E">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（2）主动热情，真诚服务：以积极热情的态度面对师生，主动识别服务需求，乐于为师生解决实际困难，常面带微笑，态度谦和。</w:t>
            </w:r>
          </w:p>
          <w:p w14:paraId="201F0353">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（3）耐心周到，细致入微：服务过程中保持耐心，不厌其烦，虚心听取师生意见，细致解答疑问，力求提供全面、满意的服务。</w:t>
            </w:r>
          </w:p>
          <w:p w14:paraId="4A154C33">
            <w:pPr>
              <w:pStyle w:val="24"/>
              <w:keepNext w:val="0"/>
              <w:keepLines w:val="0"/>
              <w:pageBreakBefore w:val="0"/>
              <w:widowControl w:val="0"/>
              <w:kinsoku/>
              <w:overflowPunct/>
              <w:topLinePunct w:val="0"/>
              <w:autoSpaceDE/>
              <w:autoSpaceDN/>
              <w:bidi w:val="0"/>
              <w:snapToGrid/>
              <w:spacing w:line="420" w:lineRule="exact"/>
              <w:ind w:left="0" w:leftChars="0" w:firstLine="482" w:firstLineChars="200"/>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3. 仪容仪表规范</w:t>
            </w:r>
          </w:p>
          <w:p w14:paraId="5A3DE83B">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（1）保持个人卫生，着装统一、整洁，工作证应端正佩戴于左胸前。</w:t>
            </w:r>
          </w:p>
          <w:p w14:paraId="77E28C8C">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（2）工作时间内不得穿短裤、背心、拖鞋等不规范着装进入工作区域。</w:t>
            </w:r>
          </w:p>
          <w:p w14:paraId="0E52249D">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（3）男员工：发长不掩耳、不遮领，每日剃须；保持指甲清洁，不留长指甲；衣着纽扣扣齐，领带紧束（大箭头下端以垂至皮带扣处为准），衬衣下摆应束于裤内。</w:t>
            </w:r>
          </w:p>
          <w:p w14:paraId="72C29412">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（4）女员工：发长不过肩，发型简洁大方，不染怪异发色；不留长指甲，不涂染艳丽指甲油；妆容朴素淡雅，不浓妆艳抹；不穿着黑色或带花纹的丝袜。</w:t>
            </w:r>
          </w:p>
          <w:p w14:paraId="0D9C4DC4">
            <w:pPr>
              <w:pStyle w:val="24"/>
              <w:keepNext w:val="0"/>
              <w:keepLines w:val="0"/>
              <w:pageBreakBefore w:val="0"/>
              <w:widowControl w:val="0"/>
              <w:kinsoku/>
              <w:overflowPunct/>
              <w:topLinePunct w:val="0"/>
              <w:autoSpaceDE/>
              <w:autoSpaceDN/>
              <w:bidi w:val="0"/>
              <w:snapToGrid/>
              <w:spacing w:line="420" w:lineRule="exact"/>
              <w:ind w:left="0" w:leftChars="0" w:firstLine="482" w:firstLineChars="200"/>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（三）岗位工作职责要求</w:t>
            </w:r>
          </w:p>
          <w:p w14:paraId="66F0559D">
            <w:pPr>
              <w:pStyle w:val="24"/>
              <w:keepNext w:val="0"/>
              <w:keepLines w:val="0"/>
              <w:pageBreakBefore w:val="0"/>
              <w:widowControl w:val="0"/>
              <w:kinsoku/>
              <w:overflowPunct/>
              <w:topLinePunct w:val="0"/>
              <w:autoSpaceDE/>
              <w:autoSpaceDN/>
              <w:bidi w:val="0"/>
              <w:snapToGrid/>
              <w:spacing w:line="420" w:lineRule="exact"/>
              <w:ind w:left="0" w:leftChars="0" w:firstLine="482" w:firstLineChars="200"/>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1. 水电工</w:t>
            </w:r>
          </w:p>
          <w:p w14:paraId="4154F595">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（1）水电综合维修：</w:t>
            </w:r>
          </w:p>
          <w:p w14:paraId="43EE0492">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① 熟悉并遵守相关法规及各项规章制度，熟练掌握应急预案。</w:t>
            </w:r>
          </w:p>
          <w:p w14:paraId="2218EDB8">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微软雅黑" w:cs="Times New Roman"/>
                <w:color w:val="auto"/>
                <w:sz w:val="24"/>
                <w:szCs w:val="24"/>
                <w:highlight w:val="none"/>
                <w:lang w:val="en-US" w:eastAsia="zh-CN"/>
              </w:rPr>
              <w:t xml:space="preserve">② </w:t>
            </w:r>
            <w:r>
              <w:rPr>
                <w:rFonts w:hint="default" w:ascii="Times New Roman" w:hAnsi="Times New Roman" w:cs="Times New Roman"/>
                <w:color w:val="auto"/>
                <w:highlight w:val="none"/>
                <w:lang w:val="en-US" w:eastAsia="zh-CN"/>
              </w:rPr>
              <w:t>持证上岗，定期培训。</w:t>
            </w:r>
          </w:p>
          <w:p w14:paraId="6CE2C4F5">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sz w:val="24"/>
                <w:szCs w:val="24"/>
                <w:highlight w:val="none"/>
                <w:lang w:val="en-US" w:eastAsia="zh-CN"/>
              </w:rPr>
              <w:t xml:space="preserve">③ </w:t>
            </w:r>
            <w:r>
              <w:rPr>
                <w:rFonts w:hint="default" w:ascii="Times New Roman" w:hAnsi="Times New Roman" w:cs="Times New Roman"/>
                <w:color w:val="auto"/>
                <w:highlight w:val="none"/>
                <w:lang w:val="en-US" w:eastAsia="zh-CN"/>
              </w:rPr>
              <w:t>熟悉辖区内水电线路、开关等设施设备功能及分布情况。熟练掌握相关维修技能，严格执行操作规程。</w:t>
            </w:r>
          </w:p>
          <w:p w14:paraId="4BB0FD50">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微软雅黑" w:cs="Times New Roman"/>
                <w:color w:val="auto"/>
                <w:highlight w:val="none"/>
              </w:rPr>
              <w:t>④</w:t>
            </w:r>
            <w:r>
              <w:rPr>
                <w:rFonts w:hint="default" w:ascii="Times New Roman" w:hAnsi="Times New Roman" w:eastAsia="微软雅黑"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定时巡检水电线路等设施设备，填写记录，保持完好运行，发现问题时，应准确判断，及时处理。</w:t>
            </w:r>
          </w:p>
          <w:p w14:paraId="4AE50D1E">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微软雅黑" w:cs="Times New Roman"/>
                <w:color w:val="auto"/>
                <w:highlight w:val="none"/>
              </w:rPr>
              <w:t>⑤</w:t>
            </w:r>
            <w:r>
              <w:rPr>
                <w:rFonts w:hint="default" w:ascii="Times New Roman" w:hAnsi="Times New Roman" w:eastAsia="微软雅黑"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接到报修后60分钟内到达现场，维修合格率达100%。水电抢修不过夜。</w:t>
            </w:r>
          </w:p>
          <w:p w14:paraId="7D1E836D">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微软雅黑" w:cs="Times New Roman"/>
                <w:color w:val="auto"/>
                <w:highlight w:val="none"/>
              </w:rPr>
              <w:t>⑥</w:t>
            </w:r>
            <w:r>
              <w:rPr>
                <w:rFonts w:hint="default" w:ascii="Times New Roman" w:hAnsi="Times New Roman" w:eastAsia="微软雅黑"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供配电室及室外变台、箱变、低压配电室双人巡检维护。</w:t>
            </w:r>
          </w:p>
          <w:p w14:paraId="2D9A44D0">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微软雅黑" w:cs="Times New Roman"/>
                <w:color w:val="auto"/>
                <w:highlight w:val="none"/>
              </w:rPr>
              <w:t>⑦</w:t>
            </w:r>
            <w:r>
              <w:rPr>
                <w:rFonts w:hint="default" w:ascii="Times New Roman" w:hAnsi="Times New Roman" w:eastAsia="微软雅黑"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停送电操作，应填写相关工作票，做好安全组织，按规范程序操作。</w:t>
            </w:r>
          </w:p>
          <w:p w14:paraId="45BC272D">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微软雅黑" w:cs="Times New Roman"/>
                <w:color w:val="auto"/>
                <w:highlight w:val="none"/>
              </w:rPr>
              <w:t>⑧</w:t>
            </w:r>
            <w:r>
              <w:rPr>
                <w:rFonts w:hint="default" w:ascii="Times New Roman" w:hAnsi="Times New Roman" w:eastAsia="微软雅黑"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定期检查避雷、接地设施完好性，定期进行相关试验。</w:t>
            </w:r>
          </w:p>
          <w:p w14:paraId="2D373DE1">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微软雅黑" w:cs="Times New Roman"/>
                <w:color w:val="auto"/>
                <w:highlight w:val="none"/>
              </w:rPr>
              <w:t>⑨</w:t>
            </w:r>
            <w:r>
              <w:rPr>
                <w:rFonts w:hint="default" w:ascii="Times New Roman" w:hAnsi="Times New Roman" w:eastAsia="微软雅黑"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按规范要求，配置安全防护设施，定时清扫设备及配电室卫生。</w:t>
            </w:r>
          </w:p>
          <w:p w14:paraId="75FC8B0C">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微软雅黑" w:cs="Times New Roman"/>
                <w:color w:val="auto"/>
                <w:highlight w:val="none"/>
              </w:rPr>
              <w:t>⑩</w:t>
            </w:r>
            <w:r>
              <w:rPr>
                <w:rFonts w:hint="default" w:ascii="Times New Roman" w:hAnsi="Times New Roman" w:eastAsia="微软雅黑"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制定并组织实施设备维保计划。</w:t>
            </w:r>
          </w:p>
          <w:p w14:paraId="40ECAC42">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（2）公共设施小型维修：</w:t>
            </w:r>
          </w:p>
          <w:p w14:paraId="41364B6E">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微软雅黑" w:cs="Times New Roman"/>
                <w:color w:val="auto"/>
                <w:highlight w:val="none"/>
              </w:rPr>
              <w:t>①</w:t>
            </w:r>
            <w:r>
              <w:rPr>
                <w:rFonts w:hint="default" w:ascii="Times New Roman" w:hAnsi="Times New Roman" w:eastAsia="微软雅黑"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熟悉并遵守相关法规及各项规章制度，熟练掌握应急预案。</w:t>
            </w:r>
          </w:p>
          <w:p w14:paraId="76279522">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微软雅黑" w:cs="Times New Roman"/>
                <w:color w:val="auto"/>
                <w:highlight w:val="none"/>
              </w:rPr>
              <w:t>②</w:t>
            </w:r>
            <w:r>
              <w:rPr>
                <w:rFonts w:hint="default" w:ascii="Times New Roman" w:hAnsi="Times New Roman" w:eastAsia="微软雅黑"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定期培训，特种作业必须持证上岗。</w:t>
            </w:r>
          </w:p>
          <w:p w14:paraId="71ED925D">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微软雅黑" w:cs="Times New Roman"/>
                <w:color w:val="auto"/>
                <w:highlight w:val="none"/>
              </w:rPr>
              <w:t>③</w:t>
            </w:r>
            <w:r>
              <w:rPr>
                <w:rFonts w:hint="default" w:ascii="Times New Roman" w:hAnsi="Times New Roman" w:eastAsia="微软雅黑"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辖区内建筑设施维修，包括：房屋、门窗、学生宿舍门锁家具、道路、广场、管井、化粪池、景观小品等设施。</w:t>
            </w:r>
          </w:p>
          <w:p w14:paraId="66505A6B">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微软雅黑" w:cs="Times New Roman"/>
                <w:color w:val="auto"/>
                <w:highlight w:val="none"/>
              </w:rPr>
              <w:t>④</w:t>
            </w:r>
            <w:r>
              <w:rPr>
                <w:rFonts w:hint="default" w:ascii="Times New Roman" w:hAnsi="Times New Roman" w:eastAsia="微软雅黑"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定时巡检，填写记录，保持设施完好，发现问题时，应准确判断，及时处理。</w:t>
            </w:r>
          </w:p>
          <w:p w14:paraId="3AAE8DC0">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⑤接到报修后60分钟内到达现场，维修合格率达100%。</w:t>
            </w:r>
          </w:p>
          <w:p w14:paraId="5D597EE1">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⑥常备配件类维修，自接到报修后应当日修复。</w:t>
            </w:r>
          </w:p>
          <w:p w14:paraId="4AD824F0">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⑦外购配件及土建类维修，自接到报修之日起应3日内修复。</w:t>
            </w:r>
          </w:p>
          <w:p w14:paraId="3C19E83D">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Yu Gothic UI Light" w:cs="Times New Roman"/>
                <w:color w:val="auto"/>
                <w:highlight w:val="none"/>
                <w:lang w:val="en-US" w:eastAsia="zh-CN"/>
              </w:rPr>
              <w:t>⑧</w:t>
            </w:r>
            <w:r>
              <w:rPr>
                <w:rFonts w:hint="default" w:ascii="Times New Roman" w:hAnsi="Times New Roman" w:cs="Times New Roman"/>
                <w:color w:val="auto"/>
                <w:highlight w:val="none"/>
                <w:lang w:val="en-US" w:eastAsia="zh-CN"/>
              </w:rPr>
              <w:t>雨季做好本职防汛工作，排查有关隐患。</w:t>
            </w:r>
          </w:p>
          <w:p w14:paraId="1F21B536">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Yu Gothic UI Light" w:cs="Times New Roman"/>
                <w:color w:val="auto"/>
                <w:highlight w:val="none"/>
                <w:lang w:val="en-US" w:eastAsia="zh-CN"/>
              </w:rPr>
              <w:t>➈</w:t>
            </w:r>
            <w:r>
              <w:rPr>
                <w:rFonts w:hint="default" w:ascii="Times New Roman" w:hAnsi="Times New Roman" w:cs="Times New Roman"/>
                <w:color w:val="auto"/>
                <w:highlight w:val="none"/>
                <w:lang w:val="en-US" w:eastAsia="zh-CN"/>
              </w:rPr>
              <w:t>提出专项修缮建议。</w:t>
            </w:r>
          </w:p>
          <w:p w14:paraId="23D241E1">
            <w:pPr>
              <w:pStyle w:val="24"/>
              <w:keepNext w:val="0"/>
              <w:keepLines w:val="0"/>
              <w:pageBreakBefore w:val="0"/>
              <w:widowControl w:val="0"/>
              <w:kinsoku/>
              <w:overflowPunct/>
              <w:topLinePunct w:val="0"/>
              <w:autoSpaceDE/>
              <w:autoSpaceDN/>
              <w:bidi w:val="0"/>
              <w:snapToGrid/>
              <w:spacing w:line="420" w:lineRule="exact"/>
              <w:ind w:left="0" w:leftChars="0" w:firstLine="482" w:firstLineChars="200"/>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2. 保洁员</w:t>
            </w:r>
          </w:p>
          <w:p w14:paraId="1FD7A175">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（1）熟悉并遵守相关法规及各项规章制度。保洁服务讲求文明礼貌。</w:t>
            </w:r>
          </w:p>
          <w:p w14:paraId="5869CEC9">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（2）以下公共区域的设施设备要保持整洁：墙壁、门窗、玻璃、照明、地墙面、楼梯、扶手、水房、卫生间、天花板、标识牌、消防、水暖电气、电梯、宣传栏等。</w:t>
            </w:r>
          </w:p>
          <w:p w14:paraId="41BFC808">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（3）公共卫生间要保持空气清新、洁具明亮，无异味、无积水、无污垢。</w:t>
            </w:r>
          </w:p>
          <w:p w14:paraId="782C7E42">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（4）楼宇周边，要保持环境整洁、各种车辆整齐有序。</w:t>
            </w:r>
          </w:p>
          <w:p w14:paraId="27340A22">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（5）雨、雪天气时，负责清扫责任区的积水和积雪。</w:t>
            </w:r>
          </w:p>
          <w:p w14:paraId="66D1F399">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（6）捡拾遗失物品应登记备案、完好交还失主。</w:t>
            </w:r>
          </w:p>
          <w:p w14:paraId="042D114B">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（7）发现火情、治安事件、嫌疑人员、可疑现象、水暖跑冒、燃气泄漏等紧急情况，应及时上报并协助处理。</w:t>
            </w:r>
          </w:p>
          <w:p w14:paraId="1C0D1528">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 绿化员</w:t>
            </w:r>
          </w:p>
          <w:p w14:paraId="56F6F54A">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（1）熟悉并遵守相关法规及各项规章制度，熟练掌握应急预案。</w:t>
            </w:r>
          </w:p>
          <w:p w14:paraId="7DD2E5E0">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（2）熟悉花草树木名称、习性和养护，定期进行培训。</w:t>
            </w:r>
          </w:p>
          <w:p w14:paraId="276B39D5">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（3）做好辖区乔灌草等植物的修剪、施肥、浇水、除草等工作，保持植物生长状态良好，形状美观。</w:t>
            </w:r>
          </w:p>
          <w:p w14:paraId="2B87EFC8">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（4）有效利用生物、化学、物理方法防控病虫害。</w:t>
            </w:r>
          </w:p>
          <w:p w14:paraId="78157463">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（5）熟练使用、维护园林机械设备和喷灌设施。</w:t>
            </w:r>
          </w:p>
          <w:p w14:paraId="1A17A996">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（6）熟练掌握种植、移植技术。</w:t>
            </w:r>
          </w:p>
          <w:p w14:paraId="193F81D1">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（7）保持绿地整洁无杂物、无污染物。</w:t>
            </w:r>
          </w:p>
          <w:p w14:paraId="4A6D7585">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（8）按规范要求，有效维护古树健康生长。</w:t>
            </w:r>
          </w:p>
          <w:p w14:paraId="09F5860C">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（9）做好防范植物倒伏隐患排查工作。</w:t>
            </w:r>
          </w:p>
          <w:p w14:paraId="7A8EA7B5">
            <w:pPr>
              <w:pStyle w:val="24"/>
              <w:keepNext w:val="0"/>
              <w:keepLines w:val="0"/>
              <w:pageBreakBefore w:val="0"/>
              <w:widowControl w:val="0"/>
              <w:kinsoku/>
              <w:overflowPunct/>
              <w:topLinePunct w:val="0"/>
              <w:autoSpaceDE/>
              <w:autoSpaceDN/>
              <w:bidi w:val="0"/>
              <w:snapToGrid/>
              <w:spacing w:line="420" w:lineRule="exact"/>
              <w:ind w:left="0" w:leftChars="0" w:firstLine="482" w:firstLineChars="200"/>
              <w:textAlignment w:val="auto"/>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四、档案管理要求</w:t>
            </w:r>
          </w:p>
          <w:p w14:paraId="4668E999">
            <w:pPr>
              <w:pStyle w:val="24"/>
              <w:keepNext w:val="0"/>
              <w:keepLines w:val="0"/>
              <w:pageBreakBefore w:val="0"/>
              <w:widowControl w:val="0"/>
              <w:kinsoku/>
              <w:overflowPunct/>
              <w:topLinePunct w:val="0"/>
              <w:autoSpaceDE/>
              <w:autoSpaceDN/>
              <w:bidi w:val="0"/>
              <w:snapToGrid/>
              <w:spacing w:line="420" w:lineRule="exact"/>
              <w:ind w:left="0" w:leftChars="0" w:firstLine="480" w:firstLineChars="200"/>
              <w:textAlignment w:val="auto"/>
              <w:rPr>
                <w:rFonts w:hint="default" w:ascii="Times New Roman" w:hAnsi="Times New Roman" w:eastAsia="仿宋_GB2312" w:cs="Times New Roman"/>
                <w:color w:val="auto"/>
                <w:kern w:val="2"/>
                <w:sz w:val="24"/>
                <w:highlight w:val="none"/>
                <w:lang w:val="en-US" w:eastAsia="zh-CN" w:bidi="ar-SA"/>
              </w:rPr>
            </w:pPr>
            <w:r>
              <w:rPr>
                <w:rFonts w:hint="eastAsia" w:ascii="Times New Roman" w:hAnsi="Times New Roman" w:cs="Times New Roman"/>
                <w:color w:val="auto"/>
                <w:highlight w:val="none"/>
                <w:lang w:val="en-US" w:eastAsia="zh-CN"/>
              </w:rPr>
              <w:t>供应商</w:t>
            </w:r>
            <w:r>
              <w:rPr>
                <w:rFonts w:hint="default" w:ascii="Times New Roman" w:hAnsi="Times New Roman" w:cs="Times New Roman"/>
                <w:color w:val="auto"/>
                <w:highlight w:val="none"/>
                <w:lang w:val="en-US" w:eastAsia="zh-CN"/>
              </w:rPr>
              <w:t>须建立并妥善保管包括但不限于：员工档案与培训记录、日常巡检与维修日志、设备设施保养台账、考核记录、消杀记录、宿舍管理值班与检查记录等全套物业管理档案，供学校随时抽查。</w:t>
            </w:r>
          </w:p>
        </w:tc>
      </w:tr>
      <w:tr w14:paraId="6A51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910" w:type="dxa"/>
            <w:gridSpan w:val="2"/>
            <w:vMerge w:val="continue"/>
            <w:vAlign w:val="center"/>
          </w:tcPr>
          <w:p w14:paraId="2B6A0638">
            <w:pPr>
              <w:keepNext w:val="0"/>
              <w:keepLines w:val="0"/>
              <w:pageBreakBefore w:val="0"/>
              <w:widowControl w:val="0"/>
              <w:kinsoku/>
              <w:wordWrap w:val="0"/>
              <w:overflowPunct/>
              <w:topLinePunct w:val="0"/>
              <w:autoSpaceDE/>
              <w:autoSpaceDN/>
              <w:bidi w:val="0"/>
              <w:adjustRightInd w:val="0"/>
              <w:snapToGrid/>
              <w:spacing w:line="420" w:lineRule="exact"/>
              <w:ind w:left="210" w:hanging="240" w:hangingChars="100"/>
              <w:jc w:val="left"/>
              <w:textAlignment w:val="auto"/>
              <w:rPr>
                <w:rFonts w:hint="default" w:ascii="Times New Roman" w:hAnsi="Times New Roman" w:eastAsia="仿宋_GB2312" w:cs="Times New Roman"/>
                <w:color w:val="auto"/>
                <w:sz w:val="24"/>
                <w:szCs w:val="24"/>
                <w:highlight w:val="none"/>
              </w:rPr>
            </w:pPr>
          </w:p>
        </w:tc>
      </w:tr>
      <w:tr w14:paraId="4E483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910" w:type="dxa"/>
            <w:gridSpan w:val="2"/>
            <w:vMerge w:val="continue"/>
            <w:vAlign w:val="center"/>
          </w:tcPr>
          <w:p w14:paraId="4664A360">
            <w:pPr>
              <w:keepNext w:val="0"/>
              <w:keepLines w:val="0"/>
              <w:pageBreakBefore w:val="0"/>
              <w:widowControl w:val="0"/>
              <w:kinsoku/>
              <w:wordWrap w:val="0"/>
              <w:overflowPunct/>
              <w:topLinePunct w:val="0"/>
              <w:autoSpaceDE/>
              <w:autoSpaceDN/>
              <w:bidi w:val="0"/>
              <w:adjustRightInd w:val="0"/>
              <w:snapToGrid/>
              <w:spacing w:line="420" w:lineRule="exact"/>
              <w:ind w:left="210" w:hanging="240" w:hangingChars="100"/>
              <w:jc w:val="left"/>
              <w:textAlignment w:val="auto"/>
              <w:rPr>
                <w:rFonts w:hint="default" w:ascii="Times New Roman" w:hAnsi="Times New Roman" w:eastAsia="仿宋_GB2312" w:cs="Times New Roman"/>
                <w:color w:val="auto"/>
                <w:sz w:val="24"/>
                <w:szCs w:val="24"/>
                <w:highlight w:val="none"/>
              </w:rPr>
            </w:pPr>
          </w:p>
        </w:tc>
      </w:tr>
      <w:tr w14:paraId="4DF84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910" w:type="dxa"/>
            <w:gridSpan w:val="2"/>
            <w:vMerge w:val="continue"/>
            <w:vAlign w:val="center"/>
          </w:tcPr>
          <w:p w14:paraId="4A69B0B2">
            <w:pPr>
              <w:keepNext w:val="0"/>
              <w:keepLines w:val="0"/>
              <w:pageBreakBefore w:val="0"/>
              <w:widowControl w:val="0"/>
              <w:kinsoku/>
              <w:wordWrap w:val="0"/>
              <w:overflowPunct/>
              <w:topLinePunct w:val="0"/>
              <w:autoSpaceDE/>
              <w:autoSpaceDN/>
              <w:bidi w:val="0"/>
              <w:adjustRightInd w:val="0"/>
              <w:snapToGrid/>
              <w:spacing w:line="420" w:lineRule="exact"/>
              <w:ind w:left="210" w:hanging="240" w:hangingChars="100"/>
              <w:jc w:val="left"/>
              <w:textAlignment w:val="auto"/>
              <w:rPr>
                <w:rFonts w:hint="default" w:ascii="Times New Roman" w:hAnsi="Times New Roman" w:eastAsia="仿宋_GB2312" w:cs="Times New Roman"/>
                <w:color w:val="auto"/>
                <w:sz w:val="24"/>
                <w:szCs w:val="24"/>
                <w:highlight w:val="none"/>
              </w:rPr>
            </w:pPr>
          </w:p>
        </w:tc>
      </w:tr>
      <w:tr w14:paraId="527E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910" w:type="dxa"/>
            <w:gridSpan w:val="2"/>
            <w:vAlign w:val="center"/>
          </w:tcPr>
          <w:p w14:paraId="15806F26">
            <w:pPr>
              <w:pStyle w:val="24"/>
              <w:keepNext w:val="0"/>
              <w:keepLines w:val="0"/>
              <w:pageBreakBefore w:val="0"/>
              <w:widowControl w:val="0"/>
              <w:kinsoku/>
              <w:overflowPunct/>
              <w:topLinePunct w:val="0"/>
              <w:autoSpaceDE/>
              <w:autoSpaceDN/>
              <w:bidi w:val="0"/>
              <w:snapToGrid/>
              <w:spacing w:line="420" w:lineRule="exact"/>
              <w:ind w:left="0" w:leftChars="0" w:firstLine="562" w:firstLineChars="200"/>
              <w:textAlignment w:val="auto"/>
              <w:rPr>
                <w:rFonts w:hint="default" w:ascii="Times New Roman" w:hAnsi="Times New Roman" w:cs="Times New Roman"/>
                <w:color w:val="auto"/>
                <w:sz w:val="28"/>
                <w:szCs w:val="28"/>
                <w:highlight w:val="none"/>
                <w:lang w:val="en-US" w:eastAsia="zh-CN"/>
              </w:rPr>
            </w:pPr>
            <w:r>
              <w:rPr>
                <w:rFonts w:hint="eastAsia" w:ascii="Times New Roman" w:hAnsi="Times New Roman" w:eastAsia="宋体" w:cs="Times New Roman"/>
                <w:b/>
                <w:bCs/>
                <w:color w:val="auto"/>
                <w:sz w:val="28"/>
                <w:szCs w:val="28"/>
                <w:highlight w:val="none"/>
                <w:lang w:val="en-US" w:eastAsia="zh-CN"/>
              </w:rPr>
              <w:t xml:space="preserve">第二部分 </w:t>
            </w:r>
            <w:r>
              <w:rPr>
                <w:rFonts w:hint="default" w:ascii="Times New Roman" w:hAnsi="Times New Roman" w:eastAsia="宋体" w:cs="Times New Roman"/>
                <w:b/>
                <w:bCs/>
                <w:color w:val="auto"/>
                <w:sz w:val="28"/>
                <w:szCs w:val="28"/>
                <w:highlight w:val="none"/>
                <w:lang w:val="en-US" w:eastAsia="zh-CN"/>
              </w:rPr>
              <w:t>北海市中等职业技术学校物业服务</w:t>
            </w:r>
            <w:r>
              <w:rPr>
                <w:rFonts w:hint="eastAsia" w:ascii="Times New Roman" w:hAnsi="Times New Roman" w:eastAsia="宋体" w:cs="Times New Roman"/>
                <w:b/>
                <w:bCs/>
                <w:color w:val="auto"/>
                <w:sz w:val="28"/>
                <w:szCs w:val="28"/>
                <w:highlight w:val="none"/>
                <w:lang w:val="en-US" w:eastAsia="zh-CN"/>
              </w:rPr>
              <w:t>要求</w:t>
            </w:r>
          </w:p>
        </w:tc>
      </w:tr>
      <w:tr w14:paraId="6815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0" w:type="dxa"/>
            <w:gridSpan w:val="2"/>
            <w:vAlign w:val="center"/>
          </w:tcPr>
          <w:p w14:paraId="1D81776D">
            <w:pPr>
              <w:keepNext w:val="0"/>
              <w:keepLines w:val="0"/>
              <w:pageBreakBefore w:val="0"/>
              <w:widowControl w:val="0"/>
              <w:kinsoku/>
              <w:wordWrap w:val="0"/>
              <w:overflowPunct/>
              <w:topLinePunct w:val="0"/>
              <w:autoSpaceDE/>
              <w:autoSpaceDN/>
              <w:bidi w:val="0"/>
              <w:adjustRightInd w:val="0"/>
              <w:snapToGrid/>
              <w:spacing w:line="420" w:lineRule="exact"/>
              <w:ind w:left="210" w:hanging="241" w:hangingChars="100"/>
              <w:jc w:val="left"/>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一、服务范围</w:t>
            </w:r>
          </w:p>
          <w:p w14:paraId="409051A1">
            <w:pPr>
              <w:keepNext w:val="0"/>
              <w:keepLines w:val="0"/>
              <w:pageBreakBefore w:val="0"/>
              <w:widowControl w:val="0"/>
              <w:kinsoku/>
              <w:wordWrap w:val="0"/>
              <w:overflowPunct/>
              <w:topLinePunct w:val="0"/>
              <w:autoSpaceDE/>
              <w:autoSpaceDN/>
              <w:bidi w:val="0"/>
              <w:adjustRightInd w:val="0"/>
              <w:snapToGrid/>
              <w:spacing w:line="420" w:lineRule="exact"/>
              <w:jc w:val="left"/>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为派驻学校校园全域（包括所有建筑物、公共场所）提供物业服务，负责</w:t>
            </w:r>
            <w:r>
              <w:rPr>
                <w:rFonts w:hint="default" w:ascii="Times New Roman" w:hAnsi="Times New Roman" w:cs="Times New Roman"/>
                <w:color w:val="auto"/>
                <w:sz w:val="24"/>
                <w:highlight w:val="none"/>
              </w:rPr>
              <w:t>学校卫生保洁、绿化维护管理和各项会议及重要活动保障服务</w:t>
            </w:r>
            <w:r>
              <w:rPr>
                <w:rFonts w:hint="default" w:ascii="Times New Roman" w:hAnsi="Times New Roman" w:cs="Times New Roman"/>
                <w:color w:val="auto"/>
                <w:sz w:val="24"/>
                <w:szCs w:val="24"/>
                <w:highlight w:val="none"/>
                <w:lang w:val="en-US" w:eastAsia="zh-CN"/>
              </w:rPr>
              <w:t>。</w:t>
            </w:r>
          </w:p>
          <w:p w14:paraId="478B826A">
            <w:pPr>
              <w:keepNext w:val="0"/>
              <w:keepLines w:val="0"/>
              <w:pageBreakBefore w:val="0"/>
              <w:widowControl w:val="0"/>
              <w:kinsoku/>
              <w:wordWrap w:val="0"/>
              <w:overflowPunct/>
              <w:topLinePunct w:val="0"/>
              <w:autoSpaceDE/>
              <w:autoSpaceDN/>
              <w:bidi w:val="0"/>
              <w:adjustRightInd w:val="0"/>
              <w:snapToGrid/>
              <w:spacing w:line="420" w:lineRule="exact"/>
              <w:ind w:left="210" w:hanging="241" w:hangingChars="100"/>
              <w:jc w:val="left"/>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二、服务内容</w:t>
            </w:r>
          </w:p>
          <w:p w14:paraId="739C8849">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cs="Times New Roman"/>
                <w:color w:val="auto"/>
                <w:sz w:val="24"/>
                <w:highlight w:val="none"/>
              </w:rPr>
              <w:t>学校卫生保洁、绿化维护管理和各项会议及重要活动保障服务</w:t>
            </w:r>
            <w:r>
              <w:rPr>
                <w:rFonts w:hint="default" w:ascii="Times New Roman" w:hAnsi="Times New Roman" w:eastAsia="仿宋_GB2312" w:cs="Times New Roman"/>
                <w:color w:val="auto"/>
                <w:kern w:val="2"/>
                <w:sz w:val="24"/>
                <w:szCs w:val="24"/>
                <w:highlight w:val="none"/>
                <w:lang w:val="en-US" w:eastAsia="zh-CN" w:bidi="ar-SA"/>
              </w:rPr>
              <w:t>。</w:t>
            </w:r>
          </w:p>
          <w:p w14:paraId="03EF9146">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cs="Times New Roman"/>
                <w:b/>
                <w:bCs/>
                <w:color w:val="auto"/>
                <w:kern w:val="2"/>
                <w:sz w:val="24"/>
                <w:szCs w:val="24"/>
                <w:highlight w:val="none"/>
                <w:lang w:val="en-US" w:eastAsia="zh-CN" w:bidi="ar-SA"/>
              </w:rPr>
              <w:t>三、</w:t>
            </w:r>
            <w:r>
              <w:rPr>
                <w:rFonts w:hint="default" w:ascii="Times New Roman" w:hAnsi="Times New Roman" w:eastAsia="仿宋_GB2312" w:cs="Times New Roman"/>
                <w:b/>
                <w:bCs/>
                <w:color w:val="auto"/>
                <w:kern w:val="2"/>
                <w:sz w:val="24"/>
                <w:szCs w:val="24"/>
                <w:highlight w:val="none"/>
                <w:lang w:val="en-US" w:eastAsia="zh-CN" w:bidi="ar-SA"/>
              </w:rPr>
              <w:t>服务要求</w:t>
            </w:r>
          </w:p>
          <w:p w14:paraId="416FC2A2">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cs="Times New Roman"/>
                <w:color w:val="auto"/>
                <w:kern w:val="2"/>
                <w:sz w:val="24"/>
                <w:szCs w:val="24"/>
                <w:highlight w:val="none"/>
                <w:lang w:val="en-US" w:eastAsia="zh-CN" w:bidi="ar-SA"/>
              </w:rPr>
              <w:t>1. 服务用工人数25人，详见管理服务人员配备一览表。</w:t>
            </w:r>
          </w:p>
          <w:p w14:paraId="3297AC7F">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cs="Times New Roman"/>
                <w:color w:val="auto"/>
                <w:kern w:val="2"/>
                <w:sz w:val="24"/>
                <w:szCs w:val="24"/>
                <w:highlight w:val="none"/>
                <w:lang w:val="en-US" w:eastAsia="zh-CN" w:bidi="ar-SA"/>
              </w:rPr>
            </w:pPr>
            <w:r>
              <w:rPr>
                <w:rFonts w:hint="default" w:ascii="Times New Roman" w:hAnsi="Times New Roman" w:cs="Times New Roman"/>
                <w:color w:val="auto"/>
                <w:kern w:val="2"/>
                <w:sz w:val="24"/>
                <w:szCs w:val="24"/>
                <w:highlight w:val="none"/>
                <w:lang w:val="en-US" w:eastAsia="zh-CN" w:bidi="ar-SA"/>
              </w:rPr>
              <w:t>北海中职校物业服务人员配备表</w:t>
            </w:r>
          </w:p>
          <w:tbl>
            <w:tblPr>
              <w:tblStyle w:val="64"/>
              <w:tblW w:w="8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183"/>
              <w:gridCol w:w="867"/>
              <w:gridCol w:w="5898"/>
            </w:tblGrid>
            <w:tr w14:paraId="7F7E9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6" w:type="dxa"/>
                  <w:gridSpan w:val="4"/>
                  <w:vAlign w:val="center"/>
                </w:tcPr>
                <w:p w14:paraId="3A75A6B3">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2026年-2028年（20个月正常班）</w:t>
                  </w:r>
                </w:p>
              </w:tc>
            </w:tr>
            <w:tr w14:paraId="26A6E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shd w:val="clear" w:color="auto" w:fill="auto"/>
                  <w:vAlign w:val="center"/>
                </w:tcPr>
                <w:p w14:paraId="73EEB4A8">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eastAsia="仿宋_GB2312"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序号</w:t>
                  </w:r>
                </w:p>
              </w:tc>
              <w:tc>
                <w:tcPr>
                  <w:tcW w:w="1183" w:type="dxa"/>
                  <w:shd w:val="clear" w:color="auto" w:fill="auto"/>
                  <w:vAlign w:val="center"/>
                </w:tcPr>
                <w:p w14:paraId="303644F3">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eastAsia="仿宋_GB2312"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岗位</w:t>
                  </w:r>
                </w:p>
              </w:tc>
              <w:tc>
                <w:tcPr>
                  <w:tcW w:w="867" w:type="dxa"/>
                  <w:shd w:val="clear" w:color="auto" w:fill="auto"/>
                  <w:vAlign w:val="center"/>
                </w:tcPr>
                <w:p w14:paraId="4136574B">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eastAsia="仿宋_GB2312"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人数</w:t>
                  </w:r>
                </w:p>
              </w:tc>
              <w:tc>
                <w:tcPr>
                  <w:tcW w:w="5898" w:type="dxa"/>
                  <w:shd w:val="clear" w:color="auto" w:fill="auto"/>
                  <w:vAlign w:val="center"/>
                </w:tcPr>
                <w:p w14:paraId="5061FF00">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eastAsia="仿宋_GB2312"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岗位设置明细</w:t>
                  </w:r>
                </w:p>
              </w:tc>
            </w:tr>
            <w:tr w14:paraId="6F51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40832F76">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w:t>
                  </w:r>
                </w:p>
              </w:tc>
              <w:tc>
                <w:tcPr>
                  <w:tcW w:w="1183" w:type="dxa"/>
                  <w:vAlign w:val="center"/>
                </w:tcPr>
                <w:p w14:paraId="7D477A03">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4"/>
                      <w:highlight w:val="none"/>
                      <w:lang w:eastAsia="zh-CN"/>
                    </w:rPr>
                    <w:t>物业</w:t>
                  </w:r>
                  <w:r>
                    <w:rPr>
                      <w:rFonts w:hint="default" w:ascii="Times New Roman" w:hAnsi="Times New Roman" w:cs="Times New Roman"/>
                      <w:color w:val="auto"/>
                      <w:sz w:val="24"/>
                      <w:highlight w:val="none"/>
                    </w:rPr>
                    <w:t>主管</w:t>
                  </w:r>
                </w:p>
              </w:tc>
              <w:tc>
                <w:tcPr>
                  <w:tcW w:w="867" w:type="dxa"/>
                  <w:vAlign w:val="center"/>
                </w:tcPr>
                <w:p w14:paraId="38E10F95">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w:t>
                  </w:r>
                </w:p>
              </w:tc>
              <w:tc>
                <w:tcPr>
                  <w:tcW w:w="5898" w:type="dxa"/>
                  <w:vAlign w:val="center"/>
                </w:tcPr>
                <w:p w14:paraId="7059CAD1">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both"/>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带领服务人员完成工作任务、负责物业服务工作的监督和管理。</w:t>
                  </w:r>
                </w:p>
              </w:tc>
            </w:tr>
            <w:tr w14:paraId="1AC4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35621F7E">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2</w:t>
                  </w:r>
                </w:p>
              </w:tc>
              <w:tc>
                <w:tcPr>
                  <w:tcW w:w="1183" w:type="dxa"/>
                  <w:vAlign w:val="center"/>
                </w:tcPr>
                <w:p w14:paraId="6C5E2CA9">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4"/>
                      <w:highlight w:val="none"/>
                    </w:rPr>
                    <w:t>保洁员</w:t>
                  </w:r>
                </w:p>
              </w:tc>
              <w:tc>
                <w:tcPr>
                  <w:tcW w:w="867" w:type="dxa"/>
                  <w:vAlign w:val="center"/>
                </w:tcPr>
                <w:p w14:paraId="383C50D0">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17</w:t>
                  </w:r>
                </w:p>
              </w:tc>
              <w:tc>
                <w:tcPr>
                  <w:tcW w:w="5898" w:type="dxa"/>
                  <w:vAlign w:val="center"/>
                </w:tcPr>
                <w:p w14:paraId="5D86B1E6">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1.知行楼2人；</w:t>
                  </w:r>
                </w:p>
                <w:p w14:paraId="3D1178F4">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2.耕创楼2人；</w:t>
                  </w:r>
                </w:p>
                <w:p w14:paraId="47881D4C">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3.智造楼2人；</w:t>
                  </w:r>
                </w:p>
                <w:p w14:paraId="1CC8B168">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4.艺馨楼2人；</w:t>
                  </w:r>
                </w:p>
                <w:p w14:paraId="01DA15B1">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5.笃行楼2人；</w:t>
                  </w:r>
                </w:p>
                <w:p w14:paraId="2E1C1F36">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6.外围保洁3人；</w:t>
                  </w:r>
                </w:p>
                <w:p w14:paraId="0AF54384">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7.体育馆2人；</w:t>
                  </w:r>
                </w:p>
                <w:p w14:paraId="431EE04A">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8.尚俭楼2人。</w:t>
                  </w:r>
                </w:p>
              </w:tc>
            </w:tr>
            <w:tr w14:paraId="15CAD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489F91EE">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3</w:t>
                  </w:r>
                </w:p>
              </w:tc>
              <w:tc>
                <w:tcPr>
                  <w:tcW w:w="1183" w:type="dxa"/>
                  <w:vAlign w:val="center"/>
                </w:tcPr>
                <w:p w14:paraId="2D32614A">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4"/>
                      <w:highlight w:val="none"/>
                    </w:rPr>
                    <w:t>绿化员</w:t>
                  </w:r>
                </w:p>
              </w:tc>
              <w:tc>
                <w:tcPr>
                  <w:tcW w:w="867" w:type="dxa"/>
                  <w:vAlign w:val="center"/>
                </w:tcPr>
                <w:p w14:paraId="1FC22F36">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7</w:t>
                  </w:r>
                </w:p>
              </w:tc>
              <w:tc>
                <w:tcPr>
                  <w:tcW w:w="5898" w:type="dxa"/>
                  <w:vAlign w:val="center"/>
                </w:tcPr>
                <w:p w14:paraId="613EEB7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both"/>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绿化修剪1人，绿化维护6人</w:t>
                  </w:r>
                </w:p>
              </w:tc>
            </w:tr>
            <w:tr w14:paraId="0638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1" w:type="dxa"/>
                  <w:gridSpan w:val="2"/>
                  <w:vAlign w:val="center"/>
                </w:tcPr>
                <w:p w14:paraId="7A9447DE">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合计</w:t>
                  </w:r>
                </w:p>
              </w:tc>
              <w:tc>
                <w:tcPr>
                  <w:tcW w:w="867" w:type="dxa"/>
                  <w:vAlign w:val="center"/>
                </w:tcPr>
                <w:p w14:paraId="1EFEDE4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25</w:t>
                  </w:r>
                </w:p>
              </w:tc>
              <w:tc>
                <w:tcPr>
                  <w:tcW w:w="5898" w:type="dxa"/>
                  <w:vAlign w:val="center"/>
                </w:tcPr>
                <w:p w14:paraId="6E72579A">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r>
            <w:tr w14:paraId="17DB3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6" w:type="dxa"/>
                  <w:gridSpan w:val="4"/>
                  <w:vAlign w:val="center"/>
                </w:tcPr>
                <w:p w14:paraId="1032BE99">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2026年-2028年（4个月假期班）</w:t>
                  </w:r>
                </w:p>
              </w:tc>
            </w:tr>
            <w:tr w14:paraId="4774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shd w:val="clear" w:color="auto" w:fill="auto"/>
                  <w:vAlign w:val="center"/>
                </w:tcPr>
                <w:p w14:paraId="4E4BFCA2">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eastAsia="仿宋_GB2312"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序号</w:t>
                  </w:r>
                </w:p>
              </w:tc>
              <w:tc>
                <w:tcPr>
                  <w:tcW w:w="1183" w:type="dxa"/>
                  <w:shd w:val="clear" w:color="auto" w:fill="auto"/>
                  <w:vAlign w:val="center"/>
                </w:tcPr>
                <w:p w14:paraId="79540286">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eastAsia="仿宋_GB2312"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岗位</w:t>
                  </w:r>
                </w:p>
              </w:tc>
              <w:tc>
                <w:tcPr>
                  <w:tcW w:w="867" w:type="dxa"/>
                  <w:shd w:val="clear" w:color="auto" w:fill="auto"/>
                  <w:vAlign w:val="center"/>
                </w:tcPr>
                <w:p w14:paraId="75E3EA5E">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eastAsia="仿宋_GB2312"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人数</w:t>
                  </w:r>
                </w:p>
              </w:tc>
              <w:tc>
                <w:tcPr>
                  <w:tcW w:w="5898" w:type="dxa"/>
                  <w:shd w:val="clear" w:color="auto" w:fill="auto"/>
                  <w:vAlign w:val="center"/>
                </w:tcPr>
                <w:p w14:paraId="7E1FBD9A">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eastAsia="仿宋_GB2312"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岗位设置明细</w:t>
                  </w:r>
                </w:p>
              </w:tc>
            </w:tr>
            <w:tr w14:paraId="5B373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61537E3C">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w:t>
                  </w:r>
                </w:p>
              </w:tc>
              <w:tc>
                <w:tcPr>
                  <w:tcW w:w="1183" w:type="dxa"/>
                  <w:vAlign w:val="center"/>
                </w:tcPr>
                <w:p w14:paraId="51441356">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物业</w:t>
                  </w:r>
                  <w:r>
                    <w:rPr>
                      <w:rFonts w:hint="default" w:ascii="Times New Roman" w:hAnsi="Times New Roman" w:cs="Times New Roman"/>
                      <w:color w:val="auto"/>
                      <w:sz w:val="24"/>
                      <w:highlight w:val="none"/>
                    </w:rPr>
                    <w:t>主管</w:t>
                  </w:r>
                </w:p>
              </w:tc>
              <w:tc>
                <w:tcPr>
                  <w:tcW w:w="867" w:type="dxa"/>
                  <w:vAlign w:val="center"/>
                </w:tcPr>
                <w:p w14:paraId="362C1B4C">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w:t>
                  </w:r>
                </w:p>
              </w:tc>
              <w:tc>
                <w:tcPr>
                  <w:tcW w:w="5898" w:type="dxa"/>
                  <w:vAlign w:val="center"/>
                </w:tcPr>
                <w:p w14:paraId="6834C4E1">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带领服务人员完成工作任务、负责物业服务工作的监督和管理。</w:t>
                  </w:r>
                </w:p>
              </w:tc>
            </w:tr>
            <w:tr w14:paraId="2BA48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2533BF0A">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2</w:t>
                  </w:r>
                </w:p>
              </w:tc>
              <w:tc>
                <w:tcPr>
                  <w:tcW w:w="1183" w:type="dxa"/>
                  <w:vAlign w:val="center"/>
                </w:tcPr>
                <w:p w14:paraId="2679F4E8">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保洁员</w:t>
                  </w:r>
                </w:p>
              </w:tc>
              <w:tc>
                <w:tcPr>
                  <w:tcW w:w="867" w:type="dxa"/>
                  <w:vAlign w:val="center"/>
                </w:tcPr>
                <w:p w14:paraId="60678ABC">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8</w:t>
                  </w:r>
                </w:p>
              </w:tc>
              <w:tc>
                <w:tcPr>
                  <w:tcW w:w="5898" w:type="dxa"/>
                  <w:vAlign w:val="center"/>
                </w:tcPr>
                <w:p w14:paraId="42FF3D01">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1.知行楼1人；</w:t>
                  </w:r>
                </w:p>
                <w:p w14:paraId="69471416">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2.耕创楼1人；</w:t>
                  </w:r>
                </w:p>
                <w:p w14:paraId="20CF7A6B">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3.智造楼1人；</w:t>
                  </w:r>
                </w:p>
                <w:p w14:paraId="006046C3">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4.艺馨楼1人；</w:t>
                  </w:r>
                </w:p>
                <w:p w14:paraId="4164EBDE">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5.笃行楼1人；</w:t>
                  </w:r>
                </w:p>
                <w:p w14:paraId="01C22EF4">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6.外围保洁2人；</w:t>
                  </w:r>
                </w:p>
                <w:p w14:paraId="3AD5D255">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7.体育馆1人。</w:t>
                  </w:r>
                </w:p>
              </w:tc>
            </w:tr>
            <w:tr w14:paraId="64A16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529C8A31">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3</w:t>
                  </w:r>
                </w:p>
              </w:tc>
              <w:tc>
                <w:tcPr>
                  <w:tcW w:w="1183" w:type="dxa"/>
                  <w:vAlign w:val="center"/>
                </w:tcPr>
                <w:p w14:paraId="78915E5A">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绿化员</w:t>
                  </w:r>
                </w:p>
              </w:tc>
              <w:tc>
                <w:tcPr>
                  <w:tcW w:w="867" w:type="dxa"/>
                  <w:vAlign w:val="center"/>
                </w:tcPr>
                <w:p w14:paraId="09D0C383">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7</w:t>
                  </w:r>
                </w:p>
              </w:tc>
              <w:tc>
                <w:tcPr>
                  <w:tcW w:w="5898" w:type="dxa"/>
                  <w:vAlign w:val="center"/>
                </w:tcPr>
                <w:p w14:paraId="44FC5359">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绿化修剪1人，绿化维护6人。</w:t>
                  </w:r>
                </w:p>
              </w:tc>
            </w:tr>
            <w:tr w14:paraId="0D7C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1" w:type="dxa"/>
                  <w:gridSpan w:val="2"/>
                  <w:vAlign w:val="center"/>
                </w:tcPr>
                <w:p w14:paraId="2BACCDEF">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4"/>
                      <w:highlight w:val="none"/>
                      <w:lang w:eastAsia="zh-CN"/>
                    </w:rPr>
                    <w:t>合计</w:t>
                  </w:r>
                </w:p>
              </w:tc>
              <w:tc>
                <w:tcPr>
                  <w:tcW w:w="867" w:type="dxa"/>
                  <w:vAlign w:val="center"/>
                </w:tcPr>
                <w:p w14:paraId="5A92C58E">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16</w:t>
                  </w:r>
                </w:p>
              </w:tc>
              <w:tc>
                <w:tcPr>
                  <w:tcW w:w="5898" w:type="dxa"/>
                  <w:vAlign w:val="center"/>
                </w:tcPr>
                <w:p w14:paraId="4A0D54FD">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p>
              </w:tc>
            </w:tr>
          </w:tbl>
          <w:p w14:paraId="1E25900A">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2. 有物业管理方案，质量管理、档案管理等制度健全。</w:t>
            </w:r>
          </w:p>
          <w:p w14:paraId="18902ABA">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3. 管理服务人员统一着装，行为规范，服务主动热情。</w:t>
            </w:r>
          </w:p>
          <w:p w14:paraId="17682F8B">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4. 每月接受业主单位质量考核，未达标准从合同价中扣除。满意率至少在75％以上，连续两个月达不到，学校可提终止合同。</w:t>
            </w:r>
          </w:p>
          <w:p w14:paraId="03F3FD38">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6. 上岗人员在工作期间发生员工工伤及意外伤害事故，由物业公司负责，涉及用工方面的劳务纠纷和劳动事故全部由物业公司承担责任。</w:t>
            </w:r>
          </w:p>
          <w:p w14:paraId="04EB313F">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b/>
                <w:bCs/>
                <w:color w:val="auto"/>
                <w:sz w:val="24"/>
                <w:highlight w:val="none"/>
                <w:lang w:val="en-US" w:eastAsia="zh-CN"/>
              </w:rPr>
              <w:t>四、物业管理服务范围及岗位职责要求</w:t>
            </w:r>
          </w:p>
          <w:p w14:paraId="58A2E2D4">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（一）卫生保洁</w:t>
            </w:r>
          </w:p>
          <w:p w14:paraId="086B8B7C">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1. 校园公共区域保洁：学生在校期间，每天清扫地面，保持地面清洁，对校园公共区域进行不间断巡视、清扫，捡拾杂物；路面、场地、绿化区无垃圾、杂物，无卫生死角；</w:t>
            </w:r>
          </w:p>
          <w:p w14:paraId="5F916429">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2. 教学实训楼内保洁：学生在校期间，每天清扫地面，保持地面清洁，无痰渍、污渍；对楼梯、楼道、走廊进行不间断巡视、清扫，捡拾杂物；保持墙壁无浮灰、蜘蛛网、无明显污迹；保持垃圾箱外表干净。（知行楼、耕创楼、智造楼、艺馨楼、笃行楼、体育馆、校领导办公室、会议室、健体馆、）</w:t>
            </w:r>
          </w:p>
          <w:p w14:paraId="2D825565">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3. 学生宿舍周边保洁：学生在校期间，每天清扫地面，保持地面清洁，无痰渍、污渍；不间断巡视、清扫，捡拾杂物；保持垃圾箱外表干净。</w:t>
            </w:r>
          </w:p>
          <w:p w14:paraId="129003A5">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4.公共卫生间保洁：学生在校期间，保持卫生间卫生，便池、水池、地面、墙壁无污迹，无明显异味，检查给排水设施设备，管道、阀门等无锈蚀、无渗漏，管道无堵塞，设施用具完好，如有坏损，及时上报给学校。（公共卫生间：知行楼五层共11个，耕创楼5层共20个，智造楼五层共20个，艺馨楼三层12个，笃行楼4层共8个；2#学生宿舍五层共5个；体育馆5层楼12个。</w:t>
            </w:r>
          </w:p>
          <w:p w14:paraId="58AC0396">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5. 垃圾清运：对校园垃圾箱每天进行清除、外运，做到垃圾日产日清，保持校园垃圾全部进垃圾箱，保持箱外无垃圾，做到箱体清洁、无损坏。</w:t>
            </w:r>
          </w:p>
          <w:p w14:paraId="6180A8D2">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6. 卫生防疫：按照要求负责全校范围内的灭蚊虫喷药。疫情期间必须协助学校做好各个场所的防疫消杀工作。</w:t>
            </w:r>
          </w:p>
          <w:p w14:paraId="5C764E48">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（二）绿化维护管理</w:t>
            </w:r>
          </w:p>
          <w:p w14:paraId="1BA0B9CE">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1. 负责校园绿化区的日常养护，制定切实可行的养护计划和管理措施，适时对花木、草坪进行修剪、施肥、防治病虫害、养护和浇水，清除绿化区杂草。</w:t>
            </w:r>
          </w:p>
          <w:p w14:paraId="782593B5">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2. 协助做好重大节日、重要活动的绿化美化工作。</w:t>
            </w:r>
          </w:p>
          <w:p w14:paraId="4A55E775">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（三）各项会议及重要活动保障</w:t>
            </w:r>
          </w:p>
          <w:p w14:paraId="269F1DCA">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布置会场或会议室；重大活动临时增加人员调遣工作等。</w:t>
            </w:r>
          </w:p>
          <w:p w14:paraId="3FBF3269">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auto"/>
              <w:rPr>
                <w:rFonts w:hint="default" w:ascii="Times New Roman" w:hAnsi="Times New Roman" w:cs="Times New Roman"/>
                <w:b/>
                <w:bCs/>
                <w:color w:val="auto"/>
                <w:sz w:val="24"/>
                <w:highlight w:val="none"/>
                <w:lang w:val="en-US" w:eastAsia="zh-CN"/>
              </w:rPr>
            </w:pPr>
            <w:r>
              <w:rPr>
                <w:rFonts w:hint="default" w:ascii="Times New Roman" w:hAnsi="Times New Roman" w:cs="Times New Roman"/>
                <w:b/>
                <w:bCs/>
                <w:color w:val="auto"/>
                <w:sz w:val="24"/>
                <w:highlight w:val="none"/>
                <w:lang w:val="en-US" w:eastAsia="zh-CN"/>
              </w:rPr>
              <w:t>五、物业管理人员行为规范要求</w:t>
            </w:r>
          </w:p>
          <w:p w14:paraId="2313E1EA">
            <w:pPr>
              <w:keepNext w:val="0"/>
              <w:keepLines w:val="0"/>
              <w:pageBreakBefore w:val="0"/>
              <w:widowControl/>
              <w:kinsoku/>
              <w:wordWrap/>
              <w:overflowPunct/>
              <w:topLinePunct w:val="0"/>
              <w:autoSpaceDE/>
              <w:autoSpaceDN/>
              <w:bidi w:val="0"/>
              <w:adjustRightInd/>
              <w:snapToGrid/>
              <w:spacing w:line="420" w:lineRule="exact"/>
              <w:ind w:firstLine="482" w:firstLineChars="200"/>
              <w:textAlignment w:val="auto"/>
              <w:rPr>
                <w:rFonts w:hint="default" w:ascii="Times New Roman" w:hAnsi="Times New Roman" w:cs="Times New Roman"/>
                <w:b/>
                <w:bCs/>
                <w:color w:val="auto"/>
                <w:sz w:val="24"/>
                <w:highlight w:val="none"/>
                <w:lang w:val="en-US" w:eastAsia="zh-CN"/>
              </w:rPr>
            </w:pPr>
            <w:r>
              <w:rPr>
                <w:rFonts w:hint="default" w:ascii="Times New Roman" w:hAnsi="Times New Roman" w:cs="Times New Roman"/>
                <w:b/>
                <w:bCs/>
                <w:color w:val="auto"/>
                <w:sz w:val="24"/>
                <w:highlight w:val="none"/>
                <w:lang w:val="en-US" w:eastAsia="zh-CN"/>
              </w:rPr>
              <w:t xml:space="preserve">（一）职业道德要求 </w:t>
            </w:r>
          </w:p>
          <w:p w14:paraId="259F341F">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1. 敬业爱岗：勤奋敬业，积极肯干，热爱本职岗位，乐于为本职工作奉献。</w:t>
            </w:r>
          </w:p>
          <w:p w14:paraId="0ECB7017">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2. 遵守纪律：认真遵守国家政策、法规、法令，遵守公司规章制度和劳动纪律。</w:t>
            </w:r>
          </w:p>
          <w:p w14:paraId="0F88E353">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3. 认真学习：努力学习科学文化知识，不断提高业务技术水平，努力提高服务质量。</w:t>
            </w:r>
          </w:p>
          <w:p w14:paraId="055EDCB2">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4. 公私分明：爱护公物，不谋私利，自觉地维护公司的利益和声誉。</w:t>
            </w:r>
          </w:p>
          <w:p w14:paraId="4ED52DA2">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5. 勤俭节约：具有良好的节约意识，勤俭办公，节约能源。</w:t>
            </w:r>
          </w:p>
          <w:p w14:paraId="35446CA6">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6. 团结合作：严于律己，宽以待人，正确处理好个人与集体、同事的工作关系，具有良好的协作精神，易与他人相处。</w:t>
            </w:r>
          </w:p>
          <w:p w14:paraId="1A68B165">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7. 严守秘密：未经批准，不向外界传播或提供有关学校的任何资料。</w:t>
            </w:r>
          </w:p>
          <w:p w14:paraId="194C2C1D">
            <w:pPr>
              <w:keepNext w:val="0"/>
              <w:keepLines w:val="0"/>
              <w:pageBreakBefore w:val="0"/>
              <w:widowControl/>
              <w:kinsoku/>
              <w:wordWrap/>
              <w:overflowPunct/>
              <w:topLinePunct w:val="0"/>
              <w:autoSpaceDE/>
              <w:autoSpaceDN/>
              <w:bidi w:val="0"/>
              <w:adjustRightInd/>
              <w:snapToGrid/>
              <w:spacing w:line="420" w:lineRule="exact"/>
              <w:ind w:firstLine="482" w:firstLineChars="200"/>
              <w:textAlignment w:val="auto"/>
              <w:rPr>
                <w:rFonts w:hint="default" w:ascii="Times New Roman" w:hAnsi="Times New Roman" w:cs="Times New Roman"/>
                <w:b/>
                <w:bCs/>
                <w:color w:val="auto"/>
                <w:sz w:val="24"/>
                <w:highlight w:val="none"/>
                <w:lang w:val="en-US" w:eastAsia="zh-CN"/>
              </w:rPr>
            </w:pPr>
            <w:r>
              <w:rPr>
                <w:rFonts w:hint="default" w:ascii="Times New Roman" w:hAnsi="Times New Roman" w:cs="Times New Roman"/>
                <w:b/>
                <w:bCs/>
                <w:color w:val="auto"/>
                <w:sz w:val="24"/>
                <w:highlight w:val="none"/>
                <w:lang w:val="en-US" w:eastAsia="zh-CN"/>
              </w:rPr>
              <w:t xml:space="preserve">（二）服务意识要求  </w:t>
            </w:r>
          </w:p>
          <w:p w14:paraId="15B019A8">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1. 文明礼貌：做到语言规范，谈吐文雅，衣冠整洁，举止端庄。</w:t>
            </w:r>
          </w:p>
          <w:p w14:paraId="4528EE17">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2. 主动热情：以真诚的笑容，主动热情地为师生服务，主动了解师生的需要，努力为师生排忧解难。</w:t>
            </w:r>
          </w:p>
          <w:p w14:paraId="2107255C">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3. 耐心周到：员工在对师生的服务中要耐心周到，问多不厌，事多不烦，虚心听取师生意见，耐心解答师生问题，服务体贴入微，有求必应，面面俱到，尽善尽美。</w:t>
            </w:r>
          </w:p>
          <w:p w14:paraId="24420E03">
            <w:pPr>
              <w:keepNext w:val="0"/>
              <w:keepLines w:val="0"/>
              <w:pageBreakBefore w:val="0"/>
              <w:widowControl/>
              <w:kinsoku/>
              <w:wordWrap/>
              <w:overflowPunct/>
              <w:topLinePunct w:val="0"/>
              <w:autoSpaceDE/>
              <w:autoSpaceDN/>
              <w:bidi w:val="0"/>
              <w:adjustRightInd/>
              <w:snapToGrid/>
              <w:spacing w:line="420" w:lineRule="exact"/>
              <w:ind w:firstLine="482" w:firstLineChars="200"/>
              <w:textAlignment w:val="auto"/>
              <w:rPr>
                <w:rFonts w:hint="default" w:ascii="Times New Roman" w:hAnsi="Times New Roman" w:cs="Times New Roman"/>
                <w:b/>
                <w:bCs/>
                <w:color w:val="auto"/>
                <w:sz w:val="24"/>
                <w:highlight w:val="none"/>
                <w:lang w:val="en-US" w:eastAsia="zh-CN"/>
              </w:rPr>
            </w:pPr>
            <w:r>
              <w:rPr>
                <w:rFonts w:hint="default" w:ascii="Times New Roman" w:hAnsi="Times New Roman" w:cs="Times New Roman"/>
                <w:b/>
                <w:bCs/>
                <w:color w:val="auto"/>
                <w:sz w:val="24"/>
                <w:highlight w:val="none"/>
                <w:lang w:val="en-US" w:eastAsia="zh-CN"/>
              </w:rPr>
              <w:t xml:space="preserve">（三）仪容仪表要求 </w:t>
            </w:r>
          </w:p>
          <w:p w14:paraId="0A655AC9">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 xml:space="preserve">1. 保持衣冠整洁，按规定要求着装，将工作卡端正地佩戴在左胸前。 </w:t>
            </w:r>
          </w:p>
          <w:p w14:paraId="363191CE">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2. 工作场所不得穿短裤、背心、拖鞋。</w:t>
            </w:r>
          </w:p>
          <w:p w14:paraId="17E8A168">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3. 男员工头发不盖耳朵、不遮衣领，每天剃须，保持指甲清洁，不留长指甲，扣好衣扣裤扣，紧束领带（大箭头垂到皮带扣处为准），衬衣下摆放进裤内。</w:t>
            </w:r>
          </w:p>
          <w:p w14:paraId="5F31994C">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default" w:ascii="Times New Roman" w:hAnsi="Times New Roman" w:cs="Times New Roman"/>
                <w:color w:val="auto"/>
                <w:sz w:val="24"/>
                <w:highlight w:val="none"/>
                <w:lang w:val="en-US" w:eastAsia="zh-CN"/>
              </w:rPr>
              <w:t>4. 女员工头发不过肩，不做怪异发型，不留长指甲，不染指甲，不浓妆艳抹，不穿黑色或带花丝袜。</w:t>
            </w:r>
          </w:p>
        </w:tc>
      </w:tr>
      <w:tr w14:paraId="22335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910" w:type="dxa"/>
            <w:gridSpan w:val="2"/>
            <w:shd w:val="clear" w:color="auto" w:fill="auto"/>
            <w:vAlign w:val="center"/>
          </w:tcPr>
          <w:p w14:paraId="53B13995">
            <w:pPr>
              <w:keepNext w:val="0"/>
              <w:keepLines w:val="0"/>
              <w:pageBreakBefore w:val="0"/>
              <w:widowControl/>
              <w:kinsoku/>
              <w:wordWrap/>
              <w:overflowPunct/>
              <w:topLinePunct w:val="0"/>
              <w:autoSpaceDE/>
              <w:autoSpaceDN/>
              <w:bidi w:val="0"/>
              <w:adjustRightInd/>
              <w:snapToGrid/>
              <w:spacing w:line="420" w:lineRule="exact"/>
              <w:ind w:firstLine="562" w:firstLineChars="200"/>
              <w:textAlignment w:val="auto"/>
              <w:rPr>
                <w:rFonts w:hint="default" w:ascii="Times New Roman" w:hAnsi="Times New Roman" w:cs="Times New Roman"/>
                <w:color w:val="auto"/>
                <w:sz w:val="24"/>
                <w:highlight w:val="none"/>
                <w:lang w:val="en-US" w:eastAsia="zh-CN"/>
              </w:rPr>
            </w:pPr>
            <w:r>
              <w:rPr>
                <w:rFonts w:hint="eastAsia" w:ascii="Times New Roman" w:hAnsi="Times New Roman" w:eastAsia="宋体" w:cs="Times New Roman"/>
                <w:b/>
                <w:bCs/>
                <w:color w:val="auto"/>
                <w:sz w:val="28"/>
                <w:szCs w:val="28"/>
                <w:highlight w:val="none"/>
                <w:lang w:val="en-US" w:eastAsia="zh-CN"/>
              </w:rPr>
              <w:t xml:space="preserve">第三部分 </w:t>
            </w:r>
            <w:r>
              <w:rPr>
                <w:rFonts w:hint="default" w:ascii="Times New Roman" w:hAnsi="Times New Roman" w:eastAsia="宋体" w:cs="Times New Roman"/>
                <w:b/>
                <w:bCs/>
                <w:color w:val="auto"/>
                <w:sz w:val="28"/>
                <w:szCs w:val="28"/>
                <w:highlight w:val="none"/>
                <w:lang w:val="en-US" w:eastAsia="zh-CN"/>
              </w:rPr>
              <w:t>北海市中等职业技术学校宿舍管理服务</w:t>
            </w:r>
            <w:r>
              <w:rPr>
                <w:rFonts w:hint="eastAsia" w:ascii="宋体" w:hAnsi="宋体" w:eastAsia="宋体" w:cs="宋体"/>
                <w:b/>
                <w:bCs/>
                <w:color w:val="auto"/>
                <w:kern w:val="2"/>
                <w:sz w:val="28"/>
                <w:szCs w:val="28"/>
                <w:highlight w:val="none"/>
                <w:lang w:val="en-US" w:eastAsia="zh-CN" w:bidi="ar-SA"/>
              </w:rPr>
              <w:t>要求</w:t>
            </w:r>
          </w:p>
        </w:tc>
      </w:tr>
      <w:tr w14:paraId="474C7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0" w:type="dxa"/>
            <w:gridSpan w:val="2"/>
            <w:shd w:val="clear" w:color="auto" w:fill="auto"/>
            <w:vAlign w:val="center"/>
          </w:tcPr>
          <w:p w14:paraId="06080E08">
            <w:pPr>
              <w:keepNext w:val="0"/>
              <w:keepLines w:val="0"/>
              <w:pageBreakBefore w:val="0"/>
              <w:widowControl w:val="0"/>
              <w:kinsoku/>
              <w:wordWrap w:val="0"/>
              <w:overflowPunct/>
              <w:topLinePunct w:val="0"/>
              <w:autoSpaceDE/>
              <w:autoSpaceDN/>
              <w:bidi w:val="0"/>
              <w:adjustRightInd w:val="0"/>
              <w:snapToGrid/>
              <w:spacing w:line="420" w:lineRule="exact"/>
              <w:ind w:left="210" w:hanging="241" w:hangingChars="100"/>
              <w:jc w:val="left"/>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一、服务范围</w:t>
            </w:r>
          </w:p>
          <w:p w14:paraId="26F557DC">
            <w:pPr>
              <w:keepNext w:val="0"/>
              <w:keepLines w:val="0"/>
              <w:pageBreakBefore w:val="0"/>
              <w:widowControl w:val="0"/>
              <w:kinsoku/>
              <w:wordWrap w:val="0"/>
              <w:overflowPunct/>
              <w:topLinePunct w:val="0"/>
              <w:autoSpaceDE/>
              <w:autoSpaceDN/>
              <w:bidi w:val="0"/>
              <w:adjustRightInd w:val="0"/>
              <w:snapToGrid/>
              <w:spacing w:line="420" w:lineRule="exact"/>
              <w:jc w:val="left"/>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为派驻学校提供配置宿管人员，负责</w:t>
            </w:r>
            <w:r>
              <w:rPr>
                <w:rFonts w:hint="default" w:ascii="Times New Roman" w:hAnsi="Times New Roman" w:cs="Times New Roman"/>
                <w:color w:val="auto"/>
                <w:sz w:val="24"/>
                <w:highlight w:val="none"/>
              </w:rPr>
              <w:t>学生宿舍管理服务</w:t>
            </w:r>
            <w:r>
              <w:rPr>
                <w:rFonts w:hint="default" w:ascii="Times New Roman" w:hAnsi="Times New Roman" w:cs="Times New Roman"/>
                <w:color w:val="auto"/>
                <w:sz w:val="24"/>
                <w:szCs w:val="24"/>
                <w:highlight w:val="none"/>
                <w:lang w:val="en-US" w:eastAsia="zh-CN"/>
              </w:rPr>
              <w:t>。</w:t>
            </w:r>
          </w:p>
          <w:p w14:paraId="7637426E">
            <w:pPr>
              <w:keepNext w:val="0"/>
              <w:keepLines w:val="0"/>
              <w:pageBreakBefore w:val="0"/>
              <w:widowControl w:val="0"/>
              <w:kinsoku/>
              <w:wordWrap w:val="0"/>
              <w:overflowPunct/>
              <w:topLinePunct w:val="0"/>
              <w:autoSpaceDE/>
              <w:autoSpaceDN/>
              <w:bidi w:val="0"/>
              <w:adjustRightInd w:val="0"/>
              <w:snapToGrid/>
              <w:spacing w:line="420" w:lineRule="exact"/>
              <w:ind w:left="210" w:hanging="241" w:hangingChars="100"/>
              <w:jc w:val="left"/>
              <w:textAlignment w:val="auto"/>
              <w:rPr>
                <w:rFonts w:hint="default" w:ascii="Times New Roman" w:hAnsi="Times New Roman"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二、服务内容</w:t>
            </w:r>
          </w:p>
          <w:p w14:paraId="4FAD57B1">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cs="Times New Roman"/>
                <w:color w:val="auto"/>
                <w:sz w:val="24"/>
                <w:highlight w:val="none"/>
              </w:rPr>
              <w:t>学生宿舍管理服务</w:t>
            </w:r>
            <w:r>
              <w:rPr>
                <w:rFonts w:hint="default" w:ascii="Times New Roman" w:hAnsi="Times New Roman" w:eastAsia="仿宋_GB2312" w:cs="Times New Roman"/>
                <w:color w:val="auto"/>
                <w:kern w:val="2"/>
                <w:sz w:val="24"/>
                <w:szCs w:val="24"/>
                <w:highlight w:val="none"/>
                <w:lang w:val="en-US" w:eastAsia="zh-CN" w:bidi="ar-SA"/>
              </w:rPr>
              <w:t>。</w:t>
            </w:r>
          </w:p>
          <w:p w14:paraId="2897F750">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auto"/>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cs="Times New Roman"/>
                <w:b/>
                <w:bCs/>
                <w:color w:val="auto"/>
                <w:kern w:val="2"/>
                <w:sz w:val="24"/>
                <w:szCs w:val="24"/>
                <w:highlight w:val="none"/>
                <w:lang w:val="en-US" w:eastAsia="zh-CN" w:bidi="ar-SA"/>
              </w:rPr>
              <w:t>三、</w:t>
            </w:r>
            <w:r>
              <w:rPr>
                <w:rFonts w:hint="default" w:ascii="Times New Roman" w:hAnsi="Times New Roman" w:eastAsia="仿宋_GB2312" w:cs="Times New Roman"/>
                <w:b/>
                <w:bCs/>
                <w:color w:val="auto"/>
                <w:kern w:val="2"/>
                <w:sz w:val="24"/>
                <w:szCs w:val="24"/>
                <w:highlight w:val="none"/>
                <w:lang w:val="en-US" w:eastAsia="zh-CN" w:bidi="ar-SA"/>
              </w:rPr>
              <w:t>服务要求</w:t>
            </w:r>
          </w:p>
          <w:p w14:paraId="3AC715D6">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cs="Times New Roman"/>
                <w:color w:val="auto"/>
                <w:kern w:val="2"/>
                <w:sz w:val="24"/>
                <w:szCs w:val="24"/>
                <w:highlight w:val="none"/>
                <w:lang w:val="en-US" w:eastAsia="zh-CN" w:bidi="ar-SA"/>
              </w:rPr>
              <w:t>1. 服务用工人数32人，详见管理服务人员配备一览表。</w:t>
            </w:r>
          </w:p>
          <w:p w14:paraId="273A7BF3">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cs="Times New Roman"/>
                <w:color w:val="auto"/>
                <w:kern w:val="2"/>
                <w:sz w:val="24"/>
                <w:szCs w:val="24"/>
                <w:highlight w:val="none"/>
                <w:lang w:val="en-US" w:eastAsia="zh-CN" w:bidi="ar-SA"/>
              </w:rPr>
            </w:pPr>
            <w:r>
              <w:rPr>
                <w:rFonts w:hint="default" w:ascii="Times New Roman" w:hAnsi="Times New Roman" w:cs="Times New Roman"/>
                <w:color w:val="auto"/>
                <w:kern w:val="2"/>
                <w:sz w:val="24"/>
                <w:szCs w:val="24"/>
                <w:highlight w:val="none"/>
                <w:lang w:val="en-US" w:eastAsia="zh-CN" w:bidi="ar-SA"/>
              </w:rPr>
              <w:t>北海中职校宿舍管理服务人员配备表</w:t>
            </w:r>
          </w:p>
          <w:tbl>
            <w:tblPr>
              <w:tblStyle w:val="64"/>
              <w:tblW w:w="6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183"/>
              <w:gridCol w:w="867"/>
              <w:gridCol w:w="3350"/>
            </w:tblGrid>
            <w:tr w14:paraId="68135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8" w:type="dxa"/>
                  <w:gridSpan w:val="4"/>
                  <w:vAlign w:val="center"/>
                </w:tcPr>
                <w:p w14:paraId="6CE8E5AD">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2026年-2028年（20个月正常班）</w:t>
                  </w:r>
                </w:p>
              </w:tc>
            </w:tr>
            <w:tr w14:paraId="2A6A1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shd w:val="clear" w:color="auto" w:fill="auto"/>
                  <w:vAlign w:val="center"/>
                </w:tcPr>
                <w:p w14:paraId="7218C1E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eastAsia="仿宋_GB2312"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序号</w:t>
                  </w:r>
                </w:p>
              </w:tc>
              <w:tc>
                <w:tcPr>
                  <w:tcW w:w="1183" w:type="dxa"/>
                  <w:shd w:val="clear" w:color="auto" w:fill="auto"/>
                  <w:vAlign w:val="center"/>
                </w:tcPr>
                <w:p w14:paraId="52BEE66C">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eastAsia="仿宋_GB2312"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岗位</w:t>
                  </w:r>
                </w:p>
              </w:tc>
              <w:tc>
                <w:tcPr>
                  <w:tcW w:w="867" w:type="dxa"/>
                  <w:shd w:val="clear" w:color="auto" w:fill="auto"/>
                  <w:vAlign w:val="center"/>
                </w:tcPr>
                <w:p w14:paraId="52351E1F">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eastAsia="仿宋_GB2312"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人数</w:t>
                  </w:r>
                </w:p>
              </w:tc>
              <w:tc>
                <w:tcPr>
                  <w:tcW w:w="3350" w:type="dxa"/>
                  <w:shd w:val="clear" w:color="auto" w:fill="auto"/>
                  <w:vAlign w:val="center"/>
                </w:tcPr>
                <w:p w14:paraId="4DA57960">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eastAsia="仿宋_GB2312"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岗位设置明细</w:t>
                  </w:r>
                </w:p>
              </w:tc>
            </w:tr>
            <w:tr w14:paraId="1BB5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3FFD4218">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w:t>
                  </w:r>
                </w:p>
              </w:tc>
              <w:tc>
                <w:tcPr>
                  <w:tcW w:w="1183" w:type="dxa"/>
                  <w:vAlign w:val="center"/>
                </w:tcPr>
                <w:p w14:paraId="222092F8">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4"/>
                      <w:highlight w:val="none"/>
                      <w:lang w:eastAsia="zh-CN"/>
                    </w:rPr>
                    <w:t>宿管主管</w:t>
                  </w:r>
                </w:p>
              </w:tc>
              <w:tc>
                <w:tcPr>
                  <w:tcW w:w="867" w:type="dxa"/>
                  <w:vAlign w:val="center"/>
                </w:tcPr>
                <w:p w14:paraId="486E6D5C">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w:t>
                  </w:r>
                </w:p>
              </w:tc>
              <w:tc>
                <w:tcPr>
                  <w:tcW w:w="3350" w:type="dxa"/>
                  <w:vAlign w:val="center"/>
                </w:tcPr>
                <w:p w14:paraId="25713B0D">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both"/>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负责宿舍管理的全面工作。</w:t>
                  </w:r>
                </w:p>
              </w:tc>
            </w:tr>
            <w:tr w14:paraId="28A6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08967173">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2</w:t>
                  </w:r>
                </w:p>
              </w:tc>
              <w:tc>
                <w:tcPr>
                  <w:tcW w:w="1183" w:type="dxa"/>
                  <w:vAlign w:val="center"/>
                </w:tcPr>
                <w:p w14:paraId="6977F756">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4"/>
                      <w:highlight w:val="none"/>
                    </w:rPr>
                    <w:t>宿管老师</w:t>
                  </w:r>
                </w:p>
              </w:tc>
              <w:tc>
                <w:tcPr>
                  <w:tcW w:w="867" w:type="dxa"/>
                  <w:vAlign w:val="center"/>
                </w:tcPr>
                <w:p w14:paraId="170CDB42">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31</w:t>
                  </w:r>
                </w:p>
              </w:tc>
              <w:tc>
                <w:tcPr>
                  <w:tcW w:w="3350" w:type="dxa"/>
                  <w:vAlign w:val="center"/>
                </w:tcPr>
                <w:p w14:paraId="229A368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负责9栋宿舍楼的管理工作。</w:t>
                  </w:r>
                </w:p>
              </w:tc>
            </w:tr>
            <w:tr w14:paraId="69B5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1" w:type="dxa"/>
                  <w:gridSpan w:val="2"/>
                  <w:vAlign w:val="center"/>
                </w:tcPr>
                <w:p w14:paraId="38744A2F">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合计</w:t>
                  </w:r>
                </w:p>
              </w:tc>
              <w:tc>
                <w:tcPr>
                  <w:tcW w:w="867" w:type="dxa"/>
                  <w:vAlign w:val="center"/>
                </w:tcPr>
                <w:p w14:paraId="7946B869">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32</w:t>
                  </w:r>
                </w:p>
              </w:tc>
              <w:tc>
                <w:tcPr>
                  <w:tcW w:w="3350" w:type="dxa"/>
                  <w:vAlign w:val="center"/>
                </w:tcPr>
                <w:p w14:paraId="22A9CEEA">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p>
              </w:tc>
            </w:tr>
            <w:tr w14:paraId="00B96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8" w:type="dxa"/>
                  <w:gridSpan w:val="4"/>
                  <w:vAlign w:val="center"/>
                </w:tcPr>
                <w:p w14:paraId="5C28575F">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2026年-2028年（4个月假期班）</w:t>
                  </w:r>
                </w:p>
              </w:tc>
            </w:tr>
            <w:tr w14:paraId="0BE2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shd w:val="clear" w:color="auto" w:fill="auto"/>
                  <w:vAlign w:val="center"/>
                </w:tcPr>
                <w:p w14:paraId="70B184F5">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eastAsia="仿宋_GB2312"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序号</w:t>
                  </w:r>
                </w:p>
              </w:tc>
              <w:tc>
                <w:tcPr>
                  <w:tcW w:w="1183" w:type="dxa"/>
                  <w:shd w:val="clear" w:color="auto" w:fill="auto"/>
                  <w:vAlign w:val="center"/>
                </w:tcPr>
                <w:p w14:paraId="29509BC3">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eastAsia="仿宋_GB2312"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岗位</w:t>
                  </w:r>
                </w:p>
              </w:tc>
              <w:tc>
                <w:tcPr>
                  <w:tcW w:w="867" w:type="dxa"/>
                  <w:shd w:val="clear" w:color="auto" w:fill="auto"/>
                  <w:vAlign w:val="center"/>
                </w:tcPr>
                <w:p w14:paraId="051F9AA4">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eastAsia="仿宋_GB2312"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人数</w:t>
                  </w:r>
                </w:p>
              </w:tc>
              <w:tc>
                <w:tcPr>
                  <w:tcW w:w="3350" w:type="dxa"/>
                  <w:shd w:val="clear" w:color="auto" w:fill="auto"/>
                  <w:vAlign w:val="center"/>
                </w:tcPr>
                <w:p w14:paraId="5A530E8D">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eastAsia="仿宋_GB2312"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岗位设置明细</w:t>
                  </w:r>
                </w:p>
              </w:tc>
            </w:tr>
            <w:tr w14:paraId="6487D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18B302B2">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w:t>
                  </w:r>
                </w:p>
              </w:tc>
              <w:tc>
                <w:tcPr>
                  <w:tcW w:w="1183" w:type="dxa"/>
                  <w:vAlign w:val="center"/>
                </w:tcPr>
                <w:p w14:paraId="7A17CB24">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eastAsia="zh-CN"/>
                    </w:rPr>
                    <w:t>宿管主管</w:t>
                  </w:r>
                </w:p>
              </w:tc>
              <w:tc>
                <w:tcPr>
                  <w:tcW w:w="867" w:type="dxa"/>
                  <w:vAlign w:val="center"/>
                </w:tcPr>
                <w:p w14:paraId="2367F0DE">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1</w:t>
                  </w:r>
                </w:p>
              </w:tc>
              <w:tc>
                <w:tcPr>
                  <w:tcW w:w="3350" w:type="dxa"/>
                  <w:vAlign w:val="center"/>
                </w:tcPr>
                <w:p w14:paraId="52217DCC">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both"/>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负责宿舍管理的全面工作。</w:t>
                  </w:r>
                </w:p>
              </w:tc>
            </w:tr>
            <w:tr w14:paraId="1993E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0847D7D1">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2</w:t>
                  </w:r>
                </w:p>
              </w:tc>
              <w:tc>
                <w:tcPr>
                  <w:tcW w:w="1183" w:type="dxa"/>
                  <w:vAlign w:val="center"/>
                </w:tcPr>
                <w:p w14:paraId="6D5B354E">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宿管老师</w:t>
                  </w:r>
                </w:p>
              </w:tc>
              <w:tc>
                <w:tcPr>
                  <w:tcW w:w="867" w:type="dxa"/>
                  <w:vAlign w:val="center"/>
                </w:tcPr>
                <w:p w14:paraId="17E49EB0">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3</w:t>
                  </w:r>
                </w:p>
              </w:tc>
              <w:tc>
                <w:tcPr>
                  <w:tcW w:w="3350" w:type="dxa"/>
                  <w:vAlign w:val="center"/>
                </w:tcPr>
                <w:p w14:paraId="4D7361C5">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负责9栋宿舍楼的管理工作。</w:t>
                  </w:r>
                </w:p>
              </w:tc>
            </w:tr>
            <w:tr w14:paraId="582F7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1" w:type="dxa"/>
                  <w:gridSpan w:val="2"/>
                  <w:vAlign w:val="center"/>
                </w:tcPr>
                <w:p w14:paraId="1430F7D0">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4"/>
                      <w:highlight w:val="none"/>
                      <w:lang w:eastAsia="zh-CN"/>
                    </w:rPr>
                    <w:t>合计</w:t>
                  </w:r>
                </w:p>
              </w:tc>
              <w:tc>
                <w:tcPr>
                  <w:tcW w:w="867" w:type="dxa"/>
                  <w:vAlign w:val="center"/>
                </w:tcPr>
                <w:p w14:paraId="5426B340">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4</w:t>
                  </w:r>
                </w:p>
              </w:tc>
              <w:tc>
                <w:tcPr>
                  <w:tcW w:w="3350" w:type="dxa"/>
                  <w:vAlign w:val="center"/>
                </w:tcPr>
                <w:p w14:paraId="65F02AFC">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left"/>
                    <w:textAlignment w:val="auto"/>
                    <w:rPr>
                      <w:rFonts w:hint="default" w:ascii="Times New Roman" w:hAnsi="Times New Roman" w:cs="Times New Roman"/>
                      <w:color w:val="auto"/>
                      <w:sz w:val="21"/>
                      <w:szCs w:val="21"/>
                      <w:highlight w:val="none"/>
                      <w:vertAlign w:val="baseline"/>
                      <w:lang w:val="en-US" w:eastAsia="zh-CN"/>
                    </w:rPr>
                  </w:pPr>
                </w:p>
              </w:tc>
            </w:tr>
          </w:tbl>
          <w:p w14:paraId="72D73A3E">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2. 有宿舍管理方案，质量管理、档案管理等制度健全。</w:t>
            </w:r>
          </w:p>
          <w:p w14:paraId="164B55D1">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3. 管理服务人员统一着装，行为规范，服务主动热情。</w:t>
            </w:r>
          </w:p>
          <w:p w14:paraId="054556E4">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4. 每月接受业主单位质量考核，未达标准从合同价中扣除。满意率至少在75％以上，连续两个月达不到，学校可提终止合同。</w:t>
            </w:r>
          </w:p>
          <w:p w14:paraId="515C61FB">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5. 上岗人员在工作期间发生员工工伤及意外伤害事故，由管理服务公司负责，涉及用工方面的劳务纠纷和劳动事故全部由管理服务公司承担责任。</w:t>
            </w:r>
          </w:p>
          <w:p w14:paraId="3D67AE20">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b/>
                <w:bCs/>
                <w:color w:val="auto"/>
                <w:sz w:val="24"/>
                <w:highlight w:val="none"/>
                <w:lang w:val="en-US" w:eastAsia="zh-CN"/>
              </w:rPr>
              <w:t>四、学生宿舍管理服务范围及岗位职责要求</w:t>
            </w:r>
          </w:p>
          <w:p w14:paraId="71906908">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1. 负责学生在校期间的学生宿舍楼24小时值班管理；</w:t>
            </w:r>
          </w:p>
          <w:p w14:paraId="4937DB3F">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2. 熟悉学校关于学生宿舍管理的有关规章制度，禁止男女学生互串宿舍，并严禁闲杂人员进入宿舍；</w:t>
            </w:r>
          </w:p>
          <w:p w14:paraId="7741AADA">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3. 掌握住宿学生相关信息，执行巡视排查制度，晚上熄灯前对学生进行点名登记，对夜不归宿的学生，及时通知家长或班主任，并上报学校宿管部门备案，协助教育好学生。</w:t>
            </w:r>
          </w:p>
          <w:p w14:paraId="1241CE03">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4. 坚持每天对宿舍楼公物、门窗玻璃、消防器材等设施设备、学生反映的维修项目和安全隐患情况及时掌握，分清责任，如实上报且做好记录。熟悉消防器材的使用与保养，熟知消防通道钥匙的放置位置，遇到特殊紧急情况能及时打开消防通道，组织学生疏散撤离。</w:t>
            </w:r>
          </w:p>
          <w:p w14:paraId="0CA2D5AE">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5. 学生上课后检查学生宿舍安全和卫生；保持宿舍楼道、走廊清洁卫生，墙壁无浮灰、蜘蛛网、无明显污迹，保持宿舍内垃圾桶/箱外表干净；</w:t>
            </w:r>
          </w:p>
          <w:p w14:paraId="102E0005">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6. 指导学生做好内务整理工作，监督检查寝室纪律，并把每天检查的结果报学校宿管部。按照学校的宿舍卫生评比标准，进行内务卫生及纪律检查评分，并及时公布，改善学生不好的生活习惯，培养学生的文明行为习惯。</w:t>
            </w:r>
          </w:p>
          <w:p w14:paraId="6F8D80E4">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7. 协助学校办理住宿学生的入住手续，告知学生学校关于住宿管理的有关规章制度。</w:t>
            </w:r>
          </w:p>
          <w:p w14:paraId="27EBD780">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auto"/>
              <w:rPr>
                <w:rFonts w:hint="default" w:ascii="Times New Roman" w:hAnsi="Times New Roman" w:cs="Times New Roman"/>
                <w:b/>
                <w:bCs/>
                <w:color w:val="auto"/>
                <w:sz w:val="24"/>
                <w:highlight w:val="none"/>
                <w:lang w:val="en-US" w:eastAsia="zh-CN"/>
              </w:rPr>
            </w:pPr>
            <w:r>
              <w:rPr>
                <w:rFonts w:hint="default" w:ascii="Times New Roman" w:hAnsi="Times New Roman" w:cs="Times New Roman"/>
                <w:b/>
                <w:bCs/>
                <w:color w:val="auto"/>
                <w:sz w:val="24"/>
                <w:highlight w:val="none"/>
                <w:lang w:val="en-US" w:eastAsia="zh-CN"/>
              </w:rPr>
              <w:t>五、物业管理人员行为规范要求</w:t>
            </w:r>
          </w:p>
          <w:p w14:paraId="722CD35B">
            <w:pPr>
              <w:keepNext w:val="0"/>
              <w:keepLines w:val="0"/>
              <w:pageBreakBefore w:val="0"/>
              <w:widowControl/>
              <w:kinsoku/>
              <w:wordWrap/>
              <w:overflowPunct/>
              <w:topLinePunct w:val="0"/>
              <w:autoSpaceDE/>
              <w:autoSpaceDN/>
              <w:bidi w:val="0"/>
              <w:adjustRightInd/>
              <w:snapToGrid/>
              <w:spacing w:line="420" w:lineRule="exact"/>
              <w:ind w:firstLine="482" w:firstLineChars="200"/>
              <w:textAlignment w:val="auto"/>
              <w:rPr>
                <w:rFonts w:hint="default" w:ascii="Times New Roman" w:hAnsi="Times New Roman" w:cs="Times New Roman"/>
                <w:b/>
                <w:bCs/>
                <w:color w:val="auto"/>
                <w:sz w:val="24"/>
                <w:highlight w:val="none"/>
                <w:lang w:val="en-US" w:eastAsia="zh-CN"/>
              </w:rPr>
            </w:pPr>
            <w:r>
              <w:rPr>
                <w:rFonts w:hint="default" w:ascii="Times New Roman" w:hAnsi="Times New Roman" w:cs="Times New Roman"/>
                <w:b/>
                <w:bCs/>
                <w:color w:val="auto"/>
                <w:sz w:val="24"/>
                <w:highlight w:val="none"/>
                <w:lang w:val="en-US" w:eastAsia="zh-CN"/>
              </w:rPr>
              <w:t xml:space="preserve">（一）职业道德要求 </w:t>
            </w:r>
          </w:p>
          <w:p w14:paraId="71237E2A">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1. 敬业爱岗：勤奋敬业，积极肯干，热爱本职岗位，乐于为本职工作奉献。</w:t>
            </w:r>
          </w:p>
          <w:p w14:paraId="6CAFFF7C">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2. 遵守纪律：认真遵守国家政策、法规、法令，遵守公司规章制度和劳动纪律。</w:t>
            </w:r>
          </w:p>
          <w:p w14:paraId="7BBFA0D5">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3. 认真学习：努力学习科学文化知识，不断提高业务技术水平，努力提高服务质量。</w:t>
            </w:r>
          </w:p>
          <w:p w14:paraId="463A5CB3">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4. 公私分明：爱护公物，不谋私利，自觉地维护公司的利益和声誉。</w:t>
            </w:r>
          </w:p>
          <w:p w14:paraId="5E2F9C06">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5. 勤俭节约：具有良好的节约意识，勤俭办公，节约能源。</w:t>
            </w:r>
          </w:p>
          <w:p w14:paraId="078A9501">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6. 团结合作：严于律己，宽以待人，正确处理好个人与集体、同事的工作关系，具有良好的协作精神，易与他人相处。</w:t>
            </w:r>
          </w:p>
          <w:p w14:paraId="0AE8134E">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7. 严守秘密：未经批准，不向外界传播或提供有关学校的任何资料。</w:t>
            </w:r>
          </w:p>
          <w:p w14:paraId="60FC1278">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8. 管理人员必须无犯罪违法记录。</w:t>
            </w:r>
          </w:p>
          <w:p w14:paraId="0C771FD8">
            <w:pPr>
              <w:keepNext w:val="0"/>
              <w:keepLines w:val="0"/>
              <w:pageBreakBefore w:val="0"/>
              <w:widowControl/>
              <w:kinsoku/>
              <w:wordWrap/>
              <w:overflowPunct/>
              <w:topLinePunct w:val="0"/>
              <w:autoSpaceDE/>
              <w:autoSpaceDN/>
              <w:bidi w:val="0"/>
              <w:adjustRightInd/>
              <w:snapToGrid/>
              <w:spacing w:line="420" w:lineRule="exact"/>
              <w:ind w:firstLine="482" w:firstLineChars="200"/>
              <w:textAlignment w:val="auto"/>
              <w:rPr>
                <w:rFonts w:hint="default" w:ascii="Times New Roman" w:hAnsi="Times New Roman" w:cs="Times New Roman"/>
                <w:b/>
                <w:bCs/>
                <w:color w:val="auto"/>
                <w:sz w:val="24"/>
                <w:highlight w:val="none"/>
                <w:lang w:val="en-US" w:eastAsia="zh-CN"/>
              </w:rPr>
            </w:pPr>
            <w:r>
              <w:rPr>
                <w:rFonts w:hint="default" w:ascii="Times New Roman" w:hAnsi="Times New Roman" w:cs="Times New Roman"/>
                <w:b/>
                <w:bCs/>
                <w:color w:val="auto"/>
                <w:sz w:val="24"/>
                <w:highlight w:val="none"/>
                <w:lang w:val="en-US" w:eastAsia="zh-CN"/>
              </w:rPr>
              <w:t xml:space="preserve">（二）服务意识要求  </w:t>
            </w:r>
          </w:p>
          <w:p w14:paraId="76C4A31E">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1. 文明礼貌：做到语言规范，谈吐文雅，衣冠整洁，举止端庄。</w:t>
            </w:r>
          </w:p>
          <w:p w14:paraId="716139DE">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2. 主动热情：以真诚的笑容，主动热情地为师生服务，主动了解师生的需要，努力为师生排忧解难。</w:t>
            </w:r>
          </w:p>
          <w:p w14:paraId="3AB28E91">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3. 耐心周到：员工在对师生的服务中要耐心周到，问多不厌，事多不烦，虚心听取师生意见，耐心解答师生问题，服务体贴入微，有求必应，面面俱到，尽善尽美。</w:t>
            </w:r>
          </w:p>
          <w:p w14:paraId="78F67007">
            <w:pPr>
              <w:keepNext w:val="0"/>
              <w:keepLines w:val="0"/>
              <w:pageBreakBefore w:val="0"/>
              <w:widowControl/>
              <w:kinsoku/>
              <w:wordWrap/>
              <w:overflowPunct/>
              <w:topLinePunct w:val="0"/>
              <w:autoSpaceDE/>
              <w:autoSpaceDN/>
              <w:bidi w:val="0"/>
              <w:adjustRightInd/>
              <w:snapToGrid/>
              <w:spacing w:line="420" w:lineRule="exact"/>
              <w:ind w:firstLine="482" w:firstLineChars="200"/>
              <w:textAlignment w:val="auto"/>
              <w:rPr>
                <w:rFonts w:hint="default" w:ascii="Times New Roman" w:hAnsi="Times New Roman" w:cs="Times New Roman"/>
                <w:b/>
                <w:bCs/>
                <w:color w:val="auto"/>
                <w:sz w:val="24"/>
                <w:highlight w:val="none"/>
                <w:lang w:val="en-US" w:eastAsia="zh-CN"/>
              </w:rPr>
            </w:pPr>
            <w:r>
              <w:rPr>
                <w:rFonts w:hint="default" w:ascii="Times New Roman" w:hAnsi="Times New Roman" w:cs="Times New Roman"/>
                <w:b/>
                <w:bCs/>
                <w:color w:val="auto"/>
                <w:sz w:val="24"/>
                <w:highlight w:val="none"/>
                <w:lang w:val="en-US" w:eastAsia="zh-CN"/>
              </w:rPr>
              <w:t xml:space="preserve">（三）仪容仪表要求 </w:t>
            </w:r>
          </w:p>
          <w:p w14:paraId="26EC65EB">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 xml:space="preserve">1. 保持衣冠整洁，按规定要求着装，将工作卡端正地佩戴在左胸前。 </w:t>
            </w:r>
          </w:p>
          <w:p w14:paraId="50892580">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2. 工作场所不得穿短裤、背心、拖鞋。</w:t>
            </w:r>
          </w:p>
          <w:p w14:paraId="11A89C8F">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3. 男员工头发不盖耳朵、不遮衣领，每天剃须，保持指甲清洁，不留长指甲，扣好衣扣裤扣，紧束领带（大箭头垂到皮带扣处为准），衬衣下摆放进裤内。</w:t>
            </w:r>
          </w:p>
          <w:p w14:paraId="369321B6">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default" w:ascii="Times New Roman" w:hAnsi="Times New Roman" w:cs="Times New Roman"/>
                <w:color w:val="auto"/>
                <w:sz w:val="24"/>
                <w:highlight w:val="none"/>
                <w:lang w:val="en-US" w:eastAsia="zh-CN"/>
              </w:rPr>
              <w:t>4. 女员工头发不过肩，不做怪异发型，不留长指甲，不染指甲，不浓妆艳抹，不穿黑色或带花丝袜。</w:t>
            </w:r>
          </w:p>
        </w:tc>
      </w:tr>
      <w:tr w14:paraId="37D3D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9910" w:type="dxa"/>
            <w:gridSpan w:val="2"/>
            <w:shd w:val="clear" w:color="auto" w:fill="auto"/>
            <w:vAlign w:val="center"/>
          </w:tcPr>
          <w:p w14:paraId="575E6102">
            <w:pPr>
              <w:keepNext w:val="0"/>
              <w:keepLines w:val="0"/>
              <w:pageBreakBefore w:val="0"/>
              <w:kinsoku/>
              <w:overflowPunct/>
              <w:topLinePunct w:val="0"/>
              <w:bidi w:val="0"/>
              <w:snapToGrid/>
              <w:spacing w:line="420" w:lineRule="exact"/>
              <w:ind w:firstLine="643"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b/>
                <w:bCs/>
                <w:color w:val="auto"/>
                <w:sz w:val="32"/>
                <w:szCs w:val="32"/>
                <w:highlight w:val="none"/>
              </w:rPr>
              <w:t>★</w:t>
            </w:r>
            <w:r>
              <w:rPr>
                <w:rFonts w:hint="eastAsia" w:ascii="宋体" w:hAnsi="宋体" w:cs="宋体"/>
                <w:b/>
                <w:bCs/>
                <w:color w:val="auto"/>
                <w:sz w:val="32"/>
                <w:szCs w:val="32"/>
                <w:highlight w:val="none"/>
                <w:lang w:val="en-US" w:eastAsia="zh-CN"/>
              </w:rPr>
              <w:t xml:space="preserve"> </w:t>
            </w:r>
            <w:r>
              <w:rPr>
                <w:rFonts w:hint="eastAsia" w:ascii="宋体" w:hAnsi="宋体" w:cs="宋体"/>
                <w:b/>
                <w:color w:val="auto"/>
                <w:sz w:val="32"/>
                <w:szCs w:val="32"/>
                <w:highlight w:val="none"/>
              </w:rPr>
              <w:t>商务要求</w:t>
            </w:r>
          </w:p>
        </w:tc>
      </w:tr>
      <w:tr w14:paraId="3FE95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380" w:type="dxa"/>
            <w:shd w:val="clear" w:color="auto" w:fill="auto"/>
            <w:vAlign w:val="center"/>
          </w:tcPr>
          <w:p w14:paraId="295BFD2D">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投标报价要求</w:t>
            </w:r>
          </w:p>
        </w:tc>
        <w:tc>
          <w:tcPr>
            <w:tcW w:w="8530" w:type="dxa"/>
            <w:shd w:val="clear" w:color="auto" w:fill="auto"/>
            <w:vAlign w:val="center"/>
          </w:tcPr>
          <w:p w14:paraId="239DD453">
            <w:pPr>
              <w:keepNext w:val="0"/>
              <w:keepLines w:val="0"/>
              <w:pageBreakBefore w:val="0"/>
              <w:widowControl/>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1.投标报价包含人员工资、培训、服装、奖金、五险、其他必要的保险等营业成本以及利润、物业管理服务中所发生的各项税收等费用。</w:t>
            </w:r>
          </w:p>
          <w:p w14:paraId="284EE20B">
            <w:pPr>
              <w:keepNext w:val="0"/>
              <w:keepLines w:val="0"/>
              <w:pageBreakBefore w:val="0"/>
              <w:widowControl/>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2.供应商报价须列明各服务单位（各学校）的投入服务人数及报价。各学校的报价不得超过该服务单位的投标最高限价。</w:t>
            </w:r>
          </w:p>
        </w:tc>
      </w:tr>
      <w:tr w14:paraId="2628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380" w:type="dxa"/>
            <w:shd w:val="clear" w:color="auto" w:fill="auto"/>
            <w:vAlign w:val="center"/>
          </w:tcPr>
          <w:p w14:paraId="238F9303">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合同签订</w:t>
            </w:r>
          </w:p>
        </w:tc>
        <w:tc>
          <w:tcPr>
            <w:tcW w:w="8530" w:type="dxa"/>
            <w:shd w:val="clear" w:color="auto" w:fill="auto"/>
            <w:vAlign w:val="center"/>
          </w:tcPr>
          <w:p w14:paraId="56C27623">
            <w:pPr>
              <w:keepNext w:val="0"/>
              <w:keepLines w:val="0"/>
              <w:pageBreakBefore w:val="0"/>
              <w:widowControl/>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按照政府采购有关规定，由市教育局、服务单位与成交供应商公司三方签订合同，在合同中明确各自的权利、义务及责任，切实履行协议内容。中标人须接受采购人和服务单位（各学校）的共同管理。</w:t>
            </w:r>
          </w:p>
        </w:tc>
      </w:tr>
      <w:tr w14:paraId="7151A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380" w:type="dxa"/>
            <w:shd w:val="clear" w:color="auto" w:fill="auto"/>
            <w:vAlign w:val="center"/>
          </w:tcPr>
          <w:p w14:paraId="08D565DD">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服务期限及地点</w:t>
            </w:r>
          </w:p>
        </w:tc>
        <w:tc>
          <w:tcPr>
            <w:tcW w:w="8530" w:type="dxa"/>
            <w:shd w:val="clear" w:color="auto" w:fill="auto"/>
            <w:vAlign w:val="center"/>
          </w:tcPr>
          <w:p w14:paraId="13D3156A">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1.服务的时间：自签订合同完成并开始履行之日起2年（其中北海市中等职业技术学校的服务时间为2026年7月1日-2028年6月30日））。 </w:t>
            </w:r>
          </w:p>
          <w:p w14:paraId="4D6D2972">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2.服务的地点：北海市第六幼儿园、北海市第二中学、北海市第六中学、北海市第十一中学、北海市中等职业技术学校。</w:t>
            </w:r>
          </w:p>
        </w:tc>
      </w:tr>
      <w:tr w14:paraId="69F29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380" w:type="dxa"/>
            <w:shd w:val="clear" w:color="auto" w:fill="auto"/>
            <w:vAlign w:val="center"/>
          </w:tcPr>
          <w:p w14:paraId="7570C935">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服务要求</w:t>
            </w:r>
          </w:p>
        </w:tc>
        <w:tc>
          <w:tcPr>
            <w:tcW w:w="8530" w:type="dxa"/>
            <w:shd w:val="clear" w:color="auto" w:fill="auto"/>
            <w:vAlign w:val="center"/>
          </w:tcPr>
          <w:p w14:paraId="6D23BEE0">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中标人按照所服务单位划定的工作范围、工作内容及管理目标成立相关机构，制定相应工作流程、工作制度、监督考核办法，合理安排人员，科学管理，严格要求，达标运行。接受市教育局、所服务单位及相关职能部门的监督、检查、指导，发现问题及时沟通、整改，保证规范运行。</w:t>
            </w:r>
          </w:p>
          <w:p w14:paraId="6DBB2B17">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2.中标人须为聘用员工购买基本社会保险，对员工的疾病和人身安全负责，采购人不承担责任。</w:t>
            </w:r>
          </w:p>
          <w:p w14:paraId="578F5352">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每季度接受所服务单位质量考核（按照招标文件、投标文件及合同条款标准进行考核），未达标准的从当季度应付款中扣除10‰服务费。连续两季度达不到标准且未及时整改的，所服务单位向采购人书面报告，且采购人有权终止合同。</w:t>
            </w:r>
          </w:p>
          <w:p w14:paraId="3919D88F">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4.中标人须全部接收原负责所服务单位有意愿继续留下工作的服务人员，确保他们的工资待遇不低于北海市最低工资加社保。</w:t>
            </w:r>
          </w:p>
          <w:p w14:paraId="50B29D67">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5.中标人的服务工作人员必须经过上岗前培训，符合国家有关劳动用工的法律法规。上班时必须佩戴工卡、穿统一制服。</w:t>
            </w:r>
          </w:p>
          <w:p w14:paraId="54548C51">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6.管理范围内发生的人身伤害、物品被盗、人为损坏设备设施，属中标人及其工作人员管理不善原因造成的，由中标人负责赔偿。</w:t>
            </w:r>
          </w:p>
          <w:p w14:paraId="3A35770A">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中标人工作人员应固定保持在90%以上，凡更换人员必须向所服务单位申请，经所服务单位和教育局同意后方可更换，并做好交接班工作，若因交接班衔接不好，致使所服务单位工作受到影响者，按考核制度处罚。</w:t>
            </w:r>
          </w:p>
          <w:p w14:paraId="240A52AB">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中标人在提供管理服务时必须做好各项安全防范措施，中标人所有工作人员在合约期间如发生任何人身意外（生病、伤亡事故）、事故、触犯法律法规（包括劳动用工制度、发生劳资纠纷、所服务单位的规章制度等）、或损坏学校的设施和物品，由中标人负责处理并承担经济和责任。</w:t>
            </w:r>
          </w:p>
          <w:p w14:paraId="59DEB3A5">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若中标人违约，未能达到招标文件中约定的管理目标，所服务单位有权要求中标人在规定时间内进行整改；如中标人未能按时整改，所服务单位有权向教育局申请与中标人解除合同，中标人须承担违约责任；造成所服务单位和教育局经济损失的，按造成的实际损失予以赔偿。</w:t>
            </w:r>
          </w:p>
          <w:p w14:paraId="2F6C78C2">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10.若中标人擅自转包、分包，或以任何形式与第三方进行合作的属违约，一经查实，中标人应向所服务单位及教育局承担违约责任，所服务单位和教育局有权解除合同。</w:t>
            </w:r>
          </w:p>
          <w:p w14:paraId="607BED8C">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11.中标人若违背本招标文件中确定的义务，必须承担违约责任。</w:t>
            </w:r>
          </w:p>
          <w:p w14:paraId="4477B3F5">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12.中标人及其工作人员在所服务单位交由中标人管理和服务的工作区域内违法犯罪属实，中标人应赔偿并承担相应的法律责任，并不得再使用有关员工。</w:t>
            </w:r>
          </w:p>
          <w:p w14:paraId="57DEED3E">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13.服务人员要求：</w:t>
            </w:r>
          </w:p>
          <w:p w14:paraId="0C5C89A7">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（1）用工人数不少于各服务单位要求的人数。</w:t>
            </w:r>
          </w:p>
          <w:p w14:paraId="14254F63">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（2）上岗人员必须经过岗前培训。</w:t>
            </w:r>
          </w:p>
          <w:p w14:paraId="4D945C48">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（3）上岗人员的服装及所有的福利由</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承担。</w:t>
            </w:r>
          </w:p>
          <w:p w14:paraId="19F30661">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（4）对于不服从安排的服务人员，</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需向所服务单位及教育局进行书面申请，并在采购人同意后的2个工作日内替换新的服务人员。</w:t>
            </w:r>
          </w:p>
        </w:tc>
      </w:tr>
      <w:tr w14:paraId="319B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380" w:type="dxa"/>
            <w:shd w:val="clear" w:color="auto" w:fill="auto"/>
            <w:vAlign w:val="center"/>
          </w:tcPr>
          <w:p w14:paraId="4ACFB630">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考核要求</w:t>
            </w:r>
          </w:p>
        </w:tc>
        <w:tc>
          <w:tcPr>
            <w:tcW w:w="8530" w:type="dxa"/>
            <w:shd w:val="clear" w:color="auto" w:fill="auto"/>
            <w:vAlign w:val="center"/>
          </w:tcPr>
          <w:p w14:paraId="37B79D59">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1.对当班工作人员要严加管理，发生空岗、缺岗、脱岗、睡岗、上岗前喝酒（以人为记录和电子记录为准）等行为的，每次处罚100元，严重行为即时更换并处理。</w:t>
            </w:r>
          </w:p>
          <w:p w14:paraId="1276DDD7">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2.发生不法分子对所服务单位的干扰，特别是暴恐和盗窃事件不及时妥善处理（阻止、制止、控制）的，每次处罚</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1000—3000元。</w:t>
            </w:r>
          </w:p>
          <w:p w14:paraId="051B1487">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3.当班人员责任心不强，服务不到位导致公共设施被盗、被破坏的，</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及当班人员应共同承担相应的法律及经济损失赔偿责任，责任的界定由所服务单位确定或由公安司法部门裁定。</w:t>
            </w:r>
          </w:p>
          <w:p w14:paraId="261C9E88">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4.当班人员须着规定制服上班，不穿制服上班的，每人每次扣100元。</w:t>
            </w:r>
          </w:p>
          <w:p w14:paraId="5C42AB03">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在所服务单位所属范围内开展工作，做到不迟到，不早退。有交接班的岗位须提前10分钟到达交接地点，并认真做好交接班工作，检查所配装备是否完好有效，并填报《值班交接记录表》。上班迟到、早退达到10分钟的每人每次扣50元，迟到、早退超过30分钟的算旷工。</w:t>
            </w:r>
          </w:p>
          <w:p w14:paraId="743BF66F">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6.不开展交接班工作的，每人每次50元。因交接班工作盘点财物不到位造成损失的由交接班双方共同承担。</w:t>
            </w:r>
          </w:p>
          <w:p w14:paraId="74062C1F">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7.详细考核标准详见本章节附件：物业管理服务考核标准。</w:t>
            </w:r>
          </w:p>
        </w:tc>
      </w:tr>
      <w:tr w14:paraId="78CC3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380" w:type="dxa"/>
            <w:shd w:val="clear" w:color="auto" w:fill="auto"/>
            <w:vAlign w:val="center"/>
          </w:tcPr>
          <w:p w14:paraId="44810ED4">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服务监管</w:t>
            </w:r>
          </w:p>
        </w:tc>
        <w:tc>
          <w:tcPr>
            <w:tcW w:w="8530" w:type="dxa"/>
            <w:shd w:val="clear" w:color="auto" w:fill="auto"/>
            <w:vAlign w:val="center"/>
          </w:tcPr>
          <w:p w14:paraId="680FF812">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（1）供应商自行负责对派出的工作人员进行政治思想、职业道德、业务技术、劳动纪律的教育和培训。</w:t>
            </w:r>
          </w:p>
          <w:p w14:paraId="08CBF048">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选派的工作人员须经过岗前专业培训，上岗后继续对工作人员进行必要的教育和训练，保证工作人员的素质满足所服务单位工作的要求；保留工作人员的身份证复印件、个人简历等资料，并保证所提供资料的真实性，供应商不得随意减少或更换所派出的服务人员。</w:t>
            </w:r>
          </w:p>
          <w:p w14:paraId="47725363">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（3）供应商负责按时支付工作人员的工资和福利费用，提供工作人员的执勤被服、工具等基本条件。</w:t>
            </w:r>
          </w:p>
          <w:p w14:paraId="5ECE6BB7">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所服务单位有权对工作人员的工作进行检查、督促、评价，对不称职的工作人员提出批评及教育，屡教不改者，有权要求更换工作人员，并将实际情况以书面形式向供应商提出撤换的要求，供应商在接到撤换要求书后三个工作日内做出更换。</w:t>
            </w:r>
          </w:p>
          <w:p w14:paraId="409D47E3">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（5）所服务单位对供应商拟派的工作人员的一切行为所产生的后果不承担任何责任，供应商须自行就问题进行解决处理。</w:t>
            </w:r>
          </w:p>
          <w:p w14:paraId="7E609851">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（6）供应商若发现工作期间的影藏因素存在的安全隐患可向所服务单位提出改进意见，并和所服务单位进行协商处理。</w:t>
            </w:r>
          </w:p>
          <w:p w14:paraId="5479C20B">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所服务单位有权对供应商的工作进行考核，发现供应商不按照合同约定开展工作，对工作人员管理不规范、不严格，培训及安全措施不能达到所服务单位要求，第一次予以警告，第二次予以处罚，对连续三次不达标也不整改者（以书面通知为准），采购人有权解除合同。</w:t>
            </w:r>
          </w:p>
          <w:p w14:paraId="386DC7CF">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（8）服务期满后，须把服务期间涉及的所有档案移交给所服务单位，并在十个工作日内和新接替工作的</w:t>
            </w:r>
            <w:r>
              <w:rPr>
                <w:rFonts w:hint="eastAsia" w:ascii="宋体" w:hAnsi="宋体" w:cs="宋体"/>
                <w:color w:val="auto"/>
                <w:sz w:val="24"/>
                <w:szCs w:val="24"/>
                <w:highlight w:val="none"/>
                <w:lang w:val="en-US" w:eastAsia="zh-CN"/>
              </w:rPr>
              <w:t>物业</w:t>
            </w:r>
            <w:r>
              <w:rPr>
                <w:rFonts w:hint="eastAsia" w:ascii="宋体" w:hAnsi="宋体" w:eastAsia="宋体" w:cs="宋体"/>
                <w:color w:val="auto"/>
                <w:sz w:val="24"/>
                <w:szCs w:val="24"/>
                <w:highlight w:val="none"/>
                <w:lang w:val="en-US" w:eastAsia="zh-CN"/>
              </w:rPr>
              <w:t>公司进行工作交接，若出现不可抗力因素导致无法在规定时间内进行交接，供应商须书面告知所服务单位。</w:t>
            </w:r>
          </w:p>
        </w:tc>
      </w:tr>
      <w:tr w14:paraId="4F377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380" w:type="dxa"/>
            <w:shd w:val="clear" w:color="auto" w:fill="auto"/>
            <w:vAlign w:val="center"/>
          </w:tcPr>
          <w:p w14:paraId="1D3F4BBD">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服务质量要求</w:t>
            </w:r>
          </w:p>
        </w:tc>
        <w:tc>
          <w:tcPr>
            <w:tcW w:w="8530" w:type="dxa"/>
            <w:shd w:val="clear" w:color="auto" w:fill="auto"/>
            <w:vAlign w:val="center"/>
          </w:tcPr>
          <w:p w14:paraId="096FCAE2">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每月接受采购人或校方单位质量考核，未达标准从承包价中扣除。满意率至少在85％以上</w:t>
            </w:r>
            <w:r>
              <w:rPr>
                <w:rFonts w:hint="eastAsia" w:ascii="宋体" w:hAnsi="宋体" w:eastAsia="宋体" w:cs="宋体"/>
                <w:b/>
                <w:bCs/>
                <w:color w:val="auto"/>
                <w:sz w:val="24"/>
                <w:szCs w:val="24"/>
                <w:highlight w:val="none"/>
                <w:lang w:val="en-US" w:eastAsia="zh-CN"/>
              </w:rPr>
              <w:t>（各服务学校另有要求的该学校要求为准）</w:t>
            </w:r>
            <w:r>
              <w:rPr>
                <w:rFonts w:hint="eastAsia" w:ascii="宋体" w:hAnsi="宋体" w:eastAsia="宋体" w:cs="宋体"/>
                <w:color w:val="auto"/>
                <w:sz w:val="24"/>
                <w:szCs w:val="24"/>
                <w:highlight w:val="none"/>
                <w:lang w:val="en-US" w:eastAsia="zh-CN"/>
              </w:rPr>
              <w:t>、合同履约率达98%以上、上岗培训合格率达100%、合理投诉解决率达100%，连续两个月达不到，采购人可以终止合同。</w:t>
            </w:r>
          </w:p>
        </w:tc>
      </w:tr>
      <w:tr w14:paraId="4CED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380" w:type="dxa"/>
            <w:shd w:val="clear" w:color="auto" w:fill="auto"/>
            <w:vAlign w:val="center"/>
          </w:tcPr>
          <w:p w14:paraId="75C9A86D">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保密要求</w:t>
            </w:r>
          </w:p>
        </w:tc>
        <w:tc>
          <w:tcPr>
            <w:tcW w:w="8530" w:type="dxa"/>
            <w:shd w:val="clear" w:color="auto" w:fill="auto"/>
            <w:vAlign w:val="center"/>
          </w:tcPr>
          <w:p w14:paraId="4B1033C9">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4"/>
                <w:szCs w:val="24"/>
                <w:highlight w:val="none"/>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不得以任何形式向第三方透露本项目服务时的任何内容。如有泄密，需承担相应的法律责任。</w:t>
            </w:r>
          </w:p>
        </w:tc>
      </w:tr>
      <w:tr w14:paraId="54395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380" w:type="dxa"/>
            <w:shd w:val="clear" w:color="auto" w:fill="auto"/>
            <w:vAlign w:val="center"/>
          </w:tcPr>
          <w:p w14:paraId="1B06A434">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违约责任</w:t>
            </w:r>
          </w:p>
        </w:tc>
        <w:tc>
          <w:tcPr>
            <w:tcW w:w="8530" w:type="dxa"/>
            <w:shd w:val="clear" w:color="auto" w:fill="auto"/>
            <w:vAlign w:val="center"/>
          </w:tcPr>
          <w:p w14:paraId="78D91AFA">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若</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所提供服务成果，无法达到本项目招标文件要求以及投标文件所承诺的内容的，所服务单位和教育局有权要求</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作出整改。如整改完毕仍达不到上述要求的，所服务单位和教育局有权拒绝支付款项，且</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应向所服务单位和教育局支付中标总金额的5%作为违约金并赔偿所服务单位和教育局的一切损失。</w:t>
            </w:r>
          </w:p>
          <w:p w14:paraId="782AF221">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违约责任的赔偿不意味违约方整个合同责任的解除，未经所服务单位和教育局同意，</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不得以任何理由推迟、降低、减少有关合同条款履行的承诺。</w:t>
            </w:r>
          </w:p>
          <w:p w14:paraId="067BEB49">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其它违约行为按成交总金额5%收取违约金并赔偿其他经济损失。</w:t>
            </w:r>
          </w:p>
        </w:tc>
      </w:tr>
      <w:tr w14:paraId="1B5D1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380" w:type="dxa"/>
            <w:shd w:val="clear" w:color="auto" w:fill="auto"/>
            <w:vAlign w:val="center"/>
          </w:tcPr>
          <w:p w14:paraId="520DEBA6">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付款条件</w:t>
            </w:r>
          </w:p>
        </w:tc>
        <w:tc>
          <w:tcPr>
            <w:tcW w:w="8530" w:type="dxa"/>
            <w:shd w:val="clear" w:color="auto" w:fill="auto"/>
            <w:vAlign w:val="center"/>
          </w:tcPr>
          <w:p w14:paraId="27FB1EDE">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自合同签订后且中标单位服务人员进场（进场时间以各服务单位具体要求为准）、财政资金到位后，预付合同总金额的10%;剩余款项按季度平均支付，每季度第一个月支付上季度服务费。</w:t>
            </w:r>
          </w:p>
          <w:p w14:paraId="71F6E5C7">
            <w:pPr>
              <w:pStyle w:val="24"/>
              <w:keepNext w:val="0"/>
              <w:keepLines w:val="0"/>
              <w:pageBreakBefore w:val="0"/>
              <w:kinsoku/>
              <w:overflowPunct/>
              <w:topLinePunct w:val="0"/>
              <w:bidi w:val="0"/>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根据每季度考核结果结算支付。三方在签订合同时可就服务质量及检查标准制定奖罚细则，在支付服务费用时采购人（甲方）、服务单位（丙方）有权根据奖罚细则增减服务费用的支付或终止合同。每次请款供应商（乙方）先交请款申请函，后根据要求开具发票，再根据实际情况、考核情况付款。</w:t>
            </w:r>
          </w:p>
        </w:tc>
      </w:tr>
      <w:tr w14:paraId="69BA6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380" w:type="dxa"/>
            <w:shd w:val="clear" w:color="auto" w:fill="auto"/>
            <w:vAlign w:val="center"/>
          </w:tcPr>
          <w:p w14:paraId="57B8A145">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其他要求</w:t>
            </w:r>
          </w:p>
        </w:tc>
        <w:tc>
          <w:tcPr>
            <w:tcW w:w="8530" w:type="dxa"/>
            <w:shd w:val="clear" w:color="auto" w:fill="auto"/>
            <w:vAlign w:val="center"/>
          </w:tcPr>
          <w:p w14:paraId="4E2E3ABD">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为了更好履约及支持中小企业发展，本标项与其他标项兼投不兼中。评审规则：本项目划分为1、2、3、4四个分标，实行兼投不兼中，供应商可以同时参与多个分标投标，但只能中标一个分标。评标委员会严格按照1→2→3→4的顺序依次开展评审；若某供应商在前序分标被确定为第一中标候选人，该供应商不再进入后续详细评审及中标候选人推荐环节，在后续所有分标评审中，评标委员会直接对其作符合性审查否决处理，后续分标从剩余有效投标人（不得少于3家）中正常评审。</w:t>
            </w:r>
          </w:p>
        </w:tc>
      </w:tr>
    </w:tbl>
    <w:p w14:paraId="3DA4FEA5">
      <w:pPr>
        <w:bidi w:val="0"/>
        <w:rPr>
          <w:rFonts w:hint="default" w:ascii="Times New Roman" w:hAnsi="Times New Roman" w:cs="Times New Roman"/>
          <w:color w:val="auto"/>
          <w:highlight w:val="none"/>
          <w:lang w:val="en-US" w:eastAsia="zh-CN"/>
        </w:rPr>
      </w:pPr>
    </w:p>
    <w:p w14:paraId="6EF9B56D">
      <w:pPr>
        <w:spacing w:line="440" w:lineRule="exact"/>
        <w:ind w:firstLine="560" w:firstLineChars="200"/>
        <w:jc w:val="left"/>
        <w:rPr>
          <w:rFonts w:ascii="黑体" w:hAnsi="黑体" w:eastAsia="黑体" w:cs="宋体"/>
          <w:color w:val="auto"/>
          <w:sz w:val="28"/>
          <w:szCs w:val="28"/>
          <w:highlight w:val="none"/>
        </w:rPr>
      </w:pPr>
      <w:r>
        <w:rPr>
          <w:rFonts w:ascii="黑体" w:hAnsi="黑体" w:eastAsia="黑体" w:cs="宋体"/>
          <w:color w:val="auto"/>
          <w:sz w:val="28"/>
          <w:szCs w:val="28"/>
          <w:highlight w:val="none"/>
        </w:rPr>
        <w:br w:type="page"/>
      </w:r>
    </w:p>
    <w:p w14:paraId="62FEFF4A">
      <w:pPr>
        <w:pStyle w:val="513"/>
        <w:keepNext w:val="0"/>
        <w:keepLines w:val="0"/>
        <w:pageBreakBefore w:val="0"/>
        <w:widowControl w:val="0"/>
        <w:kinsoku/>
        <w:wordWrap/>
        <w:overflowPunct/>
        <w:topLinePunct w:val="0"/>
        <w:autoSpaceDE/>
        <w:autoSpaceDN/>
        <w:bidi w:val="0"/>
        <w:adjustRightInd/>
        <w:snapToGrid/>
        <w:spacing w:line="580" w:lineRule="exact"/>
        <w:ind w:firstLine="402"/>
        <w:jc w:val="center"/>
        <w:textAlignment w:val="auto"/>
        <w:outlineLvl w:val="1"/>
        <w:rPr>
          <w:color w:val="auto"/>
          <w:sz w:val="44"/>
          <w:szCs w:val="44"/>
          <w:highlight w:val="none"/>
          <w:lang w:val="zh-CN"/>
        </w:rPr>
      </w:pPr>
      <w:r>
        <w:rPr>
          <w:rFonts w:hint="eastAsia" w:ascii="宋体" w:hAnsi="宋体" w:cs="宋体"/>
          <w:b/>
          <w:color w:val="auto"/>
          <w:sz w:val="44"/>
          <w:szCs w:val="44"/>
          <w:highlight w:val="none"/>
        </w:rPr>
        <w:t>标项三：物业服务3</w:t>
      </w:r>
    </w:p>
    <w:p w14:paraId="7B1FFCC3">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说明：</w:t>
      </w:r>
    </w:p>
    <w:p w14:paraId="6EBDD9BC">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1.本项目的政府采购预算控制价为人民币</w:t>
      </w:r>
      <w:r>
        <w:rPr>
          <w:rFonts w:hint="eastAsia" w:ascii="宋体" w:hAnsi="宋体" w:cs="宋体"/>
          <w:color w:val="auto"/>
          <w:sz w:val="24"/>
          <w:highlight w:val="none"/>
          <w:lang w:val="en-US" w:eastAsia="zh-CN"/>
        </w:rPr>
        <w:t>54910</w:t>
      </w:r>
      <w:r>
        <w:rPr>
          <w:rFonts w:hint="eastAsia" w:ascii="宋体" w:hAnsi="宋体" w:cs="宋体"/>
          <w:color w:val="auto"/>
          <w:sz w:val="24"/>
          <w:highlight w:val="none"/>
        </w:rPr>
        <w:t>00</w:t>
      </w:r>
      <w:r>
        <w:rPr>
          <w:rFonts w:hint="eastAsia" w:ascii="宋体" w:hAnsi="宋体" w:cs="宋体"/>
          <w:color w:val="auto"/>
          <w:szCs w:val="21"/>
          <w:highlight w:val="none"/>
        </w:rPr>
        <w:t>元，高于预算控制价的报价将视为无效投标。</w:t>
      </w:r>
    </w:p>
    <w:p w14:paraId="142E9C29">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采购需求中标注“★”的内容必须满足或者优于，否则投标无效。</w:t>
      </w:r>
    </w:p>
    <w:p w14:paraId="514D5032">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3.根据《关于印发中小企业划型标准规定的通知》（工信部联企业</w:t>
      </w:r>
      <w:r>
        <w:rPr>
          <w:rFonts w:hint="eastAsia" w:ascii="宋体" w:hAnsi="宋体" w:cs="Book Antiqua"/>
          <w:color w:val="auto"/>
          <w:szCs w:val="21"/>
          <w:highlight w:val="none"/>
        </w:rPr>
        <w:t>〔2011〕</w:t>
      </w:r>
      <w:r>
        <w:rPr>
          <w:rFonts w:hint="eastAsia" w:ascii="宋体" w:hAnsi="宋体" w:cs="宋体"/>
          <w:color w:val="auto"/>
          <w:szCs w:val="21"/>
          <w:highlight w:val="none"/>
        </w:rPr>
        <w:t>300号）规定的划分标准，本项目采购所有标的对应的中小企业划分标准所属行业为：</w:t>
      </w:r>
      <w:bookmarkStart w:id="37" w:name="OLE_LINK49"/>
      <w:r>
        <w:rPr>
          <w:rFonts w:hint="eastAsia" w:ascii="宋体" w:hAnsi="宋体" w:cs="Book Antiqua"/>
          <w:b/>
          <w:color w:val="auto"/>
          <w:szCs w:val="21"/>
          <w:highlight w:val="none"/>
          <w:lang w:eastAsia="zh-CN"/>
        </w:rPr>
        <w:t>物业管理</w:t>
      </w:r>
      <w:r>
        <w:rPr>
          <w:rFonts w:hint="eastAsia" w:ascii="宋体" w:hAnsi="宋体" w:cs="宋体"/>
          <w:color w:val="auto"/>
          <w:szCs w:val="21"/>
          <w:highlight w:val="none"/>
        </w:rPr>
        <w:t>。</w:t>
      </w:r>
      <w:bookmarkEnd w:id="37"/>
    </w:p>
    <w:tbl>
      <w:tblPr>
        <w:tblStyle w:val="64"/>
        <w:tblW w:w="9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8526"/>
      </w:tblGrid>
      <w:tr w14:paraId="1B5C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7" w:type="dxa"/>
            <w:gridSpan w:val="2"/>
            <w:shd w:val="clear" w:color="auto" w:fill="auto"/>
            <w:vAlign w:val="center"/>
          </w:tcPr>
          <w:p w14:paraId="76B28673">
            <w:pPr>
              <w:spacing w:line="440" w:lineRule="exact"/>
              <w:ind w:firstLine="640" w:firstLineChars="200"/>
              <w:jc w:val="left"/>
              <w:rPr>
                <w:rFonts w:hint="default" w:ascii="Times New Roman" w:hAnsi="Times New Roman" w:eastAsia="仿宋_GB2312" w:cs="Times New Roman"/>
                <w:color w:val="auto"/>
                <w:sz w:val="24"/>
                <w:szCs w:val="24"/>
                <w:highlight w:val="none"/>
              </w:rPr>
            </w:pPr>
            <w:r>
              <w:rPr>
                <w:rFonts w:hint="eastAsia" w:ascii="宋体" w:hAnsi="宋体" w:cs="宋体"/>
                <w:bCs/>
                <w:color w:val="auto"/>
                <w:sz w:val="32"/>
                <w:szCs w:val="32"/>
                <w:highlight w:val="none"/>
              </w:rPr>
              <w:t>★</w:t>
            </w:r>
            <w:r>
              <w:rPr>
                <w:rFonts w:hint="eastAsia" w:ascii="宋体" w:hAnsi="宋体" w:cs="宋体"/>
                <w:b/>
                <w:color w:val="auto"/>
                <w:sz w:val="32"/>
                <w:szCs w:val="32"/>
                <w:highlight w:val="none"/>
              </w:rPr>
              <w:t>技术要求</w:t>
            </w:r>
          </w:p>
        </w:tc>
      </w:tr>
      <w:tr w14:paraId="14C59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67" w:type="dxa"/>
            <w:gridSpan w:val="2"/>
            <w:vMerge w:val="restart"/>
            <w:shd w:val="clear" w:color="auto" w:fill="auto"/>
            <w:vAlign w:val="center"/>
          </w:tcPr>
          <w:p w14:paraId="748C6EF5">
            <w:pPr>
              <w:pStyle w:val="24"/>
              <w:keepNext w:val="0"/>
              <w:keepLines w:val="0"/>
              <w:pageBreakBefore w:val="0"/>
              <w:widowControl w:val="0"/>
              <w:kinsoku/>
              <w:wordWrap/>
              <w:overflowPunct/>
              <w:topLinePunct w:val="0"/>
              <w:autoSpaceDE/>
              <w:autoSpaceDN/>
              <w:bidi w:val="0"/>
              <w:snapToGrid/>
              <w:spacing w:line="42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一、服务范围和内容</w:t>
            </w:r>
          </w:p>
          <w:p w14:paraId="232410C4">
            <w:pPr>
              <w:pStyle w:val="24"/>
              <w:keepNext w:val="0"/>
              <w:keepLines w:val="0"/>
              <w:pageBreakBefore w:val="0"/>
              <w:widowControl w:val="0"/>
              <w:kinsoku/>
              <w:wordWrap/>
              <w:overflowPunct/>
              <w:topLinePunct w:val="0"/>
              <w:autoSpaceDE/>
              <w:autoSpaceDN/>
              <w:bidi w:val="0"/>
              <w:snapToGrid/>
              <w:spacing w:line="42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（一）服务范围</w:t>
            </w:r>
          </w:p>
          <w:p w14:paraId="11BF3207">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为派驻学校校园全域（包括所有建筑物、公共场所）提供物业服务，负责</w:t>
            </w:r>
            <w:r>
              <w:rPr>
                <w:rFonts w:hint="eastAsia" w:ascii="宋体" w:hAnsi="宋体" w:eastAsia="宋体" w:cs="宋体"/>
                <w:color w:val="auto"/>
                <w:sz w:val="24"/>
                <w:szCs w:val="24"/>
                <w:highlight w:val="none"/>
              </w:rPr>
              <w:t>学校卫生保洁、绿化维护管理和</w:t>
            </w:r>
            <w:r>
              <w:rPr>
                <w:rFonts w:hint="eastAsia" w:ascii="宋体" w:hAnsi="宋体" w:eastAsia="宋体" w:cs="宋体"/>
                <w:color w:val="auto"/>
                <w:sz w:val="24"/>
                <w:szCs w:val="24"/>
                <w:highlight w:val="none"/>
                <w:lang w:val="en-US" w:eastAsia="zh-CN"/>
              </w:rPr>
              <w:t>日常维修等服务。</w:t>
            </w:r>
          </w:p>
          <w:p w14:paraId="04E22909">
            <w:pPr>
              <w:pStyle w:val="24"/>
              <w:keepNext w:val="0"/>
              <w:keepLines w:val="0"/>
              <w:pageBreakBefore w:val="0"/>
              <w:widowControl w:val="0"/>
              <w:kinsoku/>
              <w:wordWrap/>
              <w:overflowPunct/>
              <w:topLinePunct w:val="0"/>
              <w:autoSpaceDE/>
              <w:autoSpaceDN/>
              <w:bidi w:val="0"/>
              <w:snapToGrid/>
              <w:spacing w:line="42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（二）服务内容</w:t>
            </w:r>
          </w:p>
          <w:p w14:paraId="21B6363D">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校园内物业负责公共路面、卫生间、校领导办公室等所有公共卫生区域的卫生清洁、垃圾收集、卫生间简单管道疏通等清洁保洁服务；</w:t>
            </w:r>
          </w:p>
          <w:p w14:paraId="3546D11A">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校区内公共绿地、花木、建筑小品的养护管理；</w:t>
            </w:r>
          </w:p>
          <w:p w14:paraId="0C5C944C">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校内学生宿舍的管理服务；</w:t>
            </w:r>
          </w:p>
          <w:p w14:paraId="279A1B11">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水电维修管理、协助学校完成设施设备维修保养；积极完成校方安排的其他临时工作任务。</w:t>
            </w:r>
          </w:p>
          <w:p w14:paraId="15C2765A">
            <w:pPr>
              <w:pStyle w:val="24"/>
              <w:keepNext w:val="0"/>
              <w:keepLines w:val="0"/>
              <w:pageBreakBefore w:val="0"/>
              <w:widowControl w:val="0"/>
              <w:kinsoku/>
              <w:wordWrap/>
              <w:overflowPunct/>
              <w:topLinePunct w:val="0"/>
              <w:autoSpaceDE/>
              <w:autoSpaceDN/>
              <w:bidi w:val="0"/>
              <w:snapToGrid/>
              <w:spacing w:line="420" w:lineRule="exact"/>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（三）人员需求</w:t>
            </w:r>
            <w:r>
              <w:rPr>
                <w:rFonts w:hint="eastAsia" w:hAnsi="宋体" w:cs="宋体"/>
                <w:b/>
                <w:bCs/>
                <w:color w:val="auto"/>
                <w:sz w:val="24"/>
                <w:szCs w:val="24"/>
                <w:highlight w:val="none"/>
                <w:lang w:val="en-US" w:eastAsia="zh-CN"/>
              </w:rPr>
              <w:t>表</w:t>
            </w:r>
          </w:p>
          <w:tbl>
            <w:tblPr>
              <w:tblStyle w:val="64"/>
              <w:tblW w:w="8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532"/>
              <w:gridCol w:w="1660"/>
              <w:gridCol w:w="1260"/>
              <w:gridCol w:w="2087"/>
            </w:tblGrid>
            <w:tr w14:paraId="22C05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73" w:type="dxa"/>
                  <w:vAlign w:val="center"/>
                </w:tcPr>
                <w:p w14:paraId="3F065C2B">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序号</w:t>
                  </w:r>
                </w:p>
              </w:tc>
              <w:tc>
                <w:tcPr>
                  <w:tcW w:w="2532" w:type="dxa"/>
                  <w:vAlign w:val="center"/>
                </w:tcPr>
                <w:p w14:paraId="663B35D1">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hAnsi="宋体" w:cs="宋体"/>
                      <w:color w:val="auto"/>
                      <w:sz w:val="24"/>
                      <w:szCs w:val="24"/>
                      <w:highlight w:val="none"/>
                      <w:vertAlign w:val="baseline"/>
                      <w:lang w:val="en-US" w:eastAsia="zh-CN"/>
                    </w:rPr>
                    <w:t>服务单位</w:t>
                  </w:r>
                </w:p>
              </w:tc>
              <w:tc>
                <w:tcPr>
                  <w:tcW w:w="1660" w:type="dxa"/>
                  <w:vAlign w:val="center"/>
                </w:tcPr>
                <w:p w14:paraId="6510199B">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人员类别</w:t>
                  </w:r>
                </w:p>
              </w:tc>
              <w:tc>
                <w:tcPr>
                  <w:tcW w:w="1260" w:type="dxa"/>
                  <w:vAlign w:val="center"/>
                </w:tcPr>
                <w:p w14:paraId="008C221D">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配备人数</w:t>
                  </w:r>
                </w:p>
              </w:tc>
              <w:tc>
                <w:tcPr>
                  <w:tcW w:w="2087" w:type="dxa"/>
                  <w:vAlign w:val="center"/>
                </w:tcPr>
                <w:p w14:paraId="6545E1EF">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投标最高限价</w:t>
                  </w:r>
                </w:p>
                <w:p w14:paraId="16013F0B">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（万元）</w:t>
                  </w:r>
                </w:p>
              </w:tc>
            </w:tr>
            <w:tr w14:paraId="1FF35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restart"/>
                  <w:vAlign w:val="center"/>
                </w:tcPr>
                <w:p w14:paraId="392516C5">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532" w:type="dxa"/>
                  <w:vMerge w:val="restart"/>
                  <w:vAlign w:val="center"/>
                </w:tcPr>
                <w:p w14:paraId="758C3307">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北海市第一幼儿园</w:t>
                  </w:r>
                </w:p>
              </w:tc>
              <w:tc>
                <w:tcPr>
                  <w:tcW w:w="1660" w:type="dxa"/>
                  <w:vAlign w:val="center"/>
                </w:tcPr>
                <w:p w14:paraId="137DE50F">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保洁员</w:t>
                  </w:r>
                </w:p>
              </w:tc>
              <w:tc>
                <w:tcPr>
                  <w:tcW w:w="1260" w:type="dxa"/>
                  <w:vAlign w:val="center"/>
                </w:tcPr>
                <w:p w14:paraId="3371C6FA">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087" w:type="dxa"/>
                  <w:vMerge w:val="restart"/>
                  <w:vAlign w:val="center"/>
                </w:tcPr>
                <w:p w14:paraId="3B3EB92B">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lang w:val="en-US" w:eastAsia="zh-CN"/>
                    </w:rPr>
                    <w:t>17.83</w:t>
                  </w:r>
                </w:p>
              </w:tc>
            </w:tr>
            <w:tr w14:paraId="066EE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continue"/>
                  <w:vAlign w:val="center"/>
                </w:tcPr>
                <w:p w14:paraId="361921E0">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2532" w:type="dxa"/>
                  <w:vMerge w:val="continue"/>
                  <w:vAlign w:val="center"/>
                </w:tcPr>
                <w:p w14:paraId="77578EB8">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1660" w:type="dxa"/>
                  <w:vAlign w:val="center"/>
                </w:tcPr>
                <w:p w14:paraId="747BEC7E">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绿化员</w:t>
                  </w:r>
                </w:p>
              </w:tc>
              <w:tc>
                <w:tcPr>
                  <w:tcW w:w="1260" w:type="dxa"/>
                  <w:vAlign w:val="center"/>
                </w:tcPr>
                <w:p w14:paraId="2751D296">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087" w:type="dxa"/>
                  <w:vMerge w:val="continue"/>
                  <w:vAlign w:val="center"/>
                </w:tcPr>
                <w:p w14:paraId="0B404537">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r>
            <w:tr w14:paraId="39DED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Align w:val="center"/>
                </w:tcPr>
                <w:p w14:paraId="15208E9A">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2532" w:type="dxa"/>
                  <w:vAlign w:val="center"/>
                </w:tcPr>
                <w:p w14:paraId="581AAFCA">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北海市第二幼儿园</w:t>
                  </w:r>
                </w:p>
              </w:tc>
              <w:tc>
                <w:tcPr>
                  <w:tcW w:w="1660" w:type="dxa"/>
                  <w:shd w:val="clear" w:color="auto" w:fill="auto"/>
                  <w:vAlign w:val="center"/>
                </w:tcPr>
                <w:p w14:paraId="4938240F">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保洁员</w:t>
                  </w:r>
                </w:p>
              </w:tc>
              <w:tc>
                <w:tcPr>
                  <w:tcW w:w="1260" w:type="dxa"/>
                  <w:vAlign w:val="center"/>
                </w:tcPr>
                <w:p w14:paraId="543A0432">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087" w:type="dxa"/>
                  <w:vAlign w:val="center"/>
                </w:tcPr>
                <w:p w14:paraId="58FC7A3D">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lang w:val="en-US" w:eastAsia="zh-CN"/>
                    </w:rPr>
                    <w:t>8.78</w:t>
                  </w:r>
                </w:p>
              </w:tc>
            </w:tr>
            <w:tr w14:paraId="5BAD0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restart"/>
                  <w:vAlign w:val="center"/>
                </w:tcPr>
                <w:p w14:paraId="286D562A">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2532" w:type="dxa"/>
                  <w:vMerge w:val="restart"/>
                  <w:vAlign w:val="center"/>
                </w:tcPr>
                <w:p w14:paraId="7D7983AF">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北海市第三幼儿园</w:t>
                  </w:r>
                </w:p>
              </w:tc>
              <w:tc>
                <w:tcPr>
                  <w:tcW w:w="1660" w:type="dxa"/>
                  <w:vAlign w:val="center"/>
                </w:tcPr>
                <w:p w14:paraId="371CBE4C">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水电工</w:t>
                  </w:r>
                </w:p>
              </w:tc>
              <w:tc>
                <w:tcPr>
                  <w:tcW w:w="1260" w:type="dxa"/>
                  <w:vAlign w:val="center"/>
                </w:tcPr>
                <w:p w14:paraId="2EE0CE5D">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087" w:type="dxa"/>
                  <w:vMerge w:val="restart"/>
                  <w:vAlign w:val="center"/>
                </w:tcPr>
                <w:p w14:paraId="683BA613">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lang w:val="en-US" w:eastAsia="zh-CN"/>
                    </w:rPr>
                    <w:t>19.23</w:t>
                  </w:r>
                </w:p>
              </w:tc>
            </w:tr>
            <w:tr w14:paraId="3D4E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continue"/>
                  <w:vAlign w:val="center"/>
                </w:tcPr>
                <w:p w14:paraId="10F16DE6">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2532" w:type="dxa"/>
                  <w:vMerge w:val="continue"/>
                  <w:vAlign w:val="center"/>
                </w:tcPr>
                <w:p w14:paraId="29328D9C">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1660" w:type="dxa"/>
                  <w:vAlign w:val="center"/>
                </w:tcPr>
                <w:p w14:paraId="4E4D0F8F">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保洁员</w:t>
                  </w:r>
                </w:p>
              </w:tc>
              <w:tc>
                <w:tcPr>
                  <w:tcW w:w="1260" w:type="dxa"/>
                  <w:vAlign w:val="center"/>
                </w:tcPr>
                <w:p w14:paraId="12C32DD7">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087" w:type="dxa"/>
                  <w:vMerge w:val="continue"/>
                  <w:vAlign w:val="center"/>
                </w:tcPr>
                <w:p w14:paraId="6DB3345F">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r>
            <w:tr w14:paraId="5117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restart"/>
                  <w:vAlign w:val="center"/>
                </w:tcPr>
                <w:p w14:paraId="2745B804">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2532" w:type="dxa"/>
                  <w:vMerge w:val="restart"/>
                  <w:vAlign w:val="center"/>
                </w:tcPr>
                <w:p w14:paraId="7497B0C3">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北海市第一中学</w:t>
                  </w:r>
                </w:p>
              </w:tc>
              <w:tc>
                <w:tcPr>
                  <w:tcW w:w="1660" w:type="dxa"/>
                  <w:vAlign w:val="center"/>
                </w:tcPr>
                <w:p w14:paraId="2509293F">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保洁员</w:t>
                  </w:r>
                </w:p>
              </w:tc>
              <w:tc>
                <w:tcPr>
                  <w:tcW w:w="1260" w:type="dxa"/>
                  <w:vAlign w:val="center"/>
                </w:tcPr>
                <w:p w14:paraId="25866489">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w:t>
                  </w:r>
                </w:p>
              </w:tc>
              <w:tc>
                <w:tcPr>
                  <w:tcW w:w="2087" w:type="dxa"/>
                  <w:vMerge w:val="restart"/>
                  <w:vAlign w:val="center"/>
                </w:tcPr>
                <w:p w14:paraId="744843C0">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lang w:val="en-US" w:eastAsia="zh-CN"/>
                    </w:rPr>
                    <w:t>88.06</w:t>
                  </w:r>
                </w:p>
              </w:tc>
            </w:tr>
            <w:tr w14:paraId="16C1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continue"/>
                  <w:vAlign w:val="center"/>
                </w:tcPr>
                <w:p w14:paraId="5D424CD6">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2532" w:type="dxa"/>
                  <w:vMerge w:val="continue"/>
                  <w:vAlign w:val="center"/>
                </w:tcPr>
                <w:p w14:paraId="41308A2F">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1660" w:type="dxa"/>
                  <w:vAlign w:val="center"/>
                </w:tcPr>
                <w:p w14:paraId="0EFDEA8A">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绿化员</w:t>
                  </w:r>
                </w:p>
              </w:tc>
              <w:tc>
                <w:tcPr>
                  <w:tcW w:w="1260" w:type="dxa"/>
                  <w:vAlign w:val="center"/>
                </w:tcPr>
                <w:p w14:paraId="69D736A9">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087" w:type="dxa"/>
                  <w:vMerge w:val="continue"/>
                  <w:vAlign w:val="center"/>
                </w:tcPr>
                <w:p w14:paraId="6E0DD603">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r>
            <w:tr w14:paraId="72BA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restart"/>
                  <w:vAlign w:val="center"/>
                </w:tcPr>
                <w:p w14:paraId="0763BA4E">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2532" w:type="dxa"/>
                  <w:vMerge w:val="restart"/>
                  <w:vAlign w:val="center"/>
                </w:tcPr>
                <w:p w14:paraId="271A160A">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北海市第五中学</w:t>
                  </w:r>
                </w:p>
              </w:tc>
              <w:tc>
                <w:tcPr>
                  <w:tcW w:w="1660" w:type="dxa"/>
                  <w:vAlign w:val="center"/>
                </w:tcPr>
                <w:p w14:paraId="175F5CF9">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水电工</w:t>
                  </w:r>
                </w:p>
              </w:tc>
              <w:tc>
                <w:tcPr>
                  <w:tcW w:w="1260" w:type="dxa"/>
                  <w:vAlign w:val="center"/>
                </w:tcPr>
                <w:p w14:paraId="2457A980">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2087" w:type="dxa"/>
                  <w:vMerge w:val="restart"/>
                  <w:vAlign w:val="center"/>
                </w:tcPr>
                <w:p w14:paraId="182A7BBE">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lang w:val="en-US" w:eastAsia="zh-CN"/>
                    </w:rPr>
                    <w:t>82.62</w:t>
                  </w:r>
                </w:p>
              </w:tc>
            </w:tr>
            <w:tr w14:paraId="2C0C5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continue"/>
                  <w:vAlign w:val="center"/>
                </w:tcPr>
                <w:p w14:paraId="26DD85E2">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2532" w:type="dxa"/>
                  <w:vMerge w:val="continue"/>
                  <w:vAlign w:val="center"/>
                </w:tcPr>
                <w:p w14:paraId="3320B35F">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1660" w:type="dxa"/>
                  <w:vAlign w:val="center"/>
                </w:tcPr>
                <w:p w14:paraId="1A052CBD">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保洁员</w:t>
                  </w:r>
                </w:p>
              </w:tc>
              <w:tc>
                <w:tcPr>
                  <w:tcW w:w="1260" w:type="dxa"/>
                  <w:vAlign w:val="center"/>
                </w:tcPr>
                <w:p w14:paraId="706AEFE5">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w:t>
                  </w:r>
                </w:p>
              </w:tc>
              <w:tc>
                <w:tcPr>
                  <w:tcW w:w="2087" w:type="dxa"/>
                  <w:vMerge w:val="continue"/>
                  <w:vAlign w:val="center"/>
                </w:tcPr>
                <w:p w14:paraId="46FC703B">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r>
            <w:tr w14:paraId="6AE69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continue"/>
                  <w:vAlign w:val="center"/>
                </w:tcPr>
                <w:p w14:paraId="5256395C">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2532" w:type="dxa"/>
                  <w:vMerge w:val="continue"/>
                  <w:vAlign w:val="center"/>
                </w:tcPr>
                <w:p w14:paraId="01B697D1">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1660" w:type="dxa"/>
                  <w:vAlign w:val="center"/>
                </w:tcPr>
                <w:p w14:paraId="57B584E9">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绿化员</w:t>
                  </w:r>
                </w:p>
              </w:tc>
              <w:tc>
                <w:tcPr>
                  <w:tcW w:w="1260" w:type="dxa"/>
                  <w:vAlign w:val="center"/>
                </w:tcPr>
                <w:p w14:paraId="04D2F420">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087" w:type="dxa"/>
                  <w:vMerge w:val="continue"/>
                  <w:vAlign w:val="center"/>
                </w:tcPr>
                <w:p w14:paraId="13DA76C4">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r>
            <w:tr w14:paraId="2C672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Align w:val="center"/>
                </w:tcPr>
                <w:p w14:paraId="543C7B9C">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w:t>
                  </w:r>
                </w:p>
              </w:tc>
              <w:tc>
                <w:tcPr>
                  <w:tcW w:w="2532" w:type="dxa"/>
                  <w:vAlign w:val="center"/>
                </w:tcPr>
                <w:p w14:paraId="500F5FC7">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北海市第八中学</w:t>
                  </w:r>
                </w:p>
              </w:tc>
              <w:tc>
                <w:tcPr>
                  <w:tcW w:w="1660" w:type="dxa"/>
                  <w:vAlign w:val="center"/>
                </w:tcPr>
                <w:p w14:paraId="6674E1DA">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保洁员</w:t>
                  </w:r>
                </w:p>
              </w:tc>
              <w:tc>
                <w:tcPr>
                  <w:tcW w:w="1260" w:type="dxa"/>
                  <w:vAlign w:val="center"/>
                </w:tcPr>
                <w:p w14:paraId="2D86F808">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2087" w:type="dxa"/>
                  <w:vAlign w:val="center"/>
                </w:tcPr>
                <w:p w14:paraId="0D4CC529">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lang w:val="en-US" w:eastAsia="zh-CN"/>
                    </w:rPr>
                    <w:t>26.33</w:t>
                  </w:r>
                </w:p>
              </w:tc>
            </w:tr>
            <w:tr w14:paraId="02E7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restart"/>
                  <w:vAlign w:val="center"/>
                </w:tcPr>
                <w:p w14:paraId="65D55FFE">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w:t>
                  </w:r>
                </w:p>
              </w:tc>
              <w:tc>
                <w:tcPr>
                  <w:tcW w:w="2532" w:type="dxa"/>
                  <w:vMerge w:val="restart"/>
                  <w:vAlign w:val="center"/>
                </w:tcPr>
                <w:p w14:paraId="07676B3D">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北海市第十三中学</w:t>
                  </w:r>
                </w:p>
              </w:tc>
              <w:tc>
                <w:tcPr>
                  <w:tcW w:w="1660" w:type="dxa"/>
                  <w:vAlign w:val="center"/>
                </w:tcPr>
                <w:p w14:paraId="2A75B9C1">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水电工</w:t>
                  </w:r>
                </w:p>
              </w:tc>
              <w:tc>
                <w:tcPr>
                  <w:tcW w:w="1260" w:type="dxa"/>
                  <w:vAlign w:val="center"/>
                </w:tcPr>
                <w:p w14:paraId="33B7C696">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087" w:type="dxa"/>
                  <w:vMerge w:val="restart"/>
                  <w:vAlign w:val="center"/>
                </w:tcPr>
                <w:p w14:paraId="5126BCB6">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lang w:val="en-US" w:eastAsia="zh-CN"/>
                    </w:rPr>
                    <w:t>81.23</w:t>
                  </w:r>
                </w:p>
              </w:tc>
            </w:tr>
            <w:tr w14:paraId="2C013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continue"/>
                  <w:vAlign w:val="center"/>
                </w:tcPr>
                <w:p w14:paraId="4D14AEDF">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2532" w:type="dxa"/>
                  <w:vMerge w:val="continue"/>
                  <w:vAlign w:val="center"/>
                </w:tcPr>
                <w:p w14:paraId="6345A957">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1660" w:type="dxa"/>
                  <w:vAlign w:val="center"/>
                </w:tcPr>
                <w:p w14:paraId="38C3D937">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保洁员</w:t>
                  </w:r>
                </w:p>
              </w:tc>
              <w:tc>
                <w:tcPr>
                  <w:tcW w:w="1260" w:type="dxa"/>
                  <w:vAlign w:val="center"/>
                </w:tcPr>
                <w:p w14:paraId="14B7E7ED">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w:t>
                  </w:r>
                </w:p>
              </w:tc>
              <w:tc>
                <w:tcPr>
                  <w:tcW w:w="2087" w:type="dxa"/>
                  <w:vMerge w:val="continue"/>
                  <w:vAlign w:val="center"/>
                </w:tcPr>
                <w:p w14:paraId="21153BCE">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r>
            <w:tr w14:paraId="46659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continue"/>
                  <w:vAlign w:val="center"/>
                </w:tcPr>
                <w:p w14:paraId="59379894">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2532" w:type="dxa"/>
                  <w:vMerge w:val="continue"/>
                  <w:vAlign w:val="center"/>
                </w:tcPr>
                <w:p w14:paraId="22389008">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1660" w:type="dxa"/>
                  <w:vAlign w:val="center"/>
                </w:tcPr>
                <w:p w14:paraId="4CD49144">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绿化员</w:t>
                  </w:r>
                </w:p>
              </w:tc>
              <w:tc>
                <w:tcPr>
                  <w:tcW w:w="1260" w:type="dxa"/>
                  <w:vAlign w:val="center"/>
                </w:tcPr>
                <w:p w14:paraId="1390D78F">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2087" w:type="dxa"/>
                  <w:vMerge w:val="continue"/>
                  <w:vAlign w:val="center"/>
                </w:tcPr>
                <w:p w14:paraId="02AD48DD">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r>
            <w:tr w14:paraId="67165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restart"/>
                  <w:vAlign w:val="center"/>
                </w:tcPr>
                <w:p w14:paraId="73297B28">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8</w:t>
                  </w:r>
                </w:p>
              </w:tc>
              <w:tc>
                <w:tcPr>
                  <w:tcW w:w="2532" w:type="dxa"/>
                  <w:vMerge w:val="restart"/>
                  <w:vAlign w:val="center"/>
                </w:tcPr>
                <w:p w14:paraId="6883EA81">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北海市特殊教育学校</w:t>
                  </w:r>
                </w:p>
              </w:tc>
              <w:tc>
                <w:tcPr>
                  <w:tcW w:w="1660" w:type="dxa"/>
                  <w:vAlign w:val="center"/>
                </w:tcPr>
                <w:p w14:paraId="4F0301C7">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保洁员</w:t>
                  </w:r>
                </w:p>
              </w:tc>
              <w:tc>
                <w:tcPr>
                  <w:tcW w:w="1260" w:type="dxa"/>
                  <w:vAlign w:val="center"/>
                </w:tcPr>
                <w:p w14:paraId="7A29FB91">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2087" w:type="dxa"/>
                  <w:vMerge w:val="restart"/>
                  <w:vAlign w:val="center"/>
                </w:tcPr>
                <w:p w14:paraId="69E08A93">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lang w:val="en-US" w:eastAsia="zh-CN"/>
                    </w:rPr>
                    <w:t>44.17</w:t>
                  </w:r>
                </w:p>
              </w:tc>
            </w:tr>
            <w:tr w14:paraId="5E720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continue"/>
                  <w:vAlign w:val="center"/>
                </w:tcPr>
                <w:p w14:paraId="40E00E18">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2532" w:type="dxa"/>
                  <w:vMerge w:val="continue"/>
                  <w:vAlign w:val="center"/>
                </w:tcPr>
                <w:p w14:paraId="1D1AA300">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1660" w:type="dxa"/>
                  <w:vAlign w:val="center"/>
                </w:tcPr>
                <w:p w14:paraId="71C4D71D">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绿化员</w:t>
                  </w:r>
                </w:p>
              </w:tc>
              <w:tc>
                <w:tcPr>
                  <w:tcW w:w="1260" w:type="dxa"/>
                  <w:vAlign w:val="center"/>
                </w:tcPr>
                <w:p w14:paraId="5735EF2E">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087" w:type="dxa"/>
                  <w:vMerge w:val="continue"/>
                  <w:vAlign w:val="center"/>
                </w:tcPr>
                <w:p w14:paraId="5E944735">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r>
            <w:tr w14:paraId="73AF8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restart"/>
                  <w:vAlign w:val="center"/>
                </w:tcPr>
                <w:p w14:paraId="02D9101C">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w:t>
                  </w:r>
                </w:p>
              </w:tc>
              <w:tc>
                <w:tcPr>
                  <w:tcW w:w="2532" w:type="dxa"/>
                  <w:vMerge w:val="restart"/>
                  <w:vAlign w:val="center"/>
                </w:tcPr>
                <w:p w14:paraId="21209B8C">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北海市实验学校</w:t>
                  </w:r>
                </w:p>
              </w:tc>
              <w:tc>
                <w:tcPr>
                  <w:tcW w:w="1660" w:type="dxa"/>
                  <w:vAlign w:val="center"/>
                </w:tcPr>
                <w:p w14:paraId="4FBDCB88">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水电工</w:t>
                  </w:r>
                </w:p>
              </w:tc>
              <w:tc>
                <w:tcPr>
                  <w:tcW w:w="1260" w:type="dxa"/>
                  <w:vAlign w:val="center"/>
                </w:tcPr>
                <w:p w14:paraId="591726B2">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2087" w:type="dxa"/>
                  <w:vMerge w:val="restart"/>
                  <w:vAlign w:val="center"/>
                </w:tcPr>
                <w:p w14:paraId="1E259C80">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lang w:val="en-US" w:eastAsia="zh-CN"/>
                    </w:rPr>
                    <w:t>73.84</w:t>
                  </w:r>
                </w:p>
              </w:tc>
            </w:tr>
            <w:tr w14:paraId="00A8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continue"/>
                  <w:vAlign w:val="center"/>
                </w:tcPr>
                <w:p w14:paraId="31C60F5C">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2532" w:type="dxa"/>
                  <w:vMerge w:val="continue"/>
                  <w:vAlign w:val="center"/>
                </w:tcPr>
                <w:p w14:paraId="511397FE">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1660" w:type="dxa"/>
                  <w:vAlign w:val="center"/>
                </w:tcPr>
                <w:p w14:paraId="298A5802">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保洁员</w:t>
                  </w:r>
                </w:p>
              </w:tc>
              <w:tc>
                <w:tcPr>
                  <w:tcW w:w="1260" w:type="dxa"/>
                  <w:vAlign w:val="center"/>
                </w:tcPr>
                <w:p w14:paraId="7F131733">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2087" w:type="dxa"/>
                  <w:vMerge w:val="continue"/>
                  <w:vAlign w:val="center"/>
                </w:tcPr>
                <w:p w14:paraId="39808E2C">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r>
            <w:tr w14:paraId="5484F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continue"/>
                  <w:vAlign w:val="center"/>
                </w:tcPr>
                <w:p w14:paraId="42A2A06D">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2532" w:type="dxa"/>
                  <w:vMerge w:val="continue"/>
                  <w:vAlign w:val="center"/>
                </w:tcPr>
                <w:p w14:paraId="0F6CDC16">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1660" w:type="dxa"/>
                  <w:vAlign w:val="center"/>
                </w:tcPr>
                <w:p w14:paraId="328DFACC">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绿化员</w:t>
                  </w:r>
                </w:p>
              </w:tc>
              <w:tc>
                <w:tcPr>
                  <w:tcW w:w="1260" w:type="dxa"/>
                  <w:vAlign w:val="center"/>
                </w:tcPr>
                <w:p w14:paraId="7424046F">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087" w:type="dxa"/>
                  <w:vMerge w:val="continue"/>
                  <w:vAlign w:val="center"/>
                </w:tcPr>
                <w:p w14:paraId="455A8759">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r>
            <w:tr w14:paraId="3ECD5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restart"/>
                  <w:vAlign w:val="center"/>
                </w:tcPr>
                <w:p w14:paraId="123D4878">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w:t>
                  </w:r>
                </w:p>
              </w:tc>
              <w:tc>
                <w:tcPr>
                  <w:tcW w:w="2532" w:type="dxa"/>
                  <w:vMerge w:val="restart"/>
                  <w:vAlign w:val="center"/>
                </w:tcPr>
                <w:p w14:paraId="473ED71D">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北海市外国语实验学校</w:t>
                  </w:r>
                </w:p>
              </w:tc>
              <w:tc>
                <w:tcPr>
                  <w:tcW w:w="1660" w:type="dxa"/>
                  <w:vAlign w:val="center"/>
                </w:tcPr>
                <w:p w14:paraId="1DB33709">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水电工</w:t>
                  </w:r>
                </w:p>
              </w:tc>
              <w:tc>
                <w:tcPr>
                  <w:tcW w:w="1260" w:type="dxa"/>
                  <w:vAlign w:val="center"/>
                </w:tcPr>
                <w:p w14:paraId="404BB256">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087" w:type="dxa"/>
                  <w:vMerge w:val="restart"/>
                  <w:vAlign w:val="center"/>
                </w:tcPr>
                <w:p w14:paraId="0D1EAE31">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lang w:val="en-US" w:eastAsia="zh-CN"/>
                    </w:rPr>
                    <w:t>107.01</w:t>
                  </w:r>
                </w:p>
              </w:tc>
            </w:tr>
            <w:tr w14:paraId="0C6DE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continue"/>
                  <w:vAlign w:val="center"/>
                </w:tcPr>
                <w:p w14:paraId="696F9E7B">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2532" w:type="dxa"/>
                  <w:vMerge w:val="continue"/>
                  <w:vAlign w:val="center"/>
                </w:tcPr>
                <w:p w14:paraId="3C6ECCD5">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1660" w:type="dxa"/>
                  <w:vAlign w:val="center"/>
                </w:tcPr>
                <w:p w14:paraId="4ADF402C">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保洁员</w:t>
                  </w:r>
                </w:p>
              </w:tc>
              <w:tc>
                <w:tcPr>
                  <w:tcW w:w="1260" w:type="dxa"/>
                  <w:vAlign w:val="center"/>
                </w:tcPr>
                <w:p w14:paraId="1C5220B2">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11</w:t>
                  </w:r>
                </w:p>
              </w:tc>
              <w:tc>
                <w:tcPr>
                  <w:tcW w:w="2087" w:type="dxa"/>
                  <w:vMerge w:val="continue"/>
                  <w:vAlign w:val="center"/>
                </w:tcPr>
                <w:p w14:paraId="509DF0C2">
                  <w:pPr>
                    <w:pStyle w:val="24"/>
                    <w:keepNext w:val="0"/>
                    <w:keepLines w:val="0"/>
                    <w:pageBreakBefore w:val="0"/>
                    <w:widowControl/>
                    <w:kinsoku/>
                    <w:wordWrap/>
                    <w:overflowPunct/>
                    <w:topLinePunct w:val="0"/>
                    <w:autoSpaceDE/>
                    <w:autoSpaceDN/>
                    <w:bidi w:val="0"/>
                    <w:adjustRightInd/>
                    <w:snapToGrid/>
                    <w:spacing w:line="42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r>
          </w:tbl>
          <w:p w14:paraId="3FD03551">
            <w:pPr>
              <w:pStyle w:val="24"/>
              <w:keepNext w:val="0"/>
              <w:keepLines w:val="0"/>
              <w:pageBreakBefore w:val="0"/>
              <w:widowControl w:val="0"/>
              <w:kinsoku/>
              <w:wordWrap/>
              <w:overflowPunct/>
              <w:topLinePunct w:val="0"/>
              <w:autoSpaceDE/>
              <w:autoSpaceDN/>
              <w:bidi w:val="0"/>
              <w:snapToGrid/>
              <w:spacing w:line="420" w:lineRule="exact"/>
              <w:jc w:val="left"/>
              <w:textAlignment w:val="auto"/>
              <w:rPr>
                <w:rFonts w:hint="eastAsia" w:ascii="宋体" w:hAnsi="宋体" w:eastAsia="宋体" w:cs="宋体"/>
                <w:b/>
                <w:bCs/>
                <w:color w:val="auto"/>
                <w:sz w:val="24"/>
                <w:szCs w:val="24"/>
                <w:highlight w:val="none"/>
                <w:lang w:val="en-US" w:eastAsia="zh-CN"/>
              </w:rPr>
            </w:pPr>
          </w:p>
          <w:p w14:paraId="216BDB80">
            <w:pPr>
              <w:pStyle w:val="24"/>
              <w:keepNext w:val="0"/>
              <w:keepLines w:val="0"/>
              <w:pageBreakBefore w:val="0"/>
              <w:widowControl w:val="0"/>
              <w:kinsoku/>
              <w:wordWrap/>
              <w:overflowPunct/>
              <w:topLinePunct w:val="0"/>
              <w:autoSpaceDE/>
              <w:autoSpaceDN/>
              <w:bidi w:val="0"/>
              <w:snapToGrid/>
              <w:spacing w:line="42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二、服务要求</w:t>
            </w:r>
          </w:p>
          <w:p w14:paraId="274C5DCC">
            <w:pPr>
              <w:pStyle w:val="24"/>
              <w:keepNext w:val="0"/>
              <w:keepLines w:val="0"/>
              <w:pageBreakBefore w:val="0"/>
              <w:widowControl w:val="0"/>
              <w:kinsoku/>
              <w:wordWrap/>
              <w:overflowPunct/>
              <w:topLinePunct w:val="0"/>
              <w:autoSpaceDE/>
              <w:autoSpaceDN/>
              <w:bidi w:val="0"/>
              <w:snapToGrid/>
              <w:spacing w:line="42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（一）总体服务要求</w:t>
            </w:r>
          </w:p>
          <w:p w14:paraId="5D2FF823">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1．各派驻学校服务用工人数不少于该校区所需人数（详见人员需求表）。</w:t>
            </w:r>
          </w:p>
          <w:p w14:paraId="569218F1">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 </w:t>
            </w:r>
            <w:r>
              <w:rPr>
                <w:rFonts w:hint="eastAsia"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必须为所有上岗人员购买社会保险及人身意外保险。</w:t>
            </w:r>
          </w:p>
          <w:p w14:paraId="4320BF31">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女员工年龄在18-50岁，男员工年龄在18-58 岁。</w:t>
            </w:r>
          </w:p>
          <w:p w14:paraId="6485384C">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上岗人员在工作期间发生员工工伤及意外伤害事故以及涉及用工方面的劳务纠纷和劳动事故全部由</w:t>
            </w:r>
            <w:r>
              <w:rPr>
                <w:rFonts w:hint="eastAsia"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承担责任。</w:t>
            </w:r>
          </w:p>
          <w:p w14:paraId="4BCC1650">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 服务费涵盖基本工资、社会保险、物业服务费、税费等费用。</w:t>
            </w:r>
          </w:p>
          <w:p w14:paraId="14E0C6F0">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 </w:t>
            </w:r>
            <w:r>
              <w:rPr>
                <w:rFonts w:hint="eastAsia"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必须每月按时足额发放员工工资，不得以任何理由拖欠员工工资，确保及时足额支付。</w:t>
            </w:r>
          </w:p>
          <w:p w14:paraId="413BFC4C">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7. </w:t>
            </w:r>
            <w:r>
              <w:rPr>
                <w:rFonts w:hint="eastAsia"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需有物业服务方案，质量管理、档案管理等制度。</w:t>
            </w:r>
          </w:p>
          <w:p w14:paraId="066BBA3D">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 物业服务人员统一着装，行为规范，服务主动热情。</w:t>
            </w:r>
          </w:p>
          <w:p w14:paraId="456D611A">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9. </w:t>
            </w:r>
            <w:r>
              <w:rPr>
                <w:rFonts w:hint="eastAsia"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须为所有上岗人员统一配备工服、水鞋、雨衣等劳动保护用品，并为电工、绿化、水泥工等岗位人员配备安全帽，且督促其在作业期间规范佩戴。相关费用已包含在服务费中，采购人有权对此进行监督与考核。</w:t>
            </w:r>
          </w:p>
          <w:p w14:paraId="1499CD8F">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10. </w:t>
            </w:r>
            <w:r>
              <w:rPr>
                <w:rFonts w:hint="eastAsia"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须严格遵守采购人资产与废弃物管理规定。所有上岗人员在日常工作中，不得捡拾、收集、私占校内产生的各类可回收废弃物（如纸皮、水瓶、废弃金属、塑料等）并带离校园出售或个人牟利。维修更换产生的废旧设施、材料、零部件等均属采购人资产，</w:t>
            </w:r>
            <w:r>
              <w:rPr>
                <w:rFonts w:hint="eastAsia"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须集中存放、登记，并按学校要求进行统一处置，不得擅自处理或变卖。</w:t>
            </w:r>
            <w:r>
              <w:rPr>
                <w:rFonts w:hint="eastAsia"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有责任对所属员工进行教育与管理，确保本要求得到有效执行。如有违反，采购人将视情节在月度服务质量考核中扣分，并有权要求成交供应商对相关人员进行严肃处理；造成学校资产损失的，</w:t>
            </w:r>
            <w:r>
              <w:rPr>
                <w:rFonts w:hint="eastAsia"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承担相应赔偿责任。</w:t>
            </w:r>
          </w:p>
          <w:p w14:paraId="6FBDFFB4">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11. </w:t>
            </w:r>
            <w:r>
              <w:rPr>
                <w:rFonts w:hint="eastAsia"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每季度接受采购人服务质量考核，考核由采购人或校方采取日常巡查、随机抽查、专项检查相结合的方式进行。服务费以考核得分等级支付，支付比例如下：得分≥90分：支付当季应付服务费的100%；80分≤得分&lt;90分：支付当季应付服务费的95%；70 分≤得分&lt;80分：支付当季应付服务费的90%；得分&lt;70分：支付当季应付服务费的85%。得分低于70分或连续两季度低于80分，采购人或校方有权发出警告，要求限期整改，未能完成整改的采购人有权终止合同。（考核标准详见《附件：考核标准》）</w:t>
            </w:r>
          </w:p>
          <w:p w14:paraId="0DC8DA62">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p>
          <w:p w14:paraId="4FFAD8D7">
            <w:pPr>
              <w:pStyle w:val="24"/>
              <w:keepNext w:val="0"/>
              <w:keepLines w:val="0"/>
              <w:pageBreakBefore w:val="0"/>
              <w:widowControl w:val="0"/>
              <w:kinsoku/>
              <w:wordWrap/>
              <w:overflowPunct/>
              <w:topLinePunct w:val="0"/>
              <w:autoSpaceDE/>
              <w:autoSpaceDN/>
              <w:bidi w:val="0"/>
              <w:snapToGrid/>
              <w:spacing w:line="42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（二）具体工作要求</w:t>
            </w:r>
          </w:p>
          <w:p w14:paraId="61170880">
            <w:pPr>
              <w:pStyle w:val="24"/>
              <w:keepNext w:val="0"/>
              <w:keepLines w:val="0"/>
              <w:pageBreakBefore w:val="0"/>
              <w:widowControl w:val="0"/>
              <w:kinsoku/>
              <w:wordWrap/>
              <w:overflowPunct/>
              <w:topLinePunct w:val="0"/>
              <w:autoSpaceDE/>
              <w:autoSpaceDN/>
              <w:bidi w:val="0"/>
              <w:snapToGrid/>
              <w:spacing w:line="42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 保洁员的卫生保洁服务</w:t>
            </w:r>
          </w:p>
          <w:p w14:paraId="2D0DC6A9">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（1）服务原则</w:t>
            </w:r>
          </w:p>
          <w:p w14:paraId="6691D108">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坚持“教学零干扰”作业，所有清洁、消毒、通风工作须安排于上课前、下课后或非教学高峰时段进行，确保正常教学秩序。</w:t>
            </w:r>
          </w:p>
          <w:p w14:paraId="11450014">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（2）服务范围</w:t>
            </w:r>
          </w:p>
          <w:p w14:paraId="737C9562">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涵盖校内各类建筑及公共区域，具体包括：</w:t>
            </w:r>
          </w:p>
          <w:p w14:paraId="55216C40">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①楼宇内部：教学楼、实训楼、办公楼等楼宇的各楼层卫生间、走廊、楼梯，学生食堂、厕所、楼梯等。</w:t>
            </w:r>
          </w:p>
          <w:p w14:paraId="37F6B7AA">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②功能场所：行政办公室、教研组办公室、会议室、报告厅、图书馆、大礼堂、电梯等。</w:t>
            </w:r>
          </w:p>
          <w:p w14:paraId="1EB78A8C">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③公共区域：公共教室、运动场所、校内广场、道路、停车场、绿化带、垃圾桶、垃圾池、宣传栏、标识牌等。</w:t>
            </w:r>
          </w:p>
          <w:p w14:paraId="51B82C0B">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④专项清洁：路面灯具、不锈钢饰品、宣传栏、校牌、标示牌、楼梯栏杆、护栏、雨篷、3米以下玻璃的日常保洁（3米以上高空部位玻璃幕墙清洗的，由中标人组织进行，涉及的费用由校方另行支付）。</w:t>
            </w:r>
          </w:p>
          <w:p w14:paraId="4173F255">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（3）作业频次与标准</w:t>
            </w:r>
          </w:p>
          <w:p w14:paraId="09483FB7">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①日常保洁：合理安排保洁人员工作区域。每日上、下午各进行一次保洁，所有区域全天候循环保洁，做到随脏随清。</w:t>
            </w:r>
          </w:p>
          <w:p w14:paraId="2F6C5DD1">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②清洁通风：每日对楼宇内部、功能场所及通道等区域进行清洁并通风，并定期消毒。</w:t>
            </w:r>
          </w:p>
          <w:p w14:paraId="68DD2712">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③垃圾管理：每日对食堂厨余垃圾进行收集清运放到指定地方。每日对校内垃圾及时收集、中转、清运并清理垃圾池（涉及环境部门垃圾清运及处理费用由校方负责）。</w:t>
            </w:r>
          </w:p>
          <w:p w14:paraId="77F0F3FE">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（4）清洁质量要求：</w:t>
            </w:r>
          </w:p>
          <w:p w14:paraId="3BE4CF53">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①地面无垃圾、杂物、污渍、积水，公共场所无明显泥沙、污垢，每100㎡内纸屑不超过2片、无大于1cm石子。</w:t>
            </w:r>
          </w:p>
          <w:p w14:paraId="43F76584">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②墙面无浮灰、蛛网、污迹；玻璃光洁无痕，灯具无尘无虫。</w:t>
            </w:r>
          </w:p>
          <w:p w14:paraId="14B78FBE">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③卫生间无异味，便器无黄渍，天花、墙角清洁。</w:t>
            </w:r>
          </w:p>
          <w:p w14:paraId="49796757">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④垃圾箱清运及时，清运率100%；垃圾桶外表干净、无满溢，周边无污垢、积水、异味。</w:t>
            </w:r>
          </w:p>
          <w:p w14:paraId="33D0E1A3">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⑤排水沟无淤积，校园无卫生死角。</w:t>
            </w:r>
          </w:p>
          <w:p w14:paraId="034219B1">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（5）其他服务要求</w:t>
            </w:r>
          </w:p>
          <w:p w14:paraId="3B218B51">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①卫生防疫：根据校方安排，定期开展灭蚊、灭蝇、灭蚁、灭蟑、灭鼠等卫生防疫工作（药品由校方另行提供）。</w:t>
            </w:r>
          </w:p>
          <w:p w14:paraId="3B2E242C">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②协助学校做好疫情防控、创城等与物业服务相关的工作</w:t>
            </w:r>
          </w:p>
          <w:p w14:paraId="424E8A30">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③临时任务配合：积极配合学校大型活动、检查等临时性活动卫生保洁工作。</w:t>
            </w:r>
          </w:p>
          <w:p w14:paraId="31F580AD">
            <w:pPr>
              <w:pStyle w:val="24"/>
              <w:keepNext w:val="0"/>
              <w:keepLines w:val="0"/>
              <w:pageBreakBefore w:val="0"/>
              <w:widowControl w:val="0"/>
              <w:kinsoku/>
              <w:wordWrap/>
              <w:overflowPunct/>
              <w:topLinePunct w:val="0"/>
              <w:autoSpaceDE/>
              <w:autoSpaceDN/>
              <w:bidi w:val="0"/>
              <w:snapToGrid/>
              <w:spacing w:line="42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 绿化员的绿化维护服务</w:t>
            </w:r>
          </w:p>
          <w:p w14:paraId="58F7E12F">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（1）总体养护目标</w:t>
            </w:r>
          </w:p>
          <w:p w14:paraId="13866E8D">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确保校园绿化景观“三季有花，四季常青”，植株生长健壮、形态美观。负责学校大型活动及重大节日的花卉布置工作。</w:t>
            </w:r>
          </w:p>
          <w:p w14:paraId="22B813CA">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（2）日常养护工作项目与标准</w:t>
            </w:r>
          </w:p>
          <w:p w14:paraId="4A9BF511">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①浇水：草地灌木每周至少浇两次（具体视天气情况）。做到保持植物良好长势，杜绝因为缺水出现枯萎等现象。</w:t>
            </w:r>
          </w:p>
          <w:p w14:paraId="07B31EAE">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②施肥：平均2-3次/年。做到施肥均匀、充足、适度、保证绿化植物强壮、枝叶茂盛。</w:t>
            </w:r>
          </w:p>
          <w:p w14:paraId="0C9C0A32">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③修剪整形：草地8-10次/年，灌木6-8次/年（根据长势状况而定），乔木修剪2-4次/年。做到草的高度一致，整齐美观。乔、灌木：植物主枝分布均匀；绿篱整齐一致。</w:t>
            </w:r>
          </w:p>
          <w:p w14:paraId="7DCEA99C">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④病虫害防治：草地、灌木、乔木及时防治。视病害发生情况适时喷药，使用国家规定的绿色环保农药。</w:t>
            </w:r>
          </w:p>
          <w:p w14:paraId="39AEDAFD">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⑤病虫草松土：每月除杂草一遍，雨后杂草严重者每周一遍。做到花丛下无杂草，树盘内无杂草，花木丛中不允许有高于花木的杂草，草坪上不允许有开花杂草。</w:t>
            </w:r>
          </w:p>
          <w:p w14:paraId="4F7AF48F">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⑥清理绿化垃圾：修剪下来的树枝和杂草要当天清运，不准就地焚烧。做到有专人跟踪保洁。</w:t>
            </w:r>
          </w:p>
          <w:p w14:paraId="33463530">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⑦防风防汛：灾前积极预防，对树木加固，灾后及时清除倒树断枝、疏通道路、清理垃圾。做到尽快恢复原状、不能影响学校正常工作。</w:t>
            </w:r>
          </w:p>
          <w:p w14:paraId="62749CB5">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（3）整体质量要求</w:t>
            </w:r>
          </w:p>
          <w:p w14:paraId="3B8FD865">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按不同季节对花卉苗木的养护要求进行养护，并做到：</w:t>
            </w:r>
          </w:p>
          <w:p w14:paraId="20D41D95">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①树灌木完整，长势茂盛，无枯枝死杈，无病虫害，树木无钉枪捆绑。</w:t>
            </w:r>
          </w:p>
          <w:p w14:paraId="11680108">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②绿篱、绿地整洁无杂草、杂物、物料堆放。</w:t>
            </w:r>
          </w:p>
          <w:p w14:paraId="5D9562B0">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③绿化设施完好率不低于98%。</w:t>
            </w:r>
          </w:p>
          <w:p w14:paraId="0F3FC611">
            <w:pPr>
              <w:pStyle w:val="24"/>
              <w:keepNext w:val="0"/>
              <w:keepLines w:val="0"/>
              <w:pageBreakBefore w:val="0"/>
              <w:widowControl w:val="0"/>
              <w:kinsoku/>
              <w:wordWrap/>
              <w:overflowPunct/>
              <w:topLinePunct w:val="0"/>
              <w:autoSpaceDE/>
              <w:autoSpaceDN/>
              <w:bidi w:val="0"/>
              <w:snapToGrid/>
              <w:spacing w:line="42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 水电工的日常维修服务</w:t>
            </w:r>
          </w:p>
          <w:p w14:paraId="09E19C17">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（1）维修服务原则</w:t>
            </w:r>
          </w:p>
          <w:p w14:paraId="17D7CD8D">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应遵循“经济节约、修旧利废”的原则。对于损坏的设施设备及物品，应首先评估其维修可行性及成本。凡通过维修可以恢复正常使用功能、且维修成本低于更换成本的，必须优先进行维修处理，不得无故建议或要求更换。若确需更换，必须向采购人提交书面说明，并经采购人确认同意后，方可进行更换。</w:t>
            </w:r>
          </w:p>
          <w:p w14:paraId="1AD17A5C">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（2）日常巡检制度</w:t>
            </w:r>
          </w:p>
          <w:p w14:paraId="4940305E">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建立巡视制度，每日上、下午各进行一次全面巡检并记录，覆盖以下系统：</w:t>
            </w:r>
          </w:p>
          <w:p w14:paraId="67B07EB8">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①排水排污：检查管道畅通情况，及时清理杂物（化粪池沉积物的抽吸、清掏由中标人负责实施及联络工作，相关费用由学校另行负责）。</w:t>
            </w:r>
          </w:p>
          <w:p w14:paraId="4E2C844E">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②公共照明：检查学校路灯及楼梯照明是否正常，发现故障及时修复，并早晚巡检及时关闭无照明需要的电灯，避免浪费电力。</w:t>
            </w:r>
          </w:p>
          <w:p w14:paraId="55F7FEDE">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③公共设施：检查有无损毁公共设施，包括门窗、家具、室内照明、水电管线等，发现损坏立即维修；如属人为破坏情况需制止并上报。</w:t>
            </w:r>
          </w:p>
          <w:p w14:paraId="3A60C319">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④管线安全：检查各类水、电、气等管线有无破损、断裂、锈蚀，一经发现立即进行维修并做好记录，保证各类管道电线正常使用。</w:t>
            </w:r>
          </w:p>
          <w:p w14:paraId="524815DB">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⑤配电设施：保持电缆沟（竖井）无水渍、杂物、鼠害、配电箱外观干燥完好、整洁、运行正常。</w:t>
            </w:r>
          </w:p>
          <w:p w14:paraId="055D6F77">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⑥节能管理：杜绝“长明灯、长流水”及“跑冒滴漏”现象。</w:t>
            </w:r>
          </w:p>
          <w:p w14:paraId="208CA628">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（3）维修维护内容</w:t>
            </w:r>
          </w:p>
          <w:p w14:paraId="7F7BBC9E">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①公共区域：维修教学楼、办公楼等场所的门窗、桌椅、照明、给排水、电器及户外设施（道路、宣传栏等）。</w:t>
            </w:r>
          </w:p>
          <w:p w14:paraId="19ADA221">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②宿舍区域：维修宿舍内家具、门窗锁具、水电设施（灯具插座、龙头、淋浴器等），并保障热水系统正常运行。</w:t>
            </w:r>
          </w:p>
          <w:p w14:paraId="6FE7AC66">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③响应要求：影响教学的公共区域故障及宿舍区紧急报修（如断电、漏水），须优先按应急流程处理。</w:t>
            </w:r>
          </w:p>
          <w:p w14:paraId="01471DF0">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（4）应急与值班制度</w:t>
            </w:r>
          </w:p>
          <w:p w14:paraId="581914CE">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①水电工24小时值班，随时响应。</w:t>
            </w:r>
          </w:p>
          <w:p w14:paraId="35899B34">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②向校方提供紧急联络名录，确保信息畅通。</w:t>
            </w:r>
          </w:p>
          <w:p w14:paraId="2FE66642">
            <w:pPr>
              <w:pStyle w:val="24"/>
              <w:keepNext w:val="0"/>
              <w:keepLines w:val="0"/>
              <w:pageBreakBefore w:val="0"/>
              <w:widowControl w:val="0"/>
              <w:kinsoku/>
              <w:wordWrap/>
              <w:overflowPunct/>
              <w:topLinePunct w:val="0"/>
              <w:autoSpaceDE/>
              <w:autoSpaceDN/>
              <w:bidi w:val="0"/>
              <w:snapToGrid/>
              <w:spacing w:line="42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三、岗位配置要求及素质要求</w:t>
            </w:r>
          </w:p>
          <w:p w14:paraId="268F908A">
            <w:pPr>
              <w:pStyle w:val="24"/>
              <w:keepNext w:val="0"/>
              <w:keepLines w:val="0"/>
              <w:pageBreakBefore w:val="0"/>
              <w:widowControl w:val="0"/>
              <w:kinsoku/>
              <w:wordWrap/>
              <w:overflowPunct/>
              <w:topLinePunct w:val="0"/>
              <w:autoSpaceDE/>
              <w:autoSpaceDN/>
              <w:bidi w:val="0"/>
              <w:snapToGrid/>
              <w:spacing w:line="42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（一）岗位人员配置</w:t>
            </w:r>
          </w:p>
          <w:p w14:paraId="3E709DA5">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hAnsi="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lang w:val="en-US" w:eastAsia="zh-CN"/>
              </w:rPr>
              <w:t>必须按各派驻校区的对要求，对各个岗位不同时段的人员数量和岗位要求配备相应物业服务人员，并保证实际到岗。</w:t>
            </w:r>
            <w:r>
              <w:rPr>
                <w:rFonts w:hint="eastAsia" w:hAnsi="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lang w:val="en-US" w:eastAsia="zh-CN"/>
              </w:rPr>
              <w:t>在组织、安排保安工作时，应符合国家相关法规，维护物业服务人员的正当权益。</w:t>
            </w:r>
            <w:r>
              <w:rPr>
                <w:rFonts w:hint="eastAsia" w:hAnsi="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lang w:val="en-US" w:eastAsia="zh-CN"/>
              </w:rPr>
              <w:t>对其用工行为承担一切法律责任。</w:t>
            </w:r>
          </w:p>
          <w:p w14:paraId="452A3EE1">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2.拟</w:t>
            </w:r>
            <w:r>
              <w:rPr>
                <w:rFonts w:hint="eastAsia" w:ascii="宋体" w:hAnsi="宋体" w:eastAsia="宋体" w:cs="宋体"/>
                <w:b w:val="0"/>
                <w:bCs w:val="0"/>
                <w:color w:val="auto"/>
                <w:sz w:val="24"/>
                <w:szCs w:val="24"/>
                <w:highlight w:val="none"/>
                <w:lang w:val="en-US" w:eastAsia="zh-CN"/>
              </w:rPr>
              <w:t>派物业人员</w:t>
            </w:r>
            <w:r>
              <w:rPr>
                <w:rFonts w:hint="eastAsia" w:ascii="宋体" w:hAnsi="宋体" w:eastAsia="宋体" w:cs="宋体"/>
                <w:color w:val="auto"/>
                <w:sz w:val="24"/>
                <w:szCs w:val="24"/>
                <w:highlight w:val="none"/>
                <w:lang w:val="en-US" w:eastAsia="zh-CN"/>
              </w:rPr>
              <w:t>身体健康，视力正常，无传染性、肝、肾、心脏、心血管等严重疾病，无不良社会记录等，提供正规医院健康证明，年龄58岁以下（女员工年龄在18-50岁，男员工年龄在18-58岁）。</w:t>
            </w:r>
          </w:p>
          <w:p w14:paraId="2D0E10EB">
            <w:pPr>
              <w:pStyle w:val="24"/>
              <w:keepNext w:val="0"/>
              <w:keepLines w:val="0"/>
              <w:pageBreakBefore w:val="0"/>
              <w:widowControl w:val="0"/>
              <w:kinsoku/>
              <w:wordWrap/>
              <w:overflowPunct/>
              <w:topLinePunct w:val="0"/>
              <w:autoSpaceDE/>
              <w:autoSpaceDN/>
              <w:bidi w:val="0"/>
              <w:snapToGrid/>
              <w:spacing w:line="42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（二）岗位时间安排</w:t>
            </w:r>
          </w:p>
          <w:p w14:paraId="7EE9D964">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 水电工：上午7:30-12:00，下午14:30-18:00。</w:t>
            </w:r>
          </w:p>
          <w:p w14:paraId="09BE901F">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 保洁员：上午7:30-12:00，下午14:30-18:00。</w:t>
            </w:r>
          </w:p>
          <w:p w14:paraId="47813ADD">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 绿化员：上午7:30-12:00，下午14:30-18:00。</w:t>
            </w:r>
          </w:p>
          <w:p w14:paraId="273460E3">
            <w:pPr>
              <w:pStyle w:val="24"/>
              <w:keepNext w:val="0"/>
              <w:keepLines w:val="0"/>
              <w:pageBreakBefore w:val="0"/>
              <w:widowControl w:val="0"/>
              <w:kinsoku/>
              <w:wordWrap/>
              <w:overflowPunct/>
              <w:topLinePunct w:val="0"/>
              <w:autoSpaceDE/>
              <w:autoSpaceDN/>
              <w:bidi w:val="0"/>
              <w:snapToGrid/>
              <w:spacing w:line="42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（注：如所服务单位有特殊要求，具体安排由相关单位自行安排）</w:t>
            </w:r>
          </w:p>
          <w:p w14:paraId="418D3137">
            <w:pPr>
              <w:pStyle w:val="24"/>
              <w:keepNext w:val="0"/>
              <w:keepLines w:val="0"/>
              <w:pageBreakBefore w:val="0"/>
              <w:widowControl w:val="0"/>
              <w:kinsoku/>
              <w:wordWrap/>
              <w:overflowPunct/>
              <w:topLinePunct w:val="0"/>
              <w:autoSpaceDE/>
              <w:autoSpaceDN/>
              <w:bidi w:val="0"/>
              <w:snapToGrid/>
              <w:spacing w:line="42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（二）岗位素质要求</w:t>
            </w:r>
          </w:p>
          <w:p w14:paraId="324C13B0">
            <w:pPr>
              <w:pStyle w:val="24"/>
              <w:keepNext w:val="0"/>
              <w:keepLines w:val="0"/>
              <w:pageBreakBefore w:val="0"/>
              <w:widowControl w:val="0"/>
              <w:kinsoku/>
              <w:wordWrap/>
              <w:overflowPunct/>
              <w:topLinePunct w:val="0"/>
              <w:autoSpaceDE/>
              <w:autoSpaceDN/>
              <w:bidi w:val="0"/>
              <w:snapToGrid/>
              <w:spacing w:line="42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 职业道德规范</w:t>
            </w:r>
          </w:p>
          <w:p w14:paraId="77DA2A55">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（1）敬业爱岗，恪尽职守：勤奋务实，积极投入本职工作，热爱岗位并乐于奉献。</w:t>
            </w:r>
          </w:p>
          <w:p w14:paraId="0622C2AC">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（2）遵纪守法，严守规章：自觉遵守国家法律法规，严格执行公司及校方各项规章制度与劳动纪律。</w:t>
            </w:r>
          </w:p>
          <w:p w14:paraId="0E03C997">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（3）勤学善思，提升技能：主动学习相关知识，持续提升业务能力与服务水准。</w:t>
            </w:r>
          </w:p>
          <w:p w14:paraId="48011F24">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（4）廉洁奉公，维护声誉：爱护公共财产，不以权谋私，自觉维护公司与学校的利益及形象。</w:t>
            </w:r>
          </w:p>
          <w:p w14:paraId="4EC49B3C">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（5）勤俭节约，节能降耗：树立节约意识，在日常工作中践行节约能源、爱惜物资。</w:t>
            </w:r>
          </w:p>
          <w:p w14:paraId="17C89D1B">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（6）团结协作，和谐共事：严于律己，宽以待人，妥善处理个人与集体、同事间关系，具备良好的团队协作精神。</w:t>
            </w:r>
          </w:p>
          <w:p w14:paraId="4DEA4023">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（7）严守秘密，谨言慎行：未经授权，不得对外泄露或传播学校的任何信息与资料。</w:t>
            </w:r>
          </w:p>
          <w:p w14:paraId="34536394">
            <w:pPr>
              <w:pStyle w:val="24"/>
              <w:keepNext w:val="0"/>
              <w:keepLines w:val="0"/>
              <w:pageBreakBefore w:val="0"/>
              <w:widowControl w:val="0"/>
              <w:kinsoku/>
              <w:wordWrap/>
              <w:overflowPunct/>
              <w:topLinePunct w:val="0"/>
              <w:autoSpaceDE/>
              <w:autoSpaceDN/>
              <w:bidi w:val="0"/>
              <w:snapToGrid/>
              <w:spacing w:line="42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 服务意识规范</w:t>
            </w:r>
          </w:p>
          <w:p w14:paraId="170B9CB1">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（1）文明礼貌，举止得体：使用规范用语，谈吐文雅，保持衣着整洁，举止大方端庄。</w:t>
            </w:r>
          </w:p>
          <w:p w14:paraId="73D5278A">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（2）主动热情，真诚服务：以积极热情的态度面对师生，主动识别服务需求，乐于为师生解决实际困难，常面带微笑，态度谦和。</w:t>
            </w:r>
          </w:p>
          <w:p w14:paraId="40A7D03D">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（3）耐心周到，细致入微：服务过程中保持耐心，不厌其烦，虚心听取师生意见，细致解答疑问，力求提供全面、满意的服务。</w:t>
            </w:r>
          </w:p>
          <w:p w14:paraId="53FA4A75">
            <w:pPr>
              <w:pStyle w:val="24"/>
              <w:keepNext w:val="0"/>
              <w:keepLines w:val="0"/>
              <w:pageBreakBefore w:val="0"/>
              <w:widowControl w:val="0"/>
              <w:kinsoku/>
              <w:wordWrap/>
              <w:overflowPunct/>
              <w:topLinePunct w:val="0"/>
              <w:autoSpaceDE/>
              <w:autoSpaceDN/>
              <w:bidi w:val="0"/>
              <w:snapToGrid/>
              <w:spacing w:line="42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 仪容仪表规范</w:t>
            </w:r>
          </w:p>
          <w:p w14:paraId="11EA1A87">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（1）保持个人卫生，着装统一、整洁，工作证应端正佩戴于左胸前。</w:t>
            </w:r>
          </w:p>
          <w:p w14:paraId="429823B5">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（2）工作时间内不得穿短裤、背心、拖鞋等不规范着装进入工作区域。</w:t>
            </w:r>
          </w:p>
          <w:p w14:paraId="3E3CD0F0">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（3）男员工：发长不掩耳、不遮领，每日剃须；保持指甲清洁，不留长指甲；衣着纽扣扣齐，领带紧束（大箭头下端以垂至皮带扣处为准），衬衣下摆应束于裤内。</w:t>
            </w:r>
          </w:p>
          <w:p w14:paraId="3360756A">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（4）女员工：发长不过肩，发型简洁大方，不染怪异发色；不留长指甲，不涂染艳丽指甲油；妆容朴素淡雅，不浓妆艳抹；不穿着黑色或带花纹的丝袜。</w:t>
            </w:r>
          </w:p>
          <w:p w14:paraId="30921965">
            <w:pPr>
              <w:pStyle w:val="24"/>
              <w:keepNext w:val="0"/>
              <w:keepLines w:val="0"/>
              <w:pageBreakBefore w:val="0"/>
              <w:widowControl w:val="0"/>
              <w:kinsoku/>
              <w:wordWrap/>
              <w:overflowPunct/>
              <w:topLinePunct w:val="0"/>
              <w:autoSpaceDE/>
              <w:autoSpaceDN/>
              <w:bidi w:val="0"/>
              <w:snapToGrid/>
              <w:spacing w:line="42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（三）岗位工作职责要求</w:t>
            </w:r>
          </w:p>
          <w:p w14:paraId="5CAC5B72">
            <w:pPr>
              <w:pStyle w:val="24"/>
              <w:keepNext w:val="0"/>
              <w:keepLines w:val="0"/>
              <w:pageBreakBefore w:val="0"/>
              <w:widowControl w:val="0"/>
              <w:kinsoku/>
              <w:wordWrap/>
              <w:overflowPunct/>
              <w:topLinePunct w:val="0"/>
              <w:autoSpaceDE/>
              <w:autoSpaceDN/>
              <w:bidi w:val="0"/>
              <w:snapToGrid/>
              <w:spacing w:line="42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 水电工</w:t>
            </w:r>
          </w:p>
          <w:p w14:paraId="2593AA52">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（1）水电综合维修：</w:t>
            </w:r>
          </w:p>
          <w:p w14:paraId="4D1E117C">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 熟悉并遵守相关法规及各项规章制度，熟练掌握应急预案。</w:t>
            </w:r>
          </w:p>
          <w:p w14:paraId="139A8CD0">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 持证上岗，定期培训。</w:t>
            </w:r>
          </w:p>
          <w:p w14:paraId="6B6A4702">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 熟悉辖区内水电线路、开关等设施设备功能及分布情况。熟练掌握相关维修技能，严格执行操作规程。</w:t>
            </w:r>
          </w:p>
          <w:p w14:paraId="08AE230E">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④</w:t>
            </w:r>
            <w:r>
              <w:rPr>
                <w:rFonts w:hint="eastAsia" w:ascii="宋体" w:hAnsi="宋体" w:eastAsia="宋体" w:cs="宋体"/>
                <w:color w:val="auto"/>
                <w:sz w:val="24"/>
                <w:szCs w:val="24"/>
                <w:highlight w:val="none"/>
                <w:lang w:val="en-US" w:eastAsia="zh-CN"/>
              </w:rPr>
              <w:t xml:space="preserve"> 定时巡检水电线路等设施设备，填写记录，保持完好运行，发现问题时，应准确判断，及时处理。</w:t>
            </w:r>
          </w:p>
          <w:p w14:paraId="0509BDBA">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⑤</w:t>
            </w:r>
            <w:r>
              <w:rPr>
                <w:rFonts w:hint="eastAsia" w:ascii="宋体" w:hAnsi="宋体" w:eastAsia="宋体" w:cs="宋体"/>
                <w:color w:val="auto"/>
                <w:sz w:val="24"/>
                <w:szCs w:val="24"/>
                <w:highlight w:val="none"/>
                <w:lang w:val="en-US" w:eastAsia="zh-CN"/>
              </w:rPr>
              <w:t xml:space="preserve"> 接到报修后60分钟内到达现场，维修合格率达100%。水电抢修不过夜。</w:t>
            </w:r>
          </w:p>
          <w:p w14:paraId="6C4B2963">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⑥</w:t>
            </w:r>
            <w:r>
              <w:rPr>
                <w:rFonts w:hint="eastAsia" w:ascii="宋体" w:hAnsi="宋体" w:eastAsia="宋体" w:cs="宋体"/>
                <w:color w:val="auto"/>
                <w:sz w:val="24"/>
                <w:szCs w:val="24"/>
                <w:highlight w:val="none"/>
                <w:lang w:val="en-US" w:eastAsia="zh-CN"/>
              </w:rPr>
              <w:t xml:space="preserve"> 供配电室及室外变台、箱变、低压配电室双人巡检维护。</w:t>
            </w:r>
          </w:p>
          <w:p w14:paraId="7AC24846">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⑦</w:t>
            </w:r>
            <w:r>
              <w:rPr>
                <w:rFonts w:hint="eastAsia" w:ascii="宋体" w:hAnsi="宋体" w:eastAsia="宋体" w:cs="宋体"/>
                <w:color w:val="auto"/>
                <w:sz w:val="24"/>
                <w:szCs w:val="24"/>
                <w:highlight w:val="none"/>
                <w:lang w:val="en-US" w:eastAsia="zh-CN"/>
              </w:rPr>
              <w:t xml:space="preserve"> 停送电操作，应填写相关工作票，做好安全组织，按规范程序操作。</w:t>
            </w:r>
          </w:p>
          <w:p w14:paraId="4F54446A">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⑧</w:t>
            </w:r>
            <w:r>
              <w:rPr>
                <w:rFonts w:hint="eastAsia" w:ascii="宋体" w:hAnsi="宋体" w:eastAsia="宋体" w:cs="宋体"/>
                <w:color w:val="auto"/>
                <w:sz w:val="24"/>
                <w:szCs w:val="24"/>
                <w:highlight w:val="none"/>
                <w:lang w:val="en-US" w:eastAsia="zh-CN"/>
              </w:rPr>
              <w:t xml:space="preserve"> 定期检查避雷、接地设施完好性，定期进行相关试验。</w:t>
            </w:r>
          </w:p>
          <w:p w14:paraId="57F09B34">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⑨</w:t>
            </w:r>
            <w:r>
              <w:rPr>
                <w:rFonts w:hint="eastAsia" w:ascii="宋体" w:hAnsi="宋体" w:eastAsia="宋体" w:cs="宋体"/>
                <w:color w:val="auto"/>
                <w:sz w:val="24"/>
                <w:szCs w:val="24"/>
                <w:highlight w:val="none"/>
                <w:lang w:val="en-US" w:eastAsia="zh-CN"/>
              </w:rPr>
              <w:t xml:space="preserve"> 按规范要求，配置安全防护设施，定时清扫设备及配电室卫生。</w:t>
            </w:r>
          </w:p>
          <w:p w14:paraId="1ADDF4CB">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⑩</w:t>
            </w:r>
            <w:r>
              <w:rPr>
                <w:rFonts w:hint="eastAsia" w:ascii="宋体" w:hAnsi="宋体" w:eastAsia="宋体" w:cs="宋体"/>
                <w:color w:val="auto"/>
                <w:sz w:val="24"/>
                <w:szCs w:val="24"/>
                <w:highlight w:val="none"/>
                <w:lang w:val="en-US" w:eastAsia="zh-CN"/>
              </w:rPr>
              <w:t xml:space="preserve"> 制定并组织实施设备维保计划。</w:t>
            </w:r>
          </w:p>
          <w:p w14:paraId="1E79ED69">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（2）公共设施小型维修：</w:t>
            </w:r>
          </w:p>
          <w:p w14:paraId="79202BBC">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lang w:val="en-US" w:eastAsia="zh-CN"/>
              </w:rPr>
              <w:t xml:space="preserve"> 熟悉并遵守相关法规及各项规章制度，熟练掌握应急预案。</w:t>
            </w:r>
          </w:p>
          <w:p w14:paraId="2038DFBA">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val="en-US" w:eastAsia="zh-CN"/>
              </w:rPr>
              <w:t xml:space="preserve"> 定期培训，特种作业必须持证上岗。</w:t>
            </w:r>
          </w:p>
          <w:p w14:paraId="72DCC969">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lang w:val="en-US" w:eastAsia="zh-CN"/>
              </w:rPr>
              <w:t xml:space="preserve"> 辖区内建筑设施维修，包括：房屋、门窗、学生宿舍门锁家具、道路、广场、管井、化粪池、景观小品等设施。</w:t>
            </w:r>
          </w:p>
          <w:p w14:paraId="4D84DA32">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④</w:t>
            </w:r>
            <w:r>
              <w:rPr>
                <w:rFonts w:hint="eastAsia" w:ascii="宋体" w:hAnsi="宋体" w:eastAsia="宋体" w:cs="宋体"/>
                <w:color w:val="auto"/>
                <w:sz w:val="24"/>
                <w:szCs w:val="24"/>
                <w:highlight w:val="none"/>
                <w:lang w:val="en-US" w:eastAsia="zh-CN"/>
              </w:rPr>
              <w:t xml:space="preserve"> 定时巡检，填写记录，保持设施完好，发现问题时，应准确判断，及时处理。</w:t>
            </w:r>
          </w:p>
          <w:p w14:paraId="6F41CCB8">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⑤接到报修后60分钟内到达现场，维修合格率达100%。</w:t>
            </w:r>
          </w:p>
          <w:p w14:paraId="26E1C236">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⑥常备配件类维修，自接到报修后应当日修复。</w:t>
            </w:r>
          </w:p>
          <w:p w14:paraId="63EBA105">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⑦外购配件及土建类维修，自接到报修之日起应3日内修复。</w:t>
            </w:r>
          </w:p>
          <w:p w14:paraId="12A721A1">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⑧雨季做好本职防汛工作，排查有关隐患。</w:t>
            </w:r>
          </w:p>
          <w:p w14:paraId="01E09ABB">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➈提出专项修缮建议。</w:t>
            </w:r>
          </w:p>
          <w:p w14:paraId="48944CFF">
            <w:pPr>
              <w:pStyle w:val="24"/>
              <w:keepNext w:val="0"/>
              <w:keepLines w:val="0"/>
              <w:pageBreakBefore w:val="0"/>
              <w:widowControl w:val="0"/>
              <w:kinsoku/>
              <w:wordWrap/>
              <w:overflowPunct/>
              <w:topLinePunct w:val="0"/>
              <w:autoSpaceDE/>
              <w:autoSpaceDN/>
              <w:bidi w:val="0"/>
              <w:snapToGrid/>
              <w:spacing w:line="42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 保洁员</w:t>
            </w:r>
          </w:p>
          <w:p w14:paraId="1B5EAD62">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（1）熟悉并遵守相关法规及各项规章制度。保洁服务讲求文明礼貌。</w:t>
            </w:r>
          </w:p>
          <w:p w14:paraId="2E9CDE73">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（2）以下公共区域的设施设备要保持整洁：墙壁、门窗、玻璃、照明、地墙面、楼梯、扶手、水房、卫生间、天花板、标识牌、消防、水暖电气、电梯、宣传栏等。</w:t>
            </w:r>
          </w:p>
          <w:p w14:paraId="37E587C2">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（3）公共卫生间要保持空气清新、洁具明亮，无异味、无积水、无污垢。</w:t>
            </w:r>
          </w:p>
          <w:p w14:paraId="7301723F">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（4）楼宇周边，要保持环境整洁、各种车辆整齐有序。</w:t>
            </w:r>
          </w:p>
          <w:p w14:paraId="3179FACC">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（5）雨、雪天气时，负责清扫责任区的积水和积雪。</w:t>
            </w:r>
          </w:p>
          <w:p w14:paraId="54449B76">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（6）捡拾遗失物品应登记备案、完好交还失主。</w:t>
            </w:r>
          </w:p>
          <w:p w14:paraId="17DFAFC9">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（7）发现火情、治安事件、嫌疑人员、可疑现象、水暖跑冒、燃气泄漏等紧急情况，应及时上报并协助处理。</w:t>
            </w:r>
          </w:p>
          <w:p w14:paraId="4D205C56">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绿化员</w:t>
            </w:r>
          </w:p>
          <w:p w14:paraId="30A6F22C">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（1）熟悉并遵守相关法规及各项规章制度，熟练掌握应急预案。</w:t>
            </w:r>
          </w:p>
          <w:p w14:paraId="3E8D1A4C">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（2）熟悉花草树木名称、习性和养护，定期进行培训。</w:t>
            </w:r>
          </w:p>
          <w:p w14:paraId="26F2FFD0">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（3）做好辖区乔灌草等植物的修剪、施肥、浇水、除草等工作，保持植物生长状态良好，形状美观。</w:t>
            </w:r>
          </w:p>
          <w:p w14:paraId="00282EF6">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（4）有效利用生物、化学、物理方法防控病虫害。</w:t>
            </w:r>
          </w:p>
          <w:p w14:paraId="61C6495F">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（5）熟练使用、维护园林机械设备和喷灌设施。</w:t>
            </w:r>
          </w:p>
          <w:p w14:paraId="6BFDDC72">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（6）熟练掌握种植、移植技术。</w:t>
            </w:r>
          </w:p>
          <w:p w14:paraId="246E6FD2">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（7）保持绿地整洁无杂物、无污染物。</w:t>
            </w:r>
          </w:p>
          <w:p w14:paraId="1E72BF96">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（8）按规范要求，有效维护古树健康生长。</w:t>
            </w:r>
          </w:p>
          <w:p w14:paraId="66A64013">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（9）做好防范植物倒伏隐患排查工作。</w:t>
            </w:r>
          </w:p>
          <w:p w14:paraId="1B5B2B02">
            <w:pPr>
              <w:pStyle w:val="24"/>
              <w:keepNext w:val="0"/>
              <w:keepLines w:val="0"/>
              <w:pageBreakBefore w:val="0"/>
              <w:widowControl w:val="0"/>
              <w:kinsoku/>
              <w:wordWrap/>
              <w:overflowPunct/>
              <w:topLinePunct w:val="0"/>
              <w:autoSpaceDE/>
              <w:autoSpaceDN/>
              <w:bidi w:val="0"/>
              <w:snapToGrid/>
              <w:spacing w:line="42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四、档案管理要求</w:t>
            </w:r>
          </w:p>
          <w:p w14:paraId="50C3BC7D">
            <w:pPr>
              <w:pStyle w:val="24"/>
              <w:keepNext w:val="0"/>
              <w:keepLines w:val="0"/>
              <w:pageBreakBefore w:val="0"/>
              <w:widowControl w:val="0"/>
              <w:kinsoku/>
              <w:wordWrap/>
              <w:overflowPunct/>
              <w:topLinePunct w:val="0"/>
              <w:autoSpaceDE/>
              <w:autoSpaceDN/>
              <w:bidi w:val="0"/>
              <w:snapToGrid/>
              <w:spacing w:line="42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须建立并妥善保管包括但不限于：员工档案与培训记录、日常巡检与维修日志、设备设施保养台账、考核记录、消杀记录、宿舍管理值班与检查记录等全套物业管理档案，供学校随时抽查。</w:t>
            </w:r>
          </w:p>
        </w:tc>
      </w:tr>
      <w:tr w14:paraId="6E97E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67" w:type="dxa"/>
            <w:gridSpan w:val="2"/>
            <w:vMerge w:val="continue"/>
            <w:vAlign w:val="center"/>
          </w:tcPr>
          <w:p w14:paraId="05CF6C6B">
            <w:pPr>
              <w:keepNext w:val="0"/>
              <w:keepLines w:val="0"/>
              <w:pageBreakBefore w:val="0"/>
              <w:widowControl w:val="0"/>
              <w:kinsoku/>
              <w:wordWrap w:val="0"/>
              <w:overflowPunct/>
              <w:topLinePunct w:val="0"/>
              <w:autoSpaceDE/>
              <w:autoSpaceDN/>
              <w:bidi w:val="0"/>
              <w:adjustRightInd w:val="0"/>
              <w:snapToGrid/>
              <w:spacing w:line="520" w:lineRule="exact"/>
              <w:ind w:left="210" w:hanging="240" w:hangingChars="100"/>
              <w:jc w:val="left"/>
              <w:rPr>
                <w:rFonts w:hint="default" w:ascii="Times New Roman" w:hAnsi="Times New Roman" w:eastAsia="仿宋_GB2312" w:cs="Times New Roman"/>
                <w:color w:val="auto"/>
                <w:sz w:val="24"/>
                <w:szCs w:val="24"/>
                <w:highlight w:val="none"/>
              </w:rPr>
            </w:pPr>
          </w:p>
        </w:tc>
      </w:tr>
      <w:tr w14:paraId="3EC56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67" w:type="dxa"/>
            <w:gridSpan w:val="2"/>
            <w:vMerge w:val="continue"/>
            <w:vAlign w:val="center"/>
          </w:tcPr>
          <w:p w14:paraId="1D350D0E">
            <w:pPr>
              <w:keepNext w:val="0"/>
              <w:keepLines w:val="0"/>
              <w:pageBreakBefore w:val="0"/>
              <w:widowControl w:val="0"/>
              <w:kinsoku/>
              <w:wordWrap w:val="0"/>
              <w:overflowPunct/>
              <w:topLinePunct w:val="0"/>
              <w:autoSpaceDE/>
              <w:autoSpaceDN/>
              <w:bidi w:val="0"/>
              <w:adjustRightInd w:val="0"/>
              <w:snapToGrid/>
              <w:spacing w:line="520" w:lineRule="exact"/>
              <w:ind w:left="210" w:hanging="240" w:hangingChars="100"/>
              <w:jc w:val="left"/>
              <w:rPr>
                <w:rFonts w:hint="default" w:ascii="Times New Roman" w:hAnsi="Times New Roman" w:eastAsia="仿宋_GB2312" w:cs="Times New Roman"/>
                <w:color w:val="auto"/>
                <w:sz w:val="24"/>
                <w:szCs w:val="24"/>
                <w:highlight w:val="none"/>
              </w:rPr>
            </w:pPr>
          </w:p>
        </w:tc>
      </w:tr>
      <w:tr w14:paraId="425EB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67" w:type="dxa"/>
            <w:gridSpan w:val="2"/>
            <w:vMerge w:val="continue"/>
            <w:vAlign w:val="center"/>
          </w:tcPr>
          <w:p w14:paraId="251287E9">
            <w:pPr>
              <w:keepNext w:val="0"/>
              <w:keepLines w:val="0"/>
              <w:pageBreakBefore w:val="0"/>
              <w:widowControl w:val="0"/>
              <w:kinsoku/>
              <w:wordWrap w:val="0"/>
              <w:overflowPunct/>
              <w:topLinePunct w:val="0"/>
              <w:autoSpaceDE/>
              <w:autoSpaceDN/>
              <w:bidi w:val="0"/>
              <w:adjustRightInd w:val="0"/>
              <w:snapToGrid/>
              <w:spacing w:line="520" w:lineRule="exact"/>
              <w:ind w:left="210" w:hanging="240" w:hangingChars="100"/>
              <w:jc w:val="left"/>
              <w:rPr>
                <w:rFonts w:hint="default" w:ascii="Times New Roman" w:hAnsi="Times New Roman" w:eastAsia="仿宋_GB2312" w:cs="Times New Roman"/>
                <w:color w:val="auto"/>
                <w:sz w:val="24"/>
                <w:szCs w:val="24"/>
                <w:highlight w:val="none"/>
              </w:rPr>
            </w:pPr>
          </w:p>
        </w:tc>
      </w:tr>
      <w:tr w14:paraId="478FD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67" w:type="dxa"/>
            <w:gridSpan w:val="2"/>
            <w:vMerge w:val="continue"/>
            <w:vAlign w:val="center"/>
          </w:tcPr>
          <w:p w14:paraId="4555CF18">
            <w:pPr>
              <w:keepNext w:val="0"/>
              <w:keepLines w:val="0"/>
              <w:pageBreakBefore w:val="0"/>
              <w:widowControl w:val="0"/>
              <w:kinsoku/>
              <w:wordWrap w:val="0"/>
              <w:overflowPunct/>
              <w:topLinePunct w:val="0"/>
              <w:autoSpaceDE/>
              <w:autoSpaceDN/>
              <w:bidi w:val="0"/>
              <w:adjustRightInd w:val="0"/>
              <w:snapToGrid/>
              <w:spacing w:line="520" w:lineRule="exact"/>
              <w:ind w:left="210" w:hanging="240" w:hangingChars="100"/>
              <w:jc w:val="left"/>
              <w:rPr>
                <w:rFonts w:hint="default" w:ascii="Times New Roman" w:hAnsi="Times New Roman" w:eastAsia="仿宋_GB2312" w:cs="Times New Roman"/>
                <w:color w:val="auto"/>
                <w:sz w:val="24"/>
                <w:szCs w:val="24"/>
                <w:highlight w:val="none"/>
              </w:rPr>
            </w:pPr>
          </w:p>
        </w:tc>
      </w:tr>
      <w:tr w14:paraId="4A2CD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67" w:type="dxa"/>
            <w:gridSpan w:val="2"/>
            <w:vMerge w:val="continue"/>
            <w:vAlign w:val="center"/>
          </w:tcPr>
          <w:p w14:paraId="59DE3F2F">
            <w:pPr>
              <w:keepNext w:val="0"/>
              <w:keepLines w:val="0"/>
              <w:pageBreakBefore w:val="0"/>
              <w:widowControl w:val="0"/>
              <w:kinsoku/>
              <w:wordWrap w:val="0"/>
              <w:overflowPunct/>
              <w:topLinePunct w:val="0"/>
              <w:autoSpaceDE/>
              <w:autoSpaceDN/>
              <w:bidi w:val="0"/>
              <w:adjustRightInd w:val="0"/>
              <w:snapToGrid/>
              <w:spacing w:line="520" w:lineRule="exact"/>
              <w:ind w:left="210" w:hanging="240" w:hangingChars="100"/>
              <w:jc w:val="left"/>
              <w:rPr>
                <w:rFonts w:hint="default" w:ascii="Times New Roman" w:hAnsi="Times New Roman" w:eastAsia="仿宋_GB2312" w:cs="Times New Roman"/>
                <w:color w:val="auto"/>
                <w:sz w:val="24"/>
                <w:szCs w:val="24"/>
                <w:highlight w:val="none"/>
              </w:rPr>
            </w:pPr>
          </w:p>
        </w:tc>
      </w:tr>
      <w:tr w14:paraId="6FE10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67" w:type="dxa"/>
            <w:gridSpan w:val="2"/>
            <w:vMerge w:val="continue"/>
            <w:vAlign w:val="center"/>
          </w:tcPr>
          <w:p w14:paraId="16D7DE1D">
            <w:pPr>
              <w:keepNext w:val="0"/>
              <w:keepLines w:val="0"/>
              <w:pageBreakBefore w:val="0"/>
              <w:widowControl w:val="0"/>
              <w:kinsoku/>
              <w:wordWrap w:val="0"/>
              <w:overflowPunct/>
              <w:topLinePunct w:val="0"/>
              <w:autoSpaceDE/>
              <w:autoSpaceDN/>
              <w:bidi w:val="0"/>
              <w:adjustRightInd w:val="0"/>
              <w:snapToGrid/>
              <w:spacing w:line="520" w:lineRule="exact"/>
              <w:ind w:left="210" w:hanging="240" w:hangingChars="100"/>
              <w:jc w:val="left"/>
              <w:rPr>
                <w:rFonts w:hint="default" w:ascii="Times New Roman" w:hAnsi="Times New Roman" w:eastAsia="仿宋_GB2312" w:cs="Times New Roman"/>
                <w:color w:val="auto"/>
                <w:sz w:val="24"/>
                <w:szCs w:val="24"/>
                <w:highlight w:val="none"/>
              </w:rPr>
            </w:pPr>
          </w:p>
        </w:tc>
      </w:tr>
      <w:tr w14:paraId="70772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67" w:type="dxa"/>
            <w:gridSpan w:val="2"/>
            <w:vMerge w:val="continue"/>
            <w:vAlign w:val="center"/>
          </w:tcPr>
          <w:p w14:paraId="0F921673">
            <w:pPr>
              <w:keepNext w:val="0"/>
              <w:keepLines w:val="0"/>
              <w:pageBreakBefore w:val="0"/>
              <w:widowControl w:val="0"/>
              <w:kinsoku/>
              <w:wordWrap w:val="0"/>
              <w:overflowPunct/>
              <w:topLinePunct w:val="0"/>
              <w:autoSpaceDE/>
              <w:autoSpaceDN/>
              <w:bidi w:val="0"/>
              <w:adjustRightInd w:val="0"/>
              <w:snapToGrid/>
              <w:spacing w:line="520" w:lineRule="exact"/>
              <w:ind w:left="210" w:hanging="240" w:hangingChars="100"/>
              <w:jc w:val="left"/>
              <w:rPr>
                <w:rFonts w:hint="default" w:ascii="Times New Roman" w:hAnsi="Times New Roman" w:eastAsia="仿宋_GB2312" w:cs="Times New Roman"/>
                <w:color w:val="auto"/>
                <w:sz w:val="24"/>
                <w:szCs w:val="24"/>
                <w:highlight w:val="none"/>
              </w:rPr>
            </w:pPr>
          </w:p>
        </w:tc>
      </w:tr>
      <w:tr w14:paraId="5EB0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67" w:type="dxa"/>
            <w:gridSpan w:val="2"/>
            <w:vMerge w:val="continue"/>
            <w:vAlign w:val="center"/>
          </w:tcPr>
          <w:p w14:paraId="6673DFC1">
            <w:pPr>
              <w:keepNext w:val="0"/>
              <w:keepLines w:val="0"/>
              <w:pageBreakBefore w:val="0"/>
              <w:widowControl w:val="0"/>
              <w:kinsoku/>
              <w:wordWrap w:val="0"/>
              <w:overflowPunct/>
              <w:topLinePunct w:val="0"/>
              <w:autoSpaceDE/>
              <w:autoSpaceDN/>
              <w:bidi w:val="0"/>
              <w:adjustRightInd w:val="0"/>
              <w:snapToGrid/>
              <w:spacing w:line="520" w:lineRule="exact"/>
              <w:ind w:left="210" w:hanging="240" w:hangingChars="100"/>
              <w:jc w:val="left"/>
              <w:rPr>
                <w:rFonts w:hint="default" w:ascii="Times New Roman" w:hAnsi="Times New Roman" w:eastAsia="仿宋_GB2312" w:cs="Times New Roman"/>
                <w:color w:val="auto"/>
                <w:sz w:val="24"/>
                <w:szCs w:val="24"/>
                <w:highlight w:val="none"/>
              </w:rPr>
            </w:pPr>
          </w:p>
        </w:tc>
      </w:tr>
      <w:tr w14:paraId="1B963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67" w:type="dxa"/>
            <w:gridSpan w:val="2"/>
            <w:vMerge w:val="continue"/>
            <w:vAlign w:val="center"/>
          </w:tcPr>
          <w:p w14:paraId="5433A870">
            <w:pPr>
              <w:keepNext w:val="0"/>
              <w:keepLines w:val="0"/>
              <w:pageBreakBefore w:val="0"/>
              <w:widowControl w:val="0"/>
              <w:kinsoku/>
              <w:wordWrap w:val="0"/>
              <w:overflowPunct/>
              <w:topLinePunct w:val="0"/>
              <w:autoSpaceDE/>
              <w:autoSpaceDN/>
              <w:bidi w:val="0"/>
              <w:adjustRightInd w:val="0"/>
              <w:snapToGrid/>
              <w:spacing w:line="520" w:lineRule="exact"/>
              <w:ind w:left="210" w:hanging="240" w:hangingChars="100"/>
              <w:jc w:val="left"/>
              <w:rPr>
                <w:rFonts w:hint="default" w:ascii="Times New Roman" w:hAnsi="Times New Roman" w:eastAsia="仿宋_GB2312" w:cs="Times New Roman"/>
                <w:color w:val="auto"/>
                <w:sz w:val="24"/>
                <w:szCs w:val="24"/>
                <w:highlight w:val="none"/>
              </w:rPr>
            </w:pPr>
          </w:p>
        </w:tc>
      </w:tr>
      <w:tr w14:paraId="56001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67" w:type="dxa"/>
            <w:gridSpan w:val="2"/>
            <w:vAlign w:val="center"/>
          </w:tcPr>
          <w:p w14:paraId="6996D1CB">
            <w:pPr>
              <w:spacing w:line="440" w:lineRule="exact"/>
              <w:ind w:firstLine="720" w:firstLineChars="200"/>
              <w:jc w:val="left"/>
              <w:rPr>
                <w:rFonts w:hint="default" w:ascii="Times New Roman" w:hAnsi="Times New Roman" w:eastAsia="仿宋_GB2312" w:cs="Times New Roman"/>
                <w:color w:val="auto"/>
                <w:sz w:val="24"/>
                <w:szCs w:val="24"/>
                <w:highlight w:val="none"/>
              </w:rPr>
            </w:pPr>
            <w:r>
              <w:rPr>
                <w:rFonts w:hint="eastAsia" w:ascii="宋体" w:hAnsi="宋体" w:eastAsia="宋体" w:cs="宋体"/>
                <w:bCs/>
                <w:color w:val="auto"/>
                <w:sz w:val="36"/>
                <w:szCs w:val="36"/>
                <w:highlight w:val="none"/>
              </w:rPr>
              <w:t>★</w:t>
            </w:r>
            <w:r>
              <w:rPr>
                <w:rFonts w:hint="eastAsia" w:ascii="宋体" w:hAnsi="宋体" w:eastAsia="宋体" w:cs="宋体"/>
                <w:b/>
                <w:color w:val="auto"/>
                <w:sz w:val="36"/>
                <w:szCs w:val="36"/>
                <w:highlight w:val="none"/>
              </w:rPr>
              <w:t>商务要求</w:t>
            </w:r>
          </w:p>
        </w:tc>
      </w:tr>
      <w:tr w14:paraId="768C5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41" w:type="dxa"/>
            <w:vAlign w:val="center"/>
          </w:tcPr>
          <w:p w14:paraId="242949D5">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投标报价要求</w:t>
            </w:r>
          </w:p>
        </w:tc>
        <w:tc>
          <w:tcPr>
            <w:tcW w:w="8526" w:type="dxa"/>
            <w:vAlign w:val="center"/>
          </w:tcPr>
          <w:p w14:paraId="4CD2CE6E">
            <w:pPr>
              <w:keepNext w:val="0"/>
              <w:keepLines w:val="0"/>
              <w:pageBreakBefore w:val="0"/>
              <w:widowControl/>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1.投标报价包含人员工资、培训、服装、奖金、五险、其他必要的保险等营业成本以及利润、物业管理服务中所发生的各项税收等费用。</w:t>
            </w:r>
          </w:p>
          <w:p w14:paraId="04986053">
            <w:pPr>
              <w:keepNext w:val="0"/>
              <w:keepLines w:val="0"/>
              <w:pageBreakBefore w:val="0"/>
              <w:widowControl/>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2.供应商报价须列明各服务单位（各学校）的投入服务人数及报价。各学校的报价不得超过该服务单位的投标最高限价。</w:t>
            </w:r>
          </w:p>
        </w:tc>
      </w:tr>
      <w:tr w14:paraId="0C2DF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41" w:type="dxa"/>
            <w:vAlign w:val="center"/>
          </w:tcPr>
          <w:p w14:paraId="10C5C595">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合同签订</w:t>
            </w:r>
          </w:p>
        </w:tc>
        <w:tc>
          <w:tcPr>
            <w:tcW w:w="8526" w:type="dxa"/>
            <w:vAlign w:val="center"/>
          </w:tcPr>
          <w:p w14:paraId="5EA770A9">
            <w:pPr>
              <w:keepNext w:val="0"/>
              <w:keepLines w:val="0"/>
              <w:pageBreakBefore w:val="0"/>
              <w:widowControl/>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按照政府采购有关规定，由市教育局、服务单位与成交供应商公司三方签订合同，在合同中明确各自的权利、义务及责任，切实履行协议内容。中标人须接受采购人和服务单位（各学校）的共同管理。</w:t>
            </w:r>
          </w:p>
        </w:tc>
      </w:tr>
      <w:tr w14:paraId="1FDBA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41" w:type="dxa"/>
            <w:vAlign w:val="center"/>
          </w:tcPr>
          <w:p w14:paraId="4B899122">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服务期限及地点</w:t>
            </w:r>
          </w:p>
        </w:tc>
        <w:tc>
          <w:tcPr>
            <w:tcW w:w="8526" w:type="dxa"/>
            <w:vAlign w:val="center"/>
          </w:tcPr>
          <w:p w14:paraId="4AC346D9">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1.服务的时间：自签订合同完成并开始履行之日起2年。 </w:t>
            </w:r>
          </w:p>
          <w:p w14:paraId="0157E3DE">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服务的地点：北海市第一幼儿园、北海市第二幼儿园、北海市第三幼儿园、北海市第一中学、北海市第五中学、北海市第八中学、北海市第十三中学、北海市特殊教育学校、北海市实验学校、北海市外国语实验学校。</w:t>
            </w:r>
          </w:p>
        </w:tc>
      </w:tr>
      <w:tr w14:paraId="33B5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41" w:type="dxa"/>
            <w:vAlign w:val="center"/>
          </w:tcPr>
          <w:p w14:paraId="4E6F425E">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服务要求</w:t>
            </w:r>
          </w:p>
        </w:tc>
        <w:tc>
          <w:tcPr>
            <w:tcW w:w="8526" w:type="dxa"/>
            <w:vAlign w:val="center"/>
          </w:tcPr>
          <w:p w14:paraId="190E2D60">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中标人按照所服务单位划定的工作范围、工作内容及管理目标成立相关机构，制定相应工作流程、工作制度、监督考核办法，合理安排人员，科学管理，严格要求，达标运行。接受市教育局、所服务单位及相关职能部门的监督、检查、指导，发现问题及时沟通、整改，保证规范运行。</w:t>
            </w:r>
          </w:p>
          <w:p w14:paraId="601AFB02">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2.中标人须为聘用员工购买基本社会保险，对员工的疾病和人身安全负责，采购人不承担责任。</w:t>
            </w:r>
          </w:p>
          <w:p w14:paraId="0E91E1C0">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每季度接受所服务单位质量考核（按照招标文件、投标文件及合同条款标准进行考核），未达标准的从当季度应付款中扣除10‰服务费。连续两季度达不到标准且未及时整改的，所服务单位向采购人书面报告，且采购人有权终止合同。</w:t>
            </w:r>
          </w:p>
          <w:p w14:paraId="633050C8">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4.中标人须全部接收原负责所服务单位有意愿继续留下工作的服务人员，确保他们的工资待遇不低于北海市最低工资加社保。</w:t>
            </w:r>
          </w:p>
          <w:p w14:paraId="6BFF3588">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5.中标人的服务工作人员必须经过上岗前培训，符合国家有关劳动用工的法律法规。上班时必须佩戴工卡、穿统一制服。</w:t>
            </w:r>
          </w:p>
          <w:p w14:paraId="4C505D95">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6.管理范围内发生的人身伤害、物品被盗、人为损坏设备设施，属中标人及其工作人员管理不善原因造成的，由中标人负责赔偿。</w:t>
            </w:r>
          </w:p>
          <w:p w14:paraId="5BEB57F0">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中标人工作人员应固定保持在90%以上，凡更换人员必须向所服务单位申请，经所服务单位和教育局同意后方可更换，并做好交接班工作，若因交接班衔接不好，致使所服务单位工作受到影响者，按考核制度处罚。</w:t>
            </w:r>
          </w:p>
          <w:p w14:paraId="731BE879">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中标人在提供管理服务时必须做好各项安全防范措施，中标人所有工作人员在合约期间如发生任何人身意外（生病、伤亡事故）、事故、触犯法律法规（包括劳动用工制度、发生劳资纠纷、所服务单位的规章制度等）、或损坏学校的设施和物品，由中标人负责处理并承担经济和责任。</w:t>
            </w:r>
          </w:p>
          <w:p w14:paraId="42BDA36F">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若中标人违约，未能达到招标文件中约定的管理目标，所服务单位有权要求中标人在规定时间内进行整改；如中标人未能按时整改，所服务单位有权向教育局申请与中标人解除合同，中标人须承担违约责任；造成所服务单位和教育局经济损失的，按造成的实际损失予以赔偿。</w:t>
            </w:r>
          </w:p>
          <w:p w14:paraId="3A9EAFC9">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10.若中标人擅自转包、分包，或以任何形式与第三方进行合作的属违约，一经查实，中标人应向所服务单位及教育局承担违约责任，所服务单位和教育局有权解除合同。</w:t>
            </w:r>
          </w:p>
          <w:p w14:paraId="6CD7BD4A">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11.中标人若违背本招标文件中确定的义务，必须承担违约责任。</w:t>
            </w:r>
          </w:p>
          <w:p w14:paraId="275E8274">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12.中标人及其工作人员在所服务单位交由中标人管理和服务的工作区域内违法犯罪属实，中标人应赔偿并承担相应的法律责任，并不得再使用有关员工。</w:t>
            </w:r>
          </w:p>
          <w:p w14:paraId="7238BC37">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13.服务人员要求：</w:t>
            </w:r>
          </w:p>
          <w:p w14:paraId="3A006A90">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（1）用工人数不少于各服务单位要求的人数。</w:t>
            </w:r>
          </w:p>
          <w:p w14:paraId="67824AC2">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（2）上岗人员必须经过岗前培训。</w:t>
            </w:r>
          </w:p>
          <w:p w14:paraId="36BD7026">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（3）上岗人员的服装及所有的福利由</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承担。</w:t>
            </w:r>
          </w:p>
          <w:p w14:paraId="25DC806A">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（4）对于不服从安排的服务人员，</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需向所服务单位及教育局进行书面申请，并在采购人同意后的2个工作日内替换新的服务人员。</w:t>
            </w:r>
          </w:p>
        </w:tc>
      </w:tr>
      <w:tr w14:paraId="3F508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41" w:type="dxa"/>
            <w:vAlign w:val="center"/>
          </w:tcPr>
          <w:p w14:paraId="6CD57F06">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考核要求</w:t>
            </w:r>
          </w:p>
        </w:tc>
        <w:tc>
          <w:tcPr>
            <w:tcW w:w="8526" w:type="dxa"/>
            <w:vAlign w:val="center"/>
          </w:tcPr>
          <w:p w14:paraId="7A58ACF8">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1.对当班工作人员要严加管理，发生空岗、缺岗、脱岗、睡岗、上岗前喝酒（以人为记录和电子记录为准）等行为的，每次处罚100元，严重行为即时更换并处理。</w:t>
            </w:r>
          </w:p>
          <w:p w14:paraId="185FF390">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2.发生不法分子对所服务单位的干扰，特别是暴恐和盗窃事件不及时妥善处理（阻止、制止、控制）的，每次处罚</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1000—3000元。</w:t>
            </w:r>
          </w:p>
          <w:p w14:paraId="2B801D24">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3.当班人员责任心不强，服务不到位导致公共设施被盗、被破坏的，</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及当班人员应共同承担相应的法律及经济损失赔偿责任，责任的界定由所服务单位确定或由公安司法部门裁定。</w:t>
            </w:r>
          </w:p>
          <w:p w14:paraId="1B3F99C2">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4.当班人员须着规定制服上班，不穿制服上班的，每人每次扣100元。</w:t>
            </w:r>
          </w:p>
          <w:p w14:paraId="54CABD13">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在所服务单位所属范围内开展工作，做到不迟到，不早退。有交接班的岗位须提前10分钟到达交接地点，并认真做好交接班工作，检查所配装备是否完好有效，并填报《值班交接记录表》。上班迟到、早退达到10分钟的每人每次扣50元，迟到、早退超过30分钟的算旷工。</w:t>
            </w:r>
          </w:p>
          <w:p w14:paraId="42E9B631">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6.不开展交接班工作的，每人每次50元。因交接班工作盘点财物不到位造成损失的由交接班双方共同承担。</w:t>
            </w:r>
          </w:p>
          <w:p w14:paraId="0757B8A8">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7.详细考核标准详见本章节附件：物业管理服务考核标准。</w:t>
            </w:r>
          </w:p>
        </w:tc>
      </w:tr>
      <w:tr w14:paraId="2B62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41" w:type="dxa"/>
            <w:vAlign w:val="center"/>
          </w:tcPr>
          <w:p w14:paraId="592E9344">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服务监管</w:t>
            </w:r>
          </w:p>
        </w:tc>
        <w:tc>
          <w:tcPr>
            <w:tcW w:w="8526" w:type="dxa"/>
            <w:vAlign w:val="center"/>
          </w:tcPr>
          <w:p w14:paraId="755813B6">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（1）供应商自行负责对派出的工作人员进行政治思想、职业道德、业务技术、劳动纪律的教育和培训。</w:t>
            </w:r>
          </w:p>
          <w:p w14:paraId="1AB8C59F">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选派的工作人员须经过岗前专业培训，上岗后继续对工作人员进行必要的教育和训练，保证工作人员的素质满足所服务单位工作的要求；保留工作人员的身份证复印件、个人简历等资料，并保证所提供资料的真实性，供应商不得随意减少或更换所派出的服务人员。</w:t>
            </w:r>
          </w:p>
          <w:p w14:paraId="5C731CDA">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（3）供应商负责按时支付工作人员的工资和福利费用，提供工作人员的执勤被服、工具等基本条件。</w:t>
            </w:r>
          </w:p>
          <w:p w14:paraId="29626B2A">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所服务单位有权对工作人员的工作进行检查、督促、评价，对不称职的工作人员提出批评及教育，屡教不改者，有权要求更换工作人员，并将实际情况以书面形式向供应商提出撤换的要求，供应商在接到撤换要求书后三个工作日内做出更换。</w:t>
            </w:r>
          </w:p>
          <w:p w14:paraId="04328723">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（5）所服务单位对供应商拟派的工作人员的一切行为所产生的后果不承担任何责任，供应商须自行就问题进行解决处理。</w:t>
            </w:r>
          </w:p>
          <w:p w14:paraId="5DDA385F">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（6）供应商若发现工作期间的影藏因素存在的安全隐患可向所服务单位提出改进意见，并和所服务单位进行协商处理。</w:t>
            </w:r>
          </w:p>
          <w:p w14:paraId="731B4F6C">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所服务单位有权对供应商的工作进行考核，发现供应商不按照合同约定开展工作，对工作人员管理不规范、不严格，培训及安全措施不能达到所服务单位要求，第一次予以警告，第二次予以处罚，对连续三次不达标也不整改者（以书面通知为准），采购人有权解除合同。</w:t>
            </w:r>
          </w:p>
          <w:p w14:paraId="34057520">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（8）服务期满后，须把服务期间涉及的所有档案移交给所服务单位，并在十个工作日内和新接替工作的</w:t>
            </w:r>
            <w:r>
              <w:rPr>
                <w:rFonts w:hint="eastAsia" w:ascii="宋体" w:hAnsi="宋体" w:cs="宋体"/>
                <w:color w:val="auto"/>
                <w:sz w:val="24"/>
                <w:szCs w:val="24"/>
                <w:highlight w:val="none"/>
                <w:lang w:val="en-US" w:eastAsia="zh-CN"/>
              </w:rPr>
              <w:t>物业</w:t>
            </w:r>
            <w:r>
              <w:rPr>
                <w:rFonts w:hint="eastAsia" w:ascii="宋体" w:hAnsi="宋体" w:eastAsia="宋体" w:cs="宋体"/>
                <w:color w:val="auto"/>
                <w:sz w:val="24"/>
                <w:szCs w:val="24"/>
                <w:highlight w:val="none"/>
                <w:lang w:val="en-US" w:eastAsia="zh-CN"/>
              </w:rPr>
              <w:t>公司进</w:t>
            </w:r>
            <w:r>
              <w:rPr>
                <w:rFonts w:hint="eastAsia" w:ascii="宋体" w:hAnsi="宋体" w:eastAsia="宋体" w:cs="宋体"/>
                <w:color w:val="auto"/>
                <w:sz w:val="24"/>
                <w:szCs w:val="24"/>
                <w:highlight w:val="none"/>
                <w:lang w:val="en-US" w:eastAsia="zh-CN"/>
              </w:rPr>
              <w:t>行工作交接，若出现不可抗力因素导致无法在规定时间内进行交接，供应商须书面告知所服务单位。</w:t>
            </w:r>
          </w:p>
        </w:tc>
      </w:tr>
      <w:tr w14:paraId="6B4FA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41" w:type="dxa"/>
            <w:vAlign w:val="center"/>
          </w:tcPr>
          <w:p w14:paraId="1F9F4105">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服务质量要求</w:t>
            </w:r>
          </w:p>
        </w:tc>
        <w:tc>
          <w:tcPr>
            <w:tcW w:w="8526" w:type="dxa"/>
            <w:vAlign w:val="center"/>
          </w:tcPr>
          <w:p w14:paraId="3AFDE69B">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每月接受采购人或校方单位质量考核，未达标准从承包价中扣除。满意率至少在85％以上</w:t>
            </w:r>
            <w:r>
              <w:rPr>
                <w:rFonts w:hint="eastAsia" w:ascii="宋体" w:hAnsi="宋体" w:eastAsia="宋体" w:cs="宋体"/>
                <w:b/>
                <w:bCs/>
                <w:color w:val="auto"/>
                <w:sz w:val="24"/>
                <w:szCs w:val="24"/>
                <w:highlight w:val="none"/>
                <w:lang w:val="en-US" w:eastAsia="zh-CN"/>
              </w:rPr>
              <w:t>（各服务学校另有要求的该学校要求为准）</w:t>
            </w:r>
            <w:r>
              <w:rPr>
                <w:rFonts w:hint="eastAsia" w:ascii="宋体" w:hAnsi="宋体" w:eastAsia="宋体" w:cs="宋体"/>
                <w:color w:val="auto"/>
                <w:sz w:val="24"/>
                <w:szCs w:val="24"/>
                <w:highlight w:val="none"/>
                <w:lang w:val="en-US" w:eastAsia="zh-CN"/>
              </w:rPr>
              <w:t>、合同履约率达98%以上、上岗培训合格率达100%、合理投诉解决率达100%，连续两个月达不到，采购人可以终止合同。</w:t>
            </w:r>
          </w:p>
        </w:tc>
      </w:tr>
      <w:tr w14:paraId="3F77C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41" w:type="dxa"/>
            <w:vAlign w:val="center"/>
          </w:tcPr>
          <w:p w14:paraId="178C5493">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保密要求</w:t>
            </w:r>
          </w:p>
        </w:tc>
        <w:tc>
          <w:tcPr>
            <w:tcW w:w="8526" w:type="dxa"/>
            <w:vAlign w:val="center"/>
          </w:tcPr>
          <w:p w14:paraId="006E3593">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不得以任何形式向第三方透露本项目服务时的任何内容。如有泄密，需承担相应的法律责任。</w:t>
            </w:r>
          </w:p>
        </w:tc>
      </w:tr>
      <w:tr w14:paraId="06C03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41" w:type="dxa"/>
            <w:vAlign w:val="center"/>
          </w:tcPr>
          <w:p w14:paraId="32BA753F">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违约责任</w:t>
            </w:r>
          </w:p>
        </w:tc>
        <w:tc>
          <w:tcPr>
            <w:tcW w:w="8526" w:type="dxa"/>
            <w:vAlign w:val="center"/>
          </w:tcPr>
          <w:p w14:paraId="61C0D52E">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若</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所提供服务成果，无法达到本项目招标文件要求以及投标文件所承诺的内容的，所服务单位和教育局有权要求</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作出整改。如整改完毕仍达不到上述要求的，所服务单位和教育局有权拒绝支付款项，且</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应向所服务单位和教育局支付中标总金额的5%作为违约金并赔偿所服务单位和教育局的一切损失。</w:t>
            </w:r>
          </w:p>
          <w:p w14:paraId="0820E3B2">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违约责任的赔偿不意味违约方整个合同责任的解除，未经所服务单位和教育局同意，</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不得以任何理由推迟、降低、减少有关合同条款履行的承诺。</w:t>
            </w:r>
          </w:p>
          <w:p w14:paraId="2269F725">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其它违约行为按成交总金额5%收取违约金并赔偿其他经济损失。</w:t>
            </w:r>
          </w:p>
        </w:tc>
      </w:tr>
      <w:tr w14:paraId="7D5FD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41" w:type="dxa"/>
            <w:vAlign w:val="center"/>
          </w:tcPr>
          <w:p w14:paraId="7F1F92B1">
            <w:pPr>
              <w:keepNext w:val="0"/>
              <w:keepLines w:val="0"/>
              <w:pageBreakBefore w:val="0"/>
              <w:widowControl/>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付款条件</w:t>
            </w:r>
          </w:p>
        </w:tc>
        <w:tc>
          <w:tcPr>
            <w:tcW w:w="8526" w:type="dxa"/>
            <w:vAlign w:val="center"/>
          </w:tcPr>
          <w:p w14:paraId="7FA30005">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自合同签订后且中标单位服务人员进场（进场时间以各服务单位具体要求为准）、财政资金到位后，预付合同总金额的10%;剩余款项按季度平均支付，每季度第一个月支付上季度服务费。</w:t>
            </w:r>
          </w:p>
          <w:p w14:paraId="099629D6">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根据每季度考核结果结算支付。三方在签订合同时可就服务质量及检查标准制定奖罚细则，在支付服务费用时采购人（甲方）、服务单位（丙方）有权根据奖罚细则增减服务费用的支付或终止合同。每次请款供应商（乙方）先交请款申请函，后根据要求开具发票，再根据实际情况、考核情况付款。</w:t>
            </w:r>
          </w:p>
        </w:tc>
      </w:tr>
      <w:tr w14:paraId="6644C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41" w:type="dxa"/>
            <w:vAlign w:val="center"/>
          </w:tcPr>
          <w:p w14:paraId="7712DFD7">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其他要求</w:t>
            </w:r>
          </w:p>
        </w:tc>
        <w:tc>
          <w:tcPr>
            <w:tcW w:w="8526" w:type="dxa"/>
            <w:vAlign w:val="center"/>
          </w:tcPr>
          <w:p w14:paraId="2F92E30D">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为了更好履约及支持中小企业发展，本标项与其他标项兼投不兼中。评审规则：本项目划分为1、2、3、4四个分标，实行兼投不兼中，供应商可以同时参与多个分标投标，但只能中标一个分标。评标委员会严格按照1→2→3→4的顺序依次开展评审；若某供应商在前序分标被确定为第一中标候选人，该供应商不再进入后续详细评审及中标候选人推荐环节，在后续所有分标评审中，评标委员会直接对其作符合性审查否决处理，后续分标从剩余有效投标人（不得少于3家）中正常评审。</w:t>
            </w:r>
          </w:p>
        </w:tc>
      </w:tr>
    </w:tbl>
    <w:p w14:paraId="1691B4A2">
      <w:pPr>
        <w:bidi w:val="0"/>
        <w:rPr>
          <w:rFonts w:hint="default" w:ascii="Times New Roman" w:hAnsi="Times New Roman" w:cs="Times New Roman"/>
          <w:color w:val="auto"/>
          <w:highlight w:val="none"/>
          <w:lang w:val="en-US" w:eastAsia="zh-CN"/>
        </w:rPr>
      </w:pPr>
    </w:p>
    <w:p w14:paraId="26EADD6B">
      <w:pPr>
        <w:pStyle w:val="513"/>
        <w:spacing w:line="440" w:lineRule="exact"/>
        <w:ind w:firstLine="462"/>
        <w:jc w:val="center"/>
        <w:outlineLvl w:val="1"/>
        <w:rPr>
          <w:rFonts w:hint="eastAsia" w:ascii="宋体" w:hAnsi="宋体" w:cs="宋体"/>
          <w:b/>
          <w:color w:val="auto"/>
          <w:sz w:val="36"/>
          <w:szCs w:val="36"/>
          <w:highlight w:val="none"/>
        </w:rPr>
      </w:pPr>
    </w:p>
    <w:p w14:paraId="18086F4E">
      <w:pPr>
        <w:pStyle w:val="513"/>
        <w:spacing w:line="440" w:lineRule="exact"/>
        <w:ind w:firstLine="462"/>
        <w:jc w:val="center"/>
        <w:outlineLvl w:val="1"/>
        <w:rPr>
          <w:rFonts w:hint="eastAsia" w:ascii="宋体" w:hAnsi="宋体" w:cs="宋体"/>
          <w:b/>
          <w:color w:val="auto"/>
          <w:sz w:val="36"/>
          <w:szCs w:val="36"/>
          <w:highlight w:val="none"/>
        </w:rPr>
      </w:pPr>
    </w:p>
    <w:p w14:paraId="111AA9B2">
      <w:pPr>
        <w:pStyle w:val="513"/>
        <w:spacing w:line="440" w:lineRule="exact"/>
        <w:ind w:firstLine="462"/>
        <w:jc w:val="center"/>
        <w:outlineLvl w:val="1"/>
        <w:rPr>
          <w:rFonts w:hint="eastAsia" w:ascii="宋体" w:hAnsi="宋体" w:cs="宋体"/>
          <w:b/>
          <w:color w:val="auto"/>
          <w:sz w:val="36"/>
          <w:szCs w:val="36"/>
          <w:highlight w:val="none"/>
        </w:rPr>
      </w:pPr>
    </w:p>
    <w:p w14:paraId="7430FBC1">
      <w:pPr>
        <w:pStyle w:val="513"/>
        <w:spacing w:line="440" w:lineRule="exact"/>
        <w:ind w:firstLine="462"/>
        <w:jc w:val="center"/>
        <w:outlineLvl w:val="1"/>
        <w:rPr>
          <w:rFonts w:hint="eastAsia" w:ascii="宋体" w:hAnsi="宋体" w:cs="宋体"/>
          <w:b/>
          <w:color w:val="auto"/>
          <w:sz w:val="36"/>
          <w:szCs w:val="36"/>
          <w:highlight w:val="none"/>
        </w:rPr>
      </w:pPr>
    </w:p>
    <w:p w14:paraId="7103C004">
      <w:pPr>
        <w:pStyle w:val="513"/>
        <w:spacing w:line="440" w:lineRule="exact"/>
        <w:ind w:firstLine="462"/>
        <w:jc w:val="center"/>
        <w:outlineLvl w:val="1"/>
        <w:rPr>
          <w:rFonts w:hint="eastAsia" w:ascii="宋体" w:hAnsi="宋体" w:cs="宋体"/>
          <w:b/>
          <w:color w:val="auto"/>
          <w:sz w:val="36"/>
          <w:szCs w:val="36"/>
          <w:highlight w:val="none"/>
        </w:rPr>
      </w:pPr>
    </w:p>
    <w:p w14:paraId="7B43D6CF">
      <w:pPr>
        <w:pStyle w:val="513"/>
        <w:spacing w:line="440" w:lineRule="exact"/>
        <w:ind w:firstLine="462"/>
        <w:jc w:val="center"/>
        <w:outlineLvl w:val="1"/>
        <w:rPr>
          <w:rFonts w:hint="eastAsia" w:ascii="宋体" w:hAnsi="宋体" w:cs="宋体"/>
          <w:b/>
          <w:color w:val="auto"/>
          <w:sz w:val="36"/>
          <w:szCs w:val="36"/>
          <w:highlight w:val="none"/>
        </w:rPr>
      </w:pPr>
    </w:p>
    <w:p w14:paraId="65914E52">
      <w:pPr>
        <w:pStyle w:val="513"/>
        <w:spacing w:line="440" w:lineRule="exact"/>
        <w:ind w:firstLine="462"/>
        <w:jc w:val="center"/>
        <w:outlineLvl w:val="1"/>
        <w:rPr>
          <w:rFonts w:hint="eastAsia" w:ascii="宋体" w:hAnsi="宋体" w:cs="宋体"/>
          <w:b/>
          <w:color w:val="auto"/>
          <w:sz w:val="36"/>
          <w:szCs w:val="36"/>
          <w:highlight w:val="none"/>
        </w:rPr>
      </w:pPr>
    </w:p>
    <w:p w14:paraId="6D979D7E">
      <w:pPr>
        <w:pStyle w:val="513"/>
        <w:spacing w:line="440" w:lineRule="exact"/>
        <w:ind w:firstLine="462"/>
        <w:jc w:val="center"/>
        <w:outlineLvl w:val="1"/>
        <w:rPr>
          <w:rFonts w:hint="eastAsia" w:ascii="宋体" w:hAnsi="宋体" w:cs="宋体"/>
          <w:b/>
          <w:color w:val="auto"/>
          <w:sz w:val="36"/>
          <w:szCs w:val="36"/>
          <w:highlight w:val="none"/>
        </w:rPr>
      </w:pPr>
    </w:p>
    <w:p w14:paraId="0680140B">
      <w:pPr>
        <w:pStyle w:val="513"/>
        <w:spacing w:line="440" w:lineRule="exact"/>
        <w:ind w:firstLine="462"/>
        <w:jc w:val="center"/>
        <w:outlineLvl w:val="1"/>
        <w:rPr>
          <w:rFonts w:hint="eastAsia" w:ascii="宋体" w:hAnsi="宋体" w:cs="宋体"/>
          <w:b/>
          <w:color w:val="auto"/>
          <w:sz w:val="36"/>
          <w:szCs w:val="36"/>
          <w:highlight w:val="none"/>
        </w:rPr>
      </w:pPr>
    </w:p>
    <w:p w14:paraId="38041809">
      <w:pPr>
        <w:pStyle w:val="513"/>
        <w:spacing w:line="440" w:lineRule="exact"/>
        <w:ind w:firstLine="462"/>
        <w:jc w:val="center"/>
        <w:outlineLvl w:val="1"/>
        <w:rPr>
          <w:rFonts w:hint="eastAsia" w:ascii="宋体" w:hAnsi="宋体" w:cs="宋体"/>
          <w:b/>
          <w:color w:val="auto"/>
          <w:sz w:val="36"/>
          <w:szCs w:val="36"/>
          <w:highlight w:val="none"/>
        </w:rPr>
      </w:pPr>
    </w:p>
    <w:p w14:paraId="50D4F213">
      <w:pPr>
        <w:pStyle w:val="513"/>
        <w:spacing w:line="440" w:lineRule="exact"/>
        <w:ind w:firstLine="462"/>
        <w:jc w:val="center"/>
        <w:outlineLvl w:val="1"/>
        <w:rPr>
          <w:rFonts w:hint="eastAsia" w:ascii="宋体" w:hAnsi="宋体" w:cs="宋体"/>
          <w:b/>
          <w:color w:val="auto"/>
          <w:sz w:val="36"/>
          <w:szCs w:val="36"/>
          <w:highlight w:val="none"/>
        </w:rPr>
      </w:pPr>
    </w:p>
    <w:p w14:paraId="34D91C8D">
      <w:pPr>
        <w:pStyle w:val="513"/>
        <w:spacing w:line="440" w:lineRule="exact"/>
        <w:ind w:firstLine="462"/>
        <w:jc w:val="center"/>
        <w:outlineLvl w:val="1"/>
        <w:rPr>
          <w:rFonts w:hint="eastAsia" w:ascii="宋体" w:hAnsi="宋体" w:cs="宋体"/>
          <w:b/>
          <w:color w:val="auto"/>
          <w:sz w:val="36"/>
          <w:szCs w:val="36"/>
          <w:highlight w:val="none"/>
        </w:rPr>
      </w:pPr>
    </w:p>
    <w:p w14:paraId="71C6867E">
      <w:pPr>
        <w:pStyle w:val="513"/>
        <w:spacing w:line="440" w:lineRule="exact"/>
        <w:ind w:firstLine="462"/>
        <w:jc w:val="center"/>
        <w:outlineLvl w:val="1"/>
        <w:rPr>
          <w:rFonts w:hint="eastAsia" w:ascii="宋体" w:hAnsi="宋体" w:cs="宋体"/>
          <w:b/>
          <w:color w:val="auto"/>
          <w:sz w:val="36"/>
          <w:szCs w:val="36"/>
          <w:highlight w:val="none"/>
        </w:rPr>
      </w:pPr>
    </w:p>
    <w:p w14:paraId="557B23F0">
      <w:pPr>
        <w:pStyle w:val="513"/>
        <w:spacing w:line="440" w:lineRule="exact"/>
        <w:ind w:firstLine="462"/>
        <w:jc w:val="center"/>
        <w:outlineLvl w:val="1"/>
        <w:rPr>
          <w:color w:val="auto"/>
          <w:sz w:val="36"/>
          <w:szCs w:val="36"/>
          <w:highlight w:val="none"/>
          <w:lang w:val="zh-CN"/>
        </w:rPr>
      </w:pPr>
      <w:r>
        <w:rPr>
          <w:rFonts w:hint="eastAsia" w:ascii="宋体" w:hAnsi="宋体" w:cs="宋体"/>
          <w:b/>
          <w:color w:val="auto"/>
          <w:sz w:val="36"/>
          <w:szCs w:val="36"/>
          <w:highlight w:val="none"/>
        </w:rPr>
        <w:t>标项四：物业服务4</w:t>
      </w:r>
    </w:p>
    <w:p w14:paraId="66FD32A9">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说明：</w:t>
      </w:r>
    </w:p>
    <w:p w14:paraId="1879E4D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1.本项目的政府采购预算控制价为人民币</w:t>
      </w:r>
      <w:r>
        <w:rPr>
          <w:rFonts w:hint="eastAsia" w:ascii="宋体" w:hAnsi="宋体" w:cs="宋体"/>
          <w:color w:val="auto"/>
          <w:sz w:val="24"/>
          <w:highlight w:val="none"/>
          <w:lang w:val="en-US" w:eastAsia="zh-CN"/>
        </w:rPr>
        <w:t>45948</w:t>
      </w:r>
      <w:r>
        <w:rPr>
          <w:rFonts w:hint="eastAsia" w:ascii="宋体" w:hAnsi="宋体" w:cs="宋体"/>
          <w:color w:val="auto"/>
          <w:sz w:val="24"/>
          <w:highlight w:val="none"/>
        </w:rPr>
        <w:t>00</w:t>
      </w:r>
      <w:r>
        <w:rPr>
          <w:rFonts w:hint="eastAsia" w:ascii="宋体" w:hAnsi="宋体" w:cs="宋体"/>
          <w:color w:val="auto"/>
          <w:szCs w:val="21"/>
          <w:highlight w:val="none"/>
        </w:rPr>
        <w:t>元，高于预算控制价的报价将视为无效投标。</w:t>
      </w:r>
    </w:p>
    <w:p w14:paraId="199EB070">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采购需求中标注“★”的内容必须满足或者优于，否则投标无效。</w:t>
      </w:r>
    </w:p>
    <w:p w14:paraId="007B529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3.根据《关于印发中小企业划型标准规定的通知》（工信部联企业</w:t>
      </w:r>
      <w:r>
        <w:rPr>
          <w:rFonts w:hint="eastAsia" w:ascii="宋体" w:hAnsi="宋体" w:cs="Book Antiqua"/>
          <w:color w:val="auto"/>
          <w:szCs w:val="21"/>
          <w:highlight w:val="none"/>
        </w:rPr>
        <w:t>〔2011〕</w:t>
      </w:r>
      <w:r>
        <w:rPr>
          <w:rFonts w:hint="eastAsia" w:ascii="宋体" w:hAnsi="宋体" w:cs="宋体"/>
          <w:color w:val="auto"/>
          <w:szCs w:val="21"/>
          <w:highlight w:val="none"/>
        </w:rPr>
        <w:t>300号）规定的划分标准，本项目采购所有标的对应的中小企业划分标准所属行业为：</w:t>
      </w:r>
      <w:r>
        <w:rPr>
          <w:rFonts w:hint="eastAsia" w:ascii="宋体" w:hAnsi="宋体" w:cs="Book Antiqua"/>
          <w:b/>
          <w:color w:val="auto"/>
          <w:szCs w:val="21"/>
          <w:highlight w:val="none"/>
          <w:lang w:eastAsia="zh-CN"/>
        </w:rPr>
        <w:t>物业管理</w:t>
      </w:r>
      <w:r>
        <w:rPr>
          <w:rFonts w:hint="eastAsia" w:ascii="宋体" w:hAnsi="宋体" w:cs="宋体"/>
          <w:color w:val="auto"/>
          <w:szCs w:val="21"/>
          <w:highlight w:val="none"/>
        </w:rPr>
        <w:t>。</w:t>
      </w:r>
    </w:p>
    <w:tbl>
      <w:tblPr>
        <w:tblStyle w:val="64"/>
        <w:tblW w:w="9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8662"/>
      </w:tblGrid>
      <w:tr w14:paraId="3FB8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91" w:type="dxa"/>
            <w:gridSpan w:val="2"/>
            <w:shd w:val="clear" w:color="auto" w:fill="auto"/>
            <w:vAlign w:val="center"/>
          </w:tcPr>
          <w:p w14:paraId="08306D9C">
            <w:pPr>
              <w:spacing w:line="440" w:lineRule="exact"/>
              <w:ind w:firstLine="720" w:firstLineChars="200"/>
              <w:jc w:val="left"/>
              <w:rPr>
                <w:rFonts w:hint="default" w:ascii="Times New Roman" w:hAnsi="Times New Roman" w:eastAsia="仿宋_GB2312" w:cs="Times New Roman"/>
                <w:color w:val="auto"/>
                <w:sz w:val="24"/>
                <w:szCs w:val="24"/>
                <w:highlight w:val="none"/>
              </w:rPr>
            </w:pPr>
            <w:r>
              <w:rPr>
                <w:rFonts w:hint="eastAsia" w:ascii="宋体" w:hAnsi="宋体" w:cs="宋体"/>
                <w:bCs/>
                <w:color w:val="auto"/>
                <w:sz w:val="36"/>
                <w:szCs w:val="36"/>
                <w:highlight w:val="none"/>
              </w:rPr>
              <w:t>★</w:t>
            </w:r>
            <w:r>
              <w:rPr>
                <w:rFonts w:hint="eastAsia" w:ascii="宋体" w:hAnsi="宋体" w:cs="宋体"/>
                <w:b/>
                <w:color w:val="auto"/>
                <w:sz w:val="36"/>
                <w:szCs w:val="36"/>
                <w:highlight w:val="none"/>
              </w:rPr>
              <w:t>技术要求</w:t>
            </w:r>
          </w:p>
        </w:tc>
      </w:tr>
      <w:tr w14:paraId="18524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91" w:type="dxa"/>
            <w:gridSpan w:val="2"/>
            <w:vMerge w:val="restart"/>
            <w:shd w:val="clear" w:color="auto" w:fill="auto"/>
            <w:vAlign w:val="center"/>
          </w:tcPr>
          <w:p w14:paraId="4AA4382E">
            <w:pPr>
              <w:pStyle w:val="24"/>
              <w:keepNext w:val="0"/>
              <w:keepLines w:val="0"/>
              <w:pageBreakBefore w:val="0"/>
              <w:widowControl w:val="0"/>
              <w:kinsoku/>
              <w:wordWrap/>
              <w:overflowPunct/>
              <w:topLinePunct w:val="0"/>
              <w:autoSpaceDE/>
              <w:autoSpaceDN/>
              <w:bidi w:val="0"/>
              <w:snapToGrid/>
              <w:spacing w:line="44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一、服务范围和内容</w:t>
            </w:r>
          </w:p>
          <w:p w14:paraId="7332EE53">
            <w:pPr>
              <w:pStyle w:val="24"/>
              <w:keepNext w:val="0"/>
              <w:keepLines w:val="0"/>
              <w:pageBreakBefore w:val="0"/>
              <w:widowControl w:val="0"/>
              <w:kinsoku/>
              <w:wordWrap/>
              <w:overflowPunct/>
              <w:topLinePunct w:val="0"/>
              <w:autoSpaceDE/>
              <w:autoSpaceDN/>
              <w:bidi w:val="0"/>
              <w:snapToGrid/>
              <w:spacing w:line="44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（一）服务范围</w:t>
            </w:r>
          </w:p>
          <w:p w14:paraId="0B4CEB1D">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为派驻学校校园全域（包括所有建筑物、公共场所）提供物业服务，负责</w:t>
            </w:r>
            <w:r>
              <w:rPr>
                <w:rFonts w:hint="eastAsia" w:ascii="宋体" w:hAnsi="宋体" w:eastAsia="宋体" w:cs="宋体"/>
                <w:color w:val="auto"/>
                <w:sz w:val="24"/>
                <w:szCs w:val="24"/>
                <w:highlight w:val="none"/>
              </w:rPr>
              <w:t>学校卫生保洁、绿化维护管理和</w:t>
            </w:r>
            <w:r>
              <w:rPr>
                <w:rFonts w:hint="eastAsia" w:ascii="宋体" w:hAnsi="宋体" w:eastAsia="宋体" w:cs="宋体"/>
                <w:color w:val="auto"/>
                <w:sz w:val="24"/>
                <w:szCs w:val="24"/>
                <w:highlight w:val="none"/>
                <w:lang w:val="en-US" w:eastAsia="zh-CN"/>
              </w:rPr>
              <w:t>日常维修等服务。</w:t>
            </w:r>
          </w:p>
          <w:p w14:paraId="056FF003">
            <w:pPr>
              <w:pStyle w:val="24"/>
              <w:keepNext w:val="0"/>
              <w:keepLines w:val="0"/>
              <w:pageBreakBefore w:val="0"/>
              <w:widowControl w:val="0"/>
              <w:kinsoku/>
              <w:wordWrap/>
              <w:overflowPunct/>
              <w:topLinePunct w:val="0"/>
              <w:autoSpaceDE/>
              <w:autoSpaceDN/>
              <w:bidi w:val="0"/>
              <w:snapToGrid/>
              <w:spacing w:line="44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（二）服务内容</w:t>
            </w:r>
          </w:p>
          <w:p w14:paraId="6CF8516A">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校园内物业负责公共路面、卫生间、校领导办公室等所有公共卫生区域的卫生清洁、垃圾收集、卫生间简单管道疏通等清洁保洁服务；</w:t>
            </w:r>
          </w:p>
          <w:p w14:paraId="51C5574C">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校区内公共绿地、花木、建筑小品的养护管理；</w:t>
            </w:r>
          </w:p>
          <w:p w14:paraId="7D114672">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校内学生宿舍的管理服务；</w:t>
            </w:r>
          </w:p>
          <w:p w14:paraId="1AAC8A58">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水电维修管理、协助学校完成设施设备维修保养；积极完成校方安排的其他临时工作任务。</w:t>
            </w:r>
          </w:p>
          <w:p w14:paraId="4521141D">
            <w:pPr>
              <w:pStyle w:val="24"/>
              <w:keepNext w:val="0"/>
              <w:keepLines w:val="0"/>
              <w:pageBreakBefore w:val="0"/>
              <w:widowControl w:val="0"/>
              <w:kinsoku/>
              <w:wordWrap/>
              <w:overflowPunct/>
              <w:topLinePunct w:val="0"/>
              <w:autoSpaceDE/>
              <w:autoSpaceDN/>
              <w:bidi w:val="0"/>
              <w:snapToGrid/>
              <w:spacing w:line="44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（三）人员需求表</w:t>
            </w:r>
          </w:p>
          <w:tbl>
            <w:tblPr>
              <w:tblStyle w:val="64"/>
              <w:tblW w:w="8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3172"/>
              <w:gridCol w:w="1440"/>
              <w:gridCol w:w="1240"/>
              <w:gridCol w:w="1920"/>
            </w:tblGrid>
            <w:tr w14:paraId="5D737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73" w:type="dxa"/>
                  <w:vAlign w:val="center"/>
                </w:tcPr>
                <w:p w14:paraId="307E5D98">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序号</w:t>
                  </w:r>
                </w:p>
              </w:tc>
              <w:tc>
                <w:tcPr>
                  <w:tcW w:w="3172" w:type="dxa"/>
                  <w:vAlign w:val="center"/>
                </w:tcPr>
                <w:p w14:paraId="23FA6BE7">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hAnsi="宋体" w:cs="宋体"/>
                      <w:color w:val="auto"/>
                      <w:sz w:val="24"/>
                      <w:szCs w:val="24"/>
                      <w:highlight w:val="none"/>
                      <w:vertAlign w:val="baseline"/>
                      <w:lang w:val="en-US" w:eastAsia="zh-CN"/>
                    </w:rPr>
                    <w:t>服务单位</w:t>
                  </w:r>
                </w:p>
              </w:tc>
              <w:tc>
                <w:tcPr>
                  <w:tcW w:w="1440" w:type="dxa"/>
                  <w:vAlign w:val="center"/>
                </w:tcPr>
                <w:p w14:paraId="2F4F1F0E">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人员类别</w:t>
                  </w:r>
                </w:p>
              </w:tc>
              <w:tc>
                <w:tcPr>
                  <w:tcW w:w="1240" w:type="dxa"/>
                  <w:vAlign w:val="center"/>
                </w:tcPr>
                <w:p w14:paraId="6AA13FCD">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配备人数</w:t>
                  </w:r>
                </w:p>
              </w:tc>
              <w:tc>
                <w:tcPr>
                  <w:tcW w:w="1920" w:type="dxa"/>
                  <w:vAlign w:val="center"/>
                </w:tcPr>
                <w:p w14:paraId="124032B2">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投标最高限价</w:t>
                  </w:r>
                </w:p>
                <w:p w14:paraId="7B54B5AC">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（万元）</w:t>
                  </w:r>
                </w:p>
              </w:tc>
            </w:tr>
            <w:tr w14:paraId="6EF3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restart"/>
                  <w:vAlign w:val="center"/>
                </w:tcPr>
                <w:p w14:paraId="7C03DE41">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3172" w:type="dxa"/>
                  <w:vMerge w:val="restart"/>
                  <w:vAlign w:val="center"/>
                </w:tcPr>
                <w:p w14:paraId="42C92765">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北海市机关幼儿园（北海市涠洲岛幼儿园）</w:t>
                  </w:r>
                </w:p>
              </w:tc>
              <w:tc>
                <w:tcPr>
                  <w:tcW w:w="1440" w:type="dxa"/>
                  <w:vAlign w:val="center"/>
                </w:tcPr>
                <w:p w14:paraId="66224549">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水电工</w:t>
                  </w:r>
                </w:p>
              </w:tc>
              <w:tc>
                <w:tcPr>
                  <w:tcW w:w="1240" w:type="dxa"/>
                  <w:vAlign w:val="center"/>
                </w:tcPr>
                <w:p w14:paraId="458A2B42">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920" w:type="dxa"/>
                  <w:vMerge w:val="restart"/>
                  <w:vAlign w:val="center"/>
                </w:tcPr>
                <w:p w14:paraId="5CDBAF2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lang w:val="en-US" w:eastAsia="zh-CN"/>
                    </w:rPr>
                    <w:t>72.45</w:t>
                  </w:r>
                </w:p>
              </w:tc>
            </w:tr>
            <w:tr w14:paraId="4617E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continue"/>
                  <w:vAlign w:val="center"/>
                </w:tcPr>
                <w:p w14:paraId="40DDD776">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3172" w:type="dxa"/>
                  <w:vMerge w:val="continue"/>
                  <w:vAlign w:val="center"/>
                </w:tcPr>
                <w:p w14:paraId="6FA87FE5">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1440" w:type="dxa"/>
                  <w:vAlign w:val="center"/>
                </w:tcPr>
                <w:p w14:paraId="4A161CF7">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保洁员</w:t>
                  </w:r>
                </w:p>
              </w:tc>
              <w:tc>
                <w:tcPr>
                  <w:tcW w:w="1240" w:type="dxa"/>
                  <w:vAlign w:val="center"/>
                </w:tcPr>
                <w:p w14:paraId="7F46F9AF">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1920" w:type="dxa"/>
                  <w:vMerge w:val="continue"/>
                  <w:vAlign w:val="center"/>
                </w:tcPr>
                <w:p w14:paraId="7CFAB5FD">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r>
            <w:tr w14:paraId="28261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continue"/>
                  <w:vAlign w:val="center"/>
                </w:tcPr>
                <w:p w14:paraId="10BCBB94">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3172" w:type="dxa"/>
                  <w:vMerge w:val="continue"/>
                  <w:vAlign w:val="center"/>
                </w:tcPr>
                <w:p w14:paraId="13836228">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1440" w:type="dxa"/>
                  <w:vAlign w:val="center"/>
                </w:tcPr>
                <w:p w14:paraId="1F726CE2">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绿化员</w:t>
                  </w:r>
                </w:p>
              </w:tc>
              <w:tc>
                <w:tcPr>
                  <w:tcW w:w="1240" w:type="dxa"/>
                  <w:vAlign w:val="center"/>
                </w:tcPr>
                <w:p w14:paraId="0ECDE543">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1920" w:type="dxa"/>
                  <w:vMerge w:val="continue"/>
                  <w:vAlign w:val="center"/>
                </w:tcPr>
                <w:p w14:paraId="1C7AED4F">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r>
            <w:tr w14:paraId="28270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restart"/>
                  <w:vAlign w:val="center"/>
                </w:tcPr>
                <w:p w14:paraId="1DEF10F1">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3172" w:type="dxa"/>
                  <w:vMerge w:val="restart"/>
                  <w:vAlign w:val="center"/>
                </w:tcPr>
                <w:p w14:paraId="2115B6B3">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北海市政府机关幼儿园</w:t>
                  </w:r>
                </w:p>
              </w:tc>
              <w:tc>
                <w:tcPr>
                  <w:tcW w:w="1440" w:type="dxa"/>
                  <w:vAlign w:val="center"/>
                </w:tcPr>
                <w:p w14:paraId="3DEAACB8">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保洁员</w:t>
                  </w:r>
                </w:p>
              </w:tc>
              <w:tc>
                <w:tcPr>
                  <w:tcW w:w="1240" w:type="dxa"/>
                  <w:vAlign w:val="center"/>
                </w:tcPr>
                <w:p w14:paraId="56130B23">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920" w:type="dxa"/>
                  <w:vMerge w:val="restart"/>
                  <w:vAlign w:val="center"/>
                </w:tcPr>
                <w:p w14:paraId="35958ED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lang w:val="en-US" w:eastAsia="zh-CN"/>
                    </w:rPr>
                    <w:t>28.28</w:t>
                  </w:r>
                </w:p>
              </w:tc>
            </w:tr>
            <w:tr w14:paraId="20AB6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continue"/>
                  <w:vAlign w:val="center"/>
                </w:tcPr>
                <w:p w14:paraId="4E4E38A0">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3172" w:type="dxa"/>
                  <w:vMerge w:val="continue"/>
                  <w:vAlign w:val="center"/>
                </w:tcPr>
                <w:p w14:paraId="439764E3">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1440" w:type="dxa"/>
                  <w:vAlign w:val="center"/>
                </w:tcPr>
                <w:p w14:paraId="3CA096BB">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绿化员</w:t>
                  </w:r>
                </w:p>
              </w:tc>
              <w:tc>
                <w:tcPr>
                  <w:tcW w:w="1240" w:type="dxa"/>
                  <w:vAlign w:val="center"/>
                </w:tcPr>
                <w:p w14:paraId="7D7A4989">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920" w:type="dxa"/>
                  <w:vMerge w:val="continue"/>
                  <w:vAlign w:val="center"/>
                </w:tcPr>
                <w:p w14:paraId="2D6AE8FB">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r>
            <w:tr w14:paraId="287D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restart"/>
                  <w:vAlign w:val="center"/>
                </w:tcPr>
                <w:p w14:paraId="7D52A753">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3172" w:type="dxa"/>
                  <w:vMerge w:val="restart"/>
                  <w:vAlign w:val="center"/>
                </w:tcPr>
                <w:p w14:paraId="592BAC99">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北海市第五幼儿园</w:t>
                  </w:r>
                </w:p>
              </w:tc>
              <w:tc>
                <w:tcPr>
                  <w:tcW w:w="1440" w:type="dxa"/>
                  <w:vAlign w:val="center"/>
                </w:tcPr>
                <w:p w14:paraId="01057D59">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保洁员</w:t>
                  </w:r>
                </w:p>
              </w:tc>
              <w:tc>
                <w:tcPr>
                  <w:tcW w:w="1240" w:type="dxa"/>
                  <w:vAlign w:val="center"/>
                </w:tcPr>
                <w:p w14:paraId="01C1E217">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920" w:type="dxa"/>
                  <w:vMerge w:val="restart"/>
                  <w:vAlign w:val="center"/>
                </w:tcPr>
                <w:p w14:paraId="36CED03C">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lang w:val="en-US" w:eastAsia="zh-CN"/>
                    </w:rPr>
                    <w:t>26.61</w:t>
                  </w:r>
                </w:p>
              </w:tc>
            </w:tr>
            <w:tr w14:paraId="08009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continue"/>
                  <w:vAlign w:val="center"/>
                </w:tcPr>
                <w:p w14:paraId="214ED6D2">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3172" w:type="dxa"/>
                  <w:vMerge w:val="continue"/>
                  <w:vAlign w:val="center"/>
                </w:tcPr>
                <w:p w14:paraId="3F49A54A">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1440" w:type="dxa"/>
                  <w:vAlign w:val="center"/>
                </w:tcPr>
                <w:p w14:paraId="00784A71">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绿化员</w:t>
                  </w:r>
                </w:p>
              </w:tc>
              <w:tc>
                <w:tcPr>
                  <w:tcW w:w="1240" w:type="dxa"/>
                  <w:vAlign w:val="center"/>
                </w:tcPr>
                <w:p w14:paraId="357CBC20">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1920" w:type="dxa"/>
                  <w:vMerge w:val="continue"/>
                  <w:vAlign w:val="center"/>
                </w:tcPr>
                <w:p w14:paraId="65BF79D1">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r>
            <w:tr w14:paraId="42A9A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restart"/>
                  <w:vAlign w:val="center"/>
                </w:tcPr>
                <w:p w14:paraId="3C5EF8C1">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3172" w:type="dxa"/>
                  <w:vMerge w:val="restart"/>
                  <w:vAlign w:val="center"/>
                </w:tcPr>
                <w:p w14:paraId="7FB5B790">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北海市第三中学</w:t>
                  </w:r>
                </w:p>
              </w:tc>
              <w:tc>
                <w:tcPr>
                  <w:tcW w:w="1440" w:type="dxa"/>
                  <w:vAlign w:val="center"/>
                </w:tcPr>
                <w:p w14:paraId="297A6B06">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水电工</w:t>
                  </w:r>
                </w:p>
              </w:tc>
              <w:tc>
                <w:tcPr>
                  <w:tcW w:w="1240" w:type="dxa"/>
                  <w:vAlign w:val="center"/>
                </w:tcPr>
                <w:p w14:paraId="3E6BB919">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920" w:type="dxa"/>
                  <w:vMerge w:val="restart"/>
                  <w:vAlign w:val="center"/>
                </w:tcPr>
                <w:p w14:paraId="2E90E6B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lang w:val="en-US" w:eastAsia="zh-CN"/>
                    </w:rPr>
                    <w:t>54.62</w:t>
                  </w:r>
                </w:p>
              </w:tc>
            </w:tr>
            <w:tr w14:paraId="11E64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continue"/>
                  <w:vAlign w:val="center"/>
                </w:tcPr>
                <w:p w14:paraId="2334CF47">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3172" w:type="dxa"/>
                  <w:vMerge w:val="continue"/>
                  <w:vAlign w:val="center"/>
                </w:tcPr>
                <w:p w14:paraId="45937AF0">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1440" w:type="dxa"/>
                  <w:vAlign w:val="center"/>
                </w:tcPr>
                <w:p w14:paraId="0ECD858F">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保洁员</w:t>
                  </w:r>
                </w:p>
              </w:tc>
              <w:tc>
                <w:tcPr>
                  <w:tcW w:w="1240" w:type="dxa"/>
                  <w:vAlign w:val="center"/>
                </w:tcPr>
                <w:p w14:paraId="55349DD1">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920" w:type="dxa"/>
                  <w:vMerge w:val="continue"/>
                  <w:vAlign w:val="center"/>
                </w:tcPr>
                <w:p w14:paraId="408BECEC">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r>
            <w:tr w14:paraId="60A20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continue"/>
                  <w:vAlign w:val="center"/>
                </w:tcPr>
                <w:p w14:paraId="11315387">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3172" w:type="dxa"/>
                  <w:vMerge w:val="continue"/>
                  <w:vAlign w:val="center"/>
                </w:tcPr>
                <w:p w14:paraId="6EA15D04">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1440" w:type="dxa"/>
                  <w:vAlign w:val="center"/>
                </w:tcPr>
                <w:p w14:paraId="23DC5FB7">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绿化员</w:t>
                  </w:r>
                </w:p>
              </w:tc>
              <w:tc>
                <w:tcPr>
                  <w:tcW w:w="1240" w:type="dxa"/>
                  <w:vAlign w:val="center"/>
                </w:tcPr>
                <w:p w14:paraId="615BFAB2">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1920" w:type="dxa"/>
                  <w:vMerge w:val="continue"/>
                  <w:vAlign w:val="center"/>
                </w:tcPr>
                <w:p w14:paraId="4CFDA98F">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r>
            <w:tr w14:paraId="73EB8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restart"/>
                  <w:vAlign w:val="center"/>
                </w:tcPr>
                <w:p w14:paraId="5D9D609F">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3172" w:type="dxa"/>
                  <w:vMerge w:val="restart"/>
                  <w:vAlign w:val="center"/>
                </w:tcPr>
                <w:p w14:paraId="2CCE9E1A">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北海市第七中学</w:t>
                  </w:r>
                </w:p>
              </w:tc>
              <w:tc>
                <w:tcPr>
                  <w:tcW w:w="1440" w:type="dxa"/>
                  <w:vAlign w:val="center"/>
                </w:tcPr>
                <w:p w14:paraId="116ACD9C">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水电工</w:t>
                  </w:r>
                </w:p>
              </w:tc>
              <w:tc>
                <w:tcPr>
                  <w:tcW w:w="1240" w:type="dxa"/>
                  <w:vAlign w:val="center"/>
                </w:tcPr>
                <w:p w14:paraId="151BF498">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920" w:type="dxa"/>
                  <w:vMerge w:val="restart"/>
                  <w:vAlign w:val="center"/>
                </w:tcPr>
                <w:p w14:paraId="07E1C528">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lang w:val="en-US" w:eastAsia="zh-CN"/>
                    </w:rPr>
                    <w:t>54.89</w:t>
                  </w:r>
                </w:p>
              </w:tc>
            </w:tr>
            <w:tr w14:paraId="13451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continue"/>
                  <w:vAlign w:val="center"/>
                </w:tcPr>
                <w:p w14:paraId="468E17B1">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3172" w:type="dxa"/>
                  <w:vMerge w:val="continue"/>
                  <w:vAlign w:val="center"/>
                </w:tcPr>
                <w:p w14:paraId="18573E36">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1440" w:type="dxa"/>
                  <w:vAlign w:val="center"/>
                </w:tcPr>
                <w:p w14:paraId="76B2DB99">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保洁员</w:t>
                  </w:r>
                </w:p>
              </w:tc>
              <w:tc>
                <w:tcPr>
                  <w:tcW w:w="1240" w:type="dxa"/>
                  <w:vAlign w:val="center"/>
                </w:tcPr>
                <w:p w14:paraId="16ECF7A4">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920" w:type="dxa"/>
                  <w:vMerge w:val="continue"/>
                  <w:vAlign w:val="center"/>
                </w:tcPr>
                <w:p w14:paraId="2484FE56">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r>
            <w:tr w14:paraId="40D45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continue"/>
                  <w:vAlign w:val="center"/>
                </w:tcPr>
                <w:p w14:paraId="0E43EA64">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3172" w:type="dxa"/>
                  <w:vMerge w:val="continue"/>
                  <w:vAlign w:val="center"/>
                </w:tcPr>
                <w:p w14:paraId="3825EE42">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1440" w:type="dxa"/>
                  <w:vAlign w:val="center"/>
                </w:tcPr>
                <w:p w14:paraId="386FD6A1">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绿化员</w:t>
                  </w:r>
                </w:p>
              </w:tc>
              <w:tc>
                <w:tcPr>
                  <w:tcW w:w="1240" w:type="dxa"/>
                  <w:vAlign w:val="center"/>
                </w:tcPr>
                <w:p w14:paraId="4CF4EAB7">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1920" w:type="dxa"/>
                  <w:vMerge w:val="continue"/>
                  <w:vAlign w:val="center"/>
                </w:tcPr>
                <w:p w14:paraId="6DA63D6F">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r>
            <w:tr w14:paraId="36D70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restart"/>
                  <w:vAlign w:val="center"/>
                </w:tcPr>
                <w:p w14:paraId="6CA4ADF0">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w:t>
                  </w:r>
                </w:p>
              </w:tc>
              <w:tc>
                <w:tcPr>
                  <w:tcW w:w="3172" w:type="dxa"/>
                  <w:vMerge w:val="restart"/>
                  <w:vAlign w:val="center"/>
                </w:tcPr>
                <w:p w14:paraId="57FE1458">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北海市第九中学</w:t>
                  </w:r>
                </w:p>
              </w:tc>
              <w:tc>
                <w:tcPr>
                  <w:tcW w:w="1440" w:type="dxa"/>
                  <w:vAlign w:val="center"/>
                </w:tcPr>
                <w:p w14:paraId="7DC20162">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保洁员</w:t>
                  </w:r>
                </w:p>
              </w:tc>
              <w:tc>
                <w:tcPr>
                  <w:tcW w:w="1240" w:type="dxa"/>
                  <w:vAlign w:val="center"/>
                </w:tcPr>
                <w:p w14:paraId="3A2E5052">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1920" w:type="dxa"/>
                  <w:vMerge w:val="restart"/>
                  <w:vAlign w:val="center"/>
                </w:tcPr>
                <w:p w14:paraId="680279C5">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lang w:val="en-US" w:eastAsia="zh-CN"/>
                    </w:rPr>
                    <w:t>62</w:t>
                  </w:r>
                </w:p>
              </w:tc>
            </w:tr>
            <w:tr w14:paraId="05159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continue"/>
                  <w:vAlign w:val="center"/>
                </w:tcPr>
                <w:p w14:paraId="7EB10363">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3172" w:type="dxa"/>
                  <w:vMerge w:val="continue"/>
                  <w:vAlign w:val="center"/>
                </w:tcPr>
                <w:p w14:paraId="4C542096">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1440" w:type="dxa"/>
                  <w:vAlign w:val="center"/>
                </w:tcPr>
                <w:p w14:paraId="1B0117A7">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绿化员</w:t>
                  </w:r>
                </w:p>
              </w:tc>
              <w:tc>
                <w:tcPr>
                  <w:tcW w:w="1240" w:type="dxa"/>
                  <w:vAlign w:val="center"/>
                </w:tcPr>
                <w:p w14:paraId="342D2569">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1920" w:type="dxa"/>
                  <w:vMerge w:val="continue"/>
                  <w:vAlign w:val="center"/>
                </w:tcPr>
                <w:p w14:paraId="44EA099C">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r>
            <w:tr w14:paraId="17AF5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restart"/>
                  <w:vAlign w:val="center"/>
                </w:tcPr>
                <w:p w14:paraId="7ED215E0">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w:t>
                  </w:r>
                </w:p>
              </w:tc>
              <w:tc>
                <w:tcPr>
                  <w:tcW w:w="3172" w:type="dxa"/>
                  <w:vMerge w:val="restart"/>
                  <w:vAlign w:val="center"/>
                </w:tcPr>
                <w:p w14:paraId="3BF6D531">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北海市第十中学</w:t>
                  </w:r>
                </w:p>
              </w:tc>
              <w:tc>
                <w:tcPr>
                  <w:tcW w:w="1440" w:type="dxa"/>
                  <w:vAlign w:val="center"/>
                </w:tcPr>
                <w:p w14:paraId="3EAA5D4A">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水电工</w:t>
                  </w:r>
                </w:p>
              </w:tc>
              <w:tc>
                <w:tcPr>
                  <w:tcW w:w="1240" w:type="dxa"/>
                  <w:vAlign w:val="center"/>
                </w:tcPr>
                <w:p w14:paraId="431291F5">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1920" w:type="dxa"/>
                  <w:vMerge w:val="restart"/>
                  <w:vAlign w:val="center"/>
                </w:tcPr>
                <w:p w14:paraId="5EC00801">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lang w:val="en-US" w:eastAsia="zh-CN"/>
                    </w:rPr>
                    <w:t>37.06</w:t>
                  </w:r>
                </w:p>
              </w:tc>
            </w:tr>
            <w:tr w14:paraId="24858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continue"/>
                  <w:vAlign w:val="center"/>
                </w:tcPr>
                <w:p w14:paraId="0A57A9E3">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3172" w:type="dxa"/>
                  <w:vMerge w:val="continue"/>
                  <w:vAlign w:val="center"/>
                </w:tcPr>
                <w:p w14:paraId="27127018">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1440" w:type="dxa"/>
                  <w:vAlign w:val="center"/>
                </w:tcPr>
                <w:p w14:paraId="626B30C8">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保洁员</w:t>
                  </w:r>
                </w:p>
              </w:tc>
              <w:tc>
                <w:tcPr>
                  <w:tcW w:w="1240" w:type="dxa"/>
                  <w:vAlign w:val="center"/>
                </w:tcPr>
                <w:p w14:paraId="7A2616BF">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920" w:type="dxa"/>
                  <w:vMerge w:val="continue"/>
                  <w:vAlign w:val="center"/>
                </w:tcPr>
                <w:p w14:paraId="4892D1D8">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r>
            <w:tr w14:paraId="6D305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continue"/>
                  <w:vAlign w:val="center"/>
                </w:tcPr>
                <w:p w14:paraId="2F00937C">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3172" w:type="dxa"/>
                  <w:vMerge w:val="continue"/>
                  <w:vAlign w:val="center"/>
                </w:tcPr>
                <w:p w14:paraId="45D9F5FE">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1440" w:type="dxa"/>
                  <w:vAlign w:val="center"/>
                </w:tcPr>
                <w:p w14:paraId="612215D9">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绿化员</w:t>
                  </w:r>
                </w:p>
              </w:tc>
              <w:tc>
                <w:tcPr>
                  <w:tcW w:w="1240" w:type="dxa"/>
                  <w:vAlign w:val="center"/>
                </w:tcPr>
                <w:p w14:paraId="288A18C2">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1920" w:type="dxa"/>
                  <w:vMerge w:val="continue"/>
                  <w:vAlign w:val="center"/>
                </w:tcPr>
                <w:p w14:paraId="64C281CC">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r>
            <w:tr w14:paraId="02888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restart"/>
                  <w:vAlign w:val="center"/>
                </w:tcPr>
                <w:p w14:paraId="243C4A8A">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8</w:t>
                  </w:r>
                </w:p>
              </w:tc>
              <w:tc>
                <w:tcPr>
                  <w:tcW w:w="3172" w:type="dxa"/>
                  <w:vMerge w:val="restart"/>
                  <w:vAlign w:val="center"/>
                </w:tcPr>
                <w:p w14:paraId="237CE5E1">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北海市第二十六中学</w:t>
                  </w:r>
                </w:p>
              </w:tc>
              <w:tc>
                <w:tcPr>
                  <w:tcW w:w="1440" w:type="dxa"/>
                  <w:vAlign w:val="center"/>
                </w:tcPr>
                <w:p w14:paraId="4F1BA30C">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水电工</w:t>
                  </w:r>
                </w:p>
              </w:tc>
              <w:tc>
                <w:tcPr>
                  <w:tcW w:w="1240" w:type="dxa"/>
                  <w:vAlign w:val="center"/>
                </w:tcPr>
                <w:p w14:paraId="299D3C34">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920" w:type="dxa"/>
                  <w:vMerge w:val="restart"/>
                  <w:vAlign w:val="center"/>
                </w:tcPr>
                <w:p w14:paraId="3CEB7D44">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lang w:val="en-US" w:eastAsia="zh-CN"/>
                    </w:rPr>
                    <w:t>74.12</w:t>
                  </w:r>
                </w:p>
              </w:tc>
            </w:tr>
            <w:tr w14:paraId="3F6BD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continue"/>
                  <w:vAlign w:val="center"/>
                </w:tcPr>
                <w:p w14:paraId="33D05A4E">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3172" w:type="dxa"/>
                  <w:vMerge w:val="continue"/>
                  <w:vAlign w:val="center"/>
                </w:tcPr>
                <w:p w14:paraId="571CF411">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1440" w:type="dxa"/>
                  <w:vAlign w:val="center"/>
                </w:tcPr>
                <w:p w14:paraId="22BA8E01">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保洁员</w:t>
                  </w:r>
                </w:p>
              </w:tc>
              <w:tc>
                <w:tcPr>
                  <w:tcW w:w="1240" w:type="dxa"/>
                  <w:vAlign w:val="center"/>
                </w:tcPr>
                <w:p w14:paraId="37083522">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1920" w:type="dxa"/>
                  <w:vMerge w:val="continue"/>
                  <w:vAlign w:val="center"/>
                </w:tcPr>
                <w:p w14:paraId="5E44408E">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r>
            <w:tr w14:paraId="60758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continue"/>
                  <w:vAlign w:val="center"/>
                </w:tcPr>
                <w:p w14:paraId="62982D72">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3172" w:type="dxa"/>
                  <w:vMerge w:val="continue"/>
                  <w:vAlign w:val="center"/>
                </w:tcPr>
                <w:p w14:paraId="0BBF9B87">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1440" w:type="dxa"/>
                  <w:vAlign w:val="center"/>
                </w:tcPr>
                <w:p w14:paraId="7B41318A">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绿化员</w:t>
                  </w:r>
                </w:p>
              </w:tc>
              <w:tc>
                <w:tcPr>
                  <w:tcW w:w="1240" w:type="dxa"/>
                  <w:vAlign w:val="center"/>
                </w:tcPr>
                <w:p w14:paraId="5817336F">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1920" w:type="dxa"/>
                  <w:vMerge w:val="continue"/>
                  <w:vAlign w:val="center"/>
                </w:tcPr>
                <w:p w14:paraId="506C9A40">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r>
            <w:tr w14:paraId="55BA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restart"/>
                  <w:vAlign w:val="center"/>
                </w:tcPr>
                <w:p w14:paraId="65B67A54">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w:t>
                  </w:r>
                </w:p>
              </w:tc>
              <w:tc>
                <w:tcPr>
                  <w:tcW w:w="3172" w:type="dxa"/>
                  <w:vMerge w:val="restart"/>
                  <w:vAlign w:val="center"/>
                </w:tcPr>
                <w:p w14:paraId="48CE081B">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北京市第八中学北海实验学校</w:t>
                  </w:r>
                </w:p>
              </w:tc>
              <w:tc>
                <w:tcPr>
                  <w:tcW w:w="1440" w:type="dxa"/>
                  <w:vAlign w:val="center"/>
                </w:tcPr>
                <w:p w14:paraId="392846A4">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水电工</w:t>
                  </w:r>
                </w:p>
              </w:tc>
              <w:tc>
                <w:tcPr>
                  <w:tcW w:w="1240" w:type="dxa"/>
                  <w:vAlign w:val="center"/>
                </w:tcPr>
                <w:p w14:paraId="0760C57F">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1920" w:type="dxa"/>
                  <w:vMerge w:val="restart"/>
                  <w:vAlign w:val="center"/>
                </w:tcPr>
                <w:p w14:paraId="4E774611">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lang w:val="en-US" w:eastAsia="zh-CN"/>
                    </w:rPr>
                    <w:t>19.5</w:t>
                  </w:r>
                </w:p>
              </w:tc>
            </w:tr>
            <w:tr w14:paraId="3EBC0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continue"/>
                  <w:vAlign w:val="center"/>
                </w:tcPr>
                <w:p w14:paraId="0DAF79D8">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3172" w:type="dxa"/>
                  <w:vMerge w:val="continue"/>
                  <w:vAlign w:val="center"/>
                </w:tcPr>
                <w:p w14:paraId="2B6F9392">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1440" w:type="dxa"/>
                  <w:vAlign w:val="center"/>
                </w:tcPr>
                <w:p w14:paraId="6E0645C6">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绿化员</w:t>
                  </w:r>
                </w:p>
              </w:tc>
              <w:tc>
                <w:tcPr>
                  <w:tcW w:w="1240" w:type="dxa"/>
                  <w:vAlign w:val="center"/>
                </w:tcPr>
                <w:p w14:paraId="202A372E">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920" w:type="dxa"/>
                  <w:vMerge w:val="continue"/>
                  <w:vAlign w:val="center"/>
                </w:tcPr>
                <w:p w14:paraId="00728B81">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r>
            <w:tr w14:paraId="4E14E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restart"/>
                  <w:vAlign w:val="center"/>
                </w:tcPr>
                <w:p w14:paraId="3F4E0A7C">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w:t>
                  </w:r>
                </w:p>
              </w:tc>
              <w:tc>
                <w:tcPr>
                  <w:tcW w:w="3172" w:type="dxa"/>
                  <w:vMerge w:val="restart"/>
                  <w:vAlign w:val="center"/>
                </w:tcPr>
                <w:p w14:paraId="68F218A9">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北京师范大学北海实验中学</w:t>
                  </w:r>
                </w:p>
              </w:tc>
              <w:tc>
                <w:tcPr>
                  <w:tcW w:w="1440" w:type="dxa"/>
                  <w:vAlign w:val="center"/>
                </w:tcPr>
                <w:p w14:paraId="4F14DA15">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水电工</w:t>
                  </w:r>
                </w:p>
              </w:tc>
              <w:tc>
                <w:tcPr>
                  <w:tcW w:w="1240" w:type="dxa"/>
                  <w:vAlign w:val="center"/>
                </w:tcPr>
                <w:p w14:paraId="6047C7F9">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920" w:type="dxa"/>
                  <w:vMerge w:val="restart"/>
                  <w:vAlign w:val="center"/>
                </w:tcPr>
                <w:p w14:paraId="051A30B0">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lang w:val="en-US" w:eastAsia="zh-CN"/>
                    </w:rPr>
                    <w:t>29.95</w:t>
                  </w:r>
                </w:p>
              </w:tc>
            </w:tr>
            <w:tr w14:paraId="687D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3" w:type="dxa"/>
                  <w:vMerge w:val="continue"/>
                  <w:vAlign w:val="center"/>
                </w:tcPr>
                <w:p w14:paraId="0369F502">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3172" w:type="dxa"/>
                  <w:vMerge w:val="continue"/>
                  <w:vAlign w:val="center"/>
                </w:tcPr>
                <w:p w14:paraId="59B7C1C6">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c>
                <w:tcPr>
                  <w:tcW w:w="1440" w:type="dxa"/>
                  <w:vAlign w:val="center"/>
                </w:tcPr>
                <w:p w14:paraId="129ACDAD">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绿化员</w:t>
                  </w:r>
                </w:p>
              </w:tc>
              <w:tc>
                <w:tcPr>
                  <w:tcW w:w="1240" w:type="dxa"/>
                  <w:vAlign w:val="center"/>
                </w:tcPr>
                <w:p w14:paraId="44BAB5A2">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1920" w:type="dxa"/>
                  <w:vMerge w:val="continue"/>
                  <w:vAlign w:val="center"/>
                </w:tcPr>
                <w:p w14:paraId="2EB0CF6A">
                  <w:pPr>
                    <w:pStyle w:val="24"/>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p>
              </w:tc>
            </w:tr>
          </w:tbl>
          <w:p w14:paraId="72234950">
            <w:pPr>
              <w:pStyle w:val="24"/>
              <w:keepNext w:val="0"/>
              <w:keepLines w:val="0"/>
              <w:pageBreakBefore w:val="0"/>
              <w:widowControl w:val="0"/>
              <w:kinsoku/>
              <w:wordWrap/>
              <w:overflowPunct/>
              <w:topLinePunct w:val="0"/>
              <w:autoSpaceDE/>
              <w:autoSpaceDN/>
              <w:bidi w:val="0"/>
              <w:snapToGrid/>
              <w:spacing w:line="440" w:lineRule="exact"/>
              <w:textAlignment w:val="auto"/>
              <w:rPr>
                <w:rFonts w:hint="eastAsia" w:ascii="宋体" w:hAnsi="宋体" w:eastAsia="宋体" w:cs="宋体"/>
                <w:b/>
                <w:bCs/>
                <w:color w:val="auto"/>
                <w:sz w:val="24"/>
                <w:szCs w:val="24"/>
                <w:highlight w:val="none"/>
                <w:lang w:val="en-US" w:eastAsia="zh-CN"/>
              </w:rPr>
            </w:pPr>
          </w:p>
          <w:p w14:paraId="257E2C7D">
            <w:pPr>
              <w:pStyle w:val="24"/>
              <w:keepNext w:val="0"/>
              <w:keepLines w:val="0"/>
              <w:pageBreakBefore w:val="0"/>
              <w:widowControl w:val="0"/>
              <w:kinsoku/>
              <w:wordWrap/>
              <w:overflowPunct/>
              <w:topLinePunct w:val="0"/>
              <w:autoSpaceDE/>
              <w:autoSpaceDN/>
              <w:bidi w:val="0"/>
              <w:snapToGrid/>
              <w:spacing w:line="44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二、服务要求</w:t>
            </w:r>
          </w:p>
          <w:p w14:paraId="55BD1D13">
            <w:pPr>
              <w:pStyle w:val="24"/>
              <w:keepNext w:val="0"/>
              <w:keepLines w:val="0"/>
              <w:pageBreakBefore w:val="0"/>
              <w:widowControl w:val="0"/>
              <w:kinsoku/>
              <w:wordWrap/>
              <w:overflowPunct/>
              <w:topLinePunct w:val="0"/>
              <w:autoSpaceDE/>
              <w:autoSpaceDN/>
              <w:bidi w:val="0"/>
              <w:snapToGrid/>
              <w:spacing w:line="44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（一）总体服务要求</w:t>
            </w:r>
          </w:p>
          <w:p w14:paraId="62C88EFF">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1．各派驻学校服务用工人数不少于该校区所需人数（详见人员需求表）。</w:t>
            </w:r>
          </w:p>
          <w:p w14:paraId="1E35E4FC">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 </w:t>
            </w:r>
            <w:r>
              <w:rPr>
                <w:rFonts w:hint="eastAsia"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必须为所有上岗人员购买社会保险及人身意外保险。</w:t>
            </w:r>
          </w:p>
          <w:p w14:paraId="0847DC63">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女员工年龄在18-50岁，男员工年龄在18-58 岁。</w:t>
            </w:r>
          </w:p>
          <w:p w14:paraId="3800E236">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上岗人员在工作期间发生员工工伤及意外伤害事故以及涉及用工方面的劳务纠纷和劳动事故全部由</w:t>
            </w:r>
            <w:r>
              <w:rPr>
                <w:rFonts w:hint="eastAsia"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承担责任。</w:t>
            </w:r>
          </w:p>
          <w:p w14:paraId="567CBCB6">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 服务费涵盖基本工资、社会保险、物业服务费、税费等费用。</w:t>
            </w:r>
          </w:p>
          <w:p w14:paraId="05F629F3">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 </w:t>
            </w:r>
            <w:r>
              <w:rPr>
                <w:rFonts w:hint="eastAsia"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必须每月按时足额发放员工工资，不得以任何理由拖欠员工工资，确保及时足额支付。</w:t>
            </w:r>
          </w:p>
          <w:p w14:paraId="09A30991">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7. </w:t>
            </w:r>
            <w:r>
              <w:rPr>
                <w:rFonts w:hint="eastAsia"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需有物业服务方案，质量管理、档案管理等制度。</w:t>
            </w:r>
          </w:p>
          <w:p w14:paraId="1609D7D2">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 物业服务人员统一着装，行为规范，服务主动热情。</w:t>
            </w:r>
          </w:p>
          <w:p w14:paraId="5D6612AF">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9. </w:t>
            </w:r>
            <w:r>
              <w:rPr>
                <w:rFonts w:hint="eastAsia"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须为所有上岗人员统一配备工服、水鞋、雨衣等劳动保护用品，并为电工、绿化、水泥工等岗位人员配备安全帽，且督促其在作业期间规范佩戴。相关费用已包含在服务费中，采购人有权对此进行监督与考核。</w:t>
            </w:r>
          </w:p>
          <w:p w14:paraId="30720FA9">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10. </w:t>
            </w:r>
            <w:r>
              <w:rPr>
                <w:rFonts w:hint="eastAsia"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须严格遵守采购人资产与废弃物管理规定。所有上岗人员在日常工作中，不得捡拾、收集、私占校内产生的各类可回收废弃物（如纸皮、水瓶、废弃金属、塑料等）并带离校园出售或个人牟利。维修更换产生的废旧设施、材料、零部件等均属采购人资产，</w:t>
            </w:r>
            <w:r>
              <w:rPr>
                <w:rFonts w:hint="eastAsia"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须集中存放、登记，并按学校要求进行统一处置，不得擅自处理或变卖。</w:t>
            </w:r>
            <w:r>
              <w:rPr>
                <w:rFonts w:hint="eastAsia"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有责任对所属员工进行教育与管理，确保本要求得到有效执行。如有违反，采购人将视情节在月度服务质量考核中扣分，并有权要求成交供应商对相关人员进行严肃处理；造成学校资产损失的，</w:t>
            </w:r>
            <w:r>
              <w:rPr>
                <w:rFonts w:hint="eastAsia"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承担相应赔偿责任。</w:t>
            </w:r>
          </w:p>
          <w:p w14:paraId="05BB530A">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11. </w:t>
            </w:r>
            <w:r>
              <w:rPr>
                <w:rFonts w:hint="eastAsia"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每季度接受采购人服务质量考核，考核由采购人或校方采取日常巡查、随机抽查、专项检查相结合的方式进行。服务费以考核得分等级支付，支付比例如下：得分≥90分：支付当季应付服务费的100%；80分≤得分&lt;90分：支付当季应付服务费的95%；70 分≤得分&lt;80分：支付当季应付服务费的90%；得分&lt;70分：支付当季应付服务费的85%。得分低于70分或连续两季度低于80分，采购人或校方有权发出警告，要求限期整改，未能完成整改的采购人有权终止合同。（考核标准详见《附件：考核标准》）</w:t>
            </w:r>
          </w:p>
          <w:p w14:paraId="20BEC106">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p>
          <w:p w14:paraId="58229F36">
            <w:pPr>
              <w:pStyle w:val="24"/>
              <w:keepNext w:val="0"/>
              <w:keepLines w:val="0"/>
              <w:pageBreakBefore w:val="0"/>
              <w:widowControl w:val="0"/>
              <w:kinsoku/>
              <w:wordWrap/>
              <w:overflowPunct/>
              <w:topLinePunct w:val="0"/>
              <w:autoSpaceDE/>
              <w:autoSpaceDN/>
              <w:bidi w:val="0"/>
              <w:snapToGrid/>
              <w:spacing w:line="44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（二）具体工作要求</w:t>
            </w:r>
          </w:p>
          <w:p w14:paraId="23517FDB">
            <w:pPr>
              <w:pStyle w:val="24"/>
              <w:keepNext w:val="0"/>
              <w:keepLines w:val="0"/>
              <w:pageBreakBefore w:val="0"/>
              <w:widowControl w:val="0"/>
              <w:kinsoku/>
              <w:wordWrap/>
              <w:overflowPunct/>
              <w:topLinePunct w:val="0"/>
              <w:autoSpaceDE/>
              <w:autoSpaceDN/>
              <w:bidi w:val="0"/>
              <w:snapToGrid/>
              <w:spacing w:line="44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 保洁员的卫生保洁服务</w:t>
            </w:r>
          </w:p>
          <w:p w14:paraId="32B4FF58">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（1）服务原则</w:t>
            </w:r>
          </w:p>
          <w:p w14:paraId="14287BDB">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坚持“教学零干扰”作业，所有清洁、消毒、通风工作须安排于上课前、下课后或非教学高峰时段进行，确保正常教学秩序。</w:t>
            </w:r>
          </w:p>
          <w:p w14:paraId="5B6388E8">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（2）服务范围</w:t>
            </w:r>
          </w:p>
          <w:p w14:paraId="1621A6C2">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涵盖校内各类建筑及公共区域，具体包括：</w:t>
            </w:r>
          </w:p>
          <w:p w14:paraId="445F5EA8">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①楼宇内部：教学楼、实训楼、办公楼等楼宇的各楼层卫生间、走廊、楼梯，学生食堂、厕所、楼梯等。</w:t>
            </w:r>
          </w:p>
          <w:p w14:paraId="6ADCBB3E">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②功能场所：行政办公室、教研组办公室、会议室、报告厅、图书馆、大礼堂、电梯等。</w:t>
            </w:r>
          </w:p>
          <w:p w14:paraId="6123738F">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③公共区域：公共教室、运动场所、校内广场、道路、停车场、绿化带、垃圾桶、垃圾池、宣传栏、标识牌等。</w:t>
            </w:r>
          </w:p>
          <w:p w14:paraId="7CE9D4E2">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④专项清洁：路面灯具、不锈钢饰品、宣传栏、校牌、标示牌、楼梯栏杆、护栏、雨篷、3米以下玻璃的日常保洁（3米以上高空部位玻璃幕墙清洗的，由中标人组织进行，涉及的费用由校方另行支付）。</w:t>
            </w:r>
          </w:p>
          <w:p w14:paraId="5D7C7C23">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（3）作业频次与标准</w:t>
            </w:r>
          </w:p>
          <w:p w14:paraId="00656410">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①日常保洁：合理安排保洁人员工作区域。每日上、下午各进行一次保洁，所有区域全天候循环保洁，做到随脏随清。</w:t>
            </w:r>
          </w:p>
          <w:p w14:paraId="668838A7">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②清洁通风：每日对楼宇内部、功能场所及通道等区域进行清洁并通风，并定期消毒。</w:t>
            </w:r>
          </w:p>
          <w:p w14:paraId="6BD65E69">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③垃圾管理：每日对食堂厨余垃圾进行收集清运放到指定地方。每日对校内垃圾及时收集、中转、清运并清理垃圾池（涉及环境部门垃圾清运及处理费用由校方负责）。</w:t>
            </w:r>
          </w:p>
          <w:p w14:paraId="167FDE26">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（4）清洁质量要求：</w:t>
            </w:r>
          </w:p>
          <w:p w14:paraId="6AC49BBA">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①地面无垃圾、杂物、污渍、积水，公共场所无明显泥沙、污垢，每100㎡内纸屑不超过2片、无大于1cm石子。</w:t>
            </w:r>
          </w:p>
          <w:p w14:paraId="5F16BAD1">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②墙面无浮灰、蛛网、污迹；玻璃光洁无痕，灯具无尘无虫。</w:t>
            </w:r>
          </w:p>
          <w:p w14:paraId="28399676">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③卫生间无异味，便器无黄渍，天花、墙角清洁。</w:t>
            </w:r>
          </w:p>
          <w:p w14:paraId="473A8569">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④垃圾箱清运及时，清运率100%；垃圾桶外表干净、无满溢，周边无污垢、积水、异味。</w:t>
            </w:r>
          </w:p>
          <w:p w14:paraId="0F3AFDD4">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⑤排水沟无淤积，校园无卫生死角。</w:t>
            </w:r>
          </w:p>
          <w:p w14:paraId="5784EBEB">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（5）其他服务要求</w:t>
            </w:r>
          </w:p>
          <w:p w14:paraId="0B60643A">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①卫生防疫：根据校方安排，定期开展灭蚊、灭蝇、灭蚁、灭蟑、灭鼠等卫生防疫工作（药品由校方另行提供）。</w:t>
            </w:r>
          </w:p>
          <w:p w14:paraId="27BB9B7D">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②协助学校做好疫情防控、创城等与物业服务相关的工作</w:t>
            </w:r>
          </w:p>
          <w:p w14:paraId="42FD9C80">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③临时任务配合：积极配合学校大型活动、检查等临时性活动卫生保洁工作。</w:t>
            </w:r>
          </w:p>
          <w:p w14:paraId="1B20816E">
            <w:pPr>
              <w:pStyle w:val="24"/>
              <w:keepNext w:val="0"/>
              <w:keepLines w:val="0"/>
              <w:pageBreakBefore w:val="0"/>
              <w:widowControl w:val="0"/>
              <w:kinsoku/>
              <w:wordWrap/>
              <w:overflowPunct/>
              <w:topLinePunct w:val="0"/>
              <w:autoSpaceDE/>
              <w:autoSpaceDN/>
              <w:bidi w:val="0"/>
              <w:snapToGrid/>
              <w:spacing w:line="44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 绿化员的绿化维护服务</w:t>
            </w:r>
          </w:p>
          <w:p w14:paraId="3BEC6620">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（1）总体养护目标</w:t>
            </w:r>
          </w:p>
          <w:p w14:paraId="30463FEF">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确保校园绿化景观“三季有花，四季常青”，植株生长健壮、形态美观。负责学校大型活动及重大节日的花卉布置工作。</w:t>
            </w:r>
          </w:p>
          <w:p w14:paraId="38B0FC0E">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（2）日常养护工作项目与标准</w:t>
            </w:r>
          </w:p>
          <w:p w14:paraId="571FC280">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①浇水：草地灌木每周至少浇两次（具体视天气情况）。做到保持植物良好长势，杜绝因为缺水出现枯萎等现象。</w:t>
            </w:r>
          </w:p>
          <w:p w14:paraId="705E6C32">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②施肥：平均2-3次/年。做到施肥均匀、充足、适度、保证绿化植物强壮、枝叶茂盛。</w:t>
            </w:r>
          </w:p>
          <w:p w14:paraId="0359F519">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③修剪整形：草地8-10次/年，灌木6-8次/年（根据长势状况而定），乔木修剪2-4次/年。做到草的高度一致，整齐美观。乔、灌木：植物主枝分布均匀；绿篱整齐一致。</w:t>
            </w:r>
          </w:p>
          <w:p w14:paraId="1A15013B">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④病虫害防治：草地、灌木、乔木及时防治。视病害发生情况适时喷药，使用国家规定的绿色环保农药。</w:t>
            </w:r>
          </w:p>
          <w:p w14:paraId="7393EC2A">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⑤病虫草松土：每月除杂草一遍，雨后杂草严重者每周一遍。做到花丛下无杂草，树盘内无杂草，花木丛中不允许有高于花木的杂草，草坪上不允许有开花杂草。</w:t>
            </w:r>
          </w:p>
          <w:p w14:paraId="793C4D7D">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⑥清理绿化垃圾：修剪下来的树枝和杂草要当天清运，不准就地焚烧。做到有专人跟踪保洁。</w:t>
            </w:r>
          </w:p>
          <w:p w14:paraId="0F61F3E8">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⑦防风防汛：灾前积极预防，对树木加固，灾后及时清除倒树断枝、疏通道路、清理垃圾。做到尽快恢复原状、不能影响学校正常工作。</w:t>
            </w:r>
          </w:p>
          <w:p w14:paraId="6945F569">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（3）整体质量要求</w:t>
            </w:r>
          </w:p>
          <w:p w14:paraId="67526224">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按不同季节对花卉苗木的养护要求进行养护，并做到：</w:t>
            </w:r>
          </w:p>
          <w:p w14:paraId="79872712">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①树灌木完整，长势茂盛，无枯枝死杈，无病虫害，树木无钉枪捆绑。</w:t>
            </w:r>
          </w:p>
          <w:p w14:paraId="5157497F">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②绿篱、绿地整洁无杂草、杂物、物料堆放。</w:t>
            </w:r>
          </w:p>
          <w:p w14:paraId="6EC38C6C">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③绿化设施完好率不低于98%。</w:t>
            </w:r>
          </w:p>
          <w:p w14:paraId="7EF7E80A">
            <w:pPr>
              <w:pStyle w:val="24"/>
              <w:keepNext w:val="0"/>
              <w:keepLines w:val="0"/>
              <w:pageBreakBefore w:val="0"/>
              <w:widowControl w:val="0"/>
              <w:kinsoku/>
              <w:wordWrap/>
              <w:overflowPunct/>
              <w:topLinePunct w:val="0"/>
              <w:autoSpaceDE/>
              <w:autoSpaceDN/>
              <w:bidi w:val="0"/>
              <w:snapToGrid/>
              <w:spacing w:line="44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 水电工的日常维修服务</w:t>
            </w:r>
          </w:p>
          <w:p w14:paraId="4C107C60">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（1）维修服务原则</w:t>
            </w:r>
          </w:p>
          <w:p w14:paraId="50FE7248">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应遵循“经济节约、修旧利废”的原则。对于损坏的设施设备及物品，应首先评估其维修可行性及成本。凡通过维修可以恢复正常使用功能、且维修成本低于更换成本的，必须优先进行维修处理，不得无故建议或要求更换。若确需更换，必须向采购人提交书面说明，并经采购人确认同意后，方可进行更换。</w:t>
            </w:r>
          </w:p>
          <w:p w14:paraId="5C23240D">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（2）日常巡检制度</w:t>
            </w:r>
          </w:p>
          <w:p w14:paraId="13ED177C">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建立巡视制度，每日上、下午各进行一次全面巡检并记录，覆盖以下系统：</w:t>
            </w:r>
          </w:p>
          <w:p w14:paraId="5F4A51EF">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①排水排污：检查管道畅通情况，及时清理杂物（化粪池沉积物的抽吸、清掏由中标人负责实施及联络工作，相关费用由学校另行负责）。</w:t>
            </w:r>
          </w:p>
          <w:p w14:paraId="726B4C8D">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②公共照明：检查学校路灯及楼梯照明是否正常，发现故障及时修复，并早晚巡检及时关闭无照明需要的电灯，避免浪费电力。</w:t>
            </w:r>
          </w:p>
          <w:p w14:paraId="477FE2B7">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③公共设施：检查有无损毁公共设施，包括门窗、家具、室内照明、水电管线等，发现损坏立即维修；如属人为破坏情况需制止并上报。</w:t>
            </w:r>
          </w:p>
          <w:p w14:paraId="2F44830C">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④管线安全：检查各类水、电、气等管线有无破损、断裂、锈蚀，一经发现立即进行维修并做好记录，保证各类管道电线正常使用。</w:t>
            </w:r>
          </w:p>
          <w:p w14:paraId="09EFC0BB">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⑤配电设施：保持电缆沟（竖井）无水渍、杂物、鼠害、配电箱外观干燥完好、整洁、运行正常。</w:t>
            </w:r>
          </w:p>
          <w:p w14:paraId="018C198D">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⑥节能管理：杜绝“长明灯、长流水”及“跑冒滴漏”现象。</w:t>
            </w:r>
          </w:p>
          <w:p w14:paraId="6EA7C8A4">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（3）维修维护内容</w:t>
            </w:r>
          </w:p>
          <w:p w14:paraId="20B17833">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①公共区域：维修教学楼、办公楼等场所的门窗、桌椅、照明、给排水、电器及户外设施（道路、宣传栏等）。</w:t>
            </w:r>
          </w:p>
          <w:p w14:paraId="3676C7DD">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②宿舍区域：维修宿舍内家具、门窗锁具、水电设施（灯具插座、龙头、淋浴器等），并保障热水系统正常运行。</w:t>
            </w:r>
          </w:p>
          <w:p w14:paraId="6F8ABDC1">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③响应要求：影响教学的公共区域故障及宿舍区紧急报修（如断电、漏水），须优先按应急流程处理。</w:t>
            </w:r>
          </w:p>
          <w:p w14:paraId="4142DB3F">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（4）应急与值班制度</w:t>
            </w:r>
          </w:p>
          <w:p w14:paraId="0306E23E">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①水电工24小时值班，随时响应。</w:t>
            </w:r>
          </w:p>
          <w:p w14:paraId="4E64FB6B">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②向校方提供紧急联络名录，确保信息畅通。</w:t>
            </w:r>
          </w:p>
          <w:p w14:paraId="1B113094">
            <w:pPr>
              <w:pStyle w:val="24"/>
              <w:keepNext w:val="0"/>
              <w:keepLines w:val="0"/>
              <w:pageBreakBefore w:val="0"/>
              <w:widowControl w:val="0"/>
              <w:kinsoku/>
              <w:wordWrap/>
              <w:overflowPunct/>
              <w:topLinePunct w:val="0"/>
              <w:autoSpaceDE/>
              <w:autoSpaceDN/>
              <w:bidi w:val="0"/>
              <w:snapToGrid/>
              <w:spacing w:line="44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三、岗位配置要求及素质要求</w:t>
            </w:r>
          </w:p>
          <w:p w14:paraId="5624596E">
            <w:pPr>
              <w:pStyle w:val="24"/>
              <w:keepNext w:val="0"/>
              <w:keepLines w:val="0"/>
              <w:pageBreakBefore w:val="0"/>
              <w:widowControl w:val="0"/>
              <w:kinsoku/>
              <w:wordWrap/>
              <w:overflowPunct/>
              <w:topLinePunct w:val="0"/>
              <w:autoSpaceDE/>
              <w:autoSpaceDN/>
              <w:bidi w:val="0"/>
              <w:snapToGrid/>
              <w:spacing w:line="44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（一）岗位人员配置</w:t>
            </w:r>
          </w:p>
          <w:p w14:paraId="4D896F8C">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hAnsi="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lang w:val="en-US" w:eastAsia="zh-CN"/>
              </w:rPr>
              <w:t>必须按各派驻校区的对要求，对各个岗位不同时段的人员数量和岗位要求配备相应物业服务人员，并保证实际到岗。</w:t>
            </w:r>
            <w:r>
              <w:rPr>
                <w:rFonts w:hint="eastAsia" w:hAnsi="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lang w:val="en-US" w:eastAsia="zh-CN"/>
              </w:rPr>
              <w:t>在组织、安排保安工作时，应符合国家相关法规，维护物业服务人员的正当权益。</w:t>
            </w:r>
            <w:r>
              <w:rPr>
                <w:rFonts w:hint="eastAsia" w:hAnsi="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lang w:val="en-US" w:eastAsia="zh-CN"/>
              </w:rPr>
              <w:t>对其用工行为承担一切法律责任。</w:t>
            </w:r>
          </w:p>
          <w:p w14:paraId="5F77047E">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2.拟</w:t>
            </w:r>
            <w:r>
              <w:rPr>
                <w:rFonts w:hint="eastAsia" w:ascii="宋体" w:hAnsi="宋体" w:eastAsia="宋体" w:cs="宋体"/>
                <w:b w:val="0"/>
                <w:bCs w:val="0"/>
                <w:color w:val="auto"/>
                <w:sz w:val="24"/>
                <w:szCs w:val="24"/>
                <w:highlight w:val="none"/>
                <w:lang w:val="en-US" w:eastAsia="zh-CN"/>
              </w:rPr>
              <w:t>派物业人员</w:t>
            </w:r>
            <w:r>
              <w:rPr>
                <w:rFonts w:hint="eastAsia" w:ascii="宋体" w:hAnsi="宋体" w:eastAsia="宋体" w:cs="宋体"/>
                <w:color w:val="auto"/>
                <w:sz w:val="24"/>
                <w:szCs w:val="24"/>
                <w:highlight w:val="none"/>
                <w:lang w:val="en-US" w:eastAsia="zh-CN"/>
              </w:rPr>
              <w:t>身体健康，视力正常，无传染性、肝、肾、心脏、心血管等严重疾病，无不良社会记录等，提供正规医院健康证明，年龄58岁以下（女员工年龄在18-50岁，男员工年龄在18-58岁）。</w:t>
            </w:r>
          </w:p>
          <w:p w14:paraId="044ACE6D">
            <w:pPr>
              <w:pStyle w:val="24"/>
              <w:keepNext w:val="0"/>
              <w:keepLines w:val="0"/>
              <w:pageBreakBefore w:val="0"/>
              <w:widowControl w:val="0"/>
              <w:kinsoku/>
              <w:wordWrap/>
              <w:overflowPunct/>
              <w:topLinePunct w:val="0"/>
              <w:autoSpaceDE/>
              <w:autoSpaceDN/>
              <w:bidi w:val="0"/>
              <w:snapToGrid/>
              <w:spacing w:line="440" w:lineRule="exact"/>
              <w:ind w:left="0" w:lef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（二）岗位时间安排</w:t>
            </w:r>
          </w:p>
          <w:p w14:paraId="547E5E52">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 水电工：上午7:30-12:00，下午14:30-18:00。</w:t>
            </w:r>
          </w:p>
          <w:p w14:paraId="1E1A7260">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 保洁员：上午7:30-12:00，下午14:30-18:00。</w:t>
            </w:r>
          </w:p>
          <w:p w14:paraId="47D50E06">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 绿化员：上午7:30-12:00，下午14:30-18:00。</w:t>
            </w:r>
          </w:p>
          <w:p w14:paraId="621E59E9">
            <w:pPr>
              <w:pStyle w:val="24"/>
              <w:keepNext w:val="0"/>
              <w:keepLines w:val="0"/>
              <w:pageBreakBefore w:val="0"/>
              <w:widowControl w:val="0"/>
              <w:kinsoku/>
              <w:wordWrap/>
              <w:overflowPunct/>
              <w:topLinePunct w:val="0"/>
              <w:autoSpaceDE/>
              <w:autoSpaceDN/>
              <w:bidi w:val="0"/>
              <w:snapToGrid/>
              <w:spacing w:line="44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（注：如所服务单位有特殊要求，具体安排由相关单位自行安排）</w:t>
            </w:r>
          </w:p>
          <w:p w14:paraId="68CA2DE7">
            <w:pPr>
              <w:pStyle w:val="24"/>
              <w:keepNext w:val="0"/>
              <w:keepLines w:val="0"/>
              <w:pageBreakBefore w:val="0"/>
              <w:widowControl w:val="0"/>
              <w:kinsoku/>
              <w:wordWrap/>
              <w:overflowPunct/>
              <w:topLinePunct w:val="0"/>
              <w:autoSpaceDE/>
              <w:autoSpaceDN/>
              <w:bidi w:val="0"/>
              <w:snapToGrid/>
              <w:spacing w:line="44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（二）岗位素质要求</w:t>
            </w:r>
          </w:p>
          <w:p w14:paraId="66A03557">
            <w:pPr>
              <w:pStyle w:val="24"/>
              <w:keepNext w:val="0"/>
              <w:keepLines w:val="0"/>
              <w:pageBreakBefore w:val="0"/>
              <w:widowControl w:val="0"/>
              <w:kinsoku/>
              <w:wordWrap/>
              <w:overflowPunct/>
              <w:topLinePunct w:val="0"/>
              <w:autoSpaceDE/>
              <w:autoSpaceDN/>
              <w:bidi w:val="0"/>
              <w:snapToGrid/>
              <w:spacing w:line="44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 职业道德规范</w:t>
            </w:r>
          </w:p>
          <w:p w14:paraId="39B4D7E7">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（1）敬业爱岗，恪尽职守：勤奋务实，积极投入本职工作，热爱岗位并乐于奉献。</w:t>
            </w:r>
          </w:p>
          <w:p w14:paraId="2E5FAC17">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（2）遵纪守法，严守规章：自觉遵守国家法律法规，严格执行公司及校方各项规章制度与劳动纪律。</w:t>
            </w:r>
          </w:p>
          <w:p w14:paraId="694B0EC0">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（3）勤学善思，提升技能：主动学习相关知识，持续提升业务能力与服务水准。</w:t>
            </w:r>
          </w:p>
          <w:p w14:paraId="6BCD8F4A">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（4）廉洁奉公，维护声誉：爱护公共财产，不以权谋私，自觉维护公司与学校的利益及形象。</w:t>
            </w:r>
          </w:p>
          <w:p w14:paraId="404E2590">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（5）勤俭节约，节能降耗：树立节约意识，在日常工作中践行节约能源、爱惜物资。</w:t>
            </w:r>
          </w:p>
          <w:p w14:paraId="03E206A1">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（6）团结协作，和谐共事：严于律己，宽以待人，妥善处理个人与集体、同事间关系，具备良好的团队协作精神。</w:t>
            </w:r>
          </w:p>
          <w:p w14:paraId="7DF5EF12">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（7）严守秘密，谨言慎行：未经授权，不得对外泄露或传播学校的任何信息与资料。</w:t>
            </w:r>
          </w:p>
          <w:p w14:paraId="544A3BB0">
            <w:pPr>
              <w:pStyle w:val="24"/>
              <w:keepNext w:val="0"/>
              <w:keepLines w:val="0"/>
              <w:pageBreakBefore w:val="0"/>
              <w:widowControl w:val="0"/>
              <w:kinsoku/>
              <w:wordWrap/>
              <w:overflowPunct/>
              <w:topLinePunct w:val="0"/>
              <w:autoSpaceDE/>
              <w:autoSpaceDN/>
              <w:bidi w:val="0"/>
              <w:snapToGrid/>
              <w:spacing w:line="44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 服务意识规范</w:t>
            </w:r>
          </w:p>
          <w:p w14:paraId="3E87195E">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（1）文明礼貌，举止得体：使用规范用语，谈吐文雅，保持衣着整洁，举止大方端庄。</w:t>
            </w:r>
          </w:p>
          <w:p w14:paraId="467E3D13">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（2）主动热情，真诚服务：以积极热情的态度面对师生，主动识别服务需求，乐于为师生解决实际困难，常面带微笑，态度谦和。</w:t>
            </w:r>
          </w:p>
          <w:p w14:paraId="00B4C31A">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（3）耐心周到，细致入微：服务过程中保持耐心，不厌其烦，虚心听取师生意见，细致解答疑问，力求提供全面、满意的服务。</w:t>
            </w:r>
          </w:p>
          <w:p w14:paraId="378BB2D0">
            <w:pPr>
              <w:pStyle w:val="24"/>
              <w:keepNext w:val="0"/>
              <w:keepLines w:val="0"/>
              <w:pageBreakBefore w:val="0"/>
              <w:widowControl w:val="0"/>
              <w:kinsoku/>
              <w:wordWrap/>
              <w:overflowPunct/>
              <w:topLinePunct w:val="0"/>
              <w:autoSpaceDE/>
              <w:autoSpaceDN/>
              <w:bidi w:val="0"/>
              <w:snapToGrid/>
              <w:spacing w:line="44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 仪容仪表规范</w:t>
            </w:r>
          </w:p>
          <w:p w14:paraId="0C219744">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（1）保持个人卫生，着装统一、整洁，工作证应端正佩戴于左胸前。</w:t>
            </w:r>
          </w:p>
          <w:p w14:paraId="051B7241">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（2）工作时间内不得穿短裤、背心、拖鞋等不规范着装进入工作区域。</w:t>
            </w:r>
          </w:p>
          <w:p w14:paraId="6CE2A23E">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（3）男员工：发长不掩耳、不遮领，每日剃须；保持指甲清洁，不留长指甲；衣着纽扣扣齐，领带紧束（大箭头下端以垂至皮带扣处为准），衬衣下摆应束于裤内。</w:t>
            </w:r>
          </w:p>
          <w:p w14:paraId="3EBAD333">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（4）女员工：发长不过肩，发型简洁大方，不染怪异发色；不留长指甲，不涂染艳丽指甲油；妆容朴素淡雅，不浓妆艳抹；不穿着黑色或带花纹的丝袜。</w:t>
            </w:r>
          </w:p>
          <w:p w14:paraId="38EB7D43">
            <w:pPr>
              <w:pStyle w:val="24"/>
              <w:keepNext w:val="0"/>
              <w:keepLines w:val="0"/>
              <w:pageBreakBefore w:val="0"/>
              <w:widowControl w:val="0"/>
              <w:kinsoku/>
              <w:wordWrap/>
              <w:overflowPunct/>
              <w:topLinePunct w:val="0"/>
              <w:autoSpaceDE/>
              <w:autoSpaceDN/>
              <w:bidi w:val="0"/>
              <w:snapToGrid/>
              <w:spacing w:line="44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（三）岗位工作职责要求</w:t>
            </w:r>
          </w:p>
          <w:p w14:paraId="302B6981">
            <w:pPr>
              <w:pStyle w:val="24"/>
              <w:keepNext w:val="0"/>
              <w:keepLines w:val="0"/>
              <w:pageBreakBefore w:val="0"/>
              <w:widowControl w:val="0"/>
              <w:kinsoku/>
              <w:wordWrap/>
              <w:overflowPunct/>
              <w:topLinePunct w:val="0"/>
              <w:autoSpaceDE/>
              <w:autoSpaceDN/>
              <w:bidi w:val="0"/>
              <w:snapToGrid/>
              <w:spacing w:line="44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 水电工</w:t>
            </w:r>
          </w:p>
          <w:p w14:paraId="099D9F40">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（1）水电综合维修：</w:t>
            </w:r>
          </w:p>
          <w:p w14:paraId="4151B008">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 熟悉并遵守相关法规及各项规章制度，熟练掌握应急预案。</w:t>
            </w:r>
          </w:p>
          <w:p w14:paraId="70DD5565">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 持证上岗，定期培训。</w:t>
            </w:r>
          </w:p>
          <w:p w14:paraId="7BEBB653">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 熟悉辖区内水电线路、开关等设施设备功能及分布情况。熟练掌握相关维修技能，严格执行操作规程。</w:t>
            </w:r>
          </w:p>
          <w:p w14:paraId="31C9888E">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④</w:t>
            </w:r>
            <w:r>
              <w:rPr>
                <w:rFonts w:hint="eastAsia" w:ascii="宋体" w:hAnsi="宋体" w:eastAsia="宋体" w:cs="宋体"/>
                <w:color w:val="auto"/>
                <w:sz w:val="24"/>
                <w:szCs w:val="24"/>
                <w:highlight w:val="none"/>
                <w:lang w:val="en-US" w:eastAsia="zh-CN"/>
              </w:rPr>
              <w:t xml:space="preserve"> 定时巡检水电线路等设施设备，填写记录，保持完好运行，发现问题时，应准确判断，及时处理。</w:t>
            </w:r>
          </w:p>
          <w:p w14:paraId="2C3A3A49">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⑤</w:t>
            </w:r>
            <w:r>
              <w:rPr>
                <w:rFonts w:hint="eastAsia" w:ascii="宋体" w:hAnsi="宋体" w:eastAsia="宋体" w:cs="宋体"/>
                <w:color w:val="auto"/>
                <w:sz w:val="24"/>
                <w:szCs w:val="24"/>
                <w:highlight w:val="none"/>
                <w:lang w:val="en-US" w:eastAsia="zh-CN"/>
              </w:rPr>
              <w:t xml:space="preserve"> 接到报修后60分钟内到达现场，维修合格率达100%。水电抢修不过夜。</w:t>
            </w:r>
          </w:p>
          <w:p w14:paraId="29360AD3">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⑥</w:t>
            </w:r>
            <w:r>
              <w:rPr>
                <w:rFonts w:hint="eastAsia" w:ascii="宋体" w:hAnsi="宋体" w:eastAsia="宋体" w:cs="宋体"/>
                <w:color w:val="auto"/>
                <w:sz w:val="24"/>
                <w:szCs w:val="24"/>
                <w:highlight w:val="none"/>
                <w:lang w:val="en-US" w:eastAsia="zh-CN"/>
              </w:rPr>
              <w:t xml:space="preserve"> 供配电室及室外变台、箱变、低压配电室双人巡检维护。</w:t>
            </w:r>
          </w:p>
          <w:p w14:paraId="6DEE956A">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⑦</w:t>
            </w:r>
            <w:r>
              <w:rPr>
                <w:rFonts w:hint="eastAsia" w:ascii="宋体" w:hAnsi="宋体" w:eastAsia="宋体" w:cs="宋体"/>
                <w:color w:val="auto"/>
                <w:sz w:val="24"/>
                <w:szCs w:val="24"/>
                <w:highlight w:val="none"/>
                <w:lang w:val="en-US" w:eastAsia="zh-CN"/>
              </w:rPr>
              <w:t xml:space="preserve"> 停送电操作，应填写相关工作票，做好安全组织，按规范程序操作。</w:t>
            </w:r>
          </w:p>
          <w:p w14:paraId="131755AD">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⑧</w:t>
            </w:r>
            <w:r>
              <w:rPr>
                <w:rFonts w:hint="eastAsia" w:ascii="宋体" w:hAnsi="宋体" w:eastAsia="宋体" w:cs="宋体"/>
                <w:color w:val="auto"/>
                <w:sz w:val="24"/>
                <w:szCs w:val="24"/>
                <w:highlight w:val="none"/>
                <w:lang w:val="en-US" w:eastAsia="zh-CN"/>
              </w:rPr>
              <w:t xml:space="preserve"> 定期检查避雷、接地设施完好性，定期进行相关试验。</w:t>
            </w:r>
          </w:p>
          <w:p w14:paraId="43ADEF61">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⑨</w:t>
            </w:r>
            <w:r>
              <w:rPr>
                <w:rFonts w:hint="eastAsia" w:ascii="宋体" w:hAnsi="宋体" w:eastAsia="宋体" w:cs="宋体"/>
                <w:color w:val="auto"/>
                <w:sz w:val="24"/>
                <w:szCs w:val="24"/>
                <w:highlight w:val="none"/>
                <w:lang w:val="en-US" w:eastAsia="zh-CN"/>
              </w:rPr>
              <w:t xml:space="preserve"> 按规范要求，配置安全防护设施，定时清扫设备及配电室卫生。</w:t>
            </w:r>
          </w:p>
          <w:p w14:paraId="79999043">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⑩</w:t>
            </w:r>
            <w:r>
              <w:rPr>
                <w:rFonts w:hint="eastAsia" w:ascii="宋体" w:hAnsi="宋体" w:eastAsia="宋体" w:cs="宋体"/>
                <w:color w:val="auto"/>
                <w:sz w:val="24"/>
                <w:szCs w:val="24"/>
                <w:highlight w:val="none"/>
                <w:lang w:val="en-US" w:eastAsia="zh-CN"/>
              </w:rPr>
              <w:t xml:space="preserve"> 制定并组织实施设备维保计划。</w:t>
            </w:r>
          </w:p>
          <w:p w14:paraId="09A3E34D">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（2）公共设施小型维修：</w:t>
            </w:r>
          </w:p>
          <w:p w14:paraId="0865733B">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lang w:val="en-US" w:eastAsia="zh-CN"/>
              </w:rPr>
              <w:t xml:space="preserve"> 熟悉并遵守相关法规及各项规章制度，熟练掌握应急预案。</w:t>
            </w:r>
          </w:p>
          <w:p w14:paraId="60B2F69D">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val="en-US" w:eastAsia="zh-CN"/>
              </w:rPr>
              <w:t xml:space="preserve"> 定期培训，特种作业必须持证上岗。</w:t>
            </w:r>
          </w:p>
          <w:p w14:paraId="4822F751">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lang w:val="en-US" w:eastAsia="zh-CN"/>
              </w:rPr>
              <w:t xml:space="preserve"> 辖区内建筑设施维修，包括：房屋、门窗、学生宿舍门锁家具、道路、广场、管井、化粪池、景观小品等设施。</w:t>
            </w:r>
          </w:p>
          <w:p w14:paraId="3AF08A59">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④</w:t>
            </w:r>
            <w:r>
              <w:rPr>
                <w:rFonts w:hint="eastAsia" w:ascii="宋体" w:hAnsi="宋体" w:eastAsia="宋体" w:cs="宋体"/>
                <w:color w:val="auto"/>
                <w:sz w:val="24"/>
                <w:szCs w:val="24"/>
                <w:highlight w:val="none"/>
                <w:lang w:val="en-US" w:eastAsia="zh-CN"/>
              </w:rPr>
              <w:t xml:space="preserve"> 定时巡检，填写记录，保持设施完好，发现问题时，应准确判断，及时处理。</w:t>
            </w:r>
          </w:p>
          <w:p w14:paraId="10C56655">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⑤接到报修后60分钟内到达现场，维修合格率达100%。</w:t>
            </w:r>
          </w:p>
          <w:p w14:paraId="05C13D81">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⑥常备配件类维修，自接到报修后应当日修复。</w:t>
            </w:r>
          </w:p>
          <w:p w14:paraId="5B1267BE">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⑦外购配件及土建类维修，自接到报修之日起应3日内修复。</w:t>
            </w:r>
          </w:p>
          <w:p w14:paraId="06181431">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⑧雨季做好本职防汛工作，排查有关隐患。</w:t>
            </w:r>
          </w:p>
          <w:p w14:paraId="16113E74">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➈提出专项修缮建议。</w:t>
            </w:r>
          </w:p>
          <w:p w14:paraId="583A4410">
            <w:pPr>
              <w:pStyle w:val="24"/>
              <w:keepNext w:val="0"/>
              <w:keepLines w:val="0"/>
              <w:pageBreakBefore w:val="0"/>
              <w:widowControl w:val="0"/>
              <w:kinsoku/>
              <w:wordWrap/>
              <w:overflowPunct/>
              <w:topLinePunct w:val="0"/>
              <w:autoSpaceDE/>
              <w:autoSpaceDN/>
              <w:bidi w:val="0"/>
              <w:snapToGrid/>
              <w:spacing w:line="44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 保洁员</w:t>
            </w:r>
          </w:p>
          <w:p w14:paraId="1F6E9B64">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（1）熟悉并遵守相关法规及各项规章制度。保洁服务讲求文明礼貌。</w:t>
            </w:r>
          </w:p>
          <w:p w14:paraId="7B879513">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（2）以下公共区域的设施设备要保持整洁：墙壁、门窗、玻璃、照明、地墙面、楼梯、扶手、水房、卫生间、天花板、标识牌、消防、水暖电气、电梯、宣传栏等。</w:t>
            </w:r>
          </w:p>
          <w:p w14:paraId="104539A6">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（3）公共卫生间要保持空气清新、洁具明亮，无异味、无积水、无污垢。</w:t>
            </w:r>
          </w:p>
          <w:p w14:paraId="12EA85C6">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（4）楼宇周边，要保持环境整洁、各种车辆整齐有序。</w:t>
            </w:r>
          </w:p>
          <w:p w14:paraId="59958E18">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（5）雨、雪天气时，负责清扫责任区的积水和积雪。</w:t>
            </w:r>
          </w:p>
          <w:p w14:paraId="06C18815">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（6）捡拾遗失物品应登记备案、完好交还失主。</w:t>
            </w:r>
          </w:p>
          <w:p w14:paraId="79DD4111">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（7）发现火情、治安事件、嫌疑人员、可疑现象、水暖跑冒、燃气泄漏等紧急情况，应及时上报并协助处理。</w:t>
            </w:r>
          </w:p>
          <w:p w14:paraId="6860339E">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绿化员</w:t>
            </w:r>
          </w:p>
          <w:p w14:paraId="748BD891">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（1）熟悉并遵守相关法规及各项规章制度，熟练掌握应急预案。</w:t>
            </w:r>
          </w:p>
          <w:p w14:paraId="774AD926">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（2）熟悉花草树木名称、习性和养护，定期进行培训。</w:t>
            </w:r>
          </w:p>
          <w:p w14:paraId="61A76BDC">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（3）做好辖区乔灌草等植物的修剪、施肥、浇水、除草等工作，保持植物生长状态良好，形状美观。</w:t>
            </w:r>
          </w:p>
          <w:p w14:paraId="71C794B6">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（4）有效利用生物、化学、物理方法防控病虫害。</w:t>
            </w:r>
          </w:p>
          <w:p w14:paraId="593EAB90">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（5）熟练使用、维护园林机械设备和喷灌设施。</w:t>
            </w:r>
          </w:p>
          <w:p w14:paraId="7A7296A4">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（6）熟练掌握种植、移植技术。</w:t>
            </w:r>
          </w:p>
          <w:p w14:paraId="6EB75B5B">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（7）保持绿地整洁无杂物、无污染物。</w:t>
            </w:r>
          </w:p>
          <w:p w14:paraId="74A0CD63">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（8）按规范要求，有效维护古树健康生长。</w:t>
            </w:r>
          </w:p>
          <w:p w14:paraId="5EA790E2">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（9）做好防范植物倒伏隐患排查工作。</w:t>
            </w:r>
          </w:p>
          <w:p w14:paraId="10BB9FB7">
            <w:pPr>
              <w:pStyle w:val="24"/>
              <w:keepNext w:val="0"/>
              <w:keepLines w:val="0"/>
              <w:pageBreakBefore w:val="0"/>
              <w:widowControl w:val="0"/>
              <w:kinsoku/>
              <w:wordWrap/>
              <w:overflowPunct/>
              <w:topLinePunct w:val="0"/>
              <w:autoSpaceDE/>
              <w:autoSpaceDN/>
              <w:bidi w:val="0"/>
              <w:snapToGrid/>
              <w:spacing w:line="44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四、档案管理要求</w:t>
            </w:r>
          </w:p>
          <w:p w14:paraId="4CF13729">
            <w:pPr>
              <w:pStyle w:val="24"/>
              <w:keepNext w:val="0"/>
              <w:keepLines w:val="0"/>
              <w:pageBreakBefore w:val="0"/>
              <w:widowControl w:val="0"/>
              <w:kinsoku/>
              <w:wordWrap/>
              <w:overflowPunct/>
              <w:topLinePunct w:val="0"/>
              <w:autoSpaceDE/>
              <w:autoSpaceDN/>
              <w:bidi w:val="0"/>
              <w:snapToGrid/>
              <w:spacing w:line="44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须建立并妥善保管包括但不限于：员工档案与培训记录、日常巡检与维修日志、设备设施保养台账、考核记录、消杀记录、宿舍管理值班与检查记录等全套物业管理档案，供学校随时抽查。</w:t>
            </w:r>
          </w:p>
        </w:tc>
      </w:tr>
      <w:tr w14:paraId="5EC42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91" w:type="dxa"/>
            <w:gridSpan w:val="2"/>
            <w:vMerge w:val="continue"/>
            <w:vAlign w:val="center"/>
          </w:tcPr>
          <w:p w14:paraId="145BCA25">
            <w:pPr>
              <w:keepNext w:val="0"/>
              <w:keepLines w:val="0"/>
              <w:pageBreakBefore w:val="0"/>
              <w:widowControl w:val="0"/>
              <w:kinsoku/>
              <w:wordWrap w:val="0"/>
              <w:overflowPunct/>
              <w:topLinePunct w:val="0"/>
              <w:autoSpaceDE/>
              <w:autoSpaceDN/>
              <w:bidi w:val="0"/>
              <w:adjustRightInd w:val="0"/>
              <w:snapToGrid/>
              <w:spacing w:line="520" w:lineRule="exact"/>
              <w:ind w:left="210" w:hanging="240" w:hangingChars="100"/>
              <w:jc w:val="left"/>
              <w:rPr>
                <w:rFonts w:hint="default" w:ascii="Times New Roman" w:hAnsi="Times New Roman" w:eastAsia="仿宋_GB2312" w:cs="Times New Roman"/>
                <w:color w:val="auto"/>
                <w:sz w:val="24"/>
                <w:szCs w:val="24"/>
                <w:highlight w:val="none"/>
              </w:rPr>
            </w:pPr>
          </w:p>
        </w:tc>
      </w:tr>
      <w:tr w14:paraId="0B5EF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91" w:type="dxa"/>
            <w:gridSpan w:val="2"/>
            <w:vMerge w:val="continue"/>
            <w:vAlign w:val="center"/>
          </w:tcPr>
          <w:p w14:paraId="62FB6E8F">
            <w:pPr>
              <w:keepNext w:val="0"/>
              <w:keepLines w:val="0"/>
              <w:pageBreakBefore w:val="0"/>
              <w:widowControl w:val="0"/>
              <w:kinsoku/>
              <w:wordWrap w:val="0"/>
              <w:overflowPunct/>
              <w:topLinePunct w:val="0"/>
              <w:autoSpaceDE/>
              <w:autoSpaceDN/>
              <w:bidi w:val="0"/>
              <w:adjustRightInd w:val="0"/>
              <w:snapToGrid/>
              <w:spacing w:line="520" w:lineRule="exact"/>
              <w:ind w:left="210" w:hanging="240" w:hangingChars="100"/>
              <w:jc w:val="left"/>
              <w:rPr>
                <w:rFonts w:hint="default" w:ascii="Times New Roman" w:hAnsi="Times New Roman" w:eastAsia="仿宋_GB2312" w:cs="Times New Roman"/>
                <w:color w:val="auto"/>
                <w:sz w:val="24"/>
                <w:szCs w:val="24"/>
                <w:highlight w:val="none"/>
              </w:rPr>
            </w:pPr>
          </w:p>
        </w:tc>
      </w:tr>
      <w:tr w14:paraId="61C98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91" w:type="dxa"/>
            <w:gridSpan w:val="2"/>
            <w:vMerge w:val="continue"/>
            <w:vAlign w:val="center"/>
          </w:tcPr>
          <w:p w14:paraId="7724F0E4">
            <w:pPr>
              <w:keepNext w:val="0"/>
              <w:keepLines w:val="0"/>
              <w:pageBreakBefore w:val="0"/>
              <w:widowControl w:val="0"/>
              <w:kinsoku/>
              <w:wordWrap w:val="0"/>
              <w:overflowPunct/>
              <w:topLinePunct w:val="0"/>
              <w:autoSpaceDE/>
              <w:autoSpaceDN/>
              <w:bidi w:val="0"/>
              <w:adjustRightInd w:val="0"/>
              <w:snapToGrid/>
              <w:spacing w:line="520" w:lineRule="exact"/>
              <w:ind w:left="210" w:hanging="240" w:hangingChars="100"/>
              <w:jc w:val="left"/>
              <w:rPr>
                <w:rFonts w:hint="default" w:ascii="Times New Roman" w:hAnsi="Times New Roman" w:eastAsia="仿宋_GB2312" w:cs="Times New Roman"/>
                <w:color w:val="auto"/>
                <w:sz w:val="24"/>
                <w:szCs w:val="24"/>
                <w:highlight w:val="none"/>
              </w:rPr>
            </w:pPr>
          </w:p>
        </w:tc>
      </w:tr>
      <w:tr w14:paraId="35A52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91" w:type="dxa"/>
            <w:gridSpan w:val="2"/>
            <w:vMerge w:val="continue"/>
            <w:vAlign w:val="center"/>
          </w:tcPr>
          <w:p w14:paraId="123650B4">
            <w:pPr>
              <w:keepNext w:val="0"/>
              <w:keepLines w:val="0"/>
              <w:pageBreakBefore w:val="0"/>
              <w:widowControl w:val="0"/>
              <w:kinsoku/>
              <w:wordWrap w:val="0"/>
              <w:overflowPunct/>
              <w:topLinePunct w:val="0"/>
              <w:autoSpaceDE/>
              <w:autoSpaceDN/>
              <w:bidi w:val="0"/>
              <w:adjustRightInd w:val="0"/>
              <w:snapToGrid/>
              <w:spacing w:line="520" w:lineRule="exact"/>
              <w:ind w:left="210" w:hanging="240" w:hangingChars="100"/>
              <w:jc w:val="left"/>
              <w:rPr>
                <w:rFonts w:hint="default" w:ascii="Times New Roman" w:hAnsi="Times New Roman" w:eastAsia="仿宋_GB2312" w:cs="Times New Roman"/>
                <w:color w:val="auto"/>
                <w:sz w:val="24"/>
                <w:szCs w:val="24"/>
                <w:highlight w:val="none"/>
              </w:rPr>
            </w:pPr>
          </w:p>
        </w:tc>
      </w:tr>
      <w:tr w14:paraId="670B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91" w:type="dxa"/>
            <w:gridSpan w:val="2"/>
            <w:vMerge w:val="continue"/>
            <w:vAlign w:val="center"/>
          </w:tcPr>
          <w:p w14:paraId="622877F0">
            <w:pPr>
              <w:keepNext w:val="0"/>
              <w:keepLines w:val="0"/>
              <w:pageBreakBefore w:val="0"/>
              <w:widowControl w:val="0"/>
              <w:kinsoku/>
              <w:wordWrap w:val="0"/>
              <w:overflowPunct/>
              <w:topLinePunct w:val="0"/>
              <w:autoSpaceDE/>
              <w:autoSpaceDN/>
              <w:bidi w:val="0"/>
              <w:adjustRightInd w:val="0"/>
              <w:snapToGrid/>
              <w:spacing w:line="520" w:lineRule="exact"/>
              <w:ind w:left="210" w:hanging="240" w:hangingChars="100"/>
              <w:jc w:val="left"/>
              <w:rPr>
                <w:rFonts w:hint="default" w:ascii="Times New Roman" w:hAnsi="Times New Roman" w:eastAsia="仿宋_GB2312" w:cs="Times New Roman"/>
                <w:color w:val="auto"/>
                <w:sz w:val="24"/>
                <w:szCs w:val="24"/>
                <w:highlight w:val="none"/>
              </w:rPr>
            </w:pPr>
          </w:p>
        </w:tc>
      </w:tr>
      <w:tr w14:paraId="449B2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91" w:type="dxa"/>
            <w:gridSpan w:val="2"/>
            <w:vMerge w:val="continue"/>
            <w:vAlign w:val="center"/>
          </w:tcPr>
          <w:p w14:paraId="1AE5AA18">
            <w:pPr>
              <w:keepNext w:val="0"/>
              <w:keepLines w:val="0"/>
              <w:pageBreakBefore w:val="0"/>
              <w:widowControl w:val="0"/>
              <w:kinsoku/>
              <w:wordWrap w:val="0"/>
              <w:overflowPunct/>
              <w:topLinePunct w:val="0"/>
              <w:autoSpaceDE/>
              <w:autoSpaceDN/>
              <w:bidi w:val="0"/>
              <w:adjustRightInd w:val="0"/>
              <w:snapToGrid/>
              <w:spacing w:line="520" w:lineRule="exact"/>
              <w:ind w:left="210" w:hanging="240" w:hangingChars="100"/>
              <w:jc w:val="left"/>
              <w:rPr>
                <w:rFonts w:hint="default" w:ascii="Times New Roman" w:hAnsi="Times New Roman" w:eastAsia="仿宋_GB2312" w:cs="Times New Roman"/>
                <w:color w:val="auto"/>
                <w:sz w:val="24"/>
                <w:szCs w:val="24"/>
                <w:highlight w:val="none"/>
              </w:rPr>
            </w:pPr>
          </w:p>
        </w:tc>
      </w:tr>
      <w:tr w14:paraId="7EB7A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91" w:type="dxa"/>
            <w:gridSpan w:val="2"/>
            <w:vMerge w:val="continue"/>
            <w:vAlign w:val="center"/>
          </w:tcPr>
          <w:p w14:paraId="6544AB9A">
            <w:pPr>
              <w:keepNext w:val="0"/>
              <w:keepLines w:val="0"/>
              <w:pageBreakBefore w:val="0"/>
              <w:widowControl w:val="0"/>
              <w:kinsoku/>
              <w:wordWrap w:val="0"/>
              <w:overflowPunct/>
              <w:topLinePunct w:val="0"/>
              <w:autoSpaceDE/>
              <w:autoSpaceDN/>
              <w:bidi w:val="0"/>
              <w:adjustRightInd w:val="0"/>
              <w:snapToGrid/>
              <w:spacing w:line="520" w:lineRule="exact"/>
              <w:ind w:left="210" w:hanging="240" w:hangingChars="100"/>
              <w:jc w:val="left"/>
              <w:rPr>
                <w:rFonts w:hint="default" w:ascii="Times New Roman" w:hAnsi="Times New Roman" w:eastAsia="仿宋_GB2312" w:cs="Times New Roman"/>
                <w:color w:val="auto"/>
                <w:sz w:val="24"/>
                <w:szCs w:val="24"/>
                <w:highlight w:val="none"/>
              </w:rPr>
            </w:pPr>
          </w:p>
        </w:tc>
      </w:tr>
      <w:tr w14:paraId="20E09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91" w:type="dxa"/>
            <w:gridSpan w:val="2"/>
            <w:vMerge w:val="continue"/>
            <w:vAlign w:val="center"/>
          </w:tcPr>
          <w:p w14:paraId="1D091D2D">
            <w:pPr>
              <w:keepNext w:val="0"/>
              <w:keepLines w:val="0"/>
              <w:pageBreakBefore w:val="0"/>
              <w:widowControl w:val="0"/>
              <w:kinsoku/>
              <w:wordWrap w:val="0"/>
              <w:overflowPunct/>
              <w:topLinePunct w:val="0"/>
              <w:autoSpaceDE/>
              <w:autoSpaceDN/>
              <w:bidi w:val="0"/>
              <w:adjustRightInd w:val="0"/>
              <w:snapToGrid/>
              <w:spacing w:line="520" w:lineRule="exact"/>
              <w:ind w:left="210" w:hanging="240" w:hangingChars="100"/>
              <w:jc w:val="left"/>
              <w:rPr>
                <w:rFonts w:hint="default" w:ascii="Times New Roman" w:hAnsi="Times New Roman" w:eastAsia="仿宋_GB2312" w:cs="Times New Roman"/>
                <w:color w:val="auto"/>
                <w:sz w:val="24"/>
                <w:szCs w:val="24"/>
                <w:highlight w:val="none"/>
              </w:rPr>
            </w:pPr>
          </w:p>
        </w:tc>
      </w:tr>
      <w:tr w14:paraId="6FE28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91" w:type="dxa"/>
            <w:gridSpan w:val="2"/>
            <w:vMerge w:val="continue"/>
            <w:vAlign w:val="center"/>
          </w:tcPr>
          <w:p w14:paraId="4CE2EA76">
            <w:pPr>
              <w:keepNext w:val="0"/>
              <w:keepLines w:val="0"/>
              <w:pageBreakBefore w:val="0"/>
              <w:widowControl w:val="0"/>
              <w:kinsoku/>
              <w:wordWrap w:val="0"/>
              <w:overflowPunct/>
              <w:topLinePunct w:val="0"/>
              <w:autoSpaceDE/>
              <w:autoSpaceDN/>
              <w:bidi w:val="0"/>
              <w:adjustRightInd w:val="0"/>
              <w:snapToGrid/>
              <w:spacing w:line="520" w:lineRule="exact"/>
              <w:ind w:left="210" w:hanging="240" w:hangingChars="100"/>
              <w:jc w:val="left"/>
              <w:rPr>
                <w:rFonts w:hint="default" w:ascii="Times New Roman" w:hAnsi="Times New Roman" w:eastAsia="仿宋_GB2312" w:cs="Times New Roman"/>
                <w:color w:val="auto"/>
                <w:sz w:val="24"/>
                <w:szCs w:val="24"/>
                <w:highlight w:val="none"/>
              </w:rPr>
            </w:pPr>
          </w:p>
        </w:tc>
      </w:tr>
      <w:tr w14:paraId="01A63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91" w:type="dxa"/>
            <w:gridSpan w:val="2"/>
            <w:vAlign w:val="center"/>
          </w:tcPr>
          <w:p w14:paraId="0FDB55D8">
            <w:pPr>
              <w:spacing w:line="440" w:lineRule="exact"/>
              <w:ind w:firstLine="720" w:firstLineChars="200"/>
              <w:jc w:val="left"/>
              <w:rPr>
                <w:rFonts w:hint="default" w:ascii="Times New Roman" w:hAnsi="Times New Roman" w:eastAsia="仿宋_GB2312" w:cs="Times New Roman"/>
                <w:color w:val="auto"/>
                <w:sz w:val="24"/>
                <w:szCs w:val="24"/>
                <w:highlight w:val="none"/>
              </w:rPr>
            </w:pPr>
            <w:r>
              <w:rPr>
                <w:rFonts w:hint="eastAsia" w:ascii="宋体" w:hAnsi="宋体" w:cs="宋体"/>
                <w:bCs/>
                <w:color w:val="auto"/>
                <w:sz w:val="36"/>
                <w:szCs w:val="36"/>
                <w:highlight w:val="none"/>
              </w:rPr>
              <w:t>★</w:t>
            </w:r>
            <w:r>
              <w:rPr>
                <w:rFonts w:hint="eastAsia" w:ascii="宋体" w:hAnsi="宋体" w:cs="宋体"/>
                <w:b/>
                <w:color w:val="auto"/>
                <w:sz w:val="36"/>
                <w:szCs w:val="36"/>
                <w:highlight w:val="none"/>
              </w:rPr>
              <w:t>商务要求</w:t>
            </w:r>
          </w:p>
        </w:tc>
      </w:tr>
      <w:tr w14:paraId="34F7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29" w:type="dxa"/>
            <w:vAlign w:val="center"/>
          </w:tcPr>
          <w:p w14:paraId="7686DBC6">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投标报价要求</w:t>
            </w:r>
          </w:p>
        </w:tc>
        <w:tc>
          <w:tcPr>
            <w:tcW w:w="8662" w:type="dxa"/>
            <w:vAlign w:val="center"/>
          </w:tcPr>
          <w:p w14:paraId="49CD564B">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1.投标报价包含人员工资、培训、服装、奖金、五险、其他必要的保险等营业成本以及利润、物业管理服务中所发生的各项税收等费用。</w:t>
            </w:r>
          </w:p>
          <w:p w14:paraId="6E229815">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2.供应商报价须列明各服务单位（各学校）的投入服务人数及报价。各学校的报价不得超过该服务单位的投标最高限价。</w:t>
            </w:r>
          </w:p>
        </w:tc>
      </w:tr>
      <w:tr w14:paraId="062E7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29" w:type="dxa"/>
            <w:vAlign w:val="center"/>
          </w:tcPr>
          <w:p w14:paraId="500E82A7">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w:t>
            </w:r>
          </w:p>
          <w:p w14:paraId="2A62FE5E">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签订</w:t>
            </w:r>
          </w:p>
        </w:tc>
        <w:tc>
          <w:tcPr>
            <w:tcW w:w="8662" w:type="dxa"/>
            <w:vAlign w:val="center"/>
          </w:tcPr>
          <w:p w14:paraId="0A937E5E">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按照政府采购有关规定，由市教育局、服务单位与成交供应商公司三方签订合同，在合同中明确各自的权利、义务及责任，切实履行协议内容。中标人须接受采购人和服务单位（各学校）的共同管理。</w:t>
            </w:r>
          </w:p>
        </w:tc>
      </w:tr>
      <w:tr w14:paraId="21FD4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29" w:type="dxa"/>
            <w:vAlign w:val="center"/>
          </w:tcPr>
          <w:p w14:paraId="6B47754F">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服务期限及地点</w:t>
            </w:r>
          </w:p>
        </w:tc>
        <w:tc>
          <w:tcPr>
            <w:tcW w:w="8662" w:type="dxa"/>
            <w:vAlign w:val="center"/>
          </w:tcPr>
          <w:p w14:paraId="2FD26B80">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1.服务的时间：自签订合同完成并开始履行之日起2年。 </w:t>
            </w:r>
          </w:p>
          <w:p w14:paraId="1DCA5620">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服务的地点：北海市机关幼儿园（北海市涠洲岛幼儿园）、北海市政府机关幼儿园、北海市第五幼儿园、北海市第三中学、北海市第七中学、北海市第九中学、北海市第十中学、北海市第二十六中学、北京市第八中学北海实验学校、北京师范大学北海实验中学。</w:t>
            </w:r>
          </w:p>
        </w:tc>
      </w:tr>
      <w:tr w14:paraId="5FF78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29" w:type="dxa"/>
            <w:vAlign w:val="center"/>
          </w:tcPr>
          <w:p w14:paraId="6599271D">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服务要求</w:t>
            </w:r>
          </w:p>
        </w:tc>
        <w:tc>
          <w:tcPr>
            <w:tcW w:w="8662" w:type="dxa"/>
            <w:vAlign w:val="center"/>
          </w:tcPr>
          <w:p w14:paraId="391F5951">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中标人按照所服务单位划定的工作范围、工作内容及管理目标成立相关机构，制定相应工作流程、工作制度、监督考核办法，合理安排人员，科学管理，严格要求，达标运行。接受市教育局、所服务单位及相关职能部门的监督、检查、指导，发现问题及时沟通、整改，保证规范运行。</w:t>
            </w:r>
          </w:p>
          <w:p w14:paraId="2C44C872">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2.中标人须为聘用员工购买基本社会保险，对员工的疾病和人身安全负责，采购人不承担责任。</w:t>
            </w:r>
          </w:p>
          <w:p w14:paraId="20414EFB">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每季度接受所服务单位质量考核（按照招标文件、投标文件及合同条款标准进行考核），未达标准的从当季度应付款中扣除10‰服务费。连续两季度达不到标准且未及时整改的，所服务单位向采购人书面报告，且采购人有权终止合同。</w:t>
            </w:r>
          </w:p>
          <w:p w14:paraId="00BE37C4">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4.中标人须全部接收原负责所服务单位有意愿继续留下工作的服务人员，确保他们的工资待遇不低于北海市最低工资加社保。</w:t>
            </w:r>
          </w:p>
          <w:p w14:paraId="6B46E81D">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5.中标人的服务工作人员必须经过上岗前培训，符合国家有关劳动用工的法律法规。上班时必须佩戴工卡、穿统一制服。</w:t>
            </w:r>
          </w:p>
          <w:p w14:paraId="048BCC97">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6.管理范围内发生的人身伤害、物品被盗、人为损坏设备设施，属中标人及其工作人员管理不善原因造成的，由中标人负责赔偿。</w:t>
            </w:r>
          </w:p>
          <w:p w14:paraId="4B6BF3D1">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中标人工作人员应固定保持在90%以上，凡更换人员必须向所服务单位申请，经所服务单位和教育局同意后方可更换，并做好交接班工作，若因交接班衔接不好，致使所服务单位工作受到影响者，按考核制度处罚。</w:t>
            </w:r>
          </w:p>
          <w:p w14:paraId="0039C2EC">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中标人在提供管理服务时必须做好各项安全防范措施，中标人所有工作人员在合约期间如发生任何人身意外（生病、伤亡事故）、事故、触犯法律法规（包括劳动用工制度、发生劳资纠纷、所服务单位的规章制度等）、或损坏学校的设施和物品，由中标人负责处理并承担经济和责任。</w:t>
            </w:r>
          </w:p>
          <w:p w14:paraId="60231104">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若中标人违约，未能达到招标文件中约定的管理目标，所服务单位有权要求中标人在规定时间内进行整改；如中标人未能按时整改，所服务单位有权向教育局申请与中标人解除合同，中标人须承担违约责任；造成所服务单位和教育局经济损失的，按造成的实际损失予以赔偿。</w:t>
            </w:r>
          </w:p>
          <w:p w14:paraId="7C1DAB39">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10.若中标人擅自转包、分包，或以任何形式与第三方进行合作的属违约，一经查实，中标人应向所服务单位及教育局承担违约责任，所服务单位和教育局有权解除合同。</w:t>
            </w:r>
          </w:p>
          <w:p w14:paraId="38DBAE4A">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11.中标人若违背本招标文件中确定的义务，必须承担违约责任。</w:t>
            </w:r>
          </w:p>
          <w:p w14:paraId="44E204C0">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12.中标人及其工作人员在所服务单位交由中标人管理和服务的工作区域内违法犯罪属实，中标人应赔偿并承担相应的法律责任，并不得再使用有关员工。</w:t>
            </w:r>
          </w:p>
          <w:p w14:paraId="51B92B54">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13.服务人员要求：</w:t>
            </w:r>
          </w:p>
          <w:p w14:paraId="5ECA11C4">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（1）用工人数不少于各服务单位要求的人数。</w:t>
            </w:r>
          </w:p>
          <w:p w14:paraId="621D1D27">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（2）上岗人员必须经过岗前培训。</w:t>
            </w:r>
          </w:p>
          <w:p w14:paraId="08604385">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（3）上岗人员的服装及所有的福利由</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承担。</w:t>
            </w:r>
          </w:p>
          <w:p w14:paraId="4BC7BF3C">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（4）对于不服从安排的服务人员，</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需向所服务单位及教育局进行书面申请，并在采购人同意后的2个工作日内替换新的服务人员。</w:t>
            </w:r>
          </w:p>
        </w:tc>
      </w:tr>
      <w:tr w14:paraId="0F6CA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29" w:type="dxa"/>
            <w:vAlign w:val="center"/>
          </w:tcPr>
          <w:p w14:paraId="758FFE62">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考核要求</w:t>
            </w:r>
          </w:p>
        </w:tc>
        <w:tc>
          <w:tcPr>
            <w:tcW w:w="8662" w:type="dxa"/>
            <w:vAlign w:val="center"/>
          </w:tcPr>
          <w:p w14:paraId="364E9897">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1.对当班工作人员要严加管理，发生空岗、缺岗、脱岗、睡岗、上岗前喝酒（以人为记录和电子记录为准）等行为的，每次处罚100元，严重行为即时更换并处理。</w:t>
            </w:r>
          </w:p>
          <w:p w14:paraId="59AF20A8">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2.发生不法分子对所服务单位的干扰，特别是暴恐和盗窃事件不及时妥善处理（阻止、制止、控制）的，每次处罚</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1000—3000元。</w:t>
            </w:r>
          </w:p>
          <w:p w14:paraId="68B773C8">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3.当班人员责任心不强，服务不到位导致公共设施被盗、被破坏的，</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及当班人员应共同承担相应的法律及经济损失赔偿责任，责任的界定由所服务单位确定或由公安司法部门裁定。</w:t>
            </w:r>
          </w:p>
          <w:p w14:paraId="05E4E841">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4.当班人员须着规定制服上班，不穿制服上班的，每人每次扣100元。</w:t>
            </w:r>
          </w:p>
          <w:p w14:paraId="2EC9F8C9">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在所服务单位所属范围内开展工作，做到不迟到，不早退。有交接班的岗位须提前10分钟到达交接地点，并认真做好交接班工作，检查所配装备是否完好有效，并填报《值班交接记录表》。上班迟到、早退达到10分钟的每人每次扣50元，迟到、早退超过30分钟的算旷工。</w:t>
            </w:r>
          </w:p>
          <w:p w14:paraId="0ACBA5C2">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6.不开展交接班工作的，每人每次50元。因交接班工作盘点财物不到位造成损失的由交接班双方共同承担。</w:t>
            </w:r>
          </w:p>
          <w:p w14:paraId="452DC500">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7.详细考核标准详见本章节附件：物业管理服务考核标准。</w:t>
            </w:r>
          </w:p>
        </w:tc>
      </w:tr>
      <w:tr w14:paraId="03FBC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29" w:type="dxa"/>
            <w:vAlign w:val="center"/>
          </w:tcPr>
          <w:p w14:paraId="4B348966">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服务监管</w:t>
            </w:r>
          </w:p>
        </w:tc>
        <w:tc>
          <w:tcPr>
            <w:tcW w:w="8662" w:type="dxa"/>
            <w:vAlign w:val="center"/>
          </w:tcPr>
          <w:p w14:paraId="6BC19C90">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（1）供应商自行负责对派出的工作人员进行政治思想、职业道德、业务技术、劳动纪律的教育和培训。</w:t>
            </w:r>
          </w:p>
          <w:p w14:paraId="7C98D515">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选派的工作人员须经过岗前专业培训，上岗后继续对工作人员进行必要的教育和训练，保证工作人员的素质满足所服务单位工作的要求；保留工作人员的身份证复印件、个人简历等资料，并保证所提供资料的真实性，供应商不得随意减少或更换所派出的服务人员。</w:t>
            </w:r>
          </w:p>
          <w:p w14:paraId="07BDACCF">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（3）供应商负责按时支付工作人员的工资和福利费用，提供工作人员的执勤被服、工具等基本条件。</w:t>
            </w:r>
          </w:p>
          <w:p w14:paraId="5AA16354">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所服务单位有权对工作人员的工作进行检查、督促、评价，对不称职的工作人员提出批评及教育，屡教不改者，有权要求更换工作人员，并将实际情况以书面形式向供应商提出撤换的要求，供应商在接到撤换要求书后三个工作日内做出更换。</w:t>
            </w:r>
          </w:p>
          <w:p w14:paraId="290457AD">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（5）所服务单位对供应商拟派的工作人员的一切行为所产生的后果不承担任何责任，供应商须自行就问题进行解决处理。</w:t>
            </w:r>
          </w:p>
          <w:p w14:paraId="4A9506B7">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（6）供应商若发现工作期间的影藏因素存在的安全隐患可向所服务单位提出改进意见，并和所服务单位进行协商处理。</w:t>
            </w:r>
          </w:p>
          <w:p w14:paraId="7AEB00C5">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所服务单位有权对供应商的工作进行考核，发现供应商不按照合同约定开展工作，对工作人员管理不规范、不严格，培训及安全措施不能达到所服务单位要求，第一次予以警告，第二次予以处罚，对连续三次不达标也不整改者（以书面通知为准），采购人有权解除合同。</w:t>
            </w:r>
          </w:p>
          <w:p w14:paraId="45F2F43D">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（8）服务期满后，须把服务期间涉及的所有档案移交给所服务单位，并在十个工作日内和新接替工作的</w:t>
            </w:r>
            <w:r>
              <w:rPr>
                <w:rFonts w:hint="eastAsia" w:ascii="宋体" w:hAnsi="宋体" w:cs="宋体"/>
                <w:color w:val="auto"/>
                <w:sz w:val="24"/>
                <w:szCs w:val="24"/>
                <w:highlight w:val="none"/>
                <w:lang w:val="en-US" w:eastAsia="zh-CN"/>
              </w:rPr>
              <w:t>物业</w:t>
            </w:r>
            <w:r>
              <w:rPr>
                <w:rFonts w:hint="eastAsia" w:ascii="宋体" w:hAnsi="宋体" w:eastAsia="宋体" w:cs="宋体"/>
                <w:color w:val="auto"/>
                <w:sz w:val="24"/>
                <w:szCs w:val="24"/>
                <w:highlight w:val="none"/>
                <w:lang w:val="en-US" w:eastAsia="zh-CN"/>
              </w:rPr>
              <w:t>公司进行</w:t>
            </w:r>
            <w:r>
              <w:rPr>
                <w:rFonts w:hint="eastAsia" w:ascii="宋体" w:hAnsi="宋体" w:eastAsia="宋体" w:cs="宋体"/>
                <w:color w:val="auto"/>
                <w:sz w:val="24"/>
                <w:szCs w:val="24"/>
                <w:highlight w:val="none"/>
                <w:lang w:val="en-US" w:eastAsia="zh-CN"/>
              </w:rPr>
              <w:t>工作交接，若出现不可抗力因素导致无法在规定时间内进行交接，供应商须书面告知所服务单位。</w:t>
            </w:r>
          </w:p>
        </w:tc>
      </w:tr>
      <w:tr w14:paraId="1D363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29" w:type="dxa"/>
            <w:vAlign w:val="center"/>
          </w:tcPr>
          <w:p w14:paraId="4BDB1C8B">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服务质量要求</w:t>
            </w:r>
          </w:p>
        </w:tc>
        <w:tc>
          <w:tcPr>
            <w:tcW w:w="8662" w:type="dxa"/>
            <w:vAlign w:val="center"/>
          </w:tcPr>
          <w:p w14:paraId="2DD6BD20">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每月接受采购人或校方单位质量考核，未达标准从承包价中扣除。满意率至少在85％以上</w:t>
            </w:r>
            <w:r>
              <w:rPr>
                <w:rFonts w:hint="eastAsia" w:ascii="宋体" w:hAnsi="宋体" w:eastAsia="宋体" w:cs="宋体"/>
                <w:b/>
                <w:bCs/>
                <w:color w:val="auto"/>
                <w:sz w:val="24"/>
                <w:szCs w:val="24"/>
                <w:highlight w:val="none"/>
                <w:lang w:val="en-US" w:eastAsia="zh-CN"/>
              </w:rPr>
              <w:t>（各服务学校另有要求的该学校要求为准）</w:t>
            </w:r>
            <w:r>
              <w:rPr>
                <w:rFonts w:hint="eastAsia" w:ascii="宋体" w:hAnsi="宋体" w:eastAsia="宋体" w:cs="宋体"/>
                <w:color w:val="auto"/>
                <w:sz w:val="24"/>
                <w:szCs w:val="24"/>
                <w:highlight w:val="none"/>
                <w:lang w:val="en-US" w:eastAsia="zh-CN"/>
              </w:rPr>
              <w:t>、合同履约率达98%以上、上岗培训合格率达100%、合理投诉解决率达100%，连续两个月达不到，采购人可以终止合同。</w:t>
            </w:r>
          </w:p>
        </w:tc>
      </w:tr>
      <w:tr w14:paraId="4ED4E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29" w:type="dxa"/>
            <w:vAlign w:val="center"/>
          </w:tcPr>
          <w:p w14:paraId="276EC89E">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保密要求</w:t>
            </w:r>
          </w:p>
        </w:tc>
        <w:tc>
          <w:tcPr>
            <w:tcW w:w="8662" w:type="dxa"/>
            <w:vAlign w:val="center"/>
          </w:tcPr>
          <w:p w14:paraId="06B39BFC">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不得以任何形式向第三方透露本项目服务时的任何内容。如有泄密，需承担相应的法律责任。</w:t>
            </w:r>
          </w:p>
        </w:tc>
      </w:tr>
      <w:tr w14:paraId="594A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29" w:type="dxa"/>
            <w:vAlign w:val="center"/>
          </w:tcPr>
          <w:p w14:paraId="1BECFE28">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违约责任</w:t>
            </w:r>
          </w:p>
        </w:tc>
        <w:tc>
          <w:tcPr>
            <w:tcW w:w="8662" w:type="dxa"/>
            <w:vAlign w:val="center"/>
          </w:tcPr>
          <w:p w14:paraId="17541DE3">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 若</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所提供服务成果，无法达到本项目招标文件要求以及投标文件所承诺的内容的，所服务单位和教育局有权要求</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作出整改。如整改完毕仍达不到上述要求的，所服务单位和教育局有权拒绝支付款项，且</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应向所服务单位和教育局支付中标总金额的5%作为违约金并赔偿所服务单位和教育局的一切损失。</w:t>
            </w:r>
          </w:p>
          <w:p w14:paraId="7A942977">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违约责任的赔偿不意味违约方整个合同责任的解除，未经所服务单位和教育局同意，供应商不得以任何理由推迟、降低、减少有关合同条款履行的承诺。</w:t>
            </w:r>
          </w:p>
          <w:p w14:paraId="716A127F">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 其它违约行为按成交总金额5%收取违约金并赔偿其他经济损失。</w:t>
            </w:r>
          </w:p>
        </w:tc>
      </w:tr>
      <w:tr w14:paraId="5E81E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29" w:type="dxa"/>
            <w:vAlign w:val="center"/>
          </w:tcPr>
          <w:p w14:paraId="77DBCF0D">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付款条件</w:t>
            </w:r>
          </w:p>
        </w:tc>
        <w:tc>
          <w:tcPr>
            <w:tcW w:w="8662" w:type="dxa"/>
            <w:vAlign w:val="center"/>
          </w:tcPr>
          <w:p w14:paraId="4C591A3F">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自合同签订后且中标单位服务人员进场（进场时间以各服务单位具体要求为准）、财政资金到位后，预付合同总金额的10%;剩余款项按季度平均支付，每季度第一个月支付上季度服务费。</w:t>
            </w:r>
          </w:p>
          <w:p w14:paraId="2EE6F6ED">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人根据每季度考核结果结算支付。三方在签订合同时可就服务质量及检查标准制定奖罚细则，在支付服务费用时采购人（甲方）、服务单位（丙方）有权根据奖罚细则增减服务费用的支付或终止合同。每次请款供应商（乙方）先交请款申请函，后根据要求开具发票，再根据实际情况、考核情况付款。</w:t>
            </w:r>
          </w:p>
        </w:tc>
      </w:tr>
      <w:tr w14:paraId="5342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29" w:type="dxa"/>
            <w:vAlign w:val="center"/>
          </w:tcPr>
          <w:p w14:paraId="17D8E7C1">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其他要求</w:t>
            </w:r>
          </w:p>
        </w:tc>
        <w:tc>
          <w:tcPr>
            <w:tcW w:w="8662" w:type="dxa"/>
            <w:vAlign w:val="center"/>
          </w:tcPr>
          <w:p w14:paraId="54FF1D80">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为了更好履约及支持中小企业发展，本标项与其他标项兼投不兼中。评审规则：本项目划分为1、2、3、4四个分标，实行兼投不兼中，供应商可以同时参与多个分标投标，但只能中标一个分标。评标委员会严格按照1→2→3→4的顺序依次开展评审；若某供应商在前序分标被确定为第一中标候选人，该供应商不再进入后续详细评审及中标候选人推荐环节，在后续所有分标评审中，评标委员会直接对其作符合性审查否决处理，后续分标从剩余有效投标人（不得少于3家）中正常评审。</w:t>
            </w:r>
          </w:p>
        </w:tc>
      </w:tr>
    </w:tbl>
    <w:p w14:paraId="1BBA6D1B">
      <w:pPr>
        <w:bidi w:val="0"/>
        <w:rPr>
          <w:rFonts w:hint="default" w:ascii="Times New Roman" w:hAnsi="Times New Roman" w:cs="Times New Roman"/>
          <w:color w:val="auto"/>
          <w:highlight w:val="none"/>
          <w:lang w:val="en-US" w:eastAsia="zh-CN"/>
        </w:rPr>
      </w:pPr>
    </w:p>
    <w:p w14:paraId="248B79FC">
      <w:pPr>
        <w:bidi w:val="0"/>
        <w:rPr>
          <w:rFonts w:hint="default" w:ascii="Times New Roman" w:hAnsi="Times New Roman" w:cs="Times New Roman"/>
          <w:color w:val="auto"/>
          <w:highlight w:val="none"/>
          <w:lang w:val="en-US" w:eastAsia="zh-CN"/>
        </w:rPr>
      </w:pPr>
    </w:p>
    <w:p w14:paraId="0490B3A0">
      <w:pPr>
        <w:adjustRightInd/>
        <w:spacing w:before="25" w:after="25"/>
        <w:jc w:val="left"/>
        <w:rPr>
          <w:rFonts w:hint="eastAsia" w:ascii="宋体" w:hAnsi="宋体" w:cs="宋体"/>
          <w:bCs/>
          <w:color w:val="auto"/>
          <w:spacing w:val="10"/>
          <w:kern w:val="0"/>
          <w:sz w:val="24"/>
          <w:highlight w:val="none"/>
        </w:rPr>
      </w:pPr>
    </w:p>
    <w:p w14:paraId="6791E7C8">
      <w:pPr>
        <w:pStyle w:val="513"/>
        <w:rPr>
          <w:rFonts w:hint="eastAsia" w:ascii="宋体" w:hAnsi="宋体" w:cs="宋体"/>
          <w:bCs/>
          <w:color w:val="auto"/>
          <w:spacing w:val="10"/>
          <w:kern w:val="0"/>
          <w:sz w:val="24"/>
          <w:highlight w:val="none"/>
        </w:rPr>
      </w:pPr>
    </w:p>
    <w:p w14:paraId="2D1A4000">
      <w:pPr>
        <w:pStyle w:val="513"/>
        <w:rPr>
          <w:rFonts w:hint="eastAsia" w:ascii="宋体" w:hAnsi="宋体" w:cs="宋体"/>
          <w:bCs/>
          <w:color w:val="auto"/>
          <w:spacing w:val="10"/>
          <w:kern w:val="0"/>
          <w:sz w:val="24"/>
          <w:highlight w:val="none"/>
        </w:rPr>
      </w:pPr>
    </w:p>
    <w:p w14:paraId="1C13C11D">
      <w:pPr>
        <w:pStyle w:val="513"/>
        <w:rPr>
          <w:rFonts w:hint="eastAsia" w:ascii="宋体" w:hAnsi="宋体" w:cs="宋体"/>
          <w:bCs/>
          <w:color w:val="auto"/>
          <w:spacing w:val="10"/>
          <w:kern w:val="0"/>
          <w:sz w:val="24"/>
          <w:highlight w:val="none"/>
        </w:rPr>
      </w:pPr>
    </w:p>
    <w:p w14:paraId="200E87D9">
      <w:pPr>
        <w:pStyle w:val="513"/>
        <w:rPr>
          <w:rFonts w:hint="eastAsia" w:ascii="宋体" w:hAnsi="宋体" w:cs="宋体"/>
          <w:bCs/>
          <w:color w:val="auto"/>
          <w:spacing w:val="10"/>
          <w:kern w:val="0"/>
          <w:sz w:val="24"/>
          <w:highlight w:val="none"/>
        </w:rPr>
      </w:pPr>
    </w:p>
    <w:p w14:paraId="1C6826F7">
      <w:pPr>
        <w:pStyle w:val="513"/>
        <w:rPr>
          <w:rFonts w:hint="eastAsia" w:ascii="宋体" w:hAnsi="宋体" w:cs="宋体"/>
          <w:bCs/>
          <w:color w:val="auto"/>
          <w:spacing w:val="10"/>
          <w:kern w:val="0"/>
          <w:sz w:val="24"/>
          <w:highlight w:val="none"/>
        </w:rPr>
      </w:pPr>
    </w:p>
    <w:p w14:paraId="2C86B13A">
      <w:pPr>
        <w:pStyle w:val="513"/>
        <w:rPr>
          <w:rFonts w:hint="eastAsia" w:ascii="宋体" w:hAnsi="宋体" w:cs="宋体"/>
          <w:bCs/>
          <w:color w:val="auto"/>
          <w:spacing w:val="10"/>
          <w:kern w:val="0"/>
          <w:sz w:val="24"/>
          <w:highlight w:val="none"/>
        </w:rPr>
      </w:pPr>
    </w:p>
    <w:p w14:paraId="0AE7B11D">
      <w:pPr>
        <w:pStyle w:val="513"/>
        <w:rPr>
          <w:rFonts w:hint="eastAsia" w:ascii="宋体" w:hAnsi="宋体" w:cs="宋体"/>
          <w:bCs/>
          <w:color w:val="auto"/>
          <w:spacing w:val="10"/>
          <w:kern w:val="0"/>
          <w:sz w:val="24"/>
          <w:highlight w:val="none"/>
        </w:rPr>
      </w:pPr>
    </w:p>
    <w:p w14:paraId="3984C2C5">
      <w:pPr>
        <w:pStyle w:val="513"/>
        <w:rPr>
          <w:rFonts w:hint="eastAsia" w:ascii="宋体" w:hAnsi="宋体" w:cs="宋体"/>
          <w:bCs/>
          <w:color w:val="auto"/>
          <w:spacing w:val="10"/>
          <w:kern w:val="0"/>
          <w:sz w:val="24"/>
          <w:highlight w:val="none"/>
        </w:rPr>
      </w:pPr>
    </w:p>
    <w:p w14:paraId="0350A226">
      <w:pPr>
        <w:pStyle w:val="513"/>
        <w:rPr>
          <w:rFonts w:hint="eastAsia" w:ascii="宋体" w:hAnsi="宋体" w:cs="宋体"/>
          <w:bCs/>
          <w:color w:val="auto"/>
          <w:spacing w:val="10"/>
          <w:kern w:val="0"/>
          <w:sz w:val="24"/>
          <w:highlight w:val="none"/>
        </w:rPr>
      </w:pPr>
    </w:p>
    <w:p w14:paraId="114AED59">
      <w:pPr>
        <w:pStyle w:val="513"/>
        <w:rPr>
          <w:rFonts w:hint="eastAsia" w:ascii="宋体" w:hAnsi="宋体" w:cs="宋体"/>
          <w:bCs/>
          <w:color w:val="auto"/>
          <w:spacing w:val="10"/>
          <w:kern w:val="0"/>
          <w:sz w:val="24"/>
          <w:highlight w:val="none"/>
        </w:rPr>
      </w:pPr>
    </w:p>
    <w:p w14:paraId="7ED93648">
      <w:pPr>
        <w:pStyle w:val="513"/>
        <w:rPr>
          <w:rFonts w:hint="eastAsia" w:ascii="宋体" w:hAnsi="宋体" w:cs="宋体"/>
          <w:bCs/>
          <w:color w:val="auto"/>
          <w:spacing w:val="10"/>
          <w:kern w:val="0"/>
          <w:sz w:val="24"/>
          <w:highlight w:val="none"/>
        </w:rPr>
      </w:pPr>
    </w:p>
    <w:p w14:paraId="433A2696">
      <w:pPr>
        <w:pStyle w:val="513"/>
        <w:rPr>
          <w:rFonts w:hint="eastAsia" w:ascii="宋体" w:hAnsi="宋体" w:cs="宋体"/>
          <w:bCs/>
          <w:color w:val="auto"/>
          <w:spacing w:val="10"/>
          <w:kern w:val="0"/>
          <w:sz w:val="24"/>
          <w:highlight w:val="none"/>
        </w:rPr>
      </w:pPr>
    </w:p>
    <w:p w14:paraId="09254A54">
      <w:pPr>
        <w:pStyle w:val="513"/>
        <w:rPr>
          <w:rFonts w:hint="eastAsia" w:ascii="宋体" w:hAnsi="宋体" w:cs="宋体"/>
          <w:bCs/>
          <w:color w:val="auto"/>
          <w:spacing w:val="10"/>
          <w:kern w:val="0"/>
          <w:sz w:val="24"/>
          <w:highlight w:val="none"/>
        </w:rPr>
      </w:pPr>
    </w:p>
    <w:p w14:paraId="7B3A8A87">
      <w:pPr>
        <w:pStyle w:val="4"/>
        <w:rPr>
          <w:color w:val="auto"/>
          <w:highlight w:val="none"/>
          <w:lang w:val="en-US"/>
        </w:rPr>
      </w:pPr>
    </w:p>
    <w:p w14:paraId="23DAC316">
      <w:pPr>
        <w:rPr>
          <w:color w:val="auto"/>
          <w:highlight w:val="none"/>
          <w:lang w:val="en-US"/>
        </w:rPr>
      </w:pPr>
    </w:p>
    <w:p w14:paraId="17E53189">
      <w:pPr>
        <w:rPr>
          <w:color w:val="auto"/>
          <w:highlight w:val="none"/>
          <w:lang w:val="en-US"/>
        </w:rPr>
      </w:pPr>
    </w:p>
    <w:p w14:paraId="08431B03">
      <w:pPr>
        <w:rPr>
          <w:color w:val="auto"/>
          <w:highlight w:val="none"/>
          <w:lang w:val="en-US"/>
        </w:rPr>
      </w:pPr>
    </w:p>
    <w:p w14:paraId="4FEDAC12">
      <w:pPr>
        <w:rPr>
          <w:color w:val="auto"/>
          <w:highlight w:val="none"/>
          <w:lang w:val="en-US"/>
        </w:rPr>
      </w:pPr>
    </w:p>
    <w:p w14:paraId="1CD2181B">
      <w:pPr>
        <w:rPr>
          <w:color w:val="auto"/>
          <w:highlight w:val="none"/>
          <w:lang w:val="en-US"/>
        </w:rPr>
      </w:pPr>
    </w:p>
    <w:p w14:paraId="6F48B487">
      <w:pPr>
        <w:rPr>
          <w:color w:val="auto"/>
          <w:highlight w:val="none"/>
          <w:lang w:val="en-US"/>
        </w:rPr>
      </w:pPr>
    </w:p>
    <w:p w14:paraId="3A3FD0AD">
      <w:pPr>
        <w:spacing w:line="440" w:lineRule="exact"/>
        <w:ind w:left="0" w:leftChars="0" w:firstLine="0" w:firstLineChars="0"/>
        <w:jc w:val="left"/>
        <w:outlineLvl w:val="1"/>
        <w:rPr>
          <w:rFonts w:ascii="黑体" w:hAnsi="黑体" w:eastAsia="黑体" w:cs="宋体"/>
          <w:b/>
          <w:bCs/>
          <w:color w:val="auto"/>
          <w:sz w:val="28"/>
          <w:szCs w:val="28"/>
          <w:highlight w:val="none"/>
        </w:rPr>
      </w:pPr>
      <w:r>
        <w:rPr>
          <w:rFonts w:hint="eastAsia" w:ascii="新宋体" w:hAnsi="新宋体" w:eastAsia="新宋体"/>
          <w:b/>
          <w:bCs/>
          <w:color w:val="auto"/>
          <w:sz w:val="30"/>
          <w:szCs w:val="30"/>
          <w:highlight w:val="none"/>
        </w:rPr>
        <w:t>附件</w:t>
      </w:r>
      <w:r>
        <w:rPr>
          <w:rFonts w:hint="eastAsia" w:ascii="黑体" w:hAnsi="黑体" w:eastAsia="黑体" w:cs="宋体"/>
          <w:b/>
          <w:bCs/>
          <w:color w:val="auto"/>
          <w:sz w:val="28"/>
          <w:szCs w:val="28"/>
          <w:highlight w:val="none"/>
        </w:rPr>
        <w:t>：考核标准</w:t>
      </w:r>
    </w:p>
    <w:p w14:paraId="76139312">
      <w:pPr>
        <w:spacing w:line="440" w:lineRule="exact"/>
        <w:ind w:firstLine="602" w:firstLineChars="200"/>
        <w:jc w:val="center"/>
        <w:rPr>
          <w:rFonts w:ascii="新宋体" w:hAnsi="新宋体" w:eastAsia="新宋体"/>
          <w:color w:val="auto"/>
          <w:sz w:val="24"/>
          <w:highlight w:val="none"/>
        </w:rPr>
      </w:pPr>
      <w:r>
        <w:rPr>
          <w:rFonts w:hint="eastAsia" w:ascii="新宋体" w:hAnsi="新宋体" w:eastAsia="新宋体"/>
          <w:b/>
          <w:bCs/>
          <w:color w:val="auto"/>
          <w:sz w:val="30"/>
          <w:szCs w:val="30"/>
          <w:highlight w:val="none"/>
        </w:rPr>
        <w:t>物业管理服务考核标准</w:t>
      </w:r>
    </w:p>
    <w:tbl>
      <w:tblPr>
        <w:tblStyle w:val="63"/>
        <w:tblpPr w:leftFromText="180" w:rightFromText="180" w:vertAnchor="text" w:horzAnchor="page" w:tblpX="1165" w:tblpY="418"/>
        <w:tblOverlap w:val="never"/>
        <w:tblW w:w="10130" w:type="dxa"/>
        <w:tblInd w:w="0" w:type="dxa"/>
        <w:tblLayout w:type="fixed"/>
        <w:tblCellMar>
          <w:top w:w="0" w:type="dxa"/>
          <w:left w:w="108" w:type="dxa"/>
          <w:bottom w:w="0" w:type="dxa"/>
          <w:right w:w="108" w:type="dxa"/>
        </w:tblCellMar>
      </w:tblPr>
      <w:tblGrid>
        <w:gridCol w:w="751"/>
        <w:gridCol w:w="734"/>
        <w:gridCol w:w="357"/>
        <w:gridCol w:w="3110"/>
        <w:gridCol w:w="2035"/>
        <w:gridCol w:w="1519"/>
        <w:gridCol w:w="830"/>
        <w:gridCol w:w="794"/>
      </w:tblGrid>
      <w:tr w14:paraId="06DB5967">
        <w:tblPrEx>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vAlign w:val="center"/>
          </w:tcPr>
          <w:p w14:paraId="6F6EFD8F">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序号</w:t>
            </w:r>
          </w:p>
        </w:tc>
        <w:tc>
          <w:tcPr>
            <w:tcW w:w="1091" w:type="dxa"/>
            <w:gridSpan w:val="2"/>
            <w:tcBorders>
              <w:top w:val="single" w:color="000000" w:sz="4" w:space="0"/>
              <w:left w:val="nil"/>
              <w:bottom w:val="single" w:color="000000" w:sz="4" w:space="0"/>
              <w:right w:val="single" w:color="000000" w:sz="4" w:space="0"/>
            </w:tcBorders>
            <w:vAlign w:val="center"/>
          </w:tcPr>
          <w:p w14:paraId="3FCC39CE">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岗位</w:t>
            </w:r>
          </w:p>
        </w:tc>
        <w:tc>
          <w:tcPr>
            <w:tcW w:w="6664" w:type="dxa"/>
            <w:gridSpan w:val="3"/>
            <w:tcBorders>
              <w:top w:val="single" w:color="000000" w:sz="4" w:space="0"/>
              <w:left w:val="nil"/>
              <w:bottom w:val="single" w:color="000000" w:sz="4" w:space="0"/>
              <w:right w:val="single" w:color="000000" w:sz="4" w:space="0"/>
            </w:tcBorders>
            <w:vAlign w:val="center"/>
          </w:tcPr>
          <w:p w14:paraId="7191A529">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考核内容</w:t>
            </w:r>
          </w:p>
        </w:tc>
        <w:tc>
          <w:tcPr>
            <w:tcW w:w="830" w:type="dxa"/>
            <w:tcBorders>
              <w:top w:val="single" w:color="000000" w:sz="4" w:space="0"/>
              <w:left w:val="nil"/>
              <w:bottom w:val="single" w:color="000000" w:sz="4" w:space="0"/>
              <w:right w:val="single" w:color="000000" w:sz="4" w:space="0"/>
            </w:tcBorders>
            <w:vAlign w:val="center"/>
          </w:tcPr>
          <w:p w14:paraId="6E3C25D5">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分值</w:t>
            </w:r>
          </w:p>
        </w:tc>
        <w:tc>
          <w:tcPr>
            <w:tcW w:w="794" w:type="dxa"/>
            <w:tcBorders>
              <w:top w:val="single" w:color="000000" w:sz="4" w:space="0"/>
              <w:left w:val="nil"/>
              <w:bottom w:val="single" w:color="000000" w:sz="4" w:space="0"/>
              <w:right w:val="single" w:color="000000" w:sz="4" w:space="0"/>
            </w:tcBorders>
            <w:vAlign w:val="center"/>
          </w:tcPr>
          <w:p w14:paraId="16060EDE">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得分</w:t>
            </w:r>
          </w:p>
        </w:tc>
      </w:tr>
      <w:tr w14:paraId="14B5B258">
        <w:tblPrEx>
          <w:tblCellMar>
            <w:top w:w="0" w:type="dxa"/>
            <w:left w:w="108" w:type="dxa"/>
            <w:bottom w:w="0" w:type="dxa"/>
            <w:right w:w="108" w:type="dxa"/>
          </w:tblCellMar>
        </w:tblPrEx>
        <w:trPr>
          <w:trHeight w:val="23" w:hRule="atLeast"/>
        </w:trPr>
        <w:tc>
          <w:tcPr>
            <w:tcW w:w="751" w:type="dxa"/>
            <w:tcBorders>
              <w:top w:val="single" w:color="000000" w:sz="4" w:space="0"/>
              <w:left w:val="single" w:color="000000" w:sz="4" w:space="0"/>
              <w:bottom w:val="single" w:color="000000" w:sz="4" w:space="0"/>
              <w:right w:val="single" w:color="000000" w:sz="4" w:space="0"/>
            </w:tcBorders>
            <w:vAlign w:val="center"/>
          </w:tcPr>
          <w:p w14:paraId="2B1F5BA6">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p>
        </w:tc>
        <w:tc>
          <w:tcPr>
            <w:tcW w:w="1091" w:type="dxa"/>
            <w:gridSpan w:val="2"/>
            <w:vMerge w:val="restart"/>
            <w:tcBorders>
              <w:top w:val="single" w:color="000000" w:sz="4" w:space="0"/>
              <w:left w:val="nil"/>
              <w:right w:val="single" w:color="000000" w:sz="4" w:space="0"/>
            </w:tcBorders>
            <w:vAlign w:val="center"/>
          </w:tcPr>
          <w:p w14:paraId="418216FA">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水电工</w:t>
            </w:r>
          </w:p>
        </w:tc>
        <w:tc>
          <w:tcPr>
            <w:tcW w:w="6664" w:type="dxa"/>
            <w:gridSpan w:val="3"/>
            <w:tcBorders>
              <w:top w:val="single" w:color="000000" w:sz="4" w:space="0"/>
              <w:left w:val="nil"/>
              <w:bottom w:val="single" w:color="000000" w:sz="4" w:space="0"/>
              <w:right w:val="single" w:color="000000" w:sz="4" w:space="0"/>
            </w:tcBorders>
            <w:vAlign w:val="center"/>
          </w:tcPr>
          <w:p w14:paraId="783B0278">
            <w:pPr>
              <w:widowControl/>
              <w:spacing w:line="360" w:lineRule="exact"/>
              <w:ind w:left="0" w:leftChars="0" w:firstLine="0" w:firstLineChars="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熟悉并遵守相关法规及各项规章制度。</w:t>
            </w:r>
          </w:p>
        </w:tc>
        <w:tc>
          <w:tcPr>
            <w:tcW w:w="830" w:type="dxa"/>
            <w:tcBorders>
              <w:top w:val="single" w:color="000000" w:sz="4" w:space="0"/>
              <w:left w:val="nil"/>
              <w:bottom w:val="single" w:color="000000" w:sz="4" w:space="0"/>
              <w:right w:val="single" w:color="000000" w:sz="4" w:space="0"/>
            </w:tcBorders>
            <w:vAlign w:val="center"/>
          </w:tcPr>
          <w:p w14:paraId="71D15554">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2.5</w:t>
            </w:r>
          </w:p>
        </w:tc>
        <w:tc>
          <w:tcPr>
            <w:tcW w:w="794" w:type="dxa"/>
            <w:tcBorders>
              <w:top w:val="single" w:color="000000" w:sz="4" w:space="0"/>
              <w:left w:val="nil"/>
              <w:bottom w:val="single" w:color="000000" w:sz="4" w:space="0"/>
              <w:right w:val="single" w:color="000000" w:sz="4" w:space="0"/>
            </w:tcBorders>
            <w:vAlign w:val="center"/>
          </w:tcPr>
          <w:p w14:paraId="51175D79">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0E7CB035">
        <w:tblPrEx>
          <w:tblCellMar>
            <w:top w:w="0" w:type="dxa"/>
            <w:left w:w="108" w:type="dxa"/>
            <w:bottom w:w="0" w:type="dxa"/>
            <w:right w:w="108" w:type="dxa"/>
          </w:tblCellMar>
        </w:tblPrEx>
        <w:trPr>
          <w:trHeight w:val="23" w:hRule="atLeast"/>
        </w:trPr>
        <w:tc>
          <w:tcPr>
            <w:tcW w:w="751" w:type="dxa"/>
            <w:tcBorders>
              <w:top w:val="single" w:color="000000" w:sz="4" w:space="0"/>
              <w:left w:val="single" w:color="000000" w:sz="4" w:space="0"/>
              <w:bottom w:val="single" w:color="000000" w:sz="4" w:space="0"/>
              <w:right w:val="single" w:color="000000" w:sz="4" w:space="0"/>
            </w:tcBorders>
            <w:vAlign w:val="center"/>
          </w:tcPr>
          <w:p w14:paraId="27739F3F">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p>
        </w:tc>
        <w:tc>
          <w:tcPr>
            <w:tcW w:w="1091" w:type="dxa"/>
            <w:gridSpan w:val="2"/>
            <w:vMerge w:val="continue"/>
            <w:tcBorders>
              <w:left w:val="nil"/>
              <w:right w:val="single" w:color="000000" w:sz="4" w:space="0"/>
            </w:tcBorders>
            <w:vAlign w:val="center"/>
          </w:tcPr>
          <w:p w14:paraId="60303899">
            <w:pPr>
              <w:spacing w:line="400" w:lineRule="exact"/>
              <w:jc w:val="center"/>
              <w:rPr>
                <w:rFonts w:hint="default" w:ascii="Times New Roman" w:hAnsi="Times New Roman" w:eastAsia="仿宋_GB2312" w:cs="Times New Roman"/>
                <w:b/>
                <w:bCs/>
                <w:color w:val="auto"/>
                <w:sz w:val="24"/>
                <w:szCs w:val="24"/>
                <w:highlight w:val="none"/>
              </w:rPr>
            </w:pPr>
          </w:p>
        </w:tc>
        <w:tc>
          <w:tcPr>
            <w:tcW w:w="6664" w:type="dxa"/>
            <w:gridSpan w:val="3"/>
            <w:tcBorders>
              <w:top w:val="single" w:color="000000" w:sz="4" w:space="0"/>
              <w:left w:val="nil"/>
              <w:bottom w:val="single" w:color="000000" w:sz="4" w:space="0"/>
              <w:right w:val="single" w:color="000000" w:sz="4" w:space="0"/>
            </w:tcBorders>
            <w:vAlign w:val="center"/>
          </w:tcPr>
          <w:p w14:paraId="5405A6A3">
            <w:pPr>
              <w:widowControl/>
              <w:spacing w:line="360" w:lineRule="exact"/>
              <w:ind w:left="0" w:leftChars="0" w:firstLine="0" w:firstLineChars="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持证上岗。</w:t>
            </w:r>
          </w:p>
        </w:tc>
        <w:tc>
          <w:tcPr>
            <w:tcW w:w="830" w:type="dxa"/>
            <w:tcBorders>
              <w:top w:val="single" w:color="000000" w:sz="4" w:space="0"/>
              <w:left w:val="nil"/>
              <w:bottom w:val="single" w:color="000000" w:sz="4" w:space="0"/>
              <w:right w:val="single" w:color="000000" w:sz="4" w:space="0"/>
            </w:tcBorders>
            <w:vAlign w:val="center"/>
          </w:tcPr>
          <w:p w14:paraId="4EEC3335">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2.5</w:t>
            </w:r>
          </w:p>
        </w:tc>
        <w:tc>
          <w:tcPr>
            <w:tcW w:w="794" w:type="dxa"/>
            <w:tcBorders>
              <w:top w:val="single" w:color="000000" w:sz="4" w:space="0"/>
              <w:left w:val="nil"/>
              <w:bottom w:val="single" w:color="000000" w:sz="4" w:space="0"/>
              <w:right w:val="single" w:color="000000" w:sz="4" w:space="0"/>
            </w:tcBorders>
            <w:vAlign w:val="center"/>
          </w:tcPr>
          <w:p w14:paraId="2112054D">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00D5BB4A">
        <w:tblPrEx>
          <w:tblCellMar>
            <w:top w:w="0" w:type="dxa"/>
            <w:left w:w="108" w:type="dxa"/>
            <w:bottom w:w="0" w:type="dxa"/>
            <w:right w:w="108" w:type="dxa"/>
          </w:tblCellMar>
        </w:tblPrEx>
        <w:tc>
          <w:tcPr>
            <w:tcW w:w="751" w:type="dxa"/>
            <w:tcBorders>
              <w:top w:val="single" w:color="000000" w:sz="4" w:space="0"/>
              <w:left w:val="single" w:color="000000" w:sz="4" w:space="0"/>
              <w:bottom w:val="single" w:color="000000" w:sz="4" w:space="0"/>
              <w:right w:val="single" w:color="000000" w:sz="4" w:space="0"/>
            </w:tcBorders>
            <w:vAlign w:val="center"/>
          </w:tcPr>
          <w:p w14:paraId="02306117">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w:t>
            </w:r>
          </w:p>
        </w:tc>
        <w:tc>
          <w:tcPr>
            <w:tcW w:w="1091" w:type="dxa"/>
            <w:gridSpan w:val="2"/>
            <w:vMerge w:val="continue"/>
            <w:tcBorders>
              <w:left w:val="nil"/>
              <w:right w:val="single" w:color="000000" w:sz="4" w:space="0"/>
            </w:tcBorders>
            <w:vAlign w:val="center"/>
          </w:tcPr>
          <w:p w14:paraId="298EA7DE">
            <w:pPr>
              <w:spacing w:line="400" w:lineRule="exact"/>
              <w:jc w:val="center"/>
              <w:rPr>
                <w:rFonts w:hint="default" w:ascii="Times New Roman" w:hAnsi="Times New Roman" w:eastAsia="仿宋_GB2312" w:cs="Times New Roman"/>
                <w:b/>
                <w:bCs/>
                <w:color w:val="auto"/>
                <w:sz w:val="24"/>
                <w:szCs w:val="24"/>
                <w:highlight w:val="none"/>
              </w:rPr>
            </w:pPr>
          </w:p>
        </w:tc>
        <w:tc>
          <w:tcPr>
            <w:tcW w:w="6664" w:type="dxa"/>
            <w:gridSpan w:val="3"/>
            <w:tcBorders>
              <w:top w:val="single" w:color="000000" w:sz="4" w:space="0"/>
              <w:left w:val="nil"/>
              <w:bottom w:val="single" w:color="000000" w:sz="4" w:space="0"/>
              <w:right w:val="single" w:color="000000" w:sz="4" w:space="0"/>
            </w:tcBorders>
            <w:vAlign w:val="center"/>
          </w:tcPr>
          <w:p w14:paraId="2480C261">
            <w:pPr>
              <w:widowControl/>
              <w:spacing w:line="360" w:lineRule="exact"/>
              <w:ind w:left="0" w:leftChars="0" w:firstLine="0" w:firstLineChars="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熟悉辖区内水电线路、开关等设施设备功能及分布情况，熟练掌握相关维修技能，严格执行操作规程。</w:t>
            </w:r>
          </w:p>
        </w:tc>
        <w:tc>
          <w:tcPr>
            <w:tcW w:w="830" w:type="dxa"/>
            <w:tcBorders>
              <w:top w:val="single" w:color="000000" w:sz="4" w:space="0"/>
              <w:left w:val="nil"/>
              <w:bottom w:val="single" w:color="000000" w:sz="4" w:space="0"/>
              <w:right w:val="single" w:color="000000" w:sz="4" w:space="0"/>
            </w:tcBorders>
            <w:vAlign w:val="center"/>
          </w:tcPr>
          <w:p w14:paraId="57F94F36">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2.5</w:t>
            </w:r>
          </w:p>
        </w:tc>
        <w:tc>
          <w:tcPr>
            <w:tcW w:w="794" w:type="dxa"/>
            <w:tcBorders>
              <w:top w:val="single" w:color="000000" w:sz="4" w:space="0"/>
              <w:left w:val="nil"/>
              <w:bottom w:val="single" w:color="000000" w:sz="4" w:space="0"/>
              <w:right w:val="single" w:color="000000" w:sz="4" w:space="0"/>
            </w:tcBorders>
            <w:vAlign w:val="center"/>
          </w:tcPr>
          <w:p w14:paraId="213922A9">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30901010">
        <w:tblPrEx>
          <w:tblCellMar>
            <w:top w:w="0" w:type="dxa"/>
            <w:left w:w="108" w:type="dxa"/>
            <w:bottom w:w="0" w:type="dxa"/>
            <w:right w:w="108" w:type="dxa"/>
          </w:tblCellMar>
        </w:tblPrEx>
        <w:tc>
          <w:tcPr>
            <w:tcW w:w="751" w:type="dxa"/>
            <w:tcBorders>
              <w:top w:val="single" w:color="000000" w:sz="4" w:space="0"/>
              <w:left w:val="single" w:color="000000" w:sz="4" w:space="0"/>
              <w:bottom w:val="single" w:color="000000" w:sz="4" w:space="0"/>
              <w:right w:val="single" w:color="000000" w:sz="4" w:space="0"/>
            </w:tcBorders>
            <w:vAlign w:val="center"/>
          </w:tcPr>
          <w:p w14:paraId="49C61778">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4</w:t>
            </w:r>
          </w:p>
        </w:tc>
        <w:tc>
          <w:tcPr>
            <w:tcW w:w="1091" w:type="dxa"/>
            <w:gridSpan w:val="2"/>
            <w:vMerge w:val="continue"/>
            <w:tcBorders>
              <w:left w:val="nil"/>
              <w:right w:val="single" w:color="000000" w:sz="4" w:space="0"/>
            </w:tcBorders>
            <w:vAlign w:val="center"/>
          </w:tcPr>
          <w:p w14:paraId="070741F2">
            <w:pPr>
              <w:spacing w:line="400" w:lineRule="exact"/>
              <w:jc w:val="center"/>
              <w:rPr>
                <w:rFonts w:hint="default" w:ascii="Times New Roman" w:hAnsi="Times New Roman" w:eastAsia="仿宋_GB2312" w:cs="Times New Roman"/>
                <w:b/>
                <w:bCs/>
                <w:color w:val="auto"/>
                <w:sz w:val="24"/>
                <w:szCs w:val="24"/>
                <w:highlight w:val="none"/>
              </w:rPr>
            </w:pPr>
          </w:p>
        </w:tc>
        <w:tc>
          <w:tcPr>
            <w:tcW w:w="6664" w:type="dxa"/>
            <w:gridSpan w:val="3"/>
            <w:tcBorders>
              <w:top w:val="single" w:color="000000" w:sz="4" w:space="0"/>
              <w:left w:val="nil"/>
              <w:bottom w:val="single" w:color="000000" w:sz="4" w:space="0"/>
              <w:right w:val="single" w:color="000000" w:sz="4" w:space="0"/>
            </w:tcBorders>
            <w:vAlign w:val="center"/>
          </w:tcPr>
          <w:p w14:paraId="56F94E0D">
            <w:pPr>
              <w:widowControl/>
              <w:spacing w:line="360" w:lineRule="exact"/>
              <w:ind w:left="0" w:leftChars="0" w:firstLine="0" w:firstLineChars="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定时巡检水电线路等设施设备，填写记录，保持完好运行，在发现问题时，应准确判断，及时处理。</w:t>
            </w:r>
          </w:p>
        </w:tc>
        <w:tc>
          <w:tcPr>
            <w:tcW w:w="830" w:type="dxa"/>
            <w:tcBorders>
              <w:top w:val="single" w:color="000000" w:sz="4" w:space="0"/>
              <w:left w:val="nil"/>
              <w:bottom w:val="single" w:color="000000" w:sz="4" w:space="0"/>
              <w:right w:val="single" w:color="000000" w:sz="4" w:space="0"/>
            </w:tcBorders>
            <w:vAlign w:val="center"/>
          </w:tcPr>
          <w:p w14:paraId="6042ED3E">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2.5</w:t>
            </w:r>
          </w:p>
        </w:tc>
        <w:tc>
          <w:tcPr>
            <w:tcW w:w="794" w:type="dxa"/>
            <w:tcBorders>
              <w:top w:val="single" w:color="000000" w:sz="4" w:space="0"/>
              <w:left w:val="nil"/>
              <w:bottom w:val="single" w:color="000000" w:sz="4" w:space="0"/>
              <w:right w:val="single" w:color="000000" w:sz="4" w:space="0"/>
            </w:tcBorders>
            <w:vAlign w:val="center"/>
          </w:tcPr>
          <w:p w14:paraId="4052CFC4">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60978CDB">
        <w:tblPrEx>
          <w:tblCellMar>
            <w:top w:w="0" w:type="dxa"/>
            <w:left w:w="108" w:type="dxa"/>
            <w:bottom w:w="0" w:type="dxa"/>
            <w:right w:w="108" w:type="dxa"/>
          </w:tblCellMar>
        </w:tblPrEx>
        <w:trPr>
          <w:trHeight w:val="90" w:hRule="atLeast"/>
        </w:trPr>
        <w:tc>
          <w:tcPr>
            <w:tcW w:w="751" w:type="dxa"/>
            <w:tcBorders>
              <w:top w:val="single" w:color="000000" w:sz="4" w:space="0"/>
              <w:left w:val="single" w:color="000000" w:sz="4" w:space="0"/>
              <w:bottom w:val="single" w:color="000000" w:sz="4" w:space="0"/>
              <w:right w:val="single" w:color="000000" w:sz="4" w:space="0"/>
            </w:tcBorders>
            <w:vAlign w:val="center"/>
          </w:tcPr>
          <w:p w14:paraId="04804EAF">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5</w:t>
            </w:r>
          </w:p>
        </w:tc>
        <w:tc>
          <w:tcPr>
            <w:tcW w:w="1091" w:type="dxa"/>
            <w:gridSpan w:val="2"/>
            <w:vMerge w:val="continue"/>
            <w:tcBorders>
              <w:left w:val="nil"/>
              <w:right w:val="single" w:color="000000" w:sz="4" w:space="0"/>
            </w:tcBorders>
            <w:vAlign w:val="center"/>
          </w:tcPr>
          <w:p w14:paraId="144045A4">
            <w:pPr>
              <w:spacing w:line="400" w:lineRule="exact"/>
              <w:jc w:val="center"/>
              <w:rPr>
                <w:rFonts w:hint="default" w:ascii="Times New Roman" w:hAnsi="Times New Roman" w:eastAsia="仿宋_GB2312" w:cs="Times New Roman"/>
                <w:b/>
                <w:bCs/>
                <w:color w:val="auto"/>
                <w:sz w:val="24"/>
                <w:szCs w:val="24"/>
                <w:highlight w:val="none"/>
              </w:rPr>
            </w:pPr>
          </w:p>
        </w:tc>
        <w:tc>
          <w:tcPr>
            <w:tcW w:w="6664" w:type="dxa"/>
            <w:gridSpan w:val="3"/>
            <w:tcBorders>
              <w:top w:val="single" w:color="000000" w:sz="4" w:space="0"/>
              <w:left w:val="nil"/>
              <w:bottom w:val="single" w:color="000000" w:sz="4" w:space="0"/>
              <w:right w:val="single" w:color="000000" w:sz="4" w:space="0"/>
            </w:tcBorders>
            <w:vAlign w:val="center"/>
          </w:tcPr>
          <w:p w14:paraId="5162F474">
            <w:pPr>
              <w:widowControl/>
              <w:spacing w:line="360" w:lineRule="exact"/>
              <w:ind w:left="0" w:leftChars="0" w:firstLine="0" w:firstLineChars="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接到报修后30分钟内到达现场，维修合格率达100%。</w:t>
            </w:r>
          </w:p>
        </w:tc>
        <w:tc>
          <w:tcPr>
            <w:tcW w:w="830" w:type="dxa"/>
            <w:tcBorders>
              <w:top w:val="single" w:color="000000" w:sz="4" w:space="0"/>
              <w:left w:val="nil"/>
              <w:bottom w:val="single" w:color="000000" w:sz="4" w:space="0"/>
              <w:right w:val="single" w:color="000000" w:sz="4" w:space="0"/>
            </w:tcBorders>
            <w:vAlign w:val="center"/>
          </w:tcPr>
          <w:p w14:paraId="12036BAF">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2.5</w:t>
            </w:r>
          </w:p>
        </w:tc>
        <w:tc>
          <w:tcPr>
            <w:tcW w:w="794" w:type="dxa"/>
            <w:tcBorders>
              <w:top w:val="single" w:color="000000" w:sz="4" w:space="0"/>
              <w:left w:val="nil"/>
              <w:bottom w:val="single" w:color="000000" w:sz="4" w:space="0"/>
              <w:right w:val="single" w:color="000000" w:sz="4" w:space="0"/>
            </w:tcBorders>
            <w:vAlign w:val="center"/>
          </w:tcPr>
          <w:p w14:paraId="4FE71D60">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145BB883">
        <w:tblPrEx>
          <w:tblCellMar>
            <w:top w:w="0" w:type="dxa"/>
            <w:left w:w="108" w:type="dxa"/>
            <w:bottom w:w="0" w:type="dxa"/>
            <w:right w:w="108" w:type="dxa"/>
          </w:tblCellMar>
        </w:tblPrEx>
        <w:tc>
          <w:tcPr>
            <w:tcW w:w="751" w:type="dxa"/>
            <w:tcBorders>
              <w:top w:val="single" w:color="000000" w:sz="4" w:space="0"/>
              <w:left w:val="single" w:color="000000" w:sz="4" w:space="0"/>
              <w:bottom w:val="single" w:color="000000" w:sz="4" w:space="0"/>
              <w:right w:val="single" w:color="000000" w:sz="4" w:space="0"/>
            </w:tcBorders>
            <w:vAlign w:val="center"/>
          </w:tcPr>
          <w:p w14:paraId="27447322">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6</w:t>
            </w:r>
          </w:p>
        </w:tc>
        <w:tc>
          <w:tcPr>
            <w:tcW w:w="1091" w:type="dxa"/>
            <w:gridSpan w:val="2"/>
            <w:vMerge w:val="continue"/>
            <w:tcBorders>
              <w:left w:val="nil"/>
              <w:right w:val="single" w:color="000000" w:sz="4" w:space="0"/>
            </w:tcBorders>
            <w:vAlign w:val="center"/>
          </w:tcPr>
          <w:p w14:paraId="1F093874">
            <w:pPr>
              <w:spacing w:line="400" w:lineRule="exact"/>
              <w:jc w:val="center"/>
              <w:rPr>
                <w:rFonts w:hint="default" w:ascii="Times New Roman" w:hAnsi="Times New Roman" w:eastAsia="仿宋_GB2312" w:cs="Times New Roman"/>
                <w:b/>
                <w:bCs/>
                <w:color w:val="auto"/>
                <w:sz w:val="24"/>
                <w:szCs w:val="24"/>
                <w:highlight w:val="none"/>
              </w:rPr>
            </w:pPr>
          </w:p>
        </w:tc>
        <w:tc>
          <w:tcPr>
            <w:tcW w:w="6664" w:type="dxa"/>
            <w:gridSpan w:val="3"/>
            <w:tcBorders>
              <w:top w:val="single" w:color="000000" w:sz="4" w:space="0"/>
              <w:left w:val="nil"/>
              <w:bottom w:val="single" w:color="000000" w:sz="4" w:space="0"/>
              <w:right w:val="single" w:color="000000" w:sz="4" w:space="0"/>
            </w:tcBorders>
            <w:vAlign w:val="center"/>
          </w:tcPr>
          <w:p w14:paraId="3FE14C64">
            <w:pPr>
              <w:widowControl/>
              <w:spacing w:line="360" w:lineRule="exact"/>
              <w:ind w:left="0" w:leftChars="0" w:firstLine="0" w:firstLineChars="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定期检查避雷、接地设施完好性，定期进行相关试验。</w:t>
            </w:r>
          </w:p>
        </w:tc>
        <w:tc>
          <w:tcPr>
            <w:tcW w:w="830" w:type="dxa"/>
            <w:tcBorders>
              <w:top w:val="single" w:color="000000" w:sz="4" w:space="0"/>
              <w:left w:val="nil"/>
              <w:bottom w:val="single" w:color="000000" w:sz="4" w:space="0"/>
              <w:right w:val="single" w:color="000000" w:sz="4" w:space="0"/>
            </w:tcBorders>
            <w:vAlign w:val="center"/>
          </w:tcPr>
          <w:p w14:paraId="59F72237">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2.5</w:t>
            </w:r>
          </w:p>
        </w:tc>
        <w:tc>
          <w:tcPr>
            <w:tcW w:w="794" w:type="dxa"/>
            <w:tcBorders>
              <w:top w:val="single" w:color="000000" w:sz="4" w:space="0"/>
              <w:left w:val="nil"/>
              <w:bottom w:val="single" w:color="000000" w:sz="4" w:space="0"/>
              <w:right w:val="single" w:color="000000" w:sz="4" w:space="0"/>
            </w:tcBorders>
            <w:vAlign w:val="center"/>
          </w:tcPr>
          <w:p w14:paraId="50B2E65D">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286B6799">
        <w:tblPrEx>
          <w:tblCellMar>
            <w:top w:w="0" w:type="dxa"/>
            <w:left w:w="108" w:type="dxa"/>
            <w:bottom w:w="0" w:type="dxa"/>
            <w:right w:w="108" w:type="dxa"/>
          </w:tblCellMar>
        </w:tblPrEx>
        <w:tc>
          <w:tcPr>
            <w:tcW w:w="751" w:type="dxa"/>
            <w:tcBorders>
              <w:top w:val="single" w:color="000000" w:sz="4" w:space="0"/>
              <w:left w:val="single" w:color="000000" w:sz="4" w:space="0"/>
              <w:bottom w:val="single" w:color="000000" w:sz="4" w:space="0"/>
              <w:right w:val="single" w:color="000000" w:sz="4" w:space="0"/>
            </w:tcBorders>
            <w:vAlign w:val="center"/>
          </w:tcPr>
          <w:p w14:paraId="2F595431">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7</w:t>
            </w:r>
          </w:p>
        </w:tc>
        <w:tc>
          <w:tcPr>
            <w:tcW w:w="1091" w:type="dxa"/>
            <w:gridSpan w:val="2"/>
            <w:vMerge w:val="continue"/>
            <w:tcBorders>
              <w:left w:val="nil"/>
              <w:right w:val="single" w:color="000000" w:sz="4" w:space="0"/>
            </w:tcBorders>
            <w:vAlign w:val="center"/>
          </w:tcPr>
          <w:p w14:paraId="33F9FD57">
            <w:pPr>
              <w:spacing w:line="400" w:lineRule="exact"/>
              <w:jc w:val="center"/>
              <w:rPr>
                <w:rFonts w:hint="default" w:ascii="Times New Roman" w:hAnsi="Times New Roman" w:eastAsia="仿宋_GB2312" w:cs="Times New Roman"/>
                <w:b/>
                <w:bCs/>
                <w:color w:val="auto"/>
                <w:sz w:val="24"/>
                <w:szCs w:val="24"/>
                <w:highlight w:val="none"/>
              </w:rPr>
            </w:pPr>
          </w:p>
        </w:tc>
        <w:tc>
          <w:tcPr>
            <w:tcW w:w="6664" w:type="dxa"/>
            <w:gridSpan w:val="3"/>
            <w:tcBorders>
              <w:top w:val="single" w:color="000000" w:sz="4" w:space="0"/>
              <w:left w:val="nil"/>
              <w:bottom w:val="single" w:color="000000" w:sz="4" w:space="0"/>
              <w:right w:val="single" w:color="000000" w:sz="4" w:space="0"/>
            </w:tcBorders>
            <w:vAlign w:val="center"/>
          </w:tcPr>
          <w:p w14:paraId="48293C7D">
            <w:pPr>
              <w:widowControl/>
              <w:spacing w:line="360" w:lineRule="exact"/>
              <w:ind w:left="0" w:leftChars="0" w:firstLine="0" w:firstLineChars="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按规范要求，配置安全防护设施，定时清扫设备及配电室卫生。</w:t>
            </w:r>
          </w:p>
        </w:tc>
        <w:tc>
          <w:tcPr>
            <w:tcW w:w="830" w:type="dxa"/>
            <w:tcBorders>
              <w:top w:val="single" w:color="000000" w:sz="4" w:space="0"/>
              <w:left w:val="nil"/>
              <w:bottom w:val="single" w:color="000000" w:sz="4" w:space="0"/>
              <w:right w:val="single" w:color="000000" w:sz="4" w:space="0"/>
            </w:tcBorders>
            <w:vAlign w:val="center"/>
          </w:tcPr>
          <w:p w14:paraId="5674DD88">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2.5</w:t>
            </w:r>
          </w:p>
        </w:tc>
        <w:tc>
          <w:tcPr>
            <w:tcW w:w="794" w:type="dxa"/>
            <w:tcBorders>
              <w:top w:val="single" w:color="000000" w:sz="4" w:space="0"/>
              <w:left w:val="nil"/>
              <w:bottom w:val="single" w:color="000000" w:sz="4" w:space="0"/>
              <w:right w:val="single" w:color="000000" w:sz="4" w:space="0"/>
            </w:tcBorders>
            <w:vAlign w:val="center"/>
          </w:tcPr>
          <w:p w14:paraId="37DF681A">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66268B1E">
        <w:tblPrEx>
          <w:tblCellMar>
            <w:top w:w="0" w:type="dxa"/>
            <w:left w:w="108" w:type="dxa"/>
            <w:bottom w:w="0" w:type="dxa"/>
            <w:right w:w="108" w:type="dxa"/>
          </w:tblCellMar>
        </w:tblPrEx>
        <w:tc>
          <w:tcPr>
            <w:tcW w:w="751" w:type="dxa"/>
            <w:tcBorders>
              <w:top w:val="single" w:color="000000" w:sz="4" w:space="0"/>
              <w:left w:val="single" w:color="000000" w:sz="4" w:space="0"/>
              <w:bottom w:val="single" w:color="000000" w:sz="4" w:space="0"/>
              <w:right w:val="single" w:color="000000" w:sz="4" w:space="0"/>
            </w:tcBorders>
            <w:vAlign w:val="center"/>
          </w:tcPr>
          <w:p w14:paraId="3100E0E2">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8</w:t>
            </w:r>
          </w:p>
        </w:tc>
        <w:tc>
          <w:tcPr>
            <w:tcW w:w="1091" w:type="dxa"/>
            <w:gridSpan w:val="2"/>
            <w:vMerge w:val="continue"/>
            <w:tcBorders>
              <w:left w:val="nil"/>
              <w:right w:val="single" w:color="000000" w:sz="4" w:space="0"/>
            </w:tcBorders>
            <w:vAlign w:val="center"/>
          </w:tcPr>
          <w:p w14:paraId="60E63C61">
            <w:pPr>
              <w:spacing w:line="400" w:lineRule="exact"/>
              <w:jc w:val="center"/>
              <w:rPr>
                <w:rFonts w:hint="default" w:ascii="Times New Roman" w:hAnsi="Times New Roman" w:eastAsia="仿宋_GB2312" w:cs="Times New Roman"/>
                <w:b/>
                <w:bCs/>
                <w:color w:val="auto"/>
                <w:sz w:val="24"/>
                <w:szCs w:val="24"/>
                <w:highlight w:val="none"/>
              </w:rPr>
            </w:pPr>
          </w:p>
        </w:tc>
        <w:tc>
          <w:tcPr>
            <w:tcW w:w="6664" w:type="dxa"/>
            <w:gridSpan w:val="3"/>
            <w:tcBorders>
              <w:top w:val="single" w:color="000000" w:sz="4" w:space="0"/>
              <w:left w:val="nil"/>
              <w:bottom w:val="single" w:color="000000" w:sz="4" w:space="0"/>
              <w:right w:val="single" w:color="000000" w:sz="4" w:space="0"/>
            </w:tcBorders>
            <w:vAlign w:val="center"/>
          </w:tcPr>
          <w:p w14:paraId="05620122">
            <w:pPr>
              <w:widowControl/>
              <w:spacing w:line="360" w:lineRule="exact"/>
              <w:ind w:left="0" w:leftChars="0" w:firstLine="0" w:firstLineChars="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外购配件及土建类维修，自接到报修之日起能3日内修复。</w:t>
            </w:r>
          </w:p>
        </w:tc>
        <w:tc>
          <w:tcPr>
            <w:tcW w:w="830" w:type="dxa"/>
            <w:tcBorders>
              <w:top w:val="single" w:color="000000" w:sz="4" w:space="0"/>
              <w:left w:val="nil"/>
              <w:bottom w:val="single" w:color="000000" w:sz="4" w:space="0"/>
              <w:right w:val="single" w:color="000000" w:sz="4" w:space="0"/>
            </w:tcBorders>
            <w:vAlign w:val="center"/>
          </w:tcPr>
          <w:p w14:paraId="676E7A34">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2.5</w:t>
            </w:r>
          </w:p>
        </w:tc>
        <w:tc>
          <w:tcPr>
            <w:tcW w:w="794" w:type="dxa"/>
            <w:tcBorders>
              <w:top w:val="single" w:color="000000" w:sz="4" w:space="0"/>
              <w:left w:val="nil"/>
              <w:bottom w:val="single" w:color="000000" w:sz="4" w:space="0"/>
              <w:right w:val="single" w:color="000000" w:sz="4" w:space="0"/>
            </w:tcBorders>
            <w:vAlign w:val="center"/>
          </w:tcPr>
          <w:p w14:paraId="02553356">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1A0DBE08">
        <w:tblPrEx>
          <w:tblCellMar>
            <w:top w:w="0" w:type="dxa"/>
            <w:left w:w="108" w:type="dxa"/>
            <w:bottom w:w="0" w:type="dxa"/>
            <w:right w:w="108" w:type="dxa"/>
          </w:tblCellMar>
        </w:tblPrEx>
        <w:tc>
          <w:tcPr>
            <w:tcW w:w="751" w:type="dxa"/>
            <w:tcBorders>
              <w:top w:val="single" w:color="000000" w:sz="4" w:space="0"/>
              <w:left w:val="single" w:color="000000" w:sz="4" w:space="0"/>
              <w:bottom w:val="single" w:color="000000" w:sz="4" w:space="0"/>
              <w:right w:val="single" w:color="000000" w:sz="4" w:space="0"/>
            </w:tcBorders>
            <w:vAlign w:val="center"/>
          </w:tcPr>
          <w:p w14:paraId="5A6D7EFF">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9</w:t>
            </w:r>
          </w:p>
        </w:tc>
        <w:tc>
          <w:tcPr>
            <w:tcW w:w="1091" w:type="dxa"/>
            <w:gridSpan w:val="2"/>
            <w:vMerge w:val="continue"/>
            <w:tcBorders>
              <w:left w:val="nil"/>
              <w:right w:val="single" w:color="000000" w:sz="4" w:space="0"/>
            </w:tcBorders>
            <w:vAlign w:val="center"/>
          </w:tcPr>
          <w:p w14:paraId="30E55072">
            <w:pPr>
              <w:spacing w:line="400" w:lineRule="exact"/>
              <w:jc w:val="center"/>
              <w:rPr>
                <w:rFonts w:hint="default" w:ascii="Times New Roman" w:hAnsi="Times New Roman" w:eastAsia="仿宋_GB2312" w:cs="Times New Roman"/>
                <w:b/>
                <w:bCs/>
                <w:color w:val="auto"/>
                <w:sz w:val="24"/>
                <w:szCs w:val="24"/>
                <w:highlight w:val="none"/>
              </w:rPr>
            </w:pPr>
          </w:p>
        </w:tc>
        <w:tc>
          <w:tcPr>
            <w:tcW w:w="6664" w:type="dxa"/>
            <w:gridSpan w:val="3"/>
            <w:tcBorders>
              <w:top w:val="single" w:color="000000" w:sz="4" w:space="0"/>
              <w:left w:val="nil"/>
              <w:bottom w:val="single" w:color="000000" w:sz="4" w:space="0"/>
              <w:right w:val="single" w:color="000000" w:sz="4" w:space="0"/>
            </w:tcBorders>
            <w:vAlign w:val="center"/>
          </w:tcPr>
          <w:p w14:paraId="5D376708">
            <w:pPr>
              <w:widowControl/>
              <w:spacing w:line="360" w:lineRule="exact"/>
              <w:ind w:left="0" w:leftChars="0" w:firstLine="0" w:firstLineChars="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雨季做好本职防汛工作，排查有关隐患。</w:t>
            </w:r>
          </w:p>
        </w:tc>
        <w:tc>
          <w:tcPr>
            <w:tcW w:w="830" w:type="dxa"/>
            <w:tcBorders>
              <w:top w:val="single" w:color="000000" w:sz="4" w:space="0"/>
              <w:left w:val="nil"/>
              <w:bottom w:val="single" w:color="000000" w:sz="4" w:space="0"/>
              <w:right w:val="single" w:color="000000" w:sz="4" w:space="0"/>
            </w:tcBorders>
            <w:vAlign w:val="center"/>
          </w:tcPr>
          <w:p w14:paraId="00DE41A2">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2.5</w:t>
            </w:r>
          </w:p>
        </w:tc>
        <w:tc>
          <w:tcPr>
            <w:tcW w:w="794" w:type="dxa"/>
            <w:tcBorders>
              <w:top w:val="single" w:color="000000" w:sz="4" w:space="0"/>
              <w:left w:val="nil"/>
              <w:bottom w:val="single" w:color="000000" w:sz="4" w:space="0"/>
              <w:right w:val="single" w:color="000000" w:sz="4" w:space="0"/>
            </w:tcBorders>
            <w:vAlign w:val="center"/>
          </w:tcPr>
          <w:p w14:paraId="71ABE2F3">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7DB36E2D">
        <w:tblPrEx>
          <w:tblCellMar>
            <w:top w:w="0" w:type="dxa"/>
            <w:left w:w="108" w:type="dxa"/>
            <w:bottom w:w="0" w:type="dxa"/>
            <w:right w:w="108" w:type="dxa"/>
          </w:tblCellMar>
        </w:tblPrEx>
        <w:tc>
          <w:tcPr>
            <w:tcW w:w="751" w:type="dxa"/>
            <w:tcBorders>
              <w:top w:val="single" w:color="000000" w:sz="4" w:space="0"/>
              <w:left w:val="single" w:color="000000" w:sz="4" w:space="0"/>
              <w:bottom w:val="single" w:color="000000" w:sz="4" w:space="0"/>
              <w:right w:val="single" w:color="000000" w:sz="4" w:space="0"/>
            </w:tcBorders>
            <w:vAlign w:val="center"/>
          </w:tcPr>
          <w:p w14:paraId="54B8844A">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10</w:t>
            </w:r>
          </w:p>
        </w:tc>
        <w:tc>
          <w:tcPr>
            <w:tcW w:w="1091" w:type="dxa"/>
            <w:gridSpan w:val="2"/>
            <w:vMerge w:val="continue"/>
            <w:tcBorders>
              <w:left w:val="nil"/>
              <w:bottom w:val="single" w:color="000000" w:sz="4" w:space="0"/>
              <w:right w:val="single" w:color="000000" w:sz="4" w:space="0"/>
            </w:tcBorders>
            <w:vAlign w:val="center"/>
          </w:tcPr>
          <w:p w14:paraId="7E36CA41">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c>
          <w:tcPr>
            <w:tcW w:w="6664" w:type="dxa"/>
            <w:gridSpan w:val="3"/>
            <w:tcBorders>
              <w:top w:val="single" w:color="000000" w:sz="4" w:space="0"/>
              <w:left w:val="nil"/>
              <w:bottom w:val="single" w:color="000000" w:sz="4" w:space="0"/>
              <w:right w:val="single" w:color="000000" w:sz="4" w:space="0"/>
            </w:tcBorders>
            <w:vAlign w:val="center"/>
          </w:tcPr>
          <w:p w14:paraId="0CFAD3A0">
            <w:pPr>
              <w:widowControl/>
              <w:spacing w:line="360" w:lineRule="exact"/>
              <w:jc w:val="left"/>
              <w:rPr>
                <w:rFonts w:hint="default" w:ascii="Times New Roman" w:hAnsi="Times New Roman" w:eastAsia="仿宋_GB2312" w:cs="Times New Roman"/>
                <w:color w:val="auto"/>
                <w:kern w:val="0"/>
                <w:sz w:val="24"/>
                <w:szCs w:val="24"/>
                <w:highlight w:val="none"/>
                <w:lang w:bidi="th-TH"/>
              </w:rPr>
            </w:pPr>
            <w:r>
              <w:rPr>
                <w:rFonts w:hint="default" w:ascii="Times New Roman" w:hAnsi="Times New Roman" w:eastAsia="仿宋_GB2312" w:cs="Times New Roman"/>
                <w:color w:val="auto"/>
                <w:kern w:val="0"/>
                <w:sz w:val="24"/>
                <w:szCs w:val="24"/>
                <w:highlight w:val="none"/>
                <w:lang w:bidi="th-TH"/>
              </w:rPr>
              <w:t>积极协助同事，服从公司和领导的安排。</w:t>
            </w:r>
          </w:p>
        </w:tc>
        <w:tc>
          <w:tcPr>
            <w:tcW w:w="830" w:type="dxa"/>
            <w:tcBorders>
              <w:top w:val="single" w:color="000000" w:sz="4" w:space="0"/>
              <w:left w:val="nil"/>
              <w:bottom w:val="single" w:color="000000" w:sz="4" w:space="0"/>
              <w:right w:val="single" w:color="000000" w:sz="4" w:space="0"/>
            </w:tcBorders>
            <w:vAlign w:val="center"/>
          </w:tcPr>
          <w:p w14:paraId="19654EFA">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2.5</w:t>
            </w:r>
          </w:p>
        </w:tc>
        <w:tc>
          <w:tcPr>
            <w:tcW w:w="794" w:type="dxa"/>
            <w:tcBorders>
              <w:top w:val="single" w:color="000000" w:sz="4" w:space="0"/>
              <w:left w:val="nil"/>
              <w:bottom w:val="single" w:color="000000" w:sz="4" w:space="0"/>
              <w:right w:val="single" w:color="000000" w:sz="4" w:space="0"/>
            </w:tcBorders>
            <w:vAlign w:val="center"/>
          </w:tcPr>
          <w:p w14:paraId="45B86833">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67D76D65">
        <w:tblPrEx>
          <w:tblCellMar>
            <w:top w:w="0" w:type="dxa"/>
            <w:left w:w="108" w:type="dxa"/>
            <w:bottom w:w="0" w:type="dxa"/>
            <w:right w:w="108" w:type="dxa"/>
          </w:tblCellMar>
        </w:tblPrEx>
        <w:tc>
          <w:tcPr>
            <w:tcW w:w="751" w:type="dxa"/>
            <w:tcBorders>
              <w:top w:val="single" w:color="000000" w:sz="4" w:space="0"/>
              <w:left w:val="single" w:color="000000" w:sz="4" w:space="0"/>
              <w:bottom w:val="single" w:color="auto" w:sz="4" w:space="0"/>
              <w:right w:val="single" w:color="000000" w:sz="4" w:space="0"/>
            </w:tcBorders>
            <w:vAlign w:val="center"/>
          </w:tcPr>
          <w:p w14:paraId="24F00B37">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11</w:t>
            </w:r>
          </w:p>
        </w:tc>
        <w:tc>
          <w:tcPr>
            <w:tcW w:w="1091" w:type="dxa"/>
            <w:gridSpan w:val="2"/>
            <w:vMerge w:val="restart"/>
            <w:tcBorders>
              <w:top w:val="single" w:color="000000" w:sz="4" w:space="0"/>
              <w:left w:val="nil"/>
              <w:right w:val="single" w:color="000000" w:sz="4" w:space="0"/>
            </w:tcBorders>
            <w:vAlign w:val="center"/>
          </w:tcPr>
          <w:p w14:paraId="13627043">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绿化员</w:t>
            </w:r>
          </w:p>
        </w:tc>
        <w:tc>
          <w:tcPr>
            <w:tcW w:w="6664" w:type="dxa"/>
            <w:gridSpan w:val="3"/>
            <w:tcBorders>
              <w:top w:val="single" w:color="000000" w:sz="4" w:space="0"/>
              <w:left w:val="nil"/>
              <w:bottom w:val="single" w:color="auto" w:sz="4" w:space="0"/>
              <w:right w:val="single" w:color="000000" w:sz="4" w:space="0"/>
            </w:tcBorders>
            <w:vAlign w:val="center"/>
          </w:tcPr>
          <w:p w14:paraId="179513E3">
            <w:pPr>
              <w:widowControl/>
              <w:spacing w:line="360" w:lineRule="exact"/>
              <w:ind w:left="0" w:leftChars="0" w:firstLine="0" w:firstLineChars="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绿地整洁，地面卫生，无垃圾杂物。</w:t>
            </w:r>
          </w:p>
        </w:tc>
        <w:tc>
          <w:tcPr>
            <w:tcW w:w="830" w:type="dxa"/>
            <w:tcBorders>
              <w:top w:val="single" w:color="000000" w:sz="4" w:space="0"/>
              <w:left w:val="nil"/>
              <w:bottom w:val="single" w:color="auto" w:sz="4" w:space="0"/>
              <w:right w:val="single" w:color="000000" w:sz="4" w:space="0"/>
            </w:tcBorders>
            <w:vAlign w:val="center"/>
          </w:tcPr>
          <w:p w14:paraId="4D8E88A8">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2.5</w:t>
            </w:r>
          </w:p>
        </w:tc>
        <w:tc>
          <w:tcPr>
            <w:tcW w:w="794" w:type="dxa"/>
            <w:tcBorders>
              <w:top w:val="single" w:color="000000" w:sz="4" w:space="0"/>
              <w:left w:val="nil"/>
              <w:bottom w:val="single" w:color="auto" w:sz="4" w:space="0"/>
              <w:right w:val="single" w:color="000000" w:sz="4" w:space="0"/>
            </w:tcBorders>
            <w:vAlign w:val="center"/>
          </w:tcPr>
          <w:p w14:paraId="3003D08A">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3BDB9582">
        <w:tblPrEx>
          <w:tblCellMar>
            <w:top w:w="0" w:type="dxa"/>
            <w:left w:w="108" w:type="dxa"/>
            <w:bottom w:w="0" w:type="dxa"/>
            <w:right w:w="108" w:type="dxa"/>
          </w:tblCellMar>
        </w:tblPrEx>
        <w:tc>
          <w:tcPr>
            <w:tcW w:w="751" w:type="dxa"/>
            <w:tcBorders>
              <w:top w:val="single" w:color="auto" w:sz="4" w:space="0"/>
              <w:left w:val="single" w:color="auto" w:sz="4" w:space="0"/>
              <w:bottom w:val="single" w:color="auto" w:sz="4" w:space="0"/>
              <w:right w:val="single" w:color="auto" w:sz="4" w:space="0"/>
            </w:tcBorders>
            <w:vAlign w:val="center"/>
          </w:tcPr>
          <w:p w14:paraId="533359F9">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12</w:t>
            </w:r>
          </w:p>
        </w:tc>
        <w:tc>
          <w:tcPr>
            <w:tcW w:w="1091" w:type="dxa"/>
            <w:gridSpan w:val="2"/>
            <w:vMerge w:val="continue"/>
            <w:tcBorders>
              <w:left w:val="nil"/>
              <w:right w:val="single" w:color="000000" w:sz="4" w:space="0"/>
            </w:tcBorders>
            <w:vAlign w:val="center"/>
          </w:tcPr>
          <w:p w14:paraId="0E45A93C">
            <w:pPr>
              <w:spacing w:line="400" w:lineRule="exact"/>
              <w:jc w:val="center"/>
              <w:rPr>
                <w:rFonts w:hint="default" w:ascii="Times New Roman" w:hAnsi="Times New Roman" w:eastAsia="仿宋_GB2312" w:cs="Times New Roman"/>
                <w:b/>
                <w:bCs/>
                <w:color w:val="auto"/>
                <w:sz w:val="24"/>
                <w:szCs w:val="24"/>
                <w:highlight w:val="none"/>
              </w:rPr>
            </w:pPr>
          </w:p>
        </w:tc>
        <w:tc>
          <w:tcPr>
            <w:tcW w:w="6664" w:type="dxa"/>
            <w:gridSpan w:val="3"/>
            <w:tcBorders>
              <w:top w:val="single" w:color="auto" w:sz="4" w:space="0"/>
              <w:left w:val="single" w:color="auto" w:sz="4" w:space="0"/>
              <w:bottom w:val="single" w:color="auto" w:sz="4" w:space="0"/>
              <w:right w:val="single" w:color="auto" w:sz="4" w:space="0"/>
            </w:tcBorders>
            <w:vAlign w:val="center"/>
          </w:tcPr>
          <w:p w14:paraId="21D75326">
            <w:pPr>
              <w:widowControl/>
              <w:spacing w:line="360" w:lineRule="exact"/>
              <w:ind w:left="0" w:leftChars="0" w:firstLine="0" w:firstLineChars="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树木及时修剪，无徒长枝、病虫枝、过密枝、枯枝、伤损枝；宿根植物及时翻种、断根、间删；植物无死株。</w:t>
            </w:r>
          </w:p>
        </w:tc>
        <w:tc>
          <w:tcPr>
            <w:tcW w:w="830" w:type="dxa"/>
            <w:tcBorders>
              <w:top w:val="single" w:color="auto" w:sz="4" w:space="0"/>
              <w:left w:val="single" w:color="auto" w:sz="4" w:space="0"/>
              <w:bottom w:val="single" w:color="auto" w:sz="4" w:space="0"/>
              <w:right w:val="single" w:color="auto" w:sz="4" w:space="0"/>
            </w:tcBorders>
            <w:vAlign w:val="center"/>
          </w:tcPr>
          <w:p w14:paraId="43CD9B26">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2.5</w:t>
            </w:r>
          </w:p>
        </w:tc>
        <w:tc>
          <w:tcPr>
            <w:tcW w:w="794" w:type="dxa"/>
            <w:tcBorders>
              <w:top w:val="single" w:color="auto" w:sz="4" w:space="0"/>
              <w:left w:val="single" w:color="auto" w:sz="4" w:space="0"/>
              <w:bottom w:val="single" w:color="auto" w:sz="4" w:space="0"/>
              <w:right w:val="single" w:color="auto" w:sz="4" w:space="0"/>
            </w:tcBorders>
            <w:vAlign w:val="center"/>
          </w:tcPr>
          <w:p w14:paraId="7D9FDB8F">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190CB86F">
        <w:tblPrEx>
          <w:tblCellMar>
            <w:top w:w="0" w:type="dxa"/>
            <w:left w:w="108" w:type="dxa"/>
            <w:bottom w:w="0" w:type="dxa"/>
            <w:right w:w="108" w:type="dxa"/>
          </w:tblCellMar>
        </w:tblPrEx>
        <w:tc>
          <w:tcPr>
            <w:tcW w:w="751" w:type="dxa"/>
            <w:tcBorders>
              <w:top w:val="single" w:color="auto" w:sz="4" w:space="0"/>
              <w:left w:val="single" w:color="auto" w:sz="4" w:space="0"/>
              <w:bottom w:val="single" w:color="auto" w:sz="4" w:space="0"/>
              <w:right w:val="single" w:color="auto" w:sz="4" w:space="0"/>
            </w:tcBorders>
            <w:vAlign w:val="center"/>
          </w:tcPr>
          <w:p w14:paraId="03E2435F">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13</w:t>
            </w:r>
          </w:p>
        </w:tc>
        <w:tc>
          <w:tcPr>
            <w:tcW w:w="1091" w:type="dxa"/>
            <w:gridSpan w:val="2"/>
            <w:vMerge w:val="continue"/>
            <w:tcBorders>
              <w:left w:val="nil"/>
              <w:right w:val="single" w:color="000000" w:sz="4" w:space="0"/>
            </w:tcBorders>
            <w:vAlign w:val="center"/>
          </w:tcPr>
          <w:p w14:paraId="34CF6EFC">
            <w:pPr>
              <w:spacing w:line="400" w:lineRule="exact"/>
              <w:jc w:val="center"/>
              <w:rPr>
                <w:rFonts w:hint="default" w:ascii="Times New Roman" w:hAnsi="Times New Roman" w:eastAsia="仿宋_GB2312" w:cs="Times New Roman"/>
                <w:b/>
                <w:bCs/>
                <w:color w:val="auto"/>
                <w:sz w:val="24"/>
                <w:szCs w:val="24"/>
                <w:highlight w:val="none"/>
              </w:rPr>
            </w:pPr>
          </w:p>
        </w:tc>
        <w:tc>
          <w:tcPr>
            <w:tcW w:w="6664" w:type="dxa"/>
            <w:gridSpan w:val="3"/>
            <w:tcBorders>
              <w:top w:val="single" w:color="auto" w:sz="4" w:space="0"/>
              <w:left w:val="single" w:color="auto" w:sz="4" w:space="0"/>
              <w:bottom w:val="single" w:color="auto" w:sz="4" w:space="0"/>
              <w:right w:val="single" w:color="auto" w:sz="4" w:space="0"/>
            </w:tcBorders>
            <w:vAlign w:val="center"/>
          </w:tcPr>
          <w:p w14:paraId="5C6AAEAF">
            <w:pPr>
              <w:widowControl/>
              <w:spacing w:line="360" w:lineRule="exact"/>
              <w:ind w:left="0" w:leftChars="0" w:firstLine="0" w:firstLineChars="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对盆栽植物及时修剪、养护，盆内无杂物。</w:t>
            </w:r>
          </w:p>
        </w:tc>
        <w:tc>
          <w:tcPr>
            <w:tcW w:w="830" w:type="dxa"/>
            <w:tcBorders>
              <w:top w:val="single" w:color="auto" w:sz="4" w:space="0"/>
              <w:left w:val="single" w:color="auto" w:sz="4" w:space="0"/>
              <w:bottom w:val="single" w:color="auto" w:sz="4" w:space="0"/>
              <w:right w:val="single" w:color="auto" w:sz="4" w:space="0"/>
            </w:tcBorders>
            <w:vAlign w:val="center"/>
          </w:tcPr>
          <w:p w14:paraId="7034BFBC">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2.5</w:t>
            </w:r>
          </w:p>
        </w:tc>
        <w:tc>
          <w:tcPr>
            <w:tcW w:w="794" w:type="dxa"/>
            <w:tcBorders>
              <w:top w:val="single" w:color="auto" w:sz="4" w:space="0"/>
              <w:left w:val="single" w:color="auto" w:sz="4" w:space="0"/>
              <w:bottom w:val="single" w:color="auto" w:sz="4" w:space="0"/>
              <w:right w:val="single" w:color="auto" w:sz="4" w:space="0"/>
            </w:tcBorders>
            <w:vAlign w:val="center"/>
          </w:tcPr>
          <w:p w14:paraId="22C6EFF2">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59FF2697">
        <w:tblPrEx>
          <w:tblCellMar>
            <w:top w:w="0" w:type="dxa"/>
            <w:left w:w="108" w:type="dxa"/>
            <w:bottom w:w="0" w:type="dxa"/>
            <w:right w:w="108" w:type="dxa"/>
          </w:tblCellMar>
        </w:tblPrEx>
        <w:tc>
          <w:tcPr>
            <w:tcW w:w="751" w:type="dxa"/>
            <w:tcBorders>
              <w:top w:val="single" w:color="auto" w:sz="4" w:space="0"/>
              <w:left w:val="single" w:color="auto" w:sz="4" w:space="0"/>
              <w:bottom w:val="single" w:color="auto" w:sz="4" w:space="0"/>
              <w:right w:val="single" w:color="auto" w:sz="4" w:space="0"/>
            </w:tcBorders>
            <w:vAlign w:val="center"/>
          </w:tcPr>
          <w:p w14:paraId="4A9ED8D9">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14</w:t>
            </w:r>
          </w:p>
        </w:tc>
        <w:tc>
          <w:tcPr>
            <w:tcW w:w="1091" w:type="dxa"/>
            <w:gridSpan w:val="2"/>
            <w:vMerge w:val="continue"/>
            <w:tcBorders>
              <w:left w:val="nil"/>
              <w:right w:val="single" w:color="000000" w:sz="4" w:space="0"/>
            </w:tcBorders>
            <w:vAlign w:val="center"/>
          </w:tcPr>
          <w:p w14:paraId="29011582">
            <w:pPr>
              <w:spacing w:line="400" w:lineRule="exact"/>
              <w:jc w:val="center"/>
              <w:rPr>
                <w:rFonts w:hint="default" w:ascii="Times New Roman" w:hAnsi="Times New Roman" w:eastAsia="仿宋_GB2312" w:cs="Times New Roman"/>
                <w:b/>
                <w:bCs/>
                <w:color w:val="auto"/>
                <w:sz w:val="24"/>
                <w:szCs w:val="24"/>
                <w:highlight w:val="none"/>
              </w:rPr>
            </w:pPr>
          </w:p>
        </w:tc>
        <w:tc>
          <w:tcPr>
            <w:tcW w:w="6664" w:type="dxa"/>
            <w:gridSpan w:val="3"/>
            <w:tcBorders>
              <w:top w:val="single" w:color="auto" w:sz="4" w:space="0"/>
              <w:left w:val="single" w:color="auto" w:sz="4" w:space="0"/>
              <w:bottom w:val="single" w:color="auto" w:sz="4" w:space="0"/>
              <w:right w:val="single" w:color="auto" w:sz="4" w:space="0"/>
            </w:tcBorders>
            <w:vAlign w:val="center"/>
          </w:tcPr>
          <w:p w14:paraId="2404A285">
            <w:pPr>
              <w:widowControl/>
              <w:spacing w:line="360" w:lineRule="exact"/>
              <w:ind w:left="0" w:leftChars="0" w:firstLine="0" w:firstLineChars="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绿地内水体整洁卫生、无漂浮杂物、无杂生水生植物。</w:t>
            </w:r>
          </w:p>
        </w:tc>
        <w:tc>
          <w:tcPr>
            <w:tcW w:w="830" w:type="dxa"/>
            <w:tcBorders>
              <w:top w:val="single" w:color="auto" w:sz="4" w:space="0"/>
              <w:left w:val="single" w:color="auto" w:sz="4" w:space="0"/>
              <w:bottom w:val="single" w:color="auto" w:sz="4" w:space="0"/>
              <w:right w:val="single" w:color="auto" w:sz="4" w:space="0"/>
            </w:tcBorders>
            <w:vAlign w:val="center"/>
          </w:tcPr>
          <w:p w14:paraId="11DF93F5">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2.5</w:t>
            </w:r>
          </w:p>
        </w:tc>
        <w:tc>
          <w:tcPr>
            <w:tcW w:w="794" w:type="dxa"/>
            <w:tcBorders>
              <w:top w:val="single" w:color="auto" w:sz="4" w:space="0"/>
              <w:left w:val="single" w:color="auto" w:sz="4" w:space="0"/>
              <w:bottom w:val="single" w:color="auto" w:sz="4" w:space="0"/>
              <w:right w:val="single" w:color="auto" w:sz="4" w:space="0"/>
            </w:tcBorders>
            <w:vAlign w:val="center"/>
          </w:tcPr>
          <w:p w14:paraId="644DC575">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4C698D70">
        <w:tblPrEx>
          <w:tblCellMar>
            <w:top w:w="0" w:type="dxa"/>
            <w:left w:w="108" w:type="dxa"/>
            <w:bottom w:w="0" w:type="dxa"/>
            <w:right w:w="108" w:type="dxa"/>
          </w:tblCellMar>
        </w:tblPrEx>
        <w:tc>
          <w:tcPr>
            <w:tcW w:w="751" w:type="dxa"/>
            <w:tcBorders>
              <w:top w:val="single" w:color="auto" w:sz="4" w:space="0"/>
              <w:left w:val="single" w:color="auto" w:sz="4" w:space="0"/>
              <w:bottom w:val="single" w:color="auto" w:sz="4" w:space="0"/>
              <w:right w:val="single" w:color="auto" w:sz="4" w:space="0"/>
            </w:tcBorders>
            <w:vAlign w:val="center"/>
          </w:tcPr>
          <w:p w14:paraId="0C12EB24">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15</w:t>
            </w:r>
          </w:p>
        </w:tc>
        <w:tc>
          <w:tcPr>
            <w:tcW w:w="1091" w:type="dxa"/>
            <w:gridSpan w:val="2"/>
            <w:vMerge w:val="continue"/>
            <w:tcBorders>
              <w:left w:val="nil"/>
              <w:bottom w:val="single" w:color="auto" w:sz="4" w:space="0"/>
              <w:right w:val="single" w:color="000000" w:sz="4" w:space="0"/>
            </w:tcBorders>
            <w:vAlign w:val="center"/>
          </w:tcPr>
          <w:p w14:paraId="43229AB9">
            <w:pPr>
              <w:spacing w:line="400" w:lineRule="exact"/>
              <w:jc w:val="center"/>
              <w:rPr>
                <w:rFonts w:hint="default" w:ascii="Times New Roman" w:hAnsi="Times New Roman" w:eastAsia="仿宋_GB2312" w:cs="Times New Roman"/>
                <w:b/>
                <w:bCs/>
                <w:color w:val="auto"/>
                <w:sz w:val="24"/>
                <w:szCs w:val="24"/>
                <w:highlight w:val="none"/>
              </w:rPr>
            </w:pPr>
          </w:p>
        </w:tc>
        <w:tc>
          <w:tcPr>
            <w:tcW w:w="6664" w:type="dxa"/>
            <w:gridSpan w:val="3"/>
            <w:tcBorders>
              <w:top w:val="single" w:color="auto" w:sz="4" w:space="0"/>
              <w:left w:val="single" w:color="auto" w:sz="4" w:space="0"/>
              <w:bottom w:val="single" w:color="auto" w:sz="4" w:space="0"/>
              <w:right w:val="single" w:color="auto" w:sz="4" w:space="0"/>
            </w:tcBorders>
            <w:vAlign w:val="center"/>
          </w:tcPr>
          <w:p w14:paraId="48A31AD8">
            <w:pPr>
              <w:widowControl/>
              <w:spacing w:line="360" w:lineRule="exact"/>
              <w:ind w:left="0" w:leftChars="0" w:firstLine="0" w:firstLineChars="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草坪生长茂盛，无明显杂草，黄土不裸露，保持叶面清洁，有整体欣赏效果。</w:t>
            </w:r>
          </w:p>
        </w:tc>
        <w:tc>
          <w:tcPr>
            <w:tcW w:w="830" w:type="dxa"/>
            <w:tcBorders>
              <w:top w:val="single" w:color="auto" w:sz="4" w:space="0"/>
              <w:left w:val="single" w:color="auto" w:sz="4" w:space="0"/>
              <w:bottom w:val="single" w:color="auto" w:sz="4" w:space="0"/>
              <w:right w:val="single" w:color="auto" w:sz="4" w:space="0"/>
            </w:tcBorders>
            <w:vAlign w:val="center"/>
          </w:tcPr>
          <w:p w14:paraId="26E682AF">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2.5</w:t>
            </w:r>
          </w:p>
        </w:tc>
        <w:tc>
          <w:tcPr>
            <w:tcW w:w="794" w:type="dxa"/>
            <w:tcBorders>
              <w:top w:val="single" w:color="auto" w:sz="4" w:space="0"/>
              <w:left w:val="single" w:color="auto" w:sz="4" w:space="0"/>
              <w:bottom w:val="single" w:color="auto" w:sz="4" w:space="0"/>
              <w:right w:val="single" w:color="auto" w:sz="4" w:space="0"/>
            </w:tcBorders>
            <w:vAlign w:val="center"/>
          </w:tcPr>
          <w:p w14:paraId="3FC8919C">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0A3B252B">
        <w:tblPrEx>
          <w:tblCellMar>
            <w:top w:w="0" w:type="dxa"/>
            <w:left w:w="108" w:type="dxa"/>
            <w:bottom w:w="0" w:type="dxa"/>
            <w:right w:w="108" w:type="dxa"/>
          </w:tblCellMar>
        </w:tblPrEx>
        <w:tc>
          <w:tcPr>
            <w:tcW w:w="751" w:type="dxa"/>
            <w:tcBorders>
              <w:top w:val="single" w:color="auto" w:sz="4" w:space="0"/>
              <w:left w:val="single" w:color="auto" w:sz="4" w:space="0"/>
              <w:bottom w:val="single" w:color="auto" w:sz="4" w:space="0"/>
              <w:right w:val="single" w:color="auto" w:sz="4" w:space="0"/>
            </w:tcBorders>
            <w:vAlign w:val="center"/>
          </w:tcPr>
          <w:p w14:paraId="5B02C2FA">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16</w:t>
            </w:r>
          </w:p>
        </w:tc>
        <w:tc>
          <w:tcPr>
            <w:tcW w:w="1091" w:type="dxa"/>
            <w:gridSpan w:val="2"/>
            <w:vMerge w:val="continue"/>
            <w:tcBorders>
              <w:top w:val="single" w:color="auto" w:sz="4" w:space="0"/>
              <w:left w:val="nil"/>
              <w:bottom w:val="single" w:color="auto" w:sz="4" w:space="0"/>
              <w:right w:val="single" w:color="000000" w:sz="4" w:space="0"/>
            </w:tcBorders>
            <w:vAlign w:val="center"/>
          </w:tcPr>
          <w:p w14:paraId="0C0B8A2A">
            <w:pPr>
              <w:spacing w:line="400" w:lineRule="exact"/>
              <w:jc w:val="center"/>
              <w:rPr>
                <w:rFonts w:hint="default" w:ascii="Times New Roman" w:hAnsi="Times New Roman" w:eastAsia="仿宋_GB2312" w:cs="Times New Roman"/>
                <w:b/>
                <w:bCs/>
                <w:color w:val="auto"/>
                <w:sz w:val="24"/>
                <w:szCs w:val="24"/>
                <w:highlight w:val="none"/>
              </w:rPr>
            </w:pPr>
          </w:p>
        </w:tc>
        <w:tc>
          <w:tcPr>
            <w:tcW w:w="6664" w:type="dxa"/>
            <w:gridSpan w:val="3"/>
            <w:tcBorders>
              <w:top w:val="single" w:color="auto" w:sz="4" w:space="0"/>
              <w:left w:val="single" w:color="auto" w:sz="4" w:space="0"/>
              <w:bottom w:val="single" w:color="auto" w:sz="4" w:space="0"/>
              <w:right w:val="single" w:color="auto" w:sz="4" w:space="0"/>
            </w:tcBorders>
            <w:vAlign w:val="center"/>
          </w:tcPr>
          <w:p w14:paraId="0464B717">
            <w:pPr>
              <w:widowControl/>
              <w:spacing w:line="360" w:lineRule="exact"/>
              <w:ind w:left="0" w:leftChars="0" w:firstLine="0" w:firstLineChars="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有防台措施，对危树及时采取修枝、加固或申报更换等措施，遇灾害性天气及时组织进行抢扶。</w:t>
            </w:r>
          </w:p>
        </w:tc>
        <w:tc>
          <w:tcPr>
            <w:tcW w:w="830" w:type="dxa"/>
            <w:tcBorders>
              <w:top w:val="single" w:color="auto" w:sz="4" w:space="0"/>
              <w:left w:val="single" w:color="auto" w:sz="4" w:space="0"/>
              <w:bottom w:val="single" w:color="auto" w:sz="4" w:space="0"/>
              <w:right w:val="single" w:color="auto" w:sz="4" w:space="0"/>
            </w:tcBorders>
            <w:vAlign w:val="center"/>
          </w:tcPr>
          <w:p w14:paraId="111C5861">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2.5</w:t>
            </w:r>
          </w:p>
        </w:tc>
        <w:tc>
          <w:tcPr>
            <w:tcW w:w="794" w:type="dxa"/>
            <w:tcBorders>
              <w:top w:val="single" w:color="auto" w:sz="4" w:space="0"/>
              <w:left w:val="single" w:color="auto" w:sz="4" w:space="0"/>
              <w:bottom w:val="single" w:color="auto" w:sz="4" w:space="0"/>
              <w:right w:val="single" w:color="auto" w:sz="4" w:space="0"/>
            </w:tcBorders>
            <w:vAlign w:val="center"/>
          </w:tcPr>
          <w:p w14:paraId="7B5F5D3D">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1FC498C5">
        <w:tblPrEx>
          <w:tblCellMar>
            <w:top w:w="0" w:type="dxa"/>
            <w:left w:w="108" w:type="dxa"/>
            <w:bottom w:w="0" w:type="dxa"/>
            <w:right w:w="108" w:type="dxa"/>
          </w:tblCellMar>
        </w:tblPrEx>
        <w:tc>
          <w:tcPr>
            <w:tcW w:w="751" w:type="dxa"/>
            <w:tcBorders>
              <w:top w:val="single" w:color="auto" w:sz="4" w:space="0"/>
              <w:left w:val="single" w:color="auto" w:sz="4" w:space="0"/>
              <w:bottom w:val="single" w:color="auto" w:sz="4" w:space="0"/>
              <w:right w:val="single" w:color="auto" w:sz="4" w:space="0"/>
            </w:tcBorders>
            <w:vAlign w:val="center"/>
          </w:tcPr>
          <w:p w14:paraId="5F4ACC7F">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17</w:t>
            </w:r>
          </w:p>
        </w:tc>
        <w:tc>
          <w:tcPr>
            <w:tcW w:w="1091" w:type="dxa"/>
            <w:gridSpan w:val="2"/>
            <w:vMerge w:val="continue"/>
            <w:tcBorders>
              <w:top w:val="single" w:color="auto" w:sz="4" w:space="0"/>
              <w:left w:val="nil"/>
              <w:bottom w:val="single" w:color="auto" w:sz="4" w:space="0"/>
              <w:right w:val="single" w:color="000000" w:sz="4" w:space="0"/>
            </w:tcBorders>
            <w:vAlign w:val="center"/>
          </w:tcPr>
          <w:p w14:paraId="506129F1">
            <w:pPr>
              <w:spacing w:line="400" w:lineRule="exact"/>
              <w:jc w:val="center"/>
              <w:rPr>
                <w:rFonts w:hint="default" w:ascii="Times New Roman" w:hAnsi="Times New Roman" w:eastAsia="仿宋_GB2312" w:cs="Times New Roman"/>
                <w:b/>
                <w:bCs/>
                <w:color w:val="auto"/>
                <w:sz w:val="24"/>
                <w:szCs w:val="24"/>
                <w:highlight w:val="none"/>
              </w:rPr>
            </w:pPr>
          </w:p>
        </w:tc>
        <w:tc>
          <w:tcPr>
            <w:tcW w:w="6664" w:type="dxa"/>
            <w:gridSpan w:val="3"/>
            <w:tcBorders>
              <w:top w:val="single" w:color="auto" w:sz="4" w:space="0"/>
              <w:left w:val="single" w:color="auto" w:sz="4" w:space="0"/>
              <w:bottom w:val="single" w:color="auto" w:sz="4" w:space="0"/>
              <w:right w:val="single" w:color="auto" w:sz="4" w:space="0"/>
            </w:tcBorders>
            <w:vAlign w:val="center"/>
          </w:tcPr>
          <w:p w14:paraId="6873B600">
            <w:pPr>
              <w:widowControl/>
              <w:spacing w:line="360" w:lineRule="exact"/>
              <w:ind w:left="0" w:leftChars="0" w:firstLine="0" w:firstLineChars="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加强病虫害的检查防治。</w:t>
            </w:r>
          </w:p>
        </w:tc>
        <w:tc>
          <w:tcPr>
            <w:tcW w:w="830" w:type="dxa"/>
            <w:tcBorders>
              <w:top w:val="single" w:color="auto" w:sz="4" w:space="0"/>
              <w:left w:val="single" w:color="auto" w:sz="4" w:space="0"/>
              <w:bottom w:val="single" w:color="auto" w:sz="4" w:space="0"/>
              <w:right w:val="single" w:color="auto" w:sz="4" w:space="0"/>
            </w:tcBorders>
            <w:vAlign w:val="center"/>
          </w:tcPr>
          <w:p w14:paraId="6D6C8035">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2.5</w:t>
            </w:r>
          </w:p>
        </w:tc>
        <w:tc>
          <w:tcPr>
            <w:tcW w:w="794" w:type="dxa"/>
            <w:tcBorders>
              <w:top w:val="single" w:color="auto" w:sz="4" w:space="0"/>
              <w:left w:val="single" w:color="auto" w:sz="4" w:space="0"/>
              <w:bottom w:val="single" w:color="auto" w:sz="4" w:space="0"/>
              <w:right w:val="single" w:color="auto" w:sz="4" w:space="0"/>
            </w:tcBorders>
            <w:vAlign w:val="center"/>
          </w:tcPr>
          <w:p w14:paraId="71B8E98E">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346A6A7C">
        <w:tblPrEx>
          <w:tblCellMar>
            <w:top w:w="0" w:type="dxa"/>
            <w:left w:w="108" w:type="dxa"/>
            <w:bottom w:w="0" w:type="dxa"/>
            <w:right w:w="108" w:type="dxa"/>
          </w:tblCellMar>
        </w:tblPrEx>
        <w:tc>
          <w:tcPr>
            <w:tcW w:w="751" w:type="dxa"/>
            <w:tcBorders>
              <w:top w:val="single" w:color="auto" w:sz="4" w:space="0"/>
              <w:left w:val="single" w:color="auto" w:sz="4" w:space="0"/>
              <w:bottom w:val="single" w:color="auto" w:sz="4" w:space="0"/>
              <w:right w:val="single" w:color="auto" w:sz="4" w:space="0"/>
            </w:tcBorders>
            <w:vAlign w:val="center"/>
          </w:tcPr>
          <w:p w14:paraId="5DA18F8F">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18</w:t>
            </w:r>
          </w:p>
        </w:tc>
        <w:tc>
          <w:tcPr>
            <w:tcW w:w="1091" w:type="dxa"/>
            <w:gridSpan w:val="2"/>
            <w:vMerge w:val="restart"/>
            <w:tcBorders>
              <w:top w:val="single" w:color="auto" w:sz="4" w:space="0"/>
              <w:left w:val="single" w:color="auto" w:sz="4" w:space="0"/>
              <w:bottom w:val="single" w:color="auto" w:sz="4" w:space="0"/>
              <w:right w:val="single" w:color="auto" w:sz="4" w:space="0"/>
            </w:tcBorders>
            <w:vAlign w:val="center"/>
          </w:tcPr>
          <w:p w14:paraId="405195A9">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保洁员</w:t>
            </w:r>
          </w:p>
          <w:p w14:paraId="351299CF">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c>
          <w:tcPr>
            <w:tcW w:w="6664" w:type="dxa"/>
            <w:gridSpan w:val="3"/>
            <w:tcBorders>
              <w:top w:val="single" w:color="auto" w:sz="4" w:space="0"/>
              <w:left w:val="single" w:color="auto" w:sz="4" w:space="0"/>
              <w:bottom w:val="single" w:color="auto" w:sz="4" w:space="0"/>
              <w:right w:val="single" w:color="auto" w:sz="4" w:space="0"/>
            </w:tcBorders>
            <w:vAlign w:val="center"/>
          </w:tcPr>
          <w:p w14:paraId="2015D833">
            <w:pPr>
              <w:widowControl/>
              <w:spacing w:line="360" w:lineRule="exact"/>
              <w:jc w:val="left"/>
              <w:rPr>
                <w:rFonts w:hint="default" w:ascii="Times New Roman" w:hAnsi="Times New Roman" w:eastAsia="仿宋_GB2312" w:cs="Times New Roman"/>
                <w:color w:val="auto"/>
                <w:kern w:val="0"/>
                <w:sz w:val="24"/>
                <w:szCs w:val="24"/>
                <w:highlight w:val="none"/>
                <w:lang w:bidi="th-TH"/>
              </w:rPr>
            </w:pPr>
            <w:r>
              <w:rPr>
                <w:rFonts w:hint="default" w:ascii="Times New Roman" w:hAnsi="Times New Roman" w:eastAsia="仿宋_GB2312" w:cs="Times New Roman"/>
                <w:color w:val="auto"/>
                <w:kern w:val="0"/>
                <w:sz w:val="24"/>
                <w:szCs w:val="24"/>
                <w:highlight w:val="none"/>
                <w:lang w:bidi="th-TH"/>
              </w:rPr>
              <w:t>校园内无暴露垃圾，道路干净整洁，无果皮、纸屑、废弃物及污水。</w:t>
            </w:r>
          </w:p>
        </w:tc>
        <w:tc>
          <w:tcPr>
            <w:tcW w:w="830" w:type="dxa"/>
            <w:tcBorders>
              <w:top w:val="single" w:color="auto" w:sz="4" w:space="0"/>
              <w:left w:val="single" w:color="auto" w:sz="4" w:space="0"/>
              <w:bottom w:val="single" w:color="auto" w:sz="4" w:space="0"/>
              <w:right w:val="single" w:color="auto" w:sz="4" w:space="0"/>
            </w:tcBorders>
            <w:vAlign w:val="center"/>
          </w:tcPr>
          <w:p w14:paraId="6D102790">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2.5</w:t>
            </w:r>
          </w:p>
        </w:tc>
        <w:tc>
          <w:tcPr>
            <w:tcW w:w="794" w:type="dxa"/>
            <w:tcBorders>
              <w:top w:val="single" w:color="auto" w:sz="4" w:space="0"/>
              <w:left w:val="single" w:color="auto" w:sz="4" w:space="0"/>
              <w:bottom w:val="single" w:color="auto" w:sz="4" w:space="0"/>
              <w:right w:val="single" w:color="auto" w:sz="4" w:space="0"/>
            </w:tcBorders>
            <w:vAlign w:val="center"/>
          </w:tcPr>
          <w:p w14:paraId="18BAA706">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745440E2">
        <w:tblPrEx>
          <w:tblCellMar>
            <w:top w:w="0" w:type="dxa"/>
            <w:left w:w="108" w:type="dxa"/>
            <w:bottom w:w="0" w:type="dxa"/>
            <w:right w:w="108" w:type="dxa"/>
          </w:tblCellMar>
        </w:tblPrEx>
        <w:tc>
          <w:tcPr>
            <w:tcW w:w="751" w:type="dxa"/>
            <w:tcBorders>
              <w:top w:val="single" w:color="auto" w:sz="4" w:space="0"/>
              <w:left w:val="single" w:color="auto" w:sz="4" w:space="0"/>
              <w:bottom w:val="single" w:color="auto" w:sz="4" w:space="0"/>
              <w:right w:val="single" w:color="auto" w:sz="4" w:space="0"/>
            </w:tcBorders>
            <w:vAlign w:val="center"/>
          </w:tcPr>
          <w:p w14:paraId="4EF724A9">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19</w:t>
            </w:r>
          </w:p>
        </w:tc>
        <w:tc>
          <w:tcPr>
            <w:tcW w:w="1091" w:type="dxa"/>
            <w:gridSpan w:val="2"/>
            <w:vMerge w:val="continue"/>
            <w:tcBorders>
              <w:top w:val="single" w:color="auto" w:sz="4" w:space="0"/>
              <w:left w:val="single" w:color="auto" w:sz="4" w:space="0"/>
              <w:right w:val="single" w:color="auto" w:sz="4" w:space="0"/>
            </w:tcBorders>
            <w:vAlign w:val="center"/>
          </w:tcPr>
          <w:p w14:paraId="7E661227">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c>
          <w:tcPr>
            <w:tcW w:w="6664" w:type="dxa"/>
            <w:gridSpan w:val="3"/>
            <w:tcBorders>
              <w:top w:val="single" w:color="auto" w:sz="4" w:space="0"/>
              <w:left w:val="single" w:color="auto" w:sz="4" w:space="0"/>
              <w:bottom w:val="single" w:color="auto" w:sz="4" w:space="0"/>
              <w:right w:val="single" w:color="auto" w:sz="4" w:space="0"/>
            </w:tcBorders>
            <w:vAlign w:val="center"/>
          </w:tcPr>
          <w:p w14:paraId="4CEDA887">
            <w:pPr>
              <w:widowControl/>
              <w:spacing w:line="360" w:lineRule="exact"/>
              <w:jc w:val="left"/>
              <w:rPr>
                <w:rFonts w:hint="default" w:ascii="Times New Roman" w:hAnsi="Times New Roman" w:eastAsia="仿宋_GB2312" w:cs="Times New Roman"/>
                <w:color w:val="auto"/>
                <w:kern w:val="0"/>
                <w:sz w:val="24"/>
                <w:szCs w:val="24"/>
                <w:highlight w:val="none"/>
                <w:lang w:bidi="th-TH"/>
              </w:rPr>
            </w:pPr>
            <w:r>
              <w:rPr>
                <w:rFonts w:hint="default" w:ascii="Times New Roman" w:hAnsi="Times New Roman" w:eastAsia="仿宋_GB2312" w:cs="Times New Roman"/>
                <w:color w:val="auto"/>
                <w:kern w:val="0"/>
                <w:sz w:val="24"/>
                <w:szCs w:val="24"/>
                <w:highlight w:val="none"/>
                <w:lang w:bidi="th-TH"/>
              </w:rPr>
              <w:t>绿化带内干净、整洁、无白色垃圾。</w:t>
            </w:r>
          </w:p>
        </w:tc>
        <w:tc>
          <w:tcPr>
            <w:tcW w:w="830" w:type="dxa"/>
            <w:tcBorders>
              <w:top w:val="single" w:color="auto" w:sz="4" w:space="0"/>
              <w:left w:val="single" w:color="auto" w:sz="4" w:space="0"/>
              <w:bottom w:val="single" w:color="auto" w:sz="4" w:space="0"/>
              <w:right w:val="single" w:color="auto" w:sz="4" w:space="0"/>
            </w:tcBorders>
            <w:vAlign w:val="center"/>
          </w:tcPr>
          <w:p w14:paraId="1CB2CD95">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2.5</w:t>
            </w:r>
          </w:p>
        </w:tc>
        <w:tc>
          <w:tcPr>
            <w:tcW w:w="794" w:type="dxa"/>
            <w:tcBorders>
              <w:top w:val="single" w:color="auto" w:sz="4" w:space="0"/>
              <w:left w:val="single" w:color="auto" w:sz="4" w:space="0"/>
              <w:bottom w:val="single" w:color="auto" w:sz="4" w:space="0"/>
              <w:right w:val="single" w:color="auto" w:sz="4" w:space="0"/>
            </w:tcBorders>
            <w:vAlign w:val="center"/>
          </w:tcPr>
          <w:p w14:paraId="28BCADA9">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2B301BE6">
        <w:tblPrEx>
          <w:tblCellMar>
            <w:top w:w="0" w:type="dxa"/>
            <w:left w:w="108" w:type="dxa"/>
            <w:bottom w:w="0" w:type="dxa"/>
            <w:right w:w="108" w:type="dxa"/>
          </w:tblCellMar>
        </w:tblPrEx>
        <w:tc>
          <w:tcPr>
            <w:tcW w:w="751" w:type="dxa"/>
            <w:tcBorders>
              <w:top w:val="single" w:color="auto" w:sz="4" w:space="0"/>
              <w:left w:val="single" w:color="auto" w:sz="4" w:space="0"/>
              <w:bottom w:val="single" w:color="auto" w:sz="4" w:space="0"/>
              <w:right w:val="single" w:color="auto" w:sz="4" w:space="0"/>
            </w:tcBorders>
            <w:vAlign w:val="center"/>
          </w:tcPr>
          <w:p w14:paraId="11537AA7">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20</w:t>
            </w:r>
          </w:p>
        </w:tc>
        <w:tc>
          <w:tcPr>
            <w:tcW w:w="1091" w:type="dxa"/>
            <w:gridSpan w:val="2"/>
            <w:vMerge w:val="continue"/>
            <w:tcBorders>
              <w:top w:val="single" w:color="auto" w:sz="4" w:space="0"/>
              <w:left w:val="single" w:color="auto" w:sz="4" w:space="0"/>
              <w:right w:val="single" w:color="auto" w:sz="4" w:space="0"/>
            </w:tcBorders>
            <w:vAlign w:val="center"/>
          </w:tcPr>
          <w:p w14:paraId="71D52FC6">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c>
          <w:tcPr>
            <w:tcW w:w="6664" w:type="dxa"/>
            <w:gridSpan w:val="3"/>
            <w:tcBorders>
              <w:top w:val="single" w:color="auto" w:sz="4" w:space="0"/>
              <w:left w:val="single" w:color="auto" w:sz="4" w:space="0"/>
              <w:bottom w:val="single" w:color="auto" w:sz="4" w:space="0"/>
              <w:right w:val="single" w:color="auto" w:sz="4" w:space="0"/>
            </w:tcBorders>
            <w:vAlign w:val="center"/>
          </w:tcPr>
          <w:p w14:paraId="3630C31D">
            <w:pPr>
              <w:widowControl/>
              <w:spacing w:line="360" w:lineRule="exact"/>
              <w:jc w:val="left"/>
              <w:rPr>
                <w:rFonts w:hint="default" w:ascii="Times New Roman" w:hAnsi="Times New Roman" w:eastAsia="仿宋_GB2312" w:cs="Times New Roman"/>
                <w:color w:val="auto"/>
                <w:kern w:val="0"/>
                <w:sz w:val="24"/>
                <w:szCs w:val="24"/>
                <w:highlight w:val="none"/>
                <w:lang w:bidi="th-TH"/>
              </w:rPr>
            </w:pPr>
            <w:r>
              <w:rPr>
                <w:rFonts w:hint="default" w:ascii="Times New Roman" w:hAnsi="Times New Roman" w:eastAsia="仿宋_GB2312" w:cs="Times New Roman"/>
                <w:color w:val="auto"/>
                <w:kern w:val="0"/>
                <w:sz w:val="24"/>
                <w:szCs w:val="24"/>
                <w:highlight w:val="none"/>
                <w:lang w:bidi="th-TH"/>
              </w:rPr>
              <w:t>建筑物公共区域内门、窗干净，窗台板整洁，无灰尘，墙壁、天棚无积尘、蜘蛛网、污渍，无乱张贴乱悬挂。</w:t>
            </w:r>
          </w:p>
        </w:tc>
        <w:tc>
          <w:tcPr>
            <w:tcW w:w="830" w:type="dxa"/>
            <w:tcBorders>
              <w:top w:val="single" w:color="auto" w:sz="4" w:space="0"/>
              <w:left w:val="single" w:color="auto" w:sz="4" w:space="0"/>
              <w:bottom w:val="single" w:color="auto" w:sz="4" w:space="0"/>
              <w:right w:val="single" w:color="auto" w:sz="4" w:space="0"/>
            </w:tcBorders>
            <w:vAlign w:val="center"/>
          </w:tcPr>
          <w:p w14:paraId="3B1C5F34">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2.5</w:t>
            </w:r>
          </w:p>
        </w:tc>
        <w:tc>
          <w:tcPr>
            <w:tcW w:w="794" w:type="dxa"/>
            <w:tcBorders>
              <w:top w:val="single" w:color="auto" w:sz="4" w:space="0"/>
              <w:left w:val="single" w:color="auto" w:sz="4" w:space="0"/>
              <w:bottom w:val="single" w:color="auto" w:sz="4" w:space="0"/>
              <w:right w:val="single" w:color="auto" w:sz="4" w:space="0"/>
            </w:tcBorders>
            <w:vAlign w:val="center"/>
          </w:tcPr>
          <w:p w14:paraId="0598A8AE">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6BA150B4">
        <w:tblPrEx>
          <w:tblCellMar>
            <w:top w:w="0" w:type="dxa"/>
            <w:left w:w="108" w:type="dxa"/>
            <w:bottom w:w="0" w:type="dxa"/>
            <w:right w:w="108" w:type="dxa"/>
          </w:tblCellMar>
        </w:tblPrEx>
        <w:tc>
          <w:tcPr>
            <w:tcW w:w="751" w:type="dxa"/>
            <w:tcBorders>
              <w:top w:val="single" w:color="auto" w:sz="4" w:space="0"/>
              <w:left w:val="single" w:color="auto" w:sz="4" w:space="0"/>
              <w:bottom w:val="single" w:color="auto" w:sz="4" w:space="0"/>
              <w:right w:val="single" w:color="auto" w:sz="4" w:space="0"/>
            </w:tcBorders>
            <w:vAlign w:val="center"/>
          </w:tcPr>
          <w:p w14:paraId="22FE0367">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21</w:t>
            </w:r>
          </w:p>
        </w:tc>
        <w:tc>
          <w:tcPr>
            <w:tcW w:w="1091" w:type="dxa"/>
            <w:gridSpan w:val="2"/>
            <w:vMerge w:val="continue"/>
            <w:tcBorders>
              <w:left w:val="single" w:color="auto" w:sz="4" w:space="0"/>
              <w:right w:val="single" w:color="auto" w:sz="4" w:space="0"/>
            </w:tcBorders>
            <w:vAlign w:val="center"/>
          </w:tcPr>
          <w:p w14:paraId="715C9DA1">
            <w:pPr>
              <w:spacing w:line="400" w:lineRule="exact"/>
              <w:jc w:val="center"/>
              <w:rPr>
                <w:rFonts w:hint="default" w:ascii="Times New Roman" w:hAnsi="Times New Roman" w:eastAsia="仿宋_GB2312" w:cs="Times New Roman"/>
                <w:b/>
                <w:bCs/>
                <w:color w:val="auto"/>
                <w:sz w:val="24"/>
                <w:szCs w:val="24"/>
                <w:highlight w:val="none"/>
              </w:rPr>
            </w:pPr>
          </w:p>
        </w:tc>
        <w:tc>
          <w:tcPr>
            <w:tcW w:w="6664" w:type="dxa"/>
            <w:gridSpan w:val="3"/>
            <w:tcBorders>
              <w:top w:val="single" w:color="auto" w:sz="4" w:space="0"/>
              <w:left w:val="single" w:color="auto" w:sz="4" w:space="0"/>
              <w:bottom w:val="single" w:color="auto" w:sz="4" w:space="0"/>
              <w:right w:val="single" w:color="auto" w:sz="4" w:space="0"/>
            </w:tcBorders>
            <w:vAlign w:val="center"/>
          </w:tcPr>
          <w:p w14:paraId="4CC63827">
            <w:pPr>
              <w:widowControl/>
              <w:spacing w:line="360" w:lineRule="exact"/>
              <w:jc w:val="left"/>
              <w:rPr>
                <w:rFonts w:hint="default" w:ascii="Times New Roman" w:hAnsi="Times New Roman" w:eastAsia="仿宋_GB2312" w:cs="Times New Roman"/>
                <w:color w:val="auto"/>
                <w:kern w:val="0"/>
                <w:sz w:val="24"/>
                <w:szCs w:val="24"/>
                <w:highlight w:val="none"/>
                <w:lang w:bidi="th-TH"/>
              </w:rPr>
            </w:pPr>
            <w:r>
              <w:rPr>
                <w:rFonts w:hint="default" w:ascii="Times New Roman" w:hAnsi="Times New Roman" w:eastAsia="仿宋_GB2312" w:cs="Times New Roman"/>
                <w:color w:val="auto"/>
                <w:kern w:val="0"/>
                <w:sz w:val="24"/>
                <w:szCs w:val="24"/>
                <w:highlight w:val="none"/>
                <w:lang w:bidi="th-TH"/>
              </w:rPr>
              <w:t>卫生间无积水、痰迹、异味，便器无堵塞、污垢，拖把池干净、整洁、无污迹。</w:t>
            </w:r>
          </w:p>
        </w:tc>
        <w:tc>
          <w:tcPr>
            <w:tcW w:w="830" w:type="dxa"/>
            <w:tcBorders>
              <w:top w:val="single" w:color="auto" w:sz="4" w:space="0"/>
              <w:left w:val="single" w:color="auto" w:sz="4" w:space="0"/>
              <w:bottom w:val="single" w:color="auto" w:sz="4" w:space="0"/>
              <w:right w:val="single" w:color="auto" w:sz="4" w:space="0"/>
            </w:tcBorders>
            <w:vAlign w:val="center"/>
          </w:tcPr>
          <w:p w14:paraId="0ED37581">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2.5</w:t>
            </w:r>
          </w:p>
        </w:tc>
        <w:tc>
          <w:tcPr>
            <w:tcW w:w="794" w:type="dxa"/>
            <w:tcBorders>
              <w:top w:val="single" w:color="auto" w:sz="4" w:space="0"/>
              <w:left w:val="single" w:color="auto" w:sz="4" w:space="0"/>
              <w:bottom w:val="single" w:color="auto" w:sz="4" w:space="0"/>
              <w:right w:val="single" w:color="auto" w:sz="4" w:space="0"/>
            </w:tcBorders>
            <w:vAlign w:val="center"/>
          </w:tcPr>
          <w:p w14:paraId="49127960">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7495D332">
        <w:tblPrEx>
          <w:tblCellMar>
            <w:top w:w="0" w:type="dxa"/>
            <w:left w:w="108" w:type="dxa"/>
            <w:bottom w:w="0" w:type="dxa"/>
            <w:right w:w="108" w:type="dxa"/>
          </w:tblCellMar>
        </w:tblPrEx>
        <w:tc>
          <w:tcPr>
            <w:tcW w:w="751" w:type="dxa"/>
            <w:tcBorders>
              <w:top w:val="single" w:color="auto" w:sz="4" w:space="0"/>
              <w:left w:val="single" w:color="auto" w:sz="4" w:space="0"/>
              <w:bottom w:val="single" w:color="auto" w:sz="4" w:space="0"/>
              <w:right w:val="single" w:color="auto" w:sz="4" w:space="0"/>
            </w:tcBorders>
            <w:vAlign w:val="center"/>
          </w:tcPr>
          <w:p w14:paraId="304AC077">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22</w:t>
            </w:r>
          </w:p>
        </w:tc>
        <w:tc>
          <w:tcPr>
            <w:tcW w:w="1091" w:type="dxa"/>
            <w:gridSpan w:val="2"/>
            <w:vMerge w:val="continue"/>
            <w:tcBorders>
              <w:left w:val="single" w:color="auto" w:sz="4" w:space="0"/>
              <w:right w:val="single" w:color="auto" w:sz="4" w:space="0"/>
            </w:tcBorders>
            <w:vAlign w:val="center"/>
          </w:tcPr>
          <w:p w14:paraId="52372605">
            <w:pPr>
              <w:spacing w:line="400" w:lineRule="exact"/>
              <w:jc w:val="center"/>
              <w:rPr>
                <w:rFonts w:hint="default" w:ascii="Times New Roman" w:hAnsi="Times New Roman" w:eastAsia="仿宋_GB2312" w:cs="Times New Roman"/>
                <w:b/>
                <w:bCs/>
                <w:color w:val="auto"/>
                <w:sz w:val="24"/>
                <w:szCs w:val="24"/>
                <w:highlight w:val="none"/>
              </w:rPr>
            </w:pPr>
          </w:p>
        </w:tc>
        <w:tc>
          <w:tcPr>
            <w:tcW w:w="6664" w:type="dxa"/>
            <w:gridSpan w:val="3"/>
            <w:tcBorders>
              <w:top w:val="single" w:color="auto" w:sz="4" w:space="0"/>
              <w:left w:val="single" w:color="auto" w:sz="4" w:space="0"/>
              <w:bottom w:val="single" w:color="auto" w:sz="4" w:space="0"/>
              <w:right w:val="single" w:color="auto" w:sz="4" w:space="0"/>
            </w:tcBorders>
            <w:vAlign w:val="center"/>
          </w:tcPr>
          <w:p w14:paraId="4DDA5B56">
            <w:pPr>
              <w:widowControl/>
              <w:spacing w:line="360" w:lineRule="exact"/>
              <w:jc w:val="left"/>
              <w:rPr>
                <w:rFonts w:hint="default" w:ascii="Times New Roman" w:hAnsi="Times New Roman" w:eastAsia="仿宋_GB2312" w:cs="Times New Roman"/>
                <w:color w:val="auto"/>
                <w:kern w:val="0"/>
                <w:sz w:val="24"/>
                <w:szCs w:val="24"/>
                <w:highlight w:val="none"/>
                <w:lang w:bidi="th-TH"/>
              </w:rPr>
            </w:pPr>
            <w:r>
              <w:rPr>
                <w:rFonts w:hint="default" w:ascii="Times New Roman" w:hAnsi="Times New Roman" w:eastAsia="仿宋_GB2312" w:cs="Times New Roman"/>
                <w:color w:val="auto"/>
                <w:kern w:val="0"/>
                <w:sz w:val="24"/>
                <w:szCs w:val="24"/>
                <w:highlight w:val="none"/>
                <w:lang w:bidi="th-TH"/>
              </w:rPr>
              <w:t>门、开关面板、消防器材箱〔管〕、宣传板及管道无灰尘、污渍、蜘蛛网，无乱贴乱挂宣传品及广告。</w:t>
            </w:r>
          </w:p>
        </w:tc>
        <w:tc>
          <w:tcPr>
            <w:tcW w:w="830" w:type="dxa"/>
            <w:tcBorders>
              <w:top w:val="single" w:color="auto" w:sz="4" w:space="0"/>
              <w:left w:val="single" w:color="auto" w:sz="4" w:space="0"/>
              <w:bottom w:val="single" w:color="auto" w:sz="4" w:space="0"/>
              <w:right w:val="single" w:color="auto" w:sz="4" w:space="0"/>
            </w:tcBorders>
            <w:vAlign w:val="center"/>
          </w:tcPr>
          <w:p w14:paraId="2046F19F">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2.5</w:t>
            </w:r>
          </w:p>
        </w:tc>
        <w:tc>
          <w:tcPr>
            <w:tcW w:w="794" w:type="dxa"/>
            <w:tcBorders>
              <w:top w:val="single" w:color="auto" w:sz="4" w:space="0"/>
              <w:left w:val="single" w:color="auto" w:sz="4" w:space="0"/>
              <w:bottom w:val="single" w:color="auto" w:sz="4" w:space="0"/>
              <w:right w:val="single" w:color="auto" w:sz="4" w:space="0"/>
            </w:tcBorders>
            <w:vAlign w:val="center"/>
          </w:tcPr>
          <w:p w14:paraId="0CF530AF">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3DFB8DDD">
        <w:tblPrEx>
          <w:tblCellMar>
            <w:top w:w="0" w:type="dxa"/>
            <w:left w:w="108" w:type="dxa"/>
            <w:bottom w:w="0" w:type="dxa"/>
            <w:right w:w="108" w:type="dxa"/>
          </w:tblCellMar>
        </w:tblPrEx>
        <w:tc>
          <w:tcPr>
            <w:tcW w:w="751" w:type="dxa"/>
            <w:tcBorders>
              <w:top w:val="single" w:color="auto" w:sz="4" w:space="0"/>
              <w:left w:val="single" w:color="auto" w:sz="4" w:space="0"/>
              <w:bottom w:val="single" w:color="auto" w:sz="4" w:space="0"/>
              <w:right w:val="single" w:color="auto" w:sz="4" w:space="0"/>
            </w:tcBorders>
            <w:vAlign w:val="center"/>
          </w:tcPr>
          <w:p w14:paraId="3623475D">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23</w:t>
            </w:r>
          </w:p>
        </w:tc>
        <w:tc>
          <w:tcPr>
            <w:tcW w:w="1091" w:type="dxa"/>
            <w:gridSpan w:val="2"/>
            <w:vMerge w:val="continue"/>
            <w:tcBorders>
              <w:left w:val="single" w:color="auto" w:sz="4" w:space="0"/>
              <w:right w:val="single" w:color="auto" w:sz="4" w:space="0"/>
            </w:tcBorders>
            <w:vAlign w:val="center"/>
          </w:tcPr>
          <w:p w14:paraId="0CAFD55A">
            <w:pPr>
              <w:spacing w:line="400" w:lineRule="exact"/>
              <w:jc w:val="center"/>
              <w:rPr>
                <w:rFonts w:hint="default" w:ascii="Times New Roman" w:hAnsi="Times New Roman" w:eastAsia="仿宋_GB2312" w:cs="Times New Roman"/>
                <w:b/>
                <w:bCs/>
                <w:color w:val="auto"/>
                <w:sz w:val="24"/>
                <w:szCs w:val="24"/>
                <w:highlight w:val="none"/>
              </w:rPr>
            </w:pPr>
          </w:p>
        </w:tc>
        <w:tc>
          <w:tcPr>
            <w:tcW w:w="6664" w:type="dxa"/>
            <w:gridSpan w:val="3"/>
            <w:tcBorders>
              <w:top w:val="single" w:color="auto" w:sz="4" w:space="0"/>
              <w:left w:val="single" w:color="auto" w:sz="4" w:space="0"/>
              <w:bottom w:val="single" w:color="auto" w:sz="4" w:space="0"/>
              <w:right w:val="single" w:color="auto" w:sz="4" w:space="0"/>
            </w:tcBorders>
            <w:vAlign w:val="center"/>
          </w:tcPr>
          <w:p w14:paraId="297273BC">
            <w:pPr>
              <w:widowControl/>
              <w:spacing w:line="360" w:lineRule="exact"/>
              <w:jc w:val="left"/>
              <w:rPr>
                <w:rFonts w:hint="default" w:ascii="Times New Roman" w:hAnsi="Times New Roman" w:eastAsia="仿宋_GB2312" w:cs="Times New Roman"/>
                <w:color w:val="auto"/>
                <w:kern w:val="0"/>
                <w:sz w:val="24"/>
                <w:szCs w:val="24"/>
                <w:highlight w:val="none"/>
                <w:lang w:bidi="th-TH"/>
              </w:rPr>
            </w:pPr>
            <w:r>
              <w:rPr>
                <w:rFonts w:hint="default" w:ascii="Times New Roman" w:hAnsi="Times New Roman" w:eastAsia="仿宋_GB2312" w:cs="Times New Roman"/>
                <w:color w:val="auto"/>
                <w:kern w:val="0"/>
                <w:sz w:val="24"/>
                <w:szCs w:val="24"/>
                <w:highlight w:val="none"/>
                <w:lang w:bidi="th-TH"/>
              </w:rPr>
              <w:t>垃圾房、垃圾桶内垃圾清运及时，垃圾桶干净整洁，校园内无卫生死角。</w:t>
            </w:r>
          </w:p>
        </w:tc>
        <w:tc>
          <w:tcPr>
            <w:tcW w:w="830" w:type="dxa"/>
            <w:tcBorders>
              <w:top w:val="single" w:color="auto" w:sz="4" w:space="0"/>
              <w:left w:val="single" w:color="auto" w:sz="4" w:space="0"/>
              <w:bottom w:val="single" w:color="auto" w:sz="4" w:space="0"/>
              <w:right w:val="single" w:color="auto" w:sz="4" w:space="0"/>
            </w:tcBorders>
            <w:vAlign w:val="center"/>
          </w:tcPr>
          <w:p w14:paraId="7ED3988A">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2.5</w:t>
            </w:r>
          </w:p>
        </w:tc>
        <w:tc>
          <w:tcPr>
            <w:tcW w:w="794" w:type="dxa"/>
            <w:tcBorders>
              <w:top w:val="single" w:color="auto" w:sz="4" w:space="0"/>
              <w:left w:val="single" w:color="auto" w:sz="4" w:space="0"/>
              <w:bottom w:val="single" w:color="auto" w:sz="4" w:space="0"/>
              <w:right w:val="single" w:color="auto" w:sz="4" w:space="0"/>
            </w:tcBorders>
            <w:vAlign w:val="center"/>
          </w:tcPr>
          <w:p w14:paraId="36FB6C32">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5A81C2B2">
        <w:tblPrEx>
          <w:tblCellMar>
            <w:top w:w="0" w:type="dxa"/>
            <w:left w:w="108" w:type="dxa"/>
            <w:bottom w:w="0" w:type="dxa"/>
            <w:right w:w="108" w:type="dxa"/>
          </w:tblCellMar>
        </w:tblPrEx>
        <w:tc>
          <w:tcPr>
            <w:tcW w:w="751" w:type="dxa"/>
            <w:tcBorders>
              <w:top w:val="single" w:color="auto" w:sz="4" w:space="0"/>
              <w:left w:val="single" w:color="auto" w:sz="4" w:space="0"/>
              <w:bottom w:val="single" w:color="auto" w:sz="4" w:space="0"/>
              <w:right w:val="single" w:color="auto" w:sz="4" w:space="0"/>
            </w:tcBorders>
            <w:vAlign w:val="center"/>
          </w:tcPr>
          <w:p w14:paraId="3B64EBE0">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24</w:t>
            </w:r>
          </w:p>
        </w:tc>
        <w:tc>
          <w:tcPr>
            <w:tcW w:w="1091" w:type="dxa"/>
            <w:gridSpan w:val="2"/>
            <w:vMerge w:val="continue"/>
            <w:tcBorders>
              <w:left w:val="single" w:color="auto" w:sz="4" w:space="0"/>
              <w:right w:val="single" w:color="auto" w:sz="4" w:space="0"/>
            </w:tcBorders>
            <w:vAlign w:val="center"/>
          </w:tcPr>
          <w:p w14:paraId="12BC9650">
            <w:pPr>
              <w:spacing w:line="400" w:lineRule="exact"/>
              <w:jc w:val="center"/>
              <w:rPr>
                <w:rFonts w:hint="default" w:ascii="Times New Roman" w:hAnsi="Times New Roman" w:eastAsia="仿宋_GB2312" w:cs="Times New Roman"/>
                <w:b/>
                <w:bCs/>
                <w:color w:val="auto"/>
                <w:sz w:val="24"/>
                <w:szCs w:val="24"/>
                <w:highlight w:val="none"/>
              </w:rPr>
            </w:pPr>
          </w:p>
        </w:tc>
        <w:tc>
          <w:tcPr>
            <w:tcW w:w="6664" w:type="dxa"/>
            <w:gridSpan w:val="3"/>
            <w:tcBorders>
              <w:top w:val="single" w:color="auto" w:sz="4" w:space="0"/>
              <w:left w:val="single" w:color="auto" w:sz="4" w:space="0"/>
              <w:bottom w:val="single" w:color="auto" w:sz="4" w:space="0"/>
              <w:right w:val="single" w:color="auto" w:sz="4" w:space="0"/>
            </w:tcBorders>
            <w:vAlign w:val="center"/>
          </w:tcPr>
          <w:p w14:paraId="10F19D2F">
            <w:pPr>
              <w:widowControl/>
              <w:spacing w:line="360" w:lineRule="exact"/>
              <w:jc w:val="left"/>
              <w:rPr>
                <w:rFonts w:hint="default" w:ascii="Times New Roman" w:hAnsi="Times New Roman" w:eastAsia="仿宋_GB2312" w:cs="Times New Roman"/>
                <w:color w:val="auto"/>
                <w:kern w:val="0"/>
                <w:sz w:val="24"/>
                <w:szCs w:val="24"/>
                <w:highlight w:val="none"/>
                <w:lang w:bidi="th-TH"/>
              </w:rPr>
            </w:pPr>
            <w:r>
              <w:rPr>
                <w:rFonts w:hint="default" w:ascii="Times New Roman" w:hAnsi="Times New Roman" w:eastAsia="仿宋_GB2312" w:cs="Times New Roman"/>
                <w:color w:val="auto"/>
                <w:kern w:val="0"/>
                <w:sz w:val="24"/>
                <w:szCs w:val="24"/>
                <w:highlight w:val="none"/>
                <w:lang w:bidi="th-TH"/>
              </w:rPr>
              <w:t>楼内大厅、走廊、楼梯、踢脚线光洁，无垃圾、灰尘、污渍，砖缝无积垢，地面无积水。</w:t>
            </w:r>
          </w:p>
        </w:tc>
        <w:tc>
          <w:tcPr>
            <w:tcW w:w="830" w:type="dxa"/>
            <w:tcBorders>
              <w:top w:val="single" w:color="auto" w:sz="4" w:space="0"/>
              <w:left w:val="single" w:color="auto" w:sz="4" w:space="0"/>
              <w:bottom w:val="single" w:color="auto" w:sz="4" w:space="0"/>
              <w:right w:val="single" w:color="auto" w:sz="4" w:space="0"/>
            </w:tcBorders>
            <w:vAlign w:val="center"/>
          </w:tcPr>
          <w:p w14:paraId="4672FB3E">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2.5</w:t>
            </w:r>
          </w:p>
        </w:tc>
        <w:tc>
          <w:tcPr>
            <w:tcW w:w="794" w:type="dxa"/>
            <w:tcBorders>
              <w:top w:val="single" w:color="auto" w:sz="4" w:space="0"/>
              <w:left w:val="single" w:color="auto" w:sz="4" w:space="0"/>
              <w:bottom w:val="single" w:color="auto" w:sz="4" w:space="0"/>
              <w:right w:val="single" w:color="auto" w:sz="4" w:space="0"/>
            </w:tcBorders>
            <w:vAlign w:val="center"/>
          </w:tcPr>
          <w:p w14:paraId="0870B01A">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4B5550BC">
        <w:tblPrEx>
          <w:tblCellMar>
            <w:top w:w="0" w:type="dxa"/>
            <w:left w:w="108" w:type="dxa"/>
            <w:bottom w:w="0" w:type="dxa"/>
            <w:right w:w="108" w:type="dxa"/>
          </w:tblCellMar>
        </w:tblPrEx>
        <w:trPr>
          <w:trHeight w:val="227" w:hRule="atLeast"/>
        </w:trPr>
        <w:tc>
          <w:tcPr>
            <w:tcW w:w="751" w:type="dxa"/>
            <w:tcBorders>
              <w:top w:val="single" w:color="auto" w:sz="4" w:space="0"/>
              <w:left w:val="single" w:color="auto" w:sz="4" w:space="0"/>
              <w:bottom w:val="single" w:color="auto" w:sz="4" w:space="0"/>
              <w:right w:val="single" w:color="auto" w:sz="4" w:space="0"/>
            </w:tcBorders>
            <w:vAlign w:val="center"/>
          </w:tcPr>
          <w:p w14:paraId="27EB00D0">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25</w:t>
            </w:r>
          </w:p>
        </w:tc>
        <w:tc>
          <w:tcPr>
            <w:tcW w:w="1091" w:type="dxa"/>
            <w:gridSpan w:val="2"/>
            <w:vMerge w:val="continue"/>
            <w:tcBorders>
              <w:left w:val="single" w:color="auto" w:sz="4" w:space="0"/>
              <w:right w:val="single" w:color="auto" w:sz="4" w:space="0"/>
            </w:tcBorders>
            <w:vAlign w:val="center"/>
          </w:tcPr>
          <w:p w14:paraId="42A0EBF2">
            <w:pPr>
              <w:spacing w:line="400" w:lineRule="exact"/>
              <w:jc w:val="center"/>
              <w:rPr>
                <w:rFonts w:hint="default" w:ascii="Times New Roman" w:hAnsi="Times New Roman" w:eastAsia="仿宋_GB2312" w:cs="Times New Roman"/>
                <w:b/>
                <w:bCs/>
                <w:color w:val="auto"/>
                <w:sz w:val="24"/>
                <w:szCs w:val="24"/>
                <w:highlight w:val="none"/>
              </w:rPr>
            </w:pPr>
          </w:p>
        </w:tc>
        <w:tc>
          <w:tcPr>
            <w:tcW w:w="6664" w:type="dxa"/>
            <w:gridSpan w:val="3"/>
            <w:tcBorders>
              <w:top w:val="single" w:color="auto" w:sz="4" w:space="0"/>
              <w:left w:val="single" w:color="auto" w:sz="4" w:space="0"/>
              <w:bottom w:val="single" w:color="auto" w:sz="4" w:space="0"/>
              <w:right w:val="single" w:color="auto" w:sz="4" w:space="0"/>
            </w:tcBorders>
            <w:vAlign w:val="center"/>
          </w:tcPr>
          <w:p w14:paraId="2B02BB39">
            <w:pPr>
              <w:widowControl/>
              <w:spacing w:line="360" w:lineRule="exact"/>
              <w:jc w:val="left"/>
              <w:rPr>
                <w:rFonts w:hint="default" w:ascii="Times New Roman" w:hAnsi="Times New Roman" w:eastAsia="仿宋_GB2312" w:cs="Times New Roman"/>
                <w:color w:val="auto"/>
                <w:kern w:val="0"/>
                <w:sz w:val="24"/>
                <w:szCs w:val="24"/>
                <w:highlight w:val="none"/>
                <w:lang w:bidi="th-TH"/>
              </w:rPr>
            </w:pPr>
            <w:r>
              <w:rPr>
                <w:rFonts w:hint="default" w:ascii="Times New Roman" w:hAnsi="Times New Roman" w:eastAsia="仿宋_GB2312" w:cs="Times New Roman"/>
                <w:color w:val="auto"/>
                <w:kern w:val="0"/>
                <w:sz w:val="24"/>
                <w:szCs w:val="24"/>
                <w:highlight w:val="none"/>
                <w:lang w:bidi="th-TH"/>
              </w:rPr>
              <w:t>走廊、楼道、校园路灯等灯具外表无灰尘、蜘蛛网。</w:t>
            </w:r>
          </w:p>
        </w:tc>
        <w:tc>
          <w:tcPr>
            <w:tcW w:w="830" w:type="dxa"/>
            <w:tcBorders>
              <w:top w:val="single" w:color="auto" w:sz="4" w:space="0"/>
              <w:left w:val="single" w:color="auto" w:sz="4" w:space="0"/>
              <w:bottom w:val="single" w:color="auto" w:sz="4" w:space="0"/>
              <w:right w:val="single" w:color="auto" w:sz="4" w:space="0"/>
            </w:tcBorders>
            <w:vAlign w:val="center"/>
          </w:tcPr>
          <w:p w14:paraId="473A2F65">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2.5</w:t>
            </w:r>
          </w:p>
        </w:tc>
        <w:tc>
          <w:tcPr>
            <w:tcW w:w="794" w:type="dxa"/>
            <w:tcBorders>
              <w:top w:val="single" w:color="auto" w:sz="4" w:space="0"/>
              <w:left w:val="single" w:color="auto" w:sz="4" w:space="0"/>
              <w:bottom w:val="single" w:color="auto" w:sz="4" w:space="0"/>
              <w:right w:val="single" w:color="auto" w:sz="4" w:space="0"/>
            </w:tcBorders>
            <w:vAlign w:val="center"/>
          </w:tcPr>
          <w:p w14:paraId="1779EB96">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671EE3B7">
        <w:tblPrEx>
          <w:tblCellMar>
            <w:top w:w="0" w:type="dxa"/>
            <w:left w:w="108" w:type="dxa"/>
            <w:bottom w:w="0" w:type="dxa"/>
            <w:right w:w="108" w:type="dxa"/>
          </w:tblCellMar>
        </w:tblPrEx>
        <w:trPr>
          <w:trHeight w:val="227" w:hRule="atLeast"/>
        </w:trPr>
        <w:tc>
          <w:tcPr>
            <w:tcW w:w="751" w:type="dxa"/>
            <w:tcBorders>
              <w:top w:val="single" w:color="auto" w:sz="4" w:space="0"/>
              <w:left w:val="single" w:color="auto" w:sz="4" w:space="0"/>
              <w:bottom w:val="single" w:color="auto" w:sz="4" w:space="0"/>
              <w:right w:val="single" w:color="auto" w:sz="4" w:space="0"/>
            </w:tcBorders>
            <w:vAlign w:val="center"/>
          </w:tcPr>
          <w:p w14:paraId="40CD4B96">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26</w:t>
            </w:r>
          </w:p>
        </w:tc>
        <w:tc>
          <w:tcPr>
            <w:tcW w:w="1091" w:type="dxa"/>
            <w:gridSpan w:val="2"/>
            <w:vMerge w:val="continue"/>
            <w:tcBorders>
              <w:left w:val="single" w:color="auto" w:sz="4" w:space="0"/>
              <w:right w:val="single" w:color="auto" w:sz="4" w:space="0"/>
            </w:tcBorders>
            <w:vAlign w:val="center"/>
          </w:tcPr>
          <w:p w14:paraId="589F6966">
            <w:pPr>
              <w:spacing w:line="400" w:lineRule="exact"/>
              <w:jc w:val="center"/>
              <w:rPr>
                <w:rFonts w:hint="default" w:ascii="Times New Roman" w:hAnsi="Times New Roman" w:eastAsia="仿宋_GB2312" w:cs="Times New Roman"/>
                <w:b/>
                <w:bCs/>
                <w:color w:val="auto"/>
                <w:sz w:val="24"/>
                <w:szCs w:val="24"/>
                <w:highlight w:val="none"/>
              </w:rPr>
            </w:pPr>
          </w:p>
        </w:tc>
        <w:tc>
          <w:tcPr>
            <w:tcW w:w="6664" w:type="dxa"/>
            <w:gridSpan w:val="3"/>
            <w:tcBorders>
              <w:top w:val="single" w:color="auto" w:sz="4" w:space="0"/>
              <w:left w:val="single" w:color="auto" w:sz="4" w:space="0"/>
              <w:bottom w:val="single" w:color="auto" w:sz="4" w:space="0"/>
              <w:right w:val="single" w:color="auto" w:sz="4" w:space="0"/>
            </w:tcBorders>
            <w:vAlign w:val="center"/>
          </w:tcPr>
          <w:p w14:paraId="6503D5BE">
            <w:pPr>
              <w:widowControl/>
              <w:spacing w:line="360" w:lineRule="exact"/>
              <w:jc w:val="left"/>
              <w:rPr>
                <w:rFonts w:hint="default" w:ascii="Times New Roman" w:hAnsi="Times New Roman" w:eastAsia="仿宋_GB2312" w:cs="Times New Roman"/>
                <w:color w:val="auto"/>
                <w:kern w:val="0"/>
                <w:sz w:val="24"/>
                <w:szCs w:val="24"/>
                <w:highlight w:val="none"/>
                <w:lang w:bidi="th-TH"/>
              </w:rPr>
            </w:pPr>
            <w:r>
              <w:rPr>
                <w:rFonts w:hint="default" w:ascii="Times New Roman" w:hAnsi="Times New Roman" w:eastAsia="仿宋_GB2312" w:cs="Times New Roman"/>
                <w:color w:val="auto"/>
                <w:sz w:val="24"/>
                <w:szCs w:val="24"/>
                <w:highlight w:val="none"/>
              </w:rPr>
              <w:t>楼宇周边，要保持环境整洁、各种车辆整齐有序</w:t>
            </w:r>
            <w:r>
              <w:rPr>
                <w:rFonts w:hint="default" w:ascii="Times New Roman" w:hAnsi="Times New Roman" w:eastAsia="仿宋_GB2312" w:cs="Times New Roman"/>
                <w:color w:val="auto"/>
                <w:kern w:val="0"/>
                <w:sz w:val="24"/>
                <w:szCs w:val="24"/>
                <w:highlight w:val="none"/>
                <w:lang w:bidi="th-TH"/>
              </w:rPr>
              <w:t>。</w:t>
            </w:r>
          </w:p>
        </w:tc>
        <w:tc>
          <w:tcPr>
            <w:tcW w:w="830" w:type="dxa"/>
            <w:tcBorders>
              <w:top w:val="single" w:color="auto" w:sz="4" w:space="0"/>
              <w:left w:val="single" w:color="auto" w:sz="4" w:space="0"/>
              <w:bottom w:val="single" w:color="auto" w:sz="4" w:space="0"/>
              <w:right w:val="single" w:color="auto" w:sz="4" w:space="0"/>
            </w:tcBorders>
            <w:vAlign w:val="center"/>
          </w:tcPr>
          <w:p w14:paraId="5261EF09">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2.5</w:t>
            </w:r>
          </w:p>
        </w:tc>
        <w:tc>
          <w:tcPr>
            <w:tcW w:w="794" w:type="dxa"/>
            <w:tcBorders>
              <w:top w:val="single" w:color="auto" w:sz="4" w:space="0"/>
              <w:left w:val="single" w:color="auto" w:sz="4" w:space="0"/>
              <w:bottom w:val="single" w:color="auto" w:sz="4" w:space="0"/>
              <w:right w:val="single" w:color="auto" w:sz="4" w:space="0"/>
            </w:tcBorders>
            <w:vAlign w:val="center"/>
          </w:tcPr>
          <w:p w14:paraId="37D29989">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4889795B">
        <w:tblPrEx>
          <w:tblCellMar>
            <w:top w:w="0" w:type="dxa"/>
            <w:left w:w="108" w:type="dxa"/>
            <w:bottom w:w="0" w:type="dxa"/>
            <w:right w:w="108" w:type="dxa"/>
          </w:tblCellMar>
        </w:tblPrEx>
        <w:trPr>
          <w:trHeight w:val="227" w:hRule="atLeast"/>
        </w:trPr>
        <w:tc>
          <w:tcPr>
            <w:tcW w:w="751" w:type="dxa"/>
            <w:tcBorders>
              <w:top w:val="single" w:color="auto" w:sz="4" w:space="0"/>
              <w:left w:val="single" w:color="auto" w:sz="4" w:space="0"/>
              <w:bottom w:val="single" w:color="auto" w:sz="4" w:space="0"/>
              <w:right w:val="single" w:color="auto" w:sz="4" w:space="0"/>
            </w:tcBorders>
            <w:vAlign w:val="center"/>
          </w:tcPr>
          <w:p w14:paraId="45C3294D">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27</w:t>
            </w:r>
          </w:p>
        </w:tc>
        <w:tc>
          <w:tcPr>
            <w:tcW w:w="1091" w:type="dxa"/>
            <w:gridSpan w:val="2"/>
            <w:vMerge w:val="continue"/>
            <w:tcBorders>
              <w:left w:val="single" w:color="auto" w:sz="4" w:space="0"/>
              <w:right w:val="single" w:color="auto" w:sz="4" w:space="0"/>
            </w:tcBorders>
            <w:vAlign w:val="center"/>
          </w:tcPr>
          <w:p w14:paraId="72232C36">
            <w:pPr>
              <w:spacing w:line="400" w:lineRule="exact"/>
              <w:jc w:val="center"/>
              <w:rPr>
                <w:rFonts w:hint="default" w:ascii="Times New Roman" w:hAnsi="Times New Roman" w:eastAsia="仿宋_GB2312" w:cs="Times New Roman"/>
                <w:b/>
                <w:bCs/>
                <w:color w:val="auto"/>
                <w:sz w:val="24"/>
                <w:szCs w:val="24"/>
                <w:highlight w:val="none"/>
              </w:rPr>
            </w:pPr>
          </w:p>
        </w:tc>
        <w:tc>
          <w:tcPr>
            <w:tcW w:w="6664" w:type="dxa"/>
            <w:gridSpan w:val="3"/>
            <w:tcBorders>
              <w:top w:val="single" w:color="auto" w:sz="4" w:space="0"/>
              <w:left w:val="single" w:color="auto" w:sz="4" w:space="0"/>
              <w:bottom w:val="single" w:color="auto" w:sz="4" w:space="0"/>
              <w:right w:val="single" w:color="auto" w:sz="4" w:space="0"/>
            </w:tcBorders>
            <w:vAlign w:val="center"/>
          </w:tcPr>
          <w:p w14:paraId="5B0658AF">
            <w:pPr>
              <w:widowControl/>
              <w:spacing w:line="360" w:lineRule="exact"/>
              <w:jc w:val="left"/>
              <w:rPr>
                <w:rFonts w:hint="default" w:ascii="Times New Roman" w:hAnsi="Times New Roman" w:eastAsia="仿宋_GB2312" w:cs="Times New Roman"/>
                <w:color w:val="auto"/>
                <w:kern w:val="0"/>
                <w:sz w:val="24"/>
                <w:szCs w:val="24"/>
                <w:highlight w:val="none"/>
                <w:lang w:bidi="th-TH"/>
              </w:rPr>
            </w:pPr>
            <w:r>
              <w:rPr>
                <w:rFonts w:hint="default" w:ascii="Times New Roman" w:hAnsi="Times New Roman" w:eastAsia="仿宋_GB2312" w:cs="Times New Roman"/>
                <w:color w:val="auto"/>
                <w:kern w:val="0"/>
                <w:sz w:val="24"/>
                <w:szCs w:val="24"/>
                <w:highlight w:val="none"/>
                <w:lang w:bidi="th-TH"/>
              </w:rPr>
              <w:t>各类卫生工具摆放整齐，工具房干净整洁。</w:t>
            </w:r>
          </w:p>
        </w:tc>
        <w:tc>
          <w:tcPr>
            <w:tcW w:w="830" w:type="dxa"/>
            <w:tcBorders>
              <w:top w:val="single" w:color="auto" w:sz="4" w:space="0"/>
              <w:left w:val="single" w:color="auto" w:sz="4" w:space="0"/>
              <w:bottom w:val="single" w:color="auto" w:sz="4" w:space="0"/>
              <w:right w:val="single" w:color="auto" w:sz="4" w:space="0"/>
            </w:tcBorders>
            <w:vAlign w:val="center"/>
          </w:tcPr>
          <w:p w14:paraId="7651FD58">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2.5</w:t>
            </w:r>
          </w:p>
        </w:tc>
        <w:tc>
          <w:tcPr>
            <w:tcW w:w="794" w:type="dxa"/>
            <w:tcBorders>
              <w:top w:val="single" w:color="auto" w:sz="4" w:space="0"/>
              <w:left w:val="single" w:color="auto" w:sz="4" w:space="0"/>
              <w:bottom w:val="single" w:color="auto" w:sz="4" w:space="0"/>
              <w:right w:val="single" w:color="auto" w:sz="4" w:space="0"/>
            </w:tcBorders>
            <w:vAlign w:val="center"/>
          </w:tcPr>
          <w:p w14:paraId="057A46EE">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339AE4EC">
        <w:tblPrEx>
          <w:tblCellMar>
            <w:top w:w="0" w:type="dxa"/>
            <w:left w:w="108" w:type="dxa"/>
            <w:bottom w:w="0" w:type="dxa"/>
            <w:right w:w="108" w:type="dxa"/>
          </w:tblCellMar>
        </w:tblPrEx>
        <w:tc>
          <w:tcPr>
            <w:tcW w:w="751" w:type="dxa"/>
            <w:tcBorders>
              <w:top w:val="single" w:color="auto" w:sz="4" w:space="0"/>
              <w:left w:val="single" w:color="auto" w:sz="4" w:space="0"/>
              <w:bottom w:val="single" w:color="auto" w:sz="4" w:space="0"/>
              <w:right w:val="single" w:color="auto" w:sz="4" w:space="0"/>
            </w:tcBorders>
            <w:vAlign w:val="center"/>
          </w:tcPr>
          <w:p w14:paraId="00D0E385">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28</w:t>
            </w:r>
          </w:p>
        </w:tc>
        <w:tc>
          <w:tcPr>
            <w:tcW w:w="1091" w:type="dxa"/>
            <w:gridSpan w:val="2"/>
            <w:vMerge w:val="continue"/>
            <w:tcBorders>
              <w:left w:val="single" w:color="auto" w:sz="4" w:space="0"/>
              <w:right w:val="single" w:color="auto" w:sz="4" w:space="0"/>
            </w:tcBorders>
            <w:vAlign w:val="center"/>
          </w:tcPr>
          <w:p w14:paraId="12EC4133">
            <w:pPr>
              <w:spacing w:line="400" w:lineRule="exact"/>
              <w:jc w:val="center"/>
              <w:rPr>
                <w:rFonts w:hint="default" w:ascii="Times New Roman" w:hAnsi="Times New Roman" w:eastAsia="仿宋_GB2312" w:cs="Times New Roman"/>
                <w:b/>
                <w:bCs/>
                <w:color w:val="auto"/>
                <w:sz w:val="24"/>
                <w:szCs w:val="24"/>
                <w:highlight w:val="none"/>
              </w:rPr>
            </w:pPr>
          </w:p>
        </w:tc>
        <w:tc>
          <w:tcPr>
            <w:tcW w:w="6664" w:type="dxa"/>
            <w:gridSpan w:val="3"/>
            <w:tcBorders>
              <w:top w:val="single" w:color="auto" w:sz="4" w:space="0"/>
              <w:left w:val="single" w:color="auto" w:sz="4" w:space="0"/>
              <w:bottom w:val="single" w:color="auto" w:sz="4" w:space="0"/>
              <w:right w:val="single" w:color="auto" w:sz="4" w:space="0"/>
            </w:tcBorders>
            <w:vAlign w:val="center"/>
          </w:tcPr>
          <w:p w14:paraId="599CD633">
            <w:pPr>
              <w:widowControl/>
              <w:spacing w:line="360" w:lineRule="exact"/>
              <w:jc w:val="left"/>
              <w:rPr>
                <w:rFonts w:hint="default" w:ascii="Times New Roman" w:hAnsi="Times New Roman" w:eastAsia="仿宋_GB2312" w:cs="Times New Roman"/>
                <w:color w:val="auto"/>
                <w:kern w:val="0"/>
                <w:sz w:val="24"/>
                <w:szCs w:val="24"/>
                <w:highlight w:val="none"/>
                <w:lang w:bidi="th-TH"/>
              </w:rPr>
            </w:pPr>
            <w:r>
              <w:rPr>
                <w:rFonts w:hint="default" w:ascii="Times New Roman" w:hAnsi="Times New Roman" w:eastAsia="仿宋_GB2312" w:cs="Times New Roman"/>
                <w:color w:val="auto"/>
                <w:kern w:val="0"/>
                <w:sz w:val="24"/>
                <w:szCs w:val="24"/>
                <w:highlight w:val="none"/>
                <w:lang w:bidi="th-TH"/>
              </w:rPr>
              <w:t>平台及顶楼卫生每月检查一次，确保下水管畅通、无杂物，并记录存档。</w:t>
            </w:r>
          </w:p>
        </w:tc>
        <w:tc>
          <w:tcPr>
            <w:tcW w:w="830" w:type="dxa"/>
            <w:tcBorders>
              <w:top w:val="single" w:color="auto" w:sz="4" w:space="0"/>
              <w:left w:val="single" w:color="auto" w:sz="4" w:space="0"/>
              <w:bottom w:val="single" w:color="auto" w:sz="4" w:space="0"/>
              <w:right w:val="single" w:color="auto" w:sz="4" w:space="0"/>
            </w:tcBorders>
            <w:vAlign w:val="center"/>
          </w:tcPr>
          <w:p w14:paraId="50357944">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2.5</w:t>
            </w:r>
          </w:p>
        </w:tc>
        <w:tc>
          <w:tcPr>
            <w:tcW w:w="794" w:type="dxa"/>
            <w:tcBorders>
              <w:top w:val="single" w:color="auto" w:sz="4" w:space="0"/>
              <w:left w:val="single" w:color="auto" w:sz="4" w:space="0"/>
              <w:bottom w:val="single" w:color="auto" w:sz="4" w:space="0"/>
              <w:right w:val="single" w:color="auto" w:sz="4" w:space="0"/>
            </w:tcBorders>
            <w:vAlign w:val="center"/>
          </w:tcPr>
          <w:p w14:paraId="141E4EA6">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64E8C6DC">
        <w:tblPrEx>
          <w:tblCellMar>
            <w:top w:w="0" w:type="dxa"/>
            <w:left w:w="108" w:type="dxa"/>
            <w:bottom w:w="0" w:type="dxa"/>
            <w:right w:w="108" w:type="dxa"/>
          </w:tblCellMar>
        </w:tblPrEx>
        <w:tc>
          <w:tcPr>
            <w:tcW w:w="751" w:type="dxa"/>
            <w:tcBorders>
              <w:top w:val="single" w:color="auto" w:sz="4" w:space="0"/>
              <w:left w:val="single" w:color="auto" w:sz="4" w:space="0"/>
              <w:bottom w:val="single" w:color="auto" w:sz="4" w:space="0"/>
              <w:right w:val="single" w:color="auto" w:sz="4" w:space="0"/>
            </w:tcBorders>
            <w:vAlign w:val="center"/>
          </w:tcPr>
          <w:p w14:paraId="18936EB2">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29</w:t>
            </w:r>
          </w:p>
        </w:tc>
        <w:tc>
          <w:tcPr>
            <w:tcW w:w="1091" w:type="dxa"/>
            <w:gridSpan w:val="2"/>
            <w:vMerge w:val="restart"/>
            <w:tcBorders>
              <w:top w:val="single" w:color="auto" w:sz="4" w:space="0"/>
              <w:left w:val="single" w:color="auto" w:sz="4" w:space="0"/>
              <w:right w:val="single" w:color="auto" w:sz="4" w:space="0"/>
            </w:tcBorders>
            <w:vAlign w:val="center"/>
          </w:tcPr>
          <w:p w14:paraId="60B8ECF4">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综合</w:t>
            </w:r>
          </w:p>
          <w:p w14:paraId="04C50D84">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管理</w:t>
            </w:r>
          </w:p>
        </w:tc>
        <w:tc>
          <w:tcPr>
            <w:tcW w:w="6664" w:type="dxa"/>
            <w:gridSpan w:val="3"/>
            <w:tcBorders>
              <w:top w:val="single" w:color="auto" w:sz="4" w:space="0"/>
              <w:left w:val="single" w:color="auto" w:sz="4" w:space="0"/>
              <w:bottom w:val="single" w:color="auto" w:sz="4" w:space="0"/>
              <w:right w:val="single" w:color="auto" w:sz="4" w:space="0"/>
            </w:tcBorders>
            <w:vAlign w:val="center"/>
          </w:tcPr>
          <w:p w14:paraId="3A123AAF">
            <w:pPr>
              <w:widowControl/>
              <w:spacing w:line="360" w:lineRule="exact"/>
              <w:jc w:val="left"/>
              <w:rPr>
                <w:rFonts w:hint="default" w:ascii="Times New Roman" w:hAnsi="Times New Roman" w:eastAsia="仿宋_GB2312" w:cs="Times New Roman"/>
                <w:color w:val="auto"/>
                <w:kern w:val="0"/>
                <w:sz w:val="24"/>
                <w:szCs w:val="24"/>
                <w:highlight w:val="none"/>
                <w:lang w:bidi="th-TH"/>
              </w:rPr>
            </w:pPr>
            <w:r>
              <w:rPr>
                <w:rFonts w:hint="default" w:ascii="Times New Roman" w:hAnsi="Times New Roman" w:eastAsia="仿宋_GB2312" w:cs="Times New Roman"/>
                <w:color w:val="auto"/>
                <w:kern w:val="0"/>
                <w:sz w:val="24"/>
                <w:szCs w:val="24"/>
                <w:highlight w:val="none"/>
                <w:lang w:bidi="th-TH"/>
              </w:rPr>
              <w:t>组织架构明确，分工明确，合理配备人员。</w:t>
            </w:r>
          </w:p>
        </w:tc>
        <w:tc>
          <w:tcPr>
            <w:tcW w:w="830" w:type="dxa"/>
            <w:tcBorders>
              <w:top w:val="single" w:color="auto" w:sz="4" w:space="0"/>
              <w:left w:val="single" w:color="auto" w:sz="4" w:space="0"/>
              <w:bottom w:val="single" w:color="auto" w:sz="4" w:space="0"/>
              <w:right w:val="single" w:color="auto" w:sz="4" w:space="0"/>
            </w:tcBorders>
            <w:vAlign w:val="center"/>
          </w:tcPr>
          <w:p w14:paraId="0D5ABCB6">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w:t>
            </w:r>
          </w:p>
        </w:tc>
        <w:tc>
          <w:tcPr>
            <w:tcW w:w="794" w:type="dxa"/>
            <w:tcBorders>
              <w:top w:val="single" w:color="auto" w:sz="4" w:space="0"/>
              <w:left w:val="single" w:color="auto" w:sz="4" w:space="0"/>
              <w:bottom w:val="single" w:color="auto" w:sz="4" w:space="0"/>
              <w:right w:val="single" w:color="auto" w:sz="4" w:space="0"/>
            </w:tcBorders>
            <w:vAlign w:val="center"/>
          </w:tcPr>
          <w:p w14:paraId="7B2AFA8E">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0ECD2BD0">
        <w:tblPrEx>
          <w:tblCellMar>
            <w:top w:w="0" w:type="dxa"/>
            <w:left w:w="108" w:type="dxa"/>
            <w:bottom w:w="0" w:type="dxa"/>
            <w:right w:w="108" w:type="dxa"/>
          </w:tblCellMar>
        </w:tblPrEx>
        <w:tc>
          <w:tcPr>
            <w:tcW w:w="751" w:type="dxa"/>
            <w:tcBorders>
              <w:top w:val="single" w:color="auto" w:sz="4" w:space="0"/>
              <w:left w:val="single" w:color="auto" w:sz="4" w:space="0"/>
              <w:bottom w:val="single" w:color="auto" w:sz="4" w:space="0"/>
              <w:right w:val="single" w:color="auto" w:sz="4" w:space="0"/>
            </w:tcBorders>
            <w:vAlign w:val="center"/>
          </w:tcPr>
          <w:p w14:paraId="023CA7DD">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30</w:t>
            </w:r>
          </w:p>
        </w:tc>
        <w:tc>
          <w:tcPr>
            <w:tcW w:w="1091" w:type="dxa"/>
            <w:gridSpan w:val="2"/>
            <w:vMerge w:val="continue"/>
            <w:tcBorders>
              <w:left w:val="single" w:color="auto" w:sz="4" w:space="0"/>
              <w:right w:val="single" w:color="auto" w:sz="4" w:space="0"/>
            </w:tcBorders>
            <w:vAlign w:val="center"/>
          </w:tcPr>
          <w:p w14:paraId="1EB9C0E9">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c>
          <w:tcPr>
            <w:tcW w:w="6664" w:type="dxa"/>
            <w:gridSpan w:val="3"/>
            <w:tcBorders>
              <w:top w:val="single" w:color="auto" w:sz="4" w:space="0"/>
              <w:left w:val="single" w:color="auto" w:sz="4" w:space="0"/>
              <w:bottom w:val="single" w:color="auto" w:sz="4" w:space="0"/>
              <w:right w:val="single" w:color="auto" w:sz="4" w:space="0"/>
            </w:tcBorders>
            <w:vAlign w:val="center"/>
          </w:tcPr>
          <w:p w14:paraId="5C48166C">
            <w:pPr>
              <w:widowControl/>
              <w:spacing w:line="360" w:lineRule="exact"/>
              <w:jc w:val="left"/>
              <w:rPr>
                <w:rFonts w:hint="default" w:ascii="Times New Roman" w:hAnsi="Times New Roman" w:eastAsia="仿宋_GB2312" w:cs="Times New Roman"/>
                <w:color w:val="auto"/>
                <w:kern w:val="0"/>
                <w:sz w:val="24"/>
                <w:szCs w:val="24"/>
                <w:highlight w:val="none"/>
                <w:lang w:bidi="th-TH"/>
              </w:rPr>
            </w:pPr>
            <w:r>
              <w:rPr>
                <w:rFonts w:hint="default" w:ascii="Times New Roman" w:hAnsi="Times New Roman" w:eastAsia="仿宋_GB2312" w:cs="Times New Roman"/>
                <w:color w:val="auto"/>
                <w:kern w:val="0"/>
                <w:sz w:val="24"/>
                <w:szCs w:val="24"/>
                <w:highlight w:val="none"/>
                <w:lang w:bidi="th-TH"/>
              </w:rPr>
              <w:t>建立、健全各项规章制度〔《职工管理制度》、《安全管理制度》、《检查考核制度》、《奖惩制度》、《报告制度》等〕。</w:t>
            </w:r>
          </w:p>
        </w:tc>
        <w:tc>
          <w:tcPr>
            <w:tcW w:w="830" w:type="dxa"/>
            <w:tcBorders>
              <w:top w:val="single" w:color="auto" w:sz="4" w:space="0"/>
              <w:left w:val="single" w:color="auto" w:sz="4" w:space="0"/>
              <w:bottom w:val="single" w:color="auto" w:sz="4" w:space="0"/>
              <w:right w:val="single" w:color="auto" w:sz="4" w:space="0"/>
            </w:tcBorders>
            <w:vAlign w:val="center"/>
          </w:tcPr>
          <w:p w14:paraId="1413DBA1">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w:t>
            </w:r>
          </w:p>
        </w:tc>
        <w:tc>
          <w:tcPr>
            <w:tcW w:w="794" w:type="dxa"/>
            <w:tcBorders>
              <w:top w:val="single" w:color="auto" w:sz="4" w:space="0"/>
              <w:left w:val="single" w:color="auto" w:sz="4" w:space="0"/>
              <w:bottom w:val="single" w:color="auto" w:sz="4" w:space="0"/>
              <w:right w:val="single" w:color="auto" w:sz="4" w:space="0"/>
            </w:tcBorders>
            <w:vAlign w:val="center"/>
          </w:tcPr>
          <w:p w14:paraId="7E419F2B">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51AEFD4A">
        <w:tblPrEx>
          <w:tblCellMar>
            <w:top w:w="0" w:type="dxa"/>
            <w:left w:w="108" w:type="dxa"/>
            <w:bottom w:w="0" w:type="dxa"/>
            <w:right w:w="108" w:type="dxa"/>
          </w:tblCellMar>
        </w:tblPrEx>
        <w:tc>
          <w:tcPr>
            <w:tcW w:w="751" w:type="dxa"/>
            <w:tcBorders>
              <w:top w:val="single" w:color="auto" w:sz="4" w:space="0"/>
              <w:left w:val="single" w:color="auto" w:sz="4" w:space="0"/>
              <w:bottom w:val="single" w:color="auto" w:sz="4" w:space="0"/>
              <w:right w:val="single" w:color="auto" w:sz="4" w:space="0"/>
            </w:tcBorders>
            <w:vAlign w:val="center"/>
          </w:tcPr>
          <w:p w14:paraId="75217D91">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31</w:t>
            </w:r>
          </w:p>
        </w:tc>
        <w:tc>
          <w:tcPr>
            <w:tcW w:w="1091" w:type="dxa"/>
            <w:gridSpan w:val="2"/>
            <w:vMerge w:val="continue"/>
            <w:tcBorders>
              <w:left w:val="single" w:color="auto" w:sz="4" w:space="0"/>
              <w:right w:val="single" w:color="auto" w:sz="4" w:space="0"/>
            </w:tcBorders>
            <w:vAlign w:val="center"/>
          </w:tcPr>
          <w:p w14:paraId="6DA5CD50">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c>
          <w:tcPr>
            <w:tcW w:w="6664" w:type="dxa"/>
            <w:gridSpan w:val="3"/>
            <w:tcBorders>
              <w:top w:val="single" w:color="auto" w:sz="4" w:space="0"/>
              <w:left w:val="single" w:color="auto" w:sz="4" w:space="0"/>
              <w:bottom w:val="single" w:color="auto" w:sz="4" w:space="0"/>
              <w:right w:val="single" w:color="auto" w:sz="4" w:space="0"/>
            </w:tcBorders>
            <w:vAlign w:val="center"/>
          </w:tcPr>
          <w:p w14:paraId="3B791A3F">
            <w:pPr>
              <w:widowControl/>
              <w:spacing w:line="360" w:lineRule="exact"/>
              <w:jc w:val="left"/>
              <w:rPr>
                <w:rFonts w:hint="default" w:ascii="Times New Roman" w:hAnsi="Times New Roman" w:eastAsia="仿宋_GB2312" w:cs="Times New Roman"/>
                <w:color w:val="auto"/>
                <w:kern w:val="0"/>
                <w:sz w:val="24"/>
                <w:szCs w:val="24"/>
                <w:highlight w:val="none"/>
                <w:lang w:bidi="th-TH"/>
              </w:rPr>
            </w:pPr>
            <w:r>
              <w:rPr>
                <w:rFonts w:hint="default" w:ascii="Times New Roman" w:hAnsi="Times New Roman" w:eastAsia="仿宋_GB2312" w:cs="Times New Roman"/>
                <w:color w:val="auto"/>
                <w:kern w:val="0"/>
                <w:sz w:val="24"/>
                <w:szCs w:val="24"/>
                <w:highlight w:val="none"/>
                <w:lang w:bidi="th-TH"/>
              </w:rPr>
              <w:t>工作态度端正，能积极主动配合、执行学校及公司领导安排的其他工作。</w:t>
            </w:r>
          </w:p>
        </w:tc>
        <w:tc>
          <w:tcPr>
            <w:tcW w:w="830" w:type="dxa"/>
            <w:tcBorders>
              <w:top w:val="single" w:color="auto" w:sz="4" w:space="0"/>
              <w:left w:val="single" w:color="auto" w:sz="4" w:space="0"/>
              <w:bottom w:val="single" w:color="auto" w:sz="4" w:space="0"/>
              <w:right w:val="single" w:color="auto" w:sz="4" w:space="0"/>
            </w:tcBorders>
            <w:vAlign w:val="center"/>
          </w:tcPr>
          <w:p w14:paraId="4F1044CF">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w:t>
            </w:r>
          </w:p>
        </w:tc>
        <w:tc>
          <w:tcPr>
            <w:tcW w:w="794" w:type="dxa"/>
            <w:tcBorders>
              <w:top w:val="single" w:color="auto" w:sz="4" w:space="0"/>
              <w:left w:val="single" w:color="auto" w:sz="4" w:space="0"/>
              <w:bottom w:val="single" w:color="auto" w:sz="4" w:space="0"/>
              <w:right w:val="single" w:color="auto" w:sz="4" w:space="0"/>
            </w:tcBorders>
            <w:vAlign w:val="center"/>
          </w:tcPr>
          <w:p w14:paraId="121C0E1B">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59F46BF9">
        <w:tblPrEx>
          <w:tblCellMar>
            <w:top w:w="0" w:type="dxa"/>
            <w:left w:w="108" w:type="dxa"/>
            <w:bottom w:w="0" w:type="dxa"/>
            <w:right w:w="108" w:type="dxa"/>
          </w:tblCellMar>
        </w:tblPrEx>
        <w:tc>
          <w:tcPr>
            <w:tcW w:w="751" w:type="dxa"/>
            <w:tcBorders>
              <w:top w:val="single" w:color="auto" w:sz="4" w:space="0"/>
              <w:left w:val="single" w:color="auto" w:sz="4" w:space="0"/>
              <w:bottom w:val="single" w:color="auto" w:sz="4" w:space="0"/>
              <w:right w:val="single" w:color="auto" w:sz="4" w:space="0"/>
            </w:tcBorders>
            <w:vAlign w:val="center"/>
          </w:tcPr>
          <w:p w14:paraId="152532AF">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32</w:t>
            </w:r>
          </w:p>
        </w:tc>
        <w:tc>
          <w:tcPr>
            <w:tcW w:w="1091" w:type="dxa"/>
            <w:gridSpan w:val="2"/>
            <w:vMerge w:val="continue"/>
            <w:tcBorders>
              <w:left w:val="single" w:color="auto" w:sz="4" w:space="0"/>
              <w:right w:val="single" w:color="auto" w:sz="4" w:space="0"/>
            </w:tcBorders>
            <w:vAlign w:val="center"/>
          </w:tcPr>
          <w:p w14:paraId="5DC153DC">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c>
          <w:tcPr>
            <w:tcW w:w="6664" w:type="dxa"/>
            <w:gridSpan w:val="3"/>
            <w:tcBorders>
              <w:top w:val="single" w:color="auto" w:sz="4" w:space="0"/>
              <w:left w:val="single" w:color="auto" w:sz="4" w:space="0"/>
              <w:bottom w:val="single" w:color="auto" w:sz="4" w:space="0"/>
              <w:right w:val="single" w:color="auto" w:sz="4" w:space="0"/>
            </w:tcBorders>
            <w:vAlign w:val="center"/>
          </w:tcPr>
          <w:p w14:paraId="795040F0">
            <w:pPr>
              <w:widowControl/>
              <w:spacing w:line="360" w:lineRule="exact"/>
              <w:jc w:val="left"/>
              <w:rPr>
                <w:rFonts w:hint="default" w:ascii="Times New Roman" w:hAnsi="Times New Roman" w:eastAsia="仿宋_GB2312" w:cs="Times New Roman"/>
                <w:color w:val="auto"/>
                <w:kern w:val="0"/>
                <w:sz w:val="24"/>
                <w:szCs w:val="24"/>
                <w:highlight w:val="none"/>
                <w:lang w:bidi="th-TH"/>
              </w:rPr>
            </w:pPr>
            <w:r>
              <w:rPr>
                <w:rFonts w:hint="default" w:ascii="Times New Roman" w:hAnsi="Times New Roman" w:eastAsia="仿宋_GB2312" w:cs="Times New Roman"/>
                <w:color w:val="auto"/>
                <w:kern w:val="0"/>
                <w:sz w:val="24"/>
                <w:szCs w:val="24"/>
                <w:highlight w:val="none"/>
                <w:lang w:bidi="th-TH"/>
              </w:rPr>
              <w:t>穿工作服、戴工号牌，整体形象干净、整洁，使用文明用语，态度和蔼，礼貌待人。</w:t>
            </w:r>
          </w:p>
        </w:tc>
        <w:tc>
          <w:tcPr>
            <w:tcW w:w="830" w:type="dxa"/>
            <w:tcBorders>
              <w:top w:val="single" w:color="auto" w:sz="4" w:space="0"/>
              <w:left w:val="single" w:color="auto" w:sz="4" w:space="0"/>
              <w:bottom w:val="single" w:color="auto" w:sz="4" w:space="0"/>
              <w:right w:val="single" w:color="auto" w:sz="4" w:space="0"/>
            </w:tcBorders>
            <w:vAlign w:val="center"/>
          </w:tcPr>
          <w:p w14:paraId="188C0CBC">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w:t>
            </w:r>
          </w:p>
        </w:tc>
        <w:tc>
          <w:tcPr>
            <w:tcW w:w="794" w:type="dxa"/>
            <w:tcBorders>
              <w:top w:val="single" w:color="auto" w:sz="4" w:space="0"/>
              <w:left w:val="single" w:color="auto" w:sz="4" w:space="0"/>
              <w:bottom w:val="single" w:color="auto" w:sz="4" w:space="0"/>
              <w:right w:val="single" w:color="auto" w:sz="4" w:space="0"/>
            </w:tcBorders>
            <w:vAlign w:val="center"/>
          </w:tcPr>
          <w:p w14:paraId="1D8B7ED0">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7CD210E3">
        <w:tblPrEx>
          <w:tblCellMar>
            <w:top w:w="0" w:type="dxa"/>
            <w:left w:w="108" w:type="dxa"/>
            <w:bottom w:w="0" w:type="dxa"/>
            <w:right w:w="108" w:type="dxa"/>
          </w:tblCellMar>
        </w:tblPrEx>
        <w:tc>
          <w:tcPr>
            <w:tcW w:w="751" w:type="dxa"/>
            <w:tcBorders>
              <w:top w:val="single" w:color="auto" w:sz="4" w:space="0"/>
              <w:left w:val="single" w:color="auto" w:sz="4" w:space="0"/>
              <w:bottom w:val="single" w:color="auto" w:sz="4" w:space="0"/>
              <w:right w:val="single" w:color="auto" w:sz="4" w:space="0"/>
            </w:tcBorders>
            <w:vAlign w:val="center"/>
          </w:tcPr>
          <w:p w14:paraId="42D610EA">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33</w:t>
            </w:r>
          </w:p>
        </w:tc>
        <w:tc>
          <w:tcPr>
            <w:tcW w:w="1091" w:type="dxa"/>
            <w:gridSpan w:val="2"/>
            <w:vMerge w:val="continue"/>
            <w:tcBorders>
              <w:left w:val="single" w:color="auto" w:sz="4" w:space="0"/>
              <w:right w:val="single" w:color="auto" w:sz="4" w:space="0"/>
            </w:tcBorders>
            <w:vAlign w:val="center"/>
          </w:tcPr>
          <w:p w14:paraId="2936EC9E">
            <w:pPr>
              <w:spacing w:line="400" w:lineRule="exact"/>
              <w:jc w:val="center"/>
              <w:rPr>
                <w:rFonts w:hint="default" w:ascii="Times New Roman" w:hAnsi="Times New Roman" w:eastAsia="仿宋_GB2312" w:cs="Times New Roman"/>
                <w:color w:val="auto"/>
                <w:sz w:val="24"/>
                <w:szCs w:val="24"/>
                <w:highlight w:val="none"/>
              </w:rPr>
            </w:pPr>
          </w:p>
        </w:tc>
        <w:tc>
          <w:tcPr>
            <w:tcW w:w="6664" w:type="dxa"/>
            <w:gridSpan w:val="3"/>
            <w:tcBorders>
              <w:top w:val="single" w:color="auto" w:sz="4" w:space="0"/>
              <w:left w:val="single" w:color="auto" w:sz="4" w:space="0"/>
              <w:bottom w:val="single" w:color="auto" w:sz="4" w:space="0"/>
              <w:right w:val="single" w:color="auto" w:sz="4" w:space="0"/>
            </w:tcBorders>
            <w:vAlign w:val="center"/>
          </w:tcPr>
          <w:p w14:paraId="070243F6">
            <w:pPr>
              <w:widowControl/>
              <w:spacing w:line="360" w:lineRule="exact"/>
              <w:jc w:val="left"/>
              <w:rPr>
                <w:rFonts w:hint="default" w:ascii="Times New Roman" w:hAnsi="Times New Roman" w:eastAsia="仿宋_GB2312" w:cs="Times New Roman"/>
                <w:color w:val="auto"/>
                <w:kern w:val="0"/>
                <w:sz w:val="24"/>
                <w:szCs w:val="24"/>
                <w:highlight w:val="none"/>
                <w:lang w:bidi="th-TH"/>
              </w:rPr>
            </w:pPr>
            <w:r>
              <w:rPr>
                <w:rFonts w:hint="default" w:ascii="Times New Roman" w:hAnsi="Times New Roman" w:eastAsia="仿宋_GB2312" w:cs="Times New Roman"/>
                <w:color w:val="auto"/>
                <w:kern w:val="0"/>
                <w:sz w:val="24"/>
                <w:szCs w:val="24"/>
                <w:highlight w:val="none"/>
                <w:lang w:bidi="th-TH"/>
              </w:rPr>
              <w:t>上班期间严格遵守工作纪律，不抽烟、喝酒、睡觉、闲聊、玩手机等与工作无关的事情，认真做好各项工作记录。</w:t>
            </w:r>
          </w:p>
        </w:tc>
        <w:tc>
          <w:tcPr>
            <w:tcW w:w="830" w:type="dxa"/>
            <w:tcBorders>
              <w:top w:val="single" w:color="auto" w:sz="4" w:space="0"/>
              <w:left w:val="single" w:color="auto" w:sz="4" w:space="0"/>
              <w:bottom w:val="single" w:color="auto" w:sz="4" w:space="0"/>
              <w:right w:val="single" w:color="auto" w:sz="4" w:space="0"/>
            </w:tcBorders>
            <w:vAlign w:val="center"/>
          </w:tcPr>
          <w:p w14:paraId="73A5835F">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w:t>
            </w:r>
          </w:p>
        </w:tc>
        <w:tc>
          <w:tcPr>
            <w:tcW w:w="794" w:type="dxa"/>
            <w:tcBorders>
              <w:top w:val="single" w:color="auto" w:sz="4" w:space="0"/>
              <w:left w:val="single" w:color="auto" w:sz="4" w:space="0"/>
              <w:bottom w:val="single" w:color="auto" w:sz="4" w:space="0"/>
              <w:right w:val="single" w:color="auto" w:sz="4" w:space="0"/>
            </w:tcBorders>
            <w:vAlign w:val="center"/>
          </w:tcPr>
          <w:p w14:paraId="590A3599">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2FCBA060">
        <w:tblPrEx>
          <w:tblCellMar>
            <w:top w:w="0" w:type="dxa"/>
            <w:left w:w="108" w:type="dxa"/>
            <w:bottom w:w="0" w:type="dxa"/>
            <w:right w:w="108" w:type="dxa"/>
          </w:tblCellMar>
        </w:tblPrEx>
        <w:trPr>
          <w:trHeight w:val="454" w:hRule="atLeast"/>
        </w:trPr>
        <w:tc>
          <w:tcPr>
            <w:tcW w:w="751" w:type="dxa"/>
            <w:tcBorders>
              <w:top w:val="single" w:color="auto" w:sz="4" w:space="0"/>
              <w:left w:val="single" w:color="auto" w:sz="4" w:space="0"/>
              <w:bottom w:val="single" w:color="auto" w:sz="4" w:space="0"/>
              <w:right w:val="single" w:color="auto" w:sz="4" w:space="0"/>
            </w:tcBorders>
            <w:vAlign w:val="center"/>
          </w:tcPr>
          <w:p w14:paraId="690BF009">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34</w:t>
            </w:r>
          </w:p>
        </w:tc>
        <w:tc>
          <w:tcPr>
            <w:tcW w:w="1091" w:type="dxa"/>
            <w:gridSpan w:val="2"/>
            <w:vMerge w:val="continue"/>
            <w:tcBorders>
              <w:left w:val="single" w:color="auto" w:sz="4" w:space="0"/>
              <w:right w:val="single" w:color="auto" w:sz="4" w:space="0"/>
            </w:tcBorders>
            <w:vAlign w:val="center"/>
          </w:tcPr>
          <w:p w14:paraId="155796C8">
            <w:pPr>
              <w:spacing w:line="400" w:lineRule="exact"/>
              <w:jc w:val="center"/>
              <w:rPr>
                <w:rFonts w:hint="default" w:ascii="Times New Roman" w:hAnsi="Times New Roman" w:eastAsia="仿宋_GB2312" w:cs="Times New Roman"/>
                <w:color w:val="auto"/>
                <w:sz w:val="24"/>
                <w:szCs w:val="24"/>
                <w:highlight w:val="none"/>
              </w:rPr>
            </w:pPr>
          </w:p>
        </w:tc>
        <w:tc>
          <w:tcPr>
            <w:tcW w:w="6664" w:type="dxa"/>
            <w:gridSpan w:val="3"/>
            <w:tcBorders>
              <w:top w:val="single" w:color="auto" w:sz="4" w:space="0"/>
              <w:left w:val="single" w:color="auto" w:sz="4" w:space="0"/>
              <w:bottom w:val="single" w:color="auto" w:sz="4" w:space="0"/>
              <w:right w:val="single" w:color="auto" w:sz="4" w:space="0"/>
            </w:tcBorders>
            <w:vAlign w:val="center"/>
          </w:tcPr>
          <w:p w14:paraId="43313C71">
            <w:pPr>
              <w:widowControl/>
              <w:spacing w:line="360" w:lineRule="exact"/>
              <w:jc w:val="left"/>
              <w:rPr>
                <w:rFonts w:hint="default" w:ascii="Times New Roman" w:hAnsi="Times New Roman" w:eastAsia="仿宋_GB2312" w:cs="Times New Roman"/>
                <w:color w:val="auto"/>
                <w:kern w:val="0"/>
                <w:sz w:val="24"/>
                <w:szCs w:val="24"/>
                <w:highlight w:val="none"/>
                <w:lang w:bidi="th-TH"/>
              </w:rPr>
            </w:pPr>
            <w:r>
              <w:rPr>
                <w:rFonts w:hint="default" w:ascii="Times New Roman" w:hAnsi="Times New Roman" w:eastAsia="仿宋_GB2312" w:cs="Times New Roman"/>
                <w:color w:val="auto"/>
                <w:kern w:val="0"/>
                <w:sz w:val="24"/>
                <w:szCs w:val="24"/>
                <w:highlight w:val="none"/>
                <w:lang w:bidi="th-TH"/>
              </w:rPr>
              <w:t>执行6S管理，办公环境干净、整洁，物品摆放标准、有序。</w:t>
            </w:r>
          </w:p>
        </w:tc>
        <w:tc>
          <w:tcPr>
            <w:tcW w:w="830" w:type="dxa"/>
            <w:tcBorders>
              <w:top w:val="single" w:color="auto" w:sz="4" w:space="0"/>
              <w:left w:val="single" w:color="auto" w:sz="4" w:space="0"/>
              <w:bottom w:val="single" w:color="auto" w:sz="4" w:space="0"/>
              <w:right w:val="single" w:color="auto" w:sz="4" w:space="0"/>
            </w:tcBorders>
            <w:vAlign w:val="center"/>
          </w:tcPr>
          <w:p w14:paraId="6EBD648D">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w:t>
            </w:r>
          </w:p>
        </w:tc>
        <w:tc>
          <w:tcPr>
            <w:tcW w:w="794" w:type="dxa"/>
            <w:tcBorders>
              <w:top w:val="single" w:color="auto" w:sz="4" w:space="0"/>
              <w:left w:val="single" w:color="auto" w:sz="4" w:space="0"/>
              <w:bottom w:val="single" w:color="auto" w:sz="4" w:space="0"/>
              <w:right w:val="single" w:color="auto" w:sz="4" w:space="0"/>
            </w:tcBorders>
            <w:vAlign w:val="center"/>
          </w:tcPr>
          <w:p w14:paraId="2A1B25F1">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6536978E">
        <w:tblPrEx>
          <w:tblCellMar>
            <w:top w:w="0" w:type="dxa"/>
            <w:left w:w="108" w:type="dxa"/>
            <w:bottom w:w="0" w:type="dxa"/>
            <w:right w:w="108" w:type="dxa"/>
          </w:tblCellMar>
        </w:tblPrEx>
        <w:trPr>
          <w:trHeight w:val="454" w:hRule="atLeast"/>
        </w:trPr>
        <w:tc>
          <w:tcPr>
            <w:tcW w:w="751" w:type="dxa"/>
            <w:tcBorders>
              <w:top w:val="single" w:color="auto" w:sz="4" w:space="0"/>
              <w:left w:val="single" w:color="auto" w:sz="4" w:space="0"/>
              <w:bottom w:val="single" w:color="auto" w:sz="4" w:space="0"/>
              <w:right w:val="single" w:color="auto" w:sz="4" w:space="0"/>
            </w:tcBorders>
            <w:vAlign w:val="center"/>
          </w:tcPr>
          <w:p w14:paraId="4A4C8CCC">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35</w:t>
            </w:r>
          </w:p>
        </w:tc>
        <w:tc>
          <w:tcPr>
            <w:tcW w:w="1091" w:type="dxa"/>
            <w:gridSpan w:val="2"/>
            <w:vMerge w:val="continue"/>
            <w:tcBorders>
              <w:left w:val="single" w:color="auto" w:sz="4" w:space="0"/>
              <w:right w:val="single" w:color="auto" w:sz="4" w:space="0"/>
            </w:tcBorders>
            <w:vAlign w:val="center"/>
          </w:tcPr>
          <w:p w14:paraId="59C4B4C5">
            <w:pPr>
              <w:spacing w:line="400" w:lineRule="exact"/>
              <w:jc w:val="center"/>
              <w:rPr>
                <w:rFonts w:hint="default" w:ascii="Times New Roman" w:hAnsi="Times New Roman" w:eastAsia="仿宋_GB2312" w:cs="Times New Roman"/>
                <w:color w:val="auto"/>
                <w:sz w:val="24"/>
                <w:szCs w:val="24"/>
                <w:highlight w:val="none"/>
              </w:rPr>
            </w:pPr>
          </w:p>
        </w:tc>
        <w:tc>
          <w:tcPr>
            <w:tcW w:w="6664" w:type="dxa"/>
            <w:gridSpan w:val="3"/>
            <w:tcBorders>
              <w:top w:val="single" w:color="auto" w:sz="4" w:space="0"/>
              <w:left w:val="single" w:color="auto" w:sz="4" w:space="0"/>
              <w:bottom w:val="single" w:color="auto" w:sz="4" w:space="0"/>
              <w:right w:val="single" w:color="auto" w:sz="4" w:space="0"/>
            </w:tcBorders>
            <w:vAlign w:val="center"/>
          </w:tcPr>
          <w:p w14:paraId="1E15CE0B">
            <w:pPr>
              <w:widowControl/>
              <w:spacing w:line="360" w:lineRule="exact"/>
              <w:jc w:val="left"/>
              <w:rPr>
                <w:rFonts w:hint="default" w:ascii="Times New Roman" w:hAnsi="Times New Roman" w:eastAsia="仿宋_GB2312" w:cs="Times New Roman"/>
                <w:color w:val="auto"/>
                <w:kern w:val="0"/>
                <w:sz w:val="24"/>
                <w:szCs w:val="24"/>
                <w:highlight w:val="none"/>
                <w:lang w:bidi="th-TH"/>
              </w:rPr>
            </w:pPr>
            <w:r>
              <w:rPr>
                <w:rFonts w:hint="default" w:ascii="Times New Roman" w:hAnsi="Times New Roman" w:eastAsia="仿宋_GB2312" w:cs="Times New Roman"/>
                <w:color w:val="auto"/>
                <w:kern w:val="0"/>
                <w:sz w:val="24"/>
                <w:szCs w:val="24"/>
                <w:highlight w:val="none"/>
                <w:lang w:bidi="th-TH"/>
              </w:rPr>
              <w:t>办公用品、保洁用品等管理标准〔出入库有记录、摆放整齐等〕。</w:t>
            </w:r>
          </w:p>
        </w:tc>
        <w:tc>
          <w:tcPr>
            <w:tcW w:w="830" w:type="dxa"/>
            <w:tcBorders>
              <w:top w:val="single" w:color="auto" w:sz="4" w:space="0"/>
              <w:left w:val="single" w:color="auto" w:sz="4" w:space="0"/>
              <w:bottom w:val="single" w:color="auto" w:sz="4" w:space="0"/>
              <w:right w:val="single" w:color="auto" w:sz="4" w:space="0"/>
            </w:tcBorders>
            <w:vAlign w:val="center"/>
          </w:tcPr>
          <w:p w14:paraId="511353DC">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w:t>
            </w:r>
          </w:p>
        </w:tc>
        <w:tc>
          <w:tcPr>
            <w:tcW w:w="794" w:type="dxa"/>
            <w:tcBorders>
              <w:top w:val="single" w:color="auto" w:sz="4" w:space="0"/>
              <w:left w:val="single" w:color="auto" w:sz="4" w:space="0"/>
              <w:bottom w:val="single" w:color="auto" w:sz="4" w:space="0"/>
              <w:right w:val="single" w:color="auto" w:sz="4" w:space="0"/>
            </w:tcBorders>
            <w:vAlign w:val="center"/>
          </w:tcPr>
          <w:p w14:paraId="0491C352">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46EEF67E">
        <w:tblPrEx>
          <w:tblCellMar>
            <w:top w:w="0" w:type="dxa"/>
            <w:left w:w="108" w:type="dxa"/>
            <w:bottom w:w="0" w:type="dxa"/>
            <w:right w:w="108" w:type="dxa"/>
          </w:tblCellMar>
        </w:tblPrEx>
        <w:trPr>
          <w:trHeight w:val="454" w:hRule="atLeast"/>
        </w:trPr>
        <w:tc>
          <w:tcPr>
            <w:tcW w:w="751" w:type="dxa"/>
            <w:tcBorders>
              <w:top w:val="single" w:color="auto" w:sz="4" w:space="0"/>
              <w:left w:val="single" w:color="auto" w:sz="4" w:space="0"/>
              <w:bottom w:val="single" w:color="auto" w:sz="4" w:space="0"/>
              <w:right w:val="single" w:color="auto" w:sz="4" w:space="0"/>
            </w:tcBorders>
            <w:vAlign w:val="center"/>
          </w:tcPr>
          <w:p w14:paraId="629DF054">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36</w:t>
            </w:r>
          </w:p>
        </w:tc>
        <w:tc>
          <w:tcPr>
            <w:tcW w:w="1091" w:type="dxa"/>
            <w:gridSpan w:val="2"/>
            <w:vMerge w:val="continue"/>
            <w:tcBorders>
              <w:left w:val="single" w:color="auto" w:sz="4" w:space="0"/>
              <w:right w:val="single" w:color="auto" w:sz="4" w:space="0"/>
            </w:tcBorders>
            <w:vAlign w:val="center"/>
          </w:tcPr>
          <w:p w14:paraId="4547076C">
            <w:pPr>
              <w:spacing w:line="400" w:lineRule="exact"/>
              <w:jc w:val="center"/>
              <w:rPr>
                <w:rFonts w:hint="default" w:ascii="Times New Roman" w:hAnsi="Times New Roman" w:eastAsia="仿宋_GB2312" w:cs="Times New Roman"/>
                <w:color w:val="auto"/>
                <w:sz w:val="24"/>
                <w:szCs w:val="24"/>
                <w:highlight w:val="none"/>
              </w:rPr>
            </w:pPr>
          </w:p>
        </w:tc>
        <w:tc>
          <w:tcPr>
            <w:tcW w:w="6664" w:type="dxa"/>
            <w:gridSpan w:val="3"/>
            <w:tcBorders>
              <w:top w:val="single" w:color="auto" w:sz="4" w:space="0"/>
              <w:left w:val="single" w:color="auto" w:sz="4" w:space="0"/>
              <w:bottom w:val="single" w:color="auto" w:sz="4" w:space="0"/>
              <w:right w:val="single" w:color="auto" w:sz="4" w:space="0"/>
            </w:tcBorders>
            <w:vAlign w:val="center"/>
          </w:tcPr>
          <w:p w14:paraId="436C8D17">
            <w:pPr>
              <w:widowControl/>
              <w:spacing w:line="360" w:lineRule="exact"/>
              <w:jc w:val="left"/>
              <w:rPr>
                <w:rFonts w:hint="default" w:ascii="Times New Roman" w:hAnsi="Times New Roman" w:eastAsia="仿宋_GB2312" w:cs="Times New Roman"/>
                <w:color w:val="auto"/>
                <w:kern w:val="0"/>
                <w:sz w:val="24"/>
                <w:szCs w:val="24"/>
                <w:highlight w:val="none"/>
                <w:lang w:bidi="th-TH"/>
              </w:rPr>
            </w:pPr>
            <w:r>
              <w:rPr>
                <w:rFonts w:hint="default" w:ascii="Times New Roman" w:hAnsi="Times New Roman" w:eastAsia="仿宋_GB2312" w:cs="Times New Roman"/>
                <w:color w:val="auto"/>
                <w:kern w:val="0"/>
                <w:sz w:val="24"/>
                <w:szCs w:val="24"/>
                <w:highlight w:val="none"/>
                <w:lang w:bidi="th-TH"/>
              </w:rPr>
              <w:t>建立各类台帐、记录齐全，填写标准。</w:t>
            </w:r>
          </w:p>
        </w:tc>
        <w:tc>
          <w:tcPr>
            <w:tcW w:w="830" w:type="dxa"/>
            <w:tcBorders>
              <w:top w:val="single" w:color="auto" w:sz="4" w:space="0"/>
              <w:left w:val="single" w:color="auto" w:sz="4" w:space="0"/>
              <w:bottom w:val="single" w:color="auto" w:sz="4" w:space="0"/>
              <w:right w:val="single" w:color="auto" w:sz="4" w:space="0"/>
            </w:tcBorders>
            <w:vAlign w:val="center"/>
          </w:tcPr>
          <w:p w14:paraId="583CE6FB">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w:t>
            </w:r>
          </w:p>
        </w:tc>
        <w:tc>
          <w:tcPr>
            <w:tcW w:w="794" w:type="dxa"/>
            <w:tcBorders>
              <w:top w:val="single" w:color="auto" w:sz="4" w:space="0"/>
              <w:left w:val="single" w:color="auto" w:sz="4" w:space="0"/>
              <w:bottom w:val="single" w:color="auto" w:sz="4" w:space="0"/>
              <w:right w:val="single" w:color="auto" w:sz="4" w:space="0"/>
            </w:tcBorders>
            <w:vAlign w:val="center"/>
          </w:tcPr>
          <w:p w14:paraId="2E31CF0A">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29D6B35C">
        <w:tblPrEx>
          <w:tblCellMar>
            <w:top w:w="0" w:type="dxa"/>
            <w:left w:w="108" w:type="dxa"/>
            <w:bottom w:w="0" w:type="dxa"/>
            <w:right w:w="108" w:type="dxa"/>
          </w:tblCellMar>
        </w:tblPrEx>
        <w:trPr>
          <w:trHeight w:val="454" w:hRule="atLeast"/>
        </w:trPr>
        <w:tc>
          <w:tcPr>
            <w:tcW w:w="751" w:type="dxa"/>
            <w:tcBorders>
              <w:top w:val="single" w:color="auto" w:sz="4" w:space="0"/>
              <w:left w:val="single" w:color="auto" w:sz="4" w:space="0"/>
              <w:bottom w:val="single" w:color="auto" w:sz="4" w:space="0"/>
              <w:right w:val="single" w:color="auto" w:sz="4" w:space="0"/>
            </w:tcBorders>
            <w:vAlign w:val="center"/>
          </w:tcPr>
          <w:p w14:paraId="31C2BEFF">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37</w:t>
            </w:r>
          </w:p>
        </w:tc>
        <w:tc>
          <w:tcPr>
            <w:tcW w:w="1091" w:type="dxa"/>
            <w:gridSpan w:val="2"/>
            <w:vMerge w:val="continue"/>
            <w:tcBorders>
              <w:left w:val="single" w:color="auto" w:sz="4" w:space="0"/>
              <w:right w:val="single" w:color="auto" w:sz="4" w:space="0"/>
            </w:tcBorders>
            <w:vAlign w:val="center"/>
          </w:tcPr>
          <w:p w14:paraId="09C7C4C8">
            <w:pPr>
              <w:spacing w:line="400" w:lineRule="exact"/>
              <w:jc w:val="center"/>
              <w:rPr>
                <w:rFonts w:hint="default" w:ascii="Times New Roman" w:hAnsi="Times New Roman" w:eastAsia="仿宋_GB2312" w:cs="Times New Roman"/>
                <w:color w:val="auto"/>
                <w:sz w:val="24"/>
                <w:szCs w:val="24"/>
                <w:highlight w:val="none"/>
              </w:rPr>
            </w:pPr>
          </w:p>
        </w:tc>
        <w:tc>
          <w:tcPr>
            <w:tcW w:w="6664" w:type="dxa"/>
            <w:gridSpan w:val="3"/>
            <w:tcBorders>
              <w:top w:val="single" w:color="auto" w:sz="4" w:space="0"/>
              <w:left w:val="single" w:color="auto" w:sz="4" w:space="0"/>
              <w:bottom w:val="single" w:color="auto" w:sz="4" w:space="0"/>
              <w:right w:val="single" w:color="auto" w:sz="4" w:space="0"/>
            </w:tcBorders>
            <w:vAlign w:val="center"/>
          </w:tcPr>
          <w:p w14:paraId="2D86C116">
            <w:pPr>
              <w:widowControl/>
              <w:spacing w:line="360" w:lineRule="exact"/>
              <w:jc w:val="left"/>
              <w:rPr>
                <w:rFonts w:hint="default" w:ascii="Times New Roman" w:hAnsi="Times New Roman" w:eastAsia="仿宋_GB2312" w:cs="Times New Roman"/>
                <w:color w:val="auto"/>
                <w:kern w:val="0"/>
                <w:sz w:val="24"/>
                <w:szCs w:val="24"/>
                <w:highlight w:val="none"/>
                <w:lang w:bidi="th-TH"/>
              </w:rPr>
            </w:pPr>
            <w:r>
              <w:rPr>
                <w:rFonts w:hint="default" w:ascii="Times New Roman" w:hAnsi="Times New Roman" w:eastAsia="仿宋_GB2312" w:cs="Times New Roman"/>
                <w:color w:val="auto"/>
                <w:kern w:val="0"/>
                <w:sz w:val="24"/>
                <w:szCs w:val="24"/>
                <w:highlight w:val="none"/>
                <w:lang w:bidi="th-TH"/>
              </w:rPr>
              <w:t>建立突发状况应急制度</w:t>
            </w:r>
          </w:p>
        </w:tc>
        <w:tc>
          <w:tcPr>
            <w:tcW w:w="830" w:type="dxa"/>
            <w:tcBorders>
              <w:top w:val="single" w:color="auto" w:sz="4" w:space="0"/>
              <w:left w:val="single" w:color="auto" w:sz="4" w:space="0"/>
              <w:bottom w:val="single" w:color="auto" w:sz="4" w:space="0"/>
              <w:right w:val="single" w:color="auto" w:sz="4" w:space="0"/>
            </w:tcBorders>
            <w:vAlign w:val="center"/>
          </w:tcPr>
          <w:p w14:paraId="3D2CEFDE">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w:t>
            </w:r>
          </w:p>
        </w:tc>
        <w:tc>
          <w:tcPr>
            <w:tcW w:w="794" w:type="dxa"/>
            <w:tcBorders>
              <w:top w:val="single" w:color="auto" w:sz="4" w:space="0"/>
              <w:left w:val="single" w:color="auto" w:sz="4" w:space="0"/>
              <w:bottom w:val="single" w:color="auto" w:sz="4" w:space="0"/>
              <w:right w:val="single" w:color="auto" w:sz="4" w:space="0"/>
            </w:tcBorders>
            <w:vAlign w:val="center"/>
          </w:tcPr>
          <w:p w14:paraId="2521D536">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73A357BB">
        <w:tblPrEx>
          <w:tblCellMar>
            <w:top w:w="0" w:type="dxa"/>
            <w:left w:w="108" w:type="dxa"/>
            <w:bottom w:w="0" w:type="dxa"/>
            <w:right w:w="108" w:type="dxa"/>
          </w:tblCellMar>
        </w:tblPrEx>
        <w:trPr>
          <w:trHeight w:val="454" w:hRule="atLeast"/>
        </w:trPr>
        <w:tc>
          <w:tcPr>
            <w:tcW w:w="751" w:type="dxa"/>
            <w:tcBorders>
              <w:top w:val="single" w:color="auto" w:sz="4" w:space="0"/>
              <w:left w:val="single" w:color="auto" w:sz="4" w:space="0"/>
              <w:bottom w:val="single" w:color="auto" w:sz="4" w:space="0"/>
              <w:right w:val="single" w:color="auto" w:sz="4" w:space="0"/>
            </w:tcBorders>
            <w:vAlign w:val="center"/>
          </w:tcPr>
          <w:p w14:paraId="431B9D81">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38</w:t>
            </w:r>
          </w:p>
        </w:tc>
        <w:tc>
          <w:tcPr>
            <w:tcW w:w="1091" w:type="dxa"/>
            <w:gridSpan w:val="2"/>
            <w:vMerge w:val="continue"/>
            <w:tcBorders>
              <w:left w:val="single" w:color="auto" w:sz="4" w:space="0"/>
              <w:bottom w:val="single" w:color="auto" w:sz="4" w:space="0"/>
              <w:right w:val="single" w:color="auto" w:sz="4" w:space="0"/>
            </w:tcBorders>
            <w:vAlign w:val="center"/>
          </w:tcPr>
          <w:p w14:paraId="44C58E7E">
            <w:pPr>
              <w:spacing w:line="400" w:lineRule="exact"/>
              <w:jc w:val="center"/>
              <w:rPr>
                <w:rFonts w:hint="default" w:ascii="Times New Roman" w:hAnsi="Times New Roman" w:eastAsia="仿宋_GB2312" w:cs="Times New Roman"/>
                <w:color w:val="auto"/>
                <w:sz w:val="24"/>
                <w:szCs w:val="24"/>
                <w:highlight w:val="none"/>
              </w:rPr>
            </w:pPr>
          </w:p>
        </w:tc>
        <w:tc>
          <w:tcPr>
            <w:tcW w:w="6664" w:type="dxa"/>
            <w:gridSpan w:val="3"/>
            <w:tcBorders>
              <w:top w:val="single" w:color="auto" w:sz="4" w:space="0"/>
              <w:left w:val="single" w:color="auto" w:sz="4" w:space="0"/>
              <w:bottom w:val="single" w:color="auto" w:sz="4" w:space="0"/>
              <w:right w:val="single" w:color="auto" w:sz="4" w:space="0"/>
            </w:tcBorders>
            <w:vAlign w:val="center"/>
          </w:tcPr>
          <w:p w14:paraId="2EEBF8D6">
            <w:pPr>
              <w:widowControl/>
              <w:spacing w:line="360" w:lineRule="exact"/>
              <w:jc w:val="left"/>
              <w:rPr>
                <w:rFonts w:hint="default" w:ascii="Times New Roman" w:hAnsi="Times New Roman" w:eastAsia="仿宋_GB2312" w:cs="Times New Roman"/>
                <w:color w:val="auto"/>
                <w:kern w:val="0"/>
                <w:sz w:val="24"/>
                <w:szCs w:val="24"/>
                <w:highlight w:val="none"/>
                <w:lang w:bidi="th-TH"/>
              </w:rPr>
            </w:pPr>
            <w:r>
              <w:rPr>
                <w:rFonts w:hint="default" w:ascii="Times New Roman" w:hAnsi="Times New Roman" w:eastAsia="仿宋_GB2312" w:cs="Times New Roman"/>
                <w:color w:val="auto"/>
                <w:kern w:val="0"/>
                <w:sz w:val="24"/>
                <w:szCs w:val="24"/>
                <w:highlight w:val="none"/>
                <w:lang w:bidi="th-TH"/>
              </w:rPr>
              <w:t>定时抽查各岗位服务工作</w:t>
            </w:r>
          </w:p>
        </w:tc>
        <w:tc>
          <w:tcPr>
            <w:tcW w:w="830" w:type="dxa"/>
            <w:tcBorders>
              <w:top w:val="single" w:color="auto" w:sz="4" w:space="0"/>
              <w:left w:val="single" w:color="auto" w:sz="4" w:space="0"/>
              <w:bottom w:val="single" w:color="auto" w:sz="4" w:space="0"/>
              <w:right w:val="single" w:color="auto" w:sz="4" w:space="0"/>
            </w:tcBorders>
            <w:vAlign w:val="center"/>
          </w:tcPr>
          <w:p w14:paraId="6E3C7EB8">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w:t>
            </w:r>
          </w:p>
        </w:tc>
        <w:tc>
          <w:tcPr>
            <w:tcW w:w="794" w:type="dxa"/>
            <w:tcBorders>
              <w:top w:val="single" w:color="auto" w:sz="4" w:space="0"/>
              <w:left w:val="single" w:color="auto" w:sz="4" w:space="0"/>
              <w:bottom w:val="single" w:color="auto" w:sz="4" w:space="0"/>
              <w:right w:val="single" w:color="auto" w:sz="4" w:space="0"/>
            </w:tcBorders>
            <w:vAlign w:val="center"/>
          </w:tcPr>
          <w:p w14:paraId="78808BCE">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46ED3A43">
        <w:tblPrEx>
          <w:tblCellMar>
            <w:top w:w="0" w:type="dxa"/>
            <w:left w:w="108" w:type="dxa"/>
            <w:bottom w:w="0" w:type="dxa"/>
            <w:right w:w="108" w:type="dxa"/>
          </w:tblCellMar>
        </w:tblPrEx>
        <w:trPr>
          <w:trHeight w:val="537" w:hRule="atLeast"/>
        </w:trPr>
        <w:tc>
          <w:tcPr>
            <w:tcW w:w="1485" w:type="dxa"/>
            <w:gridSpan w:val="2"/>
            <w:tcBorders>
              <w:top w:val="single" w:color="auto" w:sz="4" w:space="0"/>
              <w:left w:val="single" w:color="auto" w:sz="4" w:space="0"/>
              <w:bottom w:val="single" w:color="auto" w:sz="4" w:space="0"/>
              <w:right w:val="single" w:color="auto" w:sz="4" w:space="0"/>
            </w:tcBorders>
            <w:vAlign w:val="center"/>
          </w:tcPr>
          <w:p w14:paraId="6083599E">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分值合计</w:t>
            </w:r>
          </w:p>
        </w:tc>
        <w:tc>
          <w:tcPr>
            <w:tcW w:w="3467" w:type="dxa"/>
            <w:gridSpan w:val="2"/>
            <w:tcBorders>
              <w:top w:val="single" w:color="auto" w:sz="4" w:space="0"/>
              <w:left w:val="single" w:color="auto" w:sz="4" w:space="0"/>
              <w:bottom w:val="single" w:color="auto" w:sz="4" w:space="0"/>
              <w:right w:val="single" w:color="auto" w:sz="4" w:space="0"/>
            </w:tcBorders>
            <w:vAlign w:val="center"/>
          </w:tcPr>
          <w:p w14:paraId="4E471017">
            <w:pPr>
              <w:spacing w:line="480" w:lineRule="auto"/>
              <w:ind w:left="0" w:leftChars="0" w:firstLine="0" w:firstLineChars="0"/>
              <w:jc w:val="left"/>
              <w:rPr>
                <w:rFonts w:hint="default" w:ascii="Times New Roman" w:hAnsi="Times New Roman" w:eastAsia="仿宋_GB2312" w:cs="Times New Roman"/>
                <w:color w:val="auto"/>
                <w:sz w:val="24"/>
                <w:szCs w:val="24"/>
                <w:highlight w:val="none"/>
              </w:rPr>
            </w:pPr>
          </w:p>
        </w:tc>
        <w:tc>
          <w:tcPr>
            <w:tcW w:w="2035" w:type="dxa"/>
            <w:tcBorders>
              <w:top w:val="single" w:color="auto" w:sz="4" w:space="0"/>
              <w:left w:val="single" w:color="auto" w:sz="4" w:space="0"/>
              <w:bottom w:val="single" w:color="auto" w:sz="4" w:space="0"/>
              <w:right w:val="single" w:color="auto" w:sz="4" w:space="0"/>
            </w:tcBorders>
            <w:vAlign w:val="center"/>
          </w:tcPr>
          <w:p w14:paraId="4C2DF68B">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评定等级</w:t>
            </w:r>
          </w:p>
        </w:tc>
        <w:tc>
          <w:tcPr>
            <w:tcW w:w="3143" w:type="dxa"/>
            <w:gridSpan w:val="3"/>
            <w:tcBorders>
              <w:top w:val="single" w:color="auto" w:sz="4" w:space="0"/>
              <w:left w:val="single" w:color="auto" w:sz="4" w:space="0"/>
              <w:bottom w:val="single" w:color="auto" w:sz="4" w:space="0"/>
              <w:right w:val="single" w:color="auto" w:sz="4" w:space="0"/>
            </w:tcBorders>
            <w:vAlign w:val="center"/>
          </w:tcPr>
          <w:p w14:paraId="2A14F29E">
            <w:pPr>
              <w:spacing w:line="480" w:lineRule="auto"/>
              <w:ind w:left="0" w:leftChars="0" w:firstLine="0" w:firstLineChars="0"/>
              <w:jc w:val="center"/>
              <w:rPr>
                <w:rFonts w:hint="default" w:ascii="Times New Roman" w:hAnsi="Times New Roman" w:eastAsia="仿宋_GB2312" w:cs="Times New Roman"/>
                <w:color w:val="auto"/>
                <w:sz w:val="24"/>
                <w:szCs w:val="24"/>
                <w:highlight w:val="none"/>
              </w:rPr>
            </w:pPr>
          </w:p>
        </w:tc>
      </w:tr>
      <w:tr w14:paraId="0E1D618B">
        <w:tblPrEx>
          <w:tblCellMar>
            <w:top w:w="0" w:type="dxa"/>
            <w:left w:w="108" w:type="dxa"/>
            <w:bottom w:w="0" w:type="dxa"/>
            <w:right w:w="108" w:type="dxa"/>
          </w:tblCellMar>
        </w:tblPrEx>
        <w:trPr>
          <w:trHeight w:val="743" w:hRule="atLeast"/>
        </w:trPr>
        <w:tc>
          <w:tcPr>
            <w:tcW w:w="10130" w:type="dxa"/>
            <w:gridSpan w:val="8"/>
            <w:tcBorders>
              <w:top w:val="single" w:color="auto" w:sz="4" w:space="0"/>
              <w:left w:val="single" w:color="auto" w:sz="4" w:space="0"/>
              <w:bottom w:val="single" w:color="auto" w:sz="4" w:space="0"/>
              <w:right w:val="single" w:color="auto" w:sz="4" w:space="0"/>
            </w:tcBorders>
            <w:vAlign w:val="center"/>
          </w:tcPr>
          <w:p w14:paraId="6F823001">
            <w:pPr>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所服务单位按季度对成交供应商进行考核，根据考核内容进行打分并评定等级：优秀（100分～95分）、良好（94分～86分）、合格（85分～80分）、不合格（79分及以下），未达标准（评定等级为不合格）的从当季度应付款中扣除10‰服务费。连续两季度达不到标准且未及时整改的，所服务单位将书面通知教育局，教育局有权终止合同。</w:t>
            </w:r>
          </w:p>
        </w:tc>
      </w:tr>
    </w:tbl>
    <w:p w14:paraId="6CCE89F8">
      <w:pPr>
        <w:ind w:left="0" w:leftChars="0" w:firstLine="0" w:firstLineChars="0"/>
        <w:rPr>
          <w:rFonts w:ascii="黑体" w:hAnsi="黑体" w:eastAsia="黑体" w:cs="宋体"/>
          <w:color w:val="auto"/>
          <w:sz w:val="28"/>
          <w:szCs w:val="28"/>
          <w:highlight w:val="none"/>
        </w:rPr>
      </w:pPr>
    </w:p>
    <w:p w14:paraId="196FA149">
      <w:pPr>
        <w:pStyle w:val="513"/>
        <w:ind w:left="0" w:leftChars="0" w:firstLine="0" w:firstLineChars="0"/>
        <w:rPr>
          <w:color w:val="auto"/>
          <w:highlight w:val="none"/>
          <w:lang w:val="en-US"/>
        </w:rPr>
        <w:sectPr>
          <w:headerReference r:id="rId4" w:type="first"/>
          <w:footerReference r:id="rId7" w:type="first"/>
          <w:headerReference r:id="rId3" w:type="default"/>
          <w:footerReference r:id="rId5" w:type="default"/>
          <w:footerReference r:id="rId6" w:type="even"/>
          <w:pgSz w:w="11906" w:h="16838"/>
          <w:pgMar w:top="1247" w:right="849" w:bottom="1247" w:left="1418" w:header="851" w:footer="992" w:gutter="0"/>
          <w:cols w:space="720" w:num="1"/>
          <w:docGrid w:type="lines" w:linePitch="312" w:charSpace="0"/>
        </w:sectPr>
      </w:pPr>
    </w:p>
    <w:p w14:paraId="291D28BC">
      <w:pPr>
        <w:spacing w:line="360" w:lineRule="auto"/>
        <w:jc w:val="center"/>
        <w:outlineLvl w:val="0"/>
        <w:rPr>
          <w:rFonts w:ascii="宋体" w:hAnsi="宋体" w:cs="宋体"/>
          <w:b/>
          <w:color w:val="auto"/>
          <w:sz w:val="36"/>
          <w:szCs w:val="36"/>
          <w:highlight w:val="none"/>
        </w:rPr>
      </w:pPr>
      <w:bookmarkStart w:id="38" w:name="_Toc176368905"/>
      <w:r>
        <w:rPr>
          <w:rFonts w:hint="eastAsia" w:ascii="宋体" w:hAnsi="宋体" w:cs="宋体"/>
          <w:b/>
          <w:color w:val="auto"/>
          <w:sz w:val="36"/>
          <w:szCs w:val="36"/>
          <w:highlight w:val="none"/>
        </w:rPr>
        <w:t>第四部分</w:t>
      </w:r>
      <w:bookmarkStart w:id="39" w:name="_Toc184312110"/>
      <w:bookmarkEnd w:id="39"/>
      <w:bookmarkStart w:id="40" w:name="_Toc184308086"/>
      <w:bookmarkEnd w:id="40"/>
      <w:bookmarkStart w:id="41" w:name="_Toc184308055"/>
      <w:bookmarkEnd w:id="41"/>
      <w:bookmarkStart w:id="42" w:name="_Toc184313289"/>
      <w:bookmarkEnd w:id="42"/>
      <w:bookmarkStart w:id="43" w:name="_Toc184313297"/>
      <w:bookmarkEnd w:id="43"/>
      <w:bookmarkStart w:id="44" w:name="_Toc184308043"/>
      <w:bookmarkEnd w:id="44"/>
      <w:bookmarkStart w:id="45" w:name="_Toc184312101"/>
      <w:bookmarkEnd w:id="45"/>
      <w:bookmarkStart w:id="46" w:name="_Toc184310294"/>
      <w:bookmarkEnd w:id="46"/>
      <w:bookmarkStart w:id="47" w:name="_Toc184308066"/>
      <w:bookmarkEnd w:id="47"/>
      <w:bookmarkStart w:id="48" w:name="_Toc184312135"/>
      <w:bookmarkEnd w:id="48"/>
      <w:bookmarkStart w:id="49" w:name="_Toc184312076"/>
      <w:bookmarkEnd w:id="49"/>
      <w:bookmarkStart w:id="50" w:name="_Toc184308082"/>
      <w:bookmarkEnd w:id="50"/>
      <w:bookmarkStart w:id="51" w:name="_Toc184312122"/>
      <w:bookmarkEnd w:id="51"/>
      <w:bookmarkStart w:id="52" w:name="_Toc184312067"/>
      <w:bookmarkEnd w:id="52"/>
      <w:bookmarkStart w:id="53" w:name="_Toc184314469"/>
      <w:bookmarkEnd w:id="53"/>
      <w:bookmarkStart w:id="54" w:name="_Toc184308051"/>
      <w:bookmarkEnd w:id="54"/>
      <w:bookmarkStart w:id="55" w:name="_Toc184314443"/>
      <w:bookmarkEnd w:id="55"/>
      <w:bookmarkStart w:id="56" w:name="_Toc184308078"/>
      <w:bookmarkEnd w:id="56"/>
      <w:bookmarkStart w:id="57" w:name="_Toc184308058"/>
      <w:bookmarkEnd w:id="57"/>
      <w:bookmarkStart w:id="58" w:name="_Toc184314431"/>
      <w:bookmarkEnd w:id="58"/>
      <w:bookmarkStart w:id="59" w:name="_Toc184314459"/>
      <w:bookmarkEnd w:id="59"/>
      <w:bookmarkStart w:id="60" w:name="_Toc184314479"/>
      <w:bookmarkEnd w:id="60"/>
      <w:bookmarkStart w:id="61" w:name="_Toc184312074"/>
      <w:bookmarkEnd w:id="61"/>
      <w:bookmarkStart w:id="62" w:name="_Toc184313239"/>
      <w:bookmarkEnd w:id="62"/>
      <w:bookmarkStart w:id="63" w:name="_Toc184308037"/>
      <w:bookmarkEnd w:id="63"/>
      <w:bookmarkStart w:id="64" w:name="_Toc184312117"/>
      <w:bookmarkEnd w:id="64"/>
      <w:bookmarkStart w:id="65" w:name="_Toc184313262"/>
      <w:bookmarkEnd w:id="65"/>
      <w:bookmarkStart w:id="66" w:name="_Toc184314447"/>
      <w:bookmarkEnd w:id="66"/>
      <w:bookmarkStart w:id="67" w:name="_Toc184314463"/>
      <w:bookmarkEnd w:id="67"/>
      <w:bookmarkStart w:id="68" w:name="_Toc184313264"/>
      <w:bookmarkEnd w:id="68"/>
      <w:bookmarkStart w:id="69" w:name="_Toc184310277"/>
      <w:bookmarkEnd w:id="69"/>
      <w:bookmarkStart w:id="70" w:name="_Toc184312128"/>
      <w:bookmarkEnd w:id="70"/>
      <w:bookmarkStart w:id="71" w:name="_Toc184314441"/>
      <w:bookmarkEnd w:id="71"/>
      <w:bookmarkStart w:id="72" w:name="_Toc184313293"/>
      <w:bookmarkEnd w:id="72"/>
      <w:bookmarkStart w:id="73" w:name="_Toc184312081"/>
      <w:bookmarkEnd w:id="73"/>
      <w:bookmarkStart w:id="74" w:name="_Toc184310344"/>
      <w:bookmarkEnd w:id="74"/>
      <w:bookmarkStart w:id="75" w:name="_Toc184312125"/>
      <w:bookmarkEnd w:id="75"/>
      <w:bookmarkStart w:id="76" w:name="_Toc184313259"/>
      <w:bookmarkEnd w:id="76"/>
      <w:bookmarkStart w:id="77" w:name="_Toc184308091"/>
      <w:bookmarkEnd w:id="77"/>
      <w:bookmarkStart w:id="78" w:name="_Toc184312084"/>
      <w:bookmarkEnd w:id="78"/>
      <w:bookmarkStart w:id="79" w:name="_Toc184310321"/>
      <w:bookmarkEnd w:id="79"/>
      <w:bookmarkStart w:id="80" w:name="_Toc184312083"/>
      <w:bookmarkEnd w:id="80"/>
      <w:bookmarkStart w:id="81" w:name="_Toc184312100"/>
      <w:bookmarkEnd w:id="81"/>
      <w:bookmarkStart w:id="82" w:name="_Toc184310318"/>
      <w:bookmarkEnd w:id="82"/>
      <w:bookmarkStart w:id="83" w:name="_Toc184310315"/>
      <w:bookmarkEnd w:id="83"/>
      <w:bookmarkStart w:id="84" w:name="_Toc184312072"/>
      <w:bookmarkEnd w:id="84"/>
      <w:bookmarkStart w:id="85" w:name="_Toc184314466"/>
      <w:bookmarkEnd w:id="85"/>
      <w:bookmarkStart w:id="86" w:name="_Toc184312068"/>
      <w:bookmarkEnd w:id="86"/>
      <w:bookmarkStart w:id="87" w:name="_Toc184312092"/>
      <w:bookmarkEnd w:id="87"/>
      <w:bookmarkStart w:id="88" w:name="_Toc184314474"/>
      <w:bookmarkEnd w:id="88"/>
      <w:bookmarkStart w:id="89" w:name="_Toc184313273"/>
      <w:bookmarkEnd w:id="89"/>
      <w:bookmarkStart w:id="90" w:name="_Toc184313303"/>
      <w:bookmarkEnd w:id="90"/>
      <w:bookmarkStart w:id="91" w:name="_Toc184314438"/>
      <w:bookmarkEnd w:id="91"/>
      <w:bookmarkStart w:id="92" w:name="_Toc184310279"/>
      <w:bookmarkEnd w:id="92"/>
      <w:bookmarkStart w:id="93" w:name="_Toc184314442"/>
      <w:bookmarkEnd w:id="93"/>
      <w:bookmarkStart w:id="94" w:name="_Toc184313253"/>
      <w:bookmarkEnd w:id="94"/>
      <w:bookmarkStart w:id="95" w:name="_Toc184313270"/>
      <w:bookmarkEnd w:id="95"/>
      <w:bookmarkStart w:id="96" w:name="_Toc184314468"/>
      <w:bookmarkEnd w:id="96"/>
      <w:bookmarkStart w:id="97" w:name="_Toc184312096"/>
      <w:bookmarkEnd w:id="97"/>
      <w:bookmarkStart w:id="98" w:name="_Toc184314416"/>
      <w:bookmarkEnd w:id="98"/>
      <w:bookmarkStart w:id="99" w:name="_Toc184308056"/>
      <w:bookmarkEnd w:id="99"/>
      <w:bookmarkStart w:id="100" w:name="_Toc184308081"/>
      <w:bookmarkEnd w:id="100"/>
      <w:bookmarkStart w:id="101" w:name="_Toc184308057"/>
      <w:bookmarkEnd w:id="101"/>
      <w:bookmarkStart w:id="102" w:name="_Toc184312095"/>
      <w:bookmarkEnd w:id="102"/>
      <w:bookmarkStart w:id="103" w:name="_Toc184312105"/>
      <w:bookmarkEnd w:id="103"/>
      <w:bookmarkStart w:id="104" w:name="_Toc184310322"/>
      <w:bookmarkEnd w:id="104"/>
      <w:bookmarkStart w:id="105" w:name="_Toc184310292"/>
      <w:bookmarkEnd w:id="105"/>
      <w:bookmarkStart w:id="106" w:name="_Toc184313257"/>
      <w:bookmarkEnd w:id="106"/>
      <w:bookmarkStart w:id="107" w:name="_Toc184312108"/>
      <w:bookmarkEnd w:id="107"/>
      <w:bookmarkStart w:id="108" w:name="_Toc184312120"/>
      <w:bookmarkEnd w:id="108"/>
      <w:bookmarkStart w:id="109" w:name="_Toc184314422"/>
      <w:bookmarkEnd w:id="109"/>
      <w:bookmarkStart w:id="110" w:name="_Toc184313272"/>
      <w:bookmarkEnd w:id="110"/>
      <w:bookmarkStart w:id="111" w:name="_Toc184308105"/>
      <w:bookmarkEnd w:id="111"/>
      <w:bookmarkStart w:id="112" w:name="_Toc184310283"/>
      <w:bookmarkEnd w:id="112"/>
      <w:bookmarkStart w:id="113" w:name="_Toc184310331"/>
      <w:bookmarkEnd w:id="113"/>
      <w:bookmarkStart w:id="114" w:name="_Toc184313254"/>
      <w:bookmarkEnd w:id="114"/>
      <w:bookmarkStart w:id="115" w:name="_Toc184313280"/>
      <w:bookmarkEnd w:id="115"/>
      <w:bookmarkStart w:id="116" w:name="_Toc184314465"/>
      <w:bookmarkEnd w:id="116"/>
      <w:bookmarkStart w:id="117" w:name="_Toc184310301"/>
      <w:bookmarkEnd w:id="117"/>
      <w:bookmarkStart w:id="118" w:name="_Toc184313238"/>
      <w:bookmarkEnd w:id="118"/>
      <w:bookmarkStart w:id="119" w:name="_Toc184313263"/>
      <w:bookmarkEnd w:id="119"/>
      <w:bookmarkStart w:id="120" w:name="_Toc184314457"/>
      <w:bookmarkEnd w:id="120"/>
      <w:bookmarkStart w:id="121" w:name="_Toc184308093"/>
      <w:bookmarkEnd w:id="121"/>
      <w:bookmarkStart w:id="122" w:name="_Toc184312111"/>
      <w:bookmarkEnd w:id="122"/>
      <w:bookmarkStart w:id="123" w:name="_Toc184313281"/>
      <w:bookmarkEnd w:id="123"/>
      <w:bookmarkStart w:id="124" w:name="_Toc184312115"/>
      <w:bookmarkEnd w:id="124"/>
      <w:bookmarkStart w:id="125" w:name="_Toc184308107"/>
      <w:bookmarkEnd w:id="125"/>
      <w:bookmarkStart w:id="126" w:name="_Toc184314470"/>
      <w:bookmarkEnd w:id="126"/>
      <w:bookmarkStart w:id="127" w:name="_Toc184310300"/>
      <w:bookmarkEnd w:id="127"/>
      <w:bookmarkStart w:id="128" w:name="_Toc184310287"/>
      <w:bookmarkEnd w:id="128"/>
      <w:bookmarkStart w:id="129" w:name="_Toc184314417"/>
      <w:bookmarkEnd w:id="129"/>
      <w:bookmarkStart w:id="130" w:name="_Toc184310337"/>
      <w:bookmarkEnd w:id="130"/>
      <w:bookmarkStart w:id="131" w:name="_Toc184314428"/>
      <w:bookmarkEnd w:id="131"/>
      <w:bookmarkStart w:id="132" w:name="_Toc184310311"/>
      <w:bookmarkEnd w:id="132"/>
      <w:bookmarkStart w:id="133" w:name="_Toc184314419"/>
      <w:bookmarkEnd w:id="133"/>
      <w:bookmarkStart w:id="134" w:name="_Toc184310291"/>
      <w:bookmarkEnd w:id="134"/>
      <w:bookmarkStart w:id="135" w:name="_Toc184310275"/>
      <w:bookmarkEnd w:id="135"/>
      <w:bookmarkStart w:id="136" w:name="_Toc184313304"/>
      <w:bookmarkEnd w:id="136"/>
      <w:bookmarkStart w:id="137" w:name="_Toc184313279"/>
      <w:bookmarkEnd w:id="137"/>
      <w:bookmarkStart w:id="138" w:name="_Toc184313285"/>
      <w:bookmarkEnd w:id="138"/>
      <w:bookmarkStart w:id="139" w:name="_Toc184314481"/>
      <w:bookmarkEnd w:id="139"/>
      <w:bookmarkStart w:id="140" w:name="_Toc184312102"/>
      <w:bookmarkEnd w:id="140"/>
      <w:bookmarkStart w:id="141" w:name="_Toc184308038"/>
      <w:bookmarkEnd w:id="141"/>
      <w:bookmarkStart w:id="142" w:name="_Toc184310303"/>
      <w:bookmarkEnd w:id="142"/>
      <w:bookmarkStart w:id="143" w:name="_Toc184308102"/>
      <w:bookmarkEnd w:id="143"/>
      <w:bookmarkStart w:id="144" w:name="_Toc184313243"/>
      <w:bookmarkEnd w:id="144"/>
      <w:bookmarkStart w:id="145" w:name="_Toc184308094"/>
      <w:bookmarkEnd w:id="145"/>
      <w:bookmarkStart w:id="146" w:name="_Toc184308090"/>
      <w:bookmarkEnd w:id="146"/>
      <w:bookmarkStart w:id="147" w:name="_Toc184314440"/>
      <w:bookmarkEnd w:id="147"/>
      <w:bookmarkStart w:id="148" w:name="_Toc184308065"/>
      <w:bookmarkEnd w:id="148"/>
      <w:bookmarkStart w:id="149" w:name="_Toc184308070"/>
      <w:bookmarkEnd w:id="149"/>
      <w:bookmarkStart w:id="150" w:name="_Toc184308054"/>
      <w:bookmarkEnd w:id="150"/>
      <w:bookmarkStart w:id="151" w:name="_Toc184314458"/>
      <w:bookmarkEnd w:id="151"/>
      <w:bookmarkStart w:id="152" w:name="_Toc184308061"/>
      <w:bookmarkEnd w:id="152"/>
      <w:bookmarkStart w:id="153" w:name="_Toc184310342"/>
      <w:bookmarkEnd w:id="153"/>
      <w:bookmarkStart w:id="154" w:name="_Toc184308087"/>
      <w:bookmarkEnd w:id="154"/>
      <w:bookmarkStart w:id="155" w:name="_Toc184314467"/>
      <w:bookmarkEnd w:id="155"/>
      <w:bookmarkStart w:id="156" w:name="_Toc184308062"/>
      <w:bookmarkEnd w:id="156"/>
      <w:bookmarkStart w:id="157" w:name="_Toc184308075"/>
      <w:bookmarkEnd w:id="157"/>
      <w:bookmarkStart w:id="158" w:name="_Toc184313308"/>
      <w:bookmarkEnd w:id="158"/>
      <w:bookmarkStart w:id="159" w:name="_Toc184308059"/>
      <w:bookmarkEnd w:id="159"/>
      <w:bookmarkStart w:id="160" w:name="_Toc184310328"/>
      <w:bookmarkEnd w:id="160"/>
      <w:bookmarkStart w:id="161" w:name="_Toc184310326"/>
      <w:bookmarkEnd w:id="161"/>
      <w:bookmarkStart w:id="162" w:name="_Toc184308089"/>
      <w:bookmarkEnd w:id="162"/>
      <w:bookmarkStart w:id="163" w:name="_Toc184308067"/>
      <w:bookmarkEnd w:id="163"/>
      <w:bookmarkStart w:id="164" w:name="_Toc184308044"/>
      <w:bookmarkEnd w:id="164"/>
      <w:bookmarkStart w:id="165" w:name="_Toc184314432"/>
      <w:bookmarkEnd w:id="165"/>
      <w:bookmarkStart w:id="166" w:name="_Toc184314480"/>
      <w:bookmarkEnd w:id="166"/>
      <w:bookmarkStart w:id="167" w:name="_Toc184308042"/>
      <w:bookmarkEnd w:id="167"/>
      <w:bookmarkStart w:id="168" w:name="_Toc184313267"/>
      <w:bookmarkEnd w:id="168"/>
      <w:bookmarkStart w:id="169" w:name="_Toc184313301"/>
      <w:bookmarkEnd w:id="169"/>
      <w:bookmarkStart w:id="170" w:name="_Toc184310333"/>
      <w:bookmarkEnd w:id="170"/>
      <w:bookmarkStart w:id="171" w:name="_Toc184312106"/>
      <w:bookmarkEnd w:id="171"/>
      <w:bookmarkStart w:id="172" w:name="_Toc184310297"/>
      <w:bookmarkEnd w:id="172"/>
      <w:bookmarkStart w:id="173" w:name="_Toc184312085"/>
      <w:bookmarkEnd w:id="173"/>
      <w:bookmarkStart w:id="174" w:name="_Toc184310339"/>
      <w:bookmarkEnd w:id="174"/>
      <w:bookmarkStart w:id="175" w:name="_Toc184312123"/>
      <w:bookmarkEnd w:id="175"/>
      <w:bookmarkStart w:id="176" w:name="_Toc184314482"/>
      <w:bookmarkEnd w:id="176"/>
      <w:bookmarkStart w:id="177" w:name="_Toc184310317"/>
      <w:bookmarkEnd w:id="177"/>
      <w:bookmarkStart w:id="178" w:name="_Toc184312098"/>
      <w:bookmarkEnd w:id="178"/>
      <w:bookmarkStart w:id="179" w:name="_Toc184314412"/>
      <w:bookmarkEnd w:id="179"/>
      <w:bookmarkStart w:id="180" w:name="_Toc184313298"/>
      <w:bookmarkEnd w:id="180"/>
      <w:bookmarkStart w:id="181" w:name="_Toc184314449"/>
      <w:bookmarkEnd w:id="181"/>
      <w:bookmarkStart w:id="182" w:name="_Toc184313288"/>
      <w:bookmarkEnd w:id="182"/>
      <w:bookmarkStart w:id="183" w:name="_Toc184314473"/>
      <w:bookmarkEnd w:id="183"/>
      <w:bookmarkStart w:id="184" w:name="_Toc184310341"/>
      <w:bookmarkEnd w:id="184"/>
      <w:bookmarkStart w:id="185" w:name="_Toc184313274"/>
      <w:bookmarkEnd w:id="185"/>
      <w:bookmarkStart w:id="186" w:name="_Toc184310281"/>
      <w:bookmarkEnd w:id="186"/>
      <w:bookmarkStart w:id="187" w:name="_Toc184312127"/>
      <w:bookmarkEnd w:id="187"/>
      <w:bookmarkStart w:id="188" w:name="_Toc184313241"/>
      <w:bookmarkEnd w:id="188"/>
      <w:bookmarkStart w:id="189" w:name="_Toc184308064"/>
      <w:bookmarkEnd w:id="189"/>
      <w:bookmarkStart w:id="190" w:name="_Toc184314462"/>
      <w:bookmarkEnd w:id="190"/>
      <w:bookmarkStart w:id="191" w:name="_Toc184310330"/>
      <w:bookmarkEnd w:id="191"/>
      <w:bookmarkStart w:id="192" w:name="_Toc184313290"/>
      <w:bookmarkEnd w:id="192"/>
      <w:bookmarkStart w:id="193" w:name="_Toc184310336"/>
      <w:bookmarkEnd w:id="193"/>
      <w:bookmarkStart w:id="194" w:name="_Toc184308083"/>
      <w:bookmarkEnd w:id="194"/>
      <w:bookmarkStart w:id="195" w:name="_Toc184312071"/>
      <w:bookmarkEnd w:id="195"/>
      <w:bookmarkStart w:id="196" w:name="_Toc184310316"/>
      <w:bookmarkEnd w:id="196"/>
      <w:bookmarkStart w:id="197" w:name="_Toc184312113"/>
      <w:bookmarkEnd w:id="197"/>
      <w:bookmarkStart w:id="198" w:name="_Toc184312109"/>
      <w:bookmarkEnd w:id="198"/>
      <w:bookmarkStart w:id="199" w:name="_Toc184313256"/>
      <w:bookmarkEnd w:id="199"/>
      <w:bookmarkStart w:id="200" w:name="_Toc184310288"/>
      <w:bookmarkEnd w:id="200"/>
      <w:bookmarkStart w:id="201" w:name="_Toc184313249"/>
      <w:bookmarkEnd w:id="201"/>
      <w:bookmarkStart w:id="202" w:name="_Toc184310335"/>
      <w:bookmarkEnd w:id="202"/>
      <w:bookmarkStart w:id="203" w:name="_Toc184312137"/>
      <w:bookmarkEnd w:id="203"/>
      <w:bookmarkStart w:id="204" w:name="_Toc184308088"/>
      <w:bookmarkEnd w:id="204"/>
      <w:bookmarkStart w:id="205" w:name="_Toc184308084"/>
      <w:bookmarkEnd w:id="205"/>
      <w:bookmarkStart w:id="206" w:name="_Toc184308071"/>
      <w:bookmarkEnd w:id="206"/>
      <w:bookmarkStart w:id="207" w:name="_Toc184310274"/>
      <w:bookmarkEnd w:id="207"/>
      <w:bookmarkStart w:id="208" w:name="_Toc184312069"/>
      <w:bookmarkEnd w:id="208"/>
      <w:bookmarkStart w:id="209" w:name="_Toc184310308"/>
      <w:bookmarkEnd w:id="209"/>
      <w:bookmarkStart w:id="210" w:name="_Toc184314453"/>
      <w:bookmarkEnd w:id="210"/>
      <w:bookmarkStart w:id="211" w:name="_Toc184312139"/>
      <w:bookmarkEnd w:id="211"/>
      <w:bookmarkStart w:id="212" w:name="_Toc184310289"/>
      <w:bookmarkEnd w:id="212"/>
      <w:bookmarkStart w:id="213" w:name="_Toc184313242"/>
      <w:bookmarkEnd w:id="213"/>
      <w:bookmarkStart w:id="214" w:name="_Toc184310325"/>
      <w:bookmarkEnd w:id="214"/>
      <w:bookmarkStart w:id="215" w:name="_Toc184308041"/>
      <w:bookmarkEnd w:id="215"/>
      <w:bookmarkStart w:id="216" w:name="_Toc184310338"/>
      <w:bookmarkEnd w:id="216"/>
      <w:bookmarkStart w:id="217" w:name="_Toc184312090"/>
      <w:bookmarkEnd w:id="217"/>
      <w:bookmarkStart w:id="218" w:name="_Toc184313277"/>
      <w:bookmarkEnd w:id="218"/>
      <w:bookmarkStart w:id="219" w:name="_Toc184314411"/>
      <w:bookmarkEnd w:id="219"/>
      <w:bookmarkStart w:id="220" w:name="_Toc184314455"/>
      <w:bookmarkEnd w:id="220"/>
      <w:bookmarkStart w:id="221" w:name="_Toc184314478"/>
      <w:bookmarkEnd w:id="221"/>
      <w:bookmarkStart w:id="222" w:name="_Toc184312126"/>
      <w:bookmarkEnd w:id="222"/>
      <w:bookmarkStart w:id="223" w:name="_Toc184313246"/>
      <w:bookmarkEnd w:id="223"/>
      <w:bookmarkStart w:id="224" w:name="_Toc184310293"/>
      <w:bookmarkEnd w:id="224"/>
      <w:bookmarkStart w:id="225" w:name="_Toc184310313"/>
      <w:bookmarkEnd w:id="225"/>
      <w:bookmarkStart w:id="226" w:name="_Toc184314426"/>
      <w:bookmarkEnd w:id="226"/>
      <w:bookmarkStart w:id="227" w:name="_Toc184313268"/>
      <w:bookmarkEnd w:id="227"/>
      <w:bookmarkStart w:id="228" w:name="_Toc184314424"/>
      <w:bookmarkEnd w:id="228"/>
      <w:bookmarkStart w:id="229" w:name="_Toc184314471"/>
      <w:bookmarkEnd w:id="229"/>
      <w:bookmarkStart w:id="230" w:name="_Toc184308052"/>
      <w:bookmarkEnd w:id="230"/>
      <w:bookmarkStart w:id="231" w:name="_Toc184313283"/>
      <w:bookmarkEnd w:id="231"/>
      <w:bookmarkStart w:id="232" w:name="_Toc184310306"/>
      <w:bookmarkEnd w:id="232"/>
      <w:bookmarkStart w:id="233" w:name="_Toc184308049"/>
      <w:bookmarkEnd w:id="233"/>
      <w:bookmarkStart w:id="234" w:name="_Toc184308050"/>
      <w:bookmarkEnd w:id="234"/>
      <w:bookmarkStart w:id="235" w:name="_Toc184312103"/>
      <w:bookmarkEnd w:id="235"/>
      <w:bookmarkStart w:id="236" w:name="_Toc184312080"/>
      <w:bookmarkEnd w:id="236"/>
      <w:bookmarkStart w:id="237" w:name="_Toc184313240"/>
      <w:bookmarkEnd w:id="237"/>
      <w:bookmarkStart w:id="238" w:name="_Toc184308076"/>
      <w:bookmarkEnd w:id="238"/>
      <w:bookmarkStart w:id="239" w:name="_Toc184313258"/>
      <w:bookmarkEnd w:id="239"/>
      <w:bookmarkStart w:id="240" w:name="_Toc184313255"/>
      <w:bookmarkEnd w:id="240"/>
      <w:bookmarkStart w:id="241" w:name="_Toc184314435"/>
      <w:bookmarkEnd w:id="241"/>
      <w:bookmarkStart w:id="242" w:name="_Toc184314410"/>
      <w:bookmarkEnd w:id="242"/>
      <w:bookmarkStart w:id="243" w:name="_Toc184313252"/>
      <w:bookmarkEnd w:id="243"/>
      <w:bookmarkStart w:id="244" w:name="_Toc184310282"/>
      <w:bookmarkEnd w:id="244"/>
      <w:bookmarkStart w:id="245" w:name="_Toc184310305"/>
      <w:bookmarkEnd w:id="245"/>
      <w:bookmarkStart w:id="246" w:name="_Toc184310298"/>
      <w:bookmarkEnd w:id="246"/>
      <w:bookmarkStart w:id="247" w:name="_Toc184312138"/>
      <w:bookmarkEnd w:id="247"/>
      <w:bookmarkStart w:id="248" w:name="_Toc184308080"/>
      <w:bookmarkEnd w:id="248"/>
      <w:bookmarkStart w:id="249" w:name="_Toc184310310"/>
      <w:bookmarkEnd w:id="249"/>
      <w:bookmarkStart w:id="250" w:name="_Toc184313292"/>
      <w:bookmarkEnd w:id="250"/>
      <w:bookmarkStart w:id="251" w:name="_Toc184313286"/>
      <w:bookmarkEnd w:id="251"/>
      <w:bookmarkStart w:id="252" w:name="_Toc184313296"/>
      <w:bookmarkEnd w:id="252"/>
      <w:bookmarkStart w:id="253" w:name="_Toc184314451"/>
      <w:bookmarkEnd w:id="253"/>
      <w:bookmarkStart w:id="254" w:name="_Toc184310295"/>
      <w:bookmarkEnd w:id="254"/>
      <w:bookmarkStart w:id="255" w:name="_Toc184313284"/>
      <w:bookmarkEnd w:id="255"/>
      <w:bookmarkStart w:id="256" w:name="_Toc184308053"/>
      <w:bookmarkEnd w:id="256"/>
      <w:bookmarkStart w:id="257" w:name="_Toc184313271"/>
      <w:bookmarkEnd w:id="257"/>
      <w:bookmarkStart w:id="258" w:name="_Toc184313309"/>
      <w:bookmarkEnd w:id="258"/>
      <w:bookmarkStart w:id="259" w:name="_Toc184310302"/>
      <w:bookmarkEnd w:id="259"/>
      <w:bookmarkStart w:id="260" w:name="_Toc184312119"/>
      <w:bookmarkEnd w:id="260"/>
      <w:bookmarkStart w:id="261" w:name="_Toc184308063"/>
      <w:bookmarkEnd w:id="261"/>
      <w:bookmarkStart w:id="262" w:name="_Toc184314413"/>
      <w:bookmarkEnd w:id="262"/>
      <w:bookmarkStart w:id="263" w:name="_Toc184308073"/>
      <w:bookmarkEnd w:id="263"/>
      <w:bookmarkStart w:id="264" w:name="_Toc184313307"/>
      <w:bookmarkEnd w:id="264"/>
      <w:bookmarkStart w:id="265" w:name="_Toc184310327"/>
      <w:bookmarkEnd w:id="265"/>
      <w:bookmarkStart w:id="266" w:name="_Toc184314437"/>
      <w:bookmarkEnd w:id="266"/>
      <w:bookmarkStart w:id="267" w:name="_Toc184313275"/>
      <w:bookmarkEnd w:id="267"/>
      <w:bookmarkStart w:id="268" w:name="_Toc184314475"/>
      <w:bookmarkEnd w:id="268"/>
      <w:bookmarkStart w:id="269" w:name="_Toc184308046"/>
      <w:bookmarkEnd w:id="269"/>
      <w:bookmarkStart w:id="270" w:name="_Toc184308060"/>
      <w:bookmarkEnd w:id="270"/>
      <w:bookmarkStart w:id="271" w:name="_Toc184313310"/>
      <w:bookmarkEnd w:id="271"/>
      <w:bookmarkStart w:id="272" w:name="_Toc184312134"/>
      <w:bookmarkEnd w:id="272"/>
      <w:bookmarkStart w:id="273" w:name="_Toc184310319"/>
      <w:bookmarkEnd w:id="273"/>
      <w:bookmarkStart w:id="274" w:name="_Toc184313305"/>
      <w:bookmarkEnd w:id="274"/>
      <w:bookmarkStart w:id="275" w:name="_Toc184313291"/>
      <w:bookmarkEnd w:id="275"/>
      <w:bookmarkStart w:id="276" w:name="_Toc184314418"/>
      <w:bookmarkEnd w:id="276"/>
      <w:bookmarkStart w:id="277" w:name="_Toc184312132"/>
      <w:bookmarkEnd w:id="277"/>
      <w:bookmarkStart w:id="278" w:name="_Toc184310332"/>
      <w:bookmarkEnd w:id="278"/>
      <w:bookmarkStart w:id="279" w:name="_Toc184313295"/>
      <w:bookmarkEnd w:id="279"/>
      <w:bookmarkStart w:id="280" w:name="_Toc184308068"/>
      <w:bookmarkEnd w:id="280"/>
      <w:bookmarkStart w:id="281" w:name="_Toc184308036"/>
      <w:bookmarkEnd w:id="281"/>
      <w:bookmarkStart w:id="282" w:name="_Toc184308079"/>
      <w:bookmarkEnd w:id="282"/>
      <w:bookmarkStart w:id="283" w:name="_Toc184314452"/>
      <w:bookmarkEnd w:id="283"/>
      <w:bookmarkStart w:id="284" w:name="_Toc184310340"/>
      <w:bookmarkEnd w:id="284"/>
      <w:bookmarkStart w:id="285" w:name="_Toc184313282"/>
      <w:bookmarkEnd w:id="285"/>
      <w:bookmarkStart w:id="286" w:name="_Toc184314423"/>
      <w:bookmarkEnd w:id="286"/>
      <w:bookmarkStart w:id="287" w:name="_Toc184314430"/>
      <w:bookmarkEnd w:id="287"/>
      <w:bookmarkStart w:id="288" w:name="_Toc184313278"/>
      <w:bookmarkEnd w:id="288"/>
      <w:bookmarkStart w:id="289" w:name="_Toc184314429"/>
      <w:bookmarkEnd w:id="289"/>
      <w:bookmarkStart w:id="290" w:name="_Toc184310320"/>
      <w:bookmarkEnd w:id="290"/>
      <w:bookmarkStart w:id="291" w:name="_Toc184310284"/>
      <w:bookmarkEnd w:id="291"/>
      <w:bookmarkStart w:id="292" w:name="_Toc184312129"/>
      <w:bookmarkEnd w:id="292"/>
      <w:bookmarkStart w:id="293" w:name="_Toc184312088"/>
      <w:bookmarkEnd w:id="293"/>
      <w:bookmarkStart w:id="294" w:name="_Toc184312091"/>
      <w:bookmarkEnd w:id="294"/>
      <w:bookmarkStart w:id="295" w:name="_Toc184310324"/>
      <w:bookmarkEnd w:id="295"/>
      <w:bookmarkStart w:id="296" w:name="_Toc184310304"/>
      <w:bookmarkEnd w:id="296"/>
      <w:bookmarkStart w:id="297" w:name="_Toc184308085"/>
      <w:bookmarkEnd w:id="297"/>
      <w:bookmarkStart w:id="298" w:name="_Toc184314414"/>
      <w:bookmarkEnd w:id="298"/>
      <w:bookmarkStart w:id="299" w:name="_Toc184310285"/>
      <w:bookmarkEnd w:id="299"/>
      <w:bookmarkStart w:id="300" w:name="_Toc184313269"/>
      <w:bookmarkEnd w:id="300"/>
      <w:bookmarkStart w:id="301" w:name="_Toc184312075"/>
      <w:bookmarkEnd w:id="301"/>
      <w:bookmarkStart w:id="302" w:name="_Toc184314472"/>
      <w:bookmarkEnd w:id="302"/>
      <w:bookmarkStart w:id="303" w:name="_Toc184308098"/>
      <w:bookmarkEnd w:id="303"/>
      <w:bookmarkStart w:id="304" w:name="_Toc184312131"/>
      <w:bookmarkEnd w:id="304"/>
      <w:bookmarkStart w:id="305" w:name="_Toc184310280"/>
      <w:bookmarkEnd w:id="305"/>
      <w:bookmarkStart w:id="306" w:name="_Toc184310312"/>
      <w:bookmarkEnd w:id="306"/>
      <w:bookmarkStart w:id="307" w:name="_Toc184308047"/>
      <w:bookmarkEnd w:id="307"/>
      <w:bookmarkStart w:id="308" w:name="_Toc184314460"/>
      <w:bookmarkEnd w:id="308"/>
      <w:bookmarkStart w:id="309" w:name="_Toc184310296"/>
      <w:bookmarkEnd w:id="309"/>
      <w:bookmarkStart w:id="310" w:name="_Toc184314476"/>
      <w:bookmarkEnd w:id="310"/>
      <w:bookmarkStart w:id="311" w:name="_Toc184310323"/>
      <w:bookmarkEnd w:id="311"/>
      <w:bookmarkStart w:id="312" w:name="_Toc184312093"/>
      <w:bookmarkEnd w:id="312"/>
      <w:bookmarkStart w:id="313" w:name="_Toc184313306"/>
      <w:bookmarkEnd w:id="313"/>
      <w:bookmarkStart w:id="314" w:name="_Toc184312112"/>
      <w:bookmarkEnd w:id="314"/>
      <w:bookmarkStart w:id="315" w:name="_Toc184312136"/>
      <w:bookmarkEnd w:id="315"/>
      <w:bookmarkStart w:id="316" w:name="_Toc184310314"/>
      <w:bookmarkEnd w:id="316"/>
      <w:bookmarkStart w:id="317" w:name="_Toc184308101"/>
      <w:bookmarkEnd w:id="317"/>
      <w:bookmarkStart w:id="318" w:name="_Toc184314415"/>
      <w:bookmarkEnd w:id="318"/>
      <w:bookmarkStart w:id="319" w:name="_Toc184312124"/>
      <w:bookmarkEnd w:id="319"/>
      <w:bookmarkStart w:id="320" w:name="_Toc184308039"/>
      <w:bookmarkEnd w:id="320"/>
      <w:bookmarkStart w:id="321" w:name="_Toc184308108"/>
      <w:bookmarkEnd w:id="321"/>
      <w:bookmarkStart w:id="322" w:name="_Toc184312094"/>
      <w:bookmarkEnd w:id="322"/>
      <w:bookmarkStart w:id="323" w:name="_Toc184310273"/>
      <w:bookmarkEnd w:id="323"/>
      <w:bookmarkStart w:id="324" w:name="_Toc184313250"/>
      <w:bookmarkEnd w:id="324"/>
      <w:bookmarkStart w:id="325" w:name="_Toc184308104"/>
      <w:bookmarkEnd w:id="325"/>
      <w:bookmarkStart w:id="326" w:name="_Toc184308100"/>
      <w:bookmarkEnd w:id="326"/>
      <w:bookmarkStart w:id="327" w:name="_Toc184310334"/>
      <w:bookmarkEnd w:id="327"/>
      <w:bookmarkStart w:id="328" w:name="_Toc184314450"/>
      <w:bookmarkEnd w:id="328"/>
      <w:bookmarkStart w:id="329" w:name="_Toc184312086"/>
      <w:bookmarkEnd w:id="329"/>
      <w:bookmarkStart w:id="330" w:name="_Toc184312130"/>
      <w:bookmarkEnd w:id="330"/>
      <w:bookmarkStart w:id="331" w:name="_Toc184312099"/>
      <w:bookmarkEnd w:id="331"/>
      <w:bookmarkStart w:id="332" w:name="_Toc184314427"/>
      <w:bookmarkEnd w:id="332"/>
      <w:bookmarkStart w:id="333" w:name="_Toc184314444"/>
      <w:bookmarkEnd w:id="333"/>
      <w:bookmarkStart w:id="334" w:name="_Toc184310272"/>
      <w:bookmarkEnd w:id="334"/>
      <w:bookmarkStart w:id="335" w:name="_Toc184313244"/>
      <w:bookmarkEnd w:id="335"/>
      <w:bookmarkStart w:id="336" w:name="_Toc184314421"/>
      <w:bookmarkEnd w:id="336"/>
      <w:bookmarkStart w:id="337" w:name="_Toc184312104"/>
      <w:bookmarkEnd w:id="337"/>
      <w:bookmarkStart w:id="338" w:name="_Toc184313302"/>
      <w:bookmarkEnd w:id="338"/>
      <w:bookmarkStart w:id="339" w:name="_Toc184308077"/>
      <w:bookmarkEnd w:id="339"/>
      <w:bookmarkStart w:id="340" w:name="_Toc184314454"/>
      <w:bookmarkEnd w:id="340"/>
      <w:bookmarkStart w:id="341" w:name="_Toc184313247"/>
      <w:bookmarkEnd w:id="341"/>
      <w:bookmarkStart w:id="342" w:name="_Toc184310329"/>
      <w:bookmarkEnd w:id="342"/>
      <w:bookmarkStart w:id="343" w:name="_Toc184314464"/>
      <w:bookmarkEnd w:id="343"/>
      <w:bookmarkStart w:id="344" w:name="_Toc184312078"/>
      <w:bookmarkEnd w:id="344"/>
      <w:bookmarkStart w:id="345" w:name="_Toc184308095"/>
      <w:bookmarkEnd w:id="345"/>
      <w:bookmarkStart w:id="346" w:name="_Toc184308072"/>
      <w:bookmarkEnd w:id="346"/>
      <w:bookmarkStart w:id="347" w:name="_Toc184314445"/>
      <w:bookmarkEnd w:id="347"/>
      <w:bookmarkStart w:id="348" w:name="_Toc184314425"/>
      <w:bookmarkEnd w:id="348"/>
      <w:bookmarkStart w:id="349" w:name="_Toc184314448"/>
      <w:bookmarkEnd w:id="349"/>
      <w:bookmarkStart w:id="350" w:name="_Toc184313294"/>
      <w:bookmarkEnd w:id="350"/>
      <w:bookmarkStart w:id="351" w:name="_Toc184308099"/>
      <w:bookmarkEnd w:id="351"/>
      <w:bookmarkStart w:id="352" w:name="_Toc184308074"/>
      <w:bookmarkEnd w:id="352"/>
      <w:bookmarkStart w:id="353" w:name="_Toc184312089"/>
      <w:bookmarkEnd w:id="353"/>
      <w:bookmarkStart w:id="354" w:name="_Toc184312097"/>
      <w:bookmarkEnd w:id="354"/>
      <w:bookmarkStart w:id="355" w:name="_Toc184308048"/>
      <w:bookmarkEnd w:id="355"/>
      <w:bookmarkStart w:id="356" w:name="_Toc184314439"/>
      <w:bookmarkEnd w:id="356"/>
      <w:bookmarkStart w:id="357" w:name="_Toc184313300"/>
      <w:bookmarkEnd w:id="357"/>
      <w:bookmarkStart w:id="358" w:name="_Toc184313245"/>
      <w:bookmarkEnd w:id="358"/>
      <w:bookmarkStart w:id="359" w:name="_Toc184313251"/>
      <w:bookmarkEnd w:id="359"/>
      <w:bookmarkStart w:id="360" w:name="_Toc184310276"/>
      <w:bookmarkEnd w:id="360"/>
      <w:bookmarkStart w:id="361" w:name="_Toc184313248"/>
      <w:bookmarkEnd w:id="361"/>
      <w:bookmarkStart w:id="362" w:name="_Toc184314456"/>
      <w:bookmarkEnd w:id="362"/>
      <w:bookmarkStart w:id="363" w:name="_Toc184308045"/>
      <w:bookmarkEnd w:id="363"/>
      <w:bookmarkStart w:id="364" w:name="_Toc184312107"/>
      <w:bookmarkEnd w:id="364"/>
      <w:bookmarkStart w:id="365" w:name="_Toc184308092"/>
      <w:bookmarkEnd w:id="365"/>
      <w:bookmarkStart w:id="366" w:name="_Toc184313261"/>
      <w:bookmarkEnd w:id="366"/>
      <w:bookmarkStart w:id="367" w:name="_Toc184313299"/>
      <w:bookmarkEnd w:id="367"/>
      <w:bookmarkStart w:id="368" w:name="_Toc184312121"/>
      <w:bookmarkEnd w:id="368"/>
      <w:bookmarkStart w:id="369" w:name="_Toc184314477"/>
      <w:bookmarkEnd w:id="369"/>
      <w:bookmarkStart w:id="370" w:name="_Toc184312073"/>
      <w:bookmarkEnd w:id="370"/>
      <w:bookmarkStart w:id="371" w:name="_Toc184314433"/>
      <w:bookmarkEnd w:id="371"/>
      <w:bookmarkStart w:id="372" w:name="_Toc184314446"/>
      <w:bookmarkEnd w:id="372"/>
      <w:bookmarkStart w:id="373" w:name="_Toc184310307"/>
      <w:bookmarkEnd w:id="373"/>
      <w:bookmarkStart w:id="374" w:name="_Toc184308103"/>
      <w:bookmarkEnd w:id="374"/>
      <w:bookmarkStart w:id="375" w:name="_Toc184312082"/>
      <w:bookmarkEnd w:id="375"/>
      <w:bookmarkStart w:id="376" w:name="_Toc184313260"/>
      <w:bookmarkEnd w:id="376"/>
      <w:bookmarkStart w:id="377" w:name="_Toc184312116"/>
      <w:bookmarkEnd w:id="377"/>
      <w:bookmarkStart w:id="378" w:name="_Toc184308096"/>
      <w:bookmarkEnd w:id="378"/>
      <w:bookmarkStart w:id="379" w:name="_Toc184312077"/>
      <w:bookmarkEnd w:id="379"/>
      <w:bookmarkStart w:id="380" w:name="_Toc184310286"/>
      <w:bookmarkEnd w:id="380"/>
      <w:bookmarkStart w:id="381" w:name="_Toc184310290"/>
      <w:bookmarkEnd w:id="381"/>
      <w:bookmarkStart w:id="382" w:name="_Toc184314434"/>
      <w:bookmarkEnd w:id="382"/>
      <w:bookmarkStart w:id="383" w:name="_Toc184313265"/>
      <w:bookmarkEnd w:id="383"/>
      <w:bookmarkStart w:id="384" w:name="_Toc184314461"/>
      <w:bookmarkEnd w:id="384"/>
      <w:bookmarkStart w:id="385" w:name="_Toc184312087"/>
      <w:bookmarkEnd w:id="385"/>
      <w:bookmarkStart w:id="386" w:name="_Toc184312133"/>
      <w:bookmarkEnd w:id="386"/>
      <w:bookmarkStart w:id="387" w:name="_Toc184313287"/>
      <w:bookmarkEnd w:id="387"/>
      <w:bookmarkStart w:id="388" w:name="_Toc184310343"/>
      <w:bookmarkEnd w:id="388"/>
      <w:bookmarkStart w:id="389" w:name="_Toc184312079"/>
      <w:bookmarkEnd w:id="389"/>
      <w:bookmarkStart w:id="390" w:name="_Toc184308069"/>
      <w:bookmarkEnd w:id="390"/>
      <w:bookmarkStart w:id="391" w:name="_Toc184314436"/>
      <w:bookmarkEnd w:id="391"/>
      <w:bookmarkStart w:id="392" w:name="_Toc184310278"/>
      <w:bookmarkEnd w:id="392"/>
      <w:bookmarkStart w:id="393" w:name="_Toc184312118"/>
      <w:bookmarkEnd w:id="393"/>
      <w:bookmarkStart w:id="394" w:name="_Toc184308106"/>
      <w:bookmarkEnd w:id="394"/>
      <w:bookmarkStart w:id="395" w:name="_Toc184313266"/>
      <w:bookmarkEnd w:id="395"/>
      <w:bookmarkStart w:id="396" w:name="_Toc184310299"/>
      <w:bookmarkEnd w:id="396"/>
      <w:bookmarkStart w:id="397" w:name="_Toc184310309"/>
      <w:bookmarkEnd w:id="397"/>
      <w:bookmarkStart w:id="398" w:name="_Toc184314420"/>
      <w:bookmarkEnd w:id="398"/>
      <w:bookmarkStart w:id="399" w:name="_Toc184308040"/>
      <w:bookmarkEnd w:id="399"/>
      <w:bookmarkStart w:id="400" w:name="_Toc184313276"/>
      <w:bookmarkEnd w:id="400"/>
      <w:bookmarkStart w:id="401" w:name="_Toc184308097"/>
      <w:bookmarkEnd w:id="401"/>
      <w:bookmarkStart w:id="402" w:name="_Toc184312114"/>
      <w:bookmarkEnd w:id="402"/>
      <w:bookmarkStart w:id="403" w:name="_Toc184312070"/>
      <w:bookmarkEnd w:id="403"/>
      <w:r>
        <w:rPr>
          <w:rFonts w:hint="eastAsia" w:ascii="宋体" w:hAnsi="宋体" w:cs="宋体"/>
          <w:b/>
          <w:color w:val="auto"/>
          <w:sz w:val="36"/>
          <w:szCs w:val="36"/>
          <w:highlight w:val="none"/>
        </w:rPr>
        <w:t xml:space="preserve"> 评标办法</w:t>
      </w:r>
      <w:bookmarkEnd w:id="38"/>
    </w:p>
    <w:p w14:paraId="02A9C450">
      <w:pPr>
        <w:snapToGrid w:val="0"/>
        <w:spacing w:line="360" w:lineRule="auto"/>
        <w:jc w:val="center"/>
        <w:outlineLvl w:val="1"/>
        <w:rPr>
          <w:rFonts w:hint="eastAsia" w:ascii="宋体" w:hAnsi="宋体" w:cs="宋体"/>
          <w:b/>
          <w:color w:val="auto"/>
          <w:sz w:val="32"/>
          <w:szCs w:val="20"/>
          <w:highlight w:val="none"/>
        </w:rPr>
      </w:pPr>
      <w:r>
        <w:rPr>
          <w:rFonts w:hint="eastAsia" w:ascii="宋体" w:hAnsi="宋体" w:cs="宋体"/>
          <w:b/>
          <w:color w:val="auto"/>
          <w:sz w:val="32"/>
          <w:szCs w:val="20"/>
          <w:highlight w:val="none"/>
        </w:rPr>
        <w:t>评标办法前附表（适用于</w:t>
      </w:r>
      <w:r>
        <w:rPr>
          <w:rFonts w:hint="eastAsia" w:ascii="宋体" w:hAnsi="宋体" w:cs="宋体"/>
          <w:b/>
          <w:color w:val="auto"/>
          <w:sz w:val="32"/>
          <w:szCs w:val="20"/>
          <w:highlight w:val="none"/>
          <w:lang w:eastAsia="zh-CN"/>
        </w:rPr>
        <w:t>本项目</w:t>
      </w:r>
      <w:r>
        <w:rPr>
          <w:rFonts w:hint="eastAsia" w:ascii="宋体" w:hAnsi="宋体" w:cs="宋体"/>
          <w:b/>
          <w:color w:val="auto"/>
          <w:sz w:val="32"/>
          <w:szCs w:val="20"/>
          <w:highlight w:val="none"/>
        </w:rPr>
        <w:t>所有标项）</w:t>
      </w:r>
    </w:p>
    <w:p w14:paraId="7E1E5D38">
      <w:pPr>
        <w:spacing w:line="44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综合评分法</w:t>
      </w:r>
    </w:p>
    <w:p w14:paraId="5D998921">
      <w:pPr>
        <w:adjustRightInd w:val="0"/>
        <w:snapToGrid w:val="0"/>
        <w:spacing w:line="400" w:lineRule="exact"/>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一、评标原则</w:t>
      </w:r>
    </w:p>
    <w:p w14:paraId="1DD6985A">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(一)评委组成：本招标采购项目的评标委员会由采购人代表和有关技术、经济等方面的专家组成，成员人数应当为7人以上单数，其中评审专家不得少于成员总数的三分之二。</w:t>
      </w:r>
    </w:p>
    <w:p w14:paraId="5BE0FF73">
      <w:pPr>
        <w:adjustRightInd w:val="0"/>
        <w:snapToGrid w:val="0"/>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(二)评标依据：评委将以招投标文件为评标依据，对投标人的投标报价，服务方案，信誉业绩等方面的内容按百分制打分。</w:t>
      </w:r>
    </w:p>
    <w:p w14:paraId="661AA5FC">
      <w:pPr>
        <w:adjustRightInd w:val="0"/>
        <w:snapToGrid w:val="0"/>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(三)评标方式：以封闭方式进行。</w:t>
      </w:r>
    </w:p>
    <w:p w14:paraId="713A612D">
      <w:pPr>
        <w:adjustRightInd w:val="0"/>
        <w:snapToGrid w:val="0"/>
        <w:spacing w:line="400" w:lineRule="exact"/>
        <w:ind w:firstLine="422" w:firstLineChars="200"/>
        <w:jc w:val="left"/>
        <w:rPr>
          <w:rFonts w:hint="eastAsia" w:ascii="宋体" w:hAnsi="宋体" w:eastAsia="宋体" w:cs="宋体"/>
          <w:b/>
          <w:bCs/>
          <w:color w:val="auto"/>
          <w:kern w:val="0"/>
          <w:szCs w:val="21"/>
          <w:highlight w:val="none"/>
          <w:lang w:eastAsia="zh-CN"/>
        </w:rPr>
      </w:pPr>
      <w:r>
        <w:rPr>
          <w:rFonts w:hint="eastAsia" w:ascii="宋体" w:hAnsi="宋体" w:cs="宋体"/>
          <w:b/>
          <w:bCs/>
          <w:color w:val="auto"/>
          <w:kern w:val="0"/>
          <w:szCs w:val="21"/>
          <w:highlight w:val="none"/>
          <w:lang w:eastAsia="zh-CN"/>
        </w:rPr>
        <w:t>（四）本项目划分为</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lang w:eastAsia="zh-CN"/>
        </w:rPr>
        <w:t>四个分标，实行兼投不兼中，供应商可以同时参与多个分标投标，但只能中标一个分标。评标委员会严格按照</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lang w:eastAsia="zh-CN"/>
        </w:rPr>
        <w:t>的顺序依次开展评审；若某供应商在前序分标被确定为第一中标候选人，该供应商不再进入后续详细评审及中标候选人推荐环节，在后续所有分标评审中，评标委员会直接对其作符合性审查否决处理，后续分标从剩余有效投标人（不得少于3家）中正常评审。</w:t>
      </w:r>
    </w:p>
    <w:p w14:paraId="072F5321">
      <w:pPr>
        <w:pStyle w:val="513"/>
        <w:rPr>
          <w:rFonts w:hint="eastAsia"/>
          <w:color w:val="auto"/>
          <w:highlight w:val="none"/>
        </w:rPr>
      </w:pPr>
    </w:p>
    <w:tbl>
      <w:tblPr>
        <w:tblStyle w:val="64"/>
        <w:tblW w:w="10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594"/>
        <w:gridCol w:w="928"/>
        <w:gridCol w:w="5716"/>
        <w:gridCol w:w="874"/>
        <w:gridCol w:w="1263"/>
      </w:tblGrid>
      <w:tr w14:paraId="57A5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6" w:type="dxa"/>
            <w:shd w:val="clear" w:color="auto" w:fill="auto"/>
            <w:tcMar>
              <w:top w:w="0" w:type="dxa"/>
              <w:left w:w="57" w:type="dxa"/>
              <w:bottom w:w="0" w:type="dxa"/>
              <w:right w:w="57" w:type="dxa"/>
            </w:tcMar>
            <w:vAlign w:val="center"/>
          </w:tcPr>
          <w:p w14:paraId="456F9924">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473" w:type="dxa"/>
            <w:gridSpan w:val="2"/>
            <w:shd w:val="clear" w:color="auto" w:fill="auto"/>
            <w:tcMar>
              <w:top w:w="0" w:type="dxa"/>
              <w:left w:w="57" w:type="dxa"/>
              <w:bottom w:w="0" w:type="dxa"/>
              <w:right w:w="57" w:type="dxa"/>
            </w:tcMar>
            <w:vAlign w:val="center"/>
          </w:tcPr>
          <w:p w14:paraId="6D5D85C4">
            <w:pPr>
              <w:keepNext w:val="0"/>
              <w:keepLines w:val="0"/>
              <w:pageBreakBefore w:val="0"/>
              <w:widowControl w:val="0"/>
              <w:kinsoku/>
              <w:wordWrap/>
              <w:overflowPunct/>
              <w:topLinePunct w:val="0"/>
              <w:autoSpaceDE/>
              <w:autoSpaceDN/>
              <w:bidi w:val="0"/>
              <w:adjustRightInd w:val="0"/>
              <w:snapToGrid/>
              <w:spacing w:line="400" w:lineRule="exact"/>
              <w:ind w:firstLine="482"/>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评分因素</w:t>
            </w:r>
          </w:p>
        </w:tc>
        <w:tc>
          <w:tcPr>
            <w:tcW w:w="5753" w:type="dxa"/>
            <w:shd w:val="clear" w:color="auto" w:fill="auto"/>
            <w:tcMar>
              <w:top w:w="0" w:type="dxa"/>
              <w:left w:w="57" w:type="dxa"/>
              <w:bottom w:w="0" w:type="dxa"/>
              <w:right w:w="57" w:type="dxa"/>
            </w:tcMar>
            <w:vAlign w:val="center"/>
          </w:tcPr>
          <w:p w14:paraId="77990535">
            <w:pPr>
              <w:keepNext w:val="0"/>
              <w:keepLines w:val="0"/>
              <w:pageBreakBefore w:val="0"/>
              <w:widowControl w:val="0"/>
              <w:kinsoku/>
              <w:wordWrap/>
              <w:overflowPunct/>
              <w:topLinePunct w:val="0"/>
              <w:autoSpaceDE/>
              <w:autoSpaceDN/>
              <w:bidi w:val="0"/>
              <w:adjustRightInd w:val="0"/>
              <w:snapToGrid/>
              <w:spacing w:line="400" w:lineRule="exact"/>
              <w:ind w:firstLine="482"/>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评标标准</w:t>
            </w:r>
          </w:p>
        </w:tc>
        <w:tc>
          <w:tcPr>
            <w:tcW w:w="878" w:type="dxa"/>
            <w:shd w:val="clear" w:color="auto" w:fill="auto"/>
            <w:tcMar>
              <w:top w:w="0" w:type="dxa"/>
              <w:left w:w="57" w:type="dxa"/>
              <w:bottom w:w="0" w:type="dxa"/>
              <w:right w:w="57" w:type="dxa"/>
            </w:tcMar>
            <w:vAlign w:val="center"/>
          </w:tcPr>
          <w:p w14:paraId="47675CD4">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w:t>
            </w:r>
          </w:p>
        </w:tc>
        <w:tc>
          <w:tcPr>
            <w:tcW w:w="1270" w:type="dxa"/>
            <w:shd w:val="clear" w:color="auto" w:fill="auto"/>
            <w:tcMar>
              <w:top w:w="0" w:type="dxa"/>
              <w:left w:w="0" w:type="dxa"/>
              <w:bottom w:w="0" w:type="dxa"/>
              <w:right w:w="0" w:type="dxa"/>
            </w:tcMar>
            <w:vAlign w:val="center"/>
          </w:tcPr>
          <w:p w14:paraId="359F3A2A">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主观分/客观分属性</w:t>
            </w:r>
          </w:p>
        </w:tc>
      </w:tr>
      <w:tr w14:paraId="4F34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6" w:type="dxa"/>
            <w:shd w:val="clear" w:color="auto" w:fill="auto"/>
            <w:tcMar>
              <w:top w:w="0" w:type="dxa"/>
              <w:left w:w="57" w:type="dxa"/>
              <w:bottom w:w="0" w:type="dxa"/>
              <w:right w:w="57" w:type="dxa"/>
            </w:tcMar>
            <w:vAlign w:val="center"/>
          </w:tcPr>
          <w:p w14:paraId="637D8B7B">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374" w:type="dxa"/>
            <w:gridSpan w:val="5"/>
            <w:shd w:val="clear" w:color="auto" w:fill="auto"/>
            <w:tcMar>
              <w:top w:w="0" w:type="dxa"/>
              <w:left w:w="57" w:type="dxa"/>
              <w:bottom w:w="0" w:type="dxa"/>
              <w:right w:w="57" w:type="dxa"/>
            </w:tcMar>
            <w:vAlign w:val="center"/>
          </w:tcPr>
          <w:p w14:paraId="3961FCEA">
            <w:pPr>
              <w:keepNext w:val="0"/>
              <w:keepLines w:val="0"/>
              <w:pageBreakBefore w:val="0"/>
              <w:widowControl w:val="0"/>
              <w:kinsoku/>
              <w:wordWrap/>
              <w:overflowPunct/>
              <w:topLinePunct w:val="0"/>
              <w:autoSpaceDE/>
              <w:autoSpaceDN/>
              <w:bidi w:val="0"/>
              <w:adjustRightInd w:val="0"/>
              <w:snapToGrid/>
              <w:spacing w:line="400" w:lineRule="exact"/>
              <w:ind w:firstLine="48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p>
        </w:tc>
      </w:tr>
      <w:tr w14:paraId="0A2E9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6" w:type="dxa"/>
            <w:tcMar>
              <w:top w:w="0" w:type="dxa"/>
              <w:left w:w="57" w:type="dxa"/>
              <w:bottom w:w="0" w:type="dxa"/>
              <w:right w:w="57" w:type="dxa"/>
            </w:tcMar>
            <w:vAlign w:val="center"/>
          </w:tcPr>
          <w:p w14:paraId="3EE23B5D">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473" w:type="dxa"/>
            <w:gridSpan w:val="2"/>
            <w:shd w:val="clear" w:color="auto" w:fill="auto"/>
            <w:tcMar>
              <w:top w:w="0" w:type="dxa"/>
              <w:left w:w="57" w:type="dxa"/>
              <w:bottom w:w="0" w:type="dxa"/>
              <w:right w:w="57" w:type="dxa"/>
            </w:tcMar>
            <w:vAlign w:val="center"/>
          </w:tcPr>
          <w:p w14:paraId="4648A646">
            <w:pPr>
              <w:keepNext w:val="0"/>
              <w:keepLines w:val="0"/>
              <w:pageBreakBefore w:val="0"/>
              <w:widowControl w:val="0"/>
              <w:kinsoku/>
              <w:wordWrap/>
              <w:overflowPunct/>
              <w:topLinePunct w:val="0"/>
              <w:autoSpaceDE/>
              <w:autoSpaceDN/>
              <w:bidi w:val="0"/>
              <w:adjustRightInd w:val="0"/>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5753" w:type="dxa"/>
            <w:shd w:val="clear" w:color="auto" w:fill="auto"/>
            <w:tcMar>
              <w:top w:w="0" w:type="dxa"/>
              <w:left w:w="57" w:type="dxa"/>
              <w:bottom w:w="0" w:type="dxa"/>
              <w:right w:w="57" w:type="dxa"/>
            </w:tcMar>
            <w:vAlign w:val="center"/>
          </w:tcPr>
          <w:p w14:paraId="57F0FE8E">
            <w:pPr>
              <w:keepNext w:val="0"/>
              <w:keepLines w:val="0"/>
              <w:pageBreakBefore w:val="0"/>
              <w:widowControl w:val="0"/>
              <w:shd w:val="clear"/>
              <w:kinsoku/>
              <w:wordWrap/>
              <w:overflowPunct/>
              <w:topLinePunct w:val="0"/>
              <w:autoSpaceDE/>
              <w:autoSpaceDN/>
              <w:bidi w:val="0"/>
              <w:adjustRightInd w:val="0"/>
              <w:snapToGrid/>
              <w:spacing w:line="400" w:lineRule="exact"/>
              <w:ind w:left="0" w:leftChars="0" w:firstLine="480" w:firstLineChars="200"/>
              <w:jc w:val="left"/>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1）本项目为专门面向中小企业采购预留项目，根据《政府采购促进中小企业发展管理办法》（财库〔2020〕46号）、《财政部司法部关于政府采购支持监狱企业发展有关问题的通知》（财库〔2014〕68号）及《关于促进残疾人就业政府采购政策的通知》（财库〔2017〕141号）规定，专门面向中小企业采购的政府采购项目或者采购包不再执行价格扣除政策，即</w:t>
            </w:r>
            <w:r>
              <w:rPr>
                <w:rFonts w:hint="eastAsia" w:ascii="宋体" w:hAnsi="宋体" w:eastAsia="宋体" w:cs="宋体"/>
                <w:b/>
                <w:bCs/>
                <w:color w:val="auto"/>
                <w:sz w:val="24"/>
                <w:szCs w:val="24"/>
                <w:highlight w:val="none"/>
                <w:vertAlign w:val="baseline"/>
                <w:lang w:val="en-US" w:eastAsia="zh-CN"/>
              </w:rPr>
              <w:t>评标报价=投标报价</w:t>
            </w:r>
            <w:r>
              <w:rPr>
                <w:rFonts w:hint="eastAsia" w:ascii="宋体" w:hAnsi="宋体" w:eastAsia="宋体" w:cs="宋体"/>
                <w:color w:val="auto"/>
                <w:sz w:val="24"/>
                <w:szCs w:val="24"/>
                <w:highlight w:val="none"/>
                <w:vertAlign w:val="baseline"/>
                <w:lang w:eastAsia="zh-CN"/>
              </w:rPr>
              <w:t>。监狱企业、残疾人福利性单位视同小型和微型企业。</w:t>
            </w:r>
          </w:p>
          <w:p w14:paraId="2E334FFB">
            <w:pPr>
              <w:keepNext w:val="0"/>
              <w:keepLines w:val="0"/>
              <w:pageBreakBefore w:val="0"/>
              <w:widowControl w:val="0"/>
              <w:shd w:val="clear"/>
              <w:kinsoku/>
              <w:wordWrap/>
              <w:overflowPunct/>
              <w:topLinePunct w:val="0"/>
              <w:autoSpaceDE/>
              <w:autoSpaceDN/>
              <w:bidi w:val="0"/>
              <w:adjustRightInd w:val="0"/>
              <w:snapToGrid/>
              <w:spacing w:line="400" w:lineRule="exact"/>
              <w:ind w:left="0" w:leftChars="0" w:firstLine="480" w:firstLineChars="200"/>
              <w:jc w:val="left"/>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w:t>
            </w:r>
            <w:r>
              <w:rPr>
                <w:rFonts w:hint="eastAsia" w:ascii="宋体" w:hAnsi="宋体" w:eastAsia="宋体" w:cs="宋体"/>
                <w:color w:val="auto"/>
                <w:sz w:val="24"/>
                <w:szCs w:val="24"/>
                <w:highlight w:val="none"/>
                <w:vertAlign w:val="baseline"/>
                <w:lang w:val="en-US" w:eastAsia="zh-CN"/>
              </w:rPr>
              <w:t>2</w:t>
            </w:r>
            <w:r>
              <w:rPr>
                <w:rFonts w:hint="eastAsia" w:ascii="宋体" w:hAnsi="宋体" w:eastAsia="宋体" w:cs="宋体"/>
                <w:color w:val="auto"/>
                <w:sz w:val="24"/>
                <w:szCs w:val="24"/>
                <w:highlight w:val="none"/>
                <w:vertAlign w:val="baseline"/>
                <w:lang w:eastAsia="zh-CN"/>
              </w:rPr>
              <w:t>）有效投标报价的最低价作为评标基准价，其最低报价为满分；按下列计算公式计算：</w:t>
            </w:r>
          </w:p>
          <w:p w14:paraId="12A6B9C5">
            <w:pPr>
              <w:keepNext w:val="0"/>
              <w:keepLines w:val="0"/>
              <w:pageBreakBefore w:val="0"/>
              <w:widowControl w:val="0"/>
              <w:shd w:val="clear"/>
              <w:kinsoku/>
              <w:wordWrap/>
              <w:overflowPunct/>
              <w:topLinePunct w:val="0"/>
              <w:autoSpaceDE/>
              <w:autoSpaceDN/>
              <w:bidi w:val="0"/>
              <w:adjustRightInd w:val="0"/>
              <w:snapToGrid/>
              <w:spacing w:line="400" w:lineRule="exact"/>
              <w:ind w:left="0" w:leftChars="0" w:firstLine="480" w:firstLineChars="200"/>
              <w:jc w:val="left"/>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某投标人价格分=（评标基准价/某投标人评标报价）</w:t>
            </w:r>
            <w:r>
              <w:rPr>
                <w:rFonts w:hint="eastAsia" w:ascii="宋体" w:hAnsi="宋体" w:eastAsia="宋体" w:cs="宋体"/>
                <w:color w:val="auto"/>
                <w:sz w:val="24"/>
                <w:szCs w:val="24"/>
                <w:highlight w:val="none"/>
                <w:vertAlign w:val="baseline"/>
                <w:lang w:val="en-US" w:eastAsia="zh-CN"/>
              </w:rPr>
              <w:t>×</w:t>
            </w:r>
            <w:r>
              <w:rPr>
                <w:rFonts w:hint="eastAsia" w:ascii="宋体" w:hAnsi="宋体" w:cs="宋体"/>
                <w:color w:val="auto"/>
                <w:sz w:val="24"/>
                <w:szCs w:val="24"/>
                <w:highlight w:val="none"/>
                <w:vertAlign w:val="baseline"/>
                <w:lang w:val="en-US" w:eastAsia="zh-CN"/>
              </w:rPr>
              <w:t>25</w:t>
            </w:r>
            <w:r>
              <w:rPr>
                <w:rFonts w:hint="eastAsia" w:ascii="宋体" w:hAnsi="宋体" w:eastAsia="宋体" w:cs="宋体"/>
                <w:color w:val="auto"/>
                <w:sz w:val="24"/>
                <w:szCs w:val="24"/>
                <w:highlight w:val="none"/>
                <w:vertAlign w:val="baseline"/>
                <w:lang w:val="en-US" w:eastAsia="zh-CN"/>
              </w:rPr>
              <w:t>分</w:t>
            </w:r>
          </w:p>
          <w:p w14:paraId="2A546719">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vertAlign w:val="baseline"/>
                <w:lang w:eastAsia="zh-CN"/>
              </w:rPr>
              <w:t>（</w:t>
            </w:r>
            <w:r>
              <w:rPr>
                <w:rFonts w:hint="eastAsia" w:ascii="宋体" w:hAnsi="宋体" w:eastAsia="宋体" w:cs="宋体"/>
                <w:color w:val="auto"/>
                <w:sz w:val="24"/>
                <w:szCs w:val="24"/>
                <w:highlight w:val="none"/>
                <w:vertAlign w:val="baseline"/>
                <w:lang w:val="en-US" w:eastAsia="zh-CN"/>
              </w:rPr>
              <w:t>3</w:t>
            </w:r>
            <w:r>
              <w:rPr>
                <w:rFonts w:hint="eastAsia" w:ascii="宋体" w:hAnsi="宋体" w:eastAsia="宋体" w:cs="宋体"/>
                <w:color w:val="auto"/>
                <w:sz w:val="24"/>
                <w:szCs w:val="24"/>
                <w:highlight w:val="none"/>
                <w:vertAlign w:val="baseline"/>
                <w:lang w:eastAsia="zh-CN"/>
              </w:rPr>
              <w:t>）报价属于投标文件规定异常低价情形之一，未能按要求提供书面说明或者提交相关证明材料，不能证明其报价合理性的，响应无效。</w:t>
            </w:r>
          </w:p>
        </w:tc>
        <w:tc>
          <w:tcPr>
            <w:tcW w:w="878" w:type="dxa"/>
            <w:tcMar>
              <w:top w:w="0" w:type="dxa"/>
              <w:left w:w="57" w:type="dxa"/>
              <w:bottom w:w="0" w:type="dxa"/>
              <w:right w:w="57" w:type="dxa"/>
            </w:tcMar>
            <w:vAlign w:val="center"/>
          </w:tcPr>
          <w:p w14:paraId="054791E6">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分</w:t>
            </w:r>
          </w:p>
        </w:tc>
        <w:tc>
          <w:tcPr>
            <w:tcW w:w="1270" w:type="dxa"/>
            <w:tcMar>
              <w:top w:w="0" w:type="dxa"/>
              <w:left w:w="57" w:type="dxa"/>
              <w:bottom w:w="0" w:type="dxa"/>
              <w:right w:w="57" w:type="dxa"/>
            </w:tcMar>
            <w:vAlign w:val="center"/>
          </w:tcPr>
          <w:p w14:paraId="5D49F854">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客观分</w:t>
            </w:r>
          </w:p>
        </w:tc>
      </w:tr>
      <w:tr w14:paraId="17F10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6" w:type="dxa"/>
            <w:tcMar>
              <w:top w:w="0" w:type="dxa"/>
              <w:left w:w="57" w:type="dxa"/>
              <w:bottom w:w="0" w:type="dxa"/>
              <w:right w:w="57" w:type="dxa"/>
            </w:tcMar>
            <w:vAlign w:val="center"/>
          </w:tcPr>
          <w:p w14:paraId="17C92810">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9374" w:type="dxa"/>
            <w:gridSpan w:val="5"/>
            <w:shd w:val="clear" w:color="auto" w:fill="auto"/>
            <w:tcMar>
              <w:top w:w="0" w:type="dxa"/>
              <w:left w:w="57" w:type="dxa"/>
              <w:bottom w:w="0" w:type="dxa"/>
              <w:right w:w="57" w:type="dxa"/>
            </w:tcMar>
            <w:vAlign w:val="center"/>
          </w:tcPr>
          <w:p w14:paraId="12567F34">
            <w:pPr>
              <w:keepNext w:val="0"/>
              <w:keepLines w:val="0"/>
              <w:pageBreakBefore w:val="0"/>
              <w:widowControl w:val="0"/>
              <w:kinsoku/>
              <w:wordWrap/>
              <w:overflowPunct/>
              <w:topLinePunct w:val="0"/>
              <w:autoSpaceDE/>
              <w:autoSpaceDN/>
              <w:bidi w:val="0"/>
              <w:adjustRightInd w:val="0"/>
              <w:snapToGrid/>
              <w:spacing w:line="400" w:lineRule="exact"/>
              <w:ind w:firstLine="48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技术分</w:t>
            </w:r>
          </w:p>
        </w:tc>
      </w:tr>
      <w:tr w14:paraId="3D93E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6" w:type="dxa"/>
            <w:vMerge w:val="restart"/>
            <w:tcMar>
              <w:top w:w="0" w:type="dxa"/>
              <w:left w:w="57" w:type="dxa"/>
              <w:bottom w:w="0" w:type="dxa"/>
              <w:right w:w="57" w:type="dxa"/>
            </w:tcMar>
            <w:vAlign w:val="center"/>
          </w:tcPr>
          <w:p w14:paraId="1CAE1CDB">
            <w:pPr>
              <w:keepNext w:val="0"/>
              <w:keepLines w:val="0"/>
              <w:pageBreakBefore w:val="0"/>
              <w:widowControl w:val="0"/>
              <w:shd w:val="clear"/>
              <w:kinsoku/>
              <w:wordWrap/>
              <w:overflowPunct/>
              <w:topLinePunct w:val="0"/>
              <w:autoSpaceDE/>
              <w:autoSpaceDN/>
              <w:bidi w:val="0"/>
              <w:adjustRightInd w:val="0"/>
              <w:snapToGrid/>
              <w:spacing w:line="40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543" w:type="dxa"/>
            <w:vMerge w:val="restart"/>
            <w:tcMar>
              <w:top w:w="0" w:type="dxa"/>
              <w:left w:w="57" w:type="dxa"/>
              <w:bottom w:w="0" w:type="dxa"/>
              <w:right w:w="57" w:type="dxa"/>
            </w:tcMar>
            <w:vAlign w:val="center"/>
          </w:tcPr>
          <w:p w14:paraId="5E0141FF">
            <w:pPr>
              <w:keepNext w:val="0"/>
              <w:keepLines w:val="0"/>
              <w:pageBreakBefore w:val="0"/>
              <w:widowControl w:val="0"/>
              <w:shd w:val="clear"/>
              <w:kinsoku/>
              <w:wordWrap/>
              <w:overflowPunct/>
              <w:topLinePunct w:val="0"/>
              <w:autoSpaceDE/>
              <w:autoSpaceDN/>
              <w:bidi w:val="0"/>
              <w:adjustRightInd w:val="0"/>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vertAlign w:val="baseline"/>
                <w:lang w:eastAsia="zh-CN"/>
              </w:rPr>
              <w:t>项目实施方案分</w:t>
            </w:r>
            <w:r>
              <w:rPr>
                <w:rFonts w:hint="eastAsia" w:ascii="宋体" w:hAnsi="宋体" w:cs="宋体"/>
                <w:color w:val="auto"/>
                <w:sz w:val="24"/>
                <w:szCs w:val="24"/>
                <w:highlight w:val="none"/>
                <w:vertAlign w:val="baseline"/>
                <w:lang w:eastAsia="zh-CN"/>
              </w:rPr>
              <w:t>（满分</w:t>
            </w:r>
            <w:r>
              <w:rPr>
                <w:rFonts w:hint="eastAsia" w:ascii="宋体" w:hAnsi="宋体" w:cs="宋体"/>
                <w:color w:val="auto"/>
                <w:sz w:val="24"/>
                <w:szCs w:val="24"/>
                <w:highlight w:val="none"/>
                <w:vertAlign w:val="baseline"/>
                <w:lang w:val="en-US" w:eastAsia="zh-CN"/>
              </w:rPr>
              <w:t>54分</w:t>
            </w:r>
            <w:r>
              <w:rPr>
                <w:rFonts w:hint="eastAsia" w:ascii="宋体" w:hAnsi="宋体" w:cs="宋体"/>
                <w:color w:val="auto"/>
                <w:sz w:val="24"/>
                <w:szCs w:val="24"/>
                <w:highlight w:val="none"/>
                <w:vertAlign w:val="baseline"/>
                <w:lang w:eastAsia="zh-CN"/>
              </w:rPr>
              <w:t>）</w:t>
            </w:r>
          </w:p>
        </w:tc>
        <w:tc>
          <w:tcPr>
            <w:tcW w:w="930" w:type="dxa"/>
            <w:tcMar>
              <w:top w:w="0" w:type="dxa"/>
              <w:left w:w="57" w:type="dxa"/>
              <w:bottom w:w="0" w:type="dxa"/>
              <w:right w:w="57" w:type="dxa"/>
            </w:tcMar>
            <w:vAlign w:val="center"/>
          </w:tcPr>
          <w:p w14:paraId="42FF4937">
            <w:pPr>
              <w:keepNext w:val="0"/>
              <w:keepLines w:val="0"/>
              <w:pageBreakBefore w:val="0"/>
              <w:widowControl w:val="0"/>
              <w:shd w:val="clear"/>
              <w:kinsoku/>
              <w:wordWrap/>
              <w:overflowPunct/>
              <w:topLinePunct w:val="0"/>
              <w:autoSpaceDE/>
              <w:autoSpaceDN/>
              <w:bidi w:val="0"/>
              <w:adjustRightInd w:val="0"/>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vertAlign w:val="baseline"/>
                <w:lang w:val="en-US" w:eastAsia="zh-CN"/>
              </w:rPr>
              <w:t>（1）总体服务方案分</w:t>
            </w:r>
          </w:p>
        </w:tc>
        <w:tc>
          <w:tcPr>
            <w:tcW w:w="5753" w:type="dxa"/>
            <w:shd w:val="clear" w:color="auto" w:fill="auto"/>
            <w:tcMar>
              <w:top w:w="0" w:type="dxa"/>
              <w:left w:w="57" w:type="dxa"/>
              <w:bottom w:w="0" w:type="dxa"/>
              <w:right w:w="57" w:type="dxa"/>
            </w:tcMar>
            <w:vAlign w:val="center"/>
          </w:tcPr>
          <w:p w14:paraId="2CCF6CFE">
            <w:pPr>
              <w:widowControl w:val="0"/>
              <w:adjustRightInd w:val="0"/>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方案内容包括：针对采购人本项目实际情况及特点提出对本项目服务内容进行理解分析、针对项目特点提出工作思路及方案、分析工作中可能出现的服务重点和难点、提出服务重点和难点相应解决措施、岗位职责、管理目标、管理构架、运作机制（含激励机制、监督机制、自我约束机制、信息反馈处理机制）、档案管理等内容。</w:t>
            </w:r>
          </w:p>
          <w:p w14:paraId="53421E12">
            <w:pPr>
              <w:widowControl w:val="0"/>
              <w:adjustRightInd w:val="0"/>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一档（</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分）：总体服务方案至少包括上述3项内容，有纲要，内容简略、未展开详细阐述，基本能够适用于本项目；</w:t>
            </w:r>
          </w:p>
          <w:p w14:paraId="5DA4B477">
            <w:pPr>
              <w:widowControl w:val="0"/>
              <w:adjustRightInd w:val="0"/>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二档（</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分）：总体服务方案至少包含上述6项内容，适用本项目需求，有管理规章制度且架构完整能够开展专业的物业管理工作、管理制度内容针对采购单位实际需求，机构设置合理，各岗位部门职责清晰明确，并能针对各服务区域制定合理的工作方案，项目需求理解到位，难点分析较合理；解决措施可行、较详细；</w:t>
            </w:r>
          </w:p>
          <w:p w14:paraId="2F05B3C3">
            <w:pPr>
              <w:widowControl w:val="0"/>
              <w:adjustRightInd w:val="0"/>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三档（</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分）：在满足二档的基础上，总体服务方案至少包含上述9项内容，对项目需求理解透彻，方案针对服务内容及需求，重点贴合实际，难点定位准确，符合本项目实施情况，分析合理，措施得力并实际实施力度强，内容严谨、详细。档案管理制度详细、完善，贴合采购单位需求，定期组织收集管理工作档案，归类整理定期存档，有完善科学的内部管理构架，激励机制、监督机制、自我约束机制、信息反馈处理机制，每个机制要点均有展开详细阐述，标准体系结构合理，包括上述所有内容。</w:t>
            </w:r>
          </w:p>
          <w:p w14:paraId="5E4F0B51">
            <w:pPr>
              <w:widowControl w:val="0"/>
              <w:adjustRightInd w:val="0"/>
              <w:spacing w:line="460" w:lineRule="exact"/>
              <w:ind w:firstLine="482" w:firstLineChars="200"/>
              <w:jc w:val="left"/>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rPr>
              <w:t>注：不提供相关内容或方案或方案未达到一档要求的得0分；方案未达到对应档次的，降档得分。</w:t>
            </w:r>
          </w:p>
        </w:tc>
        <w:tc>
          <w:tcPr>
            <w:tcW w:w="878" w:type="dxa"/>
            <w:shd w:val="clear" w:color="auto" w:fill="auto"/>
            <w:tcMar>
              <w:top w:w="0" w:type="dxa"/>
              <w:left w:w="57" w:type="dxa"/>
              <w:bottom w:w="0" w:type="dxa"/>
              <w:right w:w="57" w:type="dxa"/>
            </w:tcMar>
            <w:vAlign w:val="center"/>
          </w:tcPr>
          <w:p w14:paraId="114B1036">
            <w:pPr>
              <w:widowControl w:val="0"/>
              <w:adjustRightInd w:val="0"/>
              <w:spacing w:line="460" w:lineRule="exact"/>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分</w:t>
            </w:r>
          </w:p>
        </w:tc>
        <w:tc>
          <w:tcPr>
            <w:tcW w:w="1270" w:type="dxa"/>
            <w:shd w:val="clear" w:color="auto" w:fill="auto"/>
            <w:tcMar>
              <w:top w:w="0" w:type="dxa"/>
              <w:left w:w="57" w:type="dxa"/>
              <w:bottom w:w="0" w:type="dxa"/>
              <w:right w:w="57" w:type="dxa"/>
            </w:tcMar>
            <w:vAlign w:val="center"/>
          </w:tcPr>
          <w:p w14:paraId="06BDB228">
            <w:pPr>
              <w:keepNext w:val="0"/>
              <w:keepLines w:val="0"/>
              <w:pageBreakBefore w:val="0"/>
              <w:widowControl w:val="0"/>
              <w:shd w:val="clear"/>
              <w:kinsoku/>
              <w:wordWrap/>
              <w:overflowPunct/>
              <w:topLinePunct w:val="0"/>
              <w:autoSpaceDE/>
              <w:autoSpaceDN/>
              <w:bidi w:val="0"/>
              <w:adjustRightInd w:val="0"/>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vertAlign w:val="baseline"/>
                <w:lang w:val="en-US" w:eastAsia="zh-CN"/>
              </w:rPr>
              <w:t>主观分</w:t>
            </w:r>
          </w:p>
        </w:tc>
      </w:tr>
      <w:tr w14:paraId="495FA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6" w:type="dxa"/>
            <w:vMerge w:val="continue"/>
            <w:tcMar>
              <w:top w:w="0" w:type="dxa"/>
              <w:left w:w="57" w:type="dxa"/>
              <w:bottom w:w="0" w:type="dxa"/>
              <w:right w:w="57" w:type="dxa"/>
            </w:tcMar>
            <w:vAlign w:val="center"/>
          </w:tcPr>
          <w:p w14:paraId="5A01BDE9">
            <w:pPr>
              <w:keepNext w:val="0"/>
              <w:keepLines w:val="0"/>
              <w:pageBreakBefore w:val="0"/>
              <w:widowControl w:val="0"/>
              <w:kinsoku/>
              <w:wordWrap/>
              <w:overflowPunct/>
              <w:topLinePunct w:val="0"/>
              <w:autoSpaceDE/>
              <w:autoSpaceDN/>
              <w:bidi w:val="0"/>
              <w:adjustRightInd w:val="0"/>
              <w:snapToGrid/>
              <w:spacing w:line="400" w:lineRule="exact"/>
              <w:ind w:firstLine="480"/>
              <w:jc w:val="center"/>
              <w:textAlignment w:val="auto"/>
              <w:rPr>
                <w:rFonts w:hint="eastAsia" w:ascii="宋体" w:hAnsi="宋体" w:eastAsia="宋体" w:cs="宋体"/>
                <w:color w:val="auto"/>
                <w:sz w:val="24"/>
                <w:szCs w:val="24"/>
                <w:highlight w:val="none"/>
              </w:rPr>
            </w:pPr>
          </w:p>
        </w:tc>
        <w:tc>
          <w:tcPr>
            <w:tcW w:w="543" w:type="dxa"/>
            <w:vMerge w:val="continue"/>
            <w:tcMar>
              <w:top w:w="0" w:type="dxa"/>
              <w:left w:w="57" w:type="dxa"/>
              <w:bottom w:w="0" w:type="dxa"/>
              <w:right w:w="57" w:type="dxa"/>
            </w:tcMar>
            <w:vAlign w:val="center"/>
          </w:tcPr>
          <w:p w14:paraId="179FEE52">
            <w:pPr>
              <w:keepNext w:val="0"/>
              <w:keepLines w:val="0"/>
              <w:pageBreakBefore w:val="0"/>
              <w:widowControl w:val="0"/>
              <w:kinsoku/>
              <w:wordWrap/>
              <w:overflowPunct/>
              <w:topLinePunct w:val="0"/>
              <w:autoSpaceDE/>
              <w:autoSpaceDN/>
              <w:bidi w:val="0"/>
              <w:adjustRightInd w:val="0"/>
              <w:snapToGrid/>
              <w:spacing w:line="400" w:lineRule="exact"/>
              <w:ind w:firstLine="480"/>
              <w:jc w:val="center"/>
              <w:textAlignment w:val="auto"/>
              <w:rPr>
                <w:rFonts w:hint="eastAsia" w:ascii="宋体" w:hAnsi="宋体" w:eastAsia="宋体" w:cs="宋体"/>
                <w:color w:val="auto"/>
                <w:sz w:val="24"/>
                <w:szCs w:val="24"/>
                <w:highlight w:val="none"/>
              </w:rPr>
            </w:pPr>
          </w:p>
        </w:tc>
        <w:tc>
          <w:tcPr>
            <w:tcW w:w="930" w:type="dxa"/>
            <w:tcMar>
              <w:top w:w="0" w:type="dxa"/>
              <w:left w:w="57" w:type="dxa"/>
              <w:bottom w:w="0" w:type="dxa"/>
              <w:right w:w="57" w:type="dxa"/>
            </w:tcMar>
            <w:vAlign w:val="center"/>
          </w:tcPr>
          <w:p w14:paraId="027AE11F">
            <w:pPr>
              <w:keepNext w:val="0"/>
              <w:keepLines w:val="0"/>
              <w:pageBreakBefore w:val="0"/>
              <w:widowControl w:val="0"/>
              <w:shd w:val="clear"/>
              <w:kinsoku/>
              <w:wordWrap/>
              <w:overflowPunct/>
              <w:topLinePunct w:val="0"/>
              <w:autoSpaceDE/>
              <w:autoSpaceDN/>
              <w:bidi w:val="0"/>
              <w:adjustRightInd w:val="0"/>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vertAlign w:val="baseline"/>
                <w:lang w:val="en-US" w:eastAsia="zh-CN"/>
              </w:rPr>
              <w:t>（2）拟投入人员、作息时间安排及人员培训方案分</w:t>
            </w:r>
          </w:p>
        </w:tc>
        <w:tc>
          <w:tcPr>
            <w:tcW w:w="5753" w:type="dxa"/>
            <w:shd w:val="clear" w:color="auto" w:fill="auto"/>
            <w:tcMar>
              <w:top w:w="0" w:type="dxa"/>
              <w:left w:w="57" w:type="dxa"/>
              <w:bottom w:w="0" w:type="dxa"/>
              <w:right w:w="57" w:type="dxa"/>
            </w:tcMar>
            <w:vAlign w:val="center"/>
          </w:tcPr>
          <w:p w14:paraId="0BAE6B15">
            <w:pPr>
              <w:widowControl w:val="0"/>
              <w:adjustRightInd w:val="0"/>
              <w:spacing w:line="380" w:lineRule="exact"/>
              <w:ind w:firstLine="480" w:firstLineChars="200"/>
              <w:jc w:val="left"/>
              <w:rPr>
                <w:rFonts w:ascii="宋体" w:hAnsi="宋体" w:cs="宋体"/>
                <w:color w:val="auto"/>
                <w:sz w:val="24"/>
                <w:szCs w:val="24"/>
                <w:highlight w:val="none"/>
              </w:rPr>
            </w:pPr>
            <w:r>
              <w:rPr>
                <w:rFonts w:ascii="宋体" w:hAnsi="宋体" w:cs="宋体"/>
                <w:color w:val="auto"/>
                <w:sz w:val="24"/>
                <w:szCs w:val="24"/>
                <w:highlight w:val="none"/>
              </w:rPr>
              <w:t>方案包括</w:t>
            </w:r>
            <w:r>
              <w:rPr>
                <w:rFonts w:hint="eastAsia" w:ascii="宋体" w:hAnsi="宋体" w:cs="宋体"/>
                <w:color w:val="auto"/>
                <w:sz w:val="24"/>
                <w:szCs w:val="24"/>
                <w:highlight w:val="none"/>
              </w:rPr>
              <w:t>但不限于：</w:t>
            </w:r>
            <w:r>
              <w:rPr>
                <w:rFonts w:hint="eastAsia" w:ascii="微软雅黑" w:hAnsi="微软雅黑" w:eastAsia="微软雅黑" w:cs="微软雅黑"/>
                <w:color w:val="auto"/>
                <w:sz w:val="24"/>
                <w:szCs w:val="24"/>
                <w:highlight w:val="none"/>
              </w:rPr>
              <w:t>①</w:t>
            </w:r>
            <w:r>
              <w:rPr>
                <w:rFonts w:hint="eastAsia" w:ascii="宋体" w:hAnsi="宋体" w:cs="宋体"/>
                <w:color w:val="auto"/>
                <w:sz w:val="24"/>
                <w:szCs w:val="24"/>
                <w:highlight w:val="none"/>
              </w:rPr>
              <w:t>项目管理组织架构与人员配备（各岗位人员数量及职责）、②人员管理制度（含招聘、培训、考核、激励、淘汰及后备机制）、③服务团队稳定性保障方案、④关键岗位人员储备、⑤作息时间安排、⑥人员培训方案（含培训机构、岗前与在岗培训体系、培训资料、培训标准、培训记录、培训大纲、培训方式、培训方法、培训效果评估等内容）。</w:t>
            </w:r>
          </w:p>
          <w:p w14:paraId="254E568C">
            <w:pPr>
              <w:widowControl w:val="0"/>
              <w:spacing w:line="380" w:lineRule="exact"/>
              <w:ind w:firstLine="480" w:firstLineChars="200"/>
              <w:rPr>
                <w:rFonts w:ascii="Times New Roman" w:hAnsi="Times New Roman" w:eastAsia="仿宋_GB2312"/>
                <w:color w:val="auto"/>
                <w:sz w:val="24"/>
                <w:szCs w:val="24"/>
                <w:highlight w:val="none"/>
              </w:rPr>
            </w:pPr>
            <w:r>
              <w:rPr>
                <w:rFonts w:ascii="宋体" w:hAnsi="宋体" w:cs="宋体"/>
                <w:color w:val="auto"/>
                <w:sz w:val="24"/>
                <w:szCs w:val="24"/>
                <w:highlight w:val="none"/>
              </w:rPr>
              <w:t>一档（</w:t>
            </w: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分）：方案</w:t>
            </w:r>
            <w:r>
              <w:rPr>
                <w:rFonts w:hint="eastAsia" w:ascii="宋体" w:hAnsi="宋体" w:cs="宋体"/>
                <w:color w:val="auto"/>
                <w:sz w:val="24"/>
                <w:szCs w:val="24"/>
                <w:highlight w:val="none"/>
              </w:rPr>
              <w:t>至少</w:t>
            </w:r>
            <w:r>
              <w:rPr>
                <w:rFonts w:ascii="宋体" w:hAnsi="宋体" w:cs="宋体"/>
                <w:color w:val="auto"/>
                <w:sz w:val="24"/>
                <w:szCs w:val="24"/>
                <w:highlight w:val="none"/>
              </w:rPr>
              <w:t>包括</w:t>
            </w:r>
            <w:r>
              <w:rPr>
                <w:rFonts w:hint="eastAsia" w:ascii="宋体" w:hAnsi="宋体" w:cs="宋体"/>
                <w:color w:val="auto"/>
                <w:sz w:val="24"/>
                <w:szCs w:val="24"/>
                <w:highlight w:val="none"/>
              </w:rPr>
              <w:t>3</w:t>
            </w:r>
            <w:r>
              <w:rPr>
                <w:rFonts w:ascii="宋体" w:hAnsi="宋体" w:cs="宋体"/>
                <w:color w:val="auto"/>
                <w:sz w:val="24"/>
                <w:szCs w:val="24"/>
                <w:highlight w:val="none"/>
              </w:rPr>
              <w:t>项上述内容</w:t>
            </w:r>
            <w:r>
              <w:rPr>
                <w:rFonts w:hint="eastAsia" w:ascii="宋体" w:hAnsi="宋体" w:cs="宋体"/>
                <w:color w:val="auto"/>
                <w:sz w:val="24"/>
                <w:szCs w:val="24"/>
                <w:highlight w:val="none"/>
              </w:rPr>
              <w:t>，</w:t>
            </w:r>
            <w:r>
              <w:rPr>
                <w:rFonts w:ascii="宋体" w:hAnsi="宋体" w:cs="宋体"/>
                <w:color w:val="auto"/>
                <w:sz w:val="24"/>
                <w:szCs w:val="24"/>
                <w:highlight w:val="none"/>
              </w:rPr>
              <w:t>投入人员安排基本满足要求、作息时间计划基本合理</w:t>
            </w:r>
            <w:r>
              <w:rPr>
                <w:rFonts w:hint="eastAsia" w:ascii="宋体" w:hAnsi="宋体" w:cs="宋体"/>
                <w:color w:val="auto"/>
                <w:sz w:val="24"/>
                <w:szCs w:val="24"/>
                <w:highlight w:val="none"/>
              </w:rPr>
              <w:t>，培训方案</w:t>
            </w:r>
            <w:r>
              <w:rPr>
                <w:rFonts w:ascii="宋体" w:hAnsi="宋体" w:cs="宋体"/>
                <w:color w:val="auto"/>
                <w:sz w:val="24"/>
                <w:szCs w:val="24"/>
                <w:highlight w:val="none"/>
              </w:rPr>
              <w:t xml:space="preserve">适用本项目需求，但仅有纲要、内容简略未展开详细具体的阐述；    </w:t>
            </w:r>
            <w:r>
              <w:rPr>
                <w:rFonts w:ascii="Times New Roman" w:hAnsi="Times New Roman" w:eastAsia="仿宋_GB2312"/>
                <w:color w:val="auto"/>
                <w:sz w:val="24"/>
                <w:szCs w:val="24"/>
                <w:highlight w:val="none"/>
              </w:rPr>
              <w:t xml:space="preserve">                     </w:t>
            </w:r>
          </w:p>
          <w:p w14:paraId="171283AD">
            <w:pPr>
              <w:widowControl w:val="0"/>
              <w:spacing w:line="380" w:lineRule="exact"/>
              <w:ind w:firstLine="480" w:firstLineChars="200"/>
              <w:rPr>
                <w:rFonts w:ascii="Times New Roman" w:hAnsi="Times New Roman" w:eastAsia="仿宋_GB2312"/>
                <w:color w:val="auto"/>
                <w:sz w:val="24"/>
                <w:szCs w:val="24"/>
                <w:highlight w:val="none"/>
              </w:rPr>
            </w:pPr>
            <w:r>
              <w:rPr>
                <w:rFonts w:ascii="宋体" w:hAnsi="宋体" w:cs="宋体"/>
                <w:color w:val="auto"/>
                <w:sz w:val="24"/>
                <w:szCs w:val="24"/>
                <w:highlight w:val="none"/>
              </w:rPr>
              <w:t>二档（</w:t>
            </w: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分）：投标人提供的人员配置方案内容较为系统、完整，方案</w:t>
            </w:r>
            <w:r>
              <w:rPr>
                <w:rFonts w:hint="eastAsia" w:ascii="宋体" w:hAnsi="宋体" w:cs="宋体"/>
                <w:color w:val="auto"/>
                <w:sz w:val="24"/>
                <w:szCs w:val="24"/>
                <w:highlight w:val="none"/>
              </w:rPr>
              <w:t>至少</w:t>
            </w:r>
            <w:r>
              <w:rPr>
                <w:rFonts w:ascii="宋体" w:hAnsi="宋体" w:cs="宋体"/>
                <w:color w:val="auto"/>
                <w:sz w:val="24"/>
                <w:szCs w:val="24"/>
                <w:highlight w:val="none"/>
              </w:rPr>
              <w:t>包括</w:t>
            </w:r>
            <w:r>
              <w:rPr>
                <w:rFonts w:hint="eastAsia" w:ascii="宋体" w:hAnsi="宋体" w:cs="宋体"/>
                <w:color w:val="auto"/>
                <w:sz w:val="24"/>
                <w:szCs w:val="24"/>
                <w:highlight w:val="none"/>
              </w:rPr>
              <w:t>5</w:t>
            </w:r>
            <w:r>
              <w:rPr>
                <w:rFonts w:ascii="宋体" w:hAnsi="宋体" w:cs="宋体"/>
                <w:color w:val="auto"/>
                <w:sz w:val="24"/>
                <w:szCs w:val="24"/>
                <w:highlight w:val="none"/>
              </w:rPr>
              <w:t>项上述内容。方案能针对项目需求合理设置岗位并规划人员配置，制定了基本的人员管理、培训及考核制度</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能够满足服务的基本运行需求，方案具备可操作性。有排班表但未区分特殊时期，培训目标清晰明确，注重提供员工综合能力，同时对培训方案展开了详细具体的阐述，有培训计划、落实措施。   </w:t>
            </w:r>
            <w:r>
              <w:rPr>
                <w:rFonts w:ascii="Times New Roman" w:hAnsi="Times New Roman" w:eastAsia="仿宋_GB2312"/>
                <w:color w:val="auto"/>
                <w:sz w:val="24"/>
                <w:szCs w:val="24"/>
                <w:highlight w:val="none"/>
              </w:rPr>
              <w:t xml:space="preserve">                                                                                                                  </w:t>
            </w:r>
          </w:p>
          <w:p w14:paraId="6713CC65">
            <w:pPr>
              <w:pStyle w:val="2"/>
              <w:widowControl w:val="0"/>
              <w:spacing w:line="380" w:lineRule="exact"/>
              <w:rPr>
                <w:rFonts w:ascii="宋体" w:hAnsi="宋体" w:cs="宋体"/>
                <w:color w:val="auto"/>
                <w:kern w:val="2"/>
                <w:sz w:val="24"/>
                <w:szCs w:val="24"/>
                <w:highlight w:val="none"/>
              </w:rPr>
            </w:pPr>
            <w:r>
              <w:rPr>
                <w:rFonts w:ascii="宋体" w:hAnsi="宋体" w:cs="宋体"/>
                <w:color w:val="auto"/>
                <w:kern w:val="2"/>
                <w:sz w:val="24"/>
                <w:szCs w:val="24"/>
                <w:highlight w:val="none"/>
              </w:rPr>
              <w:t>三档（</w:t>
            </w:r>
            <w:r>
              <w:rPr>
                <w:rFonts w:hint="eastAsia" w:hAnsi="宋体" w:cs="宋体"/>
                <w:color w:val="auto"/>
                <w:kern w:val="2"/>
                <w:sz w:val="24"/>
                <w:szCs w:val="24"/>
                <w:highlight w:val="none"/>
                <w:lang w:val="en-US" w:eastAsia="zh-CN"/>
              </w:rPr>
              <w:t>6</w:t>
            </w:r>
            <w:r>
              <w:rPr>
                <w:rFonts w:ascii="宋体" w:hAnsi="宋体" w:cs="宋体"/>
                <w:color w:val="auto"/>
                <w:kern w:val="2"/>
                <w:sz w:val="24"/>
                <w:szCs w:val="24"/>
                <w:highlight w:val="none"/>
              </w:rPr>
              <w:t>分）：投标人提供的方案全面覆盖上述全部内容、作息时间计划切合本项目实际，</w:t>
            </w:r>
            <w:r>
              <w:rPr>
                <w:rFonts w:hint="eastAsia" w:ascii="宋体" w:hAnsi="宋体" w:cs="宋体"/>
                <w:color w:val="auto"/>
                <w:kern w:val="2"/>
                <w:sz w:val="24"/>
                <w:szCs w:val="24"/>
                <w:highlight w:val="none"/>
              </w:rPr>
              <w:t>排班安排切实贴合本项目需求</w:t>
            </w:r>
            <w:r>
              <w:rPr>
                <w:rFonts w:ascii="宋体" w:hAnsi="宋体" w:cs="宋体"/>
                <w:color w:val="auto"/>
                <w:kern w:val="2"/>
                <w:sz w:val="24"/>
                <w:szCs w:val="24"/>
                <w:highlight w:val="none"/>
              </w:rPr>
              <w:t>，区分了正常教学日、周末</w:t>
            </w:r>
            <w:r>
              <w:rPr>
                <w:rFonts w:hint="eastAsia" w:ascii="宋体" w:hAnsi="宋体" w:cs="宋体"/>
                <w:color w:val="auto"/>
                <w:kern w:val="2"/>
                <w:sz w:val="24"/>
                <w:szCs w:val="24"/>
                <w:highlight w:val="none"/>
              </w:rPr>
              <w:t>和</w:t>
            </w:r>
            <w:r>
              <w:rPr>
                <w:rFonts w:ascii="宋体" w:hAnsi="宋体" w:cs="宋体"/>
                <w:color w:val="auto"/>
                <w:kern w:val="2"/>
                <w:sz w:val="24"/>
                <w:szCs w:val="24"/>
                <w:highlight w:val="none"/>
              </w:rPr>
              <w:t>节假日、寒暑假、应急等特殊时期的排班安排，能够灵活应对项目各类突发状况，服务团队组建方案科学合理，切合实际，稳定性、针对性强，有人员考核制度与奖惩制度相配，制度能有效激励服务人员积极工作，</w:t>
            </w:r>
            <w:r>
              <w:rPr>
                <w:rFonts w:hint="eastAsia" w:ascii="宋体" w:hAnsi="宋体" w:cs="宋体"/>
                <w:color w:val="auto"/>
                <w:kern w:val="2"/>
                <w:sz w:val="24"/>
                <w:szCs w:val="24"/>
                <w:highlight w:val="none"/>
              </w:rPr>
              <w:t>有详细的培训方案，</w:t>
            </w:r>
            <w:r>
              <w:rPr>
                <w:rFonts w:ascii="宋体" w:hAnsi="宋体" w:cs="宋体"/>
                <w:color w:val="auto"/>
                <w:kern w:val="2"/>
                <w:sz w:val="24"/>
                <w:szCs w:val="24"/>
                <w:highlight w:val="none"/>
              </w:rPr>
              <w:t>培训时间安排合理，有详尽的培训时间计划表，对人员的培训能够联系实际，专业技术培训与职业道德教育相结合，保证员工能够适应现阶段物业管理服务市场、采购单位等服务对象对物业从业人员的要求。</w:t>
            </w:r>
          </w:p>
          <w:p w14:paraId="0A26DA25">
            <w:pPr>
              <w:widowControl w:val="0"/>
              <w:spacing w:line="380" w:lineRule="exact"/>
              <w:ind w:firstLine="482" w:firstLineChars="200"/>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rPr>
              <w:t>注：不提供相关内容或方案或方案未达到一档要求的得0分；方案未达到对应档次的，降档得</w:t>
            </w:r>
            <w:r>
              <w:rPr>
                <w:rFonts w:ascii="宋体" w:hAnsi="宋体" w:cs="宋体"/>
                <w:b/>
                <w:bCs/>
                <w:color w:val="auto"/>
                <w:sz w:val="24"/>
                <w:szCs w:val="24"/>
                <w:highlight w:val="none"/>
              </w:rPr>
              <w:t>分。</w:t>
            </w:r>
          </w:p>
        </w:tc>
        <w:tc>
          <w:tcPr>
            <w:tcW w:w="878" w:type="dxa"/>
            <w:shd w:val="clear" w:color="auto" w:fill="auto"/>
            <w:tcMar>
              <w:top w:w="0" w:type="dxa"/>
              <w:left w:w="57" w:type="dxa"/>
              <w:bottom w:w="0" w:type="dxa"/>
              <w:right w:w="57" w:type="dxa"/>
            </w:tcMar>
            <w:vAlign w:val="center"/>
          </w:tcPr>
          <w:p w14:paraId="28B5CC17">
            <w:pPr>
              <w:widowControl w:val="0"/>
              <w:adjustRightInd w:val="0"/>
              <w:spacing w:line="460" w:lineRule="exact"/>
              <w:jc w:val="center"/>
              <w:rPr>
                <w:rFonts w:hint="eastAsia" w:ascii="宋体" w:hAnsi="宋体" w:eastAsia="宋体" w:cs="宋体"/>
                <w:color w:val="auto"/>
                <w:sz w:val="24"/>
                <w:szCs w:val="24"/>
                <w:highlight w:val="none"/>
              </w:rPr>
            </w:pPr>
            <w:r>
              <w:rPr>
                <w:rFonts w:hint="eastAsia" w:eastAsia="仿宋_GB2312"/>
                <w:color w:val="auto"/>
                <w:sz w:val="24"/>
                <w:szCs w:val="24"/>
                <w:highlight w:val="none"/>
                <w:lang w:val="en-US" w:eastAsia="zh-CN"/>
              </w:rPr>
              <w:t>6</w:t>
            </w:r>
            <w:r>
              <w:rPr>
                <w:rFonts w:ascii="Times New Roman" w:hAnsi="Times New Roman" w:eastAsia="仿宋_GB2312"/>
                <w:color w:val="auto"/>
                <w:sz w:val="24"/>
                <w:szCs w:val="24"/>
                <w:highlight w:val="none"/>
              </w:rPr>
              <w:t>分</w:t>
            </w:r>
          </w:p>
        </w:tc>
        <w:tc>
          <w:tcPr>
            <w:tcW w:w="1270" w:type="dxa"/>
            <w:shd w:val="clear" w:color="auto" w:fill="auto"/>
            <w:tcMar>
              <w:top w:w="0" w:type="dxa"/>
              <w:left w:w="57" w:type="dxa"/>
              <w:bottom w:w="0" w:type="dxa"/>
              <w:right w:w="57" w:type="dxa"/>
            </w:tcMar>
            <w:vAlign w:val="center"/>
          </w:tcPr>
          <w:p w14:paraId="53728A1B">
            <w:pPr>
              <w:keepNext w:val="0"/>
              <w:keepLines w:val="0"/>
              <w:pageBreakBefore w:val="0"/>
              <w:widowControl w:val="0"/>
              <w:shd w:val="clear"/>
              <w:kinsoku/>
              <w:wordWrap/>
              <w:overflowPunct/>
              <w:topLinePunct w:val="0"/>
              <w:autoSpaceDE/>
              <w:autoSpaceDN/>
              <w:bidi w:val="0"/>
              <w:adjustRightInd w:val="0"/>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vertAlign w:val="baseline"/>
                <w:lang w:val="en-US" w:eastAsia="zh-CN"/>
              </w:rPr>
              <w:t>主观分</w:t>
            </w:r>
          </w:p>
        </w:tc>
      </w:tr>
      <w:tr w14:paraId="5C52D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6" w:type="dxa"/>
            <w:vMerge w:val="continue"/>
            <w:tcMar>
              <w:top w:w="0" w:type="dxa"/>
              <w:left w:w="57" w:type="dxa"/>
              <w:bottom w:w="0" w:type="dxa"/>
              <w:right w:w="57" w:type="dxa"/>
            </w:tcMar>
            <w:vAlign w:val="center"/>
          </w:tcPr>
          <w:p w14:paraId="1B79B7D0">
            <w:pPr>
              <w:keepNext w:val="0"/>
              <w:keepLines w:val="0"/>
              <w:pageBreakBefore w:val="0"/>
              <w:widowControl w:val="0"/>
              <w:kinsoku/>
              <w:wordWrap/>
              <w:overflowPunct/>
              <w:topLinePunct w:val="0"/>
              <w:autoSpaceDE/>
              <w:autoSpaceDN/>
              <w:bidi w:val="0"/>
              <w:adjustRightInd w:val="0"/>
              <w:snapToGrid/>
              <w:spacing w:line="400" w:lineRule="exact"/>
              <w:ind w:firstLine="480"/>
              <w:jc w:val="center"/>
              <w:textAlignment w:val="auto"/>
              <w:rPr>
                <w:rFonts w:hint="eastAsia" w:ascii="宋体" w:hAnsi="宋体" w:eastAsia="宋体" w:cs="宋体"/>
                <w:color w:val="auto"/>
                <w:sz w:val="24"/>
                <w:szCs w:val="24"/>
                <w:highlight w:val="none"/>
              </w:rPr>
            </w:pPr>
          </w:p>
        </w:tc>
        <w:tc>
          <w:tcPr>
            <w:tcW w:w="543" w:type="dxa"/>
            <w:vMerge w:val="continue"/>
            <w:tcMar>
              <w:top w:w="0" w:type="dxa"/>
              <w:left w:w="57" w:type="dxa"/>
              <w:bottom w:w="0" w:type="dxa"/>
              <w:right w:w="57" w:type="dxa"/>
            </w:tcMar>
            <w:vAlign w:val="center"/>
          </w:tcPr>
          <w:p w14:paraId="2C717188">
            <w:pPr>
              <w:keepNext w:val="0"/>
              <w:keepLines w:val="0"/>
              <w:pageBreakBefore w:val="0"/>
              <w:widowControl w:val="0"/>
              <w:kinsoku/>
              <w:wordWrap/>
              <w:overflowPunct/>
              <w:topLinePunct w:val="0"/>
              <w:autoSpaceDE/>
              <w:autoSpaceDN/>
              <w:bidi w:val="0"/>
              <w:adjustRightInd w:val="0"/>
              <w:snapToGrid/>
              <w:spacing w:line="400" w:lineRule="exact"/>
              <w:ind w:firstLine="480"/>
              <w:jc w:val="center"/>
              <w:textAlignment w:val="auto"/>
              <w:rPr>
                <w:rFonts w:hint="eastAsia" w:ascii="宋体" w:hAnsi="宋体" w:eastAsia="宋体" w:cs="宋体"/>
                <w:color w:val="auto"/>
                <w:sz w:val="24"/>
                <w:szCs w:val="24"/>
                <w:highlight w:val="none"/>
              </w:rPr>
            </w:pPr>
          </w:p>
        </w:tc>
        <w:tc>
          <w:tcPr>
            <w:tcW w:w="930" w:type="dxa"/>
            <w:tcMar>
              <w:top w:w="0" w:type="dxa"/>
              <w:left w:w="57" w:type="dxa"/>
              <w:bottom w:w="0" w:type="dxa"/>
              <w:right w:w="57" w:type="dxa"/>
            </w:tcMar>
            <w:vAlign w:val="center"/>
          </w:tcPr>
          <w:p w14:paraId="5DA65953">
            <w:pPr>
              <w:keepNext w:val="0"/>
              <w:keepLines w:val="0"/>
              <w:pageBreakBefore w:val="0"/>
              <w:widowControl w:val="0"/>
              <w:shd w:val="clear"/>
              <w:kinsoku/>
              <w:wordWrap/>
              <w:overflowPunct/>
              <w:topLinePunct w:val="0"/>
              <w:autoSpaceDE/>
              <w:autoSpaceDN/>
              <w:bidi w:val="0"/>
              <w:adjustRightInd w:val="0"/>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vertAlign w:val="baseline"/>
                <w:lang w:val="en-US" w:eastAsia="zh-CN"/>
              </w:rPr>
              <w:t>（3）清洁管理</w:t>
            </w:r>
          </w:p>
        </w:tc>
        <w:tc>
          <w:tcPr>
            <w:tcW w:w="5753" w:type="dxa"/>
            <w:shd w:val="clear" w:color="auto" w:fill="auto"/>
            <w:tcMar>
              <w:top w:w="0" w:type="dxa"/>
              <w:left w:w="57" w:type="dxa"/>
              <w:bottom w:w="0" w:type="dxa"/>
              <w:right w:w="57" w:type="dxa"/>
            </w:tcMar>
            <w:vAlign w:val="center"/>
          </w:tcPr>
          <w:p w14:paraId="126E4D52">
            <w:pPr>
              <w:widowControl w:val="0"/>
              <w:spacing w:line="46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方案包括但不限于：①服务要求及标准、②作业现场管理、③工作操作规程、④质量标准及频率、⑤工作管理制度、⑥安全保障措施、⑦服务质量保证措施、⑧管理思路及档案管理等内容。</w:t>
            </w:r>
          </w:p>
          <w:p w14:paraId="7A54A691">
            <w:pPr>
              <w:widowControl w:val="0"/>
              <w:spacing w:line="46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一档（</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分）：投标人提供的服务方案包含①校园保洁、②垃圾分类及清运、③雨污排水管（沟）疏通、④“四害”消杀、⑤寒暑假及节假日保洁计划等5个方面，且每个方面至少包括上述3项内容，有纲要，但内容简略，未展开阐述，能基本满足本项目采购需求；</w:t>
            </w:r>
          </w:p>
          <w:p w14:paraId="285C3A0A">
            <w:pPr>
              <w:widowControl w:val="0"/>
              <w:spacing w:line="46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二档（</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分）：投标人提供的服务方案包含①校园保洁、②垃圾分类及清运、③雨污排水管（沟）疏通、④“四害”消杀、⑤寒暑假及节假日保洁计划等5个方面，且每个方面至少包括上述6项内容，内容完整，对服务内容展开了基本的阐述，有详细的服务工作计划、落实措施；</w:t>
            </w:r>
          </w:p>
          <w:p w14:paraId="315BBFAC">
            <w:pPr>
              <w:widowControl w:val="0"/>
              <w:spacing w:line="46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三档（</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分）：投标人提供的服务方案包含①校园保洁、②垃圾分类及清运、③雨污排水管（沟）疏通、④“四害”消杀、⑤寒暑假及节假日保洁计划等5个方面，且每个方面包括上述所有内容，服务方案内容细致详尽，能够根据服务单位的特点制定详细的方案服务计划、落实措施及服务质量考核办法，整体管理方案完全适用本项目，对于本项目的保洁绿化卫生要点能够展开详细的阐述。服务方案包括上述全部内容。</w:t>
            </w:r>
          </w:p>
          <w:p w14:paraId="3B297DBD">
            <w:pPr>
              <w:widowControl w:val="0"/>
              <w:spacing w:line="460" w:lineRule="exact"/>
              <w:ind w:firstLine="482" w:firstLineChars="200"/>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rPr>
              <w:t>注：</w:t>
            </w:r>
            <w:r>
              <w:rPr>
                <w:rFonts w:hint="eastAsia" w:ascii="宋体" w:hAnsi="宋体" w:cs="宋体"/>
                <w:b/>
                <w:bCs/>
                <w:color w:val="auto"/>
                <w:sz w:val="24"/>
                <w:szCs w:val="24"/>
                <w:highlight w:val="none"/>
              </w:rPr>
              <w:t>不提供相关内容或方案或方案未达到一档要求的得0分；方案未达到对应档次的，降档得分。</w:t>
            </w:r>
          </w:p>
        </w:tc>
        <w:tc>
          <w:tcPr>
            <w:tcW w:w="878" w:type="dxa"/>
            <w:shd w:val="clear" w:color="auto" w:fill="auto"/>
            <w:tcMar>
              <w:top w:w="0" w:type="dxa"/>
              <w:left w:w="57" w:type="dxa"/>
              <w:bottom w:w="0" w:type="dxa"/>
              <w:right w:w="57" w:type="dxa"/>
            </w:tcMar>
            <w:vAlign w:val="center"/>
          </w:tcPr>
          <w:p w14:paraId="290B67CA">
            <w:pPr>
              <w:widowControl w:val="0"/>
              <w:adjustRightInd w:val="0"/>
              <w:spacing w:line="460" w:lineRule="exact"/>
              <w:jc w:val="center"/>
              <w:rPr>
                <w:rFonts w:hint="eastAsia" w:ascii="宋体" w:hAnsi="宋体" w:eastAsia="宋体" w:cs="宋体"/>
                <w:color w:val="auto"/>
                <w:sz w:val="24"/>
                <w:szCs w:val="24"/>
                <w:highlight w:val="none"/>
              </w:rPr>
            </w:pPr>
            <w:r>
              <w:rPr>
                <w:rFonts w:hint="eastAsia" w:ascii="Times New Roman" w:hAnsi="Times New Roman" w:eastAsia="仿宋_GB2312"/>
                <w:color w:val="auto"/>
                <w:sz w:val="24"/>
                <w:szCs w:val="24"/>
                <w:highlight w:val="none"/>
              </w:rPr>
              <w:t>5</w:t>
            </w:r>
            <w:r>
              <w:rPr>
                <w:rFonts w:ascii="Times New Roman" w:hAnsi="Times New Roman" w:eastAsia="仿宋_GB2312"/>
                <w:color w:val="auto"/>
                <w:sz w:val="24"/>
                <w:szCs w:val="24"/>
                <w:highlight w:val="none"/>
              </w:rPr>
              <w:t>分</w:t>
            </w:r>
          </w:p>
        </w:tc>
        <w:tc>
          <w:tcPr>
            <w:tcW w:w="1270" w:type="dxa"/>
            <w:shd w:val="clear" w:color="auto" w:fill="auto"/>
            <w:tcMar>
              <w:top w:w="0" w:type="dxa"/>
              <w:left w:w="57" w:type="dxa"/>
              <w:bottom w:w="0" w:type="dxa"/>
              <w:right w:w="57" w:type="dxa"/>
            </w:tcMar>
            <w:vAlign w:val="center"/>
          </w:tcPr>
          <w:p w14:paraId="639E8C76">
            <w:pPr>
              <w:keepNext w:val="0"/>
              <w:keepLines w:val="0"/>
              <w:pageBreakBefore w:val="0"/>
              <w:widowControl w:val="0"/>
              <w:shd w:val="clear"/>
              <w:kinsoku/>
              <w:wordWrap/>
              <w:overflowPunct/>
              <w:topLinePunct w:val="0"/>
              <w:autoSpaceDE/>
              <w:autoSpaceDN/>
              <w:bidi w:val="0"/>
              <w:adjustRightInd w:val="0"/>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vertAlign w:val="baseline"/>
                <w:lang w:val="en-US" w:eastAsia="zh-CN"/>
              </w:rPr>
              <w:t>主观分</w:t>
            </w:r>
          </w:p>
        </w:tc>
      </w:tr>
      <w:tr w14:paraId="657A3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6" w:type="dxa"/>
            <w:vMerge w:val="continue"/>
            <w:tcMar>
              <w:top w:w="0" w:type="dxa"/>
              <w:left w:w="57" w:type="dxa"/>
              <w:bottom w:w="0" w:type="dxa"/>
              <w:right w:w="57" w:type="dxa"/>
            </w:tcMar>
            <w:vAlign w:val="center"/>
          </w:tcPr>
          <w:p w14:paraId="3529A7E5">
            <w:pPr>
              <w:keepNext w:val="0"/>
              <w:keepLines w:val="0"/>
              <w:pageBreakBefore w:val="0"/>
              <w:widowControl w:val="0"/>
              <w:kinsoku/>
              <w:wordWrap/>
              <w:overflowPunct/>
              <w:topLinePunct w:val="0"/>
              <w:autoSpaceDE/>
              <w:autoSpaceDN/>
              <w:bidi w:val="0"/>
              <w:adjustRightInd w:val="0"/>
              <w:snapToGrid/>
              <w:spacing w:line="400" w:lineRule="exact"/>
              <w:ind w:firstLine="480"/>
              <w:jc w:val="center"/>
              <w:textAlignment w:val="auto"/>
              <w:rPr>
                <w:rFonts w:hint="eastAsia" w:ascii="宋体" w:hAnsi="宋体" w:eastAsia="宋体" w:cs="宋体"/>
                <w:color w:val="auto"/>
                <w:sz w:val="24"/>
                <w:szCs w:val="24"/>
                <w:highlight w:val="none"/>
              </w:rPr>
            </w:pPr>
          </w:p>
        </w:tc>
        <w:tc>
          <w:tcPr>
            <w:tcW w:w="543" w:type="dxa"/>
            <w:vMerge w:val="continue"/>
            <w:tcMar>
              <w:top w:w="0" w:type="dxa"/>
              <w:left w:w="57" w:type="dxa"/>
              <w:bottom w:w="0" w:type="dxa"/>
              <w:right w:w="57" w:type="dxa"/>
            </w:tcMar>
            <w:vAlign w:val="center"/>
          </w:tcPr>
          <w:p w14:paraId="0BF26BEF">
            <w:pPr>
              <w:keepNext w:val="0"/>
              <w:keepLines w:val="0"/>
              <w:pageBreakBefore w:val="0"/>
              <w:widowControl w:val="0"/>
              <w:kinsoku/>
              <w:wordWrap/>
              <w:overflowPunct/>
              <w:topLinePunct w:val="0"/>
              <w:autoSpaceDE/>
              <w:autoSpaceDN/>
              <w:bidi w:val="0"/>
              <w:adjustRightInd w:val="0"/>
              <w:snapToGrid/>
              <w:spacing w:line="400" w:lineRule="exact"/>
              <w:ind w:firstLine="480"/>
              <w:jc w:val="center"/>
              <w:textAlignment w:val="auto"/>
              <w:rPr>
                <w:rFonts w:hint="eastAsia" w:ascii="宋体" w:hAnsi="宋体" w:eastAsia="宋体" w:cs="宋体"/>
                <w:color w:val="auto"/>
                <w:sz w:val="24"/>
                <w:szCs w:val="24"/>
                <w:highlight w:val="none"/>
              </w:rPr>
            </w:pPr>
          </w:p>
        </w:tc>
        <w:tc>
          <w:tcPr>
            <w:tcW w:w="930" w:type="dxa"/>
            <w:shd w:val="clear" w:color="auto" w:fill="auto"/>
            <w:tcMar>
              <w:top w:w="0" w:type="dxa"/>
              <w:left w:w="57" w:type="dxa"/>
              <w:bottom w:w="0" w:type="dxa"/>
              <w:right w:w="57" w:type="dxa"/>
            </w:tcMar>
            <w:vAlign w:val="center"/>
          </w:tcPr>
          <w:p w14:paraId="000C3F0A">
            <w:pPr>
              <w:keepNext w:val="0"/>
              <w:keepLines w:val="0"/>
              <w:pageBreakBefore w:val="0"/>
              <w:widowControl w:val="0"/>
              <w:shd w:val="clear"/>
              <w:kinsoku/>
              <w:wordWrap/>
              <w:overflowPunct/>
              <w:topLinePunct w:val="0"/>
              <w:autoSpaceDE/>
              <w:autoSpaceDN/>
              <w:bidi w:val="0"/>
              <w:adjustRightInd w:val="0"/>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vertAlign w:val="baseline"/>
                <w:lang w:val="en-US" w:eastAsia="zh-CN"/>
              </w:rPr>
              <w:t>（4）校园水电综合维修、校园建筑设施小型维修方案</w:t>
            </w:r>
          </w:p>
        </w:tc>
        <w:tc>
          <w:tcPr>
            <w:tcW w:w="5753" w:type="dxa"/>
            <w:shd w:val="clear" w:color="auto" w:fill="auto"/>
            <w:tcMar>
              <w:top w:w="0" w:type="dxa"/>
              <w:left w:w="57" w:type="dxa"/>
              <w:bottom w:w="0" w:type="dxa"/>
              <w:right w:w="57" w:type="dxa"/>
            </w:tcMar>
            <w:vAlign w:val="center"/>
          </w:tcPr>
          <w:p w14:paraId="489D17DB">
            <w:pPr>
              <w:widowControl w:val="0"/>
              <w:spacing w:line="460" w:lineRule="exact"/>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方案应针对校园物业特点，全面覆盖以下内容：①队伍建设与综合管理机制、②水电日常维修管理、③综合维修管理、④设备及耗材管理、⑤应急维修预案、⑥响应机制、⑦业务及安全培训计划、⑧节能减排管理。</w:t>
            </w:r>
          </w:p>
          <w:p w14:paraId="6B8DE569">
            <w:pPr>
              <w:widowControl w:val="0"/>
              <w:spacing w:line="460" w:lineRule="exact"/>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一档（</w:t>
            </w:r>
            <w:r>
              <w:rPr>
                <w:rFonts w:hint="eastAsia" w:ascii="宋体" w:hAnsi="宋体" w:cs="宋体"/>
                <w:color w:val="auto"/>
                <w:kern w:val="0"/>
                <w:sz w:val="24"/>
                <w:szCs w:val="24"/>
                <w:highlight w:val="none"/>
                <w:lang w:val="en-US" w:eastAsia="zh-CN"/>
              </w:rPr>
              <w:t>2</w:t>
            </w:r>
            <w:r>
              <w:rPr>
                <w:rFonts w:ascii="宋体" w:hAnsi="宋体" w:cs="宋体"/>
                <w:color w:val="auto"/>
                <w:kern w:val="0"/>
                <w:sz w:val="24"/>
                <w:szCs w:val="24"/>
                <w:highlight w:val="none"/>
              </w:rPr>
              <w:t>分）： 投标人提供的服务方案</w:t>
            </w:r>
            <w:r>
              <w:rPr>
                <w:rFonts w:hint="eastAsia" w:ascii="宋体" w:hAnsi="宋体" w:cs="宋体"/>
                <w:color w:val="auto"/>
                <w:kern w:val="0"/>
                <w:sz w:val="24"/>
                <w:szCs w:val="24"/>
                <w:highlight w:val="none"/>
              </w:rPr>
              <w:t>至少</w:t>
            </w:r>
            <w:r>
              <w:rPr>
                <w:rFonts w:ascii="宋体" w:hAnsi="宋体" w:cs="宋体"/>
                <w:color w:val="auto"/>
                <w:kern w:val="0"/>
                <w:sz w:val="24"/>
                <w:szCs w:val="24"/>
                <w:highlight w:val="none"/>
              </w:rPr>
              <w:t>包含上述8项内容中的3项，方案能满足本项目最基本采购需求，</w:t>
            </w:r>
            <w:r>
              <w:rPr>
                <w:rFonts w:hint="eastAsia" w:ascii="宋体" w:hAnsi="宋体" w:cs="宋体"/>
                <w:color w:val="auto"/>
                <w:kern w:val="0"/>
                <w:sz w:val="24"/>
                <w:szCs w:val="24"/>
                <w:highlight w:val="none"/>
              </w:rPr>
              <w:t>但</w:t>
            </w:r>
            <w:r>
              <w:rPr>
                <w:rFonts w:ascii="宋体" w:hAnsi="宋体" w:cs="宋体"/>
                <w:color w:val="auto"/>
                <w:kern w:val="0"/>
                <w:sz w:val="24"/>
                <w:szCs w:val="24"/>
                <w:highlight w:val="none"/>
              </w:rPr>
              <w:t>内容简略，多为框架性描述，未结合校园设施特点、师生使用习惯及教学作息规律进行具体阐述，缺乏可操作的细节。</w:t>
            </w:r>
          </w:p>
          <w:p w14:paraId="7695F210">
            <w:pPr>
              <w:widowControl w:val="0"/>
              <w:spacing w:line="460" w:lineRule="exact"/>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二档（</w:t>
            </w:r>
            <w:r>
              <w:rPr>
                <w:rFonts w:hint="eastAsia" w:ascii="宋体" w:hAnsi="宋体" w:cs="宋体"/>
                <w:color w:val="auto"/>
                <w:kern w:val="0"/>
                <w:sz w:val="24"/>
                <w:szCs w:val="24"/>
                <w:highlight w:val="none"/>
                <w:lang w:val="en-US" w:eastAsia="zh-CN"/>
              </w:rPr>
              <w:t>4</w:t>
            </w:r>
            <w:r>
              <w:rPr>
                <w:rFonts w:ascii="宋体" w:hAnsi="宋体" w:cs="宋体"/>
                <w:color w:val="auto"/>
                <w:kern w:val="0"/>
                <w:sz w:val="24"/>
                <w:szCs w:val="24"/>
                <w:highlight w:val="none"/>
              </w:rPr>
              <w:t>分）：投标人提供的服务方案</w:t>
            </w:r>
            <w:r>
              <w:rPr>
                <w:rFonts w:hint="eastAsia" w:ascii="宋体" w:hAnsi="宋体" w:cs="宋体"/>
                <w:color w:val="auto"/>
                <w:kern w:val="0"/>
                <w:sz w:val="24"/>
                <w:szCs w:val="24"/>
                <w:highlight w:val="none"/>
              </w:rPr>
              <w:t>至少</w:t>
            </w:r>
            <w:r>
              <w:rPr>
                <w:rFonts w:ascii="宋体" w:hAnsi="宋体" w:cs="宋体"/>
                <w:color w:val="auto"/>
                <w:kern w:val="0"/>
                <w:sz w:val="24"/>
                <w:szCs w:val="24"/>
                <w:highlight w:val="none"/>
              </w:rPr>
              <w:t>包含上述8项内容中的6项，方案内容较为系统、完整。能对涉及的系统维保服务要求、操作规程、响应机制等展开合理阐述，制定了与校园运行相适应的维保工作计划和落实措施，方案具备可操作性。</w:t>
            </w:r>
          </w:p>
          <w:p w14:paraId="6EC8DF1D">
            <w:pPr>
              <w:widowControl w:val="0"/>
              <w:spacing w:line="460" w:lineRule="exact"/>
              <w:ind w:firstLine="480" w:firstLineChars="200"/>
              <w:rPr>
                <w:rFonts w:ascii="宋体" w:hAnsi="宋体" w:cs="宋体"/>
                <w:color w:val="auto"/>
                <w:sz w:val="24"/>
                <w:szCs w:val="24"/>
                <w:highlight w:val="none"/>
              </w:rPr>
            </w:pPr>
            <w:r>
              <w:rPr>
                <w:rFonts w:ascii="宋体" w:hAnsi="宋体" w:cs="宋体"/>
                <w:color w:val="auto"/>
                <w:kern w:val="0"/>
                <w:sz w:val="24"/>
                <w:szCs w:val="24"/>
                <w:highlight w:val="none"/>
              </w:rPr>
              <w:t>三档（</w:t>
            </w:r>
            <w:r>
              <w:rPr>
                <w:rFonts w:hint="eastAsia" w:ascii="宋体" w:hAnsi="宋体" w:cs="宋体"/>
                <w:color w:val="auto"/>
                <w:kern w:val="0"/>
                <w:sz w:val="24"/>
                <w:szCs w:val="24"/>
                <w:highlight w:val="none"/>
                <w:lang w:val="en-US" w:eastAsia="zh-CN"/>
              </w:rPr>
              <w:t>6</w:t>
            </w:r>
            <w:r>
              <w:rPr>
                <w:rFonts w:ascii="宋体" w:hAnsi="宋体" w:cs="宋体"/>
                <w:color w:val="auto"/>
                <w:kern w:val="0"/>
                <w:sz w:val="24"/>
                <w:szCs w:val="24"/>
                <w:highlight w:val="none"/>
              </w:rPr>
              <w:t>分）：投标人提供的服务方案全面覆盖上述全部</w:t>
            </w:r>
            <w:r>
              <w:rPr>
                <w:rFonts w:ascii="宋体" w:hAnsi="宋体" w:cs="宋体"/>
                <w:color w:val="auto"/>
                <w:sz w:val="24"/>
                <w:szCs w:val="24"/>
                <w:highlight w:val="none"/>
              </w:rPr>
              <w:t>8项内容。方案内容细致、专业、详尽，能够紧密结合校园环境的高标准要求（如教学秩序、师生安全、节能环保等），制定极具针对性的维保服务计划、应急预案、巡检保养流程、质量考核办法及节能减排措施。方案需体现对重点系统（如供电、供电等）的专业管理能力，并对校园设施设备的日常维护要点、预防性维护、快速响应机制等有深入详尽的阐述，整体方案科学完善。</w:t>
            </w:r>
          </w:p>
          <w:p w14:paraId="2B7995A3">
            <w:pPr>
              <w:widowControl w:val="0"/>
              <w:adjustRightInd w:val="0"/>
              <w:spacing w:line="460" w:lineRule="exact"/>
              <w:jc w:val="center"/>
              <w:rPr>
                <w:rFonts w:hint="eastAsia" w:ascii="宋体" w:hAnsi="宋体" w:eastAsia="宋体" w:cs="宋体"/>
                <w:color w:val="auto"/>
                <w:sz w:val="24"/>
                <w:szCs w:val="24"/>
                <w:highlight w:val="none"/>
              </w:rPr>
            </w:pPr>
            <w:r>
              <w:rPr>
                <w:rFonts w:ascii="宋体" w:hAnsi="宋体" w:cs="宋体"/>
                <w:b/>
                <w:bCs/>
                <w:color w:val="auto"/>
                <w:sz w:val="24"/>
                <w:szCs w:val="24"/>
                <w:highlight w:val="none"/>
              </w:rPr>
              <w:t>注：不提供相关内容或方案或方案未达到一档要求的得0分；方案未达到对应档次的，降档得分。</w:t>
            </w:r>
          </w:p>
        </w:tc>
        <w:tc>
          <w:tcPr>
            <w:tcW w:w="878" w:type="dxa"/>
            <w:shd w:val="clear" w:color="auto" w:fill="auto"/>
            <w:tcMar>
              <w:top w:w="0" w:type="dxa"/>
              <w:left w:w="57" w:type="dxa"/>
              <w:bottom w:w="0" w:type="dxa"/>
              <w:right w:w="57" w:type="dxa"/>
            </w:tcMar>
            <w:vAlign w:val="center"/>
          </w:tcPr>
          <w:p w14:paraId="2655FC36">
            <w:pPr>
              <w:widowControl w:val="0"/>
              <w:adjustRightInd w:val="0"/>
              <w:spacing w:line="460" w:lineRule="exact"/>
              <w:jc w:val="center"/>
              <w:rPr>
                <w:rFonts w:hint="eastAsia" w:ascii="宋体" w:hAnsi="宋体" w:eastAsia="宋体" w:cs="宋体"/>
                <w:color w:val="auto"/>
                <w:sz w:val="24"/>
                <w:szCs w:val="24"/>
                <w:highlight w:val="none"/>
              </w:rPr>
            </w:pPr>
            <w:r>
              <w:rPr>
                <w:rFonts w:hint="eastAsia" w:ascii="Times New Roman" w:hAnsi="Times New Roman" w:eastAsia="仿宋_GB2312"/>
                <w:color w:val="auto"/>
                <w:sz w:val="24"/>
                <w:szCs w:val="24"/>
                <w:highlight w:val="none"/>
              </w:rPr>
              <w:t>6</w:t>
            </w:r>
            <w:r>
              <w:rPr>
                <w:rFonts w:ascii="Times New Roman" w:hAnsi="Times New Roman" w:eastAsia="仿宋_GB2312"/>
                <w:color w:val="auto"/>
                <w:sz w:val="24"/>
                <w:szCs w:val="24"/>
                <w:highlight w:val="none"/>
              </w:rPr>
              <w:t>分</w:t>
            </w:r>
          </w:p>
        </w:tc>
        <w:tc>
          <w:tcPr>
            <w:tcW w:w="1270" w:type="dxa"/>
            <w:shd w:val="clear" w:color="auto" w:fill="auto"/>
            <w:tcMar>
              <w:top w:w="0" w:type="dxa"/>
              <w:left w:w="57" w:type="dxa"/>
              <w:bottom w:w="0" w:type="dxa"/>
              <w:right w:w="57" w:type="dxa"/>
            </w:tcMar>
            <w:vAlign w:val="center"/>
          </w:tcPr>
          <w:p w14:paraId="1ACA46A5">
            <w:pPr>
              <w:keepNext w:val="0"/>
              <w:keepLines w:val="0"/>
              <w:pageBreakBefore w:val="0"/>
              <w:widowControl w:val="0"/>
              <w:shd w:val="clear"/>
              <w:kinsoku/>
              <w:wordWrap/>
              <w:overflowPunct/>
              <w:topLinePunct w:val="0"/>
              <w:autoSpaceDE/>
              <w:autoSpaceDN/>
              <w:bidi w:val="0"/>
              <w:adjustRightInd w:val="0"/>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vertAlign w:val="baseline"/>
                <w:lang w:val="en-US" w:eastAsia="zh-CN"/>
              </w:rPr>
              <w:t>主观分</w:t>
            </w:r>
          </w:p>
        </w:tc>
      </w:tr>
      <w:tr w14:paraId="7C04C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0" w:hRule="atLeast"/>
          <w:jc w:val="center"/>
        </w:trPr>
        <w:tc>
          <w:tcPr>
            <w:tcW w:w="626" w:type="dxa"/>
            <w:vMerge w:val="continue"/>
            <w:tcMar>
              <w:top w:w="0" w:type="dxa"/>
              <w:left w:w="57" w:type="dxa"/>
              <w:bottom w:w="0" w:type="dxa"/>
              <w:right w:w="57" w:type="dxa"/>
            </w:tcMar>
            <w:vAlign w:val="center"/>
          </w:tcPr>
          <w:p w14:paraId="32962F3D">
            <w:pPr>
              <w:keepNext w:val="0"/>
              <w:keepLines w:val="0"/>
              <w:pageBreakBefore w:val="0"/>
              <w:widowControl w:val="0"/>
              <w:kinsoku/>
              <w:wordWrap/>
              <w:overflowPunct/>
              <w:topLinePunct w:val="0"/>
              <w:autoSpaceDE/>
              <w:autoSpaceDN/>
              <w:bidi w:val="0"/>
              <w:adjustRightInd w:val="0"/>
              <w:snapToGrid/>
              <w:spacing w:line="400" w:lineRule="exact"/>
              <w:ind w:firstLine="480"/>
              <w:jc w:val="center"/>
              <w:textAlignment w:val="auto"/>
              <w:rPr>
                <w:rFonts w:hint="eastAsia" w:ascii="宋体" w:hAnsi="宋体" w:eastAsia="宋体" w:cs="宋体"/>
                <w:color w:val="auto"/>
                <w:sz w:val="24"/>
                <w:szCs w:val="24"/>
                <w:highlight w:val="none"/>
              </w:rPr>
            </w:pPr>
          </w:p>
        </w:tc>
        <w:tc>
          <w:tcPr>
            <w:tcW w:w="543" w:type="dxa"/>
            <w:vMerge w:val="continue"/>
            <w:tcMar>
              <w:top w:w="0" w:type="dxa"/>
              <w:left w:w="57" w:type="dxa"/>
              <w:bottom w:w="0" w:type="dxa"/>
              <w:right w:w="57" w:type="dxa"/>
            </w:tcMar>
            <w:vAlign w:val="center"/>
          </w:tcPr>
          <w:p w14:paraId="00637757">
            <w:pPr>
              <w:keepNext w:val="0"/>
              <w:keepLines w:val="0"/>
              <w:pageBreakBefore w:val="0"/>
              <w:widowControl w:val="0"/>
              <w:kinsoku/>
              <w:wordWrap/>
              <w:overflowPunct/>
              <w:topLinePunct w:val="0"/>
              <w:autoSpaceDE/>
              <w:autoSpaceDN/>
              <w:bidi w:val="0"/>
              <w:adjustRightInd w:val="0"/>
              <w:snapToGrid/>
              <w:spacing w:line="400" w:lineRule="exact"/>
              <w:ind w:firstLine="480"/>
              <w:jc w:val="center"/>
              <w:textAlignment w:val="auto"/>
              <w:rPr>
                <w:rFonts w:hint="eastAsia" w:ascii="宋体" w:hAnsi="宋体" w:eastAsia="宋体" w:cs="宋体"/>
                <w:color w:val="auto"/>
                <w:sz w:val="24"/>
                <w:szCs w:val="24"/>
                <w:highlight w:val="none"/>
              </w:rPr>
            </w:pPr>
          </w:p>
        </w:tc>
        <w:tc>
          <w:tcPr>
            <w:tcW w:w="930" w:type="dxa"/>
            <w:shd w:val="clear" w:color="auto" w:fill="auto"/>
            <w:tcMar>
              <w:top w:w="0" w:type="dxa"/>
              <w:left w:w="57" w:type="dxa"/>
              <w:bottom w:w="0" w:type="dxa"/>
              <w:right w:w="57" w:type="dxa"/>
            </w:tcMar>
            <w:vAlign w:val="center"/>
          </w:tcPr>
          <w:p w14:paraId="0ACDFC00">
            <w:pPr>
              <w:keepNext w:val="0"/>
              <w:keepLines w:val="0"/>
              <w:pageBreakBefore w:val="0"/>
              <w:widowControl w:val="0"/>
              <w:shd w:val="clear"/>
              <w:kinsoku/>
              <w:wordWrap/>
              <w:overflowPunct/>
              <w:topLinePunct w:val="0"/>
              <w:autoSpaceDE/>
              <w:autoSpaceDN/>
              <w:bidi w:val="0"/>
              <w:adjustRightInd w:val="0"/>
              <w:snapToGrid/>
              <w:spacing w:line="400" w:lineRule="exact"/>
              <w:ind w:firstLine="0" w:firstLineChars="0"/>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（5）绿化、养护方案</w:t>
            </w:r>
          </w:p>
        </w:tc>
        <w:tc>
          <w:tcPr>
            <w:tcW w:w="5753" w:type="dxa"/>
            <w:shd w:val="clear" w:color="auto" w:fill="auto"/>
            <w:tcMar>
              <w:top w:w="0" w:type="dxa"/>
              <w:left w:w="57" w:type="dxa"/>
              <w:bottom w:w="0" w:type="dxa"/>
              <w:right w:w="57" w:type="dxa"/>
            </w:tcMar>
            <w:vAlign w:val="center"/>
          </w:tcPr>
          <w:p w14:paraId="35E92207">
            <w:pPr>
              <w:widowControl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方案包括但不限于：①养护服务要求及标准、②现场作业管理、③工作操作规程（如修剪、施肥、灌溉等）、④养护质量标准和频率、⑤专项技术方案（如大型乔木病虫害综合防治及保护等）、⑥应急处理预案、⑦机械设备配置计划等内容。</w:t>
            </w:r>
          </w:p>
          <w:p w14:paraId="7F0117E6">
            <w:pPr>
              <w:widowControl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一档（</w:t>
            </w: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分）：投标人提供的绿化养护服务方案包含①日常养护、②整形修剪、③病虫害防治、④植被培育、补植更新、⑤绿化垃圾处理等5个基本方面，且每个方面对应的方案内容</w:t>
            </w:r>
            <w:r>
              <w:rPr>
                <w:rFonts w:hint="eastAsia" w:ascii="宋体" w:hAnsi="宋体" w:cs="宋体"/>
                <w:color w:val="auto"/>
                <w:sz w:val="24"/>
                <w:szCs w:val="24"/>
                <w:highlight w:val="none"/>
              </w:rPr>
              <w:t>至少</w:t>
            </w:r>
            <w:r>
              <w:rPr>
                <w:rFonts w:ascii="宋体" w:hAnsi="宋体" w:cs="宋体"/>
                <w:color w:val="auto"/>
                <w:sz w:val="24"/>
                <w:szCs w:val="24"/>
                <w:highlight w:val="none"/>
              </w:rPr>
              <w:t>包括上述3项内容，方案</w:t>
            </w:r>
            <w:r>
              <w:rPr>
                <w:rFonts w:hint="eastAsia" w:ascii="宋体" w:hAnsi="宋体" w:cs="宋体"/>
                <w:color w:val="auto"/>
                <w:sz w:val="24"/>
                <w:szCs w:val="24"/>
                <w:highlight w:val="none"/>
              </w:rPr>
              <w:t>基本</w:t>
            </w:r>
            <w:r>
              <w:rPr>
                <w:rFonts w:ascii="宋体" w:hAnsi="宋体" w:cs="宋体"/>
                <w:color w:val="auto"/>
                <w:sz w:val="24"/>
                <w:szCs w:val="24"/>
                <w:highlight w:val="none"/>
              </w:rPr>
              <w:t>满足本项目基本采购需求，但内容简略，多为纲要性描述，未结合校园环境进行具体阐述。</w:t>
            </w:r>
          </w:p>
          <w:p w14:paraId="2CE83099">
            <w:pPr>
              <w:widowControl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二档（</w:t>
            </w: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分）：投标人提供的绿化养护服务方案包含①日常养护、②整形修剪、③病虫害防治、④植被培育、补植更新、⑤绿化垃圾处理等5个基本方面，且每个方面对应的方案内容</w:t>
            </w:r>
            <w:r>
              <w:rPr>
                <w:rFonts w:hint="eastAsia" w:ascii="宋体" w:hAnsi="宋体" w:cs="宋体"/>
                <w:color w:val="auto"/>
                <w:sz w:val="24"/>
                <w:szCs w:val="24"/>
                <w:highlight w:val="none"/>
              </w:rPr>
              <w:t>至少</w:t>
            </w:r>
            <w:r>
              <w:rPr>
                <w:rFonts w:ascii="宋体" w:hAnsi="宋体" w:cs="宋体"/>
                <w:color w:val="auto"/>
                <w:sz w:val="24"/>
                <w:szCs w:val="24"/>
                <w:highlight w:val="none"/>
              </w:rPr>
              <w:t>包括上述6项内容。方案内容完整，对服务标准、操作规程、养护频率等展开了基本阐述，有详细的年度或季度工作计划和落实措施，具备可操作性。</w:t>
            </w:r>
          </w:p>
          <w:p w14:paraId="19543C6C">
            <w:pPr>
              <w:widowControl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三档（</w:t>
            </w:r>
            <w:r>
              <w:rPr>
                <w:rFonts w:hint="eastAsia" w:ascii="宋体" w:hAnsi="宋体" w:cs="宋体"/>
                <w:color w:val="auto"/>
                <w:sz w:val="24"/>
                <w:szCs w:val="24"/>
                <w:highlight w:val="none"/>
                <w:lang w:val="en-US" w:eastAsia="zh-CN"/>
              </w:rPr>
              <w:t>6</w:t>
            </w:r>
            <w:r>
              <w:rPr>
                <w:rFonts w:ascii="宋体" w:hAnsi="宋体" w:cs="宋体"/>
                <w:color w:val="auto"/>
                <w:sz w:val="24"/>
                <w:szCs w:val="24"/>
                <w:highlight w:val="none"/>
              </w:rPr>
              <w:t>分）：投标人提供的绿化养护服务方案包含①日常养护、②整形修剪、③病虫害防治、④植被培育、补植更新、⑤绿化垃圾处理等5个基本方面，且每个方面对应的方案内容包括上述所有</w:t>
            </w:r>
            <w:r>
              <w:rPr>
                <w:rFonts w:hint="eastAsia" w:ascii="宋体" w:hAnsi="宋体" w:cs="宋体"/>
                <w:color w:val="auto"/>
                <w:sz w:val="24"/>
                <w:szCs w:val="24"/>
                <w:highlight w:val="none"/>
              </w:rPr>
              <w:t>7</w:t>
            </w:r>
            <w:r>
              <w:rPr>
                <w:rFonts w:ascii="宋体" w:hAnsi="宋体" w:cs="宋体"/>
                <w:color w:val="auto"/>
                <w:sz w:val="24"/>
                <w:szCs w:val="24"/>
                <w:highlight w:val="none"/>
              </w:rPr>
              <w:t>项内容。服务方案内容细致详尽，能够根据校园的功能分区、师生作息及安全要求等特点，制定差异化的精细养护计划、落实措施及质量考核办法。方案需体现大型乔木保护、极端天气应急响应等专项方案。整体方案科学、系统，完全适用于本项目，并对校园绿化景观效果的提升有详细阐述。</w:t>
            </w:r>
          </w:p>
          <w:p w14:paraId="71321458">
            <w:pPr>
              <w:widowControl w:val="0"/>
              <w:spacing w:line="460" w:lineRule="exact"/>
              <w:ind w:firstLine="482" w:firstLineChars="200"/>
              <w:rPr>
                <w:rFonts w:hint="eastAsia" w:ascii="宋体" w:hAnsi="宋体" w:eastAsia="宋体" w:cs="宋体"/>
                <w:b w:val="0"/>
                <w:bCs w:val="0"/>
                <w:color w:val="auto"/>
                <w:sz w:val="24"/>
                <w:szCs w:val="24"/>
                <w:highlight w:val="none"/>
                <w:vertAlign w:val="baseline"/>
                <w:lang w:val="en-US" w:eastAsia="zh-CN"/>
              </w:rPr>
            </w:pPr>
            <w:r>
              <w:rPr>
                <w:rFonts w:ascii="宋体" w:hAnsi="宋体" w:cs="宋体"/>
                <w:b/>
                <w:bCs/>
                <w:color w:val="auto"/>
                <w:sz w:val="24"/>
                <w:szCs w:val="24"/>
                <w:highlight w:val="none"/>
              </w:rPr>
              <w:t>注：不提供相关内容或方案或方案未达到一档要求的得0分；方案未达到对应档次的，降档得分。</w:t>
            </w:r>
          </w:p>
        </w:tc>
        <w:tc>
          <w:tcPr>
            <w:tcW w:w="878" w:type="dxa"/>
            <w:shd w:val="clear" w:color="auto" w:fill="auto"/>
            <w:tcMar>
              <w:top w:w="0" w:type="dxa"/>
              <w:left w:w="57" w:type="dxa"/>
              <w:bottom w:w="0" w:type="dxa"/>
              <w:right w:w="57" w:type="dxa"/>
            </w:tcMar>
            <w:vAlign w:val="center"/>
          </w:tcPr>
          <w:p w14:paraId="03F24BA1">
            <w:pPr>
              <w:widowControl w:val="0"/>
              <w:spacing w:line="4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lang w:val="en-US" w:eastAsia="zh-CN"/>
              </w:rPr>
              <w:t>6</w:t>
            </w:r>
            <w:r>
              <w:rPr>
                <w:rFonts w:ascii="宋体" w:hAnsi="宋体" w:cs="宋体"/>
                <w:color w:val="auto"/>
                <w:sz w:val="24"/>
                <w:szCs w:val="24"/>
                <w:highlight w:val="none"/>
              </w:rPr>
              <w:t>分</w:t>
            </w:r>
          </w:p>
        </w:tc>
        <w:tc>
          <w:tcPr>
            <w:tcW w:w="1270" w:type="dxa"/>
            <w:shd w:val="clear" w:color="auto" w:fill="auto"/>
            <w:tcMar>
              <w:top w:w="0" w:type="dxa"/>
              <w:left w:w="57" w:type="dxa"/>
              <w:bottom w:w="0" w:type="dxa"/>
              <w:right w:w="57" w:type="dxa"/>
            </w:tcMar>
            <w:vAlign w:val="center"/>
          </w:tcPr>
          <w:p w14:paraId="66F9EF1F">
            <w:pPr>
              <w:keepNext w:val="0"/>
              <w:keepLines w:val="0"/>
              <w:pageBreakBefore w:val="0"/>
              <w:widowControl w:val="0"/>
              <w:shd w:val="clear"/>
              <w:kinsoku/>
              <w:wordWrap/>
              <w:overflowPunct/>
              <w:topLinePunct w:val="0"/>
              <w:autoSpaceDE/>
              <w:autoSpaceDN/>
              <w:bidi w:val="0"/>
              <w:adjustRightInd w:val="0"/>
              <w:snapToGrid/>
              <w:spacing w:line="400" w:lineRule="exact"/>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主观分</w:t>
            </w:r>
          </w:p>
        </w:tc>
      </w:tr>
      <w:tr w14:paraId="7133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6" w:type="dxa"/>
            <w:vMerge w:val="continue"/>
            <w:tcMar>
              <w:top w:w="0" w:type="dxa"/>
              <w:left w:w="57" w:type="dxa"/>
              <w:bottom w:w="0" w:type="dxa"/>
              <w:right w:w="57" w:type="dxa"/>
            </w:tcMar>
            <w:vAlign w:val="center"/>
          </w:tcPr>
          <w:p w14:paraId="304ED991">
            <w:pPr>
              <w:keepNext w:val="0"/>
              <w:keepLines w:val="0"/>
              <w:pageBreakBefore w:val="0"/>
              <w:widowControl w:val="0"/>
              <w:kinsoku/>
              <w:wordWrap/>
              <w:overflowPunct/>
              <w:topLinePunct w:val="0"/>
              <w:autoSpaceDE/>
              <w:autoSpaceDN/>
              <w:bidi w:val="0"/>
              <w:adjustRightInd w:val="0"/>
              <w:snapToGrid/>
              <w:spacing w:line="400" w:lineRule="exact"/>
              <w:ind w:firstLine="480"/>
              <w:jc w:val="center"/>
              <w:textAlignment w:val="auto"/>
              <w:rPr>
                <w:rFonts w:hint="eastAsia" w:ascii="宋体" w:hAnsi="宋体" w:eastAsia="宋体" w:cs="宋体"/>
                <w:color w:val="auto"/>
                <w:sz w:val="24"/>
                <w:szCs w:val="24"/>
                <w:highlight w:val="none"/>
              </w:rPr>
            </w:pPr>
          </w:p>
        </w:tc>
        <w:tc>
          <w:tcPr>
            <w:tcW w:w="543" w:type="dxa"/>
            <w:vMerge w:val="continue"/>
            <w:tcMar>
              <w:top w:w="0" w:type="dxa"/>
              <w:left w:w="57" w:type="dxa"/>
              <w:bottom w:w="0" w:type="dxa"/>
              <w:right w:w="57" w:type="dxa"/>
            </w:tcMar>
            <w:vAlign w:val="center"/>
          </w:tcPr>
          <w:p w14:paraId="6E875AE8">
            <w:pPr>
              <w:keepNext w:val="0"/>
              <w:keepLines w:val="0"/>
              <w:pageBreakBefore w:val="0"/>
              <w:widowControl w:val="0"/>
              <w:kinsoku/>
              <w:wordWrap/>
              <w:overflowPunct/>
              <w:topLinePunct w:val="0"/>
              <w:autoSpaceDE/>
              <w:autoSpaceDN/>
              <w:bidi w:val="0"/>
              <w:adjustRightInd w:val="0"/>
              <w:snapToGrid/>
              <w:spacing w:line="400" w:lineRule="exact"/>
              <w:ind w:firstLine="480"/>
              <w:jc w:val="center"/>
              <w:textAlignment w:val="auto"/>
              <w:rPr>
                <w:rFonts w:hint="eastAsia" w:ascii="宋体" w:hAnsi="宋体" w:eastAsia="宋体" w:cs="宋体"/>
                <w:color w:val="auto"/>
                <w:sz w:val="24"/>
                <w:szCs w:val="24"/>
                <w:highlight w:val="none"/>
              </w:rPr>
            </w:pPr>
          </w:p>
        </w:tc>
        <w:tc>
          <w:tcPr>
            <w:tcW w:w="930" w:type="dxa"/>
            <w:shd w:val="clear" w:color="auto" w:fill="auto"/>
            <w:tcMar>
              <w:top w:w="0" w:type="dxa"/>
              <w:left w:w="57" w:type="dxa"/>
              <w:bottom w:w="0" w:type="dxa"/>
              <w:right w:w="57" w:type="dxa"/>
            </w:tcMar>
            <w:vAlign w:val="center"/>
          </w:tcPr>
          <w:p w14:paraId="28E662BF">
            <w:pPr>
              <w:keepNext w:val="0"/>
              <w:keepLines w:val="0"/>
              <w:pageBreakBefore w:val="0"/>
              <w:widowControl w:val="0"/>
              <w:shd w:val="clear"/>
              <w:kinsoku/>
              <w:wordWrap/>
              <w:overflowPunct/>
              <w:topLinePunct w:val="0"/>
              <w:autoSpaceDE/>
              <w:autoSpaceDN/>
              <w:bidi w:val="0"/>
              <w:adjustRightInd w:val="0"/>
              <w:snapToGrid/>
              <w:spacing w:line="400" w:lineRule="exact"/>
              <w:ind w:firstLine="0" w:firstLineChars="0"/>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（6）合理化建议分</w:t>
            </w:r>
          </w:p>
        </w:tc>
        <w:tc>
          <w:tcPr>
            <w:tcW w:w="5753" w:type="dxa"/>
            <w:shd w:val="clear" w:color="auto" w:fill="auto"/>
            <w:tcMar>
              <w:top w:w="0" w:type="dxa"/>
              <w:left w:w="57" w:type="dxa"/>
              <w:bottom w:w="0" w:type="dxa"/>
              <w:right w:w="57" w:type="dxa"/>
            </w:tcMar>
            <w:vAlign w:val="center"/>
          </w:tcPr>
          <w:p w14:paraId="2FE86010">
            <w:pPr>
              <w:widowControl w:val="0"/>
              <w:spacing w:line="460" w:lineRule="exact"/>
              <w:ind w:firstLine="480" w:firstLineChars="200"/>
              <w:rPr>
                <w:rFonts w:ascii="宋体" w:hAnsi="宋体" w:cs="宋体"/>
                <w:sz w:val="24"/>
                <w:szCs w:val="24"/>
                <w:highlight w:val="none"/>
              </w:rPr>
            </w:pPr>
            <w:r>
              <w:rPr>
                <w:rFonts w:ascii="宋体" w:hAnsi="宋体" w:cs="宋体"/>
                <w:sz w:val="24"/>
                <w:szCs w:val="24"/>
                <w:highlight w:val="none"/>
              </w:rPr>
              <w:t>方案</w:t>
            </w:r>
            <w:r>
              <w:rPr>
                <w:rFonts w:hint="eastAsia" w:ascii="宋体" w:hAnsi="宋体" w:cs="宋体"/>
                <w:sz w:val="24"/>
                <w:szCs w:val="24"/>
                <w:highlight w:val="none"/>
              </w:rPr>
              <w:t>内容</w:t>
            </w:r>
            <w:r>
              <w:rPr>
                <w:rFonts w:ascii="宋体" w:hAnsi="宋体" w:cs="宋体"/>
                <w:sz w:val="24"/>
                <w:szCs w:val="24"/>
                <w:highlight w:val="none"/>
              </w:rPr>
              <w:t>包括</w:t>
            </w:r>
            <w:r>
              <w:rPr>
                <w:rFonts w:hint="eastAsia" w:ascii="宋体" w:hAnsi="宋体" w:cs="宋体"/>
                <w:sz w:val="24"/>
                <w:szCs w:val="24"/>
                <w:highlight w:val="none"/>
              </w:rPr>
              <w:t>但不限于</w:t>
            </w:r>
            <w:r>
              <w:rPr>
                <w:rFonts w:hint="eastAsia" w:ascii="宋体" w:hAnsi="宋体" w:cs="宋体"/>
                <w:color w:val="FF0000"/>
                <w:sz w:val="24"/>
                <w:szCs w:val="24"/>
                <w:highlight w:val="none"/>
              </w:rPr>
              <w:t>以下</w:t>
            </w:r>
            <w:r>
              <w:rPr>
                <w:rFonts w:ascii="宋体" w:hAnsi="宋体" w:cs="宋体"/>
                <w:color w:val="FF0000"/>
                <w:sz w:val="24"/>
                <w:szCs w:val="24"/>
                <w:highlight w:val="none"/>
              </w:rPr>
              <w:t>重点难点</w:t>
            </w:r>
            <w:r>
              <w:rPr>
                <w:rFonts w:ascii="宋体" w:hAnsi="宋体" w:cs="宋体"/>
                <w:sz w:val="24"/>
                <w:szCs w:val="24"/>
                <w:highlight w:val="none"/>
              </w:rPr>
              <w:t>：①校园安全防范（门岗、巡逻、消防、突发事件）②环境卫生与消杀（教室、宿舍、公共区域高频接触点消毒、除四害）③设施设备维护（水电、空调、照明、多媒体设备快速响应）④校园大型活动保障（</w:t>
            </w:r>
            <w:r>
              <w:rPr>
                <w:rFonts w:ascii="宋体" w:hAnsi="宋体" w:cs="宋体"/>
                <w:sz w:val="24"/>
                <w:szCs w:val="24"/>
                <w:highlight w:val="none"/>
              </w:rPr>
              <w:t>开学</w:t>
            </w:r>
            <w:r>
              <w:rPr>
                <w:rFonts w:hint="eastAsia" w:ascii="宋体" w:hAnsi="宋体" w:cs="宋体"/>
                <w:sz w:val="24"/>
                <w:szCs w:val="24"/>
                <w:highlight w:val="none"/>
                <w:lang w:eastAsia="zh-CN"/>
              </w:rPr>
              <w:t>和</w:t>
            </w:r>
            <w:r>
              <w:rPr>
                <w:rFonts w:ascii="宋体" w:hAnsi="宋体" w:cs="宋体"/>
                <w:sz w:val="24"/>
                <w:szCs w:val="24"/>
                <w:highlight w:val="none"/>
              </w:rPr>
              <w:t>毕业典礼、</w:t>
            </w:r>
            <w:r>
              <w:rPr>
                <w:rFonts w:ascii="宋体" w:hAnsi="宋体" w:cs="宋体"/>
                <w:sz w:val="24"/>
                <w:szCs w:val="24"/>
                <w:highlight w:val="none"/>
              </w:rPr>
              <w:t>考试、家长会等）⑤假期及特殊时期服务（寒暑假值班、雨季防汛）。</w:t>
            </w:r>
          </w:p>
          <w:p w14:paraId="73B32612">
            <w:pPr>
              <w:widowControl w:val="0"/>
              <w:spacing w:line="460" w:lineRule="exact"/>
              <w:ind w:firstLine="480" w:firstLineChars="200"/>
              <w:rPr>
                <w:rFonts w:ascii="宋体" w:hAnsi="宋体" w:cs="宋体"/>
                <w:sz w:val="24"/>
                <w:szCs w:val="24"/>
                <w:highlight w:val="none"/>
              </w:rPr>
            </w:pPr>
            <w:r>
              <w:rPr>
                <w:rFonts w:ascii="宋体" w:hAnsi="宋体" w:cs="宋体"/>
                <w:sz w:val="24"/>
                <w:szCs w:val="24"/>
                <w:highlight w:val="none"/>
              </w:rPr>
              <w:t>一档（</w:t>
            </w:r>
            <w:r>
              <w:rPr>
                <w:rFonts w:hint="eastAsia" w:ascii="宋体" w:hAnsi="宋体" w:cs="宋体"/>
                <w:sz w:val="24"/>
                <w:szCs w:val="24"/>
                <w:highlight w:val="none"/>
                <w:lang w:val="en-US" w:eastAsia="zh-CN"/>
              </w:rPr>
              <w:t>2</w:t>
            </w:r>
            <w:r>
              <w:rPr>
                <w:rFonts w:ascii="宋体" w:hAnsi="宋体" w:cs="宋体"/>
                <w:sz w:val="24"/>
                <w:szCs w:val="24"/>
                <w:highlight w:val="none"/>
              </w:rPr>
              <w:t>分）：能提出部分解决方案或建议，但内容不够完整，针对性不强，或涉及的重点难点不足2个；</w:t>
            </w:r>
          </w:p>
          <w:p w14:paraId="4DF4DB40">
            <w:pPr>
              <w:widowControl w:val="0"/>
              <w:spacing w:line="460" w:lineRule="exact"/>
              <w:ind w:firstLine="480" w:firstLineChars="200"/>
              <w:rPr>
                <w:rFonts w:ascii="宋体" w:hAnsi="宋体" w:cs="宋体"/>
                <w:sz w:val="24"/>
                <w:szCs w:val="24"/>
                <w:highlight w:val="none"/>
              </w:rPr>
            </w:pPr>
            <w:r>
              <w:rPr>
                <w:rFonts w:ascii="宋体" w:hAnsi="宋体" w:cs="宋体"/>
                <w:sz w:val="24"/>
                <w:szCs w:val="24"/>
                <w:highlight w:val="none"/>
              </w:rPr>
              <w:t>二档（</w:t>
            </w:r>
            <w:r>
              <w:rPr>
                <w:rFonts w:hint="eastAsia" w:ascii="宋体" w:hAnsi="宋体" w:cs="宋体"/>
                <w:sz w:val="24"/>
                <w:szCs w:val="24"/>
                <w:highlight w:val="none"/>
                <w:lang w:val="en-US" w:eastAsia="zh-CN"/>
              </w:rPr>
              <w:t>4</w:t>
            </w:r>
            <w:r>
              <w:rPr>
                <w:rFonts w:ascii="宋体" w:hAnsi="宋体" w:cs="宋体"/>
                <w:sz w:val="24"/>
                <w:szCs w:val="24"/>
                <w:highlight w:val="none"/>
              </w:rPr>
              <w:t xml:space="preserve">分）：能针对上述至少3个重点难点问题提出解决方案，内容完整、可行、有针对性，但缺乏独特见解或预期效果说明； </w:t>
            </w:r>
          </w:p>
          <w:p w14:paraId="4175CE88">
            <w:pPr>
              <w:widowControl w:val="0"/>
              <w:spacing w:line="460" w:lineRule="exact"/>
              <w:ind w:firstLine="480" w:firstLineChars="200"/>
              <w:rPr>
                <w:rFonts w:ascii="宋体" w:hAnsi="宋体" w:cs="宋体"/>
                <w:sz w:val="24"/>
                <w:szCs w:val="24"/>
                <w:highlight w:val="none"/>
              </w:rPr>
            </w:pPr>
            <w:r>
              <w:rPr>
                <w:rFonts w:ascii="宋体" w:hAnsi="宋体" w:cs="宋体"/>
                <w:sz w:val="24"/>
                <w:szCs w:val="24"/>
                <w:highlight w:val="none"/>
              </w:rPr>
              <w:t>三档（</w:t>
            </w:r>
            <w:r>
              <w:rPr>
                <w:rFonts w:hint="eastAsia" w:ascii="宋体" w:hAnsi="宋体" w:cs="宋体"/>
                <w:sz w:val="24"/>
                <w:szCs w:val="24"/>
                <w:highlight w:val="none"/>
                <w:lang w:val="en-US" w:eastAsia="zh-CN"/>
              </w:rPr>
              <w:t>6</w:t>
            </w:r>
            <w:r>
              <w:rPr>
                <w:rFonts w:ascii="宋体" w:hAnsi="宋体" w:cs="宋体"/>
                <w:sz w:val="24"/>
                <w:szCs w:val="24"/>
                <w:highlight w:val="none"/>
              </w:rPr>
              <w:t>分）：能针对上述至少5个重点难点问题，逐一提出针对性解决方案及优化建议，每个建议均包含问题分析、具体措施、预期效果，内容阐述全面，对校园业态有独特理解。</w:t>
            </w:r>
          </w:p>
          <w:p w14:paraId="185C1D8A">
            <w:pPr>
              <w:widowControl w:val="0"/>
              <w:spacing w:line="460" w:lineRule="exact"/>
              <w:ind w:firstLine="482" w:firstLineChars="200"/>
              <w:rPr>
                <w:rFonts w:hint="eastAsia" w:ascii="宋体" w:hAnsi="宋体" w:eastAsia="宋体" w:cs="宋体"/>
                <w:b/>
                <w:bCs/>
                <w:color w:val="auto"/>
                <w:kern w:val="2"/>
                <w:sz w:val="24"/>
                <w:szCs w:val="24"/>
                <w:highlight w:val="none"/>
                <w:vertAlign w:val="baseline"/>
                <w:lang w:val="en-US" w:eastAsia="zh-CN" w:bidi="ar-SA"/>
              </w:rPr>
            </w:pPr>
            <w:r>
              <w:rPr>
                <w:rFonts w:ascii="宋体" w:hAnsi="宋体" w:cs="宋体"/>
                <w:b/>
                <w:bCs/>
                <w:sz w:val="24"/>
                <w:szCs w:val="24"/>
                <w:highlight w:val="none"/>
              </w:rPr>
              <w:t>注：不提供相关内容或方案或方案未达到一档要求的得0分；方案未达到对应档次的，降档得分</w:t>
            </w:r>
            <w:r>
              <w:rPr>
                <w:rFonts w:ascii="Times New Roman" w:hAnsi="Times New Roman" w:eastAsia="仿宋_GB2312"/>
                <w:sz w:val="24"/>
                <w:szCs w:val="24"/>
                <w:highlight w:val="none"/>
              </w:rPr>
              <w:t>。</w:t>
            </w:r>
          </w:p>
        </w:tc>
        <w:tc>
          <w:tcPr>
            <w:tcW w:w="878" w:type="dxa"/>
            <w:shd w:val="clear" w:color="auto" w:fill="auto"/>
            <w:tcMar>
              <w:top w:w="0" w:type="dxa"/>
              <w:left w:w="57" w:type="dxa"/>
              <w:bottom w:w="0" w:type="dxa"/>
              <w:right w:w="57" w:type="dxa"/>
            </w:tcMar>
            <w:vAlign w:val="center"/>
          </w:tcPr>
          <w:p w14:paraId="0264DE00">
            <w:pPr>
              <w:widowControl w:val="0"/>
              <w:adjustRightInd w:val="0"/>
              <w:spacing w:line="460" w:lineRule="exact"/>
              <w:jc w:val="center"/>
              <w:rPr>
                <w:rFonts w:hint="eastAsia" w:ascii="宋体" w:hAnsi="宋体" w:eastAsia="宋体" w:cs="宋体"/>
                <w:color w:val="auto"/>
                <w:sz w:val="24"/>
                <w:szCs w:val="24"/>
                <w:highlight w:val="none"/>
                <w:vertAlign w:val="baseline"/>
                <w:lang w:val="en-US" w:eastAsia="zh-CN"/>
              </w:rPr>
            </w:pPr>
            <w:r>
              <w:rPr>
                <w:rFonts w:hint="eastAsia" w:eastAsia="仿宋_GB2312"/>
                <w:sz w:val="24"/>
                <w:szCs w:val="24"/>
                <w:highlight w:val="none"/>
                <w:lang w:val="en-US" w:eastAsia="zh-CN"/>
              </w:rPr>
              <w:t>6</w:t>
            </w:r>
            <w:r>
              <w:rPr>
                <w:rFonts w:ascii="Times New Roman" w:hAnsi="Times New Roman" w:eastAsia="仿宋_GB2312"/>
                <w:sz w:val="24"/>
                <w:szCs w:val="24"/>
                <w:highlight w:val="none"/>
              </w:rPr>
              <w:t>分</w:t>
            </w:r>
          </w:p>
        </w:tc>
        <w:tc>
          <w:tcPr>
            <w:tcW w:w="1270" w:type="dxa"/>
            <w:shd w:val="clear" w:color="auto" w:fill="auto"/>
            <w:tcMar>
              <w:top w:w="0" w:type="dxa"/>
              <w:left w:w="57" w:type="dxa"/>
              <w:bottom w:w="0" w:type="dxa"/>
              <w:right w:w="57" w:type="dxa"/>
            </w:tcMar>
            <w:vAlign w:val="center"/>
          </w:tcPr>
          <w:p w14:paraId="14703F80">
            <w:pPr>
              <w:keepNext w:val="0"/>
              <w:keepLines w:val="0"/>
              <w:pageBreakBefore w:val="0"/>
              <w:widowControl w:val="0"/>
              <w:shd w:val="clear"/>
              <w:kinsoku/>
              <w:wordWrap/>
              <w:overflowPunct/>
              <w:topLinePunct w:val="0"/>
              <w:autoSpaceDE/>
              <w:autoSpaceDN/>
              <w:bidi w:val="0"/>
              <w:adjustRightInd w:val="0"/>
              <w:snapToGrid/>
              <w:spacing w:line="400" w:lineRule="exact"/>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主观分</w:t>
            </w:r>
          </w:p>
        </w:tc>
      </w:tr>
      <w:tr w14:paraId="17440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6" w:type="dxa"/>
            <w:vMerge w:val="continue"/>
            <w:tcMar>
              <w:top w:w="0" w:type="dxa"/>
              <w:left w:w="57" w:type="dxa"/>
              <w:bottom w:w="0" w:type="dxa"/>
              <w:right w:w="57" w:type="dxa"/>
            </w:tcMar>
            <w:vAlign w:val="center"/>
          </w:tcPr>
          <w:p w14:paraId="1359C7A5">
            <w:pPr>
              <w:keepNext w:val="0"/>
              <w:keepLines w:val="0"/>
              <w:pageBreakBefore w:val="0"/>
              <w:widowControl w:val="0"/>
              <w:kinsoku/>
              <w:wordWrap/>
              <w:overflowPunct/>
              <w:topLinePunct w:val="0"/>
              <w:autoSpaceDE/>
              <w:autoSpaceDN/>
              <w:bidi w:val="0"/>
              <w:adjustRightInd w:val="0"/>
              <w:snapToGrid/>
              <w:spacing w:line="400" w:lineRule="exact"/>
              <w:ind w:firstLine="480"/>
              <w:jc w:val="center"/>
              <w:textAlignment w:val="auto"/>
              <w:rPr>
                <w:rFonts w:hint="eastAsia" w:ascii="宋体" w:hAnsi="宋体" w:eastAsia="宋体" w:cs="宋体"/>
                <w:color w:val="auto"/>
                <w:sz w:val="24"/>
                <w:szCs w:val="24"/>
                <w:highlight w:val="none"/>
              </w:rPr>
            </w:pPr>
          </w:p>
        </w:tc>
        <w:tc>
          <w:tcPr>
            <w:tcW w:w="543" w:type="dxa"/>
            <w:vMerge w:val="continue"/>
            <w:tcMar>
              <w:top w:w="0" w:type="dxa"/>
              <w:left w:w="57" w:type="dxa"/>
              <w:bottom w:w="0" w:type="dxa"/>
              <w:right w:w="57" w:type="dxa"/>
            </w:tcMar>
            <w:vAlign w:val="center"/>
          </w:tcPr>
          <w:p w14:paraId="1969BDB9">
            <w:pPr>
              <w:keepNext w:val="0"/>
              <w:keepLines w:val="0"/>
              <w:pageBreakBefore w:val="0"/>
              <w:widowControl w:val="0"/>
              <w:kinsoku/>
              <w:wordWrap/>
              <w:overflowPunct/>
              <w:topLinePunct w:val="0"/>
              <w:autoSpaceDE/>
              <w:autoSpaceDN/>
              <w:bidi w:val="0"/>
              <w:adjustRightInd w:val="0"/>
              <w:snapToGrid/>
              <w:spacing w:line="400" w:lineRule="exact"/>
              <w:ind w:firstLine="480"/>
              <w:jc w:val="center"/>
              <w:textAlignment w:val="auto"/>
              <w:rPr>
                <w:rFonts w:hint="eastAsia" w:ascii="宋体" w:hAnsi="宋体" w:eastAsia="宋体" w:cs="宋体"/>
                <w:color w:val="auto"/>
                <w:sz w:val="24"/>
                <w:szCs w:val="24"/>
                <w:highlight w:val="none"/>
              </w:rPr>
            </w:pPr>
          </w:p>
        </w:tc>
        <w:tc>
          <w:tcPr>
            <w:tcW w:w="930" w:type="dxa"/>
            <w:shd w:val="clear" w:color="auto" w:fill="auto"/>
            <w:tcMar>
              <w:top w:w="0" w:type="dxa"/>
              <w:left w:w="57" w:type="dxa"/>
              <w:bottom w:w="0" w:type="dxa"/>
              <w:right w:w="57" w:type="dxa"/>
            </w:tcMar>
            <w:vAlign w:val="center"/>
          </w:tcPr>
          <w:p w14:paraId="2C9E7BDE">
            <w:pPr>
              <w:keepNext w:val="0"/>
              <w:keepLines w:val="0"/>
              <w:pageBreakBefore w:val="0"/>
              <w:widowControl w:val="0"/>
              <w:shd w:val="clear"/>
              <w:kinsoku/>
              <w:wordWrap/>
              <w:overflowPunct/>
              <w:topLinePunct w:val="0"/>
              <w:autoSpaceDE/>
              <w:autoSpaceDN/>
              <w:bidi w:val="0"/>
              <w:adjustRightInd w:val="0"/>
              <w:snapToGrid/>
              <w:spacing w:line="400" w:lineRule="exact"/>
              <w:ind w:firstLine="0" w:firstLineChars="0"/>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（7）规章制度及考核管理办法</w:t>
            </w:r>
          </w:p>
        </w:tc>
        <w:tc>
          <w:tcPr>
            <w:tcW w:w="5753" w:type="dxa"/>
            <w:shd w:val="clear" w:color="auto" w:fill="auto"/>
            <w:tcMar>
              <w:top w:w="0" w:type="dxa"/>
              <w:left w:w="57" w:type="dxa"/>
              <w:bottom w:w="0" w:type="dxa"/>
              <w:right w:w="57" w:type="dxa"/>
            </w:tcMar>
            <w:vAlign w:val="center"/>
          </w:tcPr>
          <w:p w14:paraId="5EAE19D7">
            <w:pPr>
              <w:widowControl w:val="0"/>
              <w:spacing w:line="4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方案内容包括但不限于：①提供管理制度，至少包含：奖惩制度、管理维护运作制度及标准、安全生产制度、员工培训制度、档案管理制度；②提供考核管理办法，明确考核周期（月/季/年）、考核主体、考核流程、评分标准、奖惩挂钩机制；③内部管理架构图；④提供日常考核表单样本（至少包括日常巡查表、月度考核评分表、整改通知单）</w:t>
            </w:r>
            <w:r>
              <w:rPr>
                <w:rFonts w:hint="eastAsia" w:ascii="宋体" w:hAnsi="宋体" w:cs="宋体"/>
                <w:color w:val="auto"/>
                <w:sz w:val="24"/>
                <w:szCs w:val="24"/>
                <w:highlight w:val="none"/>
              </w:rPr>
              <w:t>等内容</w:t>
            </w:r>
          </w:p>
          <w:p w14:paraId="3373B5F8">
            <w:pPr>
              <w:widowControl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一档（3分）：基本满足采购需求，管理制度内容简单，操作基本可行。；</w:t>
            </w:r>
          </w:p>
          <w:p w14:paraId="26D30C5B">
            <w:pPr>
              <w:widowControl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二档（6分）：满足上述至少2项要求，管理制度内容完整，考核流程清晰，可落地执行；</w:t>
            </w:r>
          </w:p>
          <w:p w14:paraId="46DD0F3B">
            <w:pPr>
              <w:widowControl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三档（</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分）：完全满足上述4项全部要求，各项制度表述严谨规范，架构设置清晰合理，日常考核表单设计完整，考核机制与奖惩匹配度高，能有效支撑服务管控落地。</w:t>
            </w:r>
          </w:p>
          <w:p w14:paraId="1F217E62">
            <w:pPr>
              <w:widowControl w:val="0"/>
              <w:spacing w:line="460" w:lineRule="exact"/>
              <w:ind w:firstLine="482" w:firstLineChars="200"/>
              <w:rPr>
                <w:rFonts w:hint="eastAsia" w:ascii="宋体" w:hAnsi="宋体" w:eastAsia="宋体" w:cs="宋体"/>
                <w:b/>
                <w:bCs/>
                <w:color w:val="auto"/>
                <w:kern w:val="2"/>
                <w:sz w:val="24"/>
                <w:szCs w:val="24"/>
                <w:highlight w:val="none"/>
                <w:vertAlign w:val="baseline"/>
                <w:lang w:val="en-US" w:eastAsia="zh-CN" w:bidi="ar-SA"/>
              </w:rPr>
            </w:pPr>
            <w:r>
              <w:rPr>
                <w:rFonts w:ascii="Times New Roman" w:hAnsi="Times New Roman" w:eastAsia="仿宋_GB2312"/>
                <w:b/>
                <w:bCs/>
                <w:color w:val="auto"/>
                <w:sz w:val="24"/>
                <w:szCs w:val="24"/>
                <w:highlight w:val="none"/>
              </w:rPr>
              <w:t>注：不提供相关内容或方案或方案未达到一档要求的得0分；方案未达到对应档次的，降档得分。</w:t>
            </w:r>
          </w:p>
        </w:tc>
        <w:tc>
          <w:tcPr>
            <w:tcW w:w="878" w:type="dxa"/>
            <w:shd w:val="clear" w:color="auto" w:fill="auto"/>
            <w:tcMar>
              <w:top w:w="0" w:type="dxa"/>
              <w:left w:w="57" w:type="dxa"/>
              <w:bottom w:w="0" w:type="dxa"/>
              <w:right w:w="57" w:type="dxa"/>
            </w:tcMar>
            <w:vAlign w:val="center"/>
          </w:tcPr>
          <w:p w14:paraId="50054E90">
            <w:pPr>
              <w:widowControl w:val="0"/>
              <w:adjustRightInd w:val="0"/>
              <w:spacing w:line="460" w:lineRule="exact"/>
              <w:jc w:val="center"/>
              <w:rPr>
                <w:rFonts w:hint="eastAsia" w:ascii="宋体" w:hAnsi="宋体" w:eastAsia="宋体" w:cs="宋体"/>
                <w:color w:val="auto"/>
                <w:sz w:val="24"/>
                <w:szCs w:val="24"/>
                <w:highlight w:val="none"/>
                <w:vertAlign w:val="baseline"/>
                <w:lang w:val="en-US" w:eastAsia="zh-CN"/>
              </w:rPr>
            </w:pPr>
            <w:r>
              <w:rPr>
                <w:rFonts w:hint="eastAsia" w:eastAsia="仿宋_GB2312"/>
                <w:color w:val="auto"/>
                <w:sz w:val="24"/>
                <w:szCs w:val="24"/>
                <w:highlight w:val="none"/>
                <w:lang w:val="en-US" w:eastAsia="zh-CN"/>
              </w:rPr>
              <w:t>10</w:t>
            </w:r>
            <w:r>
              <w:rPr>
                <w:rFonts w:ascii="Times New Roman" w:hAnsi="Times New Roman" w:eastAsia="仿宋_GB2312"/>
                <w:color w:val="auto"/>
                <w:sz w:val="24"/>
                <w:szCs w:val="24"/>
                <w:highlight w:val="none"/>
              </w:rPr>
              <w:t>分</w:t>
            </w:r>
          </w:p>
        </w:tc>
        <w:tc>
          <w:tcPr>
            <w:tcW w:w="1270" w:type="dxa"/>
            <w:shd w:val="clear" w:color="auto" w:fill="auto"/>
            <w:tcMar>
              <w:top w:w="0" w:type="dxa"/>
              <w:left w:w="57" w:type="dxa"/>
              <w:bottom w:w="0" w:type="dxa"/>
              <w:right w:w="57" w:type="dxa"/>
            </w:tcMar>
            <w:vAlign w:val="center"/>
          </w:tcPr>
          <w:p w14:paraId="1CDB6264">
            <w:pPr>
              <w:keepNext w:val="0"/>
              <w:keepLines w:val="0"/>
              <w:pageBreakBefore w:val="0"/>
              <w:widowControl w:val="0"/>
              <w:shd w:val="clear"/>
              <w:kinsoku/>
              <w:wordWrap/>
              <w:overflowPunct/>
              <w:topLinePunct w:val="0"/>
              <w:autoSpaceDE/>
              <w:autoSpaceDN/>
              <w:bidi w:val="0"/>
              <w:adjustRightInd w:val="0"/>
              <w:snapToGrid/>
              <w:spacing w:line="400" w:lineRule="exact"/>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主观分</w:t>
            </w:r>
          </w:p>
        </w:tc>
      </w:tr>
      <w:tr w14:paraId="77717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6" w:type="dxa"/>
            <w:vMerge w:val="continue"/>
            <w:tcMar>
              <w:top w:w="0" w:type="dxa"/>
              <w:left w:w="57" w:type="dxa"/>
              <w:bottom w:w="0" w:type="dxa"/>
              <w:right w:w="57" w:type="dxa"/>
            </w:tcMar>
            <w:vAlign w:val="center"/>
          </w:tcPr>
          <w:p w14:paraId="4661275A">
            <w:pPr>
              <w:keepNext w:val="0"/>
              <w:keepLines w:val="0"/>
              <w:pageBreakBefore w:val="0"/>
              <w:widowControl w:val="0"/>
              <w:kinsoku/>
              <w:wordWrap/>
              <w:overflowPunct/>
              <w:topLinePunct w:val="0"/>
              <w:autoSpaceDE/>
              <w:autoSpaceDN/>
              <w:bidi w:val="0"/>
              <w:adjustRightInd w:val="0"/>
              <w:snapToGrid/>
              <w:spacing w:line="400" w:lineRule="exact"/>
              <w:ind w:firstLine="480"/>
              <w:jc w:val="center"/>
              <w:textAlignment w:val="auto"/>
              <w:rPr>
                <w:rFonts w:hint="eastAsia" w:ascii="宋体" w:hAnsi="宋体" w:eastAsia="宋体" w:cs="宋体"/>
                <w:color w:val="auto"/>
                <w:sz w:val="24"/>
                <w:szCs w:val="24"/>
                <w:highlight w:val="none"/>
              </w:rPr>
            </w:pPr>
          </w:p>
        </w:tc>
        <w:tc>
          <w:tcPr>
            <w:tcW w:w="543" w:type="dxa"/>
            <w:vMerge w:val="continue"/>
            <w:tcMar>
              <w:top w:w="0" w:type="dxa"/>
              <w:left w:w="57" w:type="dxa"/>
              <w:bottom w:w="0" w:type="dxa"/>
              <w:right w:w="57" w:type="dxa"/>
            </w:tcMar>
            <w:vAlign w:val="center"/>
          </w:tcPr>
          <w:p w14:paraId="3FCF0F6F">
            <w:pPr>
              <w:keepNext w:val="0"/>
              <w:keepLines w:val="0"/>
              <w:pageBreakBefore w:val="0"/>
              <w:widowControl w:val="0"/>
              <w:kinsoku/>
              <w:wordWrap/>
              <w:overflowPunct/>
              <w:topLinePunct w:val="0"/>
              <w:autoSpaceDE/>
              <w:autoSpaceDN/>
              <w:bidi w:val="0"/>
              <w:adjustRightInd w:val="0"/>
              <w:snapToGrid/>
              <w:spacing w:line="400" w:lineRule="exact"/>
              <w:ind w:firstLine="480"/>
              <w:jc w:val="center"/>
              <w:textAlignment w:val="auto"/>
              <w:rPr>
                <w:rFonts w:hint="eastAsia" w:ascii="宋体" w:hAnsi="宋体" w:eastAsia="宋体" w:cs="宋体"/>
                <w:color w:val="auto"/>
                <w:sz w:val="24"/>
                <w:szCs w:val="24"/>
                <w:highlight w:val="none"/>
              </w:rPr>
            </w:pPr>
          </w:p>
        </w:tc>
        <w:tc>
          <w:tcPr>
            <w:tcW w:w="930" w:type="dxa"/>
            <w:shd w:val="clear" w:color="auto" w:fill="auto"/>
            <w:tcMar>
              <w:top w:w="0" w:type="dxa"/>
              <w:left w:w="57" w:type="dxa"/>
              <w:bottom w:w="0" w:type="dxa"/>
              <w:right w:w="57" w:type="dxa"/>
            </w:tcMar>
            <w:vAlign w:val="center"/>
          </w:tcPr>
          <w:p w14:paraId="6E755B9A">
            <w:pPr>
              <w:keepNext w:val="0"/>
              <w:keepLines w:val="0"/>
              <w:pageBreakBefore w:val="0"/>
              <w:widowControl w:val="0"/>
              <w:shd w:val="clear"/>
              <w:kinsoku/>
              <w:wordWrap/>
              <w:overflowPunct/>
              <w:topLinePunct w:val="0"/>
              <w:autoSpaceDE/>
              <w:autoSpaceDN/>
              <w:bidi w:val="0"/>
              <w:adjustRightInd w:val="0"/>
              <w:snapToGrid/>
              <w:spacing w:line="400" w:lineRule="exact"/>
              <w:ind w:firstLine="0" w:firstLineChars="0"/>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（8）突发事件处理方案</w:t>
            </w:r>
          </w:p>
        </w:tc>
        <w:tc>
          <w:tcPr>
            <w:tcW w:w="5753" w:type="dxa"/>
            <w:shd w:val="clear" w:color="auto" w:fill="auto"/>
            <w:tcMar>
              <w:top w:w="0" w:type="dxa"/>
              <w:left w:w="57" w:type="dxa"/>
              <w:bottom w:w="0" w:type="dxa"/>
              <w:right w:w="57" w:type="dxa"/>
            </w:tcMar>
            <w:vAlign w:val="center"/>
          </w:tcPr>
          <w:p w14:paraId="5DB6B6E4">
            <w:pPr>
              <w:widowControl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包括但不限于：①应急组织机构与职责、②预警与信息报告机制、③应急响应启动流程、④各类突发事件（如安全事件、自然灾害、设施故障、公共卫生事件等）专项处置预案、⑤学校重大活动及节假日保障方案、⑥应急人员调配与管理、⑦应急物资与设备保障等内容。</w:t>
            </w:r>
          </w:p>
          <w:p w14:paraId="2D80EE2B">
            <w:pPr>
              <w:widowControl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一档（3分）：投标人提供的应急方案内容简略，至少包含上述7项内容中的3项。方案仅为基本框架，对组织机构、处置流程等的描述不具体，未结合校园人员密集、保障要求高的特点进行阐述，缺乏可操作性。</w:t>
            </w:r>
          </w:p>
          <w:p w14:paraId="1E9C8482">
            <w:pPr>
              <w:widowControl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档（6分）：投标人提供的应急方案内容较为系统，至少包含上述7项内容中的6项。方案对应急流程、人员职责、响应机制等有基本阐述，制定了具备可行性的处置预案和保障措施，人员与设备安排能基本满足校园应对突发事件及重大活动保障的需求。</w:t>
            </w:r>
          </w:p>
          <w:p w14:paraId="2528A1A0">
            <w:pPr>
              <w:widowControl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档（10分）：投标人提供的应急方案全面覆盖上述全部7项内容，且内容细致、专业、可操作性极强。方案能紧密结合校园环境的特殊性（如师生安全、教学秩序等），制定极具针对性的分级响应流程、专项预案（如考试期间停电、群体性活动安保、突发疫情处置等）及善后恢复机制。方案需配备详细的应急资源清单（如应急人员组织架构图、物资储备清单），充分体现投标人高效、专业的应急保障能力和资源调配能力。</w:t>
            </w:r>
          </w:p>
          <w:p w14:paraId="47E4F61C">
            <w:pPr>
              <w:widowControl w:val="0"/>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注：不提供相关内容或方案或方案未达到一档要求的得0分；方案未达到对应档次的，降档得分。</w:t>
            </w:r>
          </w:p>
        </w:tc>
        <w:tc>
          <w:tcPr>
            <w:tcW w:w="878" w:type="dxa"/>
            <w:shd w:val="clear" w:color="auto" w:fill="auto"/>
            <w:tcMar>
              <w:top w:w="0" w:type="dxa"/>
              <w:left w:w="57" w:type="dxa"/>
              <w:bottom w:w="0" w:type="dxa"/>
              <w:right w:w="57" w:type="dxa"/>
            </w:tcMar>
            <w:vAlign w:val="center"/>
          </w:tcPr>
          <w:p w14:paraId="4D0CB160">
            <w:pPr>
              <w:widowControl w:val="0"/>
              <w:adjustRightInd w:val="0"/>
              <w:spacing w:line="460" w:lineRule="exact"/>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10分</w:t>
            </w:r>
          </w:p>
        </w:tc>
        <w:tc>
          <w:tcPr>
            <w:tcW w:w="1270" w:type="dxa"/>
            <w:shd w:val="clear" w:color="auto" w:fill="auto"/>
            <w:tcMar>
              <w:top w:w="0" w:type="dxa"/>
              <w:left w:w="57" w:type="dxa"/>
              <w:bottom w:w="0" w:type="dxa"/>
              <w:right w:w="57" w:type="dxa"/>
            </w:tcMar>
            <w:vAlign w:val="center"/>
          </w:tcPr>
          <w:p w14:paraId="6275F018">
            <w:pPr>
              <w:keepNext w:val="0"/>
              <w:keepLines w:val="0"/>
              <w:pageBreakBefore w:val="0"/>
              <w:widowControl w:val="0"/>
              <w:shd w:val="clear"/>
              <w:kinsoku/>
              <w:wordWrap/>
              <w:overflowPunct/>
              <w:topLinePunct w:val="0"/>
              <w:autoSpaceDE/>
              <w:autoSpaceDN/>
              <w:bidi w:val="0"/>
              <w:adjustRightInd w:val="0"/>
              <w:snapToGrid/>
              <w:spacing w:line="400" w:lineRule="exact"/>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主观分</w:t>
            </w:r>
          </w:p>
        </w:tc>
      </w:tr>
      <w:tr w14:paraId="1A6B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6" w:type="dxa"/>
            <w:tcMar>
              <w:top w:w="0" w:type="dxa"/>
              <w:left w:w="57" w:type="dxa"/>
              <w:bottom w:w="0" w:type="dxa"/>
              <w:right w:w="57" w:type="dxa"/>
            </w:tcMar>
            <w:vAlign w:val="center"/>
          </w:tcPr>
          <w:p w14:paraId="1EE5211C">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9374" w:type="dxa"/>
            <w:gridSpan w:val="5"/>
            <w:tcMar>
              <w:top w:w="0" w:type="dxa"/>
              <w:left w:w="57" w:type="dxa"/>
              <w:bottom w:w="0" w:type="dxa"/>
              <w:right w:w="57" w:type="dxa"/>
            </w:tcMar>
            <w:vAlign w:val="center"/>
          </w:tcPr>
          <w:p w14:paraId="3C5AA916">
            <w:pPr>
              <w:keepNext w:val="0"/>
              <w:keepLines w:val="0"/>
              <w:pageBreakBefore w:val="0"/>
              <w:widowControl w:val="0"/>
              <w:kinsoku/>
              <w:wordWrap/>
              <w:overflowPunct/>
              <w:topLinePunct w:val="0"/>
              <w:autoSpaceDE/>
              <w:autoSpaceDN/>
              <w:bidi w:val="0"/>
              <w:adjustRightInd w:val="0"/>
              <w:snapToGrid/>
              <w:spacing w:line="400" w:lineRule="exact"/>
              <w:ind w:firstLine="48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商务分</w:t>
            </w:r>
          </w:p>
        </w:tc>
      </w:tr>
      <w:tr w14:paraId="48181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6" w:type="dxa"/>
            <w:vMerge w:val="restart"/>
            <w:tcMar>
              <w:top w:w="0" w:type="dxa"/>
              <w:left w:w="57" w:type="dxa"/>
              <w:bottom w:w="0" w:type="dxa"/>
              <w:right w:w="57" w:type="dxa"/>
            </w:tcMar>
            <w:vAlign w:val="center"/>
          </w:tcPr>
          <w:p w14:paraId="388EC014">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w:t>
            </w:r>
          </w:p>
        </w:tc>
        <w:tc>
          <w:tcPr>
            <w:tcW w:w="1473" w:type="dxa"/>
            <w:gridSpan w:val="2"/>
            <w:vMerge w:val="restart"/>
            <w:tcMar>
              <w:top w:w="0" w:type="dxa"/>
              <w:left w:w="57" w:type="dxa"/>
              <w:bottom w:w="0" w:type="dxa"/>
              <w:right w:w="57" w:type="dxa"/>
            </w:tcMar>
            <w:vAlign w:val="center"/>
          </w:tcPr>
          <w:p w14:paraId="28C394DE">
            <w:pPr>
              <w:keepNext w:val="0"/>
              <w:keepLines w:val="0"/>
              <w:pageBreakBefore w:val="0"/>
              <w:widowControl w:val="0"/>
              <w:shd w:val="clear"/>
              <w:kinsoku/>
              <w:wordWrap/>
              <w:overflowPunct/>
              <w:topLinePunct w:val="0"/>
              <w:autoSpaceDE/>
              <w:autoSpaceDN/>
              <w:bidi w:val="0"/>
              <w:adjustRightInd w:val="0"/>
              <w:snapToGrid/>
              <w:spacing w:line="400" w:lineRule="exact"/>
              <w:ind w:firstLine="0" w:firstLineChars="0"/>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人员配置情况分</w:t>
            </w:r>
          </w:p>
          <w:p w14:paraId="22A4FCBB">
            <w:pPr>
              <w:keepNext w:val="0"/>
              <w:keepLines w:val="0"/>
              <w:pageBreakBefore w:val="0"/>
              <w:widowControl w:val="0"/>
              <w:shd w:val="clear"/>
              <w:kinsoku/>
              <w:wordWrap/>
              <w:overflowPunct/>
              <w:topLinePunct w:val="0"/>
              <w:autoSpaceDE/>
              <w:autoSpaceDN/>
              <w:bidi w:val="0"/>
              <w:adjustRightInd w:val="0"/>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cs="宋体"/>
                <w:b w:val="0"/>
                <w:bCs w:val="0"/>
                <w:color w:val="auto"/>
                <w:sz w:val="24"/>
                <w:szCs w:val="24"/>
                <w:highlight w:val="none"/>
                <w:vertAlign w:val="baseline"/>
                <w:lang w:val="en-US" w:eastAsia="zh-CN"/>
              </w:rPr>
              <w:t>（满分8分）</w:t>
            </w:r>
          </w:p>
        </w:tc>
        <w:tc>
          <w:tcPr>
            <w:tcW w:w="5753" w:type="dxa"/>
            <w:shd w:val="clear" w:color="auto" w:fill="auto"/>
            <w:tcMar>
              <w:top w:w="0" w:type="dxa"/>
              <w:left w:w="57" w:type="dxa"/>
              <w:bottom w:w="0" w:type="dxa"/>
              <w:right w:w="57" w:type="dxa"/>
            </w:tcMar>
            <w:vAlign w:val="center"/>
          </w:tcPr>
          <w:p w14:paraId="7030BB89">
            <w:pPr>
              <w:keepNext w:val="0"/>
              <w:keepLines w:val="0"/>
              <w:pageBreakBefore w:val="0"/>
              <w:widowControl w:val="0"/>
              <w:shd w:val="clear"/>
              <w:kinsoku/>
              <w:wordWrap/>
              <w:overflowPunct/>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w:t>
            </w:r>
            <w:r>
              <w:rPr>
                <w:rFonts w:hint="default" w:ascii="宋体" w:hAnsi="宋体" w:eastAsia="宋体" w:cs="宋体"/>
                <w:b w:val="0"/>
                <w:bCs w:val="0"/>
                <w:color w:val="auto"/>
                <w:kern w:val="2"/>
                <w:sz w:val="24"/>
                <w:szCs w:val="24"/>
                <w:highlight w:val="none"/>
                <w:vertAlign w:val="baseline"/>
                <w:lang w:val="en-US" w:eastAsia="zh-CN" w:bidi="ar-SA"/>
              </w:rPr>
              <w:t>投标人拟投入项目经理的</w:t>
            </w:r>
            <w:r>
              <w:rPr>
                <w:rFonts w:hint="eastAsia" w:ascii="宋体" w:hAnsi="宋体" w:eastAsia="宋体" w:cs="宋体"/>
                <w:b w:val="0"/>
                <w:bCs w:val="0"/>
                <w:color w:val="auto"/>
                <w:kern w:val="2"/>
                <w:sz w:val="24"/>
                <w:szCs w:val="24"/>
                <w:highlight w:val="none"/>
                <w:vertAlign w:val="baseline"/>
                <w:lang w:val="en-US" w:eastAsia="zh-CN" w:bidi="ar-SA"/>
              </w:rPr>
              <w:t>得</w:t>
            </w:r>
            <w:r>
              <w:rPr>
                <w:rFonts w:hint="eastAsia" w:ascii="宋体" w:hAnsi="宋体" w:cs="宋体"/>
                <w:b w:val="0"/>
                <w:bCs w:val="0"/>
                <w:color w:val="auto"/>
                <w:kern w:val="2"/>
                <w:sz w:val="24"/>
                <w:szCs w:val="24"/>
                <w:highlight w:val="none"/>
                <w:vertAlign w:val="baseline"/>
                <w:lang w:val="en-US" w:eastAsia="zh-CN" w:bidi="ar-SA"/>
              </w:rPr>
              <w:t>1</w:t>
            </w:r>
            <w:r>
              <w:rPr>
                <w:rFonts w:hint="default" w:ascii="宋体" w:hAnsi="宋体" w:eastAsia="宋体" w:cs="宋体"/>
                <w:b w:val="0"/>
                <w:bCs w:val="0"/>
                <w:color w:val="auto"/>
                <w:kern w:val="2"/>
                <w:sz w:val="24"/>
                <w:szCs w:val="24"/>
                <w:highlight w:val="none"/>
                <w:vertAlign w:val="baseline"/>
                <w:lang w:val="en-US" w:eastAsia="zh-CN" w:bidi="ar-SA"/>
              </w:rPr>
              <w:t>分</w:t>
            </w:r>
            <w:r>
              <w:rPr>
                <w:rFonts w:hint="eastAsia" w:ascii="宋体" w:hAnsi="宋体" w:cs="宋体"/>
                <w:b w:val="0"/>
                <w:bCs w:val="0"/>
                <w:color w:val="auto"/>
                <w:kern w:val="2"/>
                <w:sz w:val="24"/>
                <w:szCs w:val="24"/>
                <w:highlight w:val="none"/>
                <w:vertAlign w:val="baseline"/>
                <w:lang w:val="en-US" w:eastAsia="zh-CN" w:bidi="ar-SA"/>
              </w:rPr>
              <w:t>，持有物业管理相关职业技能等级证或物业项目经理岗位证书（提供相关证书复印件）得1分，满分2分</w:t>
            </w:r>
            <w:r>
              <w:rPr>
                <w:rFonts w:hint="eastAsia" w:ascii="宋体" w:hAnsi="宋体" w:eastAsia="宋体" w:cs="宋体"/>
                <w:b w:val="0"/>
                <w:bCs w:val="0"/>
                <w:color w:val="auto"/>
                <w:kern w:val="2"/>
                <w:sz w:val="24"/>
                <w:szCs w:val="24"/>
                <w:highlight w:val="none"/>
                <w:vertAlign w:val="baseline"/>
                <w:lang w:val="en-US" w:eastAsia="zh-CN" w:bidi="ar-SA"/>
              </w:rPr>
              <w:t>。</w:t>
            </w:r>
          </w:p>
          <w:p w14:paraId="47E0B3FC">
            <w:pPr>
              <w:keepNext w:val="0"/>
              <w:keepLines w:val="0"/>
              <w:pageBreakBefore w:val="0"/>
              <w:widowControl w:val="0"/>
              <w:shd w:val="clear"/>
              <w:kinsoku/>
              <w:wordWrap/>
              <w:overflowPunct/>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val="0"/>
                <w:bCs w:val="0"/>
                <w:color w:val="auto"/>
                <w:kern w:val="2"/>
                <w:sz w:val="24"/>
                <w:szCs w:val="24"/>
                <w:highlight w:val="none"/>
                <w:vertAlign w:val="baseline"/>
                <w:lang w:val="en-US" w:eastAsia="zh-CN" w:bidi="ar-SA"/>
              </w:rPr>
              <w:t>注：以上人员需提供2026年1月以来至少一个月依法缴纳社保的证明，未提供者不计分。</w:t>
            </w:r>
          </w:p>
        </w:tc>
        <w:tc>
          <w:tcPr>
            <w:tcW w:w="878" w:type="dxa"/>
            <w:shd w:val="clear" w:color="auto" w:fill="auto"/>
            <w:tcMar>
              <w:top w:w="0" w:type="dxa"/>
              <w:left w:w="57" w:type="dxa"/>
              <w:bottom w:w="0" w:type="dxa"/>
              <w:right w:w="57" w:type="dxa"/>
            </w:tcMar>
            <w:vAlign w:val="center"/>
          </w:tcPr>
          <w:p w14:paraId="630CE579">
            <w:pPr>
              <w:keepNext w:val="0"/>
              <w:keepLines w:val="0"/>
              <w:pageBreakBefore w:val="0"/>
              <w:widowControl w:val="0"/>
              <w:shd w:val="clear"/>
              <w:kinsoku/>
              <w:wordWrap/>
              <w:overflowPunct/>
              <w:topLinePunct w:val="0"/>
              <w:autoSpaceDE/>
              <w:autoSpaceDN/>
              <w:bidi w:val="0"/>
              <w:adjustRightInd w:val="0"/>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vertAlign w:val="baseline"/>
                <w:lang w:val="en-US" w:eastAsia="zh-CN"/>
              </w:rPr>
              <w:t>2分</w:t>
            </w:r>
          </w:p>
        </w:tc>
        <w:tc>
          <w:tcPr>
            <w:tcW w:w="1270" w:type="dxa"/>
            <w:shd w:val="clear" w:color="auto" w:fill="auto"/>
            <w:tcMar>
              <w:top w:w="0" w:type="dxa"/>
              <w:left w:w="57" w:type="dxa"/>
              <w:bottom w:w="0" w:type="dxa"/>
              <w:right w:w="57" w:type="dxa"/>
            </w:tcMar>
            <w:vAlign w:val="center"/>
          </w:tcPr>
          <w:p w14:paraId="06F8A99C">
            <w:pPr>
              <w:keepNext w:val="0"/>
              <w:keepLines w:val="0"/>
              <w:pageBreakBefore w:val="0"/>
              <w:widowControl w:val="0"/>
              <w:shd w:val="clear"/>
              <w:kinsoku/>
              <w:wordWrap/>
              <w:overflowPunct/>
              <w:topLinePunct w:val="0"/>
              <w:autoSpaceDE/>
              <w:autoSpaceDN/>
              <w:bidi w:val="0"/>
              <w:adjustRightInd w:val="0"/>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vertAlign w:val="baseline"/>
                <w:lang w:val="en-US" w:eastAsia="zh-CN"/>
              </w:rPr>
              <w:t>客观分</w:t>
            </w:r>
          </w:p>
        </w:tc>
      </w:tr>
      <w:tr w14:paraId="311D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6" w:type="dxa"/>
            <w:vMerge w:val="continue"/>
            <w:tcMar>
              <w:top w:w="0" w:type="dxa"/>
              <w:left w:w="57" w:type="dxa"/>
              <w:bottom w:w="0" w:type="dxa"/>
              <w:right w:w="57" w:type="dxa"/>
            </w:tcMar>
            <w:vAlign w:val="center"/>
          </w:tcPr>
          <w:p w14:paraId="6738EC90">
            <w:pPr>
              <w:keepNext w:val="0"/>
              <w:keepLines w:val="0"/>
              <w:pageBreakBefore w:val="0"/>
              <w:widowControl w:val="0"/>
              <w:kinsoku/>
              <w:wordWrap/>
              <w:overflowPunct/>
              <w:topLinePunct w:val="0"/>
              <w:autoSpaceDE/>
              <w:autoSpaceDN/>
              <w:bidi w:val="0"/>
              <w:adjustRightInd w:val="0"/>
              <w:snapToGrid/>
              <w:spacing w:line="400" w:lineRule="exact"/>
              <w:ind w:firstLine="480"/>
              <w:jc w:val="center"/>
              <w:textAlignment w:val="auto"/>
              <w:rPr>
                <w:rFonts w:hint="eastAsia" w:ascii="宋体" w:hAnsi="宋体" w:eastAsia="宋体" w:cs="宋体"/>
                <w:color w:val="auto"/>
                <w:sz w:val="24"/>
                <w:szCs w:val="24"/>
                <w:highlight w:val="none"/>
              </w:rPr>
            </w:pPr>
          </w:p>
        </w:tc>
        <w:tc>
          <w:tcPr>
            <w:tcW w:w="1473" w:type="dxa"/>
            <w:gridSpan w:val="2"/>
            <w:vMerge w:val="continue"/>
            <w:tcMar>
              <w:top w:w="0" w:type="dxa"/>
              <w:left w:w="57" w:type="dxa"/>
              <w:bottom w:w="0" w:type="dxa"/>
              <w:right w:w="57" w:type="dxa"/>
            </w:tcMar>
            <w:vAlign w:val="center"/>
          </w:tcPr>
          <w:p w14:paraId="70CBACF3">
            <w:pPr>
              <w:keepNext w:val="0"/>
              <w:keepLines w:val="0"/>
              <w:pageBreakBefore w:val="0"/>
              <w:widowControl w:val="0"/>
              <w:shd w:val="clear"/>
              <w:kinsoku/>
              <w:wordWrap/>
              <w:overflowPunct/>
              <w:topLinePunct w:val="0"/>
              <w:autoSpaceDE/>
              <w:autoSpaceDN/>
              <w:bidi w:val="0"/>
              <w:adjustRightInd w:val="0"/>
              <w:snapToGrid/>
              <w:spacing w:line="400" w:lineRule="exact"/>
              <w:ind w:firstLine="0" w:firstLineChars="0"/>
              <w:jc w:val="center"/>
              <w:textAlignment w:val="auto"/>
              <w:rPr>
                <w:rFonts w:hint="eastAsia" w:ascii="宋体" w:hAnsi="宋体" w:eastAsia="宋体" w:cs="宋体"/>
                <w:color w:val="auto"/>
                <w:sz w:val="24"/>
                <w:szCs w:val="24"/>
                <w:highlight w:val="none"/>
              </w:rPr>
            </w:pPr>
          </w:p>
        </w:tc>
        <w:tc>
          <w:tcPr>
            <w:tcW w:w="5753" w:type="dxa"/>
            <w:shd w:val="clear" w:color="auto" w:fill="auto"/>
            <w:tcMar>
              <w:top w:w="0" w:type="dxa"/>
              <w:left w:w="57" w:type="dxa"/>
              <w:bottom w:w="0" w:type="dxa"/>
              <w:right w:w="57" w:type="dxa"/>
            </w:tcMar>
            <w:vAlign w:val="center"/>
          </w:tcPr>
          <w:p w14:paraId="782F13A4">
            <w:pPr>
              <w:keepNext w:val="0"/>
              <w:keepLines w:val="0"/>
              <w:pageBreakBefore w:val="0"/>
              <w:widowControl w:val="0"/>
              <w:shd w:val="clear"/>
              <w:kinsoku/>
              <w:wordWrap/>
              <w:overflowPunct/>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（2）绿化人员情况：取得绿化工职业资格证的，高级及以上得2分，中级得1分，初级得0.5分。提供相关证明材料。不累计计分，满分</w:t>
            </w:r>
            <w:r>
              <w:rPr>
                <w:rFonts w:hint="eastAsia" w:ascii="宋体" w:hAnsi="宋体" w:cs="宋体"/>
                <w:b w:val="0"/>
                <w:bCs w:val="0"/>
                <w:color w:val="auto"/>
                <w:kern w:val="2"/>
                <w:sz w:val="24"/>
                <w:szCs w:val="24"/>
                <w:highlight w:val="none"/>
                <w:vertAlign w:val="baseline"/>
                <w:lang w:val="en-US" w:eastAsia="zh-CN" w:bidi="ar-SA"/>
              </w:rPr>
              <w:t>2</w:t>
            </w:r>
            <w:r>
              <w:rPr>
                <w:rFonts w:hint="eastAsia" w:ascii="宋体" w:hAnsi="宋体" w:eastAsia="宋体" w:cs="宋体"/>
                <w:b w:val="0"/>
                <w:bCs w:val="0"/>
                <w:color w:val="auto"/>
                <w:kern w:val="2"/>
                <w:sz w:val="24"/>
                <w:szCs w:val="24"/>
                <w:highlight w:val="none"/>
                <w:vertAlign w:val="baseline"/>
                <w:lang w:val="en-US" w:eastAsia="zh-CN" w:bidi="ar-SA"/>
              </w:rPr>
              <w:t>分。</w:t>
            </w:r>
          </w:p>
          <w:p w14:paraId="47CC23BB">
            <w:pPr>
              <w:keepNext w:val="0"/>
              <w:keepLines w:val="0"/>
              <w:pageBreakBefore w:val="0"/>
              <w:widowControl w:val="0"/>
              <w:shd w:val="clear"/>
              <w:kinsoku/>
              <w:wordWrap/>
              <w:overflowPunct/>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注：以上人员需提供2026年1月以来至少一个月依法缴纳社保的证明，未提供者不计分。</w:t>
            </w:r>
          </w:p>
        </w:tc>
        <w:tc>
          <w:tcPr>
            <w:tcW w:w="878" w:type="dxa"/>
            <w:shd w:val="clear" w:color="auto" w:fill="auto"/>
            <w:tcMar>
              <w:top w:w="0" w:type="dxa"/>
              <w:left w:w="57" w:type="dxa"/>
              <w:bottom w:w="0" w:type="dxa"/>
              <w:right w:w="57" w:type="dxa"/>
            </w:tcMar>
            <w:vAlign w:val="center"/>
          </w:tcPr>
          <w:p w14:paraId="60128EDA">
            <w:pPr>
              <w:keepNext w:val="0"/>
              <w:keepLines w:val="0"/>
              <w:pageBreakBefore w:val="0"/>
              <w:widowControl w:val="0"/>
              <w:shd w:val="clear"/>
              <w:kinsoku/>
              <w:wordWrap/>
              <w:overflowPunct/>
              <w:topLinePunct w:val="0"/>
              <w:autoSpaceDE/>
              <w:autoSpaceDN/>
              <w:bidi w:val="0"/>
              <w:adjustRightInd w:val="0"/>
              <w:snapToGrid/>
              <w:spacing w:line="400" w:lineRule="exact"/>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2</w:t>
            </w:r>
            <w:r>
              <w:rPr>
                <w:rFonts w:hint="eastAsia" w:ascii="宋体" w:hAnsi="宋体" w:eastAsia="宋体" w:cs="宋体"/>
                <w:color w:val="auto"/>
                <w:sz w:val="24"/>
                <w:szCs w:val="24"/>
                <w:highlight w:val="none"/>
                <w:vertAlign w:val="baseline"/>
                <w:lang w:val="en-US" w:eastAsia="zh-CN"/>
              </w:rPr>
              <w:t>分</w:t>
            </w:r>
          </w:p>
        </w:tc>
        <w:tc>
          <w:tcPr>
            <w:tcW w:w="1270" w:type="dxa"/>
            <w:shd w:val="clear" w:color="auto" w:fill="auto"/>
            <w:tcMar>
              <w:top w:w="0" w:type="dxa"/>
              <w:left w:w="57" w:type="dxa"/>
              <w:bottom w:w="0" w:type="dxa"/>
              <w:right w:w="57" w:type="dxa"/>
            </w:tcMar>
            <w:vAlign w:val="center"/>
          </w:tcPr>
          <w:p w14:paraId="35A65E97">
            <w:pPr>
              <w:keepNext w:val="0"/>
              <w:keepLines w:val="0"/>
              <w:pageBreakBefore w:val="0"/>
              <w:widowControl w:val="0"/>
              <w:shd w:val="clear"/>
              <w:kinsoku/>
              <w:wordWrap/>
              <w:overflowPunct/>
              <w:topLinePunct w:val="0"/>
              <w:autoSpaceDE/>
              <w:autoSpaceDN/>
              <w:bidi w:val="0"/>
              <w:adjustRightInd w:val="0"/>
              <w:snapToGrid/>
              <w:spacing w:line="400" w:lineRule="exact"/>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客观分</w:t>
            </w:r>
          </w:p>
        </w:tc>
      </w:tr>
      <w:tr w14:paraId="48436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6" w:type="dxa"/>
            <w:vMerge w:val="continue"/>
            <w:tcMar>
              <w:top w:w="0" w:type="dxa"/>
              <w:left w:w="57" w:type="dxa"/>
              <w:bottom w:w="0" w:type="dxa"/>
              <w:right w:w="57" w:type="dxa"/>
            </w:tcMar>
            <w:vAlign w:val="center"/>
          </w:tcPr>
          <w:p w14:paraId="13B07C62">
            <w:pPr>
              <w:keepNext w:val="0"/>
              <w:keepLines w:val="0"/>
              <w:pageBreakBefore w:val="0"/>
              <w:widowControl w:val="0"/>
              <w:kinsoku/>
              <w:wordWrap/>
              <w:overflowPunct/>
              <w:topLinePunct w:val="0"/>
              <w:autoSpaceDE/>
              <w:autoSpaceDN/>
              <w:bidi w:val="0"/>
              <w:adjustRightInd w:val="0"/>
              <w:snapToGrid/>
              <w:spacing w:line="400" w:lineRule="exact"/>
              <w:ind w:firstLine="480"/>
              <w:jc w:val="center"/>
              <w:textAlignment w:val="auto"/>
              <w:rPr>
                <w:rFonts w:hint="eastAsia" w:ascii="宋体" w:hAnsi="宋体" w:eastAsia="宋体" w:cs="宋体"/>
                <w:color w:val="auto"/>
                <w:sz w:val="24"/>
                <w:szCs w:val="24"/>
                <w:highlight w:val="none"/>
              </w:rPr>
            </w:pPr>
          </w:p>
        </w:tc>
        <w:tc>
          <w:tcPr>
            <w:tcW w:w="1473" w:type="dxa"/>
            <w:gridSpan w:val="2"/>
            <w:vMerge w:val="continue"/>
            <w:tcMar>
              <w:top w:w="0" w:type="dxa"/>
              <w:left w:w="57" w:type="dxa"/>
              <w:bottom w:w="0" w:type="dxa"/>
              <w:right w:w="57" w:type="dxa"/>
            </w:tcMar>
            <w:vAlign w:val="center"/>
          </w:tcPr>
          <w:p w14:paraId="12EE4978">
            <w:pPr>
              <w:keepNext w:val="0"/>
              <w:keepLines w:val="0"/>
              <w:pageBreakBefore w:val="0"/>
              <w:widowControl w:val="0"/>
              <w:shd w:val="clear"/>
              <w:kinsoku/>
              <w:wordWrap/>
              <w:overflowPunct/>
              <w:topLinePunct w:val="0"/>
              <w:autoSpaceDE/>
              <w:autoSpaceDN/>
              <w:bidi w:val="0"/>
              <w:adjustRightInd w:val="0"/>
              <w:snapToGrid/>
              <w:spacing w:line="400" w:lineRule="exact"/>
              <w:ind w:firstLine="0" w:firstLineChars="0"/>
              <w:jc w:val="center"/>
              <w:textAlignment w:val="auto"/>
              <w:rPr>
                <w:rFonts w:hint="eastAsia" w:ascii="宋体" w:hAnsi="宋体" w:eastAsia="宋体" w:cs="宋体"/>
                <w:color w:val="auto"/>
                <w:sz w:val="24"/>
                <w:szCs w:val="24"/>
                <w:highlight w:val="none"/>
              </w:rPr>
            </w:pPr>
          </w:p>
        </w:tc>
        <w:tc>
          <w:tcPr>
            <w:tcW w:w="5753" w:type="dxa"/>
            <w:shd w:val="clear" w:color="auto" w:fill="auto"/>
            <w:tcMar>
              <w:top w:w="0" w:type="dxa"/>
              <w:left w:w="57" w:type="dxa"/>
              <w:bottom w:w="0" w:type="dxa"/>
              <w:right w:w="57" w:type="dxa"/>
            </w:tcMar>
            <w:vAlign w:val="center"/>
          </w:tcPr>
          <w:p w14:paraId="5396397A">
            <w:pPr>
              <w:keepNext w:val="0"/>
              <w:keepLines w:val="0"/>
              <w:pageBreakBefore w:val="0"/>
              <w:widowControl w:val="0"/>
              <w:shd w:val="clear"/>
              <w:kinsoku/>
              <w:wordWrap/>
              <w:overflowPunct/>
              <w:topLinePunct w:val="0"/>
              <w:autoSpaceDE/>
              <w:autoSpaceDN/>
              <w:bidi w:val="0"/>
              <w:adjustRightInd w:val="0"/>
              <w:snapToGrid/>
              <w:spacing w:line="400" w:lineRule="exact"/>
              <w:ind w:firstLine="480" w:firstLineChars="200"/>
              <w:jc w:val="left"/>
              <w:textAlignment w:val="auto"/>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（3）电工：具备2年以上相关的工作经验，得1分。</w:t>
            </w:r>
            <w:r>
              <w:rPr>
                <w:rFonts w:hint="eastAsia" w:ascii="宋体" w:hAnsi="宋体" w:cs="宋体"/>
                <w:b w:val="0"/>
                <w:bCs w:val="0"/>
                <w:color w:val="auto"/>
                <w:kern w:val="2"/>
                <w:sz w:val="24"/>
                <w:szCs w:val="24"/>
                <w:highlight w:val="none"/>
                <w:vertAlign w:val="baseline"/>
                <w:lang w:val="en-US" w:eastAsia="zh-CN" w:bidi="ar-SA"/>
              </w:rPr>
              <w:t>人员</w:t>
            </w:r>
            <w:r>
              <w:rPr>
                <w:rFonts w:hint="eastAsia" w:ascii="宋体" w:hAnsi="宋体" w:eastAsia="宋体" w:cs="宋体"/>
                <w:b w:val="0"/>
                <w:bCs w:val="0"/>
                <w:color w:val="auto"/>
                <w:kern w:val="2"/>
                <w:sz w:val="24"/>
                <w:szCs w:val="24"/>
                <w:highlight w:val="none"/>
                <w:vertAlign w:val="baseline"/>
                <w:lang w:val="en-US" w:eastAsia="zh-CN" w:bidi="ar-SA"/>
              </w:rPr>
              <w:t>持</w:t>
            </w:r>
            <w:r>
              <w:rPr>
                <w:rFonts w:hint="eastAsia" w:ascii="宋体" w:hAnsi="宋体" w:cs="宋体"/>
                <w:b w:val="0"/>
                <w:bCs w:val="0"/>
                <w:color w:val="auto"/>
                <w:kern w:val="2"/>
                <w:sz w:val="24"/>
                <w:szCs w:val="24"/>
                <w:highlight w:val="none"/>
                <w:vertAlign w:val="baseline"/>
                <w:lang w:val="en-US" w:eastAsia="zh-CN" w:bidi="ar-SA"/>
              </w:rPr>
              <w:t>有应急管理部门颁发的低压电工特种作业操作</w:t>
            </w:r>
            <w:r>
              <w:rPr>
                <w:rFonts w:hint="eastAsia" w:ascii="宋体" w:hAnsi="宋体" w:eastAsia="宋体" w:cs="宋体"/>
                <w:b w:val="0"/>
                <w:bCs w:val="0"/>
                <w:color w:val="auto"/>
                <w:kern w:val="2"/>
                <w:sz w:val="24"/>
                <w:szCs w:val="24"/>
                <w:highlight w:val="none"/>
                <w:vertAlign w:val="baseline"/>
                <w:lang w:val="en-US" w:eastAsia="zh-CN" w:bidi="ar-SA"/>
              </w:rPr>
              <w:t>证</w:t>
            </w:r>
            <w:r>
              <w:rPr>
                <w:rFonts w:hint="eastAsia" w:ascii="宋体" w:hAnsi="宋体" w:cs="宋体"/>
                <w:b w:val="0"/>
                <w:bCs w:val="0"/>
                <w:color w:val="auto"/>
                <w:kern w:val="2"/>
                <w:sz w:val="24"/>
                <w:szCs w:val="24"/>
                <w:highlight w:val="none"/>
                <w:vertAlign w:val="baseline"/>
                <w:lang w:val="en-US" w:eastAsia="zh-CN" w:bidi="ar-SA"/>
              </w:rPr>
              <w:t>，得2分</w:t>
            </w:r>
            <w:r>
              <w:rPr>
                <w:rFonts w:hint="eastAsia" w:ascii="宋体" w:hAnsi="宋体" w:eastAsia="宋体" w:cs="宋体"/>
                <w:b w:val="0"/>
                <w:bCs w:val="0"/>
                <w:color w:val="auto"/>
                <w:kern w:val="2"/>
                <w:sz w:val="24"/>
                <w:szCs w:val="24"/>
                <w:highlight w:val="none"/>
                <w:vertAlign w:val="baseline"/>
                <w:lang w:val="en-US" w:eastAsia="zh-CN" w:bidi="ar-SA"/>
              </w:rPr>
              <w:t>。</w:t>
            </w:r>
            <w:r>
              <w:rPr>
                <w:rFonts w:hint="eastAsia" w:ascii="宋体" w:hAnsi="宋体" w:cs="宋体"/>
                <w:b w:val="0"/>
                <w:bCs w:val="0"/>
                <w:color w:val="auto"/>
                <w:kern w:val="2"/>
                <w:sz w:val="24"/>
                <w:szCs w:val="24"/>
                <w:highlight w:val="none"/>
                <w:vertAlign w:val="baseline"/>
                <w:lang w:val="en-US" w:eastAsia="zh-CN" w:bidi="ar-SA"/>
              </w:rPr>
              <w:t>本项满分3分。</w:t>
            </w:r>
          </w:p>
          <w:p w14:paraId="10AB469E">
            <w:pPr>
              <w:keepNext w:val="0"/>
              <w:keepLines w:val="0"/>
              <w:pageBreakBefore w:val="0"/>
              <w:widowControl w:val="0"/>
              <w:shd w:val="clear"/>
              <w:kinsoku/>
              <w:wordWrap/>
              <w:overflowPunct/>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注：以上人员需提供</w:t>
            </w:r>
            <w:r>
              <w:rPr>
                <w:rFonts w:hint="eastAsia" w:ascii="宋体" w:hAnsi="宋体" w:cs="宋体"/>
                <w:b w:val="0"/>
                <w:bCs w:val="0"/>
                <w:color w:val="auto"/>
                <w:kern w:val="2"/>
                <w:sz w:val="24"/>
                <w:szCs w:val="24"/>
                <w:highlight w:val="none"/>
                <w:vertAlign w:val="baseline"/>
                <w:lang w:val="en-US" w:eastAsia="zh-CN" w:bidi="ar-SA"/>
              </w:rPr>
              <w:t>劳动合同、</w:t>
            </w:r>
            <w:r>
              <w:rPr>
                <w:rFonts w:hint="eastAsia" w:ascii="宋体" w:hAnsi="宋体" w:eastAsia="宋体" w:cs="宋体"/>
                <w:b w:val="0"/>
                <w:bCs w:val="0"/>
                <w:color w:val="auto"/>
                <w:kern w:val="2"/>
                <w:sz w:val="24"/>
                <w:szCs w:val="24"/>
                <w:highlight w:val="none"/>
                <w:vertAlign w:val="baseline"/>
                <w:lang w:val="en-US" w:eastAsia="zh-CN" w:bidi="ar-SA"/>
              </w:rPr>
              <w:t>2026年1月以来至少一个月依法缴纳社保的证明，</w:t>
            </w:r>
            <w:r>
              <w:rPr>
                <w:rFonts w:hint="eastAsia" w:ascii="宋体" w:hAnsi="宋体" w:cs="宋体"/>
                <w:b w:val="0"/>
                <w:bCs w:val="0"/>
                <w:color w:val="auto"/>
                <w:kern w:val="2"/>
                <w:sz w:val="24"/>
                <w:szCs w:val="24"/>
                <w:highlight w:val="none"/>
                <w:vertAlign w:val="baseline"/>
                <w:lang w:val="en-US" w:eastAsia="zh-CN" w:bidi="ar-SA"/>
              </w:rPr>
              <w:t>证书复印件、网上查询截图佐证，证书不在有效期内的视为无效</w:t>
            </w:r>
            <w:r>
              <w:rPr>
                <w:rFonts w:hint="eastAsia" w:ascii="宋体" w:hAnsi="宋体" w:eastAsia="宋体" w:cs="宋体"/>
                <w:b w:val="0"/>
                <w:bCs w:val="0"/>
                <w:color w:val="auto"/>
                <w:kern w:val="2"/>
                <w:sz w:val="24"/>
                <w:szCs w:val="24"/>
                <w:highlight w:val="none"/>
                <w:vertAlign w:val="baseline"/>
                <w:lang w:val="en-US" w:eastAsia="zh-CN" w:bidi="ar-SA"/>
              </w:rPr>
              <w:t>。未提供不计分。</w:t>
            </w:r>
          </w:p>
        </w:tc>
        <w:tc>
          <w:tcPr>
            <w:tcW w:w="878" w:type="dxa"/>
            <w:shd w:val="clear" w:color="auto" w:fill="auto"/>
            <w:tcMar>
              <w:top w:w="0" w:type="dxa"/>
              <w:left w:w="57" w:type="dxa"/>
              <w:bottom w:w="0" w:type="dxa"/>
              <w:right w:w="57" w:type="dxa"/>
            </w:tcMar>
            <w:vAlign w:val="center"/>
          </w:tcPr>
          <w:p w14:paraId="4F8E6450">
            <w:pPr>
              <w:keepNext w:val="0"/>
              <w:keepLines w:val="0"/>
              <w:pageBreakBefore w:val="0"/>
              <w:widowControl w:val="0"/>
              <w:shd w:val="clear"/>
              <w:kinsoku/>
              <w:wordWrap/>
              <w:overflowPunct/>
              <w:topLinePunct w:val="0"/>
              <w:autoSpaceDE/>
              <w:autoSpaceDN/>
              <w:bidi w:val="0"/>
              <w:adjustRightInd w:val="0"/>
              <w:snapToGrid/>
              <w:spacing w:line="400" w:lineRule="exact"/>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3</w:t>
            </w:r>
            <w:r>
              <w:rPr>
                <w:rFonts w:hint="eastAsia" w:ascii="宋体" w:hAnsi="宋体" w:eastAsia="宋体" w:cs="宋体"/>
                <w:color w:val="auto"/>
                <w:sz w:val="24"/>
                <w:szCs w:val="24"/>
                <w:highlight w:val="none"/>
                <w:vertAlign w:val="baseline"/>
                <w:lang w:val="en-US" w:eastAsia="zh-CN"/>
              </w:rPr>
              <w:t>分</w:t>
            </w:r>
          </w:p>
        </w:tc>
        <w:tc>
          <w:tcPr>
            <w:tcW w:w="1270" w:type="dxa"/>
            <w:shd w:val="clear" w:color="auto" w:fill="auto"/>
            <w:tcMar>
              <w:top w:w="0" w:type="dxa"/>
              <w:left w:w="57" w:type="dxa"/>
              <w:bottom w:w="0" w:type="dxa"/>
              <w:right w:w="57" w:type="dxa"/>
            </w:tcMar>
            <w:vAlign w:val="center"/>
          </w:tcPr>
          <w:p w14:paraId="4F8B45DB">
            <w:pPr>
              <w:keepNext w:val="0"/>
              <w:keepLines w:val="0"/>
              <w:pageBreakBefore w:val="0"/>
              <w:widowControl w:val="0"/>
              <w:shd w:val="clear"/>
              <w:kinsoku/>
              <w:wordWrap/>
              <w:overflowPunct/>
              <w:topLinePunct w:val="0"/>
              <w:autoSpaceDE/>
              <w:autoSpaceDN/>
              <w:bidi w:val="0"/>
              <w:adjustRightInd w:val="0"/>
              <w:snapToGrid/>
              <w:spacing w:line="400" w:lineRule="exact"/>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客观分</w:t>
            </w:r>
          </w:p>
        </w:tc>
      </w:tr>
      <w:tr w14:paraId="0E3B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6" w:type="dxa"/>
            <w:vMerge w:val="continue"/>
            <w:tcMar>
              <w:top w:w="0" w:type="dxa"/>
              <w:left w:w="57" w:type="dxa"/>
              <w:bottom w:w="0" w:type="dxa"/>
              <w:right w:w="57" w:type="dxa"/>
            </w:tcMar>
            <w:vAlign w:val="center"/>
          </w:tcPr>
          <w:p w14:paraId="4A647BBF">
            <w:pPr>
              <w:keepNext w:val="0"/>
              <w:keepLines w:val="0"/>
              <w:pageBreakBefore w:val="0"/>
              <w:widowControl w:val="0"/>
              <w:kinsoku/>
              <w:wordWrap/>
              <w:overflowPunct/>
              <w:topLinePunct w:val="0"/>
              <w:autoSpaceDE/>
              <w:autoSpaceDN/>
              <w:bidi w:val="0"/>
              <w:adjustRightInd w:val="0"/>
              <w:snapToGrid/>
              <w:spacing w:line="400" w:lineRule="exact"/>
              <w:ind w:firstLine="480"/>
              <w:jc w:val="center"/>
              <w:textAlignment w:val="auto"/>
              <w:rPr>
                <w:rFonts w:hint="eastAsia" w:ascii="宋体" w:hAnsi="宋体" w:eastAsia="宋体" w:cs="宋体"/>
                <w:color w:val="auto"/>
                <w:sz w:val="24"/>
                <w:szCs w:val="24"/>
                <w:highlight w:val="none"/>
              </w:rPr>
            </w:pPr>
          </w:p>
        </w:tc>
        <w:tc>
          <w:tcPr>
            <w:tcW w:w="1473" w:type="dxa"/>
            <w:gridSpan w:val="2"/>
            <w:vMerge w:val="continue"/>
            <w:tcMar>
              <w:top w:w="0" w:type="dxa"/>
              <w:left w:w="57" w:type="dxa"/>
              <w:bottom w:w="0" w:type="dxa"/>
              <w:right w:w="57" w:type="dxa"/>
            </w:tcMar>
            <w:vAlign w:val="center"/>
          </w:tcPr>
          <w:p w14:paraId="713736D5">
            <w:pPr>
              <w:keepNext w:val="0"/>
              <w:keepLines w:val="0"/>
              <w:pageBreakBefore w:val="0"/>
              <w:widowControl w:val="0"/>
              <w:shd w:val="clear"/>
              <w:kinsoku/>
              <w:wordWrap/>
              <w:overflowPunct/>
              <w:topLinePunct w:val="0"/>
              <w:autoSpaceDE/>
              <w:autoSpaceDN/>
              <w:bidi w:val="0"/>
              <w:adjustRightInd w:val="0"/>
              <w:snapToGrid/>
              <w:spacing w:line="400" w:lineRule="exact"/>
              <w:ind w:firstLine="0" w:firstLineChars="0"/>
              <w:jc w:val="center"/>
              <w:textAlignment w:val="auto"/>
              <w:rPr>
                <w:rFonts w:hint="eastAsia" w:ascii="宋体" w:hAnsi="宋体" w:eastAsia="宋体" w:cs="宋体"/>
                <w:color w:val="auto"/>
                <w:sz w:val="24"/>
                <w:szCs w:val="24"/>
                <w:highlight w:val="none"/>
              </w:rPr>
            </w:pPr>
          </w:p>
        </w:tc>
        <w:tc>
          <w:tcPr>
            <w:tcW w:w="5753" w:type="dxa"/>
            <w:shd w:val="clear" w:color="auto" w:fill="auto"/>
            <w:tcMar>
              <w:top w:w="0" w:type="dxa"/>
              <w:left w:w="57" w:type="dxa"/>
              <w:bottom w:w="0" w:type="dxa"/>
              <w:right w:w="57" w:type="dxa"/>
            </w:tcMar>
            <w:vAlign w:val="center"/>
          </w:tcPr>
          <w:p w14:paraId="23FA4D9D">
            <w:pPr>
              <w:keepNext w:val="0"/>
              <w:keepLines w:val="0"/>
              <w:pageBreakBefore w:val="0"/>
              <w:widowControl w:val="0"/>
              <w:shd w:val="clear"/>
              <w:kinsoku/>
              <w:wordWrap/>
              <w:overflowPunct/>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（5）投入人员中具有大专学历的，每人得0.2分。本科及以上学历的，每人得0.5分。需提供相关</w:t>
            </w:r>
            <w:r>
              <w:rPr>
                <w:rFonts w:hint="eastAsia" w:ascii="宋体" w:hAnsi="宋体" w:cs="宋体"/>
                <w:b w:val="0"/>
                <w:bCs w:val="0"/>
                <w:color w:val="auto"/>
                <w:kern w:val="2"/>
                <w:sz w:val="24"/>
                <w:szCs w:val="24"/>
                <w:highlight w:val="none"/>
                <w:vertAlign w:val="baseline"/>
                <w:lang w:val="en-US" w:eastAsia="zh-CN" w:bidi="ar-SA"/>
              </w:rPr>
              <w:t>学历</w:t>
            </w:r>
            <w:r>
              <w:rPr>
                <w:rFonts w:hint="eastAsia" w:ascii="宋体" w:hAnsi="宋体" w:eastAsia="宋体" w:cs="宋体"/>
                <w:b w:val="0"/>
                <w:bCs w:val="0"/>
                <w:color w:val="auto"/>
                <w:kern w:val="2"/>
                <w:sz w:val="24"/>
                <w:szCs w:val="24"/>
                <w:highlight w:val="none"/>
                <w:vertAlign w:val="baseline"/>
                <w:lang w:val="en-US" w:eastAsia="zh-CN" w:bidi="ar-SA"/>
              </w:rPr>
              <w:t>证书复印件。满分1分。</w:t>
            </w:r>
          </w:p>
          <w:p w14:paraId="174BDEFF">
            <w:pPr>
              <w:keepNext w:val="0"/>
              <w:keepLines w:val="0"/>
              <w:pageBreakBefore w:val="0"/>
              <w:widowControl w:val="0"/>
              <w:shd w:val="clear"/>
              <w:kinsoku/>
              <w:wordWrap/>
              <w:overflowPunct/>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注：以上人员需提供2026年1月以来至少一个月依法缴纳社保的证明，未提供者不计分。</w:t>
            </w:r>
          </w:p>
        </w:tc>
        <w:tc>
          <w:tcPr>
            <w:tcW w:w="878" w:type="dxa"/>
            <w:shd w:val="clear" w:color="auto" w:fill="auto"/>
            <w:tcMar>
              <w:top w:w="0" w:type="dxa"/>
              <w:left w:w="57" w:type="dxa"/>
              <w:bottom w:w="0" w:type="dxa"/>
              <w:right w:w="57" w:type="dxa"/>
            </w:tcMar>
            <w:vAlign w:val="center"/>
          </w:tcPr>
          <w:p w14:paraId="16CE357D">
            <w:pPr>
              <w:keepNext w:val="0"/>
              <w:keepLines w:val="0"/>
              <w:pageBreakBefore w:val="0"/>
              <w:widowControl w:val="0"/>
              <w:shd w:val="clear"/>
              <w:kinsoku/>
              <w:wordWrap/>
              <w:overflowPunct/>
              <w:topLinePunct w:val="0"/>
              <w:autoSpaceDE/>
              <w:autoSpaceDN/>
              <w:bidi w:val="0"/>
              <w:adjustRightInd w:val="0"/>
              <w:snapToGrid/>
              <w:spacing w:line="400" w:lineRule="exact"/>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1分</w:t>
            </w:r>
          </w:p>
        </w:tc>
        <w:tc>
          <w:tcPr>
            <w:tcW w:w="1270" w:type="dxa"/>
            <w:shd w:val="clear" w:color="auto" w:fill="auto"/>
            <w:tcMar>
              <w:top w:w="0" w:type="dxa"/>
              <w:left w:w="57" w:type="dxa"/>
              <w:bottom w:w="0" w:type="dxa"/>
              <w:right w:w="57" w:type="dxa"/>
            </w:tcMar>
            <w:vAlign w:val="center"/>
          </w:tcPr>
          <w:p w14:paraId="582F7661">
            <w:pPr>
              <w:keepNext w:val="0"/>
              <w:keepLines w:val="0"/>
              <w:pageBreakBefore w:val="0"/>
              <w:widowControl w:val="0"/>
              <w:shd w:val="clear"/>
              <w:kinsoku/>
              <w:wordWrap/>
              <w:overflowPunct/>
              <w:topLinePunct w:val="0"/>
              <w:autoSpaceDE/>
              <w:autoSpaceDN/>
              <w:bidi w:val="0"/>
              <w:adjustRightInd w:val="0"/>
              <w:snapToGrid/>
              <w:spacing w:line="400" w:lineRule="exact"/>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客观分</w:t>
            </w:r>
          </w:p>
        </w:tc>
      </w:tr>
      <w:tr w14:paraId="4659C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6" w:type="dxa"/>
            <w:tcMar>
              <w:top w:w="0" w:type="dxa"/>
              <w:left w:w="57" w:type="dxa"/>
              <w:bottom w:w="0" w:type="dxa"/>
              <w:right w:w="57" w:type="dxa"/>
            </w:tcMar>
            <w:vAlign w:val="center"/>
          </w:tcPr>
          <w:p w14:paraId="7FE808D6">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1473" w:type="dxa"/>
            <w:gridSpan w:val="2"/>
            <w:tcMar>
              <w:top w:w="0" w:type="dxa"/>
              <w:left w:w="57" w:type="dxa"/>
              <w:bottom w:w="0" w:type="dxa"/>
              <w:right w:w="57" w:type="dxa"/>
            </w:tcMar>
            <w:vAlign w:val="center"/>
          </w:tcPr>
          <w:p w14:paraId="5E76E66D">
            <w:pPr>
              <w:keepNext w:val="0"/>
              <w:keepLines w:val="0"/>
              <w:pageBreakBefore w:val="0"/>
              <w:widowControl w:val="0"/>
              <w:shd w:val="clear"/>
              <w:kinsoku/>
              <w:wordWrap/>
              <w:overflowPunct/>
              <w:topLinePunct w:val="0"/>
              <w:autoSpaceDE/>
              <w:autoSpaceDN/>
              <w:bidi w:val="0"/>
              <w:adjustRightInd w:val="0"/>
              <w:snapToGrid/>
              <w:spacing w:line="400" w:lineRule="exact"/>
              <w:ind w:firstLine="0" w:firstLineChars="0"/>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人员风险保障配置</w:t>
            </w:r>
          </w:p>
          <w:p w14:paraId="20F30D85">
            <w:pPr>
              <w:pStyle w:val="2"/>
              <w:ind w:left="0" w:leftChars="0" w:firstLine="0" w:firstLineChars="0"/>
              <w:rPr>
                <w:rFonts w:hint="eastAsia"/>
                <w:highlight w:val="none"/>
              </w:rPr>
            </w:pPr>
            <w:r>
              <w:rPr>
                <w:rFonts w:hint="eastAsia" w:ascii="宋体" w:hAnsi="宋体" w:cs="宋体"/>
                <w:b w:val="0"/>
                <w:bCs w:val="0"/>
                <w:color w:val="auto"/>
                <w:sz w:val="24"/>
                <w:szCs w:val="24"/>
                <w:highlight w:val="none"/>
                <w:vertAlign w:val="baseline"/>
                <w:lang w:val="en-US" w:eastAsia="zh-CN"/>
              </w:rPr>
              <w:t>（满分</w:t>
            </w:r>
            <w:r>
              <w:rPr>
                <w:rFonts w:hint="eastAsia" w:hAnsi="宋体" w:cs="宋体"/>
                <w:b w:val="0"/>
                <w:bCs w:val="0"/>
                <w:color w:val="auto"/>
                <w:sz w:val="24"/>
                <w:szCs w:val="24"/>
                <w:highlight w:val="none"/>
                <w:vertAlign w:val="baseline"/>
                <w:lang w:val="en-US" w:eastAsia="zh-CN"/>
              </w:rPr>
              <w:t>5</w:t>
            </w:r>
            <w:r>
              <w:rPr>
                <w:rFonts w:hint="eastAsia" w:ascii="宋体" w:hAnsi="宋体" w:cs="宋体"/>
                <w:b w:val="0"/>
                <w:bCs w:val="0"/>
                <w:color w:val="auto"/>
                <w:sz w:val="24"/>
                <w:szCs w:val="24"/>
                <w:highlight w:val="none"/>
                <w:vertAlign w:val="baseline"/>
                <w:lang w:val="en-US" w:eastAsia="zh-CN"/>
              </w:rPr>
              <w:t>分）</w:t>
            </w:r>
          </w:p>
        </w:tc>
        <w:tc>
          <w:tcPr>
            <w:tcW w:w="5753" w:type="dxa"/>
            <w:shd w:val="clear" w:color="auto" w:fill="auto"/>
            <w:tcMar>
              <w:top w:w="0" w:type="dxa"/>
              <w:left w:w="57" w:type="dxa"/>
              <w:bottom w:w="0" w:type="dxa"/>
              <w:right w:w="57" w:type="dxa"/>
            </w:tcMar>
            <w:vAlign w:val="center"/>
          </w:tcPr>
          <w:p w14:paraId="320D18CC">
            <w:pPr>
              <w:keepNext w:val="0"/>
              <w:keepLines w:val="0"/>
              <w:pageBreakBefore w:val="0"/>
              <w:widowControl w:val="0"/>
              <w:shd w:val="clear"/>
              <w:kinsoku/>
              <w:wordWrap/>
              <w:overflowPunct/>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1.供应商承诺为本项目派驻全体物业服务人员统一投保雇主责任险，身故伤残责任保额不低于20万元/人、医疗费用责任保额不低于2万元/人，满足基础要求得1分，满分1分。</w:t>
            </w:r>
          </w:p>
          <w:p w14:paraId="735DF4D5">
            <w:pPr>
              <w:keepNext w:val="0"/>
              <w:keepLines w:val="0"/>
              <w:pageBreakBefore w:val="0"/>
              <w:widowControl w:val="0"/>
              <w:shd w:val="clear"/>
              <w:kinsoku/>
              <w:wordWrap/>
              <w:overflowPunct/>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2.在上述最低保额基础上，身故伤残责任保额每增加20万元/人，加1分，本项累计加分最高4分，保额超过100万元/人不再额外加分。</w:t>
            </w:r>
          </w:p>
          <w:p w14:paraId="0356BF86">
            <w:pPr>
              <w:keepNext w:val="0"/>
              <w:keepLines w:val="0"/>
              <w:pageBreakBefore w:val="0"/>
              <w:widowControl w:val="0"/>
              <w:shd w:val="clear"/>
              <w:kinsoku/>
              <w:wordWrap/>
              <w:overflowPunct/>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val="0"/>
                <w:bCs w:val="0"/>
                <w:color w:val="auto"/>
                <w:kern w:val="2"/>
                <w:sz w:val="24"/>
                <w:szCs w:val="24"/>
                <w:highlight w:val="none"/>
                <w:vertAlign w:val="baseline"/>
                <w:lang w:val="en-US" w:eastAsia="zh-CN" w:bidi="ar-SA"/>
              </w:rPr>
              <w:t>注：投标文件中须附承保承诺函</w:t>
            </w:r>
            <w:r>
              <w:rPr>
                <w:rFonts w:hint="eastAsia" w:ascii="宋体" w:hAnsi="宋体" w:cs="宋体"/>
                <w:b w:val="0"/>
                <w:bCs w:val="0"/>
                <w:color w:val="auto"/>
                <w:kern w:val="2"/>
                <w:sz w:val="24"/>
                <w:szCs w:val="24"/>
                <w:highlight w:val="none"/>
                <w:vertAlign w:val="baseline"/>
                <w:lang w:val="en-US" w:eastAsia="zh-CN" w:bidi="ar-SA"/>
              </w:rPr>
              <w:t>（格式自拟）</w:t>
            </w:r>
            <w:r>
              <w:rPr>
                <w:rFonts w:hint="eastAsia" w:ascii="宋体" w:hAnsi="宋体" w:eastAsia="宋体" w:cs="宋体"/>
                <w:b w:val="0"/>
                <w:bCs w:val="0"/>
                <w:color w:val="auto"/>
                <w:kern w:val="2"/>
                <w:sz w:val="24"/>
                <w:szCs w:val="24"/>
                <w:highlight w:val="none"/>
                <w:vertAlign w:val="baseline"/>
                <w:lang w:val="en-US" w:eastAsia="zh-CN" w:bidi="ar-SA"/>
              </w:rPr>
              <w:t>，未提供的，本项不予计分。中标后供应商须向采购人提供《雇主责任险》合同复印件或保单、购买保险发票等复印件并加盖单位公章，提供原件核查，否则按虚假应标处理。</w:t>
            </w:r>
          </w:p>
        </w:tc>
        <w:tc>
          <w:tcPr>
            <w:tcW w:w="878" w:type="dxa"/>
            <w:shd w:val="clear" w:color="auto" w:fill="auto"/>
            <w:tcMar>
              <w:top w:w="0" w:type="dxa"/>
              <w:left w:w="57" w:type="dxa"/>
              <w:bottom w:w="0" w:type="dxa"/>
              <w:right w:w="57" w:type="dxa"/>
            </w:tcMar>
            <w:vAlign w:val="center"/>
          </w:tcPr>
          <w:p w14:paraId="4649FAF0">
            <w:pPr>
              <w:keepNext w:val="0"/>
              <w:keepLines w:val="0"/>
              <w:pageBreakBefore w:val="0"/>
              <w:widowControl w:val="0"/>
              <w:shd w:val="clear"/>
              <w:kinsoku/>
              <w:wordWrap/>
              <w:overflowPunct/>
              <w:topLinePunct w:val="0"/>
              <w:autoSpaceDE/>
              <w:autoSpaceDN/>
              <w:bidi w:val="0"/>
              <w:adjustRightInd w:val="0"/>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vertAlign w:val="baseline"/>
                <w:lang w:val="en-US" w:eastAsia="zh-CN"/>
              </w:rPr>
              <w:t>5分</w:t>
            </w:r>
          </w:p>
        </w:tc>
        <w:tc>
          <w:tcPr>
            <w:tcW w:w="1270" w:type="dxa"/>
            <w:shd w:val="clear" w:color="auto" w:fill="auto"/>
            <w:tcMar>
              <w:top w:w="0" w:type="dxa"/>
              <w:left w:w="57" w:type="dxa"/>
              <w:bottom w:w="0" w:type="dxa"/>
              <w:right w:w="57" w:type="dxa"/>
            </w:tcMar>
            <w:vAlign w:val="center"/>
          </w:tcPr>
          <w:p w14:paraId="3C0DA463">
            <w:pPr>
              <w:keepNext w:val="0"/>
              <w:keepLines w:val="0"/>
              <w:pageBreakBefore w:val="0"/>
              <w:widowControl w:val="0"/>
              <w:shd w:val="clear"/>
              <w:kinsoku/>
              <w:wordWrap/>
              <w:overflowPunct/>
              <w:topLinePunct w:val="0"/>
              <w:autoSpaceDE/>
              <w:autoSpaceDN/>
              <w:bidi w:val="0"/>
              <w:adjustRightInd w:val="0"/>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vertAlign w:val="baseline"/>
                <w:lang w:val="en-US" w:eastAsia="zh-CN"/>
              </w:rPr>
              <w:t>客观分</w:t>
            </w:r>
          </w:p>
        </w:tc>
      </w:tr>
      <w:tr w14:paraId="32CD8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6" w:type="dxa"/>
            <w:tcMar>
              <w:top w:w="0" w:type="dxa"/>
              <w:left w:w="57" w:type="dxa"/>
              <w:bottom w:w="0" w:type="dxa"/>
              <w:right w:w="57" w:type="dxa"/>
            </w:tcMar>
            <w:vAlign w:val="center"/>
          </w:tcPr>
          <w:p w14:paraId="7751EA1D">
            <w:pPr>
              <w:keepNext w:val="0"/>
              <w:keepLines w:val="0"/>
              <w:pageBreakBefore w:val="0"/>
              <w:widowControl w:val="0"/>
              <w:shd w:val="clear"/>
              <w:kinsoku/>
              <w:wordWrap/>
              <w:overflowPunct/>
              <w:topLinePunct w:val="0"/>
              <w:autoSpaceDE/>
              <w:autoSpaceDN/>
              <w:bidi w:val="0"/>
              <w:adjustRightInd w:val="0"/>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vertAlign w:val="baseline"/>
                <w:lang w:val="en-US" w:eastAsia="zh-CN"/>
              </w:rPr>
              <w:t>3.3</w:t>
            </w:r>
          </w:p>
        </w:tc>
        <w:tc>
          <w:tcPr>
            <w:tcW w:w="1473" w:type="dxa"/>
            <w:gridSpan w:val="2"/>
            <w:tcMar>
              <w:top w:w="0" w:type="dxa"/>
              <w:left w:w="57" w:type="dxa"/>
              <w:bottom w:w="0" w:type="dxa"/>
              <w:right w:w="57" w:type="dxa"/>
            </w:tcMar>
            <w:vAlign w:val="center"/>
          </w:tcPr>
          <w:p w14:paraId="45F578B9">
            <w:pPr>
              <w:keepNext w:val="0"/>
              <w:keepLines w:val="0"/>
              <w:pageBreakBefore w:val="0"/>
              <w:widowControl w:val="0"/>
              <w:shd w:val="clear"/>
              <w:kinsoku/>
              <w:wordWrap/>
              <w:overflowPunct/>
              <w:topLinePunct w:val="0"/>
              <w:autoSpaceDE/>
              <w:autoSpaceDN/>
              <w:bidi w:val="0"/>
              <w:adjustRightInd w:val="0"/>
              <w:snapToGrid/>
              <w:spacing w:line="400" w:lineRule="exact"/>
              <w:ind w:firstLine="0" w:firstLineChars="0"/>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业绩分</w:t>
            </w:r>
          </w:p>
          <w:p w14:paraId="012EC181">
            <w:pPr>
              <w:keepNext w:val="0"/>
              <w:keepLines w:val="0"/>
              <w:pageBreakBefore w:val="0"/>
              <w:widowControl w:val="0"/>
              <w:shd w:val="clear"/>
              <w:kinsoku/>
              <w:wordWrap/>
              <w:overflowPunct/>
              <w:topLinePunct w:val="0"/>
              <w:autoSpaceDE/>
              <w:autoSpaceDN/>
              <w:bidi w:val="0"/>
              <w:adjustRightInd w:val="0"/>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cs="宋体"/>
                <w:b w:val="0"/>
                <w:bCs w:val="0"/>
                <w:color w:val="auto"/>
                <w:sz w:val="24"/>
                <w:szCs w:val="24"/>
                <w:highlight w:val="none"/>
                <w:vertAlign w:val="baseline"/>
                <w:lang w:val="en-US" w:eastAsia="zh-CN"/>
              </w:rPr>
              <w:t>（满分10分）</w:t>
            </w:r>
          </w:p>
        </w:tc>
        <w:tc>
          <w:tcPr>
            <w:tcW w:w="5753" w:type="dxa"/>
            <w:shd w:val="clear" w:color="auto" w:fill="auto"/>
            <w:tcMar>
              <w:top w:w="0" w:type="dxa"/>
              <w:left w:w="57" w:type="dxa"/>
              <w:bottom w:w="0" w:type="dxa"/>
              <w:right w:w="57" w:type="dxa"/>
            </w:tcMar>
            <w:vAlign w:val="center"/>
          </w:tcPr>
          <w:p w14:paraId="3A51D410">
            <w:pPr>
              <w:keepNext w:val="0"/>
              <w:keepLines w:val="0"/>
              <w:pageBreakBefore w:val="0"/>
              <w:widowControl w:val="0"/>
              <w:shd w:val="clear"/>
              <w:kinsoku/>
              <w:wordWrap/>
              <w:overflowPunct/>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投标人2021年1月1日以来至投标文件递交截止时间前承接过的同类物业业绩（应</w:t>
            </w:r>
            <w:r>
              <w:rPr>
                <w:rFonts w:hint="eastAsia" w:ascii="宋体" w:hAnsi="宋体" w:cs="宋体"/>
                <w:b w:val="0"/>
                <w:bCs w:val="0"/>
                <w:color w:val="auto"/>
                <w:kern w:val="2"/>
                <w:sz w:val="24"/>
                <w:szCs w:val="24"/>
                <w:highlight w:val="none"/>
                <w:vertAlign w:val="baseline"/>
                <w:lang w:val="en-US" w:eastAsia="zh-CN" w:bidi="ar-SA"/>
              </w:rPr>
              <w:t>同时</w:t>
            </w:r>
            <w:r>
              <w:rPr>
                <w:rFonts w:hint="eastAsia" w:ascii="宋体" w:hAnsi="宋体" w:eastAsia="宋体" w:cs="宋体"/>
                <w:b w:val="0"/>
                <w:bCs w:val="0"/>
                <w:color w:val="auto"/>
                <w:kern w:val="2"/>
                <w:sz w:val="24"/>
                <w:szCs w:val="24"/>
                <w:highlight w:val="none"/>
                <w:vertAlign w:val="baseline"/>
                <w:lang w:val="en-US" w:eastAsia="zh-CN" w:bidi="ar-SA"/>
              </w:rPr>
              <w:t>包含保洁、设备维护</w:t>
            </w:r>
            <w:r>
              <w:rPr>
                <w:rFonts w:hint="eastAsia" w:ascii="宋体" w:hAnsi="宋体" w:cs="宋体"/>
                <w:b w:val="0"/>
                <w:bCs w:val="0"/>
                <w:color w:val="auto"/>
                <w:kern w:val="2"/>
                <w:sz w:val="24"/>
                <w:szCs w:val="24"/>
                <w:highlight w:val="none"/>
                <w:vertAlign w:val="baseline"/>
                <w:lang w:val="en-US" w:eastAsia="zh-CN" w:bidi="ar-SA"/>
              </w:rPr>
              <w:t>和</w:t>
            </w:r>
            <w:r>
              <w:rPr>
                <w:rFonts w:hint="eastAsia" w:ascii="宋体" w:hAnsi="宋体" w:eastAsia="宋体" w:cs="宋体"/>
                <w:b w:val="0"/>
                <w:bCs w:val="0"/>
                <w:color w:val="auto"/>
                <w:kern w:val="2"/>
                <w:sz w:val="24"/>
                <w:szCs w:val="24"/>
                <w:highlight w:val="none"/>
                <w:vertAlign w:val="baseline"/>
                <w:lang w:val="en-US" w:eastAsia="zh-CN" w:bidi="ar-SA"/>
              </w:rPr>
              <w:t>绿化服务内容），有1-10个得1分，有11-20个得3分，有20个或以上的得5分，满分5分（投标文件中提供合同（以合同或中标（成交）通知书复印件为准）。</w:t>
            </w:r>
          </w:p>
          <w:p w14:paraId="740D3645">
            <w:pPr>
              <w:keepNext w:val="0"/>
              <w:keepLines w:val="0"/>
              <w:pageBreakBefore w:val="0"/>
              <w:widowControl w:val="0"/>
              <w:shd w:val="clear"/>
              <w:kinsoku/>
              <w:wordWrap/>
              <w:overflowPunct/>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2.上述业绩的服务考核评价为优或者满意调查度为优的，每个得1分，满分5分（提供对应的同类</w:t>
            </w:r>
            <w:r>
              <w:rPr>
                <w:rFonts w:hint="eastAsia" w:ascii="宋体" w:hAnsi="宋体" w:cs="宋体"/>
                <w:b w:val="0"/>
                <w:bCs w:val="0"/>
                <w:color w:val="auto"/>
                <w:kern w:val="2"/>
                <w:sz w:val="24"/>
                <w:szCs w:val="24"/>
                <w:highlight w:val="none"/>
                <w:vertAlign w:val="baseline"/>
                <w:lang w:val="en-US" w:eastAsia="zh-CN" w:bidi="ar-SA"/>
              </w:rPr>
              <w:t>物业</w:t>
            </w:r>
            <w:r>
              <w:rPr>
                <w:rFonts w:hint="eastAsia" w:ascii="宋体" w:hAnsi="宋体" w:eastAsia="宋体" w:cs="宋体"/>
                <w:b w:val="0"/>
                <w:bCs w:val="0"/>
                <w:color w:val="auto"/>
                <w:kern w:val="2"/>
                <w:sz w:val="24"/>
                <w:szCs w:val="24"/>
                <w:highlight w:val="none"/>
                <w:vertAlign w:val="baseline"/>
                <w:lang w:val="en-US" w:eastAsia="zh-CN" w:bidi="ar-SA"/>
              </w:rPr>
              <w:t>项目考核评价表扫描件，否则不计分）。</w:t>
            </w:r>
          </w:p>
          <w:p w14:paraId="26642B36">
            <w:pPr>
              <w:keepNext w:val="0"/>
              <w:keepLines w:val="0"/>
              <w:pageBreakBefore w:val="0"/>
              <w:widowControl w:val="0"/>
              <w:shd w:val="clear"/>
              <w:kinsoku/>
              <w:wordWrap/>
              <w:overflowPunct/>
              <w:topLinePunct w:val="0"/>
              <w:autoSpaceDE/>
              <w:autoSpaceDN/>
              <w:bidi w:val="0"/>
              <w:adjustRightInd w:val="0"/>
              <w:snapToGrid/>
              <w:spacing w:line="400" w:lineRule="exact"/>
              <w:ind w:firstLine="482" w:firstLineChars="200"/>
              <w:jc w:val="left"/>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注：类似业绩指包括但不限于国家机关、事业单位和团体组织的物业管理服务项目业绩。</w:t>
            </w:r>
          </w:p>
        </w:tc>
        <w:tc>
          <w:tcPr>
            <w:tcW w:w="878" w:type="dxa"/>
            <w:shd w:val="clear" w:color="auto" w:fill="auto"/>
            <w:tcMar>
              <w:top w:w="0" w:type="dxa"/>
              <w:left w:w="57" w:type="dxa"/>
              <w:bottom w:w="0" w:type="dxa"/>
              <w:right w:w="57" w:type="dxa"/>
            </w:tcMar>
            <w:vAlign w:val="center"/>
          </w:tcPr>
          <w:p w14:paraId="7F32072D">
            <w:pPr>
              <w:keepNext w:val="0"/>
              <w:keepLines w:val="0"/>
              <w:pageBreakBefore w:val="0"/>
              <w:widowControl w:val="0"/>
              <w:shd w:val="clear"/>
              <w:kinsoku/>
              <w:wordWrap/>
              <w:overflowPunct/>
              <w:topLinePunct w:val="0"/>
              <w:autoSpaceDE/>
              <w:autoSpaceDN/>
              <w:bidi w:val="0"/>
              <w:adjustRightInd w:val="0"/>
              <w:snapToGrid/>
              <w:spacing w:line="400" w:lineRule="exact"/>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10分</w:t>
            </w:r>
          </w:p>
        </w:tc>
        <w:tc>
          <w:tcPr>
            <w:tcW w:w="1270" w:type="dxa"/>
            <w:shd w:val="clear" w:color="auto" w:fill="auto"/>
            <w:tcMar>
              <w:top w:w="0" w:type="dxa"/>
              <w:left w:w="57" w:type="dxa"/>
              <w:bottom w:w="0" w:type="dxa"/>
              <w:right w:w="57" w:type="dxa"/>
            </w:tcMar>
            <w:vAlign w:val="center"/>
          </w:tcPr>
          <w:p w14:paraId="4658FD0E">
            <w:pPr>
              <w:keepNext w:val="0"/>
              <w:keepLines w:val="0"/>
              <w:pageBreakBefore w:val="0"/>
              <w:widowControl w:val="0"/>
              <w:shd w:val="clear"/>
              <w:kinsoku/>
              <w:wordWrap/>
              <w:overflowPunct/>
              <w:topLinePunct w:val="0"/>
              <w:autoSpaceDE/>
              <w:autoSpaceDN/>
              <w:bidi w:val="0"/>
              <w:adjustRightInd w:val="0"/>
              <w:snapToGrid/>
              <w:spacing w:line="400" w:lineRule="exact"/>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客观分</w:t>
            </w:r>
          </w:p>
        </w:tc>
      </w:tr>
      <w:tr w14:paraId="4C12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6" w:type="dxa"/>
            <w:tcMar>
              <w:top w:w="0" w:type="dxa"/>
              <w:left w:w="57" w:type="dxa"/>
              <w:bottom w:w="0" w:type="dxa"/>
              <w:right w:w="57" w:type="dxa"/>
            </w:tcMar>
            <w:vAlign w:val="center"/>
          </w:tcPr>
          <w:p w14:paraId="4F7AD00E">
            <w:pPr>
              <w:keepNext w:val="0"/>
              <w:keepLines w:val="0"/>
              <w:pageBreakBefore w:val="0"/>
              <w:widowControl w:val="0"/>
              <w:shd w:val="clear"/>
              <w:kinsoku/>
              <w:wordWrap/>
              <w:overflowPunct/>
              <w:topLinePunct w:val="0"/>
              <w:autoSpaceDE/>
              <w:autoSpaceDN/>
              <w:bidi w:val="0"/>
              <w:adjustRightInd w:val="0"/>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vertAlign w:val="baseline"/>
                <w:lang w:val="en-US" w:eastAsia="zh-CN"/>
              </w:rPr>
              <w:t>3.4</w:t>
            </w:r>
          </w:p>
        </w:tc>
        <w:tc>
          <w:tcPr>
            <w:tcW w:w="1473" w:type="dxa"/>
            <w:gridSpan w:val="2"/>
            <w:tcMar>
              <w:top w:w="0" w:type="dxa"/>
              <w:left w:w="57" w:type="dxa"/>
              <w:bottom w:w="0" w:type="dxa"/>
              <w:right w:w="57" w:type="dxa"/>
            </w:tcMar>
            <w:vAlign w:val="center"/>
          </w:tcPr>
          <w:p w14:paraId="232EF345">
            <w:pPr>
              <w:keepNext w:val="0"/>
              <w:keepLines w:val="0"/>
              <w:pageBreakBefore w:val="0"/>
              <w:widowControl w:val="0"/>
              <w:shd w:val="clear"/>
              <w:kinsoku/>
              <w:wordWrap/>
              <w:overflowPunct/>
              <w:topLinePunct w:val="0"/>
              <w:autoSpaceDE/>
              <w:autoSpaceDN/>
              <w:bidi w:val="0"/>
              <w:adjustRightInd w:val="0"/>
              <w:snapToGrid/>
              <w:spacing w:line="400" w:lineRule="exact"/>
              <w:ind w:firstLine="0" w:firstLineChars="0"/>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企业信誉分</w:t>
            </w:r>
          </w:p>
          <w:p w14:paraId="7643C23D">
            <w:pPr>
              <w:pStyle w:val="2"/>
              <w:ind w:left="0" w:leftChars="0" w:firstLine="0" w:firstLineChars="0"/>
              <w:rPr>
                <w:rFonts w:hint="eastAsia"/>
                <w:highlight w:val="none"/>
              </w:rPr>
            </w:pPr>
            <w:r>
              <w:rPr>
                <w:rFonts w:hint="eastAsia" w:hAnsi="宋体" w:cs="宋体"/>
                <w:b w:val="0"/>
                <w:bCs w:val="0"/>
                <w:color w:val="auto"/>
                <w:sz w:val="24"/>
                <w:szCs w:val="24"/>
                <w:highlight w:val="none"/>
                <w:vertAlign w:val="baseline"/>
                <w:lang w:val="en-US" w:eastAsia="zh-CN"/>
              </w:rPr>
              <w:t>（</w:t>
            </w:r>
            <w:r>
              <w:rPr>
                <w:rFonts w:hint="eastAsia" w:ascii="宋体" w:hAnsi="宋体" w:cs="宋体"/>
                <w:b w:val="0"/>
                <w:bCs w:val="0"/>
                <w:color w:val="auto"/>
                <w:sz w:val="24"/>
                <w:szCs w:val="24"/>
                <w:highlight w:val="none"/>
                <w:vertAlign w:val="baseline"/>
                <w:lang w:val="en-US" w:eastAsia="zh-CN"/>
              </w:rPr>
              <w:t>满分</w:t>
            </w:r>
            <w:r>
              <w:rPr>
                <w:rFonts w:hint="eastAsia" w:hAnsi="宋体" w:cs="宋体"/>
                <w:b w:val="0"/>
                <w:bCs w:val="0"/>
                <w:color w:val="auto"/>
                <w:sz w:val="24"/>
                <w:szCs w:val="24"/>
                <w:highlight w:val="none"/>
                <w:vertAlign w:val="baseline"/>
                <w:lang w:val="en-US" w:eastAsia="zh-CN"/>
              </w:rPr>
              <w:t>2</w:t>
            </w:r>
            <w:r>
              <w:rPr>
                <w:rFonts w:hint="eastAsia" w:ascii="宋体" w:hAnsi="宋体" w:cs="宋体"/>
                <w:b w:val="0"/>
                <w:bCs w:val="0"/>
                <w:color w:val="auto"/>
                <w:sz w:val="24"/>
                <w:szCs w:val="24"/>
                <w:highlight w:val="none"/>
                <w:vertAlign w:val="baseline"/>
                <w:lang w:val="en-US" w:eastAsia="zh-CN"/>
              </w:rPr>
              <w:t>分</w:t>
            </w:r>
            <w:r>
              <w:rPr>
                <w:rFonts w:hint="eastAsia" w:hAnsi="宋体" w:cs="宋体"/>
                <w:b w:val="0"/>
                <w:bCs w:val="0"/>
                <w:color w:val="auto"/>
                <w:sz w:val="24"/>
                <w:szCs w:val="24"/>
                <w:highlight w:val="none"/>
                <w:vertAlign w:val="baseline"/>
                <w:lang w:val="en-US" w:eastAsia="zh-CN"/>
              </w:rPr>
              <w:t>）</w:t>
            </w:r>
          </w:p>
        </w:tc>
        <w:tc>
          <w:tcPr>
            <w:tcW w:w="5753" w:type="dxa"/>
            <w:shd w:val="clear" w:color="auto" w:fill="auto"/>
            <w:tcMar>
              <w:top w:w="0" w:type="dxa"/>
              <w:left w:w="57" w:type="dxa"/>
              <w:bottom w:w="0" w:type="dxa"/>
              <w:right w:w="57" w:type="dxa"/>
            </w:tcMar>
            <w:vAlign w:val="center"/>
          </w:tcPr>
          <w:p w14:paraId="70981AF7">
            <w:pPr>
              <w:keepNext w:val="0"/>
              <w:keepLines w:val="0"/>
              <w:pageBreakBefore w:val="0"/>
              <w:widowControl w:val="0"/>
              <w:shd w:val="clear"/>
              <w:kinsoku/>
              <w:wordWrap/>
              <w:overflowPunct/>
              <w:topLinePunct w:val="0"/>
              <w:autoSpaceDE/>
              <w:autoSpaceDN/>
              <w:bidi w:val="0"/>
              <w:adjustRightInd w:val="0"/>
              <w:snapToGrid/>
              <w:spacing w:line="400" w:lineRule="exact"/>
              <w:ind w:firstLine="480" w:firstLineChars="200"/>
              <w:jc w:val="left"/>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投标人或拟投入的</w:t>
            </w:r>
            <w:r>
              <w:rPr>
                <w:rFonts w:hint="eastAsia" w:ascii="宋体" w:hAnsi="宋体" w:cs="宋体"/>
                <w:b w:val="0"/>
                <w:bCs w:val="0"/>
                <w:color w:val="auto"/>
                <w:kern w:val="2"/>
                <w:sz w:val="24"/>
                <w:szCs w:val="24"/>
                <w:highlight w:val="none"/>
                <w:vertAlign w:val="baseline"/>
                <w:lang w:val="en-US" w:eastAsia="zh-CN" w:bidi="ar-SA"/>
              </w:rPr>
              <w:t>物业</w:t>
            </w:r>
            <w:r>
              <w:rPr>
                <w:rFonts w:hint="eastAsia" w:ascii="宋体" w:hAnsi="宋体" w:eastAsia="宋体" w:cs="宋体"/>
                <w:b w:val="0"/>
                <w:bCs w:val="0"/>
                <w:color w:val="auto"/>
                <w:kern w:val="2"/>
                <w:sz w:val="24"/>
                <w:szCs w:val="24"/>
                <w:highlight w:val="none"/>
                <w:vertAlign w:val="baseline"/>
                <w:lang w:val="en-US" w:eastAsia="zh-CN" w:bidi="ar-SA"/>
              </w:rPr>
              <w:t>服务人员获得物业行业相关荣誉证书的，每项得0.5分，满分</w:t>
            </w:r>
            <w:r>
              <w:rPr>
                <w:rFonts w:hint="eastAsia" w:ascii="宋体" w:hAnsi="宋体" w:cs="宋体"/>
                <w:b w:val="0"/>
                <w:bCs w:val="0"/>
                <w:color w:val="auto"/>
                <w:kern w:val="2"/>
                <w:sz w:val="24"/>
                <w:szCs w:val="24"/>
                <w:highlight w:val="none"/>
                <w:vertAlign w:val="baseline"/>
                <w:lang w:val="en-US" w:eastAsia="zh-CN" w:bidi="ar-SA"/>
              </w:rPr>
              <w:t>2</w:t>
            </w:r>
            <w:r>
              <w:rPr>
                <w:rFonts w:hint="eastAsia" w:ascii="宋体" w:hAnsi="宋体" w:eastAsia="宋体" w:cs="宋体"/>
                <w:b w:val="0"/>
                <w:bCs w:val="0"/>
                <w:color w:val="auto"/>
                <w:kern w:val="2"/>
                <w:sz w:val="24"/>
                <w:szCs w:val="24"/>
                <w:highlight w:val="none"/>
                <w:vertAlign w:val="baseline"/>
                <w:lang w:val="en-US" w:eastAsia="zh-CN" w:bidi="ar-SA"/>
              </w:rPr>
              <w:t>分</w:t>
            </w:r>
          </w:p>
        </w:tc>
        <w:tc>
          <w:tcPr>
            <w:tcW w:w="878" w:type="dxa"/>
            <w:shd w:val="clear" w:color="auto" w:fill="auto"/>
            <w:tcMar>
              <w:top w:w="0" w:type="dxa"/>
              <w:left w:w="57" w:type="dxa"/>
              <w:bottom w:w="0" w:type="dxa"/>
              <w:right w:w="57" w:type="dxa"/>
            </w:tcMar>
            <w:vAlign w:val="center"/>
          </w:tcPr>
          <w:p w14:paraId="535A0D0B">
            <w:pPr>
              <w:keepNext w:val="0"/>
              <w:keepLines w:val="0"/>
              <w:pageBreakBefore w:val="0"/>
              <w:widowControl w:val="0"/>
              <w:shd w:val="clear"/>
              <w:kinsoku/>
              <w:wordWrap/>
              <w:overflowPunct/>
              <w:topLinePunct w:val="0"/>
              <w:autoSpaceDE/>
              <w:autoSpaceDN/>
              <w:bidi w:val="0"/>
              <w:adjustRightInd w:val="0"/>
              <w:snapToGrid/>
              <w:spacing w:line="400" w:lineRule="exact"/>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2</w:t>
            </w:r>
            <w:r>
              <w:rPr>
                <w:rFonts w:hint="eastAsia" w:ascii="宋体" w:hAnsi="宋体" w:eastAsia="宋体" w:cs="宋体"/>
                <w:color w:val="auto"/>
                <w:sz w:val="24"/>
                <w:szCs w:val="24"/>
                <w:highlight w:val="none"/>
                <w:vertAlign w:val="baseline"/>
                <w:lang w:val="en-US" w:eastAsia="zh-CN"/>
              </w:rPr>
              <w:t>分</w:t>
            </w:r>
          </w:p>
        </w:tc>
        <w:tc>
          <w:tcPr>
            <w:tcW w:w="1270" w:type="dxa"/>
            <w:shd w:val="clear" w:color="auto" w:fill="auto"/>
            <w:tcMar>
              <w:top w:w="0" w:type="dxa"/>
              <w:left w:w="57" w:type="dxa"/>
              <w:bottom w:w="0" w:type="dxa"/>
              <w:right w:w="57" w:type="dxa"/>
            </w:tcMar>
            <w:vAlign w:val="center"/>
          </w:tcPr>
          <w:p w14:paraId="17999E54">
            <w:pPr>
              <w:keepNext w:val="0"/>
              <w:keepLines w:val="0"/>
              <w:pageBreakBefore w:val="0"/>
              <w:widowControl w:val="0"/>
              <w:shd w:val="clear"/>
              <w:kinsoku/>
              <w:wordWrap/>
              <w:overflowPunct/>
              <w:topLinePunct w:val="0"/>
              <w:autoSpaceDE/>
              <w:autoSpaceDN/>
              <w:bidi w:val="0"/>
              <w:adjustRightInd w:val="0"/>
              <w:snapToGrid/>
              <w:spacing w:line="400" w:lineRule="exact"/>
              <w:ind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客观分</w:t>
            </w:r>
          </w:p>
        </w:tc>
      </w:tr>
      <w:tr w14:paraId="04583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00" w:type="dxa"/>
            <w:gridSpan w:val="6"/>
            <w:tcMar>
              <w:top w:w="0" w:type="dxa"/>
              <w:left w:w="57" w:type="dxa"/>
              <w:bottom w:w="0" w:type="dxa"/>
              <w:right w:w="57" w:type="dxa"/>
            </w:tcMar>
            <w:vAlign w:val="center"/>
          </w:tcPr>
          <w:p w14:paraId="6FBECEA7">
            <w:pPr>
              <w:keepNext w:val="0"/>
              <w:keepLines w:val="0"/>
              <w:pageBreakBefore w:val="0"/>
              <w:widowControl w:val="0"/>
              <w:kinsoku/>
              <w:wordWrap/>
              <w:overflowPunct/>
              <w:topLinePunct w:val="0"/>
              <w:autoSpaceDE/>
              <w:autoSpaceDN/>
              <w:bidi w:val="0"/>
              <w:adjustRightInd w:val="0"/>
              <w:snapToGrid/>
              <w:spacing w:line="40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总得分=1+2+3</w:t>
            </w:r>
          </w:p>
        </w:tc>
      </w:tr>
    </w:tbl>
    <w:p w14:paraId="16C7FD8B">
      <w:pPr>
        <w:pStyle w:val="4"/>
        <w:rPr>
          <w:color w:val="auto"/>
          <w:highlight w:val="none"/>
          <w:lang w:val="en-US"/>
        </w:rPr>
      </w:pPr>
    </w:p>
    <w:p w14:paraId="09182E8B">
      <w:pPr>
        <w:snapToGrid w:val="0"/>
        <w:spacing w:line="360" w:lineRule="auto"/>
        <w:ind w:firstLine="400" w:firstLineChars="200"/>
        <w:rPr>
          <w:rFonts w:ascii="宋体" w:hAnsi="宋体" w:cs="宋体"/>
          <w:color w:val="auto"/>
          <w:sz w:val="24"/>
          <w:highlight w:val="none"/>
        </w:rPr>
      </w:pPr>
      <w:r>
        <w:rPr>
          <w:rFonts w:hint="eastAsia" w:ascii="宋体" w:hAnsi="宋体" w:cs="宋体"/>
          <w:color w:val="auto"/>
          <w:sz w:val="20"/>
          <w:szCs w:val="20"/>
          <w:highlight w:val="none"/>
          <w:shd w:val="clear" w:color="auto" w:fill="FFFFFF"/>
        </w:rPr>
        <w:t> </w:t>
      </w:r>
      <w:r>
        <w:rPr>
          <w:rFonts w:hint="eastAsia" w:cs="仿宋_GB2312" w:asciiTheme="minorEastAsia" w:hAnsiTheme="minorEastAsia" w:eastAsiaTheme="minorEastAsia"/>
          <w:bCs/>
          <w:color w:val="auto"/>
          <w:sz w:val="24"/>
          <w:highlight w:val="none"/>
        </w:rPr>
        <w:t>*</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w:t>
      </w:r>
    </w:p>
    <w:p w14:paraId="5C9230C3">
      <w:pPr>
        <w:snapToGrid w:val="0"/>
        <w:spacing w:line="360" w:lineRule="auto"/>
        <w:rPr>
          <w:rFonts w:ascii="宋体" w:hAnsi="宋体" w:cs="宋体"/>
          <w:b/>
          <w:color w:val="auto"/>
          <w:sz w:val="28"/>
          <w:szCs w:val="28"/>
          <w:highlight w:val="none"/>
        </w:rPr>
      </w:pPr>
      <w:r>
        <w:rPr>
          <w:rFonts w:hint="eastAsia" w:ascii="宋体" w:hAnsi="宋体" w:cs="宋体"/>
          <w:color w:val="auto"/>
          <w:sz w:val="24"/>
          <w:highlight w:val="none"/>
        </w:rPr>
        <w:t> </w:t>
      </w:r>
      <w:r>
        <w:rPr>
          <w:rFonts w:hint="eastAsia" w:ascii="宋体" w:hAnsi="宋体" w:cs="宋体"/>
          <w:b/>
          <w:color w:val="auto"/>
          <w:sz w:val="32"/>
          <w:highlight w:val="none"/>
        </w:rPr>
        <w:t>一、评标方法</w:t>
      </w:r>
    </w:p>
    <w:p w14:paraId="0880CEA7">
      <w:pPr>
        <w:adjustRightInd/>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1.本项目采用的评标方法:</w:t>
      </w:r>
    </w:p>
    <w:p w14:paraId="3F5612DB">
      <w:pPr>
        <w:adjustRightInd/>
        <w:spacing w:line="360" w:lineRule="auto"/>
        <w:ind w:firstLine="480" w:firstLineChars="200"/>
        <w:rPr>
          <w:rFonts w:ascii="宋体" w:hAnsi="宋体" w:cs="宋体"/>
          <w:color w:val="auto"/>
          <w:kern w:val="0"/>
          <w:sz w:val="24"/>
          <w:highlight w:val="none"/>
        </w:rPr>
      </w:pPr>
      <w:sdt>
        <w:sdtPr>
          <w:rPr>
            <w:rFonts w:hint="eastAsia" w:ascii="宋体" w:hAnsi="宋体" w:cs="宋体"/>
            <w:color w:val="auto"/>
            <w:kern w:val="0"/>
            <w:sz w:val="24"/>
            <w:highlight w:val="none"/>
          </w:rPr>
          <w:id w:val="-747492348"/>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b/>
          <w:color w:val="auto"/>
          <w:kern w:val="0"/>
          <w:sz w:val="24"/>
          <w:highlight w:val="none"/>
        </w:rPr>
        <w:t>综合评分法</w:t>
      </w:r>
      <w:r>
        <w:rPr>
          <w:rFonts w:hint="eastAsia" w:ascii="宋体" w:hAnsi="宋体" w:cs="宋体"/>
          <w:color w:val="auto"/>
          <w:sz w:val="24"/>
          <w:highlight w:val="none"/>
        </w:rPr>
        <w:t>。</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6E626640">
      <w:pPr>
        <w:adjustRightInd/>
        <w:spacing w:line="360" w:lineRule="auto"/>
        <w:ind w:firstLine="480" w:firstLineChars="200"/>
        <w:rPr>
          <w:rFonts w:ascii="宋体" w:hAnsi="宋体" w:cs="宋体"/>
          <w:b/>
          <w:color w:val="auto"/>
          <w:kern w:val="0"/>
          <w:sz w:val="24"/>
          <w:highlight w:val="none"/>
        </w:rPr>
      </w:pPr>
      <w:sdt>
        <w:sdtPr>
          <w:rPr>
            <w:rFonts w:hint="eastAsia" w:ascii="宋体" w:hAnsi="宋体" w:cs="宋体"/>
            <w:color w:val="auto"/>
            <w:kern w:val="0"/>
            <w:sz w:val="24"/>
            <w:highlight w:val="none"/>
          </w:rPr>
          <w:id w:val="-46134223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B</w:t>
      </w:r>
      <w:r>
        <w:rPr>
          <w:rFonts w:hint="eastAsia" w:ascii="宋体" w:hAnsi="宋体" w:cs="宋体"/>
          <w:color w:val="auto"/>
          <w:sz w:val="24"/>
          <w:highlight w:val="none"/>
        </w:rPr>
        <w:t>最低评标价法</w:t>
      </w:r>
      <w:r>
        <w:rPr>
          <w:rFonts w:hint="eastAsia" w:ascii="宋体" w:hAnsi="宋体" w:cs="宋体"/>
          <w:b/>
          <w:color w:val="auto"/>
          <w:kern w:val="0"/>
          <w:sz w:val="24"/>
          <w:highlight w:val="none"/>
        </w:rPr>
        <w:t>。</w:t>
      </w:r>
      <w:r>
        <w:rPr>
          <w:rFonts w:hint="eastAsia" w:ascii="宋体" w:hAnsi="宋体" w:cs="宋体"/>
          <w:color w:val="auto"/>
          <w:kern w:val="0"/>
          <w:sz w:val="24"/>
          <w:highlight w:val="none"/>
        </w:rPr>
        <w:t>最低评标价法，是指投标文件满足招标文件全部实质性要求，且投标报价最低的投标人为中标候选人的评标方法。</w:t>
      </w:r>
    </w:p>
    <w:p w14:paraId="79C18672">
      <w:pPr>
        <w:adjustRightInd/>
        <w:spacing w:line="360" w:lineRule="auto"/>
        <w:outlineLvl w:val="1"/>
        <w:rPr>
          <w:rFonts w:ascii="宋体" w:hAnsi="宋体" w:cs="宋体"/>
          <w:color w:val="auto"/>
          <w:kern w:val="0"/>
          <w:sz w:val="24"/>
          <w:highlight w:val="none"/>
        </w:rPr>
      </w:pPr>
      <w:r>
        <w:rPr>
          <w:rFonts w:hint="eastAsia" w:ascii="宋体" w:hAnsi="宋体" w:cs="宋体"/>
          <w:b/>
          <w:color w:val="auto"/>
          <w:sz w:val="32"/>
          <w:highlight w:val="none"/>
        </w:rPr>
        <w:t>二、评标标准</w:t>
      </w:r>
    </w:p>
    <w:p w14:paraId="43EF8089">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sz w:val="24"/>
          <w:highlight w:val="none"/>
        </w:rPr>
        <w:t>采用综合评分法的，评标标准</w:t>
      </w:r>
      <w:r>
        <w:rPr>
          <w:rFonts w:hint="eastAsia" w:ascii="宋体" w:hAnsi="宋体" w:cs="宋体"/>
          <w:color w:val="auto"/>
          <w:kern w:val="0"/>
          <w:sz w:val="24"/>
          <w:highlight w:val="none"/>
        </w:rPr>
        <w:t>见评标办法前附表。采用最低评标价法评标时，除了算术修正和落实政府采购政策需进行的价格扣除外，不能对投标人的投标价格进行任何调整。</w:t>
      </w:r>
    </w:p>
    <w:p w14:paraId="401C377B">
      <w:pPr>
        <w:spacing w:line="360" w:lineRule="auto"/>
        <w:outlineLvl w:val="1"/>
        <w:rPr>
          <w:rFonts w:ascii="宋体" w:hAnsi="宋体" w:cs="宋体"/>
          <w:b/>
          <w:color w:val="auto"/>
          <w:sz w:val="36"/>
          <w:szCs w:val="36"/>
          <w:highlight w:val="none"/>
        </w:rPr>
      </w:pPr>
      <w:r>
        <w:rPr>
          <w:rFonts w:hint="eastAsia" w:ascii="宋体" w:hAnsi="宋体" w:cs="宋体"/>
          <w:b/>
          <w:color w:val="auto"/>
          <w:sz w:val="36"/>
          <w:szCs w:val="36"/>
          <w:highlight w:val="none"/>
        </w:rPr>
        <w:t>三、评标程序</w:t>
      </w:r>
    </w:p>
    <w:p w14:paraId="3EA8D4C4">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06FCED0C">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36D2F9B9">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采用综合评分法时，评标委员会各成员应当独立对每个投标人的商务和技术文件进行评价，并汇总商务技术得分情况。</w:t>
      </w:r>
    </w:p>
    <w:p w14:paraId="07239649">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3B4D38B1">
      <w:pPr>
        <w:pStyle w:val="129"/>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61739DA7">
      <w:pPr>
        <w:pStyle w:val="129"/>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65631908">
      <w:pPr>
        <w:pStyle w:val="129"/>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16FCBDA6">
      <w:pPr>
        <w:pStyle w:val="129"/>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74B6C7A4">
      <w:pPr>
        <w:pStyle w:val="129"/>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4A2240C7">
      <w:pPr>
        <w:pStyle w:val="129"/>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7E5A3B81">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3.4.2投标文件出现不是唯一的、有选择性投标报价的，投标无效。</w:t>
      </w:r>
    </w:p>
    <w:p w14:paraId="71CD42ED">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3.4.3投标报价超过招标文件中规定的预算金额或者最高限价的，投标无效。</w:t>
      </w:r>
    </w:p>
    <w:p w14:paraId="68475182">
      <w:pPr>
        <w:pStyle w:val="129"/>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3.4.4政府采购异常低价审查：</w:t>
      </w:r>
    </w:p>
    <w:p w14:paraId="675B5289">
      <w:pPr>
        <w:pStyle w:val="129"/>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3.4.4.1按照《关于推动解决政府采购异常低价问题的通知》（财库〔2026〕2号）有关规定，本项目评审中出现下列情形之一的，评标委员会应当启动异常低价投标审查程序：</w:t>
      </w:r>
    </w:p>
    <w:p w14:paraId="5DD1415E">
      <w:pPr>
        <w:pStyle w:val="129"/>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（1）投标报价低于全部通过符合性审查供应商投标报价平均值50%的，即投标报价&lt;全部通过符合性审查供应商投标报价平均值×50%；</w:t>
      </w:r>
    </w:p>
    <w:p w14:paraId="43AA5AC2">
      <w:pPr>
        <w:pStyle w:val="129"/>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（2）投标报价低于通过符合性审查的次低报价供应商投标报价50%的，即投标报价&lt;通过符合性审查的次低报价供应商投标报价×50%；</w:t>
      </w:r>
    </w:p>
    <w:p w14:paraId="1E74F62D">
      <w:pPr>
        <w:pStyle w:val="129"/>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（3）投标报价低于采购项目最高限价45%的，即投标报价&lt;采购项目最高限价×45%；</w:t>
      </w:r>
    </w:p>
    <w:p w14:paraId="6D28E5AB">
      <w:pPr>
        <w:pStyle w:val="129"/>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（4）评标委员会基于专业判断，认为供应商报价过低，有可能影响产品质量或者不能诚信履约的其他情形。</w:t>
      </w:r>
    </w:p>
    <w:p w14:paraId="2F73C3EA">
      <w:pPr>
        <w:pStyle w:val="129"/>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按照规定，采购人可以结合具体项目实际情况，提高上述第（1）项至第（3）项中启动异常低价投标审查的数值标准，但是最高不得超过65%，本项目采购人决定将上述（1）（2）（3）数值标准分别确定为</w:t>
      </w:r>
      <w:r>
        <w:rPr>
          <w:rFonts w:hint="eastAsia" w:ascii="宋体" w:hAnsi="宋体" w:cs="宋体"/>
          <w:color w:val="auto"/>
          <w:kern w:val="0"/>
          <w:szCs w:val="24"/>
          <w:highlight w:val="none"/>
          <w:u w:val="single"/>
        </w:rPr>
        <w:t>50%</w:t>
      </w:r>
      <w:r>
        <w:rPr>
          <w:rFonts w:hint="eastAsia" w:ascii="宋体" w:hAnsi="宋体" w:cs="宋体"/>
          <w:color w:val="auto"/>
          <w:kern w:val="0"/>
          <w:szCs w:val="24"/>
          <w:highlight w:val="none"/>
        </w:rPr>
        <w:t>，</w:t>
      </w:r>
      <w:r>
        <w:rPr>
          <w:rFonts w:hint="eastAsia" w:ascii="宋体" w:hAnsi="宋体" w:cs="宋体"/>
          <w:color w:val="auto"/>
          <w:kern w:val="0"/>
          <w:szCs w:val="24"/>
          <w:highlight w:val="none"/>
          <w:u w:val="single"/>
        </w:rPr>
        <w:t>50%</w:t>
      </w:r>
      <w:r>
        <w:rPr>
          <w:rFonts w:hint="eastAsia" w:ascii="宋体" w:hAnsi="宋体" w:cs="宋体"/>
          <w:color w:val="auto"/>
          <w:kern w:val="0"/>
          <w:szCs w:val="24"/>
          <w:highlight w:val="none"/>
        </w:rPr>
        <w:t>，</w:t>
      </w:r>
      <w:r>
        <w:rPr>
          <w:rFonts w:hint="eastAsia" w:ascii="宋体" w:hAnsi="宋体" w:cs="宋体"/>
          <w:color w:val="auto"/>
          <w:kern w:val="0"/>
          <w:szCs w:val="24"/>
          <w:highlight w:val="none"/>
          <w:u w:val="single"/>
        </w:rPr>
        <w:t>45%</w:t>
      </w:r>
      <w:r>
        <w:rPr>
          <w:rFonts w:hint="eastAsia" w:ascii="宋体" w:hAnsi="宋体" w:cs="宋体"/>
          <w:color w:val="auto"/>
          <w:kern w:val="0"/>
          <w:szCs w:val="24"/>
          <w:highlight w:val="none"/>
        </w:rPr>
        <w:t>。</w:t>
      </w:r>
      <w:r>
        <w:rPr>
          <w:rFonts w:hint="eastAsia" w:ascii="宋体" w:hAnsi="宋体" w:cs="宋体"/>
          <w:color w:val="auto"/>
          <w:kern w:val="0"/>
          <w:highlight w:val="none"/>
        </w:rPr>
        <w:t>采购项目未设定最高限价的，审查时取项目预算金额作为最高限价。</w:t>
      </w:r>
    </w:p>
    <w:p w14:paraId="2E069EF3">
      <w:pPr>
        <w:pStyle w:val="129"/>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6EDCF925">
      <w:pPr>
        <w:pStyle w:val="129"/>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59E3DD68">
      <w:pPr>
        <w:pStyle w:val="129"/>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397667E5">
      <w:pPr>
        <w:pStyle w:val="129"/>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异常低价投标审查的启动原因、审查意见和审查结果应当在评审报告中记录，并随供应商提供的相关书面说明及证明材料，以及评标委员会有关互联网浏览、查询历史一并归档。</w:t>
      </w:r>
    </w:p>
    <w:p w14:paraId="6DF20800">
      <w:pPr>
        <w:pStyle w:val="129"/>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3.4.5对于未预留份额专门面向中小企业采购的政府采购项目，以及预留份额政府采购项目中的非预留部分标项，对小型和微型企业的投标报价给予</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对于专门面向中小企业采购的项目或者采购包，不再执行价格评审优惠的扶持政策。</w:t>
      </w:r>
    </w:p>
    <w:p w14:paraId="52B06780">
      <w:pPr>
        <w:spacing w:line="360" w:lineRule="auto"/>
        <w:ind w:firstLine="480" w:firstLineChars="200"/>
        <w:rPr>
          <w:rFonts w:ascii="宋体" w:hAnsi="宋体" w:cs="宋体"/>
          <w:color w:val="auto"/>
          <w:sz w:val="24"/>
          <w:highlight w:val="none"/>
        </w:rPr>
      </w:pPr>
      <w:bookmarkStart w:id="404" w:name="OLE_LINK9"/>
      <w:bookmarkStart w:id="405" w:name="OLE_LINK10"/>
      <w:r>
        <w:rPr>
          <w:rFonts w:hint="eastAsia" w:ascii="宋体" w:hAnsi="宋体" w:cs="宋体"/>
          <w:color w:val="auto"/>
          <w:kern w:val="0"/>
          <w:sz w:val="24"/>
          <w:highlight w:val="none"/>
        </w:rPr>
        <w:t>3.4.6</w:t>
      </w:r>
      <w:r>
        <w:rPr>
          <w:rFonts w:hint="eastAsia" w:ascii="宋体" w:hAnsi="宋体" w:cs="宋体"/>
          <w:color w:val="auto"/>
          <w:sz w:val="24"/>
          <w:highlight w:val="none"/>
        </w:rPr>
        <w:t>政府采购活动中既有本国产品又有非本国产品参与竞争的，依法对本国产品给予价格评审优惠，对本国产品的报价给予20%的价格扣除，用扣除后的价格参与评审。仅有本国产品参与竞争的，不执行本国产品价格扣除政策。</w:t>
      </w:r>
    </w:p>
    <w:p w14:paraId="1A6DC7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前述全部产品是指货物或服务采购项目或采购包中包含的全部货物、服务产品。</w:t>
      </w:r>
    </w:p>
    <w:p w14:paraId="3AE72BD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拟享受该政策的，应当对其提供的产品出具《关于符合本国产品标准的声明函》或财政部会同有关部门规定的有关证明文件，否则视为非本国产品，不能享受本国产品价格扣除政策。当采购项目或者采购包中含有多种产品时，供应商拟享受该政策的，除了对其提供的产品出具《关于符合本国产品标准的声明函》或财政部会同有关部门规定的有关证明文件外，还应当声明其为该采购项目或者采购包提供的符合本国产品标准的产品成本之和占该供应商提供的全部产品成本之和的比例达到80%以上，提供《关于符合本国产品标准的产品成本之和占所提供的全部产品成本之和的比例达到80%以上的声明函》，否则不能享受本国产品价格扣除政策。</w:t>
      </w:r>
    </w:p>
    <w:p w14:paraId="1FC6EBE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对于未预留份额专门面向中小企业采购的采购项目，以及预留份额项目中的非预留部分采购包，投标人提供的产品同时满足《国务院办公厅关于在政府采购中实施本国产品标准及相关政策的通知》（国办发〔2025〕34号）和《政府采购促进中小企业发展管理办法》（财库〔2020〕46号）有关规定的，叠加享受本国产品价格扣除和小微企业产品价格扣除政策。</w:t>
      </w:r>
    </w:p>
    <w:bookmarkEnd w:id="404"/>
    <w:bookmarkEnd w:id="405"/>
    <w:p w14:paraId="319D26AA">
      <w:pPr>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3.5排序与推荐。</w:t>
      </w:r>
    </w:p>
    <w:p w14:paraId="0EB90AE7">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3.5.1</w:t>
      </w:r>
      <w:r>
        <w:rPr>
          <w:rFonts w:hint="eastAsia" w:ascii="宋体" w:hAnsi="宋体" w:cs="宋体"/>
          <w:color w:val="auto"/>
          <w:kern w:val="0"/>
          <w:sz w:val="24"/>
          <w:highlight w:val="none"/>
        </w:rPr>
        <w:t>采用综合评分法的，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排名第一的中标候选人。</w:t>
      </w:r>
    </w:p>
    <w:p w14:paraId="04CDEF24">
      <w:pPr>
        <w:pStyle w:val="83"/>
        <w:rPr>
          <w:rFonts w:cs="宋体"/>
          <w:color w:val="auto"/>
          <w:highlight w:val="none"/>
        </w:rPr>
      </w:pPr>
      <w:r>
        <w:rPr>
          <w:rFonts w:hint="eastAsia" w:cs="宋体"/>
          <w:color w:val="auto"/>
          <w:highlight w:val="none"/>
        </w:rPr>
        <w:t>3.5.2采用最低评标价法的，评标结果按投标报价由低到高顺序排列。评标价相同时，由评标委员会根据投标文件中技术、服务、合同条款及其它实质性要求等情况，按照择优选择的原则，集体讨论确定排序，并按确定排序由优到劣的原则推荐中标候选人。投标文件满足招标文件全部实质性要求且投标报价最低的投标人为排名第一的中标候选人。</w:t>
      </w:r>
    </w:p>
    <w:p w14:paraId="73A57956">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5E595E4F">
      <w:pPr>
        <w:widowControl/>
        <w:shd w:val="clear" w:color="auto" w:fill="FFFFFF"/>
        <w:adjustRightInd/>
        <w:spacing w:after="225" w:line="315" w:lineRule="atLeast"/>
        <w:jc w:val="left"/>
        <w:outlineLvl w:val="1"/>
        <w:rPr>
          <w:rFonts w:ascii="宋体" w:hAnsi="宋体" w:cs="宋体"/>
          <w:b/>
          <w:color w:val="auto"/>
          <w:sz w:val="32"/>
          <w:highlight w:val="none"/>
        </w:rPr>
      </w:pPr>
      <w:r>
        <w:rPr>
          <w:rFonts w:hint="eastAsia" w:ascii="宋体" w:hAnsi="宋体" w:cs="宋体"/>
          <w:b/>
          <w:color w:val="auto"/>
          <w:sz w:val="32"/>
          <w:highlight w:val="none"/>
        </w:rPr>
        <w:t>四、评标中的其他事项</w:t>
      </w:r>
    </w:p>
    <w:p w14:paraId="18A3BEF6">
      <w:pPr>
        <w:pStyle w:val="129"/>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386BF1D9">
      <w:pPr>
        <w:pStyle w:val="26"/>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0D3FE26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34034C5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5C0B65B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5524D00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18E8FB7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0A8D38AA">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6AC2C7C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730B95B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4.2.8投标报价属于招标文件规定的政府采购异常低价情形之一，且投标人不能提供书面说明、证明材料，或者提供的书面说明、证明材料不能证明其报价合理性的</w:t>
      </w:r>
      <w:r>
        <w:rPr>
          <w:rFonts w:hint="eastAsia" w:ascii="宋体" w:hAnsi="宋体" w:cs="宋体"/>
          <w:color w:val="auto"/>
          <w:sz w:val="24"/>
          <w:szCs w:val="21"/>
          <w:highlight w:val="none"/>
        </w:rPr>
        <w:t>;</w:t>
      </w:r>
    </w:p>
    <w:p w14:paraId="6F06118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4.2.9投标人对根据修正原则修正后的报价不确认的；</w:t>
      </w:r>
    </w:p>
    <w:p w14:paraId="3B6D528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4.2.10投标人提供虚假材料投标的；</w:t>
      </w:r>
    </w:p>
    <w:p w14:paraId="00B41C8E">
      <w:pPr>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 xml:space="preserve">  4.2.11投标人有恶意串通、妨碍其他投标人的竞争行为、损害采购人或者其他投标人的合法权益情形的；</w:t>
      </w:r>
    </w:p>
    <w:p w14:paraId="5DAB1FB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4.2.12投标人仅提交备份投标文件，未在电子交易平台传输递交投标文件的，投标无效；</w:t>
      </w:r>
    </w:p>
    <w:p w14:paraId="08BABE56">
      <w:pPr>
        <w:pStyle w:val="83"/>
        <w:rPr>
          <w:b/>
          <w:bCs/>
          <w:color w:val="auto"/>
          <w:highlight w:val="none"/>
        </w:rPr>
      </w:pPr>
      <w:r>
        <w:rPr>
          <w:rFonts w:hint="eastAsia"/>
          <w:color w:val="auto"/>
          <w:highlight w:val="none"/>
        </w:rPr>
        <w:t>4.2.13 投标文件不满足招标文件的其它实质性要求的；</w:t>
      </w:r>
    </w:p>
    <w:p w14:paraId="3E410311">
      <w:pPr>
        <w:pStyle w:val="83"/>
        <w:rPr>
          <w:rFonts w:cs="宋体"/>
          <w:color w:val="auto"/>
          <w:highlight w:val="none"/>
        </w:rPr>
      </w:pPr>
      <w:r>
        <w:rPr>
          <w:rFonts w:hint="eastAsia"/>
          <w:color w:val="auto"/>
          <w:highlight w:val="none"/>
        </w:rPr>
        <w:t>4.2.14</w:t>
      </w:r>
      <w:r>
        <w:rPr>
          <w:rFonts w:hint="eastAsia" w:cs="宋体"/>
          <w:color w:val="auto"/>
          <w:highlight w:val="none"/>
        </w:rPr>
        <w:t>投标人存在下列情形之一且无法合理解释的：（1</w:t>
      </w:r>
      <w:r>
        <w:rPr>
          <w:rFonts w:cs="宋体"/>
          <w:color w:val="auto"/>
          <w:highlight w:val="none"/>
        </w:rPr>
        <w:t>）</w:t>
      </w:r>
      <w:r>
        <w:rPr>
          <w:rFonts w:hint="eastAsia" w:cs="宋体"/>
          <w:color w:val="auto"/>
          <w:highlight w:val="none"/>
        </w:rPr>
        <w:t>不同投标人的电子投标文件上传计算机的网卡MAC 地址或硬盘序列号等硬件信息相同的；（2）上传的电子投标文件若出现使用本项目其他投标人的数字证书加密的，或者加盖本项目其他投标人的电子印章的；（3）不同投标人的投标文件的内容存在3 处（含）以上错误一致的；（4）不同投标人联系人为同一人或不同联系人的联系电话一致的。</w:t>
      </w:r>
    </w:p>
    <w:p w14:paraId="7250211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4.2.15法律、法规、规章（适用本市的）及省级以上规范性文件（适用本市的）规定的其他无效情形。</w:t>
      </w:r>
    </w:p>
    <w:p w14:paraId="58F53835">
      <w:pPr>
        <w:pStyle w:val="26"/>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0B4598A5">
      <w:pPr>
        <w:pStyle w:val="26"/>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283709FC">
      <w:pPr>
        <w:pStyle w:val="26"/>
        <w:snapToGrid w:val="0"/>
        <w:spacing w:line="360" w:lineRule="auto"/>
        <w:rPr>
          <w:rFonts w:cs="宋体"/>
          <w:color w:val="auto"/>
          <w:highlight w:val="none"/>
        </w:rPr>
      </w:pPr>
      <w:r>
        <w:rPr>
          <w:rFonts w:hint="eastAsia" w:cs="宋体"/>
          <w:color w:val="auto"/>
          <w:highlight w:val="none"/>
        </w:rPr>
        <w:t>5.2出现影响采购公正的违法、违规行为的；</w:t>
      </w:r>
    </w:p>
    <w:p w14:paraId="2D7F5EE0">
      <w:pPr>
        <w:pStyle w:val="26"/>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00ECC82F">
      <w:pPr>
        <w:pStyle w:val="26"/>
        <w:snapToGrid w:val="0"/>
        <w:spacing w:line="360" w:lineRule="auto"/>
        <w:rPr>
          <w:rFonts w:cs="宋体"/>
          <w:color w:val="auto"/>
          <w:highlight w:val="none"/>
        </w:rPr>
      </w:pPr>
      <w:r>
        <w:rPr>
          <w:rFonts w:hint="eastAsia" w:cs="宋体"/>
          <w:color w:val="auto"/>
          <w:highlight w:val="none"/>
        </w:rPr>
        <w:t>5.4因重大变故，采购任务取消的。</w:t>
      </w:r>
    </w:p>
    <w:p w14:paraId="277F542B">
      <w:pPr>
        <w:pStyle w:val="26"/>
        <w:snapToGrid w:val="0"/>
        <w:spacing w:line="360" w:lineRule="auto"/>
        <w:rPr>
          <w:rFonts w:cs="宋体"/>
          <w:color w:val="auto"/>
          <w:highlight w:val="none"/>
        </w:rPr>
      </w:pPr>
      <w:r>
        <w:rPr>
          <w:rFonts w:hint="eastAsia" w:cs="宋体"/>
          <w:color w:val="auto"/>
          <w:highlight w:val="none"/>
        </w:rPr>
        <w:t>废标后，采购代理机构应当将废标理由通知所有投标人。</w:t>
      </w:r>
    </w:p>
    <w:p w14:paraId="63886968">
      <w:pPr>
        <w:pStyle w:val="26"/>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75B35043">
      <w:pPr>
        <w:pStyle w:val="26"/>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01084319">
      <w:pPr>
        <w:pStyle w:val="26"/>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473E34DB">
      <w:pPr>
        <w:pStyle w:val="26"/>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04EA86CC">
      <w:pPr>
        <w:pStyle w:val="26"/>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5FE22560">
      <w:pPr>
        <w:pStyle w:val="26"/>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257D018B">
      <w:pPr>
        <w:pStyle w:val="26"/>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32CD95E4">
      <w:pPr>
        <w:pStyle w:val="83"/>
        <w:ind w:firstLine="0"/>
        <w:rPr>
          <w:b/>
          <w:color w:val="auto"/>
          <w:sz w:val="32"/>
          <w:szCs w:val="32"/>
          <w:highlight w:val="none"/>
        </w:rPr>
      </w:pPr>
      <w:r>
        <w:rPr>
          <w:rFonts w:hint="eastAsia"/>
          <w:b/>
          <w:color w:val="auto"/>
          <w:sz w:val="32"/>
          <w:szCs w:val="32"/>
          <w:highlight w:val="none"/>
        </w:rPr>
        <w:t>五、评审过程的保密与录像</w:t>
      </w:r>
    </w:p>
    <w:p w14:paraId="267E3CD6">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8.1.保密。</w:t>
      </w:r>
      <w:r>
        <w:rPr>
          <w:rFonts w:hint="eastAsia" w:cs="仿宋_GB2312" w:asciiTheme="minorEastAsia" w:hAnsiTheme="minorEastAsia" w:eastAsiaTheme="minorEastAsia"/>
          <w:color w:val="auto"/>
          <w:sz w:val="24"/>
          <w:highlight w:val="none"/>
        </w:rPr>
        <w:t>评审活动在严格保密的情况下进行。评审过程中凡是与投标文件评审和比较、中标供应商推荐等评审有关的情况，以及涉及国家秘密和商业秘密等信息，评标委员会成员、采购人和采购代理机构工作人员、相关监督人员等与评审有关的人员应当予以保密。</w:t>
      </w:r>
    </w:p>
    <w:p w14:paraId="5F2B10F8">
      <w:pPr>
        <w:pStyle w:val="26"/>
        <w:snapToGrid w:val="0"/>
        <w:spacing w:line="360" w:lineRule="auto"/>
        <w:ind w:firstLine="482"/>
        <w:rPr>
          <w:rFonts w:cs="宋体"/>
          <w:color w:val="auto"/>
          <w:highlight w:val="none"/>
        </w:rPr>
      </w:pPr>
      <w:r>
        <w:rPr>
          <w:rFonts w:hint="eastAsia" w:cs="仿宋_GB2312" w:asciiTheme="minorEastAsia" w:hAnsiTheme="minorEastAsia" w:eastAsiaTheme="minorEastAsia"/>
          <w:b/>
          <w:color w:val="auto"/>
          <w:highlight w:val="none"/>
        </w:rPr>
        <w:t>8.2.录音录像。</w:t>
      </w:r>
      <w:r>
        <w:rPr>
          <w:rFonts w:hint="eastAsia" w:cs="仿宋_GB2312" w:asciiTheme="minorEastAsia" w:hAnsiTheme="minorEastAsia" w:eastAsiaTheme="minorEastAsia"/>
          <w:color w:val="auto"/>
          <w:highlight w:val="none"/>
        </w:rPr>
        <w:t>采购代理机构对评审工作现场进行全过程录音录像，录音录像资料作为采购项目文件随其他文件一并存档。</w:t>
      </w:r>
    </w:p>
    <w:p w14:paraId="0818A280">
      <w:pPr>
        <w:pStyle w:val="26"/>
        <w:snapToGrid w:val="0"/>
        <w:spacing w:line="360" w:lineRule="auto"/>
        <w:ind w:firstLine="0" w:firstLineChars="0"/>
        <w:rPr>
          <w:rFonts w:cs="宋体"/>
          <w:color w:val="auto"/>
          <w:highlight w:val="none"/>
        </w:rPr>
      </w:pPr>
    </w:p>
    <w:bookmarkEnd w:id="36"/>
    <w:p w14:paraId="25653076">
      <w:pPr>
        <w:spacing w:line="360" w:lineRule="auto"/>
        <w:ind w:left="720" w:leftChars="343" w:firstLine="1084" w:firstLineChars="300"/>
        <w:outlineLvl w:val="0"/>
        <w:rPr>
          <w:rFonts w:hint="eastAsia" w:ascii="宋体" w:hAnsi="宋体" w:cs="宋体"/>
          <w:b/>
          <w:color w:val="auto"/>
          <w:sz w:val="36"/>
          <w:szCs w:val="36"/>
          <w:highlight w:val="none"/>
        </w:rPr>
      </w:pPr>
      <w:bookmarkStart w:id="406" w:name="_Toc176368906"/>
      <w:bookmarkStart w:id="407" w:name="第五部分"/>
      <w:bookmarkStart w:id="408" w:name="_Toc86217003"/>
    </w:p>
    <w:p w14:paraId="34C0A9D1">
      <w:pPr>
        <w:spacing w:line="360" w:lineRule="auto"/>
        <w:ind w:left="720" w:leftChars="343" w:firstLine="1084" w:firstLineChars="300"/>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第五部分 拟签订的合同文本</w:t>
      </w:r>
      <w:bookmarkEnd w:id="406"/>
    </w:p>
    <w:p w14:paraId="33303ED6">
      <w:pPr>
        <w:spacing w:line="480" w:lineRule="auto"/>
        <w:jc w:val="center"/>
        <w:rPr>
          <w:rFonts w:ascii="宋体" w:hAnsi="宋体" w:cs="宋体"/>
          <w:b/>
          <w:color w:val="auto"/>
          <w:sz w:val="28"/>
          <w:szCs w:val="28"/>
          <w:highlight w:val="none"/>
        </w:rPr>
      </w:pPr>
    </w:p>
    <w:p w14:paraId="5DC9891A">
      <w:pPr>
        <w:spacing w:line="480" w:lineRule="auto"/>
        <w:jc w:val="center"/>
        <w:rPr>
          <w:rFonts w:ascii="宋体" w:hAnsi="宋体" w:cs="宋体"/>
          <w:b/>
          <w:color w:val="auto"/>
          <w:sz w:val="24"/>
          <w:highlight w:val="none"/>
        </w:rPr>
      </w:pPr>
    </w:p>
    <w:p w14:paraId="13918252">
      <w:pPr>
        <w:spacing w:line="480" w:lineRule="auto"/>
        <w:jc w:val="center"/>
        <w:rPr>
          <w:rFonts w:ascii="宋体" w:hAnsi="宋体" w:cs="宋体"/>
          <w:b/>
          <w:color w:val="auto"/>
          <w:sz w:val="24"/>
          <w:highlight w:val="none"/>
        </w:rPr>
      </w:pPr>
    </w:p>
    <w:p w14:paraId="56B27B4B">
      <w:pPr>
        <w:jc w:val="center"/>
        <w:rPr>
          <w:rFonts w:ascii="宋体" w:hAnsi="宋体"/>
          <w:b/>
          <w:color w:val="000000"/>
          <w:sz w:val="52"/>
          <w:szCs w:val="52"/>
          <w:highlight w:val="none"/>
        </w:rPr>
      </w:pPr>
      <w:r>
        <w:rPr>
          <w:rFonts w:hint="eastAsia" w:ascii="宋体" w:hAnsi="宋体"/>
          <w:b/>
          <w:color w:val="000000"/>
          <w:sz w:val="52"/>
          <w:szCs w:val="52"/>
          <w:highlight w:val="none"/>
        </w:rPr>
        <w:t>北海市政府采购合同</w:t>
      </w:r>
    </w:p>
    <w:p w14:paraId="6D497EA8">
      <w:pPr>
        <w:rPr>
          <w:rFonts w:ascii="宋体" w:hAnsi="宋体"/>
          <w:color w:val="000000"/>
          <w:szCs w:val="20"/>
          <w:highlight w:val="none"/>
        </w:rPr>
      </w:pPr>
    </w:p>
    <w:p w14:paraId="3F2981C0">
      <w:pPr>
        <w:rPr>
          <w:rFonts w:ascii="宋体" w:hAnsi="宋体"/>
          <w:color w:val="000000"/>
          <w:szCs w:val="20"/>
          <w:highlight w:val="none"/>
        </w:rPr>
      </w:pPr>
    </w:p>
    <w:p w14:paraId="1DF5B52F">
      <w:pPr>
        <w:rPr>
          <w:rFonts w:ascii="宋体" w:hAnsi="宋体"/>
          <w:color w:val="000000"/>
          <w:szCs w:val="20"/>
          <w:highlight w:val="none"/>
        </w:rPr>
      </w:pPr>
    </w:p>
    <w:p w14:paraId="4DE3BCD1">
      <w:pPr>
        <w:rPr>
          <w:rFonts w:ascii="宋体" w:hAnsi="宋体"/>
          <w:color w:val="000000"/>
          <w:szCs w:val="20"/>
          <w:highlight w:val="none"/>
        </w:rPr>
      </w:pPr>
    </w:p>
    <w:p w14:paraId="4F73A8FF">
      <w:pPr>
        <w:ind w:firstLine="1606" w:firstLineChars="500"/>
        <w:rPr>
          <w:rFonts w:ascii="宋体" w:hAnsi="宋体"/>
          <w:b/>
          <w:color w:val="000000"/>
          <w:sz w:val="32"/>
          <w:szCs w:val="32"/>
          <w:highlight w:val="none"/>
          <w:u w:val="single"/>
        </w:rPr>
      </w:pPr>
      <w:r>
        <w:rPr>
          <w:rFonts w:hint="eastAsia" w:ascii="宋体" w:hAnsi="宋体"/>
          <w:b/>
          <w:color w:val="000000"/>
          <w:sz w:val="32"/>
          <w:szCs w:val="32"/>
          <w:highlight w:val="none"/>
        </w:rPr>
        <w:t>合同名称：</w:t>
      </w:r>
      <w:r>
        <w:rPr>
          <w:rFonts w:ascii="宋体" w:hAnsi="宋体"/>
          <w:b/>
          <w:color w:val="000000"/>
          <w:sz w:val="32"/>
          <w:szCs w:val="32"/>
          <w:highlight w:val="none"/>
          <w:u w:val="single"/>
        </w:rPr>
        <w:t xml:space="preserve">                            </w:t>
      </w:r>
    </w:p>
    <w:p w14:paraId="4097F1E3">
      <w:pPr>
        <w:ind w:firstLine="1606" w:firstLineChars="500"/>
        <w:rPr>
          <w:rFonts w:ascii="宋体" w:hAnsi="宋体"/>
          <w:b/>
          <w:color w:val="000000"/>
          <w:sz w:val="32"/>
          <w:szCs w:val="32"/>
          <w:highlight w:val="none"/>
          <w:u w:val="single"/>
        </w:rPr>
      </w:pPr>
      <w:r>
        <w:rPr>
          <w:rFonts w:hint="eastAsia" w:ascii="宋体" w:hAnsi="宋体"/>
          <w:b/>
          <w:color w:val="000000"/>
          <w:sz w:val="32"/>
          <w:szCs w:val="32"/>
          <w:highlight w:val="none"/>
        </w:rPr>
        <w:t>合同编号：</w:t>
      </w:r>
      <w:r>
        <w:rPr>
          <w:rFonts w:hint="eastAsia" w:ascii="宋体" w:hAnsi="宋体"/>
          <w:b/>
          <w:sz w:val="32"/>
          <w:szCs w:val="32"/>
          <w:highlight w:val="none"/>
          <w:u w:val="single"/>
        </w:rPr>
        <w:t xml:space="preserve">                            </w:t>
      </w:r>
    </w:p>
    <w:p w14:paraId="10B3FBFB">
      <w:pPr>
        <w:jc w:val="center"/>
        <w:rPr>
          <w:rFonts w:ascii="宋体" w:hAnsi="宋体"/>
          <w:color w:val="000000"/>
          <w:szCs w:val="20"/>
          <w:highlight w:val="none"/>
        </w:rPr>
      </w:pPr>
    </w:p>
    <w:p w14:paraId="2A575CF9">
      <w:pPr>
        <w:jc w:val="center"/>
        <w:rPr>
          <w:rFonts w:ascii="宋体" w:hAnsi="宋体"/>
          <w:color w:val="000000"/>
          <w:szCs w:val="20"/>
          <w:highlight w:val="none"/>
        </w:rPr>
      </w:pPr>
    </w:p>
    <w:p w14:paraId="73D49A18">
      <w:pPr>
        <w:jc w:val="center"/>
        <w:rPr>
          <w:rFonts w:ascii="宋体" w:hAnsi="宋体"/>
          <w:color w:val="000000"/>
          <w:szCs w:val="20"/>
          <w:highlight w:val="none"/>
        </w:rPr>
      </w:pPr>
    </w:p>
    <w:p w14:paraId="2A991627">
      <w:pPr>
        <w:spacing w:line="340" w:lineRule="exact"/>
        <w:ind w:firstLine="1590" w:firstLineChars="495"/>
        <w:rPr>
          <w:rFonts w:ascii="宋体" w:hAnsi="宋体"/>
          <w:b/>
          <w:color w:val="000000"/>
          <w:sz w:val="32"/>
          <w:szCs w:val="32"/>
          <w:highlight w:val="none"/>
          <w:u w:val="single"/>
        </w:rPr>
      </w:pPr>
      <w:r>
        <w:rPr>
          <w:rFonts w:hint="eastAsia" w:ascii="宋体" w:hAnsi="宋体"/>
          <w:b/>
          <w:color w:val="000000"/>
          <w:sz w:val="32"/>
          <w:szCs w:val="32"/>
          <w:highlight w:val="none"/>
        </w:rPr>
        <w:t>采购人（甲方）：</w:t>
      </w:r>
      <w:r>
        <w:rPr>
          <w:rFonts w:hint="eastAsia" w:ascii="宋体" w:hAnsi="宋体"/>
          <w:b/>
          <w:color w:val="000000"/>
          <w:sz w:val="32"/>
          <w:szCs w:val="32"/>
          <w:highlight w:val="none"/>
          <w:u w:val="single"/>
        </w:rPr>
        <w:t>北海市教育局</w:t>
      </w:r>
    </w:p>
    <w:p w14:paraId="537CEFAD">
      <w:pPr>
        <w:spacing w:line="340" w:lineRule="exact"/>
        <w:ind w:firstLine="1590" w:firstLineChars="495"/>
        <w:rPr>
          <w:rFonts w:ascii="宋体" w:hAnsi="宋体"/>
          <w:b/>
          <w:color w:val="000000"/>
          <w:sz w:val="32"/>
          <w:szCs w:val="32"/>
          <w:highlight w:val="none"/>
        </w:rPr>
      </w:pPr>
    </w:p>
    <w:p w14:paraId="39EBFBE5">
      <w:pPr>
        <w:spacing w:line="360" w:lineRule="auto"/>
        <w:ind w:left="3965" w:leftChars="741" w:hanging="2409" w:hangingChars="750"/>
        <w:rPr>
          <w:rFonts w:ascii="宋体" w:hAnsi="宋体"/>
          <w:b/>
          <w:color w:val="000000"/>
          <w:sz w:val="32"/>
          <w:szCs w:val="32"/>
          <w:highlight w:val="none"/>
          <w:u w:val="single"/>
        </w:rPr>
      </w:pPr>
      <w:r>
        <w:rPr>
          <w:rFonts w:hint="eastAsia" w:ascii="宋体" w:hAnsi="宋体"/>
          <w:b/>
          <w:color w:val="000000"/>
          <w:sz w:val="32"/>
          <w:szCs w:val="32"/>
          <w:highlight w:val="none"/>
        </w:rPr>
        <w:t>供应商（乙方）：</w:t>
      </w:r>
      <w:r>
        <w:rPr>
          <w:rFonts w:hint="eastAsia" w:ascii="宋体" w:hAnsi="宋体"/>
          <w:b/>
          <w:color w:val="000000"/>
          <w:sz w:val="32"/>
          <w:szCs w:val="32"/>
          <w:highlight w:val="none"/>
          <w:u w:val="single"/>
        </w:rPr>
        <w:t xml:space="preserve">                       </w:t>
      </w:r>
    </w:p>
    <w:p w14:paraId="1D324008">
      <w:pPr>
        <w:spacing w:before="312" w:beforeLines="100" w:line="360" w:lineRule="auto"/>
        <w:ind w:left="3965" w:leftChars="741" w:hanging="2409" w:hangingChars="750"/>
        <w:jc w:val="left"/>
        <w:rPr>
          <w:rFonts w:ascii="宋体" w:hAnsi="宋体"/>
          <w:b/>
          <w:color w:val="000000"/>
          <w:sz w:val="32"/>
          <w:szCs w:val="32"/>
          <w:highlight w:val="none"/>
          <w:u w:val="single"/>
        </w:rPr>
      </w:pPr>
      <w:r>
        <w:rPr>
          <w:rFonts w:hint="eastAsia" w:ascii="宋体" w:hAnsi="宋体"/>
          <w:b/>
          <w:color w:val="000000"/>
          <w:sz w:val="32"/>
          <w:szCs w:val="32"/>
          <w:highlight w:val="none"/>
        </w:rPr>
        <w:t>使用方（丙方）：</w:t>
      </w:r>
      <w:r>
        <w:rPr>
          <w:rFonts w:hint="eastAsia" w:ascii="宋体" w:hAnsi="宋体"/>
          <w:b/>
          <w:color w:val="000000"/>
          <w:sz w:val="32"/>
          <w:szCs w:val="32"/>
          <w:highlight w:val="none"/>
          <w:u w:val="single"/>
        </w:rPr>
        <w:t xml:space="preserve">                       </w:t>
      </w:r>
    </w:p>
    <w:p w14:paraId="597E46AA">
      <w:pPr>
        <w:jc w:val="center"/>
        <w:rPr>
          <w:rFonts w:ascii="宋体" w:hAnsi="宋体"/>
          <w:color w:val="000000"/>
          <w:szCs w:val="20"/>
          <w:highlight w:val="none"/>
        </w:rPr>
      </w:pPr>
    </w:p>
    <w:p w14:paraId="5ED0BFA2">
      <w:pPr>
        <w:jc w:val="center"/>
        <w:rPr>
          <w:rFonts w:ascii="宋体" w:hAnsi="宋体"/>
          <w:color w:val="000000"/>
          <w:szCs w:val="20"/>
          <w:highlight w:val="none"/>
        </w:rPr>
      </w:pPr>
    </w:p>
    <w:p w14:paraId="05501FBB">
      <w:pPr>
        <w:jc w:val="center"/>
        <w:rPr>
          <w:rFonts w:ascii="宋体" w:hAnsi="宋体"/>
          <w:color w:val="000000"/>
          <w:szCs w:val="20"/>
          <w:highlight w:val="none"/>
        </w:rPr>
      </w:pPr>
    </w:p>
    <w:p w14:paraId="6AD0BEE5">
      <w:pPr>
        <w:ind w:firstLine="1590" w:firstLineChars="495"/>
        <w:rPr>
          <w:rFonts w:ascii="宋体" w:hAnsi="宋体"/>
          <w:b/>
          <w:color w:val="000000"/>
          <w:sz w:val="32"/>
          <w:szCs w:val="32"/>
          <w:highlight w:val="none"/>
          <w:u w:val="single"/>
        </w:rPr>
      </w:pPr>
      <w:r>
        <w:rPr>
          <w:rFonts w:hint="eastAsia" w:ascii="宋体" w:hAnsi="宋体"/>
          <w:b/>
          <w:color w:val="000000"/>
          <w:sz w:val="32"/>
          <w:szCs w:val="32"/>
          <w:highlight w:val="none"/>
        </w:rPr>
        <w:t>签订合同地点：</w:t>
      </w:r>
      <w:r>
        <w:rPr>
          <w:rFonts w:hint="eastAsia" w:ascii="宋体" w:hAnsi="宋体"/>
          <w:b/>
          <w:color w:val="000000"/>
          <w:sz w:val="32"/>
          <w:szCs w:val="32"/>
          <w:highlight w:val="none"/>
          <w:u w:val="single"/>
        </w:rPr>
        <w:t xml:space="preserve">   </w:t>
      </w:r>
      <w:r>
        <w:rPr>
          <w:rFonts w:hint="eastAsia" w:ascii="宋体" w:hAnsi="宋体"/>
          <w:bCs/>
          <w:color w:val="000000"/>
          <w:sz w:val="32"/>
          <w:szCs w:val="32"/>
          <w:highlight w:val="none"/>
          <w:u w:val="single"/>
        </w:rPr>
        <w:t xml:space="preserve">北海市教育局  </w:t>
      </w:r>
      <w:r>
        <w:rPr>
          <w:rFonts w:hint="eastAsia" w:ascii="宋体" w:hAnsi="宋体"/>
          <w:b/>
          <w:color w:val="000000"/>
          <w:sz w:val="32"/>
          <w:szCs w:val="32"/>
          <w:highlight w:val="none"/>
          <w:u w:val="single"/>
        </w:rPr>
        <w:t xml:space="preserve">  </w:t>
      </w:r>
    </w:p>
    <w:p w14:paraId="2D329304">
      <w:pPr>
        <w:ind w:firstLine="1590" w:firstLineChars="495"/>
        <w:rPr>
          <w:rFonts w:ascii="宋体" w:hAnsi="宋体"/>
          <w:b/>
          <w:color w:val="000000"/>
          <w:sz w:val="32"/>
          <w:szCs w:val="32"/>
          <w:highlight w:val="none"/>
        </w:rPr>
      </w:pPr>
      <w:r>
        <w:rPr>
          <w:rFonts w:hint="eastAsia" w:ascii="宋体" w:hAnsi="宋体"/>
          <w:b/>
          <w:color w:val="000000"/>
          <w:sz w:val="32"/>
          <w:szCs w:val="32"/>
          <w:highlight w:val="none"/>
        </w:rPr>
        <w:t>签订合同时间：</w:t>
      </w:r>
      <w:r>
        <w:rPr>
          <w:rFonts w:hint="eastAsia" w:ascii="宋体" w:hAnsi="宋体"/>
          <w:b/>
          <w:color w:val="000000"/>
          <w:sz w:val="32"/>
          <w:szCs w:val="32"/>
          <w:highlight w:val="none"/>
          <w:u w:val="single"/>
        </w:rPr>
        <w:t xml:space="preserve">    </w:t>
      </w:r>
      <w:r>
        <w:rPr>
          <w:rFonts w:hint="eastAsia" w:ascii="宋体" w:hAnsi="宋体"/>
          <w:bCs/>
          <w:color w:val="000000"/>
          <w:sz w:val="32"/>
          <w:szCs w:val="32"/>
          <w:highlight w:val="none"/>
          <w:u w:val="single"/>
        </w:rPr>
        <w:t xml:space="preserve">年  月  日    </w:t>
      </w:r>
      <w:r>
        <w:rPr>
          <w:rFonts w:hint="eastAsia" w:ascii="宋体" w:hAnsi="宋体"/>
          <w:b/>
          <w:color w:val="000000"/>
          <w:sz w:val="32"/>
          <w:szCs w:val="32"/>
          <w:highlight w:val="none"/>
          <w:u w:val="single"/>
        </w:rPr>
        <w:t xml:space="preserve"> </w:t>
      </w:r>
    </w:p>
    <w:p w14:paraId="0594ACF8">
      <w:pPr>
        <w:jc w:val="center"/>
        <w:rPr>
          <w:rFonts w:ascii="宋体" w:hAnsi="宋体"/>
          <w:color w:val="000000"/>
          <w:szCs w:val="20"/>
          <w:highlight w:val="none"/>
        </w:rPr>
      </w:pPr>
      <w:r>
        <w:rPr>
          <w:rFonts w:hint="eastAsia" w:ascii="宋体" w:hAnsi="宋体"/>
          <w:color w:val="000000"/>
          <w:szCs w:val="20"/>
          <w:highlight w:val="none"/>
        </w:rPr>
        <w:t xml:space="preserve"> </w:t>
      </w:r>
    </w:p>
    <w:p w14:paraId="4F035180">
      <w:pPr>
        <w:jc w:val="center"/>
        <w:rPr>
          <w:rFonts w:ascii="宋体" w:hAnsi="宋体"/>
          <w:color w:val="000000"/>
          <w:szCs w:val="20"/>
          <w:highlight w:val="none"/>
        </w:rPr>
      </w:pPr>
    </w:p>
    <w:p w14:paraId="2CAE9A5B">
      <w:pPr>
        <w:jc w:val="center"/>
        <w:rPr>
          <w:rFonts w:ascii="宋体" w:hAnsi="宋体"/>
          <w:color w:val="000000"/>
          <w:szCs w:val="20"/>
          <w:highlight w:val="none"/>
        </w:rPr>
      </w:pPr>
    </w:p>
    <w:p w14:paraId="31A88E54">
      <w:pPr>
        <w:jc w:val="center"/>
        <w:rPr>
          <w:rFonts w:ascii="宋体" w:hAnsi="宋体"/>
          <w:color w:val="000000"/>
          <w:szCs w:val="20"/>
          <w:highlight w:val="none"/>
        </w:rPr>
      </w:pPr>
    </w:p>
    <w:p w14:paraId="40FC6A0A">
      <w:pPr>
        <w:jc w:val="center"/>
        <w:rPr>
          <w:rFonts w:ascii="宋体" w:hAnsi="宋体"/>
          <w:color w:val="000000"/>
          <w:szCs w:val="20"/>
          <w:highlight w:val="none"/>
        </w:rPr>
      </w:pPr>
    </w:p>
    <w:p w14:paraId="6C8ECDE5">
      <w:pPr>
        <w:jc w:val="center"/>
        <w:rPr>
          <w:rFonts w:ascii="宋体" w:hAnsi="宋体"/>
          <w:color w:val="000000"/>
          <w:szCs w:val="20"/>
          <w:highlight w:val="none"/>
        </w:rPr>
      </w:pPr>
    </w:p>
    <w:p w14:paraId="4821079E">
      <w:pPr>
        <w:jc w:val="center"/>
        <w:rPr>
          <w:rFonts w:ascii="宋体" w:hAnsi="宋体"/>
          <w:color w:val="000000"/>
          <w:szCs w:val="20"/>
          <w:highlight w:val="none"/>
        </w:rPr>
      </w:pPr>
    </w:p>
    <w:p w14:paraId="2730A7AA">
      <w:pPr>
        <w:jc w:val="center"/>
        <w:rPr>
          <w:rFonts w:ascii="宋体" w:hAnsi="宋体"/>
          <w:color w:val="000000"/>
          <w:szCs w:val="20"/>
          <w:highlight w:val="none"/>
        </w:rPr>
      </w:pPr>
    </w:p>
    <w:p w14:paraId="3FC923EC">
      <w:pPr>
        <w:spacing w:line="300" w:lineRule="auto"/>
        <w:ind w:left="420" w:hanging="420"/>
        <w:jc w:val="center"/>
        <w:rPr>
          <w:rFonts w:ascii="黑体" w:hAnsi="宋体" w:eastAsia="黑体"/>
          <w:b/>
          <w:color w:val="000000"/>
          <w:kern w:val="0"/>
          <w:sz w:val="32"/>
          <w:szCs w:val="32"/>
          <w:highlight w:val="none"/>
        </w:rPr>
      </w:pPr>
    </w:p>
    <w:p w14:paraId="354EF278">
      <w:pPr>
        <w:spacing w:line="300" w:lineRule="auto"/>
        <w:ind w:left="420" w:hanging="420"/>
        <w:jc w:val="center"/>
        <w:rPr>
          <w:rFonts w:ascii="黑体" w:hAnsi="宋体" w:eastAsia="黑体"/>
          <w:b/>
          <w:color w:val="000000"/>
          <w:kern w:val="0"/>
          <w:sz w:val="32"/>
          <w:szCs w:val="32"/>
          <w:highlight w:val="none"/>
        </w:rPr>
      </w:pPr>
    </w:p>
    <w:p w14:paraId="37B766A2">
      <w:pPr>
        <w:spacing w:line="300" w:lineRule="auto"/>
        <w:ind w:left="420" w:hanging="420"/>
        <w:jc w:val="center"/>
        <w:rPr>
          <w:rFonts w:ascii="黑体" w:hAnsi="宋体" w:eastAsia="黑体"/>
          <w:b/>
          <w:color w:val="000000"/>
          <w:kern w:val="0"/>
          <w:sz w:val="32"/>
          <w:szCs w:val="32"/>
          <w:highlight w:val="none"/>
        </w:rPr>
      </w:pPr>
      <w:r>
        <w:rPr>
          <w:rFonts w:hint="eastAsia" w:ascii="黑体" w:hAnsi="宋体" w:eastAsia="黑体"/>
          <w:b/>
          <w:color w:val="000000"/>
          <w:kern w:val="0"/>
          <w:sz w:val="32"/>
          <w:szCs w:val="32"/>
          <w:highlight w:val="none"/>
        </w:rPr>
        <w:t>采购合同文本</w:t>
      </w:r>
    </w:p>
    <w:p w14:paraId="591E0282">
      <w:pPr>
        <w:snapToGrid w:val="0"/>
        <w:spacing w:line="400" w:lineRule="exact"/>
        <w:jc w:val="center"/>
        <w:rPr>
          <w:rFonts w:ascii="宋体" w:hAnsi="宋体"/>
          <w:b/>
          <w:bCs/>
          <w:color w:val="000000"/>
          <w:szCs w:val="21"/>
          <w:highlight w:val="none"/>
        </w:rPr>
      </w:pPr>
      <w:r>
        <w:rPr>
          <w:rFonts w:hint="eastAsia" w:ascii="宋体" w:hAnsi="宋体"/>
          <w:b/>
          <w:bCs/>
          <w:color w:val="000000"/>
          <w:szCs w:val="21"/>
          <w:highlight w:val="none"/>
        </w:rPr>
        <w:t>北海市政府采购合同</w:t>
      </w:r>
    </w:p>
    <w:p w14:paraId="0D176D34">
      <w:pPr>
        <w:snapToGrid w:val="0"/>
        <w:spacing w:line="400" w:lineRule="exact"/>
        <w:jc w:val="center"/>
        <w:rPr>
          <w:rFonts w:ascii="宋体" w:hAnsi="宋体"/>
          <w:b/>
          <w:bCs/>
          <w:color w:val="000000"/>
          <w:szCs w:val="21"/>
          <w:highlight w:val="none"/>
        </w:rPr>
      </w:pPr>
    </w:p>
    <w:p w14:paraId="3D083644">
      <w:pPr>
        <w:snapToGrid w:val="0"/>
        <w:spacing w:line="420" w:lineRule="exact"/>
        <w:ind w:right="480"/>
        <w:rPr>
          <w:rFonts w:ascii="宋体" w:hAnsi="宋体"/>
          <w:bCs/>
          <w:color w:val="000000"/>
          <w:szCs w:val="21"/>
          <w:highlight w:val="none"/>
        </w:rPr>
      </w:pPr>
      <w:r>
        <w:rPr>
          <w:rFonts w:hint="eastAsia" w:ascii="宋体" w:hAnsi="宋体"/>
          <w:bCs/>
          <w:color w:val="000000"/>
          <w:szCs w:val="21"/>
          <w:highlight w:val="none"/>
        </w:rPr>
        <w:t>合同编号：</w:t>
      </w:r>
    </w:p>
    <w:p w14:paraId="02B1F09C">
      <w:pPr>
        <w:snapToGrid w:val="0"/>
        <w:spacing w:line="440" w:lineRule="exact"/>
        <w:rPr>
          <w:rFonts w:ascii="宋体" w:hAnsi="宋体"/>
          <w:bCs/>
          <w:color w:val="000000"/>
          <w:szCs w:val="21"/>
          <w:highlight w:val="none"/>
        </w:rPr>
      </w:pPr>
      <w:r>
        <w:rPr>
          <w:rFonts w:hint="eastAsia" w:ascii="宋体" w:hAnsi="宋体"/>
          <w:color w:val="000000"/>
          <w:szCs w:val="21"/>
          <w:highlight w:val="none"/>
        </w:rPr>
        <w:t>采购人（甲方）：</w:t>
      </w:r>
      <w:r>
        <w:rPr>
          <w:rFonts w:hint="eastAsia" w:ascii="宋体" w:hAnsi="宋体"/>
          <w:color w:val="000000"/>
          <w:szCs w:val="21"/>
          <w:highlight w:val="none"/>
          <w:u w:val="single"/>
        </w:rPr>
        <w:t>北海市教育局</w:t>
      </w:r>
      <w:r>
        <w:rPr>
          <w:rFonts w:hint="eastAsia" w:ascii="宋体" w:hAnsi="宋体"/>
          <w:color w:val="000000"/>
          <w:szCs w:val="21"/>
          <w:highlight w:val="none"/>
        </w:rPr>
        <w:t xml:space="preserve">   </w:t>
      </w:r>
      <w:r>
        <w:rPr>
          <w:rFonts w:hint="eastAsia" w:ascii="宋体" w:hAnsi="宋体"/>
          <w:color w:val="000000"/>
          <w:spacing w:val="-20"/>
          <w:szCs w:val="21"/>
          <w:highlight w:val="none"/>
        </w:rPr>
        <w:t>采 购 计 划 号</w:t>
      </w:r>
      <w:r>
        <w:rPr>
          <w:rFonts w:hint="eastAsia" w:ascii="宋体" w:hAnsi="宋体"/>
          <w:color w:val="000000"/>
          <w:szCs w:val="21"/>
          <w:highlight w:val="none"/>
        </w:rPr>
        <w:t xml:space="preserve">：  </w:t>
      </w:r>
      <w:r>
        <w:rPr>
          <w:rFonts w:hint="eastAsia" w:ascii="宋体" w:hAnsi="宋体"/>
          <w:color w:val="000000"/>
          <w:szCs w:val="21"/>
          <w:highlight w:val="none"/>
          <w:u w:val="single"/>
        </w:rPr>
        <w:t xml:space="preserve">                          </w:t>
      </w:r>
      <w:r>
        <w:rPr>
          <w:rFonts w:hint="eastAsia" w:ascii="宋体" w:hAnsi="宋体"/>
          <w:color w:val="000000"/>
          <w:szCs w:val="21"/>
          <w:highlight w:val="none"/>
        </w:rPr>
        <w:t xml:space="preserve"> </w:t>
      </w:r>
    </w:p>
    <w:p w14:paraId="4A6B8FF6">
      <w:pPr>
        <w:snapToGrid w:val="0"/>
        <w:spacing w:line="440" w:lineRule="exact"/>
        <w:rPr>
          <w:rFonts w:ascii="宋体" w:hAnsi="宋体"/>
          <w:color w:val="000000"/>
          <w:szCs w:val="21"/>
          <w:highlight w:val="none"/>
          <w:u w:val="single"/>
        </w:rPr>
      </w:pPr>
      <w:r>
        <w:rPr>
          <w:rFonts w:hint="eastAsia" w:ascii="宋体" w:hAnsi="宋体"/>
          <w:color w:val="000000"/>
          <w:szCs w:val="21"/>
          <w:highlight w:val="none"/>
        </w:rPr>
        <w:t>供应商（乙方）：</w:t>
      </w:r>
      <w:r>
        <w:rPr>
          <w:rFonts w:hint="eastAsia" w:ascii="宋体" w:hAnsi="宋体"/>
          <w:color w:val="000000"/>
          <w:szCs w:val="21"/>
          <w:highlight w:val="none"/>
          <w:u w:val="single"/>
        </w:rPr>
        <w:t xml:space="preserve">                        </w:t>
      </w:r>
    </w:p>
    <w:p w14:paraId="04DB03C0">
      <w:pPr>
        <w:spacing w:line="440" w:lineRule="exact"/>
        <w:rPr>
          <w:rFonts w:ascii="宋体" w:hAnsi="宋体"/>
          <w:color w:val="000000"/>
          <w:szCs w:val="21"/>
          <w:highlight w:val="none"/>
          <w:u w:val="single"/>
        </w:rPr>
      </w:pPr>
      <w:r>
        <w:rPr>
          <w:rFonts w:hint="eastAsia" w:ascii="宋体" w:hAnsi="宋体"/>
          <w:color w:val="000000"/>
          <w:szCs w:val="21"/>
          <w:highlight w:val="none"/>
        </w:rPr>
        <w:t>使用方（丙方）：</w:t>
      </w:r>
      <w:r>
        <w:rPr>
          <w:rFonts w:hint="eastAsia" w:ascii="宋体" w:hAnsi="宋体"/>
          <w:color w:val="000000"/>
          <w:szCs w:val="21"/>
          <w:highlight w:val="none"/>
          <w:u w:val="single"/>
        </w:rPr>
        <w:t xml:space="preserve">                        </w:t>
      </w:r>
    </w:p>
    <w:p w14:paraId="3AA94BA0">
      <w:pPr>
        <w:snapToGrid w:val="0"/>
        <w:spacing w:line="440" w:lineRule="exact"/>
        <w:rPr>
          <w:rFonts w:ascii="宋体" w:hAnsi="宋体"/>
          <w:color w:val="000000"/>
          <w:szCs w:val="21"/>
          <w:highlight w:val="none"/>
        </w:rPr>
      </w:pPr>
      <w:r>
        <w:rPr>
          <w:rFonts w:hint="eastAsia" w:ascii="宋体" w:hAnsi="宋体"/>
          <w:color w:val="000000"/>
          <w:szCs w:val="21"/>
          <w:highlight w:val="none"/>
        </w:rPr>
        <w:t>项目名称：</w:t>
      </w:r>
      <w:r>
        <w:rPr>
          <w:rFonts w:hint="eastAsia" w:ascii="宋体" w:hAnsi="宋体"/>
          <w:b/>
          <w:color w:val="000000"/>
          <w:sz w:val="32"/>
          <w:szCs w:val="32"/>
          <w:highlight w:val="none"/>
          <w:u w:val="single"/>
        </w:rPr>
        <w:t xml:space="preserve">              </w:t>
      </w:r>
      <w:r>
        <w:rPr>
          <w:rFonts w:hint="eastAsia" w:ascii="宋体" w:hAnsi="宋体"/>
          <w:color w:val="000000"/>
          <w:szCs w:val="21"/>
          <w:highlight w:val="none"/>
        </w:rPr>
        <w:t>(项目编号：   )</w:t>
      </w:r>
    </w:p>
    <w:p w14:paraId="6BA99779">
      <w:pPr>
        <w:snapToGrid w:val="0"/>
        <w:spacing w:line="440" w:lineRule="exact"/>
        <w:rPr>
          <w:rFonts w:ascii="宋体" w:hAnsi="宋体"/>
          <w:color w:val="000000"/>
          <w:szCs w:val="21"/>
          <w:highlight w:val="none"/>
          <w:u w:val="single"/>
        </w:rPr>
      </w:pPr>
      <w:r>
        <w:rPr>
          <w:rFonts w:hint="eastAsia" w:ascii="宋体" w:hAnsi="宋体"/>
          <w:color w:val="000000"/>
          <w:szCs w:val="21"/>
          <w:highlight w:val="none"/>
        </w:rPr>
        <w:t xml:space="preserve">签  订  地  点： </w:t>
      </w:r>
      <w:r>
        <w:rPr>
          <w:rFonts w:hint="eastAsia" w:ascii="宋体" w:hAnsi="宋体"/>
          <w:color w:val="000000"/>
          <w:szCs w:val="21"/>
          <w:highlight w:val="none"/>
          <w:u w:val="single"/>
        </w:rPr>
        <w:t xml:space="preserve"> 北海市教育局     </w:t>
      </w:r>
      <w:r>
        <w:rPr>
          <w:rFonts w:hint="eastAsia" w:ascii="宋体" w:hAnsi="宋体"/>
          <w:color w:val="000000"/>
          <w:szCs w:val="21"/>
          <w:highlight w:val="none"/>
        </w:rPr>
        <w:t xml:space="preserve">  签 订 时 间：</w:t>
      </w:r>
      <w:r>
        <w:rPr>
          <w:rFonts w:hint="eastAsia" w:ascii="宋体" w:hAnsi="宋体"/>
          <w:color w:val="000000"/>
          <w:szCs w:val="21"/>
          <w:highlight w:val="none"/>
          <w:u w:val="single"/>
        </w:rPr>
        <w:t xml:space="preserve">     年   月    日    </w:t>
      </w:r>
    </w:p>
    <w:p w14:paraId="036E0837">
      <w:pPr>
        <w:snapToGrid w:val="0"/>
        <w:spacing w:line="440" w:lineRule="exact"/>
        <w:ind w:firstLine="420" w:firstLineChars="200"/>
        <w:rPr>
          <w:rFonts w:ascii="宋体" w:hAnsi="宋体"/>
          <w:color w:val="000000"/>
          <w:szCs w:val="21"/>
          <w:highlight w:val="none"/>
        </w:rPr>
      </w:pPr>
    </w:p>
    <w:p w14:paraId="1C0FE932">
      <w:pPr>
        <w:snapToGrid w:val="0"/>
        <w:spacing w:line="440" w:lineRule="exact"/>
        <w:ind w:firstLine="420" w:firstLineChars="200"/>
        <w:rPr>
          <w:rFonts w:ascii="宋体" w:hAnsi="宋体"/>
          <w:color w:val="000000"/>
          <w:szCs w:val="21"/>
          <w:highlight w:val="none"/>
        </w:rPr>
      </w:pPr>
      <w:r>
        <w:rPr>
          <w:rFonts w:hint="eastAsia" w:ascii="宋体" w:hAnsi="宋体"/>
          <w:color w:val="000000"/>
          <w:szCs w:val="21"/>
          <w:highlight w:val="none"/>
        </w:rPr>
        <w:t>根据《中华人民共和国民法典》、《中华人民共和国政府采购法》等法律、法规规定，按照公开招标采购文件（以下简称“招标文件”）规定条款和乙方投标文件（以下简称“投标文件”）及其承诺，甲、乙、丙三方签订本合同。</w:t>
      </w:r>
    </w:p>
    <w:p w14:paraId="372C4ABB">
      <w:pPr>
        <w:snapToGrid w:val="0"/>
        <w:spacing w:line="440" w:lineRule="exact"/>
        <w:ind w:firstLine="422" w:firstLineChars="200"/>
        <w:rPr>
          <w:rFonts w:ascii="宋体" w:hAnsi="宋体"/>
          <w:b/>
          <w:color w:val="000000"/>
          <w:szCs w:val="21"/>
          <w:highlight w:val="none"/>
        </w:rPr>
      </w:pPr>
      <w:r>
        <w:rPr>
          <w:rFonts w:hint="eastAsia" w:ascii="宋体" w:hAnsi="宋体"/>
          <w:b/>
          <w:color w:val="000000"/>
          <w:szCs w:val="21"/>
          <w:highlight w:val="none"/>
        </w:rPr>
        <w:t>第一条　合同标的</w:t>
      </w:r>
    </w:p>
    <w:p w14:paraId="016E7F47">
      <w:pPr>
        <w:snapToGrid w:val="0"/>
        <w:spacing w:line="440" w:lineRule="exact"/>
        <w:ind w:firstLine="420" w:firstLineChars="200"/>
        <w:rPr>
          <w:rFonts w:ascii="宋体" w:hAnsi="宋体"/>
          <w:color w:val="000000"/>
          <w:szCs w:val="21"/>
          <w:highlight w:val="none"/>
        </w:rPr>
      </w:pPr>
      <w:r>
        <w:rPr>
          <w:rFonts w:hint="eastAsia" w:ascii="宋体" w:hAnsi="宋体"/>
          <w:color w:val="000000"/>
          <w:szCs w:val="21"/>
          <w:highlight w:val="none"/>
        </w:rPr>
        <w:t>1、服务一览表</w:t>
      </w:r>
    </w:p>
    <w:tbl>
      <w:tblPr>
        <w:tblStyle w:val="63"/>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703"/>
        <w:gridCol w:w="2979"/>
        <w:gridCol w:w="1958"/>
        <w:gridCol w:w="2003"/>
      </w:tblGrid>
      <w:tr w14:paraId="080E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trPr>
        <w:tc>
          <w:tcPr>
            <w:tcW w:w="747" w:type="dxa"/>
            <w:vAlign w:val="center"/>
          </w:tcPr>
          <w:p w14:paraId="497372F9">
            <w:pPr>
              <w:snapToGrid w:val="0"/>
              <w:spacing w:line="440" w:lineRule="exact"/>
              <w:jc w:val="center"/>
              <w:rPr>
                <w:rFonts w:ascii="宋体" w:hAnsi="宋体"/>
                <w:b/>
                <w:color w:val="000000"/>
                <w:szCs w:val="21"/>
                <w:highlight w:val="none"/>
              </w:rPr>
            </w:pPr>
            <w:r>
              <w:rPr>
                <w:rFonts w:hint="eastAsia" w:ascii="宋体" w:hAnsi="宋体"/>
                <w:b/>
                <w:color w:val="000000"/>
                <w:szCs w:val="21"/>
                <w:highlight w:val="none"/>
              </w:rPr>
              <w:t>序号</w:t>
            </w:r>
          </w:p>
        </w:tc>
        <w:tc>
          <w:tcPr>
            <w:tcW w:w="1843" w:type="dxa"/>
            <w:vAlign w:val="center"/>
          </w:tcPr>
          <w:p w14:paraId="6B85F7E9">
            <w:pPr>
              <w:snapToGrid w:val="0"/>
              <w:spacing w:line="440" w:lineRule="exact"/>
              <w:jc w:val="center"/>
              <w:rPr>
                <w:rFonts w:ascii="宋体" w:hAnsi="宋体"/>
                <w:b/>
                <w:color w:val="000000"/>
                <w:szCs w:val="21"/>
                <w:highlight w:val="none"/>
              </w:rPr>
            </w:pPr>
            <w:r>
              <w:rPr>
                <w:rFonts w:hint="eastAsia" w:ascii="宋体" w:hAnsi="宋体"/>
                <w:b/>
                <w:color w:val="000000"/>
                <w:szCs w:val="21"/>
                <w:highlight w:val="none"/>
              </w:rPr>
              <w:t>服务内容</w:t>
            </w:r>
          </w:p>
        </w:tc>
        <w:tc>
          <w:tcPr>
            <w:tcW w:w="3260" w:type="dxa"/>
            <w:vAlign w:val="center"/>
          </w:tcPr>
          <w:p w14:paraId="61D608E7">
            <w:pPr>
              <w:snapToGrid w:val="0"/>
              <w:spacing w:line="440" w:lineRule="exact"/>
              <w:jc w:val="center"/>
              <w:rPr>
                <w:rFonts w:ascii="宋体" w:hAnsi="宋体"/>
                <w:b/>
                <w:color w:val="000000"/>
                <w:szCs w:val="21"/>
                <w:highlight w:val="none"/>
              </w:rPr>
            </w:pPr>
            <w:r>
              <w:rPr>
                <w:rFonts w:hint="eastAsia" w:ascii="宋体" w:hAnsi="宋体" w:cs="宋体"/>
                <w:b/>
                <w:kern w:val="0"/>
                <w:szCs w:val="21"/>
                <w:highlight w:val="none"/>
              </w:rPr>
              <w:t>详细内容及要求</w:t>
            </w:r>
          </w:p>
        </w:tc>
        <w:tc>
          <w:tcPr>
            <w:tcW w:w="2127" w:type="dxa"/>
            <w:vAlign w:val="center"/>
          </w:tcPr>
          <w:p w14:paraId="72228499">
            <w:pPr>
              <w:snapToGrid w:val="0"/>
              <w:spacing w:line="440" w:lineRule="exact"/>
              <w:jc w:val="center"/>
              <w:rPr>
                <w:rFonts w:ascii="宋体" w:hAnsi="宋体"/>
                <w:b/>
                <w:color w:val="000000"/>
                <w:szCs w:val="21"/>
                <w:highlight w:val="none"/>
              </w:rPr>
            </w:pPr>
            <w:r>
              <w:rPr>
                <w:rFonts w:hint="eastAsia" w:ascii="宋体" w:hAnsi="宋体"/>
                <w:b/>
                <w:color w:val="000000"/>
                <w:szCs w:val="21"/>
                <w:highlight w:val="none"/>
              </w:rPr>
              <w:t>服务人数</w:t>
            </w:r>
          </w:p>
        </w:tc>
        <w:tc>
          <w:tcPr>
            <w:tcW w:w="2176" w:type="dxa"/>
            <w:vAlign w:val="center"/>
          </w:tcPr>
          <w:p w14:paraId="55E9DF8B">
            <w:pPr>
              <w:snapToGrid w:val="0"/>
              <w:spacing w:line="440" w:lineRule="exact"/>
              <w:jc w:val="center"/>
              <w:rPr>
                <w:rFonts w:ascii="宋体" w:hAnsi="宋体"/>
                <w:b/>
                <w:color w:val="000000"/>
                <w:szCs w:val="21"/>
                <w:highlight w:val="none"/>
              </w:rPr>
            </w:pPr>
            <w:r>
              <w:rPr>
                <w:rFonts w:hint="eastAsia" w:ascii="宋体" w:hAnsi="宋体" w:cs="宋体"/>
                <w:b/>
                <w:kern w:val="0"/>
                <w:szCs w:val="21"/>
                <w:highlight w:val="none"/>
              </w:rPr>
              <w:t>合同金额</w:t>
            </w:r>
          </w:p>
        </w:tc>
      </w:tr>
      <w:tr w14:paraId="3554D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47" w:type="dxa"/>
            <w:vAlign w:val="center"/>
          </w:tcPr>
          <w:p w14:paraId="38AA3690">
            <w:pPr>
              <w:snapToGrid w:val="0"/>
              <w:spacing w:line="440" w:lineRule="exact"/>
              <w:jc w:val="center"/>
              <w:rPr>
                <w:rFonts w:ascii="宋体" w:hAnsi="宋体"/>
                <w:color w:val="000000"/>
                <w:szCs w:val="21"/>
                <w:highlight w:val="none"/>
              </w:rPr>
            </w:pPr>
            <w:r>
              <w:rPr>
                <w:rFonts w:hint="eastAsia" w:ascii="宋体" w:hAnsi="宋体"/>
                <w:color w:val="000000"/>
                <w:szCs w:val="21"/>
                <w:highlight w:val="none"/>
              </w:rPr>
              <w:t>1</w:t>
            </w:r>
          </w:p>
        </w:tc>
        <w:tc>
          <w:tcPr>
            <w:tcW w:w="1843" w:type="dxa"/>
            <w:vAlign w:val="center"/>
          </w:tcPr>
          <w:p w14:paraId="26CFF2B3">
            <w:pPr>
              <w:widowControl/>
              <w:adjustRightInd w:val="0"/>
              <w:snapToGrid w:val="0"/>
              <w:spacing w:line="440" w:lineRule="exact"/>
              <w:jc w:val="center"/>
              <w:rPr>
                <w:rFonts w:ascii="宋体" w:cs="宋体"/>
                <w:color w:val="000000"/>
                <w:kern w:val="0"/>
                <w:szCs w:val="21"/>
                <w:highlight w:val="none"/>
              </w:rPr>
            </w:pPr>
          </w:p>
        </w:tc>
        <w:tc>
          <w:tcPr>
            <w:tcW w:w="3260" w:type="dxa"/>
            <w:vAlign w:val="center"/>
          </w:tcPr>
          <w:p w14:paraId="01DC8284">
            <w:pPr>
              <w:spacing w:line="440" w:lineRule="exact"/>
              <w:jc w:val="center"/>
              <w:rPr>
                <w:rFonts w:ascii="宋体" w:hAnsi="宋体" w:cs="宋体"/>
                <w:sz w:val="24"/>
                <w:highlight w:val="none"/>
              </w:rPr>
            </w:pPr>
            <w:r>
              <w:rPr>
                <w:rFonts w:hint="eastAsia" w:ascii="宋体" w:hAnsi="宋体"/>
                <w:szCs w:val="21"/>
                <w:highlight w:val="none"/>
              </w:rPr>
              <w:t>见投标标文件报价表及附件</w:t>
            </w:r>
          </w:p>
        </w:tc>
        <w:tc>
          <w:tcPr>
            <w:tcW w:w="2127" w:type="dxa"/>
          </w:tcPr>
          <w:p w14:paraId="6F341DAD">
            <w:pPr>
              <w:spacing w:line="440" w:lineRule="exact"/>
              <w:jc w:val="center"/>
              <w:rPr>
                <w:rFonts w:ascii="宋体" w:hAnsi="宋体"/>
                <w:szCs w:val="21"/>
                <w:highlight w:val="none"/>
              </w:rPr>
            </w:pPr>
          </w:p>
        </w:tc>
        <w:tc>
          <w:tcPr>
            <w:tcW w:w="2176" w:type="dxa"/>
          </w:tcPr>
          <w:p w14:paraId="70936279">
            <w:pPr>
              <w:spacing w:line="440" w:lineRule="exact"/>
              <w:jc w:val="center"/>
              <w:rPr>
                <w:rFonts w:ascii="宋体" w:hAnsi="宋体"/>
                <w:szCs w:val="21"/>
                <w:highlight w:val="none"/>
              </w:rPr>
            </w:pPr>
          </w:p>
        </w:tc>
      </w:tr>
      <w:tr w14:paraId="2495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trPr>
        <w:tc>
          <w:tcPr>
            <w:tcW w:w="10153" w:type="dxa"/>
            <w:gridSpan w:val="5"/>
            <w:vAlign w:val="center"/>
          </w:tcPr>
          <w:p w14:paraId="78524701">
            <w:pPr>
              <w:snapToGrid w:val="0"/>
              <w:spacing w:line="440" w:lineRule="exact"/>
              <w:rPr>
                <w:szCs w:val="21"/>
                <w:highlight w:val="none"/>
              </w:rPr>
            </w:pPr>
            <w:r>
              <w:rPr>
                <w:rFonts w:hint="eastAsia"/>
                <w:szCs w:val="21"/>
                <w:highlight w:val="none"/>
              </w:rPr>
              <w:t>合同金额为：</w:t>
            </w:r>
          </w:p>
        </w:tc>
      </w:tr>
    </w:tbl>
    <w:p w14:paraId="43F9A480">
      <w:pPr>
        <w:snapToGrid w:val="0"/>
        <w:spacing w:line="440" w:lineRule="exact"/>
        <w:ind w:right="420" w:firstLine="420" w:firstLineChars="200"/>
        <w:rPr>
          <w:rFonts w:ascii="宋体" w:hAnsi="宋体"/>
          <w:color w:val="000000"/>
          <w:szCs w:val="21"/>
          <w:highlight w:val="none"/>
        </w:rPr>
      </w:pPr>
      <w:r>
        <w:rPr>
          <w:rFonts w:hint="eastAsia" w:ascii="宋体" w:cs="宋体"/>
          <w:color w:val="000000"/>
          <w:kern w:val="0"/>
          <w:szCs w:val="21"/>
          <w:highlight w:val="none"/>
        </w:rPr>
        <w:t>2、合同合计金额包括服务费、设备费、管理费、验收费、利润、税金及其它所有成本、费用的总</w:t>
      </w:r>
      <w:r>
        <w:rPr>
          <w:rFonts w:hint="eastAsia" w:hAnsi="宋体"/>
          <w:bCs/>
          <w:color w:val="000000"/>
          <w:szCs w:val="20"/>
          <w:highlight w:val="none"/>
        </w:rPr>
        <w:t>和</w:t>
      </w:r>
      <w:r>
        <w:rPr>
          <w:rFonts w:hint="eastAsia" w:ascii="宋体" w:hAnsi="宋体"/>
          <w:color w:val="000000"/>
          <w:szCs w:val="21"/>
          <w:highlight w:val="none"/>
        </w:rPr>
        <w:t>。如招标文件、投标文件对其另有规定的，从其规定。</w:t>
      </w:r>
    </w:p>
    <w:p w14:paraId="4F5CD876">
      <w:pPr>
        <w:snapToGrid w:val="0"/>
        <w:spacing w:line="440" w:lineRule="exact"/>
        <w:ind w:firstLine="422" w:firstLineChars="200"/>
        <w:rPr>
          <w:rFonts w:ascii="宋体" w:hAnsi="宋体"/>
          <w:color w:val="000000"/>
          <w:szCs w:val="21"/>
          <w:highlight w:val="none"/>
        </w:rPr>
      </w:pPr>
      <w:r>
        <w:rPr>
          <w:rFonts w:hint="eastAsia" w:ascii="宋体" w:hAnsi="宋体"/>
          <w:b/>
          <w:color w:val="000000"/>
          <w:szCs w:val="21"/>
          <w:highlight w:val="none"/>
        </w:rPr>
        <w:t>第二条　质量保证</w:t>
      </w:r>
    </w:p>
    <w:p w14:paraId="103E672B">
      <w:pPr>
        <w:snapToGrid w:val="0"/>
        <w:spacing w:line="440" w:lineRule="exact"/>
        <w:ind w:firstLine="420" w:firstLineChars="200"/>
        <w:rPr>
          <w:rFonts w:ascii="宋体" w:hAnsi="宋体"/>
          <w:color w:val="000000"/>
          <w:szCs w:val="21"/>
          <w:highlight w:val="none"/>
        </w:rPr>
      </w:pPr>
      <w:r>
        <w:rPr>
          <w:rFonts w:hint="eastAsia" w:ascii="宋体" w:hAnsi="宋体"/>
          <w:color w:val="000000"/>
          <w:szCs w:val="21"/>
          <w:highlight w:val="none"/>
        </w:rPr>
        <w:t>1.乙方所提供的服务质量必须与招标文件、投标文件和承诺相一致。</w:t>
      </w:r>
    </w:p>
    <w:p w14:paraId="078A8F5F">
      <w:pPr>
        <w:spacing w:line="440" w:lineRule="exact"/>
        <w:ind w:firstLine="420" w:firstLineChars="200"/>
        <w:rPr>
          <w:rFonts w:ascii="宋体" w:hAnsi="宋体"/>
          <w:color w:val="000000"/>
          <w:szCs w:val="21"/>
          <w:highlight w:val="none"/>
        </w:rPr>
      </w:pPr>
      <w:r>
        <w:rPr>
          <w:rFonts w:hint="eastAsia" w:ascii="宋体" w:hAnsi="宋体"/>
          <w:color w:val="000000"/>
          <w:szCs w:val="21"/>
          <w:highlight w:val="none"/>
        </w:rPr>
        <w:t>2.乙方应按照甲方的要求和丙方的实际需要,为丙方提供物业服务，包括但不限于保洁、绿化、设备维护等。</w:t>
      </w:r>
    </w:p>
    <w:p w14:paraId="4E3F718F">
      <w:pPr>
        <w:spacing w:line="440" w:lineRule="exact"/>
        <w:ind w:firstLine="420" w:firstLineChars="200"/>
        <w:rPr>
          <w:sz w:val="24"/>
          <w:szCs w:val="20"/>
          <w:highlight w:val="none"/>
        </w:rPr>
      </w:pPr>
      <w:r>
        <w:rPr>
          <w:rFonts w:hint="eastAsia" w:ascii="宋体" w:hAnsi="宋体"/>
          <w:color w:val="000000"/>
          <w:szCs w:val="21"/>
          <w:highlight w:val="none"/>
        </w:rPr>
        <w:t>3.乙方应确保服务质量达到合同约定的标准和丙方的满意度。</w:t>
      </w:r>
    </w:p>
    <w:p w14:paraId="3B8C0704">
      <w:pPr>
        <w:snapToGrid w:val="0"/>
        <w:spacing w:line="440" w:lineRule="exact"/>
        <w:ind w:firstLine="422" w:firstLineChars="200"/>
        <w:rPr>
          <w:rFonts w:ascii="宋体" w:hAnsi="宋体"/>
          <w:b/>
          <w:color w:val="000000"/>
          <w:szCs w:val="21"/>
          <w:highlight w:val="none"/>
        </w:rPr>
      </w:pPr>
      <w:r>
        <w:rPr>
          <w:rFonts w:hint="eastAsia" w:ascii="宋体" w:hAnsi="宋体"/>
          <w:b/>
          <w:color w:val="000000"/>
          <w:szCs w:val="21"/>
          <w:highlight w:val="none"/>
        </w:rPr>
        <w:t>第三条　交付和验收</w:t>
      </w:r>
    </w:p>
    <w:p w14:paraId="63F7EDFD">
      <w:pPr>
        <w:snapToGrid w:val="0"/>
        <w:spacing w:line="440" w:lineRule="exact"/>
        <w:ind w:firstLine="420" w:firstLineChars="200"/>
        <w:rPr>
          <w:rFonts w:ascii="宋体" w:hAnsi="宋体"/>
          <w:color w:val="000000"/>
          <w:szCs w:val="21"/>
          <w:highlight w:val="none"/>
        </w:rPr>
      </w:pPr>
      <w:r>
        <w:rPr>
          <w:rFonts w:hint="eastAsia" w:ascii="宋体" w:hAnsi="宋体"/>
          <w:color w:val="000000"/>
          <w:szCs w:val="21"/>
          <w:highlight w:val="none"/>
        </w:rPr>
        <w:t xml:space="preserve">1.服务开始时间：  </w:t>
      </w:r>
      <w:r>
        <w:rPr>
          <w:rFonts w:hint="eastAsia" w:ascii="宋体" w:hAnsi="宋体"/>
          <w:szCs w:val="21"/>
          <w:highlight w:val="none"/>
          <w:u w:val="single"/>
        </w:rPr>
        <w:t>年   月   日至年   月   日，共两年（具体时间以进点时间为准）</w:t>
      </w:r>
      <w:r>
        <w:rPr>
          <w:rFonts w:hint="eastAsia" w:ascii="宋体" w:hAnsi="宋体"/>
          <w:color w:val="000000"/>
          <w:szCs w:val="21"/>
          <w:highlight w:val="none"/>
        </w:rPr>
        <w:t>。</w:t>
      </w:r>
    </w:p>
    <w:p w14:paraId="64300870">
      <w:pPr>
        <w:snapToGrid w:val="0"/>
        <w:spacing w:line="44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2.服务地点：</w:t>
      </w:r>
      <w:r>
        <w:rPr>
          <w:rFonts w:hint="eastAsia" w:ascii="宋体" w:hAnsi="宋体"/>
          <w:color w:val="000000"/>
          <w:szCs w:val="21"/>
          <w:highlight w:val="none"/>
          <w:u w:val="single"/>
        </w:rPr>
        <w:t xml:space="preserve"> </w:t>
      </w:r>
      <w:r>
        <w:rPr>
          <w:rFonts w:hint="eastAsia" w:ascii="宋体" w:hAnsi="宋体"/>
          <w:b/>
          <w:color w:val="000000"/>
          <w:sz w:val="32"/>
          <w:szCs w:val="32"/>
          <w:highlight w:val="none"/>
          <w:u w:val="single"/>
        </w:rPr>
        <w:t xml:space="preserve">                       </w:t>
      </w:r>
      <w:r>
        <w:rPr>
          <w:rFonts w:hint="eastAsia" w:ascii="宋体" w:hAnsi="宋体"/>
          <w:color w:val="000000"/>
          <w:szCs w:val="21"/>
          <w:highlight w:val="none"/>
          <w:u w:val="single"/>
        </w:rPr>
        <w:t xml:space="preserve">   </w:t>
      </w:r>
      <w:r>
        <w:rPr>
          <w:rFonts w:hint="eastAsia" w:ascii="宋体" w:hAnsi="宋体"/>
          <w:color w:val="000000"/>
          <w:szCs w:val="21"/>
          <w:highlight w:val="none"/>
        </w:rPr>
        <w:t>。</w:t>
      </w:r>
    </w:p>
    <w:p w14:paraId="5256CC36">
      <w:pPr>
        <w:snapToGrid w:val="0"/>
        <w:spacing w:line="440" w:lineRule="exact"/>
        <w:ind w:firstLine="420" w:firstLineChars="200"/>
        <w:rPr>
          <w:rFonts w:ascii="宋体" w:hAnsi="宋体"/>
          <w:color w:val="000000"/>
          <w:szCs w:val="21"/>
          <w:highlight w:val="none"/>
        </w:rPr>
      </w:pPr>
      <w:r>
        <w:rPr>
          <w:rFonts w:hint="eastAsia" w:ascii="宋体" w:hAnsi="宋体"/>
          <w:color w:val="000000"/>
          <w:szCs w:val="21"/>
          <w:highlight w:val="none"/>
        </w:rPr>
        <w:t>3.</w:t>
      </w:r>
      <w:r>
        <w:rPr>
          <w:rFonts w:hint="eastAsia" w:ascii="宋体" w:hAnsi="宋体"/>
          <w:b/>
          <w:color w:val="000000"/>
          <w:szCs w:val="21"/>
          <w:highlight w:val="none"/>
        </w:rPr>
        <w:t>验收方式：</w:t>
      </w:r>
    </w:p>
    <w:p w14:paraId="4FFF6E5B">
      <w:pPr>
        <w:snapToGrid w:val="0"/>
        <w:spacing w:line="440" w:lineRule="exact"/>
        <w:ind w:firstLine="422" w:firstLineChars="200"/>
        <w:rPr>
          <w:rFonts w:ascii="宋体" w:hAnsi="宋体"/>
          <w:b/>
          <w:color w:val="000000"/>
          <w:szCs w:val="21"/>
          <w:highlight w:val="none"/>
        </w:rPr>
      </w:pPr>
      <w:r>
        <w:rPr>
          <w:rFonts w:hint="eastAsia" w:ascii="宋体" w:hAnsi="宋体"/>
          <w:b/>
          <w:color w:val="000000"/>
          <w:szCs w:val="21"/>
          <w:highlight w:val="none"/>
        </w:rPr>
        <w:t>第四条  付款方式</w:t>
      </w:r>
    </w:p>
    <w:p w14:paraId="0459C15D">
      <w:pPr>
        <w:snapToGrid w:val="0"/>
        <w:spacing w:line="440" w:lineRule="exact"/>
        <w:ind w:firstLine="420" w:firstLineChars="200"/>
        <w:rPr>
          <w:rFonts w:ascii="宋体" w:hAnsi="宋体"/>
          <w:szCs w:val="21"/>
          <w:highlight w:val="none"/>
          <w:u w:val="single"/>
        </w:rPr>
      </w:pPr>
      <w:r>
        <w:rPr>
          <w:rFonts w:hint="eastAsia" w:ascii="宋体" w:hAnsi="宋体"/>
          <w:szCs w:val="21"/>
          <w:highlight w:val="none"/>
        </w:rPr>
        <w:t>1.资金性质：</w:t>
      </w:r>
      <w:r>
        <w:rPr>
          <w:rFonts w:hint="eastAsia" w:ascii="宋体" w:hAnsi="宋体"/>
          <w:szCs w:val="21"/>
          <w:highlight w:val="none"/>
          <w:u w:val="single"/>
        </w:rPr>
        <w:t xml:space="preserve"> 财政性资金。</w:t>
      </w:r>
    </w:p>
    <w:p w14:paraId="2F85A512">
      <w:pPr>
        <w:snapToGrid w:val="0"/>
        <w:spacing w:line="440" w:lineRule="exact"/>
        <w:ind w:right="33" w:firstLine="420" w:firstLineChars="200"/>
        <w:rPr>
          <w:rFonts w:hint="eastAsia" w:ascii="宋体" w:hAnsi="宋体" w:cs="宋体"/>
          <w:szCs w:val="21"/>
          <w:highlight w:val="none"/>
          <w:u w:val="single"/>
        </w:rPr>
      </w:pPr>
      <w:r>
        <w:rPr>
          <w:rFonts w:hint="eastAsia" w:ascii="宋体" w:hAnsi="宋体"/>
          <w:szCs w:val="21"/>
          <w:highlight w:val="none"/>
        </w:rPr>
        <w:t>2.付款方式：</w:t>
      </w:r>
      <w:r>
        <w:rPr>
          <w:rFonts w:hint="eastAsia" w:ascii="宋体" w:hAnsi="宋体" w:cs="宋体"/>
          <w:szCs w:val="21"/>
          <w:highlight w:val="none"/>
          <w:u w:val="single"/>
        </w:rPr>
        <w:t>自合同签订后且中标单位服务人员进场、财政资金到位后，预付合同总金额的10%;剩余款项按季度平均支付，每季度第一个月支付上季度服务费。</w:t>
      </w:r>
    </w:p>
    <w:p w14:paraId="5CAAD152">
      <w:pPr>
        <w:snapToGrid w:val="0"/>
        <w:spacing w:line="440" w:lineRule="exact"/>
        <w:ind w:right="33" w:firstLine="420" w:firstLineChars="200"/>
        <w:rPr>
          <w:rFonts w:ascii="宋体"/>
          <w:szCs w:val="21"/>
          <w:highlight w:val="none"/>
        </w:rPr>
      </w:pPr>
      <w:r>
        <w:rPr>
          <w:rFonts w:hint="eastAsia" w:ascii="宋体" w:hAnsi="宋体" w:cs="宋体"/>
          <w:szCs w:val="21"/>
          <w:highlight w:val="none"/>
          <w:u w:val="single"/>
        </w:rPr>
        <w:t>采购人根据每季度考核结果结算支付。三方在签订合同时可就服务质量及检查标准制定奖罚细则，在支付服务费用时采购人（甲方）、服务单位（丙方）有权根据奖罚细则增减服务费用的支付或终止合同。每次请款供应商（乙方）先交请款申请函，后根据要求开具发票，再根据实际情况、考核情况付款。</w:t>
      </w:r>
    </w:p>
    <w:p w14:paraId="5F804C46">
      <w:pPr>
        <w:adjustRightInd w:val="0"/>
        <w:snapToGrid w:val="0"/>
        <w:spacing w:line="440" w:lineRule="exact"/>
        <w:ind w:right="33" w:firstLine="420" w:firstLineChars="200"/>
        <w:rPr>
          <w:rFonts w:ascii="宋体"/>
          <w:szCs w:val="21"/>
          <w:highlight w:val="none"/>
        </w:rPr>
      </w:pPr>
      <w:r>
        <w:rPr>
          <w:rFonts w:hint="eastAsia" w:ascii="宋体"/>
          <w:szCs w:val="21"/>
          <w:highlight w:val="none"/>
        </w:rPr>
        <w:t>3.政府采购合同信用融资：如乙方需要向金融机构申请本项目融资贷款，甲方不得违规干预。如乙方向金融机构申请本项目融资贷款，则本项目资金支付时必须将采购资金支付到合同中注明的贷款金融机构还款账号，如需要变更还款账号，必须由甲方、乙方、贷款金融机构三方签订书面协议。</w:t>
      </w:r>
    </w:p>
    <w:p w14:paraId="471B5240">
      <w:pPr>
        <w:tabs>
          <w:tab w:val="right" w:pos="9639"/>
        </w:tabs>
        <w:snapToGrid w:val="0"/>
        <w:spacing w:line="440" w:lineRule="exact"/>
        <w:ind w:firstLine="422" w:firstLineChars="200"/>
        <w:rPr>
          <w:rFonts w:ascii="宋体" w:hAnsi="宋体"/>
          <w:b/>
          <w:color w:val="000000"/>
          <w:szCs w:val="21"/>
          <w:highlight w:val="none"/>
        </w:rPr>
      </w:pPr>
      <w:r>
        <w:rPr>
          <w:rFonts w:hint="eastAsia" w:ascii="宋体" w:hAnsi="宋体"/>
          <w:b/>
          <w:color w:val="000000"/>
          <w:szCs w:val="21"/>
          <w:highlight w:val="none"/>
        </w:rPr>
        <w:t>第五条　履约保证金</w:t>
      </w:r>
      <w:r>
        <w:rPr>
          <w:rFonts w:ascii="宋体" w:hAnsi="宋体"/>
          <w:b/>
          <w:color w:val="000000"/>
          <w:szCs w:val="21"/>
          <w:highlight w:val="none"/>
        </w:rPr>
        <w:tab/>
      </w:r>
    </w:p>
    <w:p w14:paraId="22110D8D">
      <w:pPr>
        <w:spacing w:line="440" w:lineRule="exact"/>
        <w:ind w:firstLine="420" w:firstLineChars="200"/>
        <w:rPr>
          <w:szCs w:val="20"/>
          <w:highlight w:val="none"/>
        </w:rPr>
      </w:pPr>
      <w:r>
        <w:rPr>
          <w:rFonts w:hint="eastAsia" w:ascii="宋体" w:hAnsi="宋体"/>
          <w:color w:val="000000"/>
          <w:szCs w:val="21"/>
          <w:highlight w:val="none"/>
        </w:rPr>
        <w:t>本项目不收取履约保证金。乙方未按合同约定履行合同义务，给甲方造成损失的，按实际损失进行赔偿。</w:t>
      </w:r>
    </w:p>
    <w:p w14:paraId="5A62F895">
      <w:pPr>
        <w:numPr>
          <w:ilvl w:val="0"/>
          <w:numId w:val="1"/>
        </w:numPr>
        <w:snapToGrid w:val="0"/>
        <w:spacing w:line="440" w:lineRule="exact"/>
        <w:ind w:firstLine="422" w:firstLineChars="200"/>
        <w:rPr>
          <w:rFonts w:ascii="宋体" w:hAnsi="宋体"/>
          <w:b/>
          <w:color w:val="000000"/>
          <w:szCs w:val="21"/>
          <w:highlight w:val="none"/>
        </w:rPr>
      </w:pPr>
      <w:r>
        <w:rPr>
          <w:rFonts w:hint="eastAsia" w:ascii="宋体" w:hAnsi="宋体"/>
          <w:b/>
          <w:color w:val="000000"/>
          <w:szCs w:val="21"/>
          <w:highlight w:val="none"/>
        </w:rPr>
        <w:t xml:space="preserve">税费  </w:t>
      </w:r>
    </w:p>
    <w:p w14:paraId="55916528">
      <w:pPr>
        <w:snapToGrid w:val="0"/>
        <w:spacing w:line="440" w:lineRule="exact"/>
        <w:ind w:firstLine="420" w:firstLineChars="200"/>
        <w:rPr>
          <w:rFonts w:ascii="宋体" w:hAnsi="宋体"/>
          <w:bCs/>
          <w:color w:val="000000"/>
          <w:szCs w:val="21"/>
          <w:highlight w:val="none"/>
        </w:rPr>
      </w:pPr>
      <w:r>
        <w:rPr>
          <w:rFonts w:hint="eastAsia" w:ascii="宋体" w:hAnsi="宋体"/>
          <w:bCs/>
          <w:color w:val="000000"/>
          <w:szCs w:val="21"/>
          <w:highlight w:val="none"/>
        </w:rPr>
        <w:t>本合同执行中相关的一切税费均由乙方负担。</w:t>
      </w:r>
    </w:p>
    <w:p w14:paraId="6A314A17">
      <w:pPr>
        <w:spacing w:line="440" w:lineRule="exact"/>
        <w:ind w:firstLine="422" w:firstLineChars="200"/>
        <w:rPr>
          <w:rFonts w:ascii="宋体"/>
          <w:szCs w:val="21"/>
          <w:highlight w:val="none"/>
        </w:rPr>
      </w:pPr>
      <w:r>
        <w:rPr>
          <w:rFonts w:hint="eastAsia" w:ascii="宋体" w:hAnsi="宋体"/>
          <w:b/>
          <w:color w:val="000000"/>
          <w:szCs w:val="21"/>
          <w:highlight w:val="none"/>
        </w:rPr>
        <w:t xml:space="preserve">第七条 </w:t>
      </w:r>
      <w:r>
        <w:rPr>
          <w:rFonts w:hint="eastAsia" w:ascii="宋体"/>
          <w:b/>
          <w:bCs/>
          <w:szCs w:val="21"/>
          <w:highlight w:val="none"/>
        </w:rPr>
        <w:t>甲方的权利和义务</w:t>
      </w:r>
    </w:p>
    <w:p w14:paraId="478B37A2">
      <w:pPr>
        <w:spacing w:line="440" w:lineRule="exact"/>
        <w:ind w:firstLine="420" w:firstLineChars="200"/>
        <w:rPr>
          <w:rFonts w:ascii="宋体"/>
          <w:szCs w:val="21"/>
          <w:highlight w:val="none"/>
        </w:rPr>
      </w:pPr>
      <w:r>
        <w:rPr>
          <w:rFonts w:hint="eastAsia" w:ascii="宋体"/>
          <w:szCs w:val="21"/>
          <w:highlight w:val="none"/>
        </w:rPr>
        <w:t>1.甲方有权对乙方的服务质量和丙方的满意度进行监督和评估。</w:t>
      </w:r>
    </w:p>
    <w:p w14:paraId="6B3396FA">
      <w:pPr>
        <w:spacing w:line="440" w:lineRule="exact"/>
        <w:ind w:firstLine="420" w:firstLineChars="200"/>
        <w:rPr>
          <w:rFonts w:ascii="宋体"/>
          <w:szCs w:val="21"/>
          <w:highlight w:val="none"/>
        </w:rPr>
      </w:pPr>
      <w:r>
        <w:rPr>
          <w:rFonts w:hint="eastAsia" w:ascii="宋体"/>
          <w:szCs w:val="21"/>
          <w:highlight w:val="none"/>
        </w:rPr>
        <w:t>2.甲方应按照约定向乙方支付服务费用。</w:t>
      </w:r>
    </w:p>
    <w:p w14:paraId="6468024A">
      <w:pPr>
        <w:spacing w:line="440" w:lineRule="exact"/>
        <w:ind w:firstLine="422" w:firstLineChars="200"/>
        <w:rPr>
          <w:rFonts w:ascii="宋体"/>
          <w:szCs w:val="21"/>
          <w:highlight w:val="none"/>
        </w:rPr>
      </w:pPr>
      <w:r>
        <w:rPr>
          <w:rFonts w:hint="eastAsia" w:ascii="宋体" w:hAnsi="宋体"/>
          <w:b/>
          <w:color w:val="000000"/>
          <w:szCs w:val="21"/>
          <w:highlight w:val="none"/>
        </w:rPr>
        <w:t xml:space="preserve">第八条 </w:t>
      </w:r>
      <w:r>
        <w:rPr>
          <w:rFonts w:hint="eastAsia" w:ascii="宋体"/>
          <w:b/>
          <w:bCs/>
          <w:szCs w:val="21"/>
          <w:highlight w:val="none"/>
        </w:rPr>
        <w:t>乙方的权利和义务</w:t>
      </w:r>
    </w:p>
    <w:p w14:paraId="4CDB180C">
      <w:pPr>
        <w:spacing w:line="440" w:lineRule="exact"/>
        <w:ind w:firstLine="420" w:firstLineChars="200"/>
        <w:rPr>
          <w:rFonts w:ascii="宋体"/>
          <w:szCs w:val="21"/>
          <w:highlight w:val="none"/>
        </w:rPr>
      </w:pPr>
      <w:r>
        <w:rPr>
          <w:rFonts w:hint="eastAsia" w:ascii="宋体"/>
          <w:szCs w:val="21"/>
          <w:highlight w:val="none"/>
        </w:rPr>
        <w:t>1.乙方应按照合同约定向丙方提供优质的物业服务。</w:t>
      </w:r>
    </w:p>
    <w:p w14:paraId="6CBAE562">
      <w:pPr>
        <w:spacing w:line="440" w:lineRule="exact"/>
        <w:ind w:firstLine="420" w:firstLineChars="200"/>
        <w:rPr>
          <w:rFonts w:ascii="宋体"/>
          <w:szCs w:val="21"/>
          <w:highlight w:val="none"/>
        </w:rPr>
      </w:pPr>
      <w:r>
        <w:rPr>
          <w:rFonts w:hint="eastAsia" w:ascii="宋体"/>
          <w:szCs w:val="21"/>
          <w:highlight w:val="none"/>
        </w:rPr>
        <w:t>2.乙方有权按照约定向甲方收取服务费用。</w:t>
      </w:r>
    </w:p>
    <w:p w14:paraId="7BE523BF">
      <w:pPr>
        <w:spacing w:line="440" w:lineRule="exact"/>
        <w:ind w:firstLine="422" w:firstLineChars="200"/>
        <w:rPr>
          <w:rFonts w:ascii="宋体"/>
          <w:szCs w:val="21"/>
          <w:highlight w:val="none"/>
        </w:rPr>
      </w:pPr>
      <w:r>
        <w:rPr>
          <w:rFonts w:hint="eastAsia" w:ascii="宋体" w:hAnsi="宋体"/>
          <w:b/>
          <w:color w:val="000000"/>
          <w:szCs w:val="21"/>
          <w:highlight w:val="none"/>
        </w:rPr>
        <w:t>第九条</w:t>
      </w:r>
      <w:r>
        <w:rPr>
          <w:rFonts w:hint="eastAsia" w:ascii="宋体" w:hAnsi="宋体"/>
          <w:bCs/>
          <w:color w:val="000000"/>
          <w:szCs w:val="21"/>
          <w:highlight w:val="none"/>
        </w:rPr>
        <w:t xml:space="preserve"> </w:t>
      </w:r>
      <w:r>
        <w:rPr>
          <w:rFonts w:hint="eastAsia" w:ascii="宋体"/>
          <w:b/>
          <w:szCs w:val="21"/>
          <w:highlight w:val="none"/>
        </w:rPr>
        <w:t>丙方的权利和义务</w:t>
      </w:r>
    </w:p>
    <w:p w14:paraId="7554AB27">
      <w:pPr>
        <w:spacing w:line="440" w:lineRule="exact"/>
        <w:ind w:firstLine="420" w:firstLineChars="200"/>
        <w:rPr>
          <w:rFonts w:ascii="宋体"/>
          <w:szCs w:val="21"/>
          <w:highlight w:val="none"/>
        </w:rPr>
      </w:pPr>
      <w:r>
        <w:rPr>
          <w:rFonts w:hint="eastAsia" w:ascii="宋体"/>
          <w:szCs w:val="21"/>
          <w:highlight w:val="none"/>
        </w:rPr>
        <w:t>1.丙方有权要求乙方提供符合合同约定的物业服务。</w:t>
      </w:r>
    </w:p>
    <w:p w14:paraId="61FBF420">
      <w:pPr>
        <w:spacing w:line="440" w:lineRule="exact"/>
        <w:ind w:firstLine="420" w:firstLineChars="200"/>
        <w:rPr>
          <w:sz w:val="24"/>
          <w:szCs w:val="20"/>
          <w:highlight w:val="none"/>
        </w:rPr>
      </w:pPr>
      <w:r>
        <w:rPr>
          <w:rFonts w:hint="eastAsia" w:ascii="宋体"/>
          <w:szCs w:val="21"/>
          <w:highlight w:val="none"/>
        </w:rPr>
        <w:t>2.丙方应协助乙方开展工作，提供必要的支持和便利。</w:t>
      </w:r>
    </w:p>
    <w:p w14:paraId="0C30511B">
      <w:pPr>
        <w:snapToGrid w:val="0"/>
        <w:spacing w:line="440" w:lineRule="exact"/>
        <w:ind w:firstLine="413" w:firstLineChars="196"/>
        <w:rPr>
          <w:rFonts w:ascii="宋体" w:hAnsi="宋体"/>
          <w:b/>
          <w:color w:val="000000"/>
          <w:szCs w:val="20"/>
          <w:highlight w:val="none"/>
        </w:rPr>
      </w:pPr>
      <w:r>
        <w:rPr>
          <w:rFonts w:hint="eastAsia" w:ascii="宋体" w:hAnsi="宋体"/>
          <w:b/>
          <w:color w:val="000000"/>
          <w:szCs w:val="20"/>
          <w:highlight w:val="none"/>
        </w:rPr>
        <w:t>第十条　违约责任</w:t>
      </w:r>
    </w:p>
    <w:p w14:paraId="74135369">
      <w:pPr>
        <w:adjustRightInd w:val="0"/>
        <w:snapToGrid w:val="0"/>
        <w:spacing w:line="440" w:lineRule="exact"/>
        <w:ind w:firstLine="420" w:firstLineChars="200"/>
        <w:rPr>
          <w:rFonts w:ascii="宋体" w:hAnsi="宋体"/>
          <w:color w:val="FF0000"/>
          <w:szCs w:val="21"/>
          <w:highlight w:val="none"/>
        </w:rPr>
      </w:pPr>
      <w:r>
        <w:rPr>
          <w:rFonts w:hint="eastAsia" w:ascii="宋体"/>
          <w:szCs w:val="21"/>
          <w:highlight w:val="none"/>
        </w:rPr>
        <w:t>1.如</w:t>
      </w:r>
      <w:r>
        <w:rPr>
          <w:rFonts w:hint="eastAsia" w:ascii="宋体"/>
          <w:spacing w:val="-4"/>
          <w:szCs w:val="21"/>
          <w:highlight w:val="none"/>
        </w:rPr>
        <w:t>乙方</w:t>
      </w:r>
      <w:r>
        <w:rPr>
          <w:rFonts w:hint="eastAsia"/>
          <w:spacing w:val="-4"/>
          <w:szCs w:val="20"/>
          <w:highlight w:val="none"/>
        </w:rPr>
        <w:t>违约（包括但不限于</w:t>
      </w:r>
      <w:r>
        <w:rPr>
          <w:rFonts w:hint="eastAsia" w:ascii="宋体"/>
          <w:szCs w:val="21"/>
          <w:highlight w:val="none"/>
        </w:rPr>
        <w:t>延迟履约、不完全履约或提供的服务质量不符合磋商文件和响应文件要求的</w:t>
      </w:r>
      <w:r>
        <w:rPr>
          <w:rFonts w:hint="eastAsia"/>
          <w:spacing w:val="-4"/>
          <w:szCs w:val="20"/>
          <w:highlight w:val="none"/>
        </w:rPr>
        <w:t>），每发生一次，需</w:t>
      </w:r>
      <w:r>
        <w:rPr>
          <w:rFonts w:hint="eastAsia" w:ascii="宋体"/>
          <w:spacing w:val="-4"/>
          <w:szCs w:val="21"/>
          <w:highlight w:val="none"/>
        </w:rPr>
        <w:t>向甲方支付合同总金额0.3‰的违约金，违约金从合同价款中扣除，且乙方应根据甲方要求限期整改</w:t>
      </w:r>
      <w:r>
        <w:rPr>
          <w:rFonts w:hint="eastAsia" w:ascii="宋体"/>
          <w:szCs w:val="21"/>
          <w:highlight w:val="none"/>
        </w:rPr>
        <w:t>；</w:t>
      </w:r>
      <w:r>
        <w:rPr>
          <w:rFonts w:hint="eastAsia" w:ascii="宋体"/>
          <w:spacing w:val="-4"/>
          <w:szCs w:val="21"/>
          <w:highlight w:val="none"/>
        </w:rPr>
        <w:t>乙方违约次数超过三次或经整改仍不符合甲方要求的，甲方有权解除合同，乙方应</w:t>
      </w:r>
      <w:r>
        <w:rPr>
          <w:rFonts w:ascii="宋体"/>
          <w:spacing w:val="-4"/>
          <w:szCs w:val="21"/>
          <w:highlight w:val="none"/>
        </w:rPr>
        <w:t>返还未服务部分款项并向甲方支付合同总金额</w:t>
      </w:r>
      <w:r>
        <w:rPr>
          <w:rFonts w:hint="eastAsia" w:ascii="宋体"/>
          <w:spacing w:val="-4"/>
          <w:szCs w:val="21"/>
          <w:highlight w:val="none"/>
        </w:rPr>
        <w:t>1</w:t>
      </w:r>
      <w:r>
        <w:rPr>
          <w:rFonts w:ascii="宋体"/>
          <w:spacing w:val="-4"/>
          <w:szCs w:val="21"/>
          <w:highlight w:val="none"/>
        </w:rPr>
        <w:t>0%的违约金</w:t>
      </w:r>
      <w:r>
        <w:rPr>
          <w:rFonts w:hint="eastAsia" w:ascii="宋体"/>
          <w:spacing w:val="-4"/>
          <w:szCs w:val="21"/>
          <w:highlight w:val="none"/>
        </w:rPr>
        <w:t>。本合同其他内容、</w:t>
      </w:r>
      <w:r>
        <w:rPr>
          <w:rFonts w:hint="eastAsia" w:ascii="宋体" w:hAnsi="宋体" w:cs="宋体"/>
          <w:szCs w:val="21"/>
          <w:highlight w:val="none"/>
        </w:rPr>
        <w:t>磋商文件或相应文件内容与本款约定不一致的，以本款约定为准。</w:t>
      </w:r>
    </w:p>
    <w:p w14:paraId="4682FDB6">
      <w:pPr>
        <w:adjustRightInd w:val="0"/>
        <w:snapToGrid w:val="0"/>
        <w:spacing w:line="440" w:lineRule="exact"/>
        <w:ind w:firstLine="404" w:firstLineChars="200"/>
        <w:rPr>
          <w:rFonts w:ascii="宋体"/>
          <w:spacing w:val="-4"/>
          <w:szCs w:val="21"/>
          <w:highlight w:val="none"/>
        </w:rPr>
      </w:pPr>
      <w:r>
        <w:rPr>
          <w:rFonts w:hint="eastAsia" w:ascii="宋体"/>
          <w:spacing w:val="-4"/>
          <w:szCs w:val="21"/>
          <w:highlight w:val="none"/>
        </w:rPr>
        <w:t>2.如甲方逾期付款的，</w:t>
      </w:r>
      <w:r>
        <w:rPr>
          <w:rFonts w:hint="eastAsia" w:ascii="宋体"/>
          <w:szCs w:val="21"/>
          <w:highlight w:val="none"/>
        </w:rPr>
        <w:t>违约金按中国人民银行授权全国银行间同业拆借中心公布的1年期贷款市场报价利率(LPR)计算，但违约金累计不得超过合同总金额的1%。</w:t>
      </w:r>
    </w:p>
    <w:p w14:paraId="0EB1B45F">
      <w:pPr>
        <w:adjustRightInd w:val="0"/>
        <w:snapToGrid w:val="0"/>
        <w:spacing w:line="440" w:lineRule="exact"/>
        <w:ind w:firstLine="420" w:firstLineChars="200"/>
        <w:rPr>
          <w:rFonts w:ascii="宋体"/>
          <w:szCs w:val="21"/>
          <w:highlight w:val="none"/>
        </w:rPr>
      </w:pPr>
      <w:r>
        <w:rPr>
          <w:rFonts w:hint="eastAsia" w:ascii="宋体"/>
          <w:szCs w:val="21"/>
          <w:highlight w:val="none"/>
        </w:rPr>
        <w:t>3.乙方给甲方造成的损失超过违约金额的，乙方应给甲方高出违约金的部分予以赔偿。</w:t>
      </w:r>
    </w:p>
    <w:p w14:paraId="178E466D">
      <w:pPr>
        <w:adjustRightInd w:val="0"/>
        <w:snapToGrid w:val="0"/>
        <w:spacing w:line="440" w:lineRule="exact"/>
        <w:ind w:firstLine="420" w:firstLineChars="200"/>
        <w:rPr>
          <w:rFonts w:ascii="宋体" w:hAnsi="宋体" w:cs="宋体"/>
          <w:szCs w:val="21"/>
          <w:highlight w:val="none"/>
        </w:rPr>
      </w:pPr>
      <w:r>
        <w:rPr>
          <w:rFonts w:hint="eastAsia" w:ascii="宋体" w:hAnsi="宋体" w:cs="宋体"/>
          <w:szCs w:val="21"/>
          <w:highlight w:val="none"/>
        </w:rPr>
        <w:t>4.乙方延迟履约、不完全履约或提供的服务不符合磋商文件和响应文件要求的。除支付违约金外，仍需继续履行合同或重新提供符合要求的服务。</w:t>
      </w:r>
    </w:p>
    <w:p w14:paraId="6A083251">
      <w:pPr>
        <w:snapToGrid w:val="0"/>
        <w:spacing w:line="440" w:lineRule="exact"/>
        <w:ind w:firstLine="413" w:firstLineChars="196"/>
        <w:rPr>
          <w:rFonts w:ascii="宋体" w:hAnsi="宋体"/>
          <w:b/>
          <w:color w:val="000000"/>
          <w:szCs w:val="20"/>
          <w:highlight w:val="none"/>
        </w:rPr>
      </w:pPr>
      <w:r>
        <w:rPr>
          <w:rFonts w:hint="eastAsia" w:ascii="宋体" w:hAnsi="宋体"/>
          <w:b/>
          <w:color w:val="000000"/>
          <w:szCs w:val="20"/>
          <w:highlight w:val="none"/>
        </w:rPr>
        <w:t>第十一条 不可抗力事件处理</w:t>
      </w:r>
    </w:p>
    <w:p w14:paraId="417E0B7B">
      <w:pPr>
        <w:snapToGrid w:val="0"/>
        <w:spacing w:line="440" w:lineRule="exact"/>
        <w:ind w:firstLine="420" w:firstLineChars="200"/>
        <w:rPr>
          <w:rFonts w:ascii="宋体" w:hAnsi="宋体"/>
          <w:color w:val="000000"/>
          <w:szCs w:val="21"/>
          <w:highlight w:val="none"/>
        </w:rPr>
      </w:pPr>
      <w:r>
        <w:rPr>
          <w:rFonts w:hint="eastAsia" w:ascii="宋体" w:hAnsi="宋体"/>
          <w:color w:val="000000"/>
          <w:szCs w:val="21"/>
          <w:highlight w:val="none"/>
        </w:rPr>
        <w:t>1. 在合同有效期内，任何一方因不可抗力事件导致不能履行合同，则合同履行期可延长，其延长期与不可抗力影响期相同。</w:t>
      </w:r>
    </w:p>
    <w:p w14:paraId="08E9BF12">
      <w:pPr>
        <w:snapToGrid w:val="0"/>
        <w:spacing w:line="440" w:lineRule="exact"/>
        <w:ind w:firstLine="420" w:firstLineChars="200"/>
        <w:rPr>
          <w:rFonts w:ascii="宋体" w:hAnsi="宋体"/>
          <w:color w:val="000000"/>
          <w:szCs w:val="21"/>
          <w:highlight w:val="none"/>
        </w:rPr>
      </w:pPr>
      <w:r>
        <w:rPr>
          <w:rFonts w:hint="eastAsia" w:ascii="宋体" w:hAnsi="宋体"/>
          <w:color w:val="000000"/>
          <w:szCs w:val="21"/>
          <w:highlight w:val="none"/>
        </w:rPr>
        <w:t>2. 不可抗力事件发生后，应立即通知对方，并寄送有关权威机构出具的证明。</w:t>
      </w:r>
    </w:p>
    <w:p w14:paraId="0868C342">
      <w:pPr>
        <w:snapToGrid w:val="0"/>
        <w:spacing w:line="440" w:lineRule="exact"/>
        <w:ind w:firstLine="420" w:firstLineChars="200"/>
        <w:rPr>
          <w:rFonts w:ascii="宋体" w:hAnsi="宋体"/>
          <w:color w:val="000000"/>
          <w:szCs w:val="21"/>
          <w:highlight w:val="none"/>
        </w:rPr>
      </w:pPr>
      <w:r>
        <w:rPr>
          <w:rFonts w:hint="eastAsia" w:ascii="宋体" w:hAnsi="宋体"/>
          <w:color w:val="000000"/>
          <w:szCs w:val="21"/>
          <w:highlight w:val="none"/>
        </w:rPr>
        <w:t>3. 不可抗力事件延续一百二十天以上，三方应通过友好协商，确定是否继续履行合同。</w:t>
      </w:r>
    </w:p>
    <w:p w14:paraId="6902A2E8">
      <w:pPr>
        <w:snapToGrid w:val="0"/>
        <w:spacing w:line="440" w:lineRule="exact"/>
        <w:ind w:firstLine="422" w:firstLineChars="200"/>
        <w:rPr>
          <w:rFonts w:ascii="宋体" w:hAnsi="宋体"/>
          <w:color w:val="000000"/>
          <w:szCs w:val="21"/>
          <w:highlight w:val="none"/>
        </w:rPr>
      </w:pPr>
      <w:r>
        <w:rPr>
          <w:rFonts w:hint="eastAsia" w:ascii="宋体" w:hAnsi="宋体"/>
          <w:b/>
          <w:color w:val="000000"/>
          <w:szCs w:val="21"/>
          <w:highlight w:val="none"/>
        </w:rPr>
        <w:t>第十二条  合同争议解决</w:t>
      </w:r>
    </w:p>
    <w:p w14:paraId="35DC7EB7">
      <w:pPr>
        <w:snapToGrid w:val="0"/>
        <w:spacing w:line="440" w:lineRule="exact"/>
        <w:ind w:firstLine="420" w:firstLineChars="200"/>
        <w:rPr>
          <w:rFonts w:ascii="宋体" w:hAnsi="宋体"/>
          <w:color w:val="000000"/>
          <w:szCs w:val="21"/>
          <w:highlight w:val="none"/>
        </w:rPr>
      </w:pPr>
      <w:r>
        <w:rPr>
          <w:rFonts w:hint="eastAsia" w:ascii="宋体" w:hAnsi="宋体"/>
          <w:color w:val="000000"/>
          <w:szCs w:val="21"/>
          <w:highlight w:val="none"/>
        </w:rPr>
        <w:t>1.因服务质量问题发生争议的，应邀请国家认可的质量检测机构对服务质量进行鉴定。服务符合标准或要求的，鉴定费由甲方承担；服务不符合标准或要求的，鉴定费由乙方承担。</w:t>
      </w:r>
    </w:p>
    <w:p w14:paraId="236B91F2">
      <w:pPr>
        <w:adjustRightInd w:val="0"/>
        <w:snapToGrid w:val="0"/>
        <w:spacing w:line="440" w:lineRule="exact"/>
        <w:ind w:firstLine="420" w:firstLineChars="200"/>
        <w:rPr>
          <w:rFonts w:ascii="宋体" w:hAnsi="宋体"/>
          <w:szCs w:val="21"/>
          <w:highlight w:val="none"/>
        </w:rPr>
      </w:pPr>
      <w:r>
        <w:rPr>
          <w:rFonts w:hint="eastAsia" w:ascii="宋体" w:hAnsi="宋体"/>
          <w:szCs w:val="21"/>
          <w:highlight w:val="none"/>
        </w:rPr>
        <w:t>2.因履行本合同引起的或与本合同有关的争议，甲乙丙三方应首先通过友好协商解决，如果协商不能解决，可向甲方所在地的</w:t>
      </w:r>
      <w:r>
        <w:rPr>
          <w:rFonts w:hint="eastAsia" w:ascii="宋体" w:hAnsi="宋体"/>
          <w:szCs w:val="21"/>
          <w:highlight w:val="none"/>
          <w:u w:val="single"/>
        </w:rPr>
        <w:t xml:space="preserve">  北海市中级人民法院提出诉讼</w:t>
      </w:r>
      <w:r>
        <w:rPr>
          <w:rFonts w:hint="eastAsia" w:ascii="宋体" w:hAnsi="宋体"/>
          <w:szCs w:val="21"/>
          <w:highlight w:val="none"/>
        </w:rPr>
        <w:t>。</w:t>
      </w:r>
    </w:p>
    <w:p w14:paraId="094AAB6D">
      <w:pPr>
        <w:adjustRightInd w:val="0"/>
        <w:snapToGrid w:val="0"/>
        <w:spacing w:line="440" w:lineRule="exact"/>
        <w:ind w:firstLine="420" w:firstLineChars="200"/>
        <w:rPr>
          <w:rFonts w:ascii="宋体" w:hAnsi="宋体"/>
          <w:szCs w:val="21"/>
          <w:highlight w:val="none"/>
        </w:rPr>
      </w:pPr>
      <w:r>
        <w:rPr>
          <w:rFonts w:hint="eastAsia" w:ascii="宋体" w:hAnsi="宋体"/>
          <w:szCs w:val="21"/>
          <w:highlight w:val="none"/>
        </w:rPr>
        <w:t>3.仲裁或诉讼期间，本合同继续履行。</w:t>
      </w:r>
    </w:p>
    <w:p w14:paraId="299C0A7B">
      <w:pPr>
        <w:adjustRightInd w:val="0"/>
        <w:snapToGrid w:val="0"/>
        <w:spacing w:line="440" w:lineRule="exact"/>
        <w:ind w:firstLine="422" w:firstLineChars="200"/>
        <w:rPr>
          <w:rFonts w:ascii="宋体"/>
          <w:b/>
          <w:szCs w:val="21"/>
          <w:highlight w:val="none"/>
        </w:rPr>
      </w:pPr>
      <w:r>
        <w:rPr>
          <w:rFonts w:hint="eastAsia" w:ascii="宋体"/>
          <w:b/>
          <w:szCs w:val="21"/>
          <w:highlight w:val="none"/>
        </w:rPr>
        <w:t>第十三条 通知</w:t>
      </w:r>
    </w:p>
    <w:p w14:paraId="6EE578CF">
      <w:pPr>
        <w:spacing w:line="440" w:lineRule="exact"/>
        <w:ind w:firstLine="420" w:firstLineChars="200"/>
        <w:rPr>
          <w:szCs w:val="20"/>
          <w:highlight w:val="none"/>
        </w:rPr>
      </w:pPr>
      <w:r>
        <w:rPr>
          <w:rFonts w:hint="eastAsia" w:ascii="宋体"/>
          <w:szCs w:val="21"/>
          <w:highlight w:val="none"/>
        </w:rPr>
        <w:t>本合同约定地址及各自注册地址均可作为接受</w:t>
      </w:r>
      <w:r>
        <w:rPr>
          <w:rFonts w:hint="eastAsia" w:ascii="宋体" w:hAnsi="宋体"/>
          <w:color w:val="000000"/>
          <w:szCs w:val="21"/>
          <w:highlight w:val="none"/>
        </w:rPr>
        <w:t>三</w:t>
      </w:r>
      <w:r>
        <w:rPr>
          <w:rFonts w:hint="eastAsia" w:ascii="宋体"/>
          <w:szCs w:val="21"/>
          <w:highlight w:val="none"/>
        </w:rPr>
        <w:t>方书面往来文件及争议解决法院诉讼文书等相关材料。一方变更联系地址应提前三日书面通知对方，未书面通知的，视为未变更。因载明的地址有误或未及时告知变更后的地址，导致相关材料未能实际被接收的，邮寄方式通知的，材料退回之日或交邮后第3日（以两者先到为准）即视为送达之日，此而引发的全部责任和损失均由该方自行承担。</w:t>
      </w:r>
    </w:p>
    <w:p w14:paraId="269F06B6">
      <w:pPr>
        <w:snapToGrid w:val="0"/>
        <w:spacing w:line="440" w:lineRule="exact"/>
        <w:ind w:firstLine="413" w:firstLineChars="196"/>
        <w:rPr>
          <w:rFonts w:ascii="宋体" w:hAnsi="宋体"/>
          <w:b/>
          <w:color w:val="000000"/>
          <w:szCs w:val="20"/>
          <w:highlight w:val="none"/>
        </w:rPr>
      </w:pPr>
      <w:r>
        <w:rPr>
          <w:rFonts w:hint="eastAsia" w:ascii="宋体" w:hAnsi="宋体"/>
          <w:b/>
          <w:color w:val="000000"/>
          <w:szCs w:val="20"/>
          <w:highlight w:val="none"/>
        </w:rPr>
        <w:t>第十四条 合同生效及其它</w:t>
      </w:r>
    </w:p>
    <w:p w14:paraId="467FDC76">
      <w:pPr>
        <w:snapToGrid w:val="0"/>
        <w:spacing w:line="440" w:lineRule="exact"/>
        <w:ind w:firstLine="420" w:firstLineChars="200"/>
        <w:rPr>
          <w:rFonts w:ascii="宋体" w:hAnsi="宋体"/>
          <w:color w:val="000000"/>
          <w:szCs w:val="21"/>
          <w:highlight w:val="none"/>
        </w:rPr>
      </w:pPr>
      <w:r>
        <w:rPr>
          <w:rFonts w:hint="eastAsia" w:ascii="宋体" w:hAnsi="宋体"/>
          <w:color w:val="000000"/>
          <w:szCs w:val="21"/>
          <w:highlight w:val="none"/>
        </w:rPr>
        <w:t>1．合同经三方法定代表人（负责人）或授权代表（委托代理人）签字并加盖单位公章后生效。</w:t>
      </w:r>
    </w:p>
    <w:p w14:paraId="015E5486">
      <w:pPr>
        <w:snapToGrid w:val="0"/>
        <w:spacing w:line="440" w:lineRule="exact"/>
        <w:ind w:firstLine="420" w:firstLineChars="200"/>
        <w:rPr>
          <w:rFonts w:ascii="宋体" w:hAnsi="宋体"/>
          <w:color w:val="000000"/>
          <w:szCs w:val="21"/>
          <w:highlight w:val="none"/>
        </w:rPr>
      </w:pPr>
      <w:r>
        <w:rPr>
          <w:rFonts w:hint="eastAsia" w:ascii="宋体" w:hAnsi="宋体"/>
          <w:color w:val="000000"/>
          <w:szCs w:val="21"/>
          <w:highlight w:val="none"/>
        </w:rPr>
        <w:t>2．合同执行中涉及采购资金和采购内容修改或补充的，须经北海市政府采购监督管理科审批，并签书面补充协议报北海市财政局政府采购监督管理科备案，方可作为主合同不可分割的一部分。</w:t>
      </w:r>
    </w:p>
    <w:p w14:paraId="27BA71C8">
      <w:pPr>
        <w:snapToGrid w:val="0"/>
        <w:spacing w:line="440" w:lineRule="exact"/>
        <w:ind w:firstLine="420" w:firstLineChars="200"/>
        <w:rPr>
          <w:rFonts w:ascii="宋体" w:hAnsi="宋体"/>
          <w:color w:val="000000"/>
          <w:szCs w:val="21"/>
          <w:highlight w:val="none"/>
        </w:rPr>
      </w:pPr>
      <w:r>
        <w:rPr>
          <w:rFonts w:hint="eastAsia" w:ascii="宋体" w:hAnsi="宋体"/>
          <w:color w:val="000000"/>
          <w:szCs w:val="21"/>
          <w:highlight w:val="none"/>
        </w:rPr>
        <w:t>3．本合同未尽事宜，遵照《中华人民共和国民法典》有关条文执行。</w:t>
      </w:r>
    </w:p>
    <w:p w14:paraId="7BFECFE8">
      <w:pPr>
        <w:snapToGrid w:val="0"/>
        <w:spacing w:line="440" w:lineRule="exact"/>
        <w:ind w:firstLine="413" w:firstLineChars="196"/>
        <w:rPr>
          <w:rFonts w:ascii="宋体" w:hAnsi="宋体"/>
          <w:b/>
          <w:color w:val="000000"/>
          <w:szCs w:val="20"/>
          <w:highlight w:val="none"/>
        </w:rPr>
      </w:pPr>
      <w:r>
        <w:rPr>
          <w:rFonts w:hint="eastAsia" w:ascii="宋体" w:hAnsi="宋体"/>
          <w:b/>
          <w:color w:val="000000"/>
          <w:szCs w:val="20"/>
          <w:highlight w:val="none"/>
        </w:rPr>
        <w:t>第十五条　合同的变更、终止与转让</w:t>
      </w:r>
    </w:p>
    <w:p w14:paraId="44FF26CF">
      <w:pPr>
        <w:snapToGrid w:val="0"/>
        <w:spacing w:line="440" w:lineRule="exact"/>
        <w:ind w:firstLine="420" w:firstLineChars="200"/>
        <w:rPr>
          <w:rFonts w:ascii="宋体" w:hAnsi="宋体"/>
          <w:color w:val="000000"/>
          <w:szCs w:val="21"/>
          <w:highlight w:val="none"/>
        </w:rPr>
      </w:pPr>
      <w:r>
        <w:rPr>
          <w:rFonts w:hint="eastAsia" w:ascii="宋体" w:hAnsi="宋体"/>
          <w:color w:val="000000"/>
          <w:szCs w:val="21"/>
          <w:highlight w:val="none"/>
        </w:rPr>
        <w:t>1.除《中华人民共和国政府采购法》第五十条规定的情形外，本合同一经签订，甲乙丙三方不得擅自变更、中止或终止。</w:t>
      </w:r>
    </w:p>
    <w:p w14:paraId="1F384083">
      <w:pPr>
        <w:snapToGrid w:val="0"/>
        <w:spacing w:line="440" w:lineRule="exact"/>
        <w:ind w:firstLine="411" w:firstLineChars="196"/>
        <w:rPr>
          <w:rFonts w:ascii="宋体" w:hAnsi="宋体"/>
          <w:color w:val="000000"/>
          <w:szCs w:val="20"/>
          <w:highlight w:val="none"/>
        </w:rPr>
      </w:pPr>
      <w:r>
        <w:rPr>
          <w:rFonts w:hint="eastAsia" w:ascii="宋体" w:hAnsi="宋体"/>
          <w:color w:val="000000"/>
          <w:szCs w:val="20"/>
          <w:highlight w:val="none"/>
        </w:rPr>
        <w:t>2.乙方不得擅自转让其应履行的合同义务。</w:t>
      </w:r>
    </w:p>
    <w:p w14:paraId="6AF4CFBA">
      <w:pPr>
        <w:snapToGrid w:val="0"/>
        <w:spacing w:line="440" w:lineRule="exact"/>
        <w:ind w:firstLine="422" w:firstLineChars="200"/>
        <w:rPr>
          <w:rFonts w:ascii="宋体" w:hAnsi="宋体"/>
          <w:b/>
          <w:color w:val="000000"/>
          <w:szCs w:val="21"/>
          <w:highlight w:val="none"/>
        </w:rPr>
      </w:pPr>
      <w:r>
        <w:rPr>
          <w:rFonts w:hint="eastAsia" w:ascii="宋体" w:hAnsi="宋体"/>
          <w:b/>
          <w:color w:val="000000"/>
          <w:szCs w:val="21"/>
          <w:highlight w:val="none"/>
        </w:rPr>
        <w:t>第十六条　签订本合同依据</w:t>
      </w:r>
    </w:p>
    <w:p w14:paraId="2910B041">
      <w:pPr>
        <w:snapToGrid w:val="0"/>
        <w:spacing w:line="440" w:lineRule="exact"/>
        <w:ind w:firstLine="420" w:firstLineChars="200"/>
        <w:rPr>
          <w:rFonts w:ascii="宋体" w:hAnsi="宋体"/>
          <w:color w:val="000000"/>
          <w:szCs w:val="21"/>
          <w:highlight w:val="none"/>
        </w:rPr>
      </w:pPr>
      <w:r>
        <w:rPr>
          <w:rFonts w:hint="eastAsia" w:ascii="宋体" w:hAnsi="宋体"/>
          <w:color w:val="000000"/>
          <w:szCs w:val="21"/>
          <w:highlight w:val="none"/>
        </w:rPr>
        <w:t>1.招标文件；</w:t>
      </w:r>
    </w:p>
    <w:p w14:paraId="73FA4028">
      <w:pPr>
        <w:snapToGrid w:val="0"/>
        <w:spacing w:line="440" w:lineRule="exact"/>
        <w:ind w:firstLine="420" w:firstLineChars="200"/>
        <w:rPr>
          <w:rFonts w:ascii="宋体" w:hAnsi="宋体"/>
          <w:color w:val="000000"/>
          <w:szCs w:val="21"/>
          <w:highlight w:val="none"/>
        </w:rPr>
      </w:pPr>
      <w:r>
        <w:rPr>
          <w:rFonts w:hint="eastAsia" w:ascii="宋体" w:hAnsi="宋体"/>
          <w:color w:val="000000"/>
          <w:szCs w:val="21"/>
          <w:highlight w:val="none"/>
        </w:rPr>
        <w:t>2.投标文件；</w:t>
      </w:r>
    </w:p>
    <w:p w14:paraId="2EEF092A">
      <w:pPr>
        <w:snapToGrid w:val="0"/>
        <w:spacing w:line="440" w:lineRule="exact"/>
        <w:ind w:firstLine="420" w:firstLineChars="200"/>
        <w:rPr>
          <w:rFonts w:ascii="宋体" w:hAnsi="宋体"/>
          <w:color w:val="000000"/>
          <w:szCs w:val="21"/>
          <w:highlight w:val="none"/>
        </w:rPr>
      </w:pPr>
      <w:r>
        <w:rPr>
          <w:rFonts w:hint="eastAsia" w:ascii="宋体" w:hAnsi="宋体"/>
          <w:color w:val="000000"/>
          <w:szCs w:val="21"/>
          <w:highlight w:val="none"/>
        </w:rPr>
        <w:t xml:space="preserve">3.承诺函； </w:t>
      </w:r>
    </w:p>
    <w:p w14:paraId="055443FE">
      <w:pPr>
        <w:snapToGrid w:val="0"/>
        <w:spacing w:line="440" w:lineRule="exact"/>
        <w:ind w:firstLine="420" w:firstLineChars="200"/>
        <w:rPr>
          <w:rFonts w:ascii="宋体" w:hAnsi="宋体"/>
          <w:color w:val="000000"/>
          <w:szCs w:val="21"/>
          <w:highlight w:val="none"/>
          <w:u w:val="single"/>
        </w:rPr>
      </w:pPr>
      <w:r>
        <w:rPr>
          <w:rFonts w:hint="eastAsia" w:ascii="宋体" w:hAnsi="宋体"/>
          <w:color w:val="000000"/>
          <w:szCs w:val="21"/>
          <w:highlight w:val="none"/>
        </w:rPr>
        <w:t>4.中标通知书。</w:t>
      </w:r>
    </w:p>
    <w:p w14:paraId="338D46DD">
      <w:pPr>
        <w:snapToGrid w:val="0"/>
        <w:spacing w:line="440" w:lineRule="exact"/>
        <w:ind w:firstLine="422" w:firstLineChars="200"/>
        <w:rPr>
          <w:rFonts w:ascii="宋体" w:hAnsi="宋体"/>
          <w:color w:val="000000"/>
          <w:szCs w:val="21"/>
          <w:highlight w:val="none"/>
        </w:rPr>
      </w:pPr>
      <w:r>
        <w:rPr>
          <w:rFonts w:hint="eastAsia" w:ascii="宋体" w:hAnsi="宋体"/>
          <w:b/>
          <w:color w:val="000000"/>
          <w:szCs w:val="21"/>
          <w:highlight w:val="none"/>
        </w:rPr>
        <w:t>第十七条　</w:t>
      </w:r>
      <w:r>
        <w:rPr>
          <w:rFonts w:hint="eastAsia" w:ascii="宋体" w:hAnsi="宋体"/>
          <w:color w:val="000000"/>
          <w:szCs w:val="21"/>
          <w:highlight w:val="none"/>
        </w:rPr>
        <w:t>本合同一式伍份，具有同等法律效力，北海市财政局政府采购监督管理科、采购代理机构各一份，甲乙丙三方各一份（可根据需要另增加）。</w:t>
      </w:r>
    </w:p>
    <w:p w14:paraId="2D573638">
      <w:pPr>
        <w:spacing w:line="440" w:lineRule="exact"/>
        <w:ind w:firstLine="420" w:firstLineChars="200"/>
        <w:rPr>
          <w:rFonts w:ascii="宋体" w:hAnsi="宋体"/>
          <w:color w:val="000000"/>
          <w:szCs w:val="21"/>
          <w:highlight w:val="none"/>
        </w:rPr>
      </w:pPr>
      <w:r>
        <w:rPr>
          <w:rFonts w:hint="eastAsia" w:ascii="宋体" w:hAnsi="宋体"/>
          <w:color w:val="000000"/>
          <w:szCs w:val="21"/>
          <w:highlight w:val="none"/>
        </w:rPr>
        <w:t>本合同甲乙丙三方签字盖章后生效，自签订之日起七个工作日内，采购人或采购代理机构应当将合同副本报北海市财政局政府采购监督管理科备案。</w:t>
      </w:r>
    </w:p>
    <w:p w14:paraId="2CA6A57A">
      <w:pPr>
        <w:keepNext/>
        <w:keepLines/>
        <w:widowControl/>
        <w:tabs>
          <w:tab w:val="left" w:pos="360"/>
        </w:tabs>
        <w:adjustRightInd w:val="0"/>
        <w:snapToGrid w:val="0"/>
        <w:spacing w:before="156" w:beforeLines="50" w:after="156" w:afterLines="50" w:line="420" w:lineRule="exact"/>
        <w:ind w:firstLine="422" w:firstLineChars="200"/>
        <w:outlineLvl w:val="1"/>
        <w:rPr>
          <w:rFonts w:ascii="宋体" w:hAnsi="宋体"/>
          <w:b/>
          <w:color w:val="000000"/>
          <w:szCs w:val="21"/>
          <w:highlight w:val="none"/>
        </w:rPr>
      </w:pPr>
      <w:r>
        <w:rPr>
          <w:rFonts w:hint="eastAsia" w:ascii="宋体" w:hAnsi="宋体"/>
          <w:b/>
          <w:color w:val="000000"/>
          <w:szCs w:val="21"/>
          <w:highlight w:val="none"/>
        </w:rPr>
        <w:t>（下无正文）</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3"/>
        <w:gridCol w:w="3367"/>
        <w:gridCol w:w="3267"/>
      </w:tblGrid>
      <w:tr w14:paraId="790E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8" w:hRule="atLeast"/>
        </w:trPr>
        <w:tc>
          <w:tcPr>
            <w:tcW w:w="3163" w:type="dxa"/>
            <w:vAlign w:val="center"/>
          </w:tcPr>
          <w:p w14:paraId="78B090F6">
            <w:pPr>
              <w:snapToGrid w:val="0"/>
              <w:spacing w:line="420" w:lineRule="exact"/>
              <w:rPr>
                <w:rFonts w:ascii="宋体" w:hAnsi="宋体"/>
                <w:color w:val="000000"/>
                <w:szCs w:val="21"/>
                <w:highlight w:val="none"/>
              </w:rPr>
            </w:pPr>
            <w:r>
              <w:rPr>
                <w:rFonts w:hint="eastAsia" w:ascii="宋体" w:hAnsi="宋体"/>
                <w:color w:val="000000"/>
                <w:szCs w:val="21"/>
                <w:highlight w:val="none"/>
              </w:rPr>
              <w:t xml:space="preserve">甲方（章）           </w:t>
            </w:r>
          </w:p>
          <w:p w14:paraId="14206927">
            <w:pPr>
              <w:snapToGrid w:val="0"/>
              <w:spacing w:line="420" w:lineRule="exact"/>
              <w:rPr>
                <w:rFonts w:ascii="宋体" w:hAnsi="宋体"/>
                <w:color w:val="000000"/>
                <w:szCs w:val="21"/>
                <w:highlight w:val="none"/>
              </w:rPr>
            </w:pPr>
          </w:p>
          <w:p w14:paraId="78BF13E4">
            <w:pPr>
              <w:snapToGrid w:val="0"/>
              <w:spacing w:line="420" w:lineRule="exact"/>
              <w:ind w:right="210" w:firstLine="945" w:firstLineChars="450"/>
              <w:jc w:val="right"/>
              <w:rPr>
                <w:rFonts w:ascii="宋体" w:hAnsi="宋体"/>
                <w:color w:val="000000"/>
                <w:szCs w:val="21"/>
                <w:highlight w:val="none"/>
              </w:rPr>
            </w:pPr>
            <w:r>
              <w:rPr>
                <w:rFonts w:hint="eastAsia" w:ascii="宋体" w:hAnsi="宋体"/>
                <w:color w:val="000000"/>
                <w:szCs w:val="21"/>
                <w:highlight w:val="none"/>
              </w:rPr>
              <w:t>年   月   日</w:t>
            </w:r>
          </w:p>
        </w:tc>
        <w:tc>
          <w:tcPr>
            <w:tcW w:w="3367" w:type="dxa"/>
            <w:vAlign w:val="center"/>
          </w:tcPr>
          <w:p w14:paraId="66D67E60">
            <w:pPr>
              <w:snapToGrid w:val="0"/>
              <w:spacing w:line="420" w:lineRule="exact"/>
              <w:rPr>
                <w:rFonts w:ascii="宋体" w:hAnsi="宋体"/>
                <w:szCs w:val="21"/>
                <w:highlight w:val="none"/>
              </w:rPr>
            </w:pPr>
            <w:r>
              <w:rPr>
                <w:rFonts w:hint="eastAsia" w:ascii="宋体" w:hAnsi="宋体"/>
                <w:szCs w:val="21"/>
                <w:highlight w:val="none"/>
              </w:rPr>
              <w:t xml:space="preserve">乙方（章）              </w:t>
            </w:r>
          </w:p>
          <w:p w14:paraId="4358EBC8">
            <w:pPr>
              <w:snapToGrid w:val="0"/>
              <w:spacing w:line="420" w:lineRule="exact"/>
              <w:rPr>
                <w:rFonts w:ascii="宋体" w:hAnsi="宋体"/>
                <w:szCs w:val="21"/>
                <w:highlight w:val="none"/>
              </w:rPr>
            </w:pPr>
          </w:p>
          <w:p w14:paraId="4BBCCFCB">
            <w:pPr>
              <w:snapToGrid w:val="0"/>
              <w:spacing w:line="420" w:lineRule="exact"/>
              <w:jc w:val="right"/>
              <w:rPr>
                <w:rFonts w:ascii="宋体" w:hAnsi="宋体"/>
                <w:szCs w:val="21"/>
                <w:highlight w:val="none"/>
              </w:rPr>
            </w:pPr>
            <w:r>
              <w:rPr>
                <w:rFonts w:hint="eastAsia" w:ascii="宋体" w:hAnsi="宋体"/>
                <w:szCs w:val="21"/>
                <w:highlight w:val="none"/>
              </w:rPr>
              <w:t xml:space="preserve"> 年   月   日</w:t>
            </w:r>
          </w:p>
        </w:tc>
        <w:tc>
          <w:tcPr>
            <w:tcW w:w="3267" w:type="dxa"/>
            <w:vAlign w:val="center"/>
          </w:tcPr>
          <w:p w14:paraId="2465EAB0">
            <w:pPr>
              <w:snapToGrid w:val="0"/>
              <w:spacing w:line="420" w:lineRule="exact"/>
              <w:rPr>
                <w:rFonts w:ascii="宋体" w:hAnsi="宋体"/>
                <w:szCs w:val="21"/>
                <w:highlight w:val="none"/>
              </w:rPr>
            </w:pPr>
            <w:r>
              <w:rPr>
                <w:rFonts w:hint="eastAsia" w:ascii="宋体" w:hAnsi="宋体"/>
                <w:szCs w:val="21"/>
                <w:highlight w:val="none"/>
              </w:rPr>
              <w:t xml:space="preserve">丙方（章）              </w:t>
            </w:r>
          </w:p>
          <w:p w14:paraId="185C4A04">
            <w:pPr>
              <w:snapToGrid w:val="0"/>
              <w:spacing w:line="420" w:lineRule="exact"/>
              <w:rPr>
                <w:rFonts w:ascii="宋体" w:hAnsi="宋体"/>
                <w:szCs w:val="21"/>
                <w:highlight w:val="none"/>
              </w:rPr>
            </w:pPr>
          </w:p>
          <w:p w14:paraId="3A5F901D">
            <w:pPr>
              <w:snapToGrid w:val="0"/>
              <w:spacing w:line="420" w:lineRule="exact"/>
              <w:jc w:val="right"/>
              <w:rPr>
                <w:rFonts w:ascii="宋体" w:hAnsi="宋体"/>
                <w:szCs w:val="21"/>
                <w:highlight w:val="none"/>
              </w:rPr>
            </w:pPr>
            <w:r>
              <w:rPr>
                <w:rFonts w:hint="eastAsia" w:ascii="宋体" w:hAnsi="宋体"/>
                <w:szCs w:val="21"/>
                <w:highlight w:val="none"/>
              </w:rPr>
              <w:t xml:space="preserve"> 年   月   日</w:t>
            </w:r>
          </w:p>
        </w:tc>
      </w:tr>
      <w:tr w14:paraId="00F9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trPr>
        <w:tc>
          <w:tcPr>
            <w:tcW w:w="3163" w:type="dxa"/>
            <w:vAlign w:val="center"/>
          </w:tcPr>
          <w:p w14:paraId="06076B3F">
            <w:pPr>
              <w:snapToGrid w:val="0"/>
              <w:spacing w:line="420" w:lineRule="exact"/>
              <w:rPr>
                <w:rFonts w:ascii="宋体" w:hAnsi="宋体"/>
                <w:color w:val="000000"/>
                <w:szCs w:val="21"/>
                <w:highlight w:val="none"/>
              </w:rPr>
            </w:pPr>
            <w:r>
              <w:rPr>
                <w:rFonts w:hint="eastAsia" w:ascii="宋体" w:hAnsi="宋体"/>
                <w:color w:val="000000"/>
                <w:szCs w:val="21"/>
                <w:highlight w:val="none"/>
              </w:rPr>
              <w:t>单位地址：</w:t>
            </w:r>
          </w:p>
        </w:tc>
        <w:tc>
          <w:tcPr>
            <w:tcW w:w="3367" w:type="dxa"/>
            <w:vAlign w:val="center"/>
          </w:tcPr>
          <w:p w14:paraId="59FB6CDD">
            <w:pPr>
              <w:snapToGrid w:val="0"/>
              <w:spacing w:line="420" w:lineRule="exact"/>
              <w:rPr>
                <w:rFonts w:ascii="宋体" w:hAnsi="宋体"/>
                <w:szCs w:val="21"/>
                <w:highlight w:val="none"/>
              </w:rPr>
            </w:pPr>
            <w:r>
              <w:rPr>
                <w:rFonts w:hint="eastAsia" w:ascii="宋体" w:hAnsi="宋体"/>
                <w:szCs w:val="21"/>
                <w:highlight w:val="none"/>
              </w:rPr>
              <w:t>单位地址：</w:t>
            </w:r>
          </w:p>
        </w:tc>
        <w:tc>
          <w:tcPr>
            <w:tcW w:w="3267" w:type="dxa"/>
            <w:vAlign w:val="center"/>
          </w:tcPr>
          <w:p w14:paraId="7BEA6B2F">
            <w:pPr>
              <w:snapToGrid w:val="0"/>
              <w:spacing w:line="420" w:lineRule="exact"/>
              <w:rPr>
                <w:rFonts w:ascii="宋体" w:hAnsi="宋体"/>
                <w:szCs w:val="21"/>
                <w:highlight w:val="none"/>
              </w:rPr>
            </w:pPr>
            <w:r>
              <w:rPr>
                <w:rFonts w:hint="eastAsia" w:ascii="宋体" w:hAnsi="宋体"/>
                <w:szCs w:val="21"/>
                <w:highlight w:val="none"/>
              </w:rPr>
              <w:t>单位地址：</w:t>
            </w:r>
          </w:p>
        </w:tc>
      </w:tr>
      <w:tr w14:paraId="1ED18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trPr>
        <w:tc>
          <w:tcPr>
            <w:tcW w:w="3163" w:type="dxa"/>
            <w:vAlign w:val="center"/>
          </w:tcPr>
          <w:p w14:paraId="08F285F9">
            <w:pPr>
              <w:snapToGrid w:val="0"/>
              <w:spacing w:line="420" w:lineRule="exact"/>
              <w:rPr>
                <w:rFonts w:ascii="宋体" w:hAnsi="宋体"/>
                <w:color w:val="000000"/>
                <w:szCs w:val="21"/>
                <w:highlight w:val="none"/>
              </w:rPr>
            </w:pPr>
            <w:r>
              <w:rPr>
                <w:rFonts w:hint="eastAsia" w:ascii="宋体" w:hAnsi="宋体"/>
                <w:color w:val="000000"/>
                <w:szCs w:val="21"/>
                <w:highlight w:val="none"/>
              </w:rPr>
              <w:t>法定代表人（负责人）：</w:t>
            </w:r>
          </w:p>
        </w:tc>
        <w:tc>
          <w:tcPr>
            <w:tcW w:w="3367" w:type="dxa"/>
            <w:vAlign w:val="center"/>
          </w:tcPr>
          <w:p w14:paraId="120118FF">
            <w:pPr>
              <w:snapToGrid w:val="0"/>
              <w:spacing w:line="420" w:lineRule="exact"/>
              <w:rPr>
                <w:rFonts w:ascii="宋体" w:hAnsi="宋体"/>
                <w:szCs w:val="21"/>
                <w:highlight w:val="none"/>
              </w:rPr>
            </w:pPr>
            <w:r>
              <w:rPr>
                <w:rFonts w:hint="eastAsia" w:ascii="宋体" w:hAnsi="宋体"/>
                <w:szCs w:val="21"/>
                <w:highlight w:val="none"/>
              </w:rPr>
              <w:t>法定代表人（负责人）：</w:t>
            </w:r>
          </w:p>
        </w:tc>
        <w:tc>
          <w:tcPr>
            <w:tcW w:w="3267" w:type="dxa"/>
            <w:vAlign w:val="center"/>
          </w:tcPr>
          <w:p w14:paraId="5EAA3F5D">
            <w:pPr>
              <w:snapToGrid w:val="0"/>
              <w:spacing w:line="420" w:lineRule="exact"/>
              <w:rPr>
                <w:rFonts w:ascii="宋体" w:hAnsi="宋体"/>
                <w:szCs w:val="21"/>
                <w:highlight w:val="none"/>
              </w:rPr>
            </w:pPr>
            <w:r>
              <w:rPr>
                <w:rFonts w:hint="eastAsia" w:ascii="宋体" w:hAnsi="宋体"/>
                <w:szCs w:val="21"/>
                <w:highlight w:val="none"/>
              </w:rPr>
              <w:t>法定代表人（负责人）：</w:t>
            </w:r>
          </w:p>
        </w:tc>
      </w:tr>
      <w:tr w14:paraId="600CE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trPr>
        <w:tc>
          <w:tcPr>
            <w:tcW w:w="3163" w:type="dxa"/>
            <w:vAlign w:val="center"/>
          </w:tcPr>
          <w:p w14:paraId="285988C5">
            <w:pPr>
              <w:snapToGrid w:val="0"/>
              <w:spacing w:line="420" w:lineRule="exact"/>
              <w:rPr>
                <w:rFonts w:ascii="宋体" w:hAnsi="宋体"/>
                <w:color w:val="000000"/>
                <w:szCs w:val="21"/>
                <w:highlight w:val="none"/>
              </w:rPr>
            </w:pPr>
            <w:r>
              <w:rPr>
                <w:rFonts w:hint="eastAsia" w:ascii="宋体" w:hAnsi="宋体"/>
                <w:color w:val="000000"/>
                <w:szCs w:val="21"/>
                <w:highlight w:val="none"/>
              </w:rPr>
              <w:t>委托代理人：</w:t>
            </w:r>
          </w:p>
        </w:tc>
        <w:tc>
          <w:tcPr>
            <w:tcW w:w="3367" w:type="dxa"/>
            <w:vAlign w:val="center"/>
          </w:tcPr>
          <w:p w14:paraId="0FEB89E8">
            <w:pPr>
              <w:snapToGrid w:val="0"/>
              <w:spacing w:line="420" w:lineRule="exact"/>
              <w:rPr>
                <w:rFonts w:ascii="宋体" w:hAnsi="宋体"/>
                <w:szCs w:val="21"/>
                <w:highlight w:val="none"/>
              </w:rPr>
            </w:pPr>
            <w:r>
              <w:rPr>
                <w:rFonts w:hint="eastAsia" w:ascii="宋体" w:hAnsi="宋体"/>
                <w:szCs w:val="21"/>
                <w:highlight w:val="none"/>
              </w:rPr>
              <w:t>委托代理人</w:t>
            </w:r>
          </w:p>
        </w:tc>
        <w:tc>
          <w:tcPr>
            <w:tcW w:w="3267" w:type="dxa"/>
            <w:vAlign w:val="center"/>
          </w:tcPr>
          <w:p w14:paraId="3AC1B0D1">
            <w:pPr>
              <w:snapToGrid w:val="0"/>
              <w:spacing w:line="420" w:lineRule="exact"/>
              <w:rPr>
                <w:rFonts w:ascii="宋体" w:hAnsi="宋体"/>
                <w:szCs w:val="21"/>
                <w:highlight w:val="none"/>
              </w:rPr>
            </w:pPr>
            <w:r>
              <w:rPr>
                <w:rFonts w:hint="eastAsia" w:ascii="宋体" w:hAnsi="宋体"/>
                <w:szCs w:val="21"/>
                <w:highlight w:val="none"/>
              </w:rPr>
              <w:t>委托代理人</w:t>
            </w:r>
          </w:p>
        </w:tc>
      </w:tr>
      <w:tr w14:paraId="2FF98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trPr>
        <w:tc>
          <w:tcPr>
            <w:tcW w:w="3163" w:type="dxa"/>
            <w:vAlign w:val="center"/>
          </w:tcPr>
          <w:p w14:paraId="04478D8E">
            <w:pPr>
              <w:snapToGrid w:val="0"/>
              <w:spacing w:line="420" w:lineRule="exact"/>
              <w:rPr>
                <w:rFonts w:ascii="宋体" w:hAnsi="宋体"/>
                <w:color w:val="000000"/>
                <w:szCs w:val="21"/>
                <w:highlight w:val="none"/>
              </w:rPr>
            </w:pPr>
            <w:r>
              <w:rPr>
                <w:rFonts w:hint="eastAsia" w:ascii="宋体" w:hAnsi="宋体"/>
                <w:color w:val="000000"/>
                <w:szCs w:val="21"/>
                <w:highlight w:val="none"/>
              </w:rPr>
              <w:t>电话：</w:t>
            </w:r>
          </w:p>
        </w:tc>
        <w:tc>
          <w:tcPr>
            <w:tcW w:w="3367" w:type="dxa"/>
            <w:vAlign w:val="center"/>
          </w:tcPr>
          <w:p w14:paraId="426A77F8">
            <w:pPr>
              <w:snapToGrid w:val="0"/>
              <w:spacing w:line="420" w:lineRule="exact"/>
              <w:rPr>
                <w:rFonts w:ascii="宋体" w:hAnsi="宋体"/>
                <w:szCs w:val="21"/>
                <w:highlight w:val="none"/>
              </w:rPr>
            </w:pPr>
            <w:r>
              <w:rPr>
                <w:rFonts w:hint="eastAsia" w:ascii="宋体" w:hAnsi="宋体"/>
                <w:szCs w:val="21"/>
                <w:highlight w:val="none"/>
              </w:rPr>
              <w:t>电话：</w:t>
            </w:r>
          </w:p>
        </w:tc>
        <w:tc>
          <w:tcPr>
            <w:tcW w:w="3267" w:type="dxa"/>
            <w:vAlign w:val="center"/>
          </w:tcPr>
          <w:p w14:paraId="19C6A05A">
            <w:pPr>
              <w:snapToGrid w:val="0"/>
              <w:spacing w:line="420" w:lineRule="exact"/>
              <w:rPr>
                <w:rFonts w:ascii="宋体" w:hAnsi="宋体"/>
                <w:szCs w:val="21"/>
                <w:highlight w:val="none"/>
              </w:rPr>
            </w:pPr>
            <w:r>
              <w:rPr>
                <w:rFonts w:hint="eastAsia" w:ascii="宋体" w:hAnsi="宋体"/>
                <w:szCs w:val="21"/>
                <w:highlight w:val="none"/>
              </w:rPr>
              <w:t>电话：</w:t>
            </w:r>
          </w:p>
        </w:tc>
      </w:tr>
      <w:tr w14:paraId="7730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trPr>
        <w:tc>
          <w:tcPr>
            <w:tcW w:w="3163" w:type="dxa"/>
            <w:vAlign w:val="center"/>
          </w:tcPr>
          <w:p w14:paraId="02B79597">
            <w:pPr>
              <w:snapToGrid w:val="0"/>
              <w:spacing w:line="420" w:lineRule="exact"/>
              <w:rPr>
                <w:rFonts w:ascii="宋体" w:hAnsi="宋体"/>
                <w:color w:val="000000"/>
                <w:szCs w:val="21"/>
                <w:highlight w:val="none"/>
              </w:rPr>
            </w:pPr>
            <w:r>
              <w:rPr>
                <w:rFonts w:hint="eastAsia" w:ascii="宋体" w:hAnsi="宋体"/>
                <w:color w:val="000000"/>
                <w:szCs w:val="21"/>
                <w:highlight w:val="none"/>
              </w:rPr>
              <w:t>电子邮箱：</w:t>
            </w:r>
          </w:p>
        </w:tc>
        <w:tc>
          <w:tcPr>
            <w:tcW w:w="3367" w:type="dxa"/>
            <w:vAlign w:val="center"/>
          </w:tcPr>
          <w:p w14:paraId="100B6944">
            <w:pPr>
              <w:snapToGrid w:val="0"/>
              <w:spacing w:line="420" w:lineRule="exact"/>
              <w:rPr>
                <w:rFonts w:ascii="宋体" w:hAnsi="宋体"/>
                <w:szCs w:val="21"/>
                <w:highlight w:val="none"/>
              </w:rPr>
            </w:pPr>
            <w:r>
              <w:rPr>
                <w:rFonts w:hint="eastAsia" w:ascii="宋体" w:hAnsi="宋体"/>
                <w:szCs w:val="21"/>
                <w:highlight w:val="none"/>
              </w:rPr>
              <w:t>电子邮箱：</w:t>
            </w:r>
          </w:p>
        </w:tc>
        <w:tc>
          <w:tcPr>
            <w:tcW w:w="3267" w:type="dxa"/>
            <w:vAlign w:val="center"/>
          </w:tcPr>
          <w:p w14:paraId="1A66ABEA">
            <w:pPr>
              <w:snapToGrid w:val="0"/>
              <w:spacing w:line="420" w:lineRule="exact"/>
              <w:rPr>
                <w:rFonts w:ascii="宋体" w:hAnsi="宋体"/>
                <w:szCs w:val="21"/>
                <w:highlight w:val="none"/>
              </w:rPr>
            </w:pPr>
            <w:r>
              <w:rPr>
                <w:rFonts w:hint="eastAsia" w:ascii="宋体" w:hAnsi="宋体"/>
                <w:szCs w:val="21"/>
                <w:highlight w:val="none"/>
              </w:rPr>
              <w:t>电子邮箱：</w:t>
            </w:r>
          </w:p>
        </w:tc>
      </w:tr>
      <w:tr w14:paraId="27B7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trPr>
        <w:tc>
          <w:tcPr>
            <w:tcW w:w="3163" w:type="dxa"/>
            <w:vAlign w:val="center"/>
          </w:tcPr>
          <w:p w14:paraId="46E1EAA3">
            <w:pPr>
              <w:snapToGrid w:val="0"/>
              <w:spacing w:line="420" w:lineRule="exact"/>
              <w:rPr>
                <w:rFonts w:ascii="宋体" w:hAnsi="宋体"/>
                <w:color w:val="000000"/>
                <w:szCs w:val="21"/>
                <w:highlight w:val="none"/>
              </w:rPr>
            </w:pPr>
            <w:r>
              <w:rPr>
                <w:rFonts w:hint="eastAsia" w:ascii="宋体" w:hAnsi="宋体"/>
                <w:color w:val="000000"/>
                <w:szCs w:val="21"/>
                <w:highlight w:val="none"/>
              </w:rPr>
              <w:t>开户银行：</w:t>
            </w:r>
          </w:p>
        </w:tc>
        <w:tc>
          <w:tcPr>
            <w:tcW w:w="3367" w:type="dxa"/>
            <w:vAlign w:val="center"/>
          </w:tcPr>
          <w:p w14:paraId="253AAA28">
            <w:pPr>
              <w:snapToGrid w:val="0"/>
              <w:spacing w:line="420" w:lineRule="exact"/>
              <w:rPr>
                <w:rFonts w:ascii="宋体" w:hAnsi="宋体"/>
                <w:szCs w:val="21"/>
                <w:highlight w:val="none"/>
              </w:rPr>
            </w:pPr>
            <w:r>
              <w:rPr>
                <w:rFonts w:hint="eastAsia" w:ascii="宋体" w:hAnsi="宋体"/>
                <w:szCs w:val="21"/>
                <w:highlight w:val="none"/>
              </w:rPr>
              <w:t>开户银行：</w:t>
            </w:r>
          </w:p>
        </w:tc>
        <w:tc>
          <w:tcPr>
            <w:tcW w:w="3267" w:type="dxa"/>
            <w:vAlign w:val="center"/>
          </w:tcPr>
          <w:p w14:paraId="1F5A3143">
            <w:pPr>
              <w:snapToGrid w:val="0"/>
              <w:spacing w:line="420" w:lineRule="exact"/>
              <w:rPr>
                <w:rFonts w:ascii="宋体" w:hAnsi="宋体"/>
                <w:szCs w:val="21"/>
                <w:highlight w:val="none"/>
              </w:rPr>
            </w:pPr>
            <w:r>
              <w:rPr>
                <w:rFonts w:hint="eastAsia" w:ascii="宋体" w:hAnsi="宋体"/>
                <w:szCs w:val="21"/>
                <w:highlight w:val="none"/>
              </w:rPr>
              <w:t>开户银行：</w:t>
            </w:r>
          </w:p>
        </w:tc>
      </w:tr>
      <w:tr w14:paraId="2299B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trPr>
        <w:tc>
          <w:tcPr>
            <w:tcW w:w="3163" w:type="dxa"/>
            <w:vAlign w:val="center"/>
          </w:tcPr>
          <w:p w14:paraId="12259FD2">
            <w:pPr>
              <w:snapToGrid w:val="0"/>
              <w:spacing w:line="420" w:lineRule="exact"/>
              <w:rPr>
                <w:rFonts w:ascii="宋体" w:hAnsi="宋体"/>
                <w:color w:val="000000"/>
                <w:szCs w:val="21"/>
                <w:highlight w:val="none"/>
              </w:rPr>
            </w:pPr>
            <w:r>
              <w:rPr>
                <w:rFonts w:hint="eastAsia" w:ascii="宋体" w:hAnsi="宋体"/>
                <w:color w:val="000000"/>
                <w:szCs w:val="21"/>
                <w:highlight w:val="none"/>
              </w:rPr>
              <w:t>账号：</w:t>
            </w:r>
          </w:p>
        </w:tc>
        <w:tc>
          <w:tcPr>
            <w:tcW w:w="3367" w:type="dxa"/>
            <w:vAlign w:val="center"/>
          </w:tcPr>
          <w:p w14:paraId="496FE709">
            <w:pPr>
              <w:snapToGrid w:val="0"/>
              <w:spacing w:line="420" w:lineRule="exact"/>
              <w:rPr>
                <w:rFonts w:ascii="宋体" w:hAnsi="宋体"/>
                <w:szCs w:val="21"/>
                <w:highlight w:val="none"/>
              </w:rPr>
            </w:pPr>
            <w:r>
              <w:rPr>
                <w:rFonts w:hint="eastAsia" w:ascii="宋体" w:hAnsi="宋体"/>
                <w:szCs w:val="21"/>
                <w:highlight w:val="none"/>
              </w:rPr>
              <w:t>账号：</w:t>
            </w:r>
          </w:p>
        </w:tc>
        <w:tc>
          <w:tcPr>
            <w:tcW w:w="3267" w:type="dxa"/>
            <w:vAlign w:val="center"/>
          </w:tcPr>
          <w:p w14:paraId="54EE4BB5">
            <w:pPr>
              <w:snapToGrid w:val="0"/>
              <w:spacing w:line="420" w:lineRule="exact"/>
              <w:rPr>
                <w:rFonts w:ascii="宋体" w:hAnsi="宋体"/>
                <w:szCs w:val="21"/>
                <w:highlight w:val="none"/>
              </w:rPr>
            </w:pPr>
            <w:r>
              <w:rPr>
                <w:rFonts w:hint="eastAsia" w:ascii="宋体" w:hAnsi="宋体"/>
                <w:szCs w:val="21"/>
                <w:highlight w:val="none"/>
              </w:rPr>
              <w:t>账号：</w:t>
            </w:r>
          </w:p>
        </w:tc>
      </w:tr>
      <w:tr w14:paraId="07DA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trPr>
        <w:tc>
          <w:tcPr>
            <w:tcW w:w="3163" w:type="dxa"/>
            <w:vAlign w:val="center"/>
          </w:tcPr>
          <w:p w14:paraId="7DF3DEE9">
            <w:pPr>
              <w:snapToGrid w:val="0"/>
              <w:spacing w:line="420" w:lineRule="exact"/>
              <w:rPr>
                <w:rFonts w:ascii="宋体" w:hAnsi="宋体"/>
                <w:color w:val="000000"/>
                <w:szCs w:val="21"/>
                <w:highlight w:val="none"/>
              </w:rPr>
            </w:pPr>
            <w:r>
              <w:rPr>
                <w:rFonts w:hint="eastAsia" w:ascii="宋体" w:hAnsi="宋体"/>
                <w:color w:val="000000"/>
                <w:szCs w:val="21"/>
                <w:highlight w:val="none"/>
              </w:rPr>
              <w:t>邮政编码：</w:t>
            </w:r>
          </w:p>
        </w:tc>
        <w:tc>
          <w:tcPr>
            <w:tcW w:w="3367" w:type="dxa"/>
            <w:vAlign w:val="center"/>
          </w:tcPr>
          <w:p w14:paraId="357EB31E">
            <w:pPr>
              <w:snapToGrid w:val="0"/>
              <w:spacing w:line="420" w:lineRule="exact"/>
              <w:rPr>
                <w:rFonts w:ascii="宋体" w:hAnsi="宋体"/>
                <w:szCs w:val="21"/>
                <w:highlight w:val="none"/>
              </w:rPr>
            </w:pPr>
            <w:r>
              <w:rPr>
                <w:rFonts w:hint="eastAsia" w:ascii="宋体" w:hAnsi="宋体"/>
                <w:szCs w:val="21"/>
                <w:highlight w:val="none"/>
              </w:rPr>
              <w:t>邮政编码：</w:t>
            </w:r>
          </w:p>
        </w:tc>
        <w:tc>
          <w:tcPr>
            <w:tcW w:w="3267" w:type="dxa"/>
            <w:vAlign w:val="center"/>
          </w:tcPr>
          <w:p w14:paraId="3E8F100D">
            <w:pPr>
              <w:snapToGrid w:val="0"/>
              <w:spacing w:line="420" w:lineRule="exact"/>
              <w:rPr>
                <w:rFonts w:ascii="宋体" w:hAnsi="宋体"/>
                <w:szCs w:val="21"/>
                <w:highlight w:val="none"/>
              </w:rPr>
            </w:pPr>
            <w:r>
              <w:rPr>
                <w:rFonts w:hint="eastAsia" w:ascii="宋体" w:hAnsi="宋体"/>
                <w:szCs w:val="21"/>
                <w:highlight w:val="none"/>
              </w:rPr>
              <w:t>邮政编码：</w:t>
            </w:r>
          </w:p>
        </w:tc>
      </w:tr>
      <w:tr w14:paraId="65481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trPr>
        <w:tc>
          <w:tcPr>
            <w:tcW w:w="9797" w:type="dxa"/>
            <w:gridSpan w:val="3"/>
          </w:tcPr>
          <w:p w14:paraId="2288E73E">
            <w:pPr>
              <w:snapToGrid w:val="0"/>
              <w:spacing w:line="420" w:lineRule="exact"/>
              <w:rPr>
                <w:rFonts w:ascii="宋体" w:hAnsi="宋体"/>
                <w:color w:val="000000"/>
                <w:szCs w:val="21"/>
                <w:highlight w:val="none"/>
              </w:rPr>
            </w:pPr>
            <w:r>
              <w:rPr>
                <w:rFonts w:hint="eastAsia" w:ascii="宋体" w:hAnsi="宋体"/>
                <w:color w:val="000000"/>
                <w:szCs w:val="21"/>
                <w:highlight w:val="none"/>
              </w:rPr>
              <w:t>经办人：</w:t>
            </w:r>
          </w:p>
          <w:p w14:paraId="3779BF6D">
            <w:pPr>
              <w:snapToGrid w:val="0"/>
              <w:spacing w:line="420" w:lineRule="exact"/>
              <w:rPr>
                <w:rFonts w:ascii="宋体" w:hAnsi="宋体"/>
                <w:color w:val="000000"/>
                <w:szCs w:val="21"/>
                <w:highlight w:val="none"/>
              </w:rPr>
            </w:pPr>
          </w:p>
          <w:p w14:paraId="427B2712">
            <w:pPr>
              <w:snapToGrid w:val="0"/>
              <w:spacing w:line="420" w:lineRule="exact"/>
              <w:rPr>
                <w:rFonts w:ascii="宋体" w:hAnsi="宋体"/>
                <w:color w:val="000000"/>
                <w:szCs w:val="21"/>
                <w:highlight w:val="none"/>
              </w:rPr>
            </w:pPr>
          </w:p>
          <w:p w14:paraId="5D79A3B4">
            <w:pPr>
              <w:snapToGrid w:val="0"/>
              <w:spacing w:line="420" w:lineRule="exact"/>
              <w:rPr>
                <w:rFonts w:ascii="宋体" w:hAnsi="宋体"/>
                <w:color w:val="000000"/>
                <w:szCs w:val="21"/>
                <w:highlight w:val="none"/>
              </w:rPr>
            </w:pPr>
          </w:p>
          <w:p w14:paraId="088F6A40">
            <w:pPr>
              <w:snapToGrid w:val="0"/>
              <w:spacing w:line="420" w:lineRule="exact"/>
              <w:ind w:firstLine="630" w:firstLineChars="300"/>
              <w:jc w:val="right"/>
              <w:rPr>
                <w:rFonts w:ascii="宋体" w:hAnsi="宋体"/>
                <w:color w:val="000000"/>
                <w:szCs w:val="21"/>
                <w:highlight w:val="none"/>
              </w:rPr>
            </w:pPr>
            <w:r>
              <w:rPr>
                <w:rFonts w:hint="eastAsia" w:ascii="宋体" w:hAnsi="宋体"/>
                <w:color w:val="000000"/>
                <w:szCs w:val="21"/>
                <w:highlight w:val="none"/>
              </w:rPr>
              <w:t>年    月    日</w:t>
            </w:r>
          </w:p>
        </w:tc>
      </w:tr>
    </w:tbl>
    <w:p w14:paraId="34FF95D7">
      <w:pPr>
        <w:snapToGrid w:val="0"/>
        <w:spacing w:line="420" w:lineRule="exact"/>
        <w:rPr>
          <w:rFonts w:ascii="宋体" w:hAnsi="宋体"/>
          <w:b/>
          <w:color w:val="000000"/>
          <w:szCs w:val="21"/>
          <w:highlight w:val="none"/>
        </w:rPr>
      </w:pPr>
    </w:p>
    <w:p w14:paraId="608D9981">
      <w:pPr>
        <w:snapToGrid w:val="0"/>
        <w:spacing w:line="420" w:lineRule="exact"/>
        <w:jc w:val="center"/>
        <w:rPr>
          <w:rFonts w:ascii="宋体" w:hAnsi="宋体"/>
          <w:b/>
          <w:color w:val="000000"/>
          <w:sz w:val="28"/>
          <w:szCs w:val="28"/>
          <w:highlight w:val="none"/>
        </w:rPr>
      </w:pPr>
      <w:r>
        <w:rPr>
          <w:rFonts w:hint="eastAsia" w:ascii="宋体" w:hAnsi="宋体"/>
          <w:b/>
          <w:color w:val="000000"/>
          <w:sz w:val="28"/>
          <w:szCs w:val="28"/>
          <w:highlight w:val="none"/>
        </w:rPr>
        <w:t>合 同 附 件</w:t>
      </w:r>
    </w:p>
    <w:tbl>
      <w:tblPr>
        <w:tblStyle w:val="63"/>
        <w:tblW w:w="0" w:type="auto"/>
        <w:tblInd w:w="0" w:type="dxa"/>
        <w:tblLayout w:type="fixed"/>
        <w:tblCellMar>
          <w:top w:w="0" w:type="dxa"/>
          <w:left w:w="108" w:type="dxa"/>
          <w:bottom w:w="0" w:type="dxa"/>
          <w:right w:w="108" w:type="dxa"/>
        </w:tblCellMar>
      </w:tblPr>
      <w:tblGrid>
        <w:gridCol w:w="4623"/>
        <w:gridCol w:w="4665"/>
      </w:tblGrid>
      <w:tr w14:paraId="1537754F">
        <w:tblPrEx>
          <w:tblCellMar>
            <w:top w:w="0" w:type="dxa"/>
            <w:left w:w="108" w:type="dxa"/>
            <w:bottom w:w="0" w:type="dxa"/>
            <w:right w:w="108" w:type="dxa"/>
          </w:tblCellMar>
        </w:tblPrEx>
        <w:trPr>
          <w:trHeight w:val="1202" w:hRule="atLeast"/>
        </w:trPr>
        <w:tc>
          <w:tcPr>
            <w:tcW w:w="9288" w:type="dxa"/>
            <w:gridSpan w:val="2"/>
            <w:tcBorders>
              <w:top w:val="single" w:color="auto" w:sz="4" w:space="0"/>
              <w:left w:val="single" w:color="auto" w:sz="4" w:space="0"/>
              <w:right w:val="single" w:color="auto" w:sz="4" w:space="0"/>
            </w:tcBorders>
          </w:tcPr>
          <w:p w14:paraId="07ADB395">
            <w:pPr>
              <w:snapToGrid w:val="0"/>
              <w:spacing w:line="420" w:lineRule="exact"/>
              <w:ind w:firstLine="422" w:firstLineChars="200"/>
              <w:rPr>
                <w:rFonts w:ascii="宋体" w:hAnsi="宋体"/>
                <w:b/>
                <w:color w:val="000000"/>
                <w:szCs w:val="21"/>
                <w:highlight w:val="none"/>
              </w:rPr>
            </w:pPr>
            <w:r>
              <w:rPr>
                <w:rFonts w:hint="eastAsia" w:ascii="宋体" w:hAnsi="宋体"/>
                <w:b/>
                <w:szCs w:val="21"/>
                <w:highlight w:val="none"/>
              </w:rPr>
              <w:t>1、供应商承诺具体事项：</w:t>
            </w:r>
            <w:r>
              <w:rPr>
                <w:rFonts w:hint="eastAsia" w:ascii="宋体" w:hAnsi="宋体"/>
                <w:bCs/>
                <w:szCs w:val="21"/>
                <w:highlight w:val="none"/>
              </w:rPr>
              <w:t>见招投标文件</w:t>
            </w:r>
          </w:p>
        </w:tc>
      </w:tr>
      <w:tr w14:paraId="32F5D90A">
        <w:tblPrEx>
          <w:tblCellMar>
            <w:top w:w="0" w:type="dxa"/>
            <w:left w:w="108" w:type="dxa"/>
            <w:bottom w:w="0" w:type="dxa"/>
            <w:right w:w="108" w:type="dxa"/>
          </w:tblCellMar>
        </w:tblPrEx>
        <w:trPr>
          <w:trHeight w:val="1385" w:hRule="atLeast"/>
        </w:trPr>
        <w:tc>
          <w:tcPr>
            <w:tcW w:w="9288" w:type="dxa"/>
            <w:gridSpan w:val="2"/>
            <w:tcBorders>
              <w:top w:val="single" w:color="auto" w:sz="4" w:space="0"/>
              <w:left w:val="single" w:color="auto" w:sz="4" w:space="0"/>
              <w:right w:val="single" w:color="auto" w:sz="4" w:space="0"/>
            </w:tcBorders>
          </w:tcPr>
          <w:p w14:paraId="52AD226F">
            <w:pPr>
              <w:snapToGrid w:val="0"/>
              <w:spacing w:line="420" w:lineRule="exact"/>
              <w:ind w:firstLine="422" w:firstLineChars="200"/>
              <w:rPr>
                <w:rFonts w:ascii="宋体" w:hAnsi="宋体"/>
                <w:b/>
                <w:color w:val="000000"/>
                <w:szCs w:val="21"/>
                <w:highlight w:val="none"/>
              </w:rPr>
            </w:pPr>
            <w:r>
              <w:rPr>
                <w:rFonts w:hint="eastAsia" w:ascii="宋体" w:hAnsi="宋体"/>
                <w:b/>
                <w:szCs w:val="21"/>
                <w:highlight w:val="none"/>
              </w:rPr>
              <w:t>2、服务期责任：</w:t>
            </w:r>
            <w:r>
              <w:rPr>
                <w:rFonts w:hint="eastAsia" w:ascii="宋体" w:hAnsi="宋体"/>
                <w:bCs/>
                <w:szCs w:val="21"/>
                <w:highlight w:val="none"/>
              </w:rPr>
              <w:t>见招投标文件</w:t>
            </w:r>
          </w:p>
        </w:tc>
      </w:tr>
      <w:tr w14:paraId="7D0D400E">
        <w:tblPrEx>
          <w:tblCellMar>
            <w:top w:w="0" w:type="dxa"/>
            <w:left w:w="108" w:type="dxa"/>
            <w:bottom w:w="0" w:type="dxa"/>
            <w:right w:w="108" w:type="dxa"/>
          </w:tblCellMar>
        </w:tblPrEx>
        <w:trPr>
          <w:trHeight w:val="1810" w:hRule="atLeast"/>
        </w:trPr>
        <w:tc>
          <w:tcPr>
            <w:tcW w:w="9288" w:type="dxa"/>
            <w:gridSpan w:val="2"/>
            <w:tcBorders>
              <w:top w:val="single" w:color="auto" w:sz="4" w:space="0"/>
              <w:left w:val="single" w:color="auto" w:sz="4" w:space="0"/>
              <w:right w:val="single" w:color="auto" w:sz="4" w:space="0"/>
            </w:tcBorders>
          </w:tcPr>
          <w:p w14:paraId="31D73813">
            <w:pPr>
              <w:snapToGrid w:val="0"/>
              <w:spacing w:line="420" w:lineRule="exact"/>
              <w:ind w:firstLine="422" w:firstLineChars="200"/>
              <w:rPr>
                <w:rFonts w:ascii="宋体" w:hAnsi="宋体"/>
                <w:b/>
                <w:color w:val="000000"/>
                <w:szCs w:val="21"/>
                <w:highlight w:val="none"/>
              </w:rPr>
            </w:pPr>
            <w:r>
              <w:rPr>
                <w:rFonts w:hint="eastAsia" w:ascii="宋体" w:hAnsi="宋体"/>
                <w:b/>
                <w:color w:val="000000"/>
                <w:szCs w:val="21"/>
                <w:highlight w:val="none"/>
              </w:rPr>
              <w:t>3、其他具体事项：</w:t>
            </w:r>
          </w:p>
          <w:p w14:paraId="63FA3214">
            <w:pPr>
              <w:snapToGrid w:val="0"/>
              <w:spacing w:line="420" w:lineRule="exact"/>
              <w:ind w:firstLine="420" w:firstLineChars="200"/>
              <w:rPr>
                <w:rFonts w:ascii="宋体" w:hAnsi="宋体"/>
                <w:b/>
                <w:color w:val="000000"/>
                <w:szCs w:val="21"/>
                <w:highlight w:val="none"/>
              </w:rPr>
            </w:pPr>
            <w:r>
              <w:rPr>
                <w:rFonts w:hint="eastAsia" w:ascii="宋体" w:hAnsi="宋体"/>
                <w:bCs/>
                <w:szCs w:val="21"/>
                <w:highlight w:val="none"/>
              </w:rPr>
              <w:t>中标供应商每月接受采购人或校方单位质量考核，未达标准从承包价中扣除。满意率至少在85％以上（各服务学校另有要求的该学校要求为准）、合同履约率达98%以上、上岗培训合格率达100%、合理投诉解决率达100%，连续两个月达不到，采购人可以终止合同。</w:t>
            </w:r>
          </w:p>
        </w:tc>
      </w:tr>
      <w:tr w14:paraId="7BAFF37F">
        <w:tblPrEx>
          <w:tblCellMar>
            <w:top w:w="0" w:type="dxa"/>
            <w:left w:w="108" w:type="dxa"/>
            <w:bottom w:w="0" w:type="dxa"/>
            <w:right w:w="108" w:type="dxa"/>
          </w:tblCellMar>
        </w:tblPrEx>
        <w:trPr>
          <w:trHeight w:val="2705" w:hRule="atLeast"/>
        </w:trPr>
        <w:tc>
          <w:tcPr>
            <w:tcW w:w="4623" w:type="dxa"/>
            <w:tcBorders>
              <w:top w:val="single" w:color="auto" w:sz="4" w:space="0"/>
              <w:left w:val="single" w:color="auto" w:sz="4" w:space="0"/>
              <w:bottom w:val="single" w:color="auto" w:sz="4" w:space="0"/>
              <w:right w:val="single" w:color="auto" w:sz="4" w:space="0"/>
            </w:tcBorders>
            <w:vAlign w:val="center"/>
          </w:tcPr>
          <w:p w14:paraId="14310721">
            <w:pPr>
              <w:snapToGrid w:val="0"/>
              <w:spacing w:line="420" w:lineRule="exact"/>
              <w:ind w:firstLine="422" w:firstLineChars="200"/>
              <w:rPr>
                <w:rFonts w:ascii="宋体" w:hAnsi="宋体"/>
                <w:b/>
                <w:color w:val="000000"/>
                <w:szCs w:val="21"/>
                <w:highlight w:val="none"/>
              </w:rPr>
            </w:pPr>
            <w:r>
              <w:rPr>
                <w:rFonts w:hint="eastAsia" w:ascii="宋体" w:hAnsi="宋体"/>
                <w:b/>
                <w:color w:val="000000"/>
                <w:szCs w:val="21"/>
                <w:highlight w:val="none"/>
              </w:rPr>
              <w:t>甲方（章）</w:t>
            </w:r>
          </w:p>
          <w:p w14:paraId="30566DC4">
            <w:pPr>
              <w:snapToGrid w:val="0"/>
              <w:spacing w:line="420" w:lineRule="exact"/>
              <w:ind w:firstLine="422" w:firstLineChars="200"/>
              <w:rPr>
                <w:rFonts w:ascii="宋体" w:hAnsi="宋体"/>
                <w:b/>
                <w:color w:val="000000"/>
                <w:szCs w:val="21"/>
                <w:highlight w:val="none"/>
              </w:rPr>
            </w:pPr>
          </w:p>
          <w:p w14:paraId="473AF0CD">
            <w:pPr>
              <w:snapToGrid w:val="0"/>
              <w:spacing w:line="420" w:lineRule="exact"/>
              <w:ind w:firstLine="422" w:firstLineChars="200"/>
              <w:rPr>
                <w:rFonts w:ascii="宋体" w:hAnsi="宋体"/>
                <w:b/>
                <w:color w:val="000000"/>
                <w:szCs w:val="21"/>
                <w:highlight w:val="none"/>
              </w:rPr>
            </w:pPr>
          </w:p>
          <w:p w14:paraId="431B97E2">
            <w:pPr>
              <w:snapToGrid w:val="0"/>
              <w:spacing w:line="420" w:lineRule="exact"/>
              <w:ind w:firstLine="422" w:firstLineChars="200"/>
              <w:rPr>
                <w:rFonts w:ascii="宋体" w:hAnsi="宋体"/>
                <w:b/>
                <w:color w:val="000000"/>
                <w:szCs w:val="21"/>
                <w:highlight w:val="none"/>
              </w:rPr>
            </w:pPr>
          </w:p>
          <w:p w14:paraId="4A8C105F">
            <w:pPr>
              <w:snapToGrid w:val="0"/>
              <w:spacing w:line="420" w:lineRule="exact"/>
              <w:ind w:firstLine="422" w:firstLineChars="200"/>
              <w:rPr>
                <w:rFonts w:ascii="宋体" w:hAnsi="宋体"/>
                <w:b/>
                <w:color w:val="000000"/>
                <w:szCs w:val="21"/>
                <w:highlight w:val="none"/>
              </w:rPr>
            </w:pPr>
          </w:p>
          <w:p w14:paraId="28AB74E3">
            <w:pPr>
              <w:snapToGrid w:val="0"/>
              <w:spacing w:line="420" w:lineRule="exact"/>
              <w:ind w:firstLine="422" w:firstLineChars="200"/>
              <w:rPr>
                <w:rFonts w:ascii="宋体" w:hAnsi="宋体"/>
                <w:b/>
                <w:color w:val="000000"/>
                <w:szCs w:val="21"/>
                <w:highlight w:val="none"/>
              </w:rPr>
            </w:pPr>
          </w:p>
          <w:p w14:paraId="2E2BCCEB">
            <w:pPr>
              <w:snapToGrid w:val="0"/>
              <w:spacing w:line="420" w:lineRule="exact"/>
              <w:ind w:firstLine="422" w:firstLineChars="200"/>
              <w:rPr>
                <w:rFonts w:ascii="宋体" w:hAnsi="宋体"/>
                <w:b/>
                <w:color w:val="000000"/>
                <w:szCs w:val="21"/>
                <w:highlight w:val="none"/>
              </w:rPr>
            </w:pPr>
          </w:p>
          <w:p w14:paraId="00537DB3">
            <w:pPr>
              <w:snapToGrid w:val="0"/>
              <w:spacing w:line="420" w:lineRule="exact"/>
              <w:ind w:firstLine="422" w:firstLineChars="200"/>
              <w:rPr>
                <w:rFonts w:ascii="宋体" w:hAnsi="宋体"/>
                <w:b/>
                <w:color w:val="000000"/>
                <w:szCs w:val="21"/>
                <w:highlight w:val="none"/>
              </w:rPr>
            </w:pPr>
            <w:r>
              <w:rPr>
                <w:rFonts w:hint="eastAsia" w:ascii="宋体" w:hAnsi="宋体"/>
                <w:b/>
                <w:color w:val="000000"/>
                <w:szCs w:val="21"/>
                <w:highlight w:val="none"/>
              </w:rPr>
              <w:t xml:space="preserve">                 年   月   日 </w:t>
            </w:r>
          </w:p>
        </w:tc>
        <w:tc>
          <w:tcPr>
            <w:tcW w:w="4665" w:type="dxa"/>
            <w:tcBorders>
              <w:top w:val="single" w:color="auto" w:sz="4" w:space="0"/>
              <w:left w:val="single" w:color="auto" w:sz="4" w:space="0"/>
              <w:bottom w:val="single" w:color="auto" w:sz="4" w:space="0"/>
              <w:right w:val="single" w:color="auto" w:sz="4" w:space="0"/>
            </w:tcBorders>
            <w:vAlign w:val="center"/>
          </w:tcPr>
          <w:p w14:paraId="499B37B6">
            <w:pPr>
              <w:snapToGrid w:val="0"/>
              <w:spacing w:line="420" w:lineRule="exact"/>
              <w:ind w:firstLine="422" w:firstLineChars="200"/>
              <w:rPr>
                <w:rFonts w:ascii="宋体" w:hAnsi="宋体"/>
                <w:b/>
                <w:color w:val="000000"/>
                <w:szCs w:val="21"/>
                <w:highlight w:val="none"/>
              </w:rPr>
            </w:pPr>
            <w:r>
              <w:rPr>
                <w:rFonts w:hint="eastAsia" w:ascii="宋体" w:hAnsi="宋体"/>
                <w:b/>
                <w:color w:val="000000"/>
                <w:szCs w:val="21"/>
                <w:highlight w:val="none"/>
              </w:rPr>
              <w:t>乙方（章）</w:t>
            </w:r>
          </w:p>
          <w:p w14:paraId="569D0A47">
            <w:pPr>
              <w:snapToGrid w:val="0"/>
              <w:spacing w:line="420" w:lineRule="exact"/>
              <w:ind w:firstLine="422" w:firstLineChars="200"/>
              <w:rPr>
                <w:rFonts w:ascii="宋体" w:hAnsi="宋体"/>
                <w:b/>
                <w:color w:val="000000"/>
                <w:szCs w:val="21"/>
                <w:highlight w:val="none"/>
              </w:rPr>
            </w:pPr>
          </w:p>
          <w:p w14:paraId="53D9DADB">
            <w:pPr>
              <w:snapToGrid w:val="0"/>
              <w:spacing w:line="420" w:lineRule="exact"/>
              <w:ind w:firstLine="422" w:firstLineChars="200"/>
              <w:rPr>
                <w:rFonts w:ascii="宋体" w:hAnsi="宋体"/>
                <w:b/>
                <w:color w:val="000000"/>
                <w:szCs w:val="21"/>
                <w:highlight w:val="none"/>
              </w:rPr>
            </w:pPr>
          </w:p>
          <w:p w14:paraId="406DAB46">
            <w:pPr>
              <w:snapToGrid w:val="0"/>
              <w:spacing w:line="420" w:lineRule="exact"/>
              <w:ind w:firstLine="422" w:firstLineChars="200"/>
              <w:rPr>
                <w:rFonts w:ascii="宋体" w:hAnsi="宋体"/>
                <w:b/>
                <w:color w:val="000000"/>
                <w:szCs w:val="21"/>
                <w:highlight w:val="none"/>
              </w:rPr>
            </w:pPr>
          </w:p>
          <w:p w14:paraId="4F57D2DD">
            <w:pPr>
              <w:snapToGrid w:val="0"/>
              <w:spacing w:line="420" w:lineRule="exact"/>
              <w:ind w:firstLine="422" w:firstLineChars="200"/>
              <w:rPr>
                <w:rFonts w:ascii="宋体" w:hAnsi="宋体"/>
                <w:b/>
                <w:color w:val="000000"/>
                <w:szCs w:val="21"/>
                <w:highlight w:val="none"/>
              </w:rPr>
            </w:pPr>
          </w:p>
          <w:p w14:paraId="2A6DDD04">
            <w:pPr>
              <w:snapToGrid w:val="0"/>
              <w:spacing w:line="420" w:lineRule="exact"/>
              <w:ind w:firstLine="422" w:firstLineChars="200"/>
              <w:rPr>
                <w:rFonts w:ascii="宋体" w:hAnsi="宋体"/>
                <w:b/>
                <w:color w:val="000000"/>
                <w:szCs w:val="21"/>
                <w:highlight w:val="none"/>
              </w:rPr>
            </w:pPr>
          </w:p>
          <w:p w14:paraId="692EBE38">
            <w:pPr>
              <w:snapToGrid w:val="0"/>
              <w:spacing w:line="420" w:lineRule="exact"/>
              <w:ind w:firstLine="422" w:firstLineChars="200"/>
              <w:rPr>
                <w:rFonts w:ascii="宋体" w:hAnsi="宋体"/>
                <w:b/>
                <w:color w:val="000000"/>
                <w:szCs w:val="21"/>
                <w:highlight w:val="none"/>
              </w:rPr>
            </w:pPr>
          </w:p>
          <w:p w14:paraId="62FA36EE">
            <w:pPr>
              <w:snapToGrid w:val="0"/>
              <w:spacing w:line="420" w:lineRule="exact"/>
              <w:ind w:firstLine="422" w:firstLineChars="200"/>
              <w:rPr>
                <w:rFonts w:ascii="宋体" w:hAnsi="宋体"/>
                <w:b/>
                <w:color w:val="000000"/>
                <w:szCs w:val="21"/>
                <w:highlight w:val="none"/>
              </w:rPr>
            </w:pPr>
            <w:r>
              <w:rPr>
                <w:rFonts w:hint="eastAsia" w:ascii="宋体" w:hAnsi="宋体"/>
                <w:b/>
                <w:color w:val="000000"/>
                <w:szCs w:val="21"/>
                <w:highlight w:val="none"/>
              </w:rPr>
              <w:t xml:space="preserve">                年   月   日</w:t>
            </w:r>
          </w:p>
        </w:tc>
      </w:tr>
      <w:tr w14:paraId="1D2BF244">
        <w:tblPrEx>
          <w:tblCellMar>
            <w:top w:w="0" w:type="dxa"/>
            <w:left w:w="108" w:type="dxa"/>
            <w:bottom w:w="0" w:type="dxa"/>
            <w:right w:w="108" w:type="dxa"/>
          </w:tblCellMar>
        </w:tblPrEx>
        <w:trPr>
          <w:trHeight w:val="3230" w:hRule="atLeast"/>
        </w:trPr>
        <w:tc>
          <w:tcPr>
            <w:tcW w:w="4623" w:type="dxa"/>
            <w:tcBorders>
              <w:top w:val="single" w:color="auto" w:sz="4" w:space="0"/>
              <w:left w:val="single" w:color="auto" w:sz="4" w:space="0"/>
              <w:bottom w:val="single" w:color="auto" w:sz="4" w:space="0"/>
              <w:right w:val="single" w:color="auto" w:sz="4" w:space="0"/>
            </w:tcBorders>
            <w:vAlign w:val="center"/>
          </w:tcPr>
          <w:p w14:paraId="69691F60">
            <w:pPr>
              <w:snapToGrid w:val="0"/>
              <w:spacing w:line="420" w:lineRule="exact"/>
              <w:ind w:firstLine="422" w:firstLineChars="200"/>
              <w:rPr>
                <w:rFonts w:ascii="宋体" w:hAnsi="宋体"/>
                <w:b/>
                <w:color w:val="000000"/>
                <w:szCs w:val="21"/>
                <w:highlight w:val="none"/>
              </w:rPr>
            </w:pPr>
            <w:r>
              <w:rPr>
                <w:rFonts w:hint="eastAsia" w:ascii="宋体" w:hAnsi="宋体"/>
                <w:b/>
                <w:color w:val="000000"/>
                <w:szCs w:val="21"/>
                <w:highlight w:val="none"/>
              </w:rPr>
              <w:t>丙方（章）</w:t>
            </w:r>
          </w:p>
          <w:p w14:paraId="658196CD">
            <w:pPr>
              <w:snapToGrid w:val="0"/>
              <w:spacing w:line="420" w:lineRule="exact"/>
              <w:ind w:firstLine="422" w:firstLineChars="200"/>
              <w:rPr>
                <w:rFonts w:ascii="宋体" w:hAnsi="宋体"/>
                <w:b/>
                <w:color w:val="000000"/>
                <w:szCs w:val="21"/>
                <w:highlight w:val="none"/>
              </w:rPr>
            </w:pPr>
          </w:p>
          <w:p w14:paraId="57582098">
            <w:pPr>
              <w:snapToGrid w:val="0"/>
              <w:spacing w:line="420" w:lineRule="exact"/>
              <w:ind w:firstLine="422" w:firstLineChars="200"/>
              <w:rPr>
                <w:rFonts w:ascii="宋体" w:hAnsi="宋体"/>
                <w:b/>
                <w:color w:val="000000"/>
                <w:szCs w:val="21"/>
                <w:highlight w:val="none"/>
              </w:rPr>
            </w:pPr>
          </w:p>
          <w:p w14:paraId="451A6EA0">
            <w:pPr>
              <w:snapToGrid w:val="0"/>
              <w:spacing w:line="420" w:lineRule="exact"/>
              <w:ind w:firstLine="422" w:firstLineChars="200"/>
              <w:rPr>
                <w:rFonts w:ascii="宋体" w:hAnsi="宋体"/>
                <w:b/>
                <w:color w:val="000000"/>
                <w:szCs w:val="21"/>
                <w:highlight w:val="none"/>
              </w:rPr>
            </w:pPr>
          </w:p>
          <w:p w14:paraId="44183CD4">
            <w:pPr>
              <w:snapToGrid w:val="0"/>
              <w:spacing w:line="420" w:lineRule="exact"/>
              <w:ind w:firstLine="422" w:firstLineChars="200"/>
              <w:rPr>
                <w:rFonts w:ascii="宋体" w:hAnsi="宋体"/>
                <w:b/>
                <w:color w:val="000000"/>
                <w:szCs w:val="21"/>
                <w:highlight w:val="none"/>
              </w:rPr>
            </w:pPr>
          </w:p>
          <w:p w14:paraId="15D65DEB">
            <w:pPr>
              <w:snapToGrid w:val="0"/>
              <w:spacing w:line="420" w:lineRule="exact"/>
              <w:ind w:firstLine="422" w:firstLineChars="200"/>
              <w:rPr>
                <w:rFonts w:ascii="宋体" w:hAnsi="宋体"/>
                <w:b/>
                <w:color w:val="000000"/>
                <w:szCs w:val="21"/>
                <w:highlight w:val="none"/>
              </w:rPr>
            </w:pPr>
          </w:p>
          <w:p w14:paraId="7B244C77">
            <w:pPr>
              <w:snapToGrid w:val="0"/>
              <w:spacing w:line="420" w:lineRule="exact"/>
              <w:ind w:firstLine="422" w:firstLineChars="200"/>
              <w:rPr>
                <w:rFonts w:ascii="宋体" w:hAnsi="宋体"/>
                <w:b/>
                <w:color w:val="000000"/>
                <w:szCs w:val="21"/>
                <w:highlight w:val="none"/>
              </w:rPr>
            </w:pPr>
          </w:p>
          <w:p w14:paraId="23F16779">
            <w:pPr>
              <w:snapToGrid w:val="0"/>
              <w:spacing w:line="420" w:lineRule="exact"/>
              <w:ind w:firstLine="422" w:firstLineChars="200"/>
              <w:rPr>
                <w:rFonts w:ascii="宋体" w:hAnsi="宋体"/>
                <w:b/>
                <w:color w:val="000000"/>
                <w:szCs w:val="21"/>
                <w:highlight w:val="none"/>
              </w:rPr>
            </w:pPr>
            <w:r>
              <w:rPr>
                <w:rFonts w:hint="eastAsia" w:ascii="宋体" w:hAnsi="宋体"/>
                <w:b/>
                <w:color w:val="000000"/>
                <w:szCs w:val="21"/>
                <w:highlight w:val="none"/>
              </w:rPr>
              <w:t xml:space="preserve">                 年   月   日 </w:t>
            </w:r>
          </w:p>
        </w:tc>
        <w:tc>
          <w:tcPr>
            <w:tcW w:w="4665" w:type="dxa"/>
            <w:tcBorders>
              <w:top w:val="single" w:color="auto" w:sz="4" w:space="0"/>
              <w:left w:val="single" w:color="auto" w:sz="4" w:space="0"/>
              <w:bottom w:val="single" w:color="auto" w:sz="4" w:space="0"/>
              <w:right w:val="single" w:color="auto" w:sz="4" w:space="0"/>
            </w:tcBorders>
            <w:vAlign w:val="center"/>
          </w:tcPr>
          <w:p w14:paraId="2283E4D6">
            <w:pPr>
              <w:snapToGrid w:val="0"/>
              <w:spacing w:line="420" w:lineRule="exact"/>
              <w:ind w:firstLine="422" w:firstLineChars="200"/>
              <w:rPr>
                <w:rFonts w:ascii="宋体" w:hAnsi="宋体"/>
                <w:b/>
                <w:color w:val="000000"/>
                <w:szCs w:val="21"/>
                <w:highlight w:val="none"/>
              </w:rPr>
            </w:pPr>
          </w:p>
        </w:tc>
      </w:tr>
    </w:tbl>
    <w:p w14:paraId="4821962D">
      <w:pPr>
        <w:snapToGrid w:val="0"/>
        <w:spacing w:line="420" w:lineRule="exact"/>
        <w:rPr>
          <w:szCs w:val="20"/>
          <w:highlight w:val="none"/>
        </w:rPr>
      </w:pPr>
      <w:r>
        <w:rPr>
          <w:rFonts w:hint="eastAsia" w:ascii="宋体" w:hAnsi="宋体"/>
          <w:color w:val="000000"/>
          <w:szCs w:val="21"/>
          <w:highlight w:val="none"/>
        </w:rPr>
        <w:t xml:space="preserve">  注：填不下时可另加附页</w:t>
      </w:r>
    </w:p>
    <w:p w14:paraId="639B7ACF">
      <w:pPr>
        <w:rPr>
          <w:highlight w:val="none"/>
        </w:rPr>
      </w:pPr>
    </w:p>
    <w:p w14:paraId="75055E4A">
      <w:pPr>
        <w:spacing w:line="360" w:lineRule="auto"/>
        <w:ind w:left="-420" w:leftChars="-200" w:right="-420" w:rightChars="-200" w:firstLine="480" w:firstLineChars="200"/>
        <w:jc w:val="center"/>
        <w:rPr>
          <w:rFonts w:ascii="宋体" w:hAnsi="宋体" w:cs="宋体"/>
          <w:color w:val="auto"/>
          <w:sz w:val="24"/>
          <w:highlight w:val="none"/>
        </w:rPr>
      </w:pPr>
    </w:p>
    <w:p w14:paraId="27A7E7CF">
      <w:pPr>
        <w:widowControl/>
        <w:adjustRightInd/>
        <w:jc w:val="center"/>
        <w:outlineLvl w:val="0"/>
        <w:rPr>
          <w:rFonts w:hint="eastAsia" w:ascii="宋体" w:hAnsi="宋体" w:cs="宋体"/>
          <w:b/>
          <w:color w:val="auto"/>
          <w:sz w:val="36"/>
          <w:szCs w:val="20"/>
          <w:highlight w:val="none"/>
        </w:rPr>
      </w:pPr>
      <w:bookmarkStart w:id="409" w:name="_Toc176368907"/>
    </w:p>
    <w:p w14:paraId="376741C3">
      <w:pPr>
        <w:widowControl/>
        <w:adjustRightInd/>
        <w:jc w:val="center"/>
        <w:outlineLvl w:val="0"/>
        <w:rPr>
          <w:rFonts w:hint="eastAsia" w:ascii="宋体" w:hAnsi="宋体" w:cs="宋体"/>
          <w:b/>
          <w:color w:val="auto"/>
          <w:sz w:val="36"/>
          <w:szCs w:val="20"/>
          <w:highlight w:val="none"/>
        </w:rPr>
      </w:pPr>
    </w:p>
    <w:p w14:paraId="232EBBC6">
      <w:pPr>
        <w:widowControl/>
        <w:adjustRightInd/>
        <w:jc w:val="center"/>
        <w:outlineLvl w:val="0"/>
        <w:rPr>
          <w:rFonts w:hint="eastAsia" w:ascii="宋体" w:hAnsi="宋体" w:cs="宋体"/>
          <w:b/>
          <w:color w:val="auto"/>
          <w:sz w:val="36"/>
          <w:szCs w:val="20"/>
          <w:highlight w:val="none"/>
        </w:rPr>
      </w:pPr>
    </w:p>
    <w:p w14:paraId="1D42AD26">
      <w:pPr>
        <w:widowControl/>
        <w:adjustRightInd/>
        <w:jc w:val="center"/>
        <w:outlineLvl w:val="0"/>
        <w:rPr>
          <w:rFonts w:hint="eastAsia" w:ascii="宋体" w:hAnsi="宋体" w:cs="宋体"/>
          <w:b/>
          <w:color w:val="auto"/>
          <w:sz w:val="36"/>
          <w:szCs w:val="20"/>
          <w:highlight w:val="none"/>
        </w:rPr>
      </w:pPr>
    </w:p>
    <w:p w14:paraId="6DB3E970">
      <w:pPr>
        <w:widowControl/>
        <w:adjustRightInd/>
        <w:jc w:val="center"/>
        <w:outlineLvl w:val="0"/>
        <w:rPr>
          <w:rFonts w:hint="eastAsia" w:ascii="宋体" w:hAnsi="宋体" w:cs="宋体"/>
          <w:b/>
          <w:color w:val="auto"/>
          <w:sz w:val="36"/>
          <w:szCs w:val="20"/>
          <w:highlight w:val="none"/>
        </w:rPr>
      </w:pPr>
    </w:p>
    <w:p w14:paraId="4254E02E">
      <w:pPr>
        <w:widowControl/>
        <w:adjustRightInd/>
        <w:jc w:val="center"/>
        <w:outlineLvl w:val="0"/>
        <w:rPr>
          <w:rFonts w:hint="eastAsia" w:ascii="宋体" w:hAnsi="宋体" w:cs="宋体"/>
          <w:b/>
          <w:color w:val="auto"/>
          <w:sz w:val="36"/>
          <w:szCs w:val="20"/>
          <w:highlight w:val="none"/>
        </w:rPr>
      </w:pPr>
    </w:p>
    <w:p w14:paraId="5109F3B3">
      <w:pPr>
        <w:widowControl/>
        <w:adjustRightInd/>
        <w:jc w:val="center"/>
        <w:outlineLvl w:val="0"/>
        <w:rPr>
          <w:rFonts w:hint="eastAsia" w:ascii="宋体" w:hAnsi="宋体" w:cs="宋体"/>
          <w:b/>
          <w:color w:val="auto"/>
          <w:sz w:val="36"/>
          <w:szCs w:val="20"/>
          <w:highlight w:val="none"/>
        </w:rPr>
      </w:pPr>
    </w:p>
    <w:p w14:paraId="13BEDD67">
      <w:pPr>
        <w:widowControl/>
        <w:adjustRightInd/>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407"/>
      <w:r>
        <w:rPr>
          <w:rFonts w:hint="eastAsia" w:ascii="宋体" w:hAnsi="宋体" w:cs="宋体"/>
          <w:b/>
          <w:color w:val="auto"/>
          <w:sz w:val="36"/>
          <w:szCs w:val="20"/>
          <w:highlight w:val="none"/>
        </w:rPr>
        <w:t xml:space="preserve"> </w:t>
      </w:r>
      <w:bookmarkEnd w:id="408"/>
      <w:r>
        <w:rPr>
          <w:rFonts w:hint="eastAsia" w:ascii="宋体" w:hAnsi="宋体" w:cs="宋体"/>
          <w:b/>
          <w:color w:val="auto"/>
          <w:sz w:val="36"/>
          <w:szCs w:val="20"/>
          <w:highlight w:val="none"/>
        </w:rPr>
        <w:t>应提交的有关格式范例</w:t>
      </w:r>
      <w:bookmarkEnd w:id="409"/>
    </w:p>
    <w:p w14:paraId="729A5A46">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（适用于本项目所有标项）</w:t>
      </w:r>
    </w:p>
    <w:p w14:paraId="1495622A">
      <w:pPr>
        <w:spacing w:line="360" w:lineRule="auto"/>
        <w:jc w:val="center"/>
        <w:rPr>
          <w:rFonts w:hint="eastAsia" w:ascii="宋体" w:hAnsi="宋体" w:cs="宋体"/>
          <w:b/>
          <w:color w:val="auto"/>
          <w:kern w:val="0"/>
          <w:sz w:val="36"/>
          <w:szCs w:val="36"/>
          <w:highlight w:val="none"/>
        </w:rPr>
      </w:pPr>
    </w:p>
    <w:p w14:paraId="7F1100A3">
      <w:pPr>
        <w:spacing w:line="360" w:lineRule="auto"/>
        <w:jc w:val="center"/>
        <w:rPr>
          <w:rFonts w:hint="eastAsia" w:ascii="宋体" w:hAnsi="宋体" w:cs="宋体"/>
          <w:b/>
          <w:color w:val="auto"/>
          <w:kern w:val="0"/>
          <w:sz w:val="36"/>
          <w:szCs w:val="36"/>
          <w:highlight w:val="none"/>
        </w:rPr>
      </w:pPr>
    </w:p>
    <w:p w14:paraId="6DCC7962">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4A13FACB">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389E5701">
      <w:pPr>
        <w:spacing w:line="360" w:lineRule="auto"/>
        <w:jc w:val="center"/>
        <w:rPr>
          <w:rFonts w:ascii="宋体" w:hAnsi="宋体" w:cs="宋体"/>
          <w:b/>
          <w:color w:val="auto"/>
          <w:kern w:val="0"/>
          <w:sz w:val="36"/>
          <w:szCs w:val="36"/>
          <w:highlight w:val="none"/>
        </w:rPr>
      </w:pPr>
    </w:p>
    <w:p w14:paraId="39FDD47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1119B3F7">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7AFC7DA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75FF100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079DA55E">
      <w:pPr>
        <w:snapToGrid w:val="0"/>
        <w:spacing w:line="360" w:lineRule="auto"/>
        <w:ind w:firstLine="480" w:firstLineChars="200"/>
        <w:rPr>
          <w:rFonts w:ascii="宋体" w:hAnsi="宋体" w:cs="宋体"/>
          <w:color w:val="auto"/>
          <w:sz w:val="24"/>
          <w:highlight w:val="none"/>
        </w:rPr>
      </w:pPr>
    </w:p>
    <w:p w14:paraId="52BD4DCC">
      <w:pPr>
        <w:spacing w:line="360" w:lineRule="auto"/>
        <w:ind w:firstLine="480" w:firstLineChars="200"/>
        <w:rPr>
          <w:rFonts w:ascii="宋体" w:hAnsi="宋体" w:cs="宋体"/>
          <w:color w:val="auto"/>
          <w:sz w:val="24"/>
          <w:highlight w:val="none"/>
        </w:rPr>
      </w:pPr>
    </w:p>
    <w:p w14:paraId="289F9A16">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14:paraId="51908DCB">
      <w:pPr>
        <w:snapToGrid w:val="0"/>
        <w:spacing w:line="360" w:lineRule="auto"/>
        <w:ind w:right="480"/>
        <w:jc w:val="center"/>
        <w:rPr>
          <w:rFonts w:ascii="宋体" w:hAnsi="宋体" w:cs="宋体"/>
          <w:color w:val="auto"/>
          <w:sz w:val="24"/>
          <w:highlight w:val="none"/>
        </w:rPr>
      </w:pPr>
    </w:p>
    <w:p w14:paraId="02DC2599">
      <w:pPr>
        <w:snapToGrid w:val="0"/>
        <w:spacing w:line="360" w:lineRule="auto"/>
        <w:ind w:right="480"/>
        <w:jc w:val="center"/>
        <w:rPr>
          <w:rFonts w:ascii="宋体" w:hAnsi="宋体" w:cs="宋体"/>
          <w:color w:val="auto"/>
          <w:sz w:val="24"/>
          <w:highlight w:val="none"/>
        </w:rPr>
      </w:pPr>
      <w:r>
        <w:rPr>
          <w:rFonts w:hint="eastAsia" w:ascii="宋体" w:hAnsi="宋体" w:cs="宋体"/>
          <w:color w:val="auto"/>
          <w:sz w:val="24"/>
          <w:highlight w:val="none"/>
        </w:rPr>
        <w:t>北海市政府采购供应商信用承诺函（格式）</w:t>
      </w:r>
    </w:p>
    <w:p w14:paraId="6912DF2D">
      <w:pPr>
        <w:snapToGrid w:val="0"/>
        <w:spacing w:line="360" w:lineRule="auto"/>
        <w:rPr>
          <w:rFonts w:ascii="宋体" w:hAnsi="宋体" w:cs="宋体"/>
          <w:color w:val="auto"/>
          <w:sz w:val="24"/>
          <w:highlight w:val="none"/>
        </w:rPr>
      </w:pPr>
    </w:p>
    <w:p w14:paraId="1C20A17C">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（采购人）、（采购代理机构） ：</w:t>
      </w:r>
    </w:p>
    <w:p w14:paraId="57598FCB">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供应商名称：</w:t>
      </w:r>
    </w:p>
    <w:p w14:paraId="0C19D47E">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统一社会信用代码：</w:t>
      </w:r>
    </w:p>
    <w:p w14:paraId="497A9380">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供应商地址：</w:t>
      </w:r>
    </w:p>
    <w:p w14:paraId="152B13B5">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29F3D78D">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1.我单位具有符合采购文件资格要求独立承担民事责任的能力。</w:t>
      </w:r>
    </w:p>
    <w:p w14:paraId="41A0411E">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2.我单位具有符合采购文件资格要求的财务状况报告。</w:t>
      </w:r>
    </w:p>
    <w:p w14:paraId="6F01E647">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3.我单位具有符合采购文件资格要求的依法缴纳税收和社会保障记录的良好记录。</w:t>
      </w:r>
    </w:p>
    <w:p w14:paraId="1B19E2FC">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4.我单位具有符合采购文件资格要求履行合同所必需的设备和专业技术能力。</w:t>
      </w:r>
    </w:p>
    <w:p w14:paraId="647E0775">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3139A4C7">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若我单位承诺不实，自愿承担提供虚假材料谋取中标、成交的法律责任。</w:t>
      </w:r>
    </w:p>
    <w:p w14:paraId="78736884">
      <w:pPr>
        <w:snapToGrid w:val="0"/>
        <w:spacing w:line="360" w:lineRule="auto"/>
        <w:ind w:right="480"/>
        <w:rPr>
          <w:rFonts w:ascii="宋体" w:hAnsi="宋体" w:cs="宋体"/>
          <w:color w:val="auto"/>
          <w:sz w:val="24"/>
          <w:highlight w:val="none"/>
        </w:rPr>
      </w:pPr>
    </w:p>
    <w:p w14:paraId="489C55B4">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5CC8597E">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6954A17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634D9071">
      <w:pPr>
        <w:snapToGrid w:val="0"/>
        <w:spacing w:line="360" w:lineRule="auto"/>
        <w:ind w:right="480"/>
        <w:rPr>
          <w:rFonts w:ascii="宋体" w:hAnsi="宋体" w:cs="宋体"/>
          <w:color w:val="auto"/>
          <w:sz w:val="24"/>
          <w:highlight w:val="none"/>
        </w:rPr>
      </w:pPr>
    </w:p>
    <w:p w14:paraId="4E589232">
      <w:pPr>
        <w:snapToGrid w:val="0"/>
        <w:spacing w:line="360" w:lineRule="auto"/>
        <w:ind w:right="480"/>
        <w:jc w:val="center"/>
        <w:rPr>
          <w:rFonts w:ascii="宋体" w:hAnsi="宋体" w:cs="宋体"/>
          <w:b/>
          <w:color w:val="auto"/>
          <w:kern w:val="0"/>
          <w:sz w:val="32"/>
          <w:szCs w:val="32"/>
          <w:highlight w:val="none"/>
        </w:rPr>
      </w:pPr>
    </w:p>
    <w:p w14:paraId="2DB8FAF9">
      <w:pPr>
        <w:rPr>
          <w:rFonts w:ascii="宋体" w:hAnsi="宋体" w:cs="宋体"/>
          <w:color w:val="auto"/>
          <w:highlight w:val="none"/>
        </w:rPr>
      </w:pPr>
    </w:p>
    <w:p w14:paraId="16426E65">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707AA05C">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2756DD44">
      <w:pPr>
        <w:snapToGrid w:val="0"/>
        <w:spacing w:line="360" w:lineRule="auto"/>
        <w:ind w:right="480"/>
        <w:jc w:val="center"/>
        <w:rPr>
          <w:rFonts w:ascii="宋体" w:hAnsi="宋体" w:cs="宋体"/>
          <w:b/>
          <w:color w:val="auto"/>
          <w:kern w:val="0"/>
          <w:sz w:val="32"/>
          <w:szCs w:val="32"/>
          <w:highlight w:val="none"/>
        </w:rPr>
      </w:pPr>
    </w:p>
    <w:p w14:paraId="6036525F">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w:t>
      </w:r>
    </w:p>
    <w:p w14:paraId="496D45A8">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3ED5F3DE">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.专门面向中小企业，服务全部由符合政策要求的中小企业（或小微企业）承接的，提供相应的中小企业声明函（附件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5F1C1CC1">
      <w:pPr>
        <w:widowControl/>
        <w:spacing w:line="360" w:lineRule="auto"/>
        <w:ind w:firstLine="480"/>
        <w:jc w:val="left"/>
        <w:rPr>
          <w:rFonts w:ascii="宋体" w:hAnsi="宋体" w:cs="宋体"/>
          <w:color w:val="auto"/>
          <w:sz w:val="24"/>
          <w:highlight w:val="none"/>
        </w:rPr>
      </w:pPr>
    </w:p>
    <w:p w14:paraId="3E3B2DEA">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14:paraId="3205B720">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14:paraId="4C5542FF">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5D6AF883">
      <w:pPr>
        <w:widowControl/>
        <w:spacing w:line="360" w:lineRule="auto"/>
        <w:ind w:left="150"/>
        <w:jc w:val="center"/>
        <w:rPr>
          <w:rFonts w:ascii="宋体" w:hAnsi="宋体" w:cs="宋体"/>
          <w:b/>
          <w:color w:val="auto"/>
          <w:kern w:val="0"/>
          <w:sz w:val="32"/>
          <w:szCs w:val="32"/>
          <w:highlight w:val="none"/>
        </w:rPr>
      </w:pPr>
    </w:p>
    <w:p w14:paraId="414C1407">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p>
    <w:p w14:paraId="03C5B50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1FB9B888">
      <w:pPr>
        <w:rPr>
          <w:rFonts w:ascii="宋体" w:hAnsi="宋体" w:cs="宋体"/>
          <w:color w:val="auto"/>
          <w:highlight w:val="none"/>
        </w:rPr>
      </w:pPr>
    </w:p>
    <w:p w14:paraId="723A0FB8">
      <w:pPr>
        <w:snapToGrid w:val="0"/>
        <w:spacing w:line="360" w:lineRule="auto"/>
        <w:ind w:right="480"/>
        <w:jc w:val="center"/>
        <w:rPr>
          <w:rFonts w:ascii="宋体" w:hAnsi="宋体" w:cs="宋体"/>
          <w:b/>
          <w:color w:val="auto"/>
          <w:kern w:val="0"/>
          <w:sz w:val="32"/>
          <w:szCs w:val="32"/>
          <w:highlight w:val="none"/>
        </w:rPr>
      </w:pPr>
    </w:p>
    <w:p w14:paraId="74331BF1">
      <w:pPr>
        <w:widowControl/>
        <w:adjustRightInd/>
        <w:jc w:val="left"/>
        <w:rPr>
          <w:rFonts w:ascii="宋体" w:hAnsi="宋体" w:cs="宋体"/>
          <w:b/>
          <w:color w:val="auto"/>
          <w:kern w:val="0"/>
          <w:sz w:val="36"/>
          <w:szCs w:val="36"/>
          <w:highlight w:val="none"/>
        </w:rPr>
      </w:pPr>
      <w:r>
        <w:rPr>
          <w:rFonts w:ascii="宋体" w:hAnsi="宋体" w:cs="宋体"/>
          <w:b/>
          <w:color w:val="auto"/>
          <w:kern w:val="0"/>
          <w:sz w:val="36"/>
          <w:szCs w:val="36"/>
          <w:highlight w:val="none"/>
        </w:rPr>
        <w:br w:type="page"/>
      </w:r>
    </w:p>
    <w:p w14:paraId="75564715">
      <w:pPr>
        <w:spacing w:line="360" w:lineRule="auto"/>
        <w:ind w:right="420" w:firstLine="3614" w:firstLineChars="100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77B0A4CA">
      <w:pPr>
        <w:spacing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7C060145">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49EB9E1D">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14:paraId="1B8BBB33">
      <w:p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14:paraId="1A65C16A">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60FF5149">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14:paraId="0DF1D246">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9</w:t>
      </w:r>
      <w:r>
        <w:rPr>
          <w:rFonts w:hint="eastAsia" w:ascii="宋体" w:hAnsi="宋体" w:cs="宋体"/>
          <w:color w:val="auto"/>
          <w:sz w:val="24"/>
          <w:highlight w:val="none"/>
          <w:lang w:val="zh-CN"/>
        </w:rPr>
        <w:t>）承诺函</w:t>
      </w:r>
      <w:r>
        <w:rPr>
          <w:rFonts w:hint="eastAsia" w:ascii="宋体" w:hAnsi="宋体" w:cs="宋体"/>
          <w:color w:val="auto"/>
          <w:highlight w:val="none"/>
        </w:rPr>
        <w:t>……………………………………………………………………………………（页码）</w:t>
      </w:r>
    </w:p>
    <w:p w14:paraId="00B49B9D">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10</w:t>
      </w:r>
      <w:r>
        <w:rPr>
          <w:rFonts w:hint="eastAsia" w:ascii="宋体" w:hAnsi="宋体" w:cs="宋体"/>
          <w:color w:val="auto"/>
          <w:sz w:val="24"/>
          <w:highlight w:val="none"/>
          <w:lang w:val="zh-CN"/>
        </w:rPr>
        <w:t>）技术解决方案</w:t>
      </w:r>
      <w:r>
        <w:rPr>
          <w:rFonts w:hint="eastAsia" w:ascii="宋体" w:hAnsi="宋体" w:cs="宋体"/>
          <w:color w:val="auto"/>
          <w:highlight w:val="none"/>
        </w:rPr>
        <w:t>…………………………………………………………………………（页码）</w:t>
      </w:r>
    </w:p>
    <w:p w14:paraId="62AFE5E3">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11</w:t>
      </w:r>
      <w:r>
        <w:rPr>
          <w:rFonts w:hint="eastAsia" w:ascii="宋体" w:hAnsi="宋体" w:cs="宋体"/>
          <w:color w:val="auto"/>
          <w:sz w:val="24"/>
          <w:highlight w:val="none"/>
          <w:lang w:val="zh-CN"/>
        </w:rPr>
        <w:t>）组织实施方案</w:t>
      </w:r>
      <w:r>
        <w:rPr>
          <w:rFonts w:hint="eastAsia" w:ascii="宋体" w:hAnsi="宋体" w:cs="宋体"/>
          <w:color w:val="auto"/>
          <w:highlight w:val="none"/>
        </w:rPr>
        <w:t>…………………………………………………………………………（页码）</w:t>
      </w:r>
    </w:p>
    <w:p w14:paraId="5D09999F">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12</w:t>
      </w:r>
      <w:r>
        <w:rPr>
          <w:rFonts w:hint="eastAsia" w:ascii="宋体" w:hAnsi="宋体" w:cs="宋体"/>
          <w:color w:val="auto"/>
          <w:sz w:val="24"/>
          <w:highlight w:val="none"/>
          <w:lang w:val="zh-CN"/>
        </w:rPr>
        <w:t>）售后服务方案</w:t>
      </w:r>
      <w:r>
        <w:rPr>
          <w:rFonts w:hint="eastAsia" w:ascii="宋体" w:hAnsi="宋体" w:cs="宋体"/>
          <w:color w:val="auto"/>
          <w:highlight w:val="none"/>
        </w:rPr>
        <w:t>…………………………………………………………………………（页码）</w:t>
      </w:r>
    </w:p>
    <w:p w14:paraId="1DA72A8A">
      <w:pPr>
        <w:snapToGrid w:val="0"/>
        <w:spacing w:line="360" w:lineRule="auto"/>
        <w:jc w:val="center"/>
        <w:rPr>
          <w:rFonts w:ascii="宋体" w:hAnsi="宋体" w:cs="宋体"/>
          <w:b/>
          <w:color w:val="auto"/>
          <w:kern w:val="0"/>
          <w:sz w:val="32"/>
          <w:szCs w:val="32"/>
          <w:highlight w:val="none"/>
          <w:lang w:val="zh-CN"/>
        </w:rPr>
      </w:pPr>
    </w:p>
    <w:p w14:paraId="00FE2A55">
      <w:pPr>
        <w:snapToGrid w:val="0"/>
        <w:spacing w:line="360" w:lineRule="auto"/>
        <w:jc w:val="center"/>
        <w:rPr>
          <w:rFonts w:ascii="宋体" w:hAnsi="宋体" w:cs="宋体"/>
          <w:b/>
          <w:color w:val="auto"/>
          <w:kern w:val="0"/>
          <w:sz w:val="32"/>
          <w:szCs w:val="32"/>
          <w:highlight w:val="none"/>
          <w:lang w:val="zh-CN"/>
        </w:rPr>
      </w:pPr>
    </w:p>
    <w:p w14:paraId="0077502B">
      <w:pPr>
        <w:snapToGrid w:val="0"/>
        <w:spacing w:line="360" w:lineRule="auto"/>
        <w:jc w:val="center"/>
        <w:rPr>
          <w:rFonts w:ascii="宋体" w:hAnsi="宋体" w:cs="宋体"/>
          <w:b/>
          <w:color w:val="auto"/>
          <w:kern w:val="0"/>
          <w:sz w:val="32"/>
          <w:szCs w:val="32"/>
          <w:highlight w:val="none"/>
          <w:lang w:val="zh-CN"/>
        </w:rPr>
      </w:pPr>
    </w:p>
    <w:p w14:paraId="705BBB70">
      <w:pPr>
        <w:snapToGrid w:val="0"/>
        <w:spacing w:line="360" w:lineRule="auto"/>
        <w:jc w:val="center"/>
        <w:rPr>
          <w:rFonts w:ascii="宋体" w:hAnsi="宋体" w:cs="宋体"/>
          <w:b/>
          <w:color w:val="auto"/>
          <w:kern w:val="0"/>
          <w:sz w:val="32"/>
          <w:szCs w:val="32"/>
          <w:highlight w:val="none"/>
          <w:lang w:val="zh-CN"/>
        </w:rPr>
      </w:pPr>
    </w:p>
    <w:p w14:paraId="520903C6">
      <w:pPr>
        <w:snapToGrid w:val="0"/>
        <w:spacing w:line="360" w:lineRule="auto"/>
        <w:jc w:val="center"/>
        <w:rPr>
          <w:rFonts w:ascii="宋体" w:hAnsi="宋体" w:cs="宋体"/>
          <w:b/>
          <w:color w:val="auto"/>
          <w:kern w:val="0"/>
          <w:sz w:val="32"/>
          <w:szCs w:val="32"/>
          <w:highlight w:val="none"/>
          <w:lang w:val="zh-CN"/>
        </w:rPr>
      </w:pPr>
    </w:p>
    <w:p w14:paraId="03DDB44D">
      <w:pPr>
        <w:snapToGrid w:val="0"/>
        <w:spacing w:line="360" w:lineRule="auto"/>
        <w:jc w:val="center"/>
        <w:rPr>
          <w:rFonts w:ascii="宋体" w:hAnsi="宋体" w:cs="宋体"/>
          <w:b/>
          <w:color w:val="auto"/>
          <w:kern w:val="0"/>
          <w:sz w:val="32"/>
          <w:szCs w:val="32"/>
          <w:highlight w:val="none"/>
          <w:lang w:val="zh-CN"/>
        </w:rPr>
      </w:pPr>
    </w:p>
    <w:p w14:paraId="55EB2299">
      <w:pPr>
        <w:snapToGrid w:val="0"/>
        <w:spacing w:line="360" w:lineRule="auto"/>
        <w:jc w:val="center"/>
        <w:rPr>
          <w:rFonts w:ascii="宋体" w:hAnsi="宋体" w:cs="宋体"/>
          <w:b/>
          <w:color w:val="auto"/>
          <w:kern w:val="0"/>
          <w:sz w:val="32"/>
          <w:szCs w:val="32"/>
          <w:highlight w:val="none"/>
          <w:lang w:val="zh-CN"/>
        </w:rPr>
      </w:pPr>
    </w:p>
    <w:p w14:paraId="0BF0BE95">
      <w:pPr>
        <w:snapToGrid w:val="0"/>
        <w:spacing w:line="360" w:lineRule="auto"/>
        <w:jc w:val="center"/>
        <w:rPr>
          <w:rFonts w:ascii="宋体" w:hAnsi="宋体" w:cs="宋体"/>
          <w:b/>
          <w:color w:val="auto"/>
          <w:kern w:val="0"/>
          <w:sz w:val="32"/>
          <w:szCs w:val="32"/>
          <w:highlight w:val="none"/>
          <w:lang w:val="zh-CN"/>
        </w:rPr>
      </w:pPr>
    </w:p>
    <w:p w14:paraId="2AA4362F">
      <w:pPr>
        <w:snapToGrid w:val="0"/>
        <w:spacing w:line="360" w:lineRule="auto"/>
        <w:jc w:val="center"/>
        <w:rPr>
          <w:rFonts w:ascii="宋体" w:hAnsi="宋体" w:cs="宋体"/>
          <w:b/>
          <w:color w:val="auto"/>
          <w:kern w:val="0"/>
          <w:sz w:val="32"/>
          <w:szCs w:val="32"/>
          <w:highlight w:val="none"/>
          <w:lang w:val="zh-CN"/>
        </w:rPr>
      </w:pPr>
    </w:p>
    <w:p w14:paraId="071AA4C2">
      <w:pPr>
        <w:rPr>
          <w:rFonts w:ascii="宋体" w:hAnsi="宋体" w:cs="宋体"/>
          <w:b/>
          <w:color w:val="auto"/>
          <w:kern w:val="0"/>
          <w:sz w:val="32"/>
          <w:szCs w:val="32"/>
          <w:highlight w:val="none"/>
          <w:lang w:val="zh-CN"/>
        </w:rPr>
      </w:pPr>
    </w:p>
    <w:p w14:paraId="7834E9C7">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0E707F3B">
      <w:pPr>
        <w:snapToGrid w:val="0"/>
        <w:spacing w:line="360" w:lineRule="auto"/>
        <w:jc w:val="center"/>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051F4EF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5E5ECDF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我方参加你方组织的（项目名称）【招标编号：（采购编号）】招标的有关活动，并对此项目进行投标。为此：</w:t>
      </w:r>
    </w:p>
    <w:p w14:paraId="0FB9608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天（不少于60天）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6161CF8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310C2324">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1E3701B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6D7F5DC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w:t>
      </w:r>
      <w:bookmarkStart w:id="410" w:name="_Hlk101257010"/>
      <w:r>
        <w:rPr>
          <w:rFonts w:hint="eastAsia" w:ascii="宋体" w:hAnsi="宋体" w:cs="宋体"/>
          <w:color w:val="auto"/>
          <w:sz w:val="24"/>
          <w:highlight w:val="none"/>
        </w:rPr>
        <w:t>（如果有)</w:t>
      </w:r>
      <w:bookmarkEnd w:id="410"/>
      <w:r>
        <w:rPr>
          <w:rFonts w:hint="eastAsia" w:ascii="宋体" w:hAnsi="宋体" w:cs="宋体"/>
          <w:snapToGrid w:val="0"/>
          <w:color w:val="auto"/>
          <w:kern w:val="28"/>
          <w:sz w:val="24"/>
          <w:szCs w:val="20"/>
          <w:highlight w:val="none"/>
        </w:rPr>
        <w:t>；</w:t>
      </w:r>
    </w:p>
    <w:p w14:paraId="4A44E1F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落实政府采购政策需满足的资格要求（如果有）；</w:t>
      </w:r>
    </w:p>
    <w:p w14:paraId="2B39C7D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本项目的特定资格要求（如果有)。</w:t>
      </w:r>
    </w:p>
    <w:p w14:paraId="55637A24">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5771BA23">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27628AE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38C46AC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分包意向协议（如果有)；</w:t>
      </w:r>
    </w:p>
    <w:p w14:paraId="53CC5B33">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符合性审查资料（如果有）；</w:t>
      </w:r>
    </w:p>
    <w:p w14:paraId="57BBFDD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评标标准相应的商务技术资料（如果有）；</w:t>
      </w:r>
    </w:p>
    <w:p w14:paraId="7820AB5E">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投标标的清单（如果有）；</w:t>
      </w:r>
    </w:p>
    <w:p w14:paraId="571921A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74C8EB12">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3A004834">
      <w:pPr>
        <w:pStyle w:val="83"/>
        <w:ind w:left="420" w:leftChars="200" w:firstLine="480" w:firstLineChars="200"/>
        <w:rPr>
          <w:rFonts w:cs="宋体"/>
          <w:color w:val="auto"/>
          <w:highlight w:val="none"/>
          <w:lang w:val="zh-CN"/>
        </w:rPr>
      </w:pPr>
      <w:r>
        <w:rPr>
          <w:rFonts w:hint="eastAsia" w:cs="宋体"/>
          <w:color w:val="auto"/>
          <w:highlight w:val="none"/>
        </w:rPr>
        <w:t>2</w:t>
      </w:r>
      <w:r>
        <w:rPr>
          <w:rFonts w:hint="eastAsia" w:cs="宋体"/>
          <w:color w:val="auto"/>
          <w:highlight w:val="none"/>
          <w:lang w:val="zh-CN"/>
        </w:rPr>
        <w:t>.</w:t>
      </w:r>
      <w:r>
        <w:rPr>
          <w:rFonts w:hint="eastAsia" w:cs="宋体"/>
          <w:color w:val="auto"/>
          <w:highlight w:val="none"/>
        </w:rPr>
        <w:t>2</w:t>
      </w:r>
      <w:r>
        <w:rPr>
          <w:rFonts w:hint="eastAsia" w:cs="宋体"/>
          <w:color w:val="auto"/>
          <w:highlight w:val="none"/>
          <w:lang w:val="zh-CN"/>
        </w:rPr>
        <w:t>.</w:t>
      </w:r>
      <w:r>
        <w:rPr>
          <w:rFonts w:hint="eastAsia" w:cs="宋体"/>
          <w:color w:val="auto"/>
          <w:highlight w:val="none"/>
        </w:rPr>
        <w:t>9</w:t>
      </w:r>
      <w:r>
        <w:rPr>
          <w:rFonts w:hint="eastAsia" w:cs="宋体"/>
          <w:color w:val="auto"/>
          <w:highlight w:val="none"/>
          <w:lang w:val="zh-CN"/>
        </w:rPr>
        <w:t>承诺函；</w:t>
      </w:r>
    </w:p>
    <w:p w14:paraId="2ADED3A6">
      <w:pPr>
        <w:pStyle w:val="83"/>
        <w:ind w:left="420" w:leftChars="200" w:firstLine="480" w:firstLineChars="200"/>
        <w:rPr>
          <w:rFonts w:cs="宋体"/>
          <w:color w:val="auto"/>
          <w:highlight w:val="none"/>
          <w:lang w:val="zh-CN"/>
        </w:rPr>
      </w:pPr>
      <w:r>
        <w:rPr>
          <w:rFonts w:hint="eastAsia" w:cs="宋体"/>
          <w:color w:val="auto"/>
          <w:highlight w:val="none"/>
        </w:rPr>
        <w:t>2</w:t>
      </w:r>
      <w:r>
        <w:rPr>
          <w:rFonts w:hint="eastAsia" w:cs="宋体"/>
          <w:color w:val="auto"/>
          <w:highlight w:val="none"/>
          <w:lang w:val="zh-CN"/>
        </w:rPr>
        <w:t>.</w:t>
      </w:r>
      <w:r>
        <w:rPr>
          <w:rFonts w:hint="eastAsia" w:cs="宋体"/>
          <w:color w:val="auto"/>
          <w:highlight w:val="none"/>
        </w:rPr>
        <w:t>2</w:t>
      </w:r>
      <w:r>
        <w:rPr>
          <w:rFonts w:hint="eastAsia" w:cs="宋体"/>
          <w:color w:val="auto"/>
          <w:highlight w:val="none"/>
          <w:lang w:val="zh-CN"/>
        </w:rPr>
        <w:t>.</w:t>
      </w:r>
      <w:r>
        <w:rPr>
          <w:rFonts w:hint="eastAsia" w:cs="宋体"/>
          <w:color w:val="auto"/>
          <w:highlight w:val="none"/>
        </w:rPr>
        <w:t>10</w:t>
      </w:r>
      <w:r>
        <w:rPr>
          <w:rFonts w:hint="eastAsia" w:cs="宋体"/>
          <w:color w:val="auto"/>
          <w:highlight w:val="none"/>
          <w:lang w:val="zh-CN"/>
        </w:rPr>
        <w:t>技术解决方案</w:t>
      </w:r>
      <w:r>
        <w:rPr>
          <w:rFonts w:hint="eastAsia" w:cs="宋体"/>
          <w:snapToGrid w:val="0"/>
          <w:color w:val="auto"/>
          <w:kern w:val="28"/>
          <w:highlight w:val="none"/>
        </w:rPr>
        <w:t>（如果有）</w:t>
      </w:r>
      <w:r>
        <w:rPr>
          <w:rFonts w:hint="eastAsia" w:cs="宋体"/>
          <w:color w:val="auto"/>
          <w:highlight w:val="none"/>
          <w:lang w:val="zh-CN"/>
        </w:rPr>
        <w:t>；</w:t>
      </w:r>
    </w:p>
    <w:p w14:paraId="4CEB2488">
      <w:pPr>
        <w:pStyle w:val="83"/>
        <w:ind w:left="420" w:leftChars="200" w:firstLine="480" w:firstLineChars="200"/>
        <w:rPr>
          <w:rFonts w:cs="宋体"/>
          <w:color w:val="auto"/>
          <w:highlight w:val="none"/>
          <w:lang w:val="zh-CN"/>
        </w:rPr>
      </w:pPr>
      <w:r>
        <w:rPr>
          <w:rFonts w:hint="eastAsia" w:cs="宋体"/>
          <w:color w:val="auto"/>
          <w:highlight w:val="none"/>
        </w:rPr>
        <w:t>2</w:t>
      </w:r>
      <w:r>
        <w:rPr>
          <w:rFonts w:hint="eastAsia" w:cs="宋体"/>
          <w:color w:val="auto"/>
          <w:highlight w:val="none"/>
          <w:lang w:val="zh-CN"/>
        </w:rPr>
        <w:t>.</w:t>
      </w:r>
      <w:r>
        <w:rPr>
          <w:rFonts w:hint="eastAsia" w:cs="宋体"/>
          <w:color w:val="auto"/>
          <w:highlight w:val="none"/>
        </w:rPr>
        <w:t>2</w:t>
      </w:r>
      <w:r>
        <w:rPr>
          <w:rFonts w:hint="eastAsia" w:cs="宋体"/>
          <w:color w:val="auto"/>
          <w:highlight w:val="none"/>
          <w:lang w:val="zh-CN"/>
        </w:rPr>
        <w:t>.</w:t>
      </w:r>
      <w:r>
        <w:rPr>
          <w:rFonts w:hint="eastAsia" w:cs="宋体"/>
          <w:color w:val="auto"/>
          <w:highlight w:val="none"/>
        </w:rPr>
        <w:t>11</w:t>
      </w:r>
      <w:r>
        <w:rPr>
          <w:rFonts w:hint="eastAsia" w:cs="宋体"/>
          <w:color w:val="auto"/>
          <w:highlight w:val="none"/>
          <w:lang w:val="zh-CN"/>
        </w:rPr>
        <w:t>组织实施方案</w:t>
      </w:r>
      <w:r>
        <w:rPr>
          <w:rFonts w:hint="eastAsia" w:cs="宋体"/>
          <w:snapToGrid w:val="0"/>
          <w:color w:val="auto"/>
          <w:kern w:val="28"/>
          <w:highlight w:val="none"/>
        </w:rPr>
        <w:t>（如果有）</w:t>
      </w:r>
      <w:r>
        <w:rPr>
          <w:rFonts w:hint="eastAsia" w:cs="宋体"/>
          <w:color w:val="auto"/>
          <w:highlight w:val="none"/>
          <w:lang w:val="zh-CN"/>
        </w:rPr>
        <w:t>；</w:t>
      </w:r>
    </w:p>
    <w:p w14:paraId="76398831">
      <w:pPr>
        <w:pStyle w:val="83"/>
        <w:ind w:left="420" w:leftChars="200" w:firstLine="480" w:firstLineChars="200"/>
        <w:rPr>
          <w:color w:val="auto"/>
          <w:highlight w:val="none"/>
        </w:rPr>
      </w:pPr>
      <w:r>
        <w:rPr>
          <w:rFonts w:hint="eastAsia" w:cs="宋体"/>
          <w:color w:val="auto"/>
          <w:highlight w:val="none"/>
        </w:rPr>
        <w:t>2</w:t>
      </w:r>
      <w:r>
        <w:rPr>
          <w:rFonts w:hint="eastAsia" w:cs="宋体"/>
          <w:color w:val="auto"/>
          <w:highlight w:val="none"/>
          <w:lang w:val="zh-CN"/>
        </w:rPr>
        <w:t>.</w:t>
      </w:r>
      <w:r>
        <w:rPr>
          <w:rFonts w:hint="eastAsia" w:cs="宋体"/>
          <w:color w:val="auto"/>
          <w:highlight w:val="none"/>
        </w:rPr>
        <w:t>2</w:t>
      </w:r>
      <w:r>
        <w:rPr>
          <w:rFonts w:hint="eastAsia" w:cs="宋体"/>
          <w:color w:val="auto"/>
          <w:highlight w:val="none"/>
          <w:lang w:val="zh-CN"/>
        </w:rPr>
        <w:t>.</w:t>
      </w:r>
      <w:r>
        <w:rPr>
          <w:rFonts w:hint="eastAsia" w:cs="宋体"/>
          <w:color w:val="auto"/>
          <w:highlight w:val="none"/>
        </w:rPr>
        <w:t>12</w:t>
      </w:r>
      <w:r>
        <w:rPr>
          <w:rFonts w:hint="eastAsia" w:cs="宋体"/>
          <w:color w:val="auto"/>
          <w:highlight w:val="none"/>
          <w:lang w:val="zh-CN"/>
        </w:rPr>
        <w:t>售后服务方案</w:t>
      </w:r>
      <w:r>
        <w:rPr>
          <w:rFonts w:hint="eastAsia" w:cs="宋体"/>
          <w:snapToGrid w:val="0"/>
          <w:color w:val="auto"/>
          <w:kern w:val="28"/>
          <w:highlight w:val="none"/>
        </w:rPr>
        <w:t>（如果有）</w:t>
      </w:r>
      <w:r>
        <w:rPr>
          <w:rFonts w:hint="eastAsia" w:cs="宋体"/>
          <w:color w:val="auto"/>
          <w:highlight w:val="none"/>
          <w:lang w:val="zh-CN"/>
        </w:rPr>
        <w:t>。</w:t>
      </w:r>
    </w:p>
    <w:p w14:paraId="1922FDD5">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1BB62EE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2.3.1开标一览表（报价表）；</w:t>
      </w:r>
    </w:p>
    <w:p w14:paraId="74B2059C">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2.3.2中小企业声明函（如果有）；</w:t>
      </w:r>
    </w:p>
    <w:p w14:paraId="62D44BA3">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2.3.3关于符合本国产品标准的声明函（如果有) ；</w:t>
      </w:r>
    </w:p>
    <w:p w14:paraId="3B06DE54">
      <w:pPr>
        <w:snapToGrid w:val="0"/>
        <w:spacing w:line="360" w:lineRule="auto"/>
        <w:ind w:left="420" w:leftChars="200" w:firstLine="480" w:firstLineChars="200"/>
        <w:rPr>
          <w:color w:val="auto"/>
          <w:highlight w:val="none"/>
        </w:rPr>
      </w:pPr>
      <w:r>
        <w:rPr>
          <w:rFonts w:hint="eastAsia" w:ascii="宋体" w:hAnsi="宋体" w:cs="宋体"/>
          <w:color w:val="auto"/>
          <w:sz w:val="24"/>
          <w:highlight w:val="none"/>
        </w:rPr>
        <w:t>2.3.4关于符合本国产品标准的产品成本之和占所提供的全部产品成本之和的比例达到80%以上的声明函</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53F861A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3、我方承诺除商务技术偏离表列出的偏离外，我方响应招标文件的全部要求。</w:t>
      </w:r>
    </w:p>
    <w:p w14:paraId="268D617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58ED7148">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02CE58EC">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24F4967E">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46DA24E1">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34A2437F">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5、其他补充说明: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763F233">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42DDC088">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41D1890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6A149508">
      <w:pPr>
        <w:snapToGrid w:val="0"/>
        <w:spacing w:line="360" w:lineRule="auto"/>
        <w:ind w:left="420" w:leftChars="200" w:firstLine="4200" w:firstLineChars="1750"/>
        <w:rPr>
          <w:rFonts w:ascii="宋体" w:hAnsi="宋体" w:cs="宋体"/>
          <w:color w:val="auto"/>
          <w:kern w:val="0"/>
          <w:sz w:val="24"/>
          <w:highlight w:val="none"/>
          <w:u w:val="single"/>
        </w:rPr>
      </w:pPr>
    </w:p>
    <w:p w14:paraId="058CCB82">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5EE7BFF3">
      <w:pPr>
        <w:snapToGrid w:val="0"/>
        <w:spacing w:line="360" w:lineRule="auto"/>
        <w:jc w:val="center"/>
        <w:rPr>
          <w:rFonts w:ascii="宋体" w:hAnsi="宋体" w:cs="宋体"/>
          <w:b/>
          <w:color w:val="auto"/>
          <w:kern w:val="0"/>
          <w:sz w:val="32"/>
          <w:szCs w:val="32"/>
          <w:highlight w:val="none"/>
        </w:rPr>
      </w:pPr>
    </w:p>
    <w:p w14:paraId="1490C594">
      <w:pPr>
        <w:snapToGrid w:val="0"/>
        <w:spacing w:line="360" w:lineRule="auto"/>
        <w:rPr>
          <w:rFonts w:ascii="宋体" w:hAnsi="宋体" w:cs="宋体"/>
          <w:color w:val="auto"/>
          <w:sz w:val="24"/>
          <w:highlight w:val="none"/>
        </w:rPr>
      </w:pPr>
    </w:p>
    <w:p w14:paraId="24B2439D">
      <w:pPr>
        <w:jc w:val="center"/>
        <w:rPr>
          <w:rFonts w:ascii="宋体" w:hAnsi="宋体" w:cs="宋体"/>
          <w:b/>
          <w:color w:val="auto"/>
          <w:kern w:val="0"/>
          <w:sz w:val="32"/>
          <w:szCs w:val="32"/>
          <w:highlight w:val="none"/>
        </w:rPr>
      </w:pPr>
    </w:p>
    <w:p w14:paraId="4F5CB3BB">
      <w:pPr>
        <w:jc w:val="center"/>
        <w:rPr>
          <w:rFonts w:ascii="宋体" w:hAnsi="宋体" w:cs="宋体"/>
          <w:b/>
          <w:color w:val="auto"/>
          <w:kern w:val="0"/>
          <w:sz w:val="32"/>
          <w:szCs w:val="32"/>
          <w:highlight w:val="none"/>
        </w:rPr>
      </w:pPr>
    </w:p>
    <w:p w14:paraId="7F23652D">
      <w:pPr>
        <w:jc w:val="center"/>
        <w:rPr>
          <w:rFonts w:ascii="宋体" w:hAnsi="宋体" w:cs="宋体"/>
          <w:b/>
          <w:color w:val="auto"/>
          <w:kern w:val="0"/>
          <w:sz w:val="32"/>
          <w:szCs w:val="32"/>
          <w:highlight w:val="none"/>
        </w:rPr>
      </w:pPr>
    </w:p>
    <w:p w14:paraId="11B49705">
      <w:pPr>
        <w:jc w:val="center"/>
        <w:rPr>
          <w:rFonts w:ascii="宋体" w:hAnsi="宋体" w:cs="宋体"/>
          <w:b/>
          <w:color w:val="auto"/>
          <w:kern w:val="0"/>
          <w:sz w:val="32"/>
          <w:szCs w:val="32"/>
          <w:highlight w:val="none"/>
        </w:rPr>
      </w:pPr>
    </w:p>
    <w:p w14:paraId="1AAA4D62">
      <w:pPr>
        <w:jc w:val="center"/>
        <w:rPr>
          <w:rFonts w:ascii="宋体" w:hAnsi="宋体" w:cs="宋体"/>
          <w:b/>
          <w:color w:val="auto"/>
          <w:kern w:val="0"/>
          <w:sz w:val="32"/>
          <w:szCs w:val="32"/>
          <w:highlight w:val="none"/>
        </w:rPr>
      </w:pPr>
    </w:p>
    <w:p w14:paraId="1C949679">
      <w:pPr>
        <w:jc w:val="center"/>
        <w:rPr>
          <w:rFonts w:ascii="宋体" w:hAnsi="宋体" w:cs="宋体"/>
          <w:b/>
          <w:color w:val="auto"/>
          <w:kern w:val="0"/>
          <w:sz w:val="32"/>
          <w:szCs w:val="32"/>
          <w:highlight w:val="none"/>
        </w:rPr>
      </w:pPr>
    </w:p>
    <w:p w14:paraId="576C4EE7">
      <w:pPr>
        <w:jc w:val="center"/>
        <w:rPr>
          <w:rFonts w:ascii="宋体" w:hAnsi="宋体" w:cs="宋体"/>
          <w:b/>
          <w:color w:val="auto"/>
          <w:kern w:val="0"/>
          <w:sz w:val="32"/>
          <w:szCs w:val="32"/>
          <w:highlight w:val="none"/>
        </w:rPr>
      </w:pPr>
    </w:p>
    <w:p w14:paraId="61B5389C">
      <w:pPr>
        <w:jc w:val="center"/>
        <w:rPr>
          <w:rFonts w:ascii="宋体" w:hAnsi="宋体" w:cs="宋体"/>
          <w:b/>
          <w:color w:val="auto"/>
          <w:kern w:val="0"/>
          <w:sz w:val="32"/>
          <w:szCs w:val="32"/>
          <w:highlight w:val="none"/>
        </w:rPr>
      </w:pPr>
    </w:p>
    <w:p w14:paraId="1D3CBA2B">
      <w:pPr>
        <w:jc w:val="center"/>
        <w:rPr>
          <w:rFonts w:ascii="宋体" w:hAnsi="宋体" w:cs="宋体"/>
          <w:b/>
          <w:color w:val="auto"/>
          <w:kern w:val="0"/>
          <w:sz w:val="32"/>
          <w:szCs w:val="32"/>
          <w:highlight w:val="none"/>
        </w:rPr>
      </w:pPr>
    </w:p>
    <w:p w14:paraId="1700BBBC">
      <w:pPr>
        <w:jc w:val="center"/>
        <w:rPr>
          <w:rFonts w:ascii="宋体" w:hAnsi="宋体" w:cs="宋体"/>
          <w:b/>
          <w:color w:val="auto"/>
          <w:kern w:val="0"/>
          <w:sz w:val="32"/>
          <w:szCs w:val="32"/>
          <w:highlight w:val="none"/>
        </w:rPr>
      </w:pPr>
    </w:p>
    <w:p w14:paraId="0BFEA69F">
      <w:pPr>
        <w:jc w:val="center"/>
        <w:rPr>
          <w:rFonts w:ascii="宋体" w:hAnsi="宋体" w:cs="宋体"/>
          <w:b/>
          <w:color w:val="auto"/>
          <w:kern w:val="0"/>
          <w:sz w:val="32"/>
          <w:szCs w:val="32"/>
          <w:highlight w:val="none"/>
        </w:rPr>
      </w:pPr>
    </w:p>
    <w:p w14:paraId="43258DEB">
      <w:pPr>
        <w:jc w:val="center"/>
        <w:rPr>
          <w:rFonts w:ascii="宋体" w:hAnsi="宋体" w:cs="宋体"/>
          <w:b/>
          <w:color w:val="auto"/>
          <w:kern w:val="0"/>
          <w:sz w:val="32"/>
          <w:szCs w:val="32"/>
          <w:highlight w:val="none"/>
        </w:rPr>
      </w:pPr>
    </w:p>
    <w:p w14:paraId="1EC6F242">
      <w:pPr>
        <w:jc w:val="center"/>
        <w:rPr>
          <w:rFonts w:ascii="宋体" w:hAnsi="宋体" w:cs="宋体"/>
          <w:b/>
          <w:color w:val="auto"/>
          <w:kern w:val="0"/>
          <w:sz w:val="32"/>
          <w:szCs w:val="32"/>
          <w:highlight w:val="none"/>
        </w:rPr>
      </w:pPr>
    </w:p>
    <w:p w14:paraId="3C52DBF1">
      <w:pPr>
        <w:jc w:val="center"/>
        <w:rPr>
          <w:rFonts w:ascii="宋体" w:hAnsi="宋体" w:cs="宋体"/>
          <w:b/>
          <w:color w:val="auto"/>
          <w:kern w:val="0"/>
          <w:sz w:val="32"/>
          <w:szCs w:val="32"/>
          <w:highlight w:val="none"/>
        </w:rPr>
      </w:pPr>
    </w:p>
    <w:p w14:paraId="71F5ACAE">
      <w:pPr>
        <w:pStyle w:val="83"/>
        <w:rPr>
          <w:color w:val="auto"/>
          <w:highlight w:val="none"/>
        </w:rPr>
      </w:pPr>
    </w:p>
    <w:p w14:paraId="68A9EDE0">
      <w:pPr>
        <w:jc w:val="center"/>
        <w:rPr>
          <w:rFonts w:ascii="宋体" w:hAnsi="宋体" w:cs="宋体"/>
          <w:b/>
          <w:color w:val="auto"/>
          <w:kern w:val="0"/>
          <w:sz w:val="32"/>
          <w:szCs w:val="32"/>
          <w:highlight w:val="none"/>
        </w:rPr>
      </w:pPr>
    </w:p>
    <w:p w14:paraId="30D85C40">
      <w:pPr>
        <w:jc w:val="center"/>
        <w:rPr>
          <w:rFonts w:ascii="宋体" w:hAnsi="宋体" w:cs="宋体"/>
          <w:b/>
          <w:color w:val="auto"/>
          <w:kern w:val="0"/>
          <w:sz w:val="32"/>
          <w:szCs w:val="32"/>
          <w:highlight w:val="none"/>
        </w:rPr>
      </w:pPr>
    </w:p>
    <w:p w14:paraId="5042011B">
      <w:pPr>
        <w:jc w:val="center"/>
        <w:rPr>
          <w:rFonts w:ascii="宋体" w:hAnsi="宋体" w:cs="宋体"/>
          <w:b/>
          <w:color w:val="auto"/>
          <w:kern w:val="0"/>
          <w:sz w:val="32"/>
          <w:szCs w:val="32"/>
          <w:highlight w:val="none"/>
        </w:rPr>
      </w:pPr>
    </w:p>
    <w:p w14:paraId="25D33AEA">
      <w:pPr>
        <w:jc w:val="center"/>
        <w:rPr>
          <w:rFonts w:ascii="宋体" w:hAnsi="宋体" w:cs="宋体"/>
          <w:b/>
          <w:color w:val="auto"/>
          <w:kern w:val="0"/>
          <w:sz w:val="32"/>
          <w:szCs w:val="32"/>
          <w:highlight w:val="none"/>
        </w:rPr>
      </w:pPr>
    </w:p>
    <w:p w14:paraId="24F7B828">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2196AFA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2AE9F0AE">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14:paraId="1AAE1222">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5AC56142">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7E164AD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4B02BC0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322756DA">
      <w:pPr>
        <w:spacing w:line="360" w:lineRule="auto"/>
        <w:ind w:left="4649" w:leftChars="2214" w:firstLine="3600" w:firstLineChars="1500"/>
        <w:rPr>
          <w:rFonts w:ascii="宋体" w:hAnsi="宋体" w:cs="宋体"/>
          <w:color w:val="auto"/>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sz w:val="24"/>
          <w:highlight w:val="none"/>
        </w:rPr>
        <w:t>投标人名称（公章）：</w:t>
      </w:r>
    </w:p>
    <w:p w14:paraId="1B7A2DC2">
      <w:pPr>
        <w:snapToGrid w:val="0"/>
        <w:spacing w:line="360" w:lineRule="auto"/>
        <w:ind w:left="4649" w:leftChars="2214"/>
        <w:rPr>
          <w:rFonts w:ascii="宋体" w:hAnsi="宋体" w:cs="宋体"/>
          <w:color w:val="auto"/>
          <w:kern w:val="0"/>
          <w:sz w:val="24"/>
          <w:highlight w:val="none"/>
        </w:rPr>
      </w:pPr>
      <w:r>
        <w:rPr>
          <w:rFonts w:hint="eastAsia" w:ascii="宋体" w:hAnsi="宋体" w:cs="宋体"/>
          <w:color w:val="auto"/>
          <w:sz w:val="24"/>
          <w:highlight w:val="none"/>
        </w:rPr>
        <w:t>法定代表人（负责人） (签名)：</w:t>
      </w:r>
    </w:p>
    <w:p w14:paraId="4B78AF26">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72329B87">
      <w:pPr>
        <w:adjustRightInd/>
        <w:spacing w:line="360" w:lineRule="auto"/>
        <w:rPr>
          <w:rFonts w:ascii="宋体" w:hAnsi="宋体"/>
          <w:color w:val="auto"/>
          <w:sz w:val="24"/>
          <w:szCs w:val="21"/>
          <w:highlight w:val="none"/>
        </w:rPr>
      </w:pPr>
    </w:p>
    <w:p w14:paraId="3980A42C">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委托代理人和法定代表人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26A1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60FF5342">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4D6915DF">
            <w:pPr>
              <w:spacing w:line="360" w:lineRule="auto"/>
              <w:rPr>
                <w:rFonts w:ascii="宋体" w:hAnsi="宋体" w:cs="宋体"/>
                <w:bCs/>
                <w:color w:val="auto"/>
                <w:sz w:val="24"/>
                <w:szCs w:val="21"/>
                <w:highlight w:val="none"/>
              </w:rPr>
            </w:pPr>
          </w:p>
          <w:p w14:paraId="33ADB918">
            <w:pPr>
              <w:spacing w:line="360" w:lineRule="auto"/>
              <w:rPr>
                <w:rFonts w:ascii="宋体" w:hAnsi="宋体" w:cs="宋体"/>
                <w:bCs/>
                <w:color w:val="auto"/>
                <w:sz w:val="24"/>
                <w:szCs w:val="21"/>
                <w:highlight w:val="none"/>
              </w:rPr>
            </w:pPr>
          </w:p>
          <w:p w14:paraId="6623736D">
            <w:pPr>
              <w:spacing w:line="360" w:lineRule="auto"/>
              <w:rPr>
                <w:rFonts w:ascii="宋体" w:hAnsi="宋体" w:cs="宋体"/>
                <w:bCs/>
                <w:color w:val="auto"/>
                <w:sz w:val="24"/>
                <w:szCs w:val="21"/>
                <w:highlight w:val="none"/>
              </w:rPr>
            </w:pPr>
          </w:p>
          <w:p w14:paraId="6CE039E2">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5C1751DD">
            <w:pPr>
              <w:spacing w:line="360" w:lineRule="auto"/>
              <w:rPr>
                <w:rFonts w:ascii="宋体" w:hAnsi="宋体" w:cs="宋体"/>
                <w:bCs/>
                <w:color w:val="auto"/>
                <w:sz w:val="24"/>
                <w:szCs w:val="21"/>
                <w:highlight w:val="none"/>
              </w:rPr>
            </w:pPr>
          </w:p>
        </w:tc>
      </w:tr>
    </w:tbl>
    <w:p w14:paraId="6EB9A3D7">
      <w:pPr>
        <w:snapToGrid w:val="0"/>
        <w:spacing w:line="360" w:lineRule="auto"/>
        <w:ind w:firstLine="576"/>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14:paraId="6CAC5BA5">
      <w:pPr>
        <w:snapToGrid w:val="0"/>
        <w:spacing w:line="360" w:lineRule="auto"/>
        <w:ind w:right="480"/>
        <w:rPr>
          <w:rFonts w:ascii="宋体" w:hAnsi="宋体" w:cs="宋体"/>
          <w:b/>
          <w:color w:val="auto"/>
          <w:kern w:val="0"/>
          <w:sz w:val="32"/>
          <w:szCs w:val="32"/>
          <w:highlight w:val="none"/>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658882AB">
      <w:pPr>
        <w:snapToGrid w:val="0"/>
        <w:spacing w:line="360" w:lineRule="auto"/>
        <w:rPr>
          <w:rFonts w:ascii="宋体" w:hAnsi="宋体" w:cs="宋体"/>
          <w:color w:val="auto"/>
          <w:sz w:val="24"/>
          <w:highlight w:val="none"/>
        </w:rPr>
      </w:pPr>
    </w:p>
    <w:p w14:paraId="3BD90256">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14:paraId="2765B698">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72512DA7">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626A46A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13E071C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5FDE4EEE">
      <w:pPr>
        <w:jc w:val="center"/>
        <w:rPr>
          <w:rFonts w:ascii="宋体" w:hAnsi="宋体" w:cs="宋体"/>
          <w:b/>
          <w:color w:val="auto"/>
          <w:kern w:val="0"/>
          <w:sz w:val="32"/>
          <w:szCs w:val="32"/>
          <w:highlight w:val="none"/>
        </w:rPr>
      </w:pPr>
    </w:p>
    <w:p w14:paraId="6EF3C4BD">
      <w:pPr>
        <w:jc w:val="center"/>
        <w:rPr>
          <w:rFonts w:ascii="宋体" w:hAnsi="宋体" w:cs="宋体"/>
          <w:b/>
          <w:color w:val="auto"/>
          <w:kern w:val="0"/>
          <w:sz w:val="32"/>
          <w:szCs w:val="32"/>
          <w:highlight w:val="none"/>
        </w:rPr>
      </w:pPr>
    </w:p>
    <w:p w14:paraId="2017BB5F">
      <w:pPr>
        <w:jc w:val="center"/>
        <w:rPr>
          <w:rFonts w:ascii="宋体" w:hAnsi="宋体" w:cs="宋体"/>
          <w:b/>
          <w:color w:val="auto"/>
          <w:kern w:val="0"/>
          <w:sz w:val="32"/>
          <w:szCs w:val="32"/>
          <w:highlight w:val="none"/>
        </w:rPr>
      </w:pPr>
    </w:p>
    <w:p w14:paraId="13E6E35C">
      <w:pPr>
        <w:rPr>
          <w:rFonts w:ascii="宋体" w:hAnsi="宋体" w:cs="宋体"/>
          <w:color w:val="auto"/>
          <w:highlight w:val="none"/>
        </w:rPr>
      </w:pPr>
    </w:p>
    <w:p w14:paraId="75CE0951">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14:paraId="1F20123D">
      <w:pPr>
        <w:snapToGrid w:val="0"/>
        <w:spacing w:line="360" w:lineRule="auto"/>
        <w:ind w:firstLine="5040" w:firstLineChars="2100"/>
        <w:rPr>
          <w:rFonts w:ascii="宋体" w:hAnsi="宋体"/>
          <w:color w:val="auto"/>
          <w:sz w:val="24"/>
          <w:highlight w:val="none"/>
        </w:rPr>
      </w:pPr>
      <w:r>
        <w:rPr>
          <w:rFonts w:hint="eastAsia" w:ascii="宋体" w:hAnsi="宋体"/>
          <w:color w:val="auto"/>
          <w:sz w:val="24"/>
          <w:highlight w:val="none"/>
        </w:rPr>
        <w:t>法定代表人（负责人） (签名)：</w:t>
      </w:r>
    </w:p>
    <w:p w14:paraId="02D9AA78">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olor w:val="auto"/>
          <w:sz w:val="24"/>
          <w:highlight w:val="none"/>
        </w:rPr>
        <w:t>联合体成</w:t>
      </w:r>
      <w:r>
        <w:rPr>
          <w:rFonts w:hint="eastAsia" w:ascii="宋体" w:hAnsi="宋体" w:cs="宋体"/>
          <w:color w:val="auto"/>
          <w:kern w:val="0"/>
          <w:sz w:val="24"/>
          <w:highlight w:val="none"/>
          <w:lang w:val="zh-CN"/>
        </w:rPr>
        <w:t>员名称(公章)：</w:t>
      </w:r>
    </w:p>
    <w:p w14:paraId="742803BD">
      <w:pPr>
        <w:snapToGrid w:val="0"/>
        <w:spacing w:line="360" w:lineRule="auto"/>
        <w:ind w:firstLine="5040" w:firstLineChars="2100"/>
        <w:jc w:val="left"/>
        <w:rPr>
          <w:rFonts w:ascii="宋体" w:hAnsi="宋体"/>
          <w:color w:val="auto"/>
          <w:kern w:val="0"/>
          <w:sz w:val="24"/>
          <w:szCs w:val="20"/>
          <w:highlight w:val="none"/>
        </w:rPr>
      </w:pPr>
      <w:r>
        <w:rPr>
          <w:rFonts w:hint="eastAsia" w:ascii="宋体" w:hAnsi="宋体"/>
          <w:color w:val="auto"/>
          <w:kern w:val="0"/>
          <w:sz w:val="24"/>
          <w:szCs w:val="20"/>
          <w:highlight w:val="none"/>
        </w:rPr>
        <w:t>法定代表人（负责人） (签名)：</w:t>
      </w:r>
    </w:p>
    <w:p w14:paraId="15FE77C6">
      <w:pPr>
        <w:snapToGrid w:val="0"/>
        <w:spacing w:line="360" w:lineRule="auto"/>
        <w:ind w:firstLine="5040" w:firstLineChars="2100"/>
        <w:rPr>
          <w:rFonts w:ascii="宋体" w:hAnsi="宋体" w:cs="宋体"/>
          <w:color w:val="auto"/>
          <w:kern w:val="0"/>
          <w:sz w:val="24"/>
          <w:highlight w:val="none"/>
          <w:lang w:val="zh-CN"/>
        </w:rPr>
      </w:pPr>
    </w:p>
    <w:p w14:paraId="0DE4EFBA">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446891AA">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7094CA58">
      <w:pPr>
        <w:adjustRightInd/>
        <w:spacing w:line="360" w:lineRule="auto"/>
        <w:rPr>
          <w:rFonts w:ascii="宋体" w:hAnsi="宋体"/>
          <w:color w:val="auto"/>
          <w:sz w:val="24"/>
          <w:szCs w:val="21"/>
          <w:highlight w:val="none"/>
        </w:rPr>
      </w:pPr>
    </w:p>
    <w:p w14:paraId="1DA1E101">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委托代理人和联合体牵头单位法定代表人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A364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36F4BC53">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076EF34C">
            <w:pPr>
              <w:spacing w:line="360" w:lineRule="auto"/>
              <w:rPr>
                <w:rFonts w:ascii="宋体" w:hAnsi="宋体" w:cs="宋体"/>
                <w:bCs/>
                <w:color w:val="auto"/>
                <w:sz w:val="24"/>
                <w:szCs w:val="21"/>
                <w:highlight w:val="none"/>
              </w:rPr>
            </w:pPr>
          </w:p>
          <w:p w14:paraId="04488945">
            <w:pPr>
              <w:spacing w:line="360" w:lineRule="auto"/>
              <w:rPr>
                <w:rFonts w:ascii="宋体" w:hAnsi="宋体" w:cs="宋体"/>
                <w:bCs/>
                <w:color w:val="auto"/>
                <w:sz w:val="24"/>
                <w:szCs w:val="21"/>
                <w:highlight w:val="none"/>
              </w:rPr>
            </w:pPr>
          </w:p>
          <w:p w14:paraId="009FE6E1">
            <w:pPr>
              <w:spacing w:line="360" w:lineRule="auto"/>
              <w:rPr>
                <w:rFonts w:ascii="宋体" w:hAnsi="宋体" w:cs="宋体"/>
                <w:bCs/>
                <w:color w:val="auto"/>
                <w:sz w:val="24"/>
                <w:szCs w:val="21"/>
                <w:highlight w:val="none"/>
              </w:rPr>
            </w:pPr>
          </w:p>
          <w:p w14:paraId="2B29C58D">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4DA04FFF">
            <w:pPr>
              <w:spacing w:line="360" w:lineRule="auto"/>
              <w:rPr>
                <w:rFonts w:ascii="宋体" w:hAnsi="宋体" w:cs="宋体"/>
                <w:bCs/>
                <w:color w:val="auto"/>
                <w:sz w:val="24"/>
                <w:szCs w:val="21"/>
                <w:highlight w:val="none"/>
              </w:rPr>
            </w:pPr>
          </w:p>
        </w:tc>
      </w:tr>
    </w:tbl>
    <w:p w14:paraId="0F829BDF">
      <w:pPr>
        <w:snapToGrid w:val="0"/>
        <w:spacing w:line="360" w:lineRule="auto"/>
        <w:ind w:firstLine="576"/>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14:paraId="7DF151E7">
      <w:pPr>
        <w:snapToGrid w:val="0"/>
        <w:spacing w:line="360" w:lineRule="auto"/>
        <w:ind w:right="480"/>
        <w:rPr>
          <w:rFonts w:ascii="宋体" w:hAnsi="宋体" w:cs="宋体"/>
          <w:b/>
          <w:color w:val="auto"/>
          <w:kern w:val="0"/>
          <w:sz w:val="32"/>
          <w:szCs w:val="32"/>
          <w:highlight w:val="none"/>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52E8E303">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4831825C">
      <w:pPr>
        <w:adjustRightInd/>
        <w:spacing w:line="360" w:lineRule="auto"/>
        <w:rPr>
          <w:rFonts w:ascii="宋体" w:hAnsi="宋体" w:cs="宋体"/>
          <w:bCs/>
          <w:color w:val="auto"/>
          <w:sz w:val="24"/>
          <w:szCs w:val="21"/>
          <w:highlight w:val="none"/>
        </w:rPr>
      </w:pPr>
    </w:p>
    <w:p w14:paraId="58B141BF">
      <w:pPr>
        <w:adjustRightInd/>
        <w:snapToGrid w:val="0"/>
        <w:spacing w:before="120" w:beforeLines="50" w:after="50" w:line="600" w:lineRule="exact"/>
        <w:jc w:val="center"/>
        <w:rPr>
          <w:rFonts w:ascii="宋体" w:hAnsi="宋体"/>
          <w:b/>
          <w:color w:val="auto"/>
          <w:sz w:val="30"/>
          <w:szCs w:val="30"/>
          <w:highlight w:val="none"/>
        </w:rPr>
      </w:pPr>
      <w:r>
        <w:rPr>
          <w:rFonts w:hint="eastAsia" w:ascii="宋体" w:hAnsi="宋体"/>
          <w:b/>
          <w:color w:val="auto"/>
          <w:sz w:val="30"/>
          <w:szCs w:val="30"/>
          <w:highlight w:val="none"/>
        </w:rPr>
        <w:t>法定代表人、单位负责人或自然人身份证明书</w:t>
      </w:r>
    </w:p>
    <w:p w14:paraId="676BA631">
      <w:pPr>
        <w:snapToGrid w:val="0"/>
        <w:spacing w:line="276" w:lineRule="auto"/>
        <w:ind w:firstLine="960" w:firstLineChars="400"/>
        <w:rPr>
          <w:rFonts w:ascii="宋体" w:hAnsi="宋体"/>
          <w:color w:val="auto"/>
          <w:sz w:val="24"/>
          <w:highlight w:val="none"/>
          <w:u w:val="single"/>
        </w:rPr>
      </w:pPr>
    </w:p>
    <w:p w14:paraId="431A564F">
      <w:pPr>
        <w:snapToGrid w:val="0"/>
        <w:spacing w:line="720" w:lineRule="exact"/>
        <w:ind w:firstLine="960" w:firstLineChars="400"/>
        <w:rPr>
          <w:rFonts w:ascii="宋体" w:hAnsi="宋体"/>
          <w:color w:val="auto"/>
          <w:sz w:val="24"/>
          <w:highlight w:val="none"/>
        </w:rPr>
      </w:pP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w:t>
      </w:r>
      <w:r>
        <w:rPr>
          <w:rFonts w:hint="eastAsia" w:ascii="宋体" w:hAnsi="宋体"/>
          <w:color w:val="auto"/>
          <w:sz w:val="24"/>
          <w:highlight w:val="none"/>
        </w:rPr>
        <w:t>在我公司（单位）任</w:t>
      </w:r>
      <w:r>
        <w:rPr>
          <w:rFonts w:hint="eastAsia" w:ascii="宋体" w:hAnsi="宋体"/>
          <w:color w:val="auto"/>
          <w:sz w:val="24"/>
          <w:highlight w:val="none"/>
          <w:u w:val="single"/>
        </w:rPr>
        <w:t xml:space="preserve">          </w:t>
      </w:r>
      <w:r>
        <w:rPr>
          <w:rFonts w:hint="eastAsia" w:ascii="宋体" w:hAnsi="宋体"/>
          <w:color w:val="auto"/>
          <w:sz w:val="24"/>
          <w:highlight w:val="none"/>
        </w:rPr>
        <w:t>职务，是我公司（单位）</w:t>
      </w:r>
      <w:r>
        <w:rPr>
          <w:rFonts w:hint="eastAsia" w:ascii="宋体" w:hAnsi="宋体"/>
          <w:color w:val="auto"/>
          <w:sz w:val="24"/>
          <w:highlight w:val="none"/>
          <w:u w:val="single"/>
        </w:rPr>
        <w:t xml:space="preserve">          </w:t>
      </w:r>
      <w:r>
        <w:rPr>
          <w:rFonts w:hint="eastAsia" w:ascii="宋体" w:hAnsi="宋体"/>
          <w:color w:val="auto"/>
          <w:sz w:val="24"/>
          <w:highlight w:val="none"/>
        </w:rPr>
        <w:t>的法定代表人</w:t>
      </w:r>
      <w:r>
        <w:rPr>
          <w:rFonts w:hint="eastAsia" w:ascii="宋体" w:hAnsi="宋体" w:cs="宋体"/>
          <w:color w:val="auto"/>
          <w:kern w:val="0"/>
          <w:sz w:val="24"/>
          <w:highlight w:val="none"/>
        </w:rPr>
        <w:t>（负责人）</w:t>
      </w:r>
      <w:r>
        <w:rPr>
          <w:rFonts w:hint="eastAsia" w:ascii="宋体" w:hAnsi="宋体"/>
          <w:color w:val="auto"/>
          <w:sz w:val="24"/>
          <w:highlight w:val="none"/>
        </w:rPr>
        <w:t>。</w:t>
      </w:r>
    </w:p>
    <w:p w14:paraId="52D9C57D">
      <w:pPr>
        <w:snapToGrid w:val="0"/>
        <w:spacing w:line="720" w:lineRule="exact"/>
        <w:ind w:firstLine="840" w:firstLineChars="350"/>
        <w:rPr>
          <w:rFonts w:ascii="宋体" w:hAnsi="宋体"/>
          <w:color w:val="auto"/>
          <w:sz w:val="24"/>
          <w:highlight w:val="none"/>
        </w:rPr>
      </w:pPr>
      <w:r>
        <w:rPr>
          <w:rFonts w:hint="eastAsia" w:ascii="宋体" w:hAnsi="宋体"/>
          <w:color w:val="auto"/>
          <w:sz w:val="24"/>
          <w:highlight w:val="none"/>
        </w:rPr>
        <w:t>特此证明。</w:t>
      </w:r>
    </w:p>
    <w:p w14:paraId="22D1C06D">
      <w:pPr>
        <w:snapToGrid w:val="0"/>
        <w:spacing w:line="276" w:lineRule="auto"/>
        <w:rPr>
          <w:rFonts w:ascii="宋体" w:hAnsi="宋体"/>
          <w:color w:val="auto"/>
          <w:sz w:val="24"/>
          <w:highlight w:val="none"/>
        </w:rPr>
      </w:pPr>
    </w:p>
    <w:p w14:paraId="1C14DC80">
      <w:pPr>
        <w:snapToGrid w:val="0"/>
        <w:spacing w:line="276" w:lineRule="auto"/>
        <w:rPr>
          <w:rFonts w:ascii="宋体" w:hAnsi="宋体"/>
          <w:color w:val="auto"/>
          <w:sz w:val="24"/>
          <w:highlight w:val="none"/>
        </w:rPr>
      </w:pPr>
      <w:r>
        <w:rPr>
          <w:rFonts w:hint="eastAsia" w:ascii="宋体" w:hAnsi="宋体"/>
          <w:color w:val="auto"/>
          <w:sz w:val="24"/>
          <w:highlight w:val="none"/>
        </w:rPr>
        <w:t xml:space="preserve">                        </w:t>
      </w:r>
    </w:p>
    <w:p w14:paraId="3DEA4CC9">
      <w:pPr>
        <w:snapToGrid w:val="0"/>
        <w:spacing w:line="276" w:lineRule="auto"/>
        <w:rPr>
          <w:rFonts w:ascii="宋体" w:hAnsi="宋体"/>
          <w:color w:val="auto"/>
          <w:sz w:val="24"/>
          <w:highlight w:val="none"/>
        </w:rPr>
      </w:pPr>
    </w:p>
    <w:p w14:paraId="2F54DE81">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投标人名称(公章)：                              </w:t>
      </w:r>
    </w:p>
    <w:p w14:paraId="5CE34B89">
      <w:pPr>
        <w:adjustRightInd/>
        <w:spacing w:line="360" w:lineRule="auto"/>
        <w:rPr>
          <w:rFonts w:ascii="宋体" w:hAnsi="宋体" w:cs="宋体"/>
          <w:bCs/>
          <w:color w:val="auto"/>
          <w:sz w:val="24"/>
          <w:szCs w:val="21"/>
          <w:highlight w:val="none"/>
        </w:rPr>
      </w:pPr>
      <w:r>
        <w:rPr>
          <w:rFonts w:hint="eastAsia" w:ascii="宋体" w:hAnsi="宋体" w:cs="宋体"/>
          <w:color w:val="auto"/>
          <w:kern w:val="0"/>
          <w:sz w:val="24"/>
          <w:szCs w:val="21"/>
          <w:highlight w:val="none"/>
          <w:lang w:val="zh-CN"/>
        </w:rPr>
        <w:t xml:space="preserve">                               日期：  年  月  日</w:t>
      </w:r>
    </w:p>
    <w:p w14:paraId="5F7F6C8F">
      <w:pPr>
        <w:adjustRightInd/>
        <w:spacing w:line="360" w:lineRule="auto"/>
        <w:rPr>
          <w:rFonts w:ascii="宋体" w:hAnsi="宋体" w:cs="宋体"/>
          <w:bCs/>
          <w:color w:val="auto"/>
          <w:sz w:val="24"/>
          <w:szCs w:val="21"/>
          <w:highlight w:val="none"/>
        </w:rPr>
      </w:pPr>
    </w:p>
    <w:p w14:paraId="4E86B16B">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CB6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470E3718">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471906D5">
            <w:pPr>
              <w:spacing w:line="360" w:lineRule="auto"/>
              <w:rPr>
                <w:rFonts w:ascii="宋体" w:hAnsi="宋体" w:cs="宋体"/>
                <w:bCs/>
                <w:color w:val="auto"/>
                <w:sz w:val="24"/>
                <w:szCs w:val="21"/>
                <w:highlight w:val="none"/>
              </w:rPr>
            </w:pPr>
          </w:p>
        </w:tc>
      </w:tr>
    </w:tbl>
    <w:p w14:paraId="70F262D8">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272BE190">
      <w:pPr>
        <w:snapToGrid w:val="0"/>
        <w:spacing w:line="360" w:lineRule="auto"/>
        <w:ind w:right="480"/>
        <w:rPr>
          <w:rFonts w:ascii="宋体" w:hAnsi="宋体" w:cs="宋体"/>
          <w:b/>
          <w:color w:val="auto"/>
          <w:kern w:val="0"/>
          <w:sz w:val="32"/>
          <w:szCs w:val="32"/>
          <w:highlight w:val="none"/>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14:paraId="4A7A612F">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5F7DAAA5">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p w14:paraId="2E889FC3">
      <w:pPr>
        <w:snapToGrid w:val="0"/>
        <w:spacing w:line="360" w:lineRule="auto"/>
        <w:rPr>
          <w:rFonts w:ascii="宋体" w:hAnsi="宋体" w:cs="宋体"/>
          <w:color w:val="auto"/>
          <w:kern w:val="0"/>
          <w:sz w:val="24"/>
          <w:highlight w:val="none"/>
        </w:rPr>
      </w:pPr>
    </w:p>
    <w:p w14:paraId="08EFF20A">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75F52CA9">
      <w:pPr>
        <w:jc w:val="center"/>
        <w:rPr>
          <w:rFonts w:ascii="宋体" w:hAnsi="宋体" w:cs="宋体"/>
          <w:b/>
          <w:color w:val="auto"/>
          <w:kern w:val="0"/>
          <w:sz w:val="32"/>
          <w:szCs w:val="32"/>
          <w:highlight w:val="none"/>
        </w:rPr>
      </w:pPr>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116E7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4BBBC8CA">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7C6BCFBD">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704FD249">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20A5B422">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0236E7FC">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0239C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8DDFF18">
            <w:pPr>
              <w:jc w:val="center"/>
              <w:rPr>
                <w:rFonts w:ascii="宋体" w:hAnsi="宋体" w:cs="宋体"/>
                <w:color w:val="auto"/>
                <w:sz w:val="24"/>
                <w:highlight w:val="none"/>
              </w:rPr>
            </w:pPr>
            <w:r>
              <w:rPr>
                <w:rFonts w:hint="eastAsia" w:ascii="宋体" w:hAnsi="宋体" w:cs="宋体"/>
                <w:color w:val="auto"/>
                <w:sz w:val="24"/>
                <w:highlight w:val="none"/>
              </w:rPr>
              <w:t>1</w:t>
            </w:r>
          </w:p>
        </w:tc>
        <w:tc>
          <w:tcPr>
            <w:tcW w:w="4991" w:type="dxa"/>
          </w:tcPr>
          <w:p w14:paraId="6FC2C7A3">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7FE7DAB5">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14:paraId="0A2C07A9">
            <w:pPr>
              <w:rPr>
                <w:rFonts w:ascii="宋体" w:hAnsi="宋体" w:cs="宋体"/>
                <w:color w:val="auto"/>
                <w:sz w:val="24"/>
                <w:highlight w:val="none"/>
              </w:rPr>
            </w:pPr>
          </w:p>
          <w:p w14:paraId="6E2A7AC1">
            <w:pPr>
              <w:rPr>
                <w:rFonts w:ascii="宋体" w:hAnsi="宋体" w:cs="宋体"/>
                <w:color w:val="auto"/>
                <w:sz w:val="24"/>
                <w:highlight w:val="none"/>
              </w:rPr>
            </w:pPr>
            <w:r>
              <w:rPr>
                <w:rFonts w:hint="eastAsia" w:ascii="宋体" w:hAnsi="宋体" w:cs="宋体"/>
                <w:color w:val="auto"/>
                <w:sz w:val="24"/>
                <w:highlight w:val="none"/>
              </w:rPr>
              <w:t>见投标文件</w:t>
            </w:r>
          </w:p>
          <w:p w14:paraId="73EA77B8">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0F5E9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0F2A752">
            <w:pPr>
              <w:jc w:val="center"/>
              <w:rPr>
                <w:rFonts w:ascii="宋体" w:hAnsi="宋体" w:cs="宋体"/>
                <w:color w:val="auto"/>
                <w:sz w:val="24"/>
                <w:highlight w:val="none"/>
              </w:rPr>
            </w:pPr>
            <w:r>
              <w:rPr>
                <w:rFonts w:hint="eastAsia" w:ascii="宋体" w:hAnsi="宋体" w:cs="宋体"/>
                <w:color w:val="auto"/>
                <w:sz w:val="24"/>
                <w:highlight w:val="none"/>
              </w:rPr>
              <w:t>2</w:t>
            </w:r>
          </w:p>
        </w:tc>
        <w:tc>
          <w:tcPr>
            <w:tcW w:w="4991" w:type="dxa"/>
          </w:tcPr>
          <w:p w14:paraId="29489411">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07F11CBC">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tcPr>
          <w:p w14:paraId="21C82A77">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382A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CDF7BC6">
            <w:pPr>
              <w:jc w:val="center"/>
              <w:rPr>
                <w:rFonts w:ascii="宋体" w:hAnsi="宋体" w:cs="宋体"/>
                <w:color w:val="auto"/>
                <w:sz w:val="24"/>
                <w:highlight w:val="none"/>
              </w:rPr>
            </w:pPr>
            <w:r>
              <w:rPr>
                <w:rFonts w:hint="eastAsia" w:ascii="宋体" w:hAnsi="宋体" w:cs="宋体"/>
                <w:color w:val="auto"/>
                <w:sz w:val="24"/>
                <w:highlight w:val="none"/>
              </w:rPr>
              <w:t>3</w:t>
            </w:r>
          </w:p>
        </w:tc>
        <w:tc>
          <w:tcPr>
            <w:tcW w:w="4991" w:type="dxa"/>
          </w:tcPr>
          <w:p w14:paraId="74414922">
            <w:pPr>
              <w:spacing w:line="360" w:lineRule="auto"/>
              <w:rPr>
                <w:rFonts w:ascii="宋体" w:hAnsi="宋体" w:cs="宋体"/>
                <w:color w:val="auto"/>
                <w:sz w:val="24"/>
                <w:highlight w:val="none"/>
              </w:rPr>
            </w:pPr>
            <w:r>
              <w:rPr>
                <w:rFonts w:hint="eastAsia" w:ascii="宋体" w:hAnsi="宋体" w:cs="宋体"/>
                <w:color w:val="auto"/>
                <w:sz w:val="24"/>
                <w:highlight w:val="none"/>
              </w:rPr>
              <w:t>投标文件满足招标文件的其它实质性要求。</w:t>
            </w:r>
          </w:p>
        </w:tc>
        <w:tc>
          <w:tcPr>
            <w:tcW w:w="2551" w:type="dxa"/>
            <w:vAlign w:val="center"/>
          </w:tcPr>
          <w:p w14:paraId="22DBCE53">
            <w:pPr>
              <w:rPr>
                <w:rFonts w:ascii="宋体" w:hAnsi="宋体" w:cs="宋体"/>
                <w:color w:val="auto"/>
                <w:sz w:val="24"/>
                <w:highlight w:val="none"/>
              </w:rPr>
            </w:pPr>
            <w:r>
              <w:rPr>
                <w:rFonts w:hint="eastAsia" w:ascii="宋体" w:hAnsi="宋体" w:cs="宋体"/>
                <w:color w:val="auto"/>
                <w:kern w:val="0"/>
                <w:sz w:val="24"/>
                <w:highlight w:val="none"/>
              </w:rPr>
              <w:t>招标文件其它实质性要求相应的材料（“▲” 系指实质性要求条款，招标文件无其它实质性要求的，无需提供）</w:t>
            </w:r>
          </w:p>
        </w:tc>
        <w:tc>
          <w:tcPr>
            <w:tcW w:w="1418" w:type="dxa"/>
          </w:tcPr>
          <w:p w14:paraId="4F7D47B8">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bl>
    <w:p w14:paraId="7FDF9C17">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76EA9586">
      <w:pPr>
        <w:jc w:val="center"/>
        <w:rPr>
          <w:rFonts w:ascii="宋体" w:hAnsi="宋体" w:cs="宋体"/>
          <w:b/>
          <w:color w:val="auto"/>
          <w:kern w:val="0"/>
          <w:sz w:val="32"/>
          <w:szCs w:val="32"/>
          <w:highlight w:val="none"/>
        </w:rPr>
      </w:pPr>
    </w:p>
    <w:p w14:paraId="38445C63">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54D8DF8B">
      <w:pPr>
        <w:jc w:val="center"/>
        <w:rPr>
          <w:rFonts w:ascii="宋体" w:hAnsi="宋体" w:cs="宋体"/>
          <w:b/>
          <w:color w:val="auto"/>
          <w:kern w:val="0"/>
          <w:sz w:val="32"/>
          <w:szCs w:val="32"/>
          <w:highlight w:val="none"/>
        </w:rPr>
      </w:pPr>
    </w:p>
    <w:p w14:paraId="4E5CF992">
      <w:pPr>
        <w:jc w:val="center"/>
        <w:rPr>
          <w:rFonts w:ascii="宋体" w:hAnsi="宋体" w:cs="宋体"/>
          <w:b/>
          <w:color w:val="auto"/>
          <w:kern w:val="0"/>
          <w:sz w:val="32"/>
          <w:szCs w:val="32"/>
          <w:highlight w:val="none"/>
        </w:rPr>
      </w:pPr>
    </w:p>
    <w:p w14:paraId="3E5C4CC6">
      <w:pPr>
        <w:jc w:val="center"/>
        <w:rPr>
          <w:rFonts w:ascii="宋体" w:hAnsi="宋体" w:cs="宋体"/>
          <w:b/>
          <w:color w:val="auto"/>
          <w:kern w:val="0"/>
          <w:sz w:val="32"/>
          <w:szCs w:val="32"/>
          <w:highlight w:val="none"/>
        </w:rPr>
      </w:pPr>
    </w:p>
    <w:p w14:paraId="433E08C2">
      <w:pPr>
        <w:jc w:val="center"/>
        <w:rPr>
          <w:rFonts w:ascii="宋体" w:hAnsi="宋体" w:cs="宋体"/>
          <w:b/>
          <w:color w:val="auto"/>
          <w:kern w:val="0"/>
          <w:sz w:val="32"/>
          <w:szCs w:val="32"/>
          <w:highlight w:val="none"/>
        </w:rPr>
      </w:pPr>
    </w:p>
    <w:p w14:paraId="6628E6AD">
      <w:pPr>
        <w:jc w:val="center"/>
        <w:rPr>
          <w:rFonts w:ascii="宋体" w:hAnsi="宋体" w:cs="宋体"/>
          <w:b/>
          <w:color w:val="auto"/>
          <w:kern w:val="0"/>
          <w:sz w:val="32"/>
          <w:szCs w:val="32"/>
          <w:highlight w:val="none"/>
        </w:rPr>
      </w:pPr>
    </w:p>
    <w:p w14:paraId="68A99DEC">
      <w:pPr>
        <w:jc w:val="center"/>
        <w:rPr>
          <w:rFonts w:ascii="宋体" w:hAnsi="宋体" w:cs="宋体"/>
          <w:b/>
          <w:color w:val="auto"/>
          <w:kern w:val="0"/>
          <w:sz w:val="32"/>
          <w:szCs w:val="32"/>
          <w:highlight w:val="none"/>
        </w:rPr>
      </w:pPr>
    </w:p>
    <w:p w14:paraId="332668D2">
      <w:pPr>
        <w:jc w:val="center"/>
        <w:rPr>
          <w:rFonts w:ascii="宋体" w:hAnsi="宋体" w:cs="宋体"/>
          <w:b/>
          <w:color w:val="auto"/>
          <w:kern w:val="0"/>
          <w:sz w:val="32"/>
          <w:szCs w:val="32"/>
          <w:highlight w:val="none"/>
        </w:rPr>
      </w:pPr>
    </w:p>
    <w:p w14:paraId="3B37D90D">
      <w:pPr>
        <w:jc w:val="center"/>
        <w:rPr>
          <w:rFonts w:ascii="宋体" w:hAnsi="宋体" w:cs="宋体"/>
          <w:b/>
          <w:color w:val="auto"/>
          <w:kern w:val="0"/>
          <w:sz w:val="32"/>
          <w:szCs w:val="32"/>
          <w:highlight w:val="none"/>
        </w:rPr>
      </w:pPr>
    </w:p>
    <w:p w14:paraId="1196D236">
      <w:pPr>
        <w:jc w:val="center"/>
        <w:rPr>
          <w:rFonts w:ascii="宋体" w:hAnsi="宋体" w:cs="宋体"/>
          <w:b/>
          <w:color w:val="auto"/>
          <w:kern w:val="0"/>
          <w:sz w:val="32"/>
          <w:szCs w:val="32"/>
          <w:highlight w:val="none"/>
        </w:rPr>
      </w:pPr>
    </w:p>
    <w:p w14:paraId="37F4BCDF">
      <w:pPr>
        <w:jc w:val="center"/>
        <w:rPr>
          <w:rFonts w:ascii="宋体" w:hAnsi="宋体" w:cs="宋体"/>
          <w:b/>
          <w:color w:val="auto"/>
          <w:kern w:val="0"/>
          <w:sz w:val="32"/>
          <w:szCs w:val="32"/>
          <w:highlight w:val="none"/>
        </w:rPr>
      </w:pPr>
    </w:p>
    <w:p w14:paraId="7CADA795">
      <w:pPr>
        <w:jc w:val="center"/>
        <w:rPr>
          <w:rFonts w:ascii="宋体" w:hAnsi="宋体" w:cs="宋体"/>
          <w:b/>
          <w:color w:val="auto"/>
          <w:kern w:val="0"/>
          <w:sz w:val="32"/>
          <w:szCs w:val="32"/>
          <w:highlight w:val="none"/>
        </w:rPr>
      </w:pPr>
    </w:p>
    <w:p w14:paraId="1CA31089">
      <w:pPr>
        <w:jc w:val="center"/>
        <w:rPr>
          <w:rFonts w:ascii="宋体" w:hAnsi="宋体" w:cs="宋体"/>
          <w:b/>
          <w:color w:val="auto"/>
          <w:kern w:val="0"/>
          <w:sz w:val="32"/>
          <w:szCs w:val="32"/>
          <w:highlight w:val="none"/>
        </w:rPr>
      </w:pPr>
    </w:p>
    <w:p w14:paraId="729002E1">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4279F193">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p w14:paraId="0E091AC5">
      <w:pPr>
        <w:jc w:val="center"/>
        <w:rPr>
          <w:rFonts w:ascii="宋体" w:hAnsi="宋体" w:cs="宋体"/>
          <w:b/>
          <w:color w:val="auto"/>
          <w:kern w:val="0"/>
          <w:sz w:val="32"/>
          <w:szCs w:val="32"/>
          <w:highlight w:val="none"/>
        </w:rPr>
      </w:pPr>
    </w:p>
    <w:p w14:paraId="52A0F700">
      <w:pPr>
        <w:jc w:val="center"/>
        <w:rPr>
          <w:rFonts w:ascii="宋体" w:hAnsi="宋体" w:cs="宋体"/>
          <w:b/>
          <w:color w:val="auto"/>
          <w:kern w:val="0"/>
          <w:sz w:val="32"/>
          <w:szCs w:val="32"/>
          <w:highlight w:val="none"/>
        </w:rPr>
      </w:pPr>
    </w:p>
    <w:p w14:paraId="3F59EF4F">
      <w:pPr>
        <w:jc w:val="center"/>
        <w:rPr>
          <w:rFonts w:ascii="宋体" w:hAnsi="宋体" w:cs="宋体"/>
          <w:b/>
          <w:color w:val="auto"/>
          <w:kern w:val="0"/>
          <w:sz w:val="32"/>
          <w:szCs w:val="32"/>
          <w:highlight w:val="none"/>
        </w:rPr>
      </w:pPr>
    </w:p>
    <w:p w14:paraId="4D9BC3F3">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3"/>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35B6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316908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1B63F8E8">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05ECB7C7">
            <w:pPr>
              <w:spacing w:line="360" w:lineRule="auto"/>
              <w:jc w:val="center"/>
              <w:rPr>
                <w:rFonts w:ascii="宋体" w:hAnsi="宋体" w:cs="宋体"/>
                <w:b/>
                <w:color w:val="auto"/>
                <w:sz w:val="24"/>
                <w:highlight w:val="none"/>
              </w:rPr>
            </w:pPr>
          </w:p>
          <w:p w14:paraId="705C449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2F5F501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56C83D58">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253A2D1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01D66480">
            <w:pPr>
              <w:spacing w:line="360" w:lineRule="auto"/>
              <w:jc w:val="center"/>
              <w:rPr>
                <w:rFonts w:ascii="宋体" w:hAnsi="宋体" w:cs="宋体"/>
                <w:b/>
                <w:color w:val="auto"/>
                <w:sz w:val="24"/>
                <w:highlight w:val="none"/>
              </w:rPr>
            </w:pPr>
          </w:p>
          <w:p w14:paraId="3B37500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412DA99F">
            <w:pPr>
              <w:spacing w:line="360" w:lineRule="auto"/>
              <w:jc w:val="center"/>
              <w:rPr>
                <w:rFonts w:ascii="宋体" w:hAnsi="宋体" w:cs="宋体"/>
                <w:b/>
                <w:color w:val="auto"/>
                <w:sz w:val="24"/>
                <w:highlight w:val="none"/>
              </w:rPr>
            </w:pPr>
          </w:p>
        </w:tc>
      </w:tr>
      <w:tr w14:paraId="1482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3B2EF9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5E6D6F68">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48C9634C">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C8A7C29">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0164CA0D">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58AD7D3E">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3B1A0B27">
            <w:pPr>
              <w:spacing w:line="360" w:lineRule="auto"/>
              <w:jc w:val="center"/>
              <w:rPr>
                <w:rFonts w:ascii="宋体" w:hAnsi="宋体" w:cs="宋体"/>
                <w:color w:val="auto"/>
                <w:sz w:val="24"/>
                <w:highlight w:val="none"/>
              </w:rPr>
            </w:pPr>
          </w:p>
        </w:tc>
      </w:tr>
      <w:tr w14:paraId="3F0F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11487C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164DFDB6">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4CB3341B">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98F79FC">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39EB02BC">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59798D68">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5661BF03">
            <w:pPr>
              <w:spacing w:line="360" w:lineRule="auto"/>
              <w:jc w:val="center"/>
              <w:rPr>
                <w:rFonts w:ascii="宋体" w:hAnsi="宋体" w:cs="宋体"/>
                <w:color w:val="auto"/>
                <w:sz w:val="24"/>
                <w:highlight w:val="none"/>
              </w:rPr>
            </w:pPr>
          </w:p>
        </w:tc>
      </w:tr>
      <w:tr w14:paraId="3350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6A3D21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0CD0DBBE">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475FFC21">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94A6944">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4B42B9C2">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0D83DD70">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3307754F">
            <w:pPr>
              <w:spacing w:line="360" w:lineRule="auto"/>
              <w:jc w:val="center"/>
              <w:rPr>
                <w:rFonts w:ascii="宋体" w:hAnsi="宋体" w:cs="宋体"/>
                <w:color w:val="auto"/>
                <w:sz w:val="24"/>
                <w:highlight w:val="none"/>
              </w:rPr>
            </w:pPr>
          </w:p>
        </w:tc>
      </w:tr>
    </w:tbl>
    <w:p w14:paraId="4C67BD96">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1DB55C78">
      <w:pPr>
        <w:jc w:val="center"/>
        <w:rPr>
          <w:rFonts w:ascii="宋体" w:hAnsi="宋体" w:cs="宋体"/>
          <w:b/>
          <w:color w:val="auto"/>
          <w:kern w:val="0"/>
          <w:sz w:val="32"/>
          <w:szCs w:val="32"/>
          <w:highlight w:val="none"/>
        </w:rPr>
      </w:pPr>
    </w:p>
    <w:p w14:paraId="756CC52B">
      <w:pPr>
        <w:jc w:val="center"/>
        <w:rPr>
          <w:rFonts w:ascii="宋体" w:hAnsi="宋体" w:cs="宋体"/>
          <w:b/>
          <w:color w:val="auto"/>
          <w:kern w:val="0"/>
          <w:sz w:val="32"/>
          <w:szCs w:val="32"/>
          <w:highlight w:val="none"/>
        </w:rPr>
      </w:pPr>
    </w:p>
    <w:p w14:paraId="24675415">
      <w:pPr>
        <w:jc w:val="center"/>
        <w:rPr>
          <w:rFonts w:ascii="宋体" w:hAnsi="宋体" w:cs="宋体"/>
          <w:b/>
          <w:color w:val="auto"/>
          <w:kern w:val="0"/>
          <w:sz w:val="32"/>
          <w:szCs w:val="32"/>
          <w:highlight w:val="none"/>
        </w:rPr>
      </w:pPr>
    </w:p>
    <w:p w14:paraId="58CF5CE9">
      <w:pPr>
        <w:jc w:val="center"/>
        <w:rPr>
          <w:color w:val="auto"/>
          <w:highlight w:val="none"/>
        </w:rPr>
      </w:pPr>
      <w:r>
        <w:rPr>
          <w:rFonts w:hint="eastAsia" w:ascii="宋体" w:hAnsi="宋体" w:cs="宋体"/>
          <w:b/>
          <w:color w:val="auto"/>
          <w:kern w:val="0"/>
          <w:sz w:val="32"/>
          <w:szCs w:val="32"/>
          <w:highlight w:val="none"/>
        </w:rPr>
        <w:t>七、商务技术偏离表</w:t>
      </w:r>
    </w:p>
    <w:p w14:paraId="25DE7C1B">
      <w:pPr>
        <w:snapToGrid w:val="0"/>
        <w:spacing w:line="400" w:lineRule="exact"/>
        <w:ind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项目名称:</w:t>
      </w:r>
    </w:p>
    <w:p w14:paraId="7ED4951A">
      <w:pPr>
        <w:snapToGrid w:val="0"/>
        <w:spacing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项目编号:   </w:t>
      </w:r>
    </w:p>
    <w:p w14:paraId="59525019">
      <w:pPr>
        <w:autoSpaceDE w:val="0"/>
        <w:autoSpaceDN w:val="0"/>
        <w:snapToGrid w:val="0"/>
        <w:spacing w:after="120" w:line="400" w:lineRule="exact"/>
        <w:ind w:firstLine="480" w:firstLineChars="200"/>
        <w:jc w:val="left"/>
        <w:rPr>
          <w:rFonts w:hint="eastAsia" w:cs="仿宋_GB2312" w:asciiTheme="minorEastAsia" w:hAnsiTheme="minorEastAsia" w:eastAsiaTheme="minorEastAsia"/>
          <w:color w:val="auto"/>
          <w:kern w:val="0"/>
          <w:sz w:val="24"/>
          <w:highlight w:val="none"/>
          <w:lang w:eastAsia="zh-CN"/>
        </w:rPr>
      </w:pPr>
      <w:r>
        <w:rPr>
          <w:rFonts w:hint="eastAsia" w:cs="仿宋_GB2312" w:asciiTheme="minorEastAsia" w:hAnsiTheme="minorEastAsia" w:eastAsiaTheme="minorEastAsia"/>
          <w:color w:val="auto"/>
          <w:kern w:val="0"/>
          <w:sz w:val="24"/>
          <w:highlight w:val="none"/>
          <w:lang w:eastAsia="zh-CN"/>
        </w:rPr>
        <w:t>标项号：</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08C105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6C37039A">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58866157">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招标文件要求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02653952">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45DC8298">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14:paraId="06D8A58C">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说明</w:t>
            </w:r>
          </w:p>
        </w:tc>
      </w:tr>
      <w:tr w14:paraId="6F47A9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5CD8D01B">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商务部分</w:t>
            </w:r>
          </w:p>
        </w:tc>
      </w:tr>
      <w:tr w14:paraId="7F1085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0115475">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1092DD8F">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4C5718EE">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37AC334A">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634B4C41">
            <w:pPr>
              <w:snapToGrid w:val="0"/>
              <w:spacing w:line="400" w:lineRule="exact"/>
              <w:jc w:val="center"/>
              <w:rPr>
                <w:rFonts w:asciiTheme="minorEastAsia" w:hAnsiTheme="minorEastAsia" w:eastAsiaTheme="minorEastAsia"/>
                <w:color w:val="auto"/>
                <w:sz w:val="24"/>
                <w:highlight w:val="none"/>
              </w:rPr>
            </w:pPr>
          </w:p>
        </w:tc>
      </w:tr>
      <w:tr w14:paraId="5AE245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1FF0DD0">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3D484454">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6308D1B6">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322D27C6">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0543D52A">
            <w:pPr>
              <w:snapToGrid w:val="0"/>
              <w:spacing w:line="400" w:lineRule="exact"/>
              <w:jc w:val="center"/>
              <w:rPr>
                <w:rFonts w:asciiTheme="minorEastAsia" w:hAnsiTheme="minorEastAsia" w:eastAsiaTheme="minorEastAsia"/>
                <w:color w:val="auto"/>
                <w:sz w:val="24"/>
                <w:highlight w:val="none"/>
              </w:rPr>
            </w:pPr>
          </w:p>
        </w:tc>
      </w:tr>
      <w:tr w14:paraId="4C5D92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A30AB6F">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028103BB">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6CCA159C">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35416BEA">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2CFFD39B">
            <w:pPr>
              <w:snapToGrid w:val="0"/>
              <w:spacing w:line="400" w:lineRule="exact"/>
              <w:jc w:val="center"/>
              <w:rPr>
                <w:rFonts w:asciiTheme="minorEastAsia" w:hAnsiTheme="minorEastAsia" w:eastAsiaTheme="minorEastAsia"/>
                <w:color w:val="auto"/>
                <w:sz w:val="24"/>
                <w:highlight w:val="none"/>
              </w:rPr>
            </w:pPr>
          </w:p>
        </w:tc>
      </w:tr>
      <w:tr w14:paraId="7BD82B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40507EC">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2809" w:type="dxa"/>
            <w:tcBorders>
              <w:top w:val="single" w:color="auto" w:sz="6" w:space="0"/>
              <w:left w:val="single" w:color="auto" w:sz="6" w:space="0"/>
              <w:bottom w:val="single" w:color="auto" w:sz="6" w:space="0"/>
              <w:right w:val="single" w:color="auto" w:sz="6" w:space="0"/>
            </w:tcBorders>
            <w:vAlign w:val="center"/>
          </w:tcPr>
          <w:p w14:paraId="3E13CA4A">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47447CC4">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06E29D0A">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2A91EDE5">
            <w:pPr>
              <w:snapToGrid w:val="0"/>
              <w:spacing w:line="400" w:lineRule="exact"/>
              <w:jc w:val="center"/>
              <w:rPr>
                <w:rFonts w:asciiTheme="minorEastAsia" w:hAnsiTheme="minorEastAsia" w:eastAsiaTheme="minorEastAsia"/>
                <w:color w:val="auto"/>
                <w:sz w:val="24"/>
                <w:highlight w:val="none"/>
              </w:rPr>
            </w:pPr>
          </w:p>
        </w:tc>
      </w:tr>
      <w:tr w14:paraId="78BF45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1BBECAF4">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技术（服务）部分</w:t>
            </w:r>
          </w:p>
        </w:tc>
      </w:tr>
      <w:tr w14:paraId="4CDEDB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D9EE046">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0EAFEDE0">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204C9DF9">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5A79DB7E">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3A4B13B2">
            <w:pPr>
              <w:snapToGrid w:val="0"/>
              <w:spacing w:line="400" w:lineRule="exact"/>
              <w:jc w:val="center"/>
              <w:rPr>
                <w:rFonts w:asciiTheme="minorEastAsia" w:hAnsiTheme="minorEastAsia" w:eastAsiaTheme="minorEastAsia"/>
                <w:color w:val="auto"/>
                <w:sz w:val="24"/>
                <w:highlight w:val="none"/>
              </w:rPr>
            </w:pPr>
          </w:p>
        </w:tc>
      </w:tr>
      <w:tr w14:paraId="002916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4954FD0">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7ACB09EA">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20B7770F">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30BCCB21">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6F886CCD">
            <w:pPr>
              <w:snapToGrid w:val="0"/>
              <w:spacing w:line="400" w:lineRule="exact"/>
              <w:jc w:val="center"/>
              <w:rPr>
                <w:rFonts w:asciiTheme="minorEastAsia" w:hAnsiTheme="minorEastAsia" w:eastAsiaTheme="minorEastAsia"/>
                <w:color w:val="auto"/>
                <w:sz w:val="24"/>
                <w:highlight w:val="none"/>
              </w:rPr>
            </w:pPr>
          </w:p>
        </w:tc>
      </w:tr>
      <w:tr w14:paraId="0D1D8C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0D72C0B">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10594C05">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05DB5BE1">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7CA5D7F1">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5FF9220F">
            <w:pPr>
              <w:snapToGrid w:val="0"/>
              <w:spacing w:line="400" w:lineRule="exact"/>
              <w:jc w:val="center"/>
              <w:rPr>
                <w:rFonts w:asciiTheme="minorEastAsia" w:hAnsiTheme="minorEastAsia" w:eastAsiaTheme="minorEastAsia"/>
                <w:color w:val="auto"/>
                <w:sz w:val="24"/>
                <w:highlight w:val="none"/>
              </w:rPr>
            </w:pPr>
          </w:p>
        </w:tc>
      </w:tr>
      <w:tr w14:paraId="55C99A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342F5DB6">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2809" w:type="dxa"/>
            <w:tcBorders>
              <w:top w:val="single" w:color="auto" w:sz="6" w:space="0"/>
              <w:left w:val="single" w:color="auto" w:sz="6" w:space="0"/>
              <w:bottom w:val="single" w:color="auto" w:sz="4" w:space="0"/>
              <w:right w:val="single" w:color="auto" w:sz="6" w:space="0"/>
            </w:tcBorders>
            <w:vAlign w:val="center"/>
          </w:tcPr>
          <w:p w14:paraId="0F8049AD">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4" w:space="0"/>
              <w:right w:val="single" w:color="auto" w:sz="6" w:space="0"/>
            </w:tcBorders>
            <w:vAlign w:val="center"/>
          </w:tcPr>
          <w:p w14:paraId="6851D9EC">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4" w:space="0"/>
              <w:right w:val="single" w:color="auto" w:sz="4" w:space="0"/>
            </w:tcBorders>
            <w:vAlign w:val="center"/>
          </w:tcPr>
          <w:p w14:paraId="4F5E2875">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4" w:space="0"/>
              <w:bottom w:val="single" w:color="auto" w:sz="4" w:space="0"/>
              <w:right w:val="single" w:color="auto" w:sz="4" w:space="0"/>
            </w:tcBorders>
            <w:vAlign w:val="center"/>
          </w:tcPr>
          <w:p w14:paraId="317540DD">
            <w:pPr>
              <w:snapToGrid w:val="0"/>
              <w:spacing w:line="400" w:lineRule="exact"/>
              <w:jc w:val="center"/>
              <w:rPr>
                <w:rFonts w:asciiTheme="minorEastAsia" w:hAnsiTheme="minorEastAsia" w:eastAsiaTheme="minorEastAsia"/>
                <w:color w:val="auto"/>
                <w:sz w:val="24"/>
                <w:highlight w:val="none"/>
              </w:rPr>
            </w:pPr>
          </w:p>
        </w:tc>
      </w:tr>
    </w:tbl>
    <w:p w14:paraId="3E56F5C0">
      <w:pPr>
        <w:snapToGrid w:val="0"/>
        <w:spacing w:line="40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说明：1.应写明招标文件对商务与服务技术要求的响应和偏离情况</w:t>
      </w:r>
      <w:r>
        <w:rPr>
          <w:rFonts w:hint="eastAsia" w:asciiTheme="minorEastAsia" w:hAnsiTheme="minorEastAsia" w:eastAsiaTheme="minorEastAsia"/>
          <w:bCs/>
          <w:color w:val="auto"/>
          <w:sz w:val="24"/>
          <w:highlight w:val="none"/>
        </w:rPr>
        <w:t>；</w:t>
      </w:r>
    </w:p>
    <w:p w14:paraId="652F3C89">
      <w:pPr>
        <w:snapToGrid w:val="0"/>
        <w:spacing w:line="400" w:lineRule="exact"/>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2.应对照招标文件“第三部分  采购需求”，逐条说明所提供货物、服务已对招标文件的商务、技术（服务）要求做出了实质性的响应，并申明与采购项目要求的偏离情况。特别对有具体商务、技术（服务）要求的，</w:t>
      </w:r>
      <w:r>
        <w:rPr>
          <w:rFonts w:hint="eastAsia" w:ascii="宋体" w:hAnsi="宋体" w:cs="宋体"/>
          <w:color w:val="auto"/>
          <w:sz w:val="24"/>
          <w:highlight w:val="none"/>
        </w:rPr>
        <w:t>投标人</w:t>
      </w:r>
      <w:r>
        <w:rPr>
          <w:rFonts w:hint="eastAsia" w:asciiTheme="minorEastAsia" w:hAnsiTheme="minorEastAsia" w:eastAsiaTheme="minorEastAsia"/>
          <w:color w:val="auto"/>
          <w:sz w:val="24"/>
          <w:highlight w:val="none"/>
        </w:rPr>
        <w:t xml:space="preserve">必须提供对应的详细应答。如果仅注明“符合”、“满足”或简单复制招标文件要求，将导致投标被拒绝。 </w:t>
      </w:r>
    </w:p>
    <w:p w14:paraId="7FFD0334">
      <w:pPr>
        <w:snapToGrid w:val="0"/>
        <w:spacing w:line="400" w:lineRule="exact"/>
        <w:rPr>
          <w:rFonts w:cs="Courier New" w:asciiTheme="minorEastAsia" w:hAnsiTheme="minorEastAsia" w:eastAsiaTheme="minorEastAsia"/>
          <w:color w:val="auto"/>
          <w:sz w:val="24"/>
          <w:highlight w:val="none"/>
        </w:rPr>
      </w:pPr>
    </w:p>
    <w:p w14:paraId="76493277">
      <w:pPr>
        <w:spacing w:line="360" w:lineRule="auto"/>
        <w:ind w:firstLine="3600" w:firstLineChars="1500"/>
        <w:rPr>
          <w:rFonts w:ascii="宋体" w:hAnsi="宋体" w:cs="宋体"/>
          <w:color w:val="auto"/>
          <w:sz w:val="24"/>
          <w:highlight w:val="none"/>
        </w:rPr>
      </w:pPr>
    </w:p>
    <w:p w14:paraId="67FC30EA">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3A297639">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7356C05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61763DC6">
      <w:pPr>
        <w:jc w:val="center"/>
        <w:rPr>
          <w:rFonts w:ascii="宋体" w:hAnsi="宋体" w:cs="宋体"/>
          <w:b/>
          <w:color w:val="auto"/>
          <w:kern w:val="0"/>
          <w:sz w:val="32"/>
          <w:szCs w:val="32"/>
          <w:highlight w:val="none"/>
        </w:rPr>
      </w:pPr>
    </w:p>
    <w:p w14:paraId="0B981592">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168BC96A">
      <w:pPr>
        <w:ind w:firstLine="1911" w:firstLineChars="595"/>
        <w:rPr>
          <w:rFonts w:ascii="宋体" w:hAnsi="宋体" w:cs="宋体"/>
          <w:b/>
          <w:bCs/>
          <w:color w:val="auto"/>
          <w:sz w:val="32"/>
          <w:szCs w:val="32"/>
          <w:highlight w:val="none"/>
        </w:rPr>
      </w:pPr>
    </w:p>
    <w:p w14:paraId="012758DE">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2D769A45">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37473757">
      <w:pPr>
        <w:snapToGrid w:val="0"/>
        <w:spacing w:line="360" w:lineRule="auto"/>
        <w:rPr>
          <w:rFonts w:ascii="宋体" w:hAnsi="宋体" w:cs="宋体"/>
          <w:color w:val="auto"/>
          <w:sz w:val="24"/>
          <w:highlight w:val="none"/>
        </w:rPr>
      </w:pPr>
    </w:p>
    <w:p w14:paraId="4F16280E">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51ADC33C">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51C70685">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2177F3F9">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6DF7A6FF">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3E02BE7C">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54A0BEEE">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718F7B7E">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3DD09DD7">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04756688">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45EC2052">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6E0D85A0">
      <w:pPr>
        <w:autoSpaceDE w:val="0"/>
        <w:autoSpaceDN w:val="0"/>
        <w:spacing w:line="360" w:lineRule="auto"/>
        <w:ind w:left="2"/>
        <w:jc w:val="left"/>
        <w:rPr>
          <w:rFonts w:ascii="宋体" w:hAnsi="宋体" w:cs="宋体"/>
          <w:color w:val="auto"/>
          <w:kern w:val="0"/>
          <w:sz w:val="24"/>
          <w:highlight w:val="none"/>
          <w:lang w:val="zh-CN"/>
        </w:rPr>
      </w:pPr>
    </w:p>
    <w:p w14:paraId="2741529C">
      <w:pPr>
        <w:autoSpaceDE w:val="0"/>
        <w:autoSpaceDN w:val="0"/>
        <w:spacing w:line="360" w:lineRule="auto"/>
        <w:ind w:left="2"/>
        <w:jc w:val="left"/>
        <w:rPr>
          <w:rFonts w:ascii="宋体" w:hAnsi="宋体" w:cs="宋体"/>
          <w:color w:val="auto"/>
          <w:kern w:val="0"/>
          <w:sz w:val="24"/>
          <w:highlight w:val="none"/>
          <w:lang w:val="zh-CN"/>
        </w:rPr>
      </w:pPr>
    </w:p>
    <w:p w14:paraId="47D4F4CF">
      <w:pPr>
        <w:autoSpaceDE w:val="0"/>
        <w:autoSpaceDN w:val="0"/>
        <w:spacing w:line="360" w:lineRule="auto"/>
        <w:ind w:left="2"/>
        <w:jc w:val="left"/>
        <w:rPr>
          <w:rFonts w:ascii="宋体" w:hAnsi="宋体" w:cs="宋体"/>
          <w:color w:val="auto"/>
          <w:kern w:val="0"/>
          <w:sz w:val="24"/>
          <w:highlight w:val="none"/>
          <w:lang w:val="zh-CN"/>
        </w:rPr>
      </w:pPr>
    </w:p>
    <w:p w14:paraId="0C7E5C87">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5FFD5C4A">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4D20C88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286087BD">
      <w:pPr>
        <w:spacing w:line="360" w:lineRule="auto"/>
        <w:ind w:left="4620" w:leftChars="2200"/>
        <w:rPr>
          <w:rFonts w:ascii="宋体" w:hAnsi="宋体" w:cs="宋体"/>
          <w:color w:val="auto"/>
          <w:sz w:val="24"/>
          <w:highlight w:val="none"/>
        </w:rPr>
      </w:pPr>
    </w:p>
    <w:p w14:paraId="5854069F">
      <w:pPr>
        <w:spacing w:line="360" w:lineRule="auto"/>
        <w:jc w:val="center"/>
        <w:rPr>
          <w:rFonts w:ascii="宋体" w:hAnsi="宋体" w:cs="宋体"/>
          <w:b/>
          <w:bCs/>
          <w:color w:val="auto"/>
          <w:sz w:val="24"/>
          <w:highlight w:val="none"/>
        </w:rPr>
      </w:pPr>
    </w:p>
    <w:p w14:paraId="364BB7B1">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3ED41075">
      <w:pPr>
        <w:pStyle w:val="83"/>
        <w:rPr>
          <w:color w:val="auto"/>
          <w:highlight w:val="none"/>
        </w:rPr>
      </w:pPr>
    </w:p>
    <w:p w14:paraId="3A2E41DF">
      <w:pPr>
        <w:pStyle w:val="83"/>
        <w:rPr>
          <w:color w:val="auto"/>
          <w:highlight w:val="none"/>
        </w:rPr>
      </w:pPr>
    </w:p>
    <w:p w14:paraId="2208EC31">
      <w:pPr>
        <w:jc w:val="center"/>
        <w:rPr>
          <w:rFonts w:ascii="宋体" w:hAnsi="宋体" w:cs="宋体"/>
          <w:b/>
          <w:color w:val="auto"/>
          <w:kern w:val="0"/>
          <w:sz w:val="32"/>
          <w:szCs w:val="21"/>
          <w:highlight w:val="none"/>
        </w:rPr>
      </w:pPr>
      <w:r>
        <w:rPr>
          <w:rFonts w:hint="eastAsia" w:ascii="宋体" w:hAnsi="宋体" w:cs="宋体"/>
          <w:b/>
          <w:bCs/>
          <w:color w:val="auto"/>
          <w:sz w:val="32"/>
          <w:szCs w:val="32"/>
          <w:highlight w:val="none"/>
        </w:rPr>
        <w:t>九</w:t>
      </w:r>
      <w:r>
        <w:rPr>
          <w:rFonts w:hint="eastAsia" w:ascii="宋体" w:hAnsi="宋体" w:cs="宋体"/>
          <w:b/>
          <w:color w:val="auto"/>
          <w:kern w:val="0"/>
          <w:sz w:val="32"/>
          <w:szCs w:val="32"/>
          <w:highlight w:val="none"/>
        </w:rPr>
        <w:t>、</w:t>
      </w:r>
      <w:r>
        <w:rPr>
          <w:rFonts w:hint="eastAsia" w:ascii="宋体" w:hAnsi="宋体" w:cs="宋体"/>
          <w:b/>
          <w:color w:val="auto"/>
          <w:kern w:val="0"/>
          <w:sz w:val="32"/>
          <w:szCs w:val="21"/>
          <w:highlight w:val="none"/>
        </w:rPr>
        <w:t>承诺函</w:t>
      </w:r>
    </w:p>
    <w:p w14:paraId="71A2EB7D">
      <w:pPr>
        <w:widowControl/>
        <w:adjustRightInd/>
        <w:ind w:firstLine="640" w:firstLineChars="200"/>
        <w:jc w:val="left"/>
        <w:rPr>
          <w:rFonts w:ascii="宋体" w:hAnsi="宋体" w:cs="宋体"/>
          <w:color w:val="auto"/>
          <w:kern w:val="0"/>
          <w:sz w:val="32"/>
          <w:szCs w:val="21"/>
          <w:highlight w:val="none"/>
        </w:rPr>
      </w:pPr>
    </w:p>
    <w:p w14:paraId="6DB45E4B">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33AF312E">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我方作为本次采购项目的投标人，根据招标文件要求，现郑重承诺如下：</w:t>
      </w:r>
    </w:p>
    <w:p w14:paraId="2DD91891">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14:paraId="7450E73F">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二、参加本次招标采购活动，不存在与单位负责人为同一人或者存在直接控股、管理关系的其他供应商参与同一合同项下的政府采购活动的行为。</w:t>
      </w:r>
    </w:p>
    <w:p w14:paraId="4D393C19">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14:paraId="3C09AEC3">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四、参加本次招标采购活动，不存在和其他供应商在同一合同项下的采购项目中，同时委托同一个自然人、同一家庭的人员、同一单位的人员作为代理人的行为。</w:t>
      </w:r>
    </w:p>
    <w:p w14:paraId="35449F41">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五、投标文件中提供的能够给予我方带来优惠、好处的任何材料资料和技术、服务、商务、响应产品等响应承诺情况都是真实的、有效的、合法的。</w:t>
      </w:r>
    </w:p>
    <w:p w14:paraId="62596B1C">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14:paraId="2CC85482">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七、国家或行业主管部门对采购产品的技术标准、质量标准和资格资质条件等有强制性规定的，我方承诺符合其要求。</w:t>
      </w:r>
    </w:p>
    <w:p w14:paraId="72223722">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八、参加本次招标采购活动，我方完全同意招标文件第二部分关于“投标费用”、“合同分包”、“合同转包”、“履约保证金”的实质性要求，并承诺严格按照招标文件要求履行。</w:t>
      </w:r>
    </w:p>
    <w:p w14:paraId="51E6EF79">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14:paraId="5AE1C921">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我方对上述承诺的内容事项真实性负责。如经查实上述承诺的内容事项存在虚假，我方愿意接受以提供虚假材料谋取中标追究法律责任。</w:t>
      </w:r>
    </w:p>
    <w:p w14:paraId="3A4EA0B6">
      <w:pPr>
        <w:widowControl/>
        <w:adjustRightInd/>
        <w:spacing w:line="360" w:lineRule="auto"/>
        <w:ind w:firstLine="480" w:firstLineChars="200"/>
        <w:jc w:val="left"/>
        <w:rPr>
          <w:rFonts w:ascii="宋体" w:hAnsi="宋体" w:cs="宋体"/>
          <w:color w:val="auto"/>
          <w:kern w:val="0"/>
          <w:sz w:val="24"/>
          <w:highlight w:val="none"/>
        </w:rPr>
      </w:pPr>
    </w:p>
    <w:p w14:paraId="4A335C51">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6B270768">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3EA5F23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201C06A5">
      <w:pPr>
        <w:spacing w:line="360" w:lineRule="auto"/>
        <w:ind w:left="4620" w:leftChars="2200"/>
        <w:rPr>
          <w:rFonts w:ascii="宋体" w:hAnsi="宋体" w:cs="宋体"/>
          <w:color w:val="auto"/>
          <w:sz w:val="24"/>
          <w:highlight w:val="none"/>
        </w:rPr>
      </w:pPr>
    </w:p>
    <w:p w14:paraId="387FB84E">
      <w:pPr>
        <w:spacing w:line="360" w:lineRule="auto"/>
        <w:jc w:val="center"/>
        <w:rPr>
          <w:rFonts w:ascii="宋体" w:hAnsi="宋体" w:cs="宋体"/>
          <w:b/>
          <w:bCs/>
          <w:color w:val="auto"/>
          <w:sz w:val="24"/>
          <w:highlight w:val="none"/>
        </w:rPr>
      </w:pPr>
    </w:p>
    <w:p w14:paraId="7F305128">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A86559F">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十、技术解决方案</w:t>
      </w:r>
    </w:p>
    <w:p w14:paraId="2FF16A2D">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（由供应商根据采购需求及招标文件要求编制）</w:t>
      </w:r>
    </w:p>
    <w:p w14:paraId="0EFA1BBA">
      <w:pPr>
        <w:spacing w:line="360" w:lineRule="auto"/>
        <w:jc w:val="center"/>
        <w:rPr>
          <w:rFonts w:cs="仿宋_GB2312" w:asciiTheme="minorEastAsia" w:hAnsiTheme="minorEastAsia" w:eastAsiaTheme="minorEastAsia"/>
          <w:color w:val="auto"/>
          <w:sz w:val="24"/>
          <w:highlight w:val="none"/>
        </w:rPr>
      </w:pPr>
    </w:p>
    <w:p w14:paraId="4225C545">
      <w:pPr>
        <w:autoSpaceDE w:val="0"/>
        <w:autoSpaceDN w:val="0"/>
        <w:spacing w:line="360" w:lineRule="auto"/>
        <w:rPr>
          <w:rFonts w:cs="仿宋_GB2312" w:asciiTheme="minorEastAsia" w:hAnsiTheme="minorEastAsia" w:eastAsiaTheme="minorEastAsia"/>
          <w:color w:val="auto"/>
          <w:kern w:val="0"/>
          <w:sz w:val="24"/>
          <w:highlight w:val="none"/>
        </w:rPr>
      </w:pPr>
    </w:p>
    <w:p w14:paraId="2DDA554E">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投标人名称（公章）：</w:t>
      </w:r>
      <w:r>
        <w:rPr>
          <w:rFonts w:hint="eastAsia" w:cs="仿宋_GB2312" w:asciiTheme="minorEastAsia" w:hAnsiTheme="minorEastAsia" w:eastAsiaTheme="minorEastAsia"/>
          <w:color w:val="auto"/>
          <w:kern w:val="0"/>
          <w:sz w:val="24"/>
          <w:highlight w:val="none"/>
        </w:rPr>
        <w:t xml:space="preserve">                       </w:t>
      </w:r>
    </w:p>
    <w:p w14:paraId="62560E31">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4ED43682">
      <w:pPr>
        <w:spacing w:line="360" w:lineRule="auto"/>
        <w:jc w:val="center"/>
        <w:rPr>
          <w:rFonts w:cs="仿宋_GB2312" w:asciiTheme="minorEastAsia" w:hAnsiTheme="minorEastAsia" w:eastAsiaTheme="minorEastAsia"/>
          <w:b/>
          <w:bCs/>
          <w:color w:val="auto"/>
          <w:sz w:val="32"/>
          <w:szCs w:val="32"/>
          <w:highlight w:val="none"/>
        </w:rPr>
      </w:pPr>
    </w:p>
    <w:p w14:paraId="7CB1CEF1">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十一、组织实施方案</w:t>
      </w:r>
    </w:p>
    <w:p w14:paraId="703605E5">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（由供应商根据采购需求及招标文件要求编制）</w:t>
      </w:r>
    </w:p>
    <w:p w14:paraId="782EF3B7">
      <w:pPr>
        <w:spacing w:line="360" w:lineRule="auto"/>
        <w:jc w:val="center"/>
        <w:rPr>
          <w:rFonts w:cs="仿宋_GB2312" w:asciiTheme="minorEastAsia" w:hAnsiTheme="minorEastAsia" w:eastAsiaTheme="minorEastAsia"/>
          <w:color w:val="auto"/>
          <w:sz w:val="24"/>
          <w:highlight w:val="none"/>
        </w:rPr>
      </w:pPr>
    </w:p>
    <w:p w14:paraId="0710DA4A">
      <w:pPr>
        <w:autoSpaceDE w:val="0"/>
        <w:autoSpaceDN w:val="0"/>
        <w:spacing w:line="360" w:lineRule="auto"/>
        <w:rPr>
          <w:rFonts w:cs="仿宋_GB2312" w:asciiTheme="minorEastAsia" w:hAnsiTheme="minorEastAsia" w:eastAsiaTheme="minorEastAsia"/>
          <w:color w:val="auto"/>
          <w:kern w:val="0"/>
          <w:sz w:val="24"/>
          <w:highlight w:val="none"/>
        </w:rPr>
      </w:pPr>
    </w:p>
    <w:p w14:paraId="0E4B9F0B">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投标人名称（公章）：</w:t>
      </w:r>
      <w:r>
        <w:rPr>
          <w:rFonts w:hint="eastAsia" w:cs="仿宋_GB2312" w:asciiTheme="minorEastAsia" w:hAnsiTheme="minorEastAsia" w:eastAsiaTheme="minorEastAsia"/>
          <w:color w:val="auto"/>
          <w:kern w:val="0"/>
          <w:sz w:val="24"/>
          <w:highlight w:val="none"/>
        </w:rPr>
        <w:t xml:space="preserve">                       </w:t>
      </w:r>
    </w:p>
    <w:p w14:paraId="4F7E39D4">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12CC1C6F">
      <w:pPr>
        <w:spacing w:line="360" w:lineRule="auto"/>
        <w:jc w:val="center"/>
        <w:rPr>
          <w:rFonts w:cs="仿宋_GB2312" w:asciiTheme="minorEastAsia" w:hAnsiTheme="minorEastAsia" w:eastAsiaTheme="minorEastAsia"/>
          <w:b/>
          <w:bCs/>
          <w:color w:val="auto"/>
          <w:sz w:val="32"/>
          <w:szCs w:val="32"/>
          <w:highlight w:val="none"/>
        </w:rPr>
      </w:pPr>
    </w:p>
    <w:p w14:paraId="1F9A3F28">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十二、售后服务方案</w:t>
      </w:r>
    </w:p>
    <w:p w14:paraId="42C334C4">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（由供应商根据采购需求及招标文件要求编制）</w:t>
      </w:r>
    </w:p>
    <w:p w14:paraId="34AE4BB2">
      <w:pPr>
        <w:spacing w:line="360" w:lineRule="auto"/>
        <w:jc w:val="center"/>
        <w:rPr>
          <w:rFonts w:cs="仿宋_GB2312" w:asciiTheme="minorEastAsia" w:hAnsiTheme="minorEastAsia" w:eastAsiaTheme="minorEastAsia"/>
          <w:color w:val="auto"/>
          <w:sz w:val="24"/>
          <w:highlight w:val="none"/>
        </w:rPr>
      </w:pPr>
    </w:p>
    <w:p w14:paraId="48FBB12E">
      <w:pPr>
        <w:autoSpaceDE w:val="0"/>
        <w:autoSpaceDN w:val="0"/>
        <w:spacing w:line="360" w:lineRule="auto"/>
        <w:rPr>
          <w:rFonts w:cs="仿宋_GB2312" w:asciiTheme="minorEastAsia" w:hAnsiTheme="minorEastAsia" w:eastAsiaTheme="minorEastAsia"/>
          <w:color w:val="auto"/>
          <w:kern w:val="0"/>
          <w:sz w:val="24"/>
          <w:highlight w:val="none"/>
        </w:rPr>
      </w:pPr>
    </w:p>
    <w:p w14:paraId="1B200A69">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投标人名称（公章）：</w:t>
      </w:r>
      <w:r>
        <w:rPr>
          <w:rFonts w:hint="eastAsia" w:cs="仿宋_GB2312" w:asciiTheme="minorEastAsia" w:hAnsiTheme="minorEastAsia" w:eastAsiaTheme="minorEastAsia"/>
          <w:color w:val="auto"/>
          <w:kern w:val="0"/>
          <w:sz w:val="24"/>
          <w:highlight w:val="none"/>
        </w:rPr>
        <w:t xml:space="preserve">                       </w:t>
      </w:r>
    </w:p>
    <w:p w14:paraId="093FB0D2">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04029F27">
      <w:pPr>
        <w:spacing w:line="360" w:lineRule="auto"/>
        <w:jc w:val="center"/>
        <w:rPr>
          <w:rFonts w:ascii="宋体" w:hAnsi="宋体" w:cs="宋体"/>
          <w:b/>
          <w:bCs/>
          <w:color w:val="auto"/>
          <w:sz w:val="24"/>
          <w:highlight w:val="none"/>
        </w:rPr>
      </w:pPr>
    </w:p>
    <w:p w14:paraId="39B0E483">
      <w:pPr>
        <w:spacing w:line="360" w:lineRule="auto"/>
        <w:jc w:val="center"/>
        <w:rPr>
          <w:rFonts w:ascii="宋体" w:hAnsi="宋体" w:cs="宋体"/>
          <w:b/>
          <w:bCs/>
          <w:color w:val="auto"/>
          <w:sz w:val="24"/>
          <w:highlight w:val="none"/>
        </w:rPr>
        <w:sectPr>
          <w:headerReference r:id="rId21" w:type="first"/>
          <w:footerReference r:id="rId23" w:type="first"/>
          <w:headerReference r:id="rId20" w:type="default"/>
          <w:footerReference r:id="rId22" w:type="default"/>
          <w:pgSz w:w="11906" w:h="16838"/>
          <w:pgMar w:top="1276" w:right="1418" w:bottom="1247" w:left="1418" w:header="851" w:footer="992" w:gutter="0"/>
          <w:cols w:space="720" w:num="1"/>
          <w:titlePg/>
          <w:docGrid w:linePitch="312" w:charSpace="0"/>
        </w:sectPr>
      </w:pPr>
    </w:p>
    <w:p w14:paraId="681A0B84">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5F2DB306">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7F0ED683">
      <w:pPr>
        <w:spacing w:line="360" w:lineRule="auto"/>
        <w:jc w:val="center"/>
        <w:rPr>
          <w:rFonts w:ascii="宋体" w:hAnsi="宋体" w:cs="宋体"/>
          <w:b/>
          <w:color w:val="auto"/>
          <w:kern w:val="0"/>
          <w:sz w:val="36"/>
          <w:szCs w:val="36"/>
          <w:highlight w:val="none"/>
        </w:rPr>
      </w:pPr>
    </w:p>
    <w:p w14:paraId="111DFBE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（1）开标一览表（报价表）………………………………………………………（页码）</w:t>
      </w:r>
    </w:p>
    <w:p w14:paraId="1CDE99A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（2）中小企业声明函………………………………………………………………（页码）</w:t>
      </w:r>
    </w:p>
    <w:p w14:paraId="410702E1">
      <w:pPr>
        <w:snapToGrid w:val="0"/>
        <w:spacing w:line="360" w:lineRule="auto"/>
        <w:rPr>
          <w:rFonts w:ascii="宋体" w:hAnsi="宋体" w:cs="宋体"/>
          <w:color w:val="auto"/>
          <w:sz w:val="24"/>
          <w:highlight w:val="none"/>
        </w:rPr>
      </w:pPr>
      <w:bookmarkStart w:id="411" w:name="OLE_LINK11"/>
      <w:bookmarkStart w:id="412" w:name="OLE_LINK12"/>
      <w:r>
        <w:rPr>
          <w:rFonts w:hint="eastAsia" w:ascii="宋体" w:hAnsi="宋体" w:cs="宋体"/>
          <w:color w:val="auto"/>
          <w:sz w:val="24"/>
          <w:highlight w:val="none"/>
        </w:rPr>
        <w:t>（3）关于符合本国产品标准的声明函……………………………………………（页码）</w:t>
      </w:r>
      <w:bookmarkEnd w:id="411"/>
      <w:bookmarkEnd w:id="412"/>
    </w:p>
    <w:p w14:paraId="460EBA78">
      <w:pPr>
        <w:snapToGrid w:val="0"/>
        <w:spacing w:line="360" w:lineRule="auto"/>
        <w:ind w:right="480"/>
        <w:jc w:val="center"/>
        <w:rPr>
          <w:rFonts w:ascii="宋体" w:hAnsi="宋体" w:cs="宋体"/>
          <w:b/>
          <w:color w:val="auto"/>
          <w:kern w:val="0"/>
          <w:sz w:val="32"/>
          <w:szCs w:val="32"/>
          <w:highlight w:val="none"/>
        </w:rPr>
      </w:pPr>
    </w:p>
    <w:p w14:paraId="007C8541">
      <w:pPr>
        <w:snapToGrid w:val="0"/>
        <w:spacing w:line="360" w:lineRule="auto"/>
        <w:ind w:right="480"/>
        <w:jc w:val="center"/>
        <w:rPr>
          <w:rFonts w:ascii="宋体" w:hAnsi="宋体" w:cs="宋体"/>
          <w:b/>
          <w:color w:val="auto"/>
          <w:kern w:val="0"/>
          <w:sz w:val="32"/>
          <w:szCs w:val="32"/>
          <w:highlight w:val="none"/>
        </w:rPr>
      </w:pPr>
    </w:p>
    <w:p w14:paraId="30A59E4A">
      <w:pPr>
        <w:snapToGrid w:val="0"/>
        <w:spacing w:line="360" w:lineRule="auto"/>
        <w:ind w:right="480"/>
        <w:jc w:val="center"/>
        <w:rPr>
          <w:rFonts w:ascii="宋体" w:hAnsi="宋体" w:cs="宋体"/>
          <w:b/>
          <w:color w:val="auto"/>
          <w:kern w:val="0"/>
          <w:sz w:val="32"/>
          <w:szCs w:val="32"/>
          <w:highlight w:val="none"/>
        </w:rPr>
      </w:pPr>
    </w:p>
    <w:p w14:paraId="0A2F6F0F">
      <w:pPr>
        <w:snapToGrid w:val="0"/>
        <w:spacing w:line="360" w:lineRule="auto"/>
        <w:ind w:right="480"/>
        <w:jc w:val="center"/>
        <w:rPr>
          <w:rFonts w:ascii="宋体" w:hAnsi="宋体" w:cs="宋体"/>
          <w:b/>
          <w:color w:val="auto"/>
          <w:kern w:val="0"/>
          <w:sz w:val="32"/>
          <w:szCs w:val="32"/>
          <w:highlight w:val="none"/>
        </w:rPr>
      </w:pPr>
    </w:p>
    <w:p w14:paraId="5441CA94">
      <w:pPr>
        <w:snapToGrid w:val="0"/>
        <w:spacing w:line="360" w:lineRule="auto"/>
        <w:ind w:right="480"/>
        <w:jc w:val="center"/>
        <w:rPr>
          <w:rFonts w:ascii="宋体" w:hAnsi="宋体" w:cs="宋体"/>
          <w:b/>
          <w:color w:val="auto"/>
          <w:kern w:val="0"/>
          <w:sz w:val="32"/>
          <w:szCs w:val="32"/>
          <w:highlight w:val="none"/>
        </w:rPr>
      </w:pPr>
    </w:p>
    <w:p w14:paraId="742EB319">
      <w:pPr>
        <w:snapToGrid w:val="0"/>
        <w:spacing w:line="360" w:lineRule="auto"/>
        <w:ind w:right="480"/>
        <w:jc w:val="center"/>
        <w:rPr>
          <w:rFonts w:ascii="宋体" w:hAnsi="宋体" w:cs="宋体"/>
          <w:b/>
          <w:color w:val="auto"/>
          <w:kern w:val="0"/>
          <w:sz w:val="32"/>
          <w:szCs w:val="32"/>
          <w:highlight w:val="none"/>
        </w:rPr>
      </w:pPr>
    </w:p>
    <w:p w14:paraId="76F28423">
      <w:pPr>
        <w:snapToGrid w:val="0"/>
        <w:spacing w:line="360" w:lineRule="auto"/>
        <w:ind w:right="480"/>
        <w:jc w:val="center"/>
        <w:rPr>
          <w:rFonts w:ascii="宋体" w:hAnsi="宋体" w:cs="宋体"/>
          <w:b/>
          <w:color w:val="auto"/>
          <w:kern w:val="0"/>
          <w:sz w:val="32"/>
          <w:szCs w:val="32"/>
          <w:highlight w:val="none"/>
        </w:rPr>
      </w:pPr>
    </w:p>
    <w:p w14:paraId="5410673A">
      <w:pPr>
        <w:snapToGrid w:val="0"/>
        <w:spacing w:line="360" w:lineRule="auto"/>
        <w:ind w:right="480"/>
        <w:jc w:val="center"/>
        <w:rPr>
          <w:rFonts w:ascii="宋体" w:hAnsi="宋体" w:cs="宋体"/>
          <w:b/>
          <w:color w:val="auto"/>
          <w:kern w:val="0"/>
          <w:sz w:val="32"/>
          <w:szCs w:val="32"/>
          <w:highlight w:val="none"/>
        </w:rPr>
      </w:pPr>
    </w:p>
    <w:p w14:paraId="219F32A5">
      <w:pPr>
        <w:snapToGrid w:val="0"/>
        <w:spacing w:line="360" w:lineRule="auto"/>
        <w:ind w:right="480"/>
        <w:jc w:val="center"/>
        <w:rPr>
          <w:rFonts w:ascii="宋体" w:hAnsi="宋体" w:cs="宋体"/>
          <w:b/>
          <w:color w:val="auto"/>
          <w:kern w:val="0"/>
          <w:sz w:val="32"/>
          <w:szCs w:val="32"/>
          <w:highlight w:val="none"/>
        </w:rPr>
      </w:pPr>
    </w:p>
    <w:p w14:paraId="68160418">
      <w:pPr>
        <w:snapToGrid w:val="0"/>
        <w:spacing w:line="360" w:lineRule="auto"/>
        <w:ind w:right="480"/>
        <w:jc w:val="center"/>
        <w:rPr>
          <w:rFonts w:ascii="宋体" w:hAnsi="宋体" w:cs="宋体"/>
          <w:b/>
          <w:color w:val="auto"/>
          <w:kern w:val="0"/>
          <w:sz w:val="32"/>
          <w:szCs w:val="32"/>
          <w:highlight w:val="none"/>
        </w:rPr>
      </w:pPr>
    </w:p>
    <w:p w14:paraId="27382DF4">
      <w:pPr>
        <w:snapToGrid w:val="0"/>
        <w:spacing w:line="360" w:lineRule="auto"/>
        <w:ind w:right="480"/>
        <w:jc w:val="center"/>
        <w:rPr>
          <w:rFonts w:ascii="宋体" w:hAnsi="宋体" w:cs="宋体"/>
          <w:b/>
          <w:color w:val="auto"/>
          <w:kern w:val="0"/>
          <w:sz w:val="32"/>
          <w:szCs w:val="32"/>
          <w:highlight w:val="none"/>
        </w:rPr>
      </w:pPr>
    </w:p>
    <w:p w14:paraId="75EE1329">
      <w:pPr>
        <w:snapToGrid w:val="0"/>
        <w:spacing w:line="360" w:lineRule="auto"/>
        <w:ind w:right="480"/>
        <w:jc w:val="center"/>
        <w:rPr>
          <w:rFonts w:ascii="宋体" w:hAnsi="宋体" w:cs="宋体"/>
          <w:b/>
          <w:color w:val="auto"/>
          <w:kern w:val="0"/>
          <w:sz w:val="32"/>
          <w:szCs w:val="32"/>
          <w:highlight w:val="none"/>
        </w:rPr>
      </w:pPr>
    </w:p>
    <w:p w14:paraId="4CDB0DE9">
      <w:pPr>
        <w:snapToGrid w:val="0"/>
        <w:spacing w:line="360" w:lineRule="auto"/>
        <w:ind w:right="480"/>
        <w:jc w:val="center"/>
        <w:rPr>
          <w:rFonts w:ascii="宋体" w:hAnsi="宋体" w:cs="宋体"/>
          <w:b/>
          <w:color w:val="auto"/>
          <w:kern w:val="0"/>
          <w:sz w:val="32"/>
          <w:szCs w:val="32"/>
          <w:highlight w:val="none"/>
        </w:rPr>
      </w:pPr>
    </w:p>
    <w:p w14:paraId="1D7ED75F">
      <w:pPr>
        <w:snapToGrid w:val="0"/>
        <w:spacing w:line="360" w:lineRule="auto"/>
        <w:ind w:right="480"/>
        <w:jc w:val="center"/>
        <w:rPr>
          <w:rFonts w:ascii="宋体" w:hAnsi="宋体" w:cs="宋体"/>
          <w:b/>
          <w:color w:val="auto"/>
          <w:kern w:val="0"/>
          <w:sz w:val="32"/>
          <w:szCs w:val="32"/>
          <w:highlight w:val="none"/>
        </w:rPr>
      </w:pPr>
    </w:p>
    <w:p w14:paraId="77806643">
      <w:pPr>
        <w:snapToGrid w:val="0"/>
        <w:spacing w:line="360" w:lineRule="auto"/>
        <w:ind w:right="480"/>
        <w:jc w:val="center"/>
        <w:rPr>
          <w:rFonts w:ascii="宋体" w:hAnsi="宋体" w:cs="宋体"/>
          <w:b/>
          <w:color w:val="auto"/>
          <w:kern w:val="0"/>
          <w:sz w:val="32"/>
          <w:szCs w:val="32"/>
          <w:highlight w:val="none"/>
        </w:rPr>
      </w:pPr>
    </w:p>
    <w:p w14:paraId="2BF40F9B">
      <w:pPr>
        <w:pStyle w:val="691"/>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25" w:type="first"/>
          <w:footerReference r:id="rId27" w:type="first"/>
          <w:headerReference r:id="rId24" w:type="default"/>
          <w:footerReference r:id="rId26" w:type="default"/>
          <w:pgSz w:w="11906" w:h="16838"/>
          <w:pgMar w:top="1276" w:right="1418" w:bottom="1247" w:left="1418" w:header="851" w:footer="992" w:gutter="0"/>
          <w:cols w:space="720" w:num="1"/>
          <w:titlePg/>
          <w:docGrid w:linePitch="312" w:charSpace="0"/>
        </w:sectPr>
      </w:pPr>
    </w:p>
    <w:p w14:paraId="2C75AEC5">
      <w:pPr>
        <w:pStyle w:val="83"/>
        <w:jc w:val="center"/>
        <w:rPr>
          <w:b/>
          <w:color w:val="auto"/>
          <w:sz w:val="32"/>
          <w:szCs w:val="32"/>
          <w:highlight w:val="none"/>
        </w:rPr>
      </w:pPr>
      <w:r>
        <w:rPr>
          <w:rFonts w:hint="eastAsia"/>
          <w:b/>
          <w:color w:val="auto"/>
          <w:sz w:val="32"/>
          <w:szCs w:val="32"/>
          <w:highlight w:val="none"/>
        </w:rPr>
        <w:t>一、开标一览表（报价表）</w:t>
      </w:r>
    </w:p>
    <w:p w14:paraId="03715A3C">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1C212EAF">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u w:val="single"/>
        </w:rPr>
        <w:t>（项目名称）</w:t>
      </w:r>
      <w:r>
        <w:rPr>
          <w:rFonts w:hint="eastAsia" w:ascii="宋体" w:hAnsi="宋体" w:cs="宋体"/>
          <w:color w:val="auto"/>
          <w:kern w:val="0"/>
          <w:sz w:val="24"/>
          <w:highlight w:val="none"/>
          <w:u w:val="single"/>
          <w:lang w:val="zh-CN"/>
        </w:rPr>
        <w:t>【招标编号：</w:t>
      </w:r>
      <w:r>
        <w:rPr>
          <w:rFonts w:hint="eastAsia" w:ascii="宋体" w:hAnsi="宋体" w:cs="宋体"/>
          <w:color w:val="auto"/>
          <w:sz w:val="24"/>
          <w:highlight w:val="none"/>
          <w:u w:val="single"/>
        </w:rPr>
        <w:t>（采购编号）】</w:t>
      </w:r>
      <w:r>
        <w:rPr>
          <w:rFonts w:hint="eastAsia" w:ascii="宋体" w:hAnsi="宋体" w:cs="宋体"/>
          <w:color w:val="auto"/>
          <w:sz w:val="24"/>
          <w:highlight w:val="none"/>
        </w:rPr>
        <w:t>的实施</w:t>
      </w:r>
      <w:r>
        <w:rPr>
          <w:rFonts w:hint="eastAsia" w:ascii="宋体" w:hAnsi="宋体" w:cs="宋体"/>
          <w:color w:val="auto"/>
          <w:kern w:val="0"/>
          <w:sz w:val="24"/>
          <w:highlight w:val="none"/>
          <w:lang w:val="zh-CN"/>
        </w:rPr>
        <w:t>。</w:t>
      </w:r>
    </w:p>
    <w:p w14:paraId="58EDD23B">
      <w:pPr>
        <w:spacing w:line="360" w:lineRule="auto"/>
        <w:jc w:val="center"/>
        <w:rPr>
          <w:rFonts w:hint="eastAsia"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p w14:paraId="284868E5">
      <w:pPr>
        <w:pStyle w:val="2"/>
        <w:ind w:firstLine="5705" w:firstLineChars="2368"/>
        <w:jc w:val="both"/>
        <w:rPr>
          <w:rFonts w:hint="default" w:eastAsia="宋体"/>
          <w:highlight w:val="none"/>
          <w:u w:val="single"/>
          <w:lang w:val="en-US" w:eastAsia="zh-CN"/>
        </w:rPr>
      </w:pPr>
      <w:r>
        <w:rPr>
          <w:rFonts w:hint="eastAsia" w:hAnsi="宋体" w:cs="宋体"/>
          <w:b/>
          <w:color w:val="auto"/>
          <w:kern w:val="0"/>
          <w:sz w:val="24"/>
          <w:highlight w:val="none"/>
          <w:lang w:val="zh-CN"/>
        </w:rPr>
        <w:t>标项号：</w:t>
      </w:r>
      <w:r>
        <w:rPr>
          <w:rFonts w:hint="eastAsia" w:hAnsi="宋体" w:cs="宋体"/>
          <w:b/>
          <w:color w:val="auto"/>
          <w:kern w:val="0"/>
          <w:sz w:val="24"/>
          <w:highlight w:val="none"/>
          <w:u w:val="single"/>
          <w:lang w:val="en-US" w:eastAsia="zh-CN"/>
        </w:rPr>
        <w:t xml:space="preserve">         </w:t>
      </w:r>
      <w:r>
        <w:rPr>
          <w:rFonts w:hint="eastAsia" w:hAnsi="宋体" w:cs="宋体"/>
          <w:b/>
          <w:color w:val="auto"/>
          <w:kern w:val="0"/>
          <w:sz w:val="24"/>
          <w:highlight w:val="none"/>
          <w:lang w:val="en-US" w:eastAsia="zh-CN"/>
        </w:rPr>
        <w:t xml:space="preserve">  </w:t>
      </w:r>
    </w:p>
    <w:tbl>
      <w:tblPr>
        <w:tblStyle w:val="63"/>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4384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0F3E6C6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992" w:type="dxa"/>
            <w:vAlign w:val="center"/>
          </w:tcPr>
          <w:p w14:paraId="375E9CF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2268" w:type="dxa"/>
          </w:tcPr>
          <w:p w14:paraId="24729058">
            <w:pPr>
              <w:spacing w:line="360" w:lineRule="auto"/>
              <w:jc w:val="center"/>
              <w:rPr>
                <w:rFonts w:ascii="宋体" w:hAnsi="宋体" w:cs="宋体"/>
                <w:b/>
                <w:color w:val="auto"/>
                <w:sz w:val="24"/>
                <w:highlight w:val="none"/>
              </w:rPr>
            </w:pPr>
          </w:p>
          <w:p w14:paraId="2750051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2410" w:type="dxa"/>
            <w:vAlign w:val="center"/>
          </w:tcPr>
          <w:p w14:paraId="481E6E9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2268" w:type="dxa"/>
            <w:vAlign w:val="center"/>
          </w:tcPr>
          <w:p w14:paraId="6E84DDF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2126" w:type="dxa"/>
            <w:vAlign w:val="center"/>
          </w:tcPr>
          <w:p w14:paraId="0AE6B77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2127" w:type="dxa"/>
          </w:tcPr>
          <w:p w14:paraId="377FB9C9">
            <w:pPr>
              <w:spacing w:line="360" w:lineRule="auto"/>
              <w:jc w:val="center"/>
              <w:rPr>
                <w:rFonts w:ascii="宋体" w:hAnsi="宋体" w:cs="宋体"/>
                <w:b/>
                <w:color w:val="auto"/>
                <w:sz w:val="24"/>
                <w:highlight w:val="none"/>
              </w:rPr>
            </w:pPr>
          </w:p>
          <w:p w14:paraId="54F1E1C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服务人数</w:t>
            </w:r>
          </w:p>
        </w:tc>
        <w:tc>
          <w:tcPr>
            <w:tcW w:w="2126" w:type="dxa"/>
            <w:vAlign w:val="center"/>
          </w:tcPr>
          <w:p w14:paraId="3C541C79">
            <w:pPr>
              <w:spacing w:line="360" w:lineRule="auto"/>
              <w:jc w:val="center"/>
              <w:rPr>
                <w:rFonts w:ascii="宋体" w:hAnsi="宋体" w:cs="宋体"/>
                <w:b/>
                <w:color w:val="auto"/>
                <w:sz w:val="24"/>
                <w:highlight w:val="none"/>
              </w:rPr>
            </w:pPr>
          </w:p>
          <w:p w14:paraId="28E9487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545B0951">
            <w:pPr>
              <w:spacing w:line="360" w:lineRule="auto"/>
              <w:jc w:val="center"/>
              <w:rPr>
                <w:rFonts w:ascii="宋体" w:hAnsi="宋体" w:cs="宋体"/>
                <w:b/>
                <w:color w:val="auto"/>
                <w:sz w:val="24"/>
                <w:highlight w:val="none"/>
              </w:rPr>
            </w:pPr>
          </w:p>
        </w:tc>
      </w:tr>
      <w:tr w14:paraId="0305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6BBBCB7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992" w:type="dxa"/>
            <w:vAlign w:val="center"/>
          </w:tcPr>
          <w:p w14:paraId="4B6C109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2268" w:type="dxa"/>
            <w:vAlign w:val="center"/>
          </w:tcPr>
          <w:p w14:paraId="73A7264B">
            <w:pPr>
              <w:snapToGrid w:val="0"/>
              <w:spacing w:line="360" w:lineRule="auto"/>
              <w:jc w:val="center"/>
              <w:rPr>
                <w:rFonts w:ascii="宋体" w:hAnsi="宋体" w:cs="宋体"/>
                <w:color w:val="auto"/>
                <w:sz w:val="24"/>
                <w:highlight w:val="none"/>
              </w:rPr>
            </w:pPr>
          </w:p>
        </w:tc>
        <w:tc>
          <w:tcPr>
            <w:tcW w:w="2410" w:type="dxa"/>
            <w:vAlign w:val="center"/>
          </w:tcPr>
          <w:p w14:paraId="3FC7A0C2">
            <w:pPr>
              <w:snapToGrid w:val="0"/>
              <w:spacing w:line="360" w:lineRule="auto"/>
              <w:jc w:val="center"/>
              <w:rPr>
                <w:rFonts w:ascii="宋体" w:hAnsi="宋体" w:cs="宋体"/>
                <w:color w:val="auto"/>
                <w:sz w:val="24"/>
                <w:highlight w:val="none"/>
              </w:rPr>
            </w:pPr>
          </w:p>
        </w:tc>
        <w:tc>
          <w:tcPr>
            <w:tcW w:w="2268" w:type="dxa"/>
            <w:vAlign w:val="center"/>
          </w:tcPr>
          <w:p w14:paraId="740AB95C">
            <w:pPr>
              <w:snapToGrid w:val="0"/>
              <w:spacing w:line="360" w:lineRule="auto"/>
              <w:jc w:val="center"/>
              <w:rPr>
                <w:rFonts w:ascii="宋体" w:hAnsi="宋体" w:cs="宋体"/>
                <w:color w:val="auto"/>
                <w:sz w:val="24"/>
                <w:highlight w:val="none"/>
              </w:rPr>
            </w:pPr>
          </w:p>
        </w:tc>
        <w:tc>
          <w:tcPr>
            <w:tcW w:w="2126" w:type="dxa"/>
            <w:vAlign w:val="center"/>
          </w:tcPr>
          <w:p w14:paraId="34D2BB9F">
            <w:pPr>
              <w:spacing w:line="360" w:lineRule="auto"/>
              <w:jc w:val="center"/>
              <w:rPr>
                <w:rFonts w:ascii="宋体" w:hAnsi="宋体" w:cs="宋体"/>
                <w:color w:val="auto"/>
                <w:sz w:val="24"/>
                <w:highlight w:val="none"/>
              </w:rPr>
            </w:pPr>
          </w:p>
        </w:tc>
        <w:tc>
          <w:tcPr>
            <w:tcW w:w="2127" w:type="dxa"/>
          </w:tcPr>
          <w:p w14:paraId="34E7B4BF">
            <w:pPr>
              <w:spacing w:line="360" w:lineRule="auto"/>
              <w:jc w:val="center"/>
              <w:rPr>
                <w:rFonts w:ascii="宋体" w:hAnsi="宋体" w:cs="宋体"/>
                <w:color w:val="auto"/>
                <w:sz w:val="24"/>
                <w:highlight w:val="none"/>
              </w:rPr>
            </w:pPr>
          </w:p>
        </w:tc>
        <w:tc>
          <w:tcPr>
            <w:tcW w:w="2126" w:type="dxa"/>
            <w:vAlign w:val="center"/>
          </w:tcPr>
          <w:p w14:paraId="07679607">
            <w:pPr>
              <w:spacing w:line="360" w:lineRule="auto"/>
              <w:jc w:val="center"/>
              <w:rPr>
                <w:rFonts w:ascii="宋体" w:hAnsi="宋体" w:cs="宋体"/>
                <w:color w:val="auto"/>
                <w:sz w:val="24"/>
                <w:highlight w:val="none"/>
              </w:rPr>
            </w:pPr>
          </w:p>
        </w:tc>
      </w:tr>
      <w:tr w14:paraId="129CD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7730066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992" w:type="dxa"/>
            <w:vAlign w:val="center"/>
          </w:tcPr>
          <w:p w14:paraId="396D783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2268" w:type="dxa"/>
            <w:vAlign w:val="center"/>
          </w:tcPr>
          <w:p w14:paraId="17119670">
            <w:pPr>
              <w:snapToGrid w:val="0"/>
              <w:spacing w:line="360" w:lineRule="auto"/>
              <w:jc w:val="center"/>
              <w:rPr>
                <w:rFonts w:ascii="宋体" w:hAnsi="宋体" w:cs="宋体"/>
                <w:color w:val="auto"/>
                <w:sz w:val="24"/>
                <w:highlight w:val="none"/>
              </w:rPr>
            </w:pPr>
          </w:p>
        </w:tc>
        <w:tc>
          <w:tcPr>
            <w:tcW w:w="2410" w:type="dxa"/>
            <w:vAlign w:val="center"/>
          </w:tcPr>
          <w:p w14:paraId="39CF7854">
            <w:pPr>
              <w:snapToGrid w:val="0"/>
              <w:spacing w:line="360" w:lineRule="auto"/>
              <w:jc w:val="center"/>
              <w:rPr>
                <w:rFonts w:ascii="宋体" w:hAnsi="宋体" w:cs="宋体"/>
                <w:color w:val="auto"/>
                <w:sz w:val="24"/>
                <w:highlight w:val="none"/>
              </w:rPr>
            </w:pPr>
          </w:p>
        </w:tc>
        <w:tc>
          <w:tcPr>
            <w:tcW w:w="2268" w:type="dxa"/>
            <w:vAlign w:val="center"/>
          </w:tcPr>
          <w:p w14:paraId="456BB4DB">
            <w:pPr>
              <w:snapToGrid w:val="0"/>
              <w:spacing w:line="360" w:lineRule="auto"/>
              <w:jc w:val="center"/>
              <w:rPr>
                <w:rFonts w:ascii="宋体" w:hAnsi="宋体" w:cs="宋体"/>
                <w:color w:val="auto"/>
                <w:sz w:val="24"/>
                <w:highlight w:val="none"/>
              </w:rPr>
            </w:pPr>
          </w:p>
        </w:tc>
        <w:tc>
          <w:tcPr>
            <w:tcW w:w="2126" w:type="dxa"/>
            <w:vAlign w:val="center"/>
          </w:tcPr>
          <w:p w14:paraId="7F6010FB">
            <w:pPr>
              <w:spacing w:line="360" w:lineRule="auto"/>
              <w:jc w:val="center"/>
              <w:rPr>
                <w:rFonts w:ascii="宋体" w:hAnsi="宋体" w:cs="宋体"/>
                <w:color w:val="auto"/>
                <w:sz w:val="24"/>
                <w:highlight w:val="none"/>
              </w:rPr>
            </w:pPr>
          </w:p>
        </w:tc>
        <w:tc>
          <w:tcPr>
            <w:tcW w:w="2127" w:type="dxa"/>
          </w:tcPr>
          <w:p w14:paraId="319CA587">
            <w:pPr>
              <w:spacing w:line="360" w:lineRule="auto"/>
              <w:jc w:val="center"/>
              <w:rPr>
                <w:rFonts w:ascii="宋体" w:hAnsi="宋体" w:cs="宋体"/>
                <w:color w:val="auto"/>
                <w:sz w:val="24"/>
                <w:highlight w:val="none"/>
              </w:rPr>
            </w:pPr>
          </w:p>
        </w:tc>
        <w:tc>
          <w:tcPr>
            <w:tcW w:w="2126" w:type="dxa"/>
            <w:vAlign w:val="center"/>
          </w:tcPr>
          <w:p w14:paraId="09E981E1">
            <w:pPr>
              <w:spacing w:line="360" w:lineRule="auto"/>
              <w:jc w:val="center"/>
              <w:rPr>
                <w:rFonts w:ascii="宋体" w:hAnsi="宋体" w:cs="宋体"/>
                <w:color w:val="auto"/>
                <w:sz w:val="24"/>
                <w:highlight w:val="none"/>
              </w:rPr>
            </w:pPr>
          </w:p>
        </w:tc>
      </w:tr>
      <w:tr w14:paraId="4AAF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4888386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992" w:type="dxa"/>
            <w:vAlign w:val="center"/>
          </w:tcPr>
          <w:p w14:paraId="3E116052">
            <w:pPr>
              <w:snapToGrid w:val="0"/>
              <w:spacing w:line="360" w:lineRule="auto"/>
              <w:jc w:val="center"/>
              <w:rPr>
                <w:rFonts w:ascii="宋体" w:hAnsi="宋体" w:cs="宋体"/>
                <w:color w:val="auto"/>
                <w:sz w:val="24"/>
                <w:highlight w:val="none"/>
              </w:rPr>
            </w:pPr>
          </w:p>
        </w:tc>
        <w:tc>
          <w:tcPr>
            <w:tcW w:w="2268" w:type="dxa"/>
            <w:vAlign w:val="center"/>
          </w:tcPr>
          <w:p w14:paraId="683D7766">
            <w:pPr>
              <w:snapToGrid w:val="0"/>
              <w:spacing w:line="360" w:lineRule="auto"/>
              <w:jc w:val="center"/>
              <w:rPr>
                <w:rFonts w:ascii="宋体" w:hAnsi="宋体" w:cs="宋体"/>
                <w:color w:val="auto"/>
                <w:sz w:val="24"/>
                <w:highlight w:val="none"/>
              </w:rPr>
            </w:pPr>
          </w:p>
        </w:tc>
        <w:tc>
          <w:tcPr>
            <w:tcW w:w="2410" w:type="dxa"/>
            <w:vAlign w:val="center"/>
          </w:tcPr>
          <w:p w14:paraId="10D051DA">
            <w:pPr>
              <w:snapToGrid w:val="0"/>
              <w:spacing w:line="360" w:lineRule="auto"/>
              <w:jc w:val="center"/>
              <w:rPr>
                <w:rFonts w:ascii="宋体" w:hAnsi="宋体" w:cs="宋体"/>
                <w:color w:val="auto"/>
                <w:sz w:val="24"/>
                <w:highlight w:val="none"/>
              </w:rPr>
            </w:pPr>
          </w:p>
        </w:tc>
        <w:tc>
          <w:tcPr>
            <w:tcW w:w="2268" w:type="dxa"/>
            <w:vAlign w:val="center"/>
          </w:tcPr>
          <w:p w14:paraId="5B220C37">
            <w:pPr>
              <w:snapToGrid w:val="0"/>
              <w:spacing w:line="360" w:lineRule="auto"/>
              <w:jc w:val="center"/>
              <w:rPr>
                <w:rFonts w:ascii="宋体" w:hAnsi="宋体" w:cs="宋体"/>
                <w:color w:val="auto"/>
                <w:sz w:val="24"/>
                <w:highlight w:val="none"/>
              </w:rPr>
            </w:pPr>
          </w:p>
        </w:tc>
        <w:tc>
          <w:tcPr>
            <w:tcW w:w="2126" w:type="dxa"/>
            <w:vAlign w:val="center"/>
          </w:tcPr>
          <w:p w14:paraId="3FFA2507">
            <w:pPr>
              <w:spacing w:line="360" w:lineRule="auto"/>
              <w:jc w:val="center"/>
              <w:rPr>
                <w:rFonts w:ascii="宋体" w:hAnsi="宋体" w:cs="宋体"/>
                <w:color w:val="auto"/>
                <w:sz w:val="24"/>
                <w:highlight w:val="none"/>
              </w:rPr>
            </w:pPr>
          </w:p>
        </w:tc>
        <w:tc>
          <w:tcPr>
            <w:tcW w:w="2127" w:type="dxa"/>
          </w:tcPr>
          <w:p w14:paraId="754C9BF0">
            <w:pPr>
              <w:spacing w:line="360" w:lineRule="auto"/>
              <w:jc w:val="center"/>
              <w:rPr>
                <w:rFonts w:ascii="宋体" w:hAnsi="宋体" w:cs="宋体"/>
                <w:color w:val="auto"/>
                <w:sz w:val="24"/>
                <w:highlight w:val="none"/>
              </w:rPr>
            </w:pPr>
          </w:p>
        </w:tc>
        <w:tc>
          <w:tcPr>
            <w:tcW w:w="2126" w:type="dxa"/>
            <w:vAlign w:val="center"/>
          </w:tcPr>
          <w:p w14:paraId="3C6DBED4">
            <w:pPr>
              <w:spacing w:line="360" w:lineRule="auto"/>
              <w:jc w:val="center"/>
              <w:rPr>
                <w:rFonts w:ascii="宋体" w:hAnsi="宋体" w:cs="宋体"/>
                <w:color w:val="auto"/>
                <w:sz w:val="24"/>
                <w:highlight w:val="none"/>
              </w:rPr>
            </w:pPr>
          </w:p>
        </w:tc>
      </w:tr>
      <w:tr w14:paraId="7A961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24528403">
            <w:pPr>
              <w:spacing w:line="360" w:lineRule="auto"/>
              <w:jc w:val="center"/>
              <w:rPr>
                <w:rFonts w:ascii="宋体" w:hAnsi="宋体" w:cs="宋体"/>
                <w:color w:val="auto"/>
                <w:sz w:val="24"/>
                <w:highlight w:val="none"/>
              </w:rPr>
            </w:pPr>
          </w:p>
        </w:tc>
        <w:tc>
          <w:tcPr>
            <w:tcW w:w="992" w:type="dxa"/>
            <w:vAlign w:val="center"/>
          </w:tcPr>
          <w:p w14:paraId="11D78D39">
            <w:pPr>
              <w:snapToGrid w:val="0"/>
              <w:spacing w:line="360" w:lineRule="auto"/>
              <w:jc w:val="center"/>
              <w:rPr>
                <w:rFonts w:ascii="宋体" w:hAnsi="宋体" w:cs="宋体"/>
                <w:color w:val="auto"/>
                <w:sz w:val="24"/>
                <w:highlight w:val="none"/>
              </w:rPr>
            </w:pPr>
          </w:p>
        </w:tc>
        <w:tc>
          <w:tcPr>
            <w:tcW w:w="2268" w:type="dxa"/>
            <w:vAlign w:val="center"/>
          </w:tcPr>
          <w:p w14:paraId="312684FA">
            <w:pPr>
              <w:snapToGrid w:val="0"/>
              <w:spacing w:line="360" w:lineRule="auto"/>
              <w:jc w:val="center"/>
              <w:rPr>
                <w:rFonts w:ascii="宋体" w:hAnsi="宋体" w:cs="宋体"/>
                <w:color w:val="auto"/>
                <w:sz w:val="24"/>
                <w:highlight w:val="none"/>
              </w:rPr>
            </w:pPr>
          </w:p>
        </w:tc>
        <w:tc>
          <w:tcPr>
            <w:tcW w:w="2410" w:type="dxa"/>
            <w:vAlign w:val="center"/>
          </w:tcPr>
          <w:p w14:paraId="69A16898">
            <w:pPr>
              <w:snapToGrid w:val="0"/>
              <w:spacing w:line="360" w:lineRule="auto"/>
              <w:jc w:val="center"/>
              <w:rPr>
                <w:rFonts w:ascii="宋体" w:hAnsi="宋体" w:cs="宋体"/>
                <w:color w:val="auto"/>
                <w:sz w:val="24"/>
                <w:highlight w:val="none"/>
              </w:rPr>
            </w:pPr>
          </w:p>
        </w:tc>
        <w:tc>
          <w:tcPr>
            <w:tcW w:w="2268" w:type="dxa"/>
            <w:vAlign w:val="center"/>
          </w:tcPr>
          <w:p w14:paraId="177FD467">
            <w:pPr>
              <w:snapToGrid w:val="0"/>
              <w:spacing w:line="360" w:lineRule="auto"/>
              <w:jc w:val="center"/>
              <w:rPr>
                <w:rFonts w:ascii="宋体" w:hAnsi="宋体" w:cs="宋体"/>
                <w:color w:val="auto"/>
                <w:sz w:val="24"/>
                <w:highlight w:val="none"/>
              </w:rPr>
            </w:pPr>
          </w:p>
        </w:tc>
        <w:tc>
          <w:tcPr>
            <w:tcW w:w="2126" w:type="dxa"/>
            <w:vAlign w:val="center"/>
          </w:tcPr>
          <w:p w14:paraId="48FCCB79">
            <w:pPr>
              <w:spacing w:line="360" w:lineRule="auto"/>
              <w:jc w:val="center"/>
              <w:rPr>
                <w:rFonts w:ascii="宋体" w:hAnsi="宋体" w:cs="宋体"/>
                <w:color w:val="auto"/>
                <w:sz w:val="24"/>
                <w:highlight w:val="none"/>
              </w:rPr>
            </w:pPr>
          </w:p>
        </w:tc>
        <w:tc>
          <w:tcPr>
            <w:tcW w:w="2127" w:type="dxa"/>
          </w:tcPr>
          <w:p w14:paraId="0E22DD3C">
            <w:pPr>
              <w:spacing w:line="360" w:lineRule="auto"/>
              <w:jc w:val="center"/>
              <w:rPr>
                <w:rFonts w:ascii="宋体" w:hAnsi="宋体" w:cs="宋体"/>
                <w:color w:val="auto"/>
                <w:sz w:val="24"/>
                <w:highlight w:val="none"/>
              </w:rPr>
            </w:pPr>
          </w:p>
        </w:tc>
        <w:tc>
          <w:tcPr>
            <w:tcW w:w="2126" w:type="dxa"/>
            <w:vAlign w:val="center"/>
          </w:tcPr>
          <w:p w14:paraId="11AC50AA">
            <w:pPr>
              <w:spacing w:line="360" w:lineRule="auto"/>
              <w:jc w:val="center"/>
              <w:rPr>
                <w:rFonts w:ascii="宋体" w:hAnsi="宋体" w:cs="宋体"/>
                <w:color w:val="auto"/>
                <w:sz w:val="24"/>
                <w:highlight w:val="none"/>
              </w:rPr>
            </w:pPr>
          </w:p>
        </w:tc>
      </w:tr>
      <w:tr w14:paraId="4DED8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20F9F480">
            <w:pPr>
              <w:spacing w:line="360" w:lineRule="auto"/>
              <w:jc w:val="center"/>
              <w:rPr>
                <w:rFonts w:ascii="宋体" w:hAnsi="宋体" w:cs="宋体"/>
                <w:color w:val="auto"/>
                <w:sz w:val="24"/>
                <w:highlight w:val="none"/>
              </w:rPr>
            </w:pPr>
          </w:p>
        </w:tc>
        <w:tc>
          <w:tcPr>
            <w:tcW w:w="992" w:type="dxa"/>
            <w:vAlign w:val="center"/>
          </w:tcPr>
          <w:p w14:paraId="45BDF88D">
            <w:pPr>
              <w:snapToGrid w:val="0"/>
              <w:spacing w:line="360" w:lineRule="auto"/>
              <w:jc w:val="center"/>
              <w:rPr>
                <w:rFonts w:ascii="宋体" w:hAnsi="宋体" w:cs="宋体"/>
                <w:color w:val="auto"/>
                <w:sz w:val="24"/>
                <w:highlight w:val="none"/>
              </w:rPr>
            </w:pPr>
          </w:p>
        </w:tc>
        <w:tc>
          <w:tcPr>
            <w:tcW w:w="2268" w:type="dxa"/>
            <w:vAlign w:val="center"/>
          </w:tcPr>
          <w:p w14:paraId="51455DC9">
            <w:pPr>
              <w:snapToGrid w:val="0"/>
              <w:spacing w:line="360" w:lineRule="auto"/>
              <w:jc w:val="center"/>
              <w:rPr>
                <w:rFonts w:ascii="宋体" w:hAnsi="宋体" w:cs="宋体"/>
                <w:color w:val="auto"/>
                <w:sz w:val="24"/>
                <w:highlight w:val="none"/>
              </w:rPr>
            </w:pPr>
          </w:p>
        </w:tc>
        <w:tc>
          <w:tcPr>
            <w:tcW w:w="2410" w:type="dxa"/>
            <w:vAlign w:val="center"/>
          </w:tcPr>
          <w:p w14:paraId="210E16E4">
            <w:pPr>
              <w:snapToGrid w:val="0"/>
              <w:spacing w:line="360" w:lineRule="auto"/>
              <w:jc w:val="center"/>
              <w:rPr>
                <w:rFonts w:ascii="宋体" w:hAnsi="宋体" w:cs="宋体"/>
                <w:color w:val="auto"/>
                <w:sz w:val="24"/>
                <w:highlight w:val="none"/>
              </w:rPr>
            </w:pPr>
          </w:p>
        </w:tc>
        <w:tc>
          <w:tcPr>
            <w:tcW w:w="2268" w:type="dxa"/>
            <w:vAlign w:val="center"/>
          </w:tcPr>
          <w:p w14:paraId="555BE332">
            <w:pPr>
              <w:snapToGrid w:val="0"/>
              <w:spacing w:line="360" w:lineRule="auto"/>
              <w:jc w:val="center"/>
              <w:rPr>
                <w:rFonts w:ascii="宋体" w:hAnsi="宋体" w:cs="宋体"/>
                <w:color w:val="auto"/>
                <w:sz w:val="24"/>
                <w:highlight w:val="none"/>
              </w:rPr>
            </w:pPr>
          </w:p>
        </w:tc>
        <w:tc>
          <w:tcPr>
            <w:tcW w:w="2126" w:type="dxa"/>
            <w:vAlign w:val="center"/>
          </w:tcPr>
          <w:p w14:paraId="4D912FE5">
            <w:pPr>
              <w:spacing w:line="360" w:lineRule="auto"/>
              <w:jc w:val="center"/>
              <w:rPr>
                <w:rFonts w:ascii="宋体" w:hAnsi="宋体" w:cs="宋体"/>
                <w:color w:val="auto"/>
                <w:sz w:val="24"/>
                <w:highlight w:val="none"/>
              </w:rPr>
            </w:pPr>
          </w:p>
        </w:tc>
        <w:tc>
          <w:tcPr>
            <w:tcW w:w="2127" w:type="dxa"/>
          </w:tcPr>
          <w:p w14:paraId="530B054C">
            <w:pPr>
              <w:spacing w:line="360" w:lineRule="auto"/>
              <w:jc w:val="center"/>
              <w:rPr>
                <w:rFonts w:ascii="宋体" w:hAnsi="宋体" w:cs="宋体"/>
                <w:color w:val="auto"/>
                <w:sz w:val="24"/>
                <w:highlight w:val="none"/>
              </w:rPr>
            </w:pPr>
          </w:p>
        </w:tc>
        <w:tc>
          <w:tcPr>
            <w:tcW w:w="2126" w:type="dxa"/>
            <w:vAlign w:val="center"/>
          </w:tcPr>
          <w:p w14:paraId="5CFA73A6">
            <w:pPr>
              <w:spacing w:line="360" w:lineRule="auto"/>
              <w:jc w:val="center"/>
              <w:rPr>
                <w:rFonts w:ascii="宋体" w:hAnsi="宋体" w:cs="宋体"/>
                <w:color w:val="auto"/>
                <w:sz w:val="24"/>
                <w:highlight w:val="none"/>
              </w:rPr>
            </w:pPr>
          </w:p>
        </w:tc>
      </w:tr>
      <w:tr w14:paraId="2B09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2AE17E1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8647" w:type="dxa"/>
            <w:gridSpan w:val="4"/>
          </w:tcPr>
          <w:p w14:paraId="18FEA0BD">
            <w:pPr>
              <w:spacing w:line="360" w:lineRule="auto"/>
              <w:jc w:val="center"/>
              <w:rPr>
                <w:rFonts w:ascii="宋体" w:hAnsi="宋体" w:cs="宋体"/>
                <w:color w:val="auto"/>
                <w:sz w:val="24"/>
                <w:highlight w:val="none"/>
              </w:rPr>
            </w:pPr>
          </w:p>
        </w:tc>
      </w:tr>
      <w:tr w14:paraId="4F70E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35921BE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8647" w:type="dxa"/>
            <w:gridSpan w:val="4"/>
          </w:tcPr>
          <w:p w14:paraId="15CDEA43">
            <w:pPr>
              <w:spacing w:line="360" w:lineRule="auto"/>
              <w:jc w:val="center"/>
              <w:rPr>
                <w:rFonts w:ascii="宋体" w:hAnsi="宋体" w:cs="宋体"/>
                <w:color w:val="auto"/>
                <w:sz w:val="24"/>
                <w:highlight w:val="none"/>
              </w:rPr>
            </w:pPr>
          </w:p>
        </w:tc>
      </w:tr>
    </w:tbl>
    <w:p w14:paraId="780A7812">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43F26D10">
      <w:pPr>
        <w:keepNext w:val="0"/>
        <w:keepLines w:val="0"/>
        <w:pageBreakBefore w:val="0"/>
        <w:widowControl w:val="0"/>
        <w:kinsoku/>
        <w:wordWrap/>
        <w:overflowPunct/>
        <w:topLinePunct w:val="0"/>
        <w:autoSpaceDE/>
        <w:autoSpaceDN/>
        <w:bidi w:val="0"/>
        <w:adjustRightInd w:val="0"/>
        <w:spacing w:line="500" w:lineRule="exact"/>
        <w:ind w:left="-2" w:leftChars="-1" w:firstLine="480" w:firstLineChars="200"/>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b/>
          <w:color w:val="auto"/>
          <w:kern w:val="0"/>
          <w:sz w:val="24"/>
          <w:highlight w:val="none"/>
          <w:lang w:val="zh-CN"/>
        </w:rPr>
        <w:t>；</w:t>
      </w:r>
      <w:r>
        <w:rPr>
          <w:rFonts w:hint="eastAsia" w:ascii="宋体" w:hAnsi="宋体" w:cs="宋体"/>
          <w:color w:val="auto"/>
          <w:kern w:val="0"/>
          <w:sz w:val="24"/>
          <w:highlight w:val="none"/>
          <w:lang w:val="zh-CN"/>
        </w:rPr>
        <w:t>。</w:t>
      </w:r>
    </w:p>
    <w:p w14:paraId="5B0BFE9C">
      <w:pPr>
        <w:keepNext w:val="0"/>
        <w:keepLines w:val="0"/>
        <w:pageBreakBefore w:val="0"/>
        <w:widowControl w:val="0"/>
        <w:kinsoku/>
        <w:wordWrap/>
        <w:overflowPunct/>
        <w:topLinePunct w:val="0"/>
        <w:autoSpaceDE/>
        <w:autoSpaceDN/>
        <w:bidi w:val="0"/>
        <w:adjustRightInd w:val="0"/>
        <w:spacing w:line="500" w:lineRule="exact"/>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采购人将以合同形式有偿取得货物或服务，不接受投标人给予的赠品、回扣或者与采购无关的其他商品、服务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7F84906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3、特别提示：采购代理机构将对项目名称和项目编号，中标供应商名称、地址和中标金额，主要中标标的名称、服务范围、服务要求、服务时间、服务标准等予以公示。</w:t>
      </w:r>
    </w:p>
    <w:p w14:paraId="17C3981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cs="宋体"/>
          <w:color w:val="auto"/>
          <w:kern w:val="0"/>
          <w:sz w:val="24"/>
          <w:highlight w:val="none"/>
          <w:lang w:val="zh-CN"/>
        </w:rPr>
      </w:pPr>
      <w:r>
        <w:rPr>
          <w:rFonts w:ascii="宋体" w:hAnsi="宋体" w:cs="宋体"/>
          <w:color w:val="auto"/>
          <w:kern w:val="0"/>
          <w:sz w:val="24"/>
          <w:szCs w:val="22"/>
          <w:highlight w:val="none"/>
          <w:lang w:val="zh-CN"/>
        </w:rPr>
        <w:t>4</w:t>
      </w:r>
      <w:r>
        <w:rPr>
          <w:rFonts w:hint="eastAsia" w:ascii="宋体" w:hAnsi="宋体" w:cs="宋体"/>
          <w:color w:val="auto"/>
          <w:kern w:val="0"/>
          <w:sz w:val="24"/>
          <w:szCs w:val="22"/>
          <w:highlight w:val="none"/>
          <w:lang w:val="zh-CN"/>
        </w:rPr>
        <w:t>、</w:t>
      </w:r>
      <w:r>
        <w:rPr>
          <w:rFonts w:hint="eastAsia" w:ascii="宋体" w:hAnsi="宋体" w:cs="宋体"/>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07BA1D4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cs="宋体"/>
          <w:color w:val="auto"/>
          <w:kern w:val="0"/>
          <w:sz w:val="24"/>
          <w:highlight w:val="none"/>
          <w:lang w:val="zh-CN"/>
        </w:rPr>
      </w:pPr>
      <w:r>
        <w:rPr>
          <w:rFonts w:hint="eastAsia" w:ascii="宋体" w:hAnsi="宋体" w:cs="宋体"/>
          <w:color w:val="auto"/>
          <w:kern w:val="0"/>
          <w:sz w:val="24"/>
          <w:szCs w:val="22"/>
          <w:highlight w:val="none"/>
          <w:lang w:val="zh-CN"/>
        </w:rPr>
        <w:t>5、</w:t>
      </w:r>
      <w:r>
        <w:rPr>
          <w:rFonts w:hint="eastAsia" w:ascii="宋体" w:hAnsi="宋体" w:cs="宋体"/>
          <w:color w:val="auto"/>
          <w:kern w:val="0"/>
          <w:sz w:val="24"/>
          <w:highlight w:val="none"/>
          <w:lang w:val="zh-CN"/>
        </w:rPr>
        <w:t>符合招标文件中列明的可享受</w:t>
      </w:r>
      <w:r>
        <w:rPr>
          <w:rFonts w:hint="eastAsia" w:ascii="宋体" w:hAnsi="宋体" w:cs="宋体"/>
          <w:color w:val="auto"/>
          <w:sz w:val="24"/>
          <w:highlight w:val="none"/>
        </w:rPr>
        <w:t>本国产品标准及相关政策</w:t>
      </w:r>
      <w:r>
        <w:rPr>
          <w:rFonts w:hint="eastAsia" w:ascii="宋体" w:hAnsi="宋体" w:cs="宋体"/>
          <w:color w:val="auto"/>
          <w:kern w:val="0"/>
          <w:sz w:val="24"/>
          <w:highlight w:val="none"/>
          <w:lang w:val="zh-CN"/>
        </w:rPr>
        <w:t>的投标人，请填写</w:t>
      </w:r>
      <w:r>
        <w:rPr>
          <w:rFonts w:hint="eastAsia" w:ascii="宋体" w:hAnsi="宋体" w:cs="宋体"/>
          <w:color w:val="auto"/>
          <w:sz w:val="24"/>
          <w:highlight w:val="none"/>
        </w:rPr>
        <w:t>《关于符合本国产品标准的声明函》或出具财政部会同有关部门规定的有关证明文件。当采购项目或者采购包中含有多种产品，</w:t>
      </w:r>
      <w:r>
        <w:rPr>
          <w:rFonts w:hint="eastAsia" w:ascii="宋体" w:hAnsi="宋体" w:cs="宋体"/>
          <w:color w:val="auto"/>
          <w:kern w:val="0"/>
          <w:sz w:val="24"/>
          <w:highlight w:val="none"/>
          <w:lang w:val="zh-CN"/>
        </w:rPr>
        <w:t>投标人还</w:t>
      </w:r>
      <w:r>
        <w:rPr>
          <w:rFonts w:hint="eastAsia" w:ascii="宋体" w:hAnsi="宋体" w:cs="宋体"/>
          <w:color w:val="auto"/>
          <w:sz w:val="24"/>
          <w:highlight w:val="none"/>
        </w:rPr>
        <w:t>应当声明其为该采购项目或者采购包提供的符合本国产品标准的产品成本之和占该供应商提供的全部产品成本之和的比例达到80%以上，提供《关于符合本国产品标准的产品成本之和占所提供的全部产品成本之和的比例达到80%以上的声明函》。</w:t>
      </w:r>
      <w:r>
        <w:rPr>
          <w:rFonts w:hint="eastAsia" w:ascii="宋体" w:hAnsi="宋体" w:cs="宋体"/>
          <w:color w:val="auto"/>
          <w:kern w:val="0"/>
          <w:sz w:val="24"/>
          <w:highlight w:val="none"/>
          <w:lang w:val="zh-CN"/>
        </w:rPr>
        <w:t>注：投标人提供的</w:t>
      </w:r>
      <w:r>
        <w:rPr>
          <w:rFonts w:hint="eastAsia" w:ascii="宋体" w:hAnsi="宋体" w:cs="宋体"/>
          <w:color w:val="auto"/>
          <w:sz w:val="24"/>
          <w:highlight w:val="none"/>
        </w:rPr>
        <w:t>《声明函》</w:t>
      </w:r>
      <w:r>
        <w:rPr>
          <w:rFonts w:hint="eastAsia" w:ascii="宋体" w:hAnsi="宋体" w:cs="宋体"/>
          <w:color w:val="auto"/>
          <w:kern w:val="0"/>
          <w:sz w:val="24"/>
          <w:highlight w:val="none"/>
          <w:lang w:val="zh-CN"/>
        </w:rPr>
        <w:t>内容不实的，属于提供虚假材料谋取中标、成交，依照《中华人民共和国政府采购法》等国家有关规定追究相应责任。</w:t>
      </w:r>
    </w:p>
    <w:p w14:paraId="2BC310F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cs="宋体"/>
          <w:color w:val="auto"/>
          <w:kern w:val="0"/>
          <w:sz w:val="24"/>
          <w:highlight w:val="none"/>
          <w:lang w:val="zh-CN"/>
        </w:rPr>
      </w:pPr>
      <w:r>
        <w:rPr>
          <w:rFonts w:hint="eastAsia" w:ascii="宋体" w:hAnsi="宋体" w:cs="宋体"/>
          <w:color w:val="auto"/>
          <w:kern w:val="0"/>
          <w:sz w:val="24"/>
          <w:szCs w:val="22"/>
          <w:highlight w:val="none"/>
          <w:lang w:val="zh-CN"/>
        </w:rPr>
        <w:t>6、</w:t>
      </w:r>
      <w:r>
        <w:rPr>
          <w:rFonts w:hint="eastAsia" w:ascii="宋体" w:hAnsi="宋体" w:cs="宋体"/>
          <w:color w:val="auto"/>
          <w:kern w:val="0"/>
          <w:sz w:val="24"/>
          <w:highlight w:val="none"/>
        </w:rPr>
        <w:t>投标报价属于本招标文件规定的政府采购异常低价情形之一，投标人应当按照评标委员会的要求提供书面说明、证明材料。投标人不能提供书面说明、证明材料，或者提供的书面说明、证明材料不能证明其报价合理性的，投标无效</w:t>
      </w:r>
      <w:r>
        <w:rPr>
          <w:rFonts w:hint="eastAsia" w:ascii="宋体" w:hAnsi="宋体" w:cs="宋体"/>
          <w:color w:val="auto"/>
          <w:kern w:val="0"/>
          <w:sz w:val="24"/>
          <w:highlight w:val="none"/>
          <w:lang w:val="zh-CN"/>
        </w:rPr>
        <w:t>。</w:t>
      </w:r>
    </w:p>
    <w:p w14:paraId="1D8FF7B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1.投标报价包含人员工资、培训、服装、奖金、五险、其他必要的保险等营业成本以及利润、物业管理服务中所发生的各项税收等费用。</w:t>
      </w:r>
    </w:p>
    <w:p w14:paraId="0624B04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2.供应商报价须列明各服务单位（各学校）的投入服务人数及报价。各学校的报价不得超过该服务单位的投标最高限价。</w:t>
      </w:r>
    </w:p>
    <w:p w14:paraId="4CD8652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cs="宋体"/>
          <w:color w:val="auto"/>
          <w:kern w:val="0"/>
          <w:sz w:val="24"/>
          <w:highlight w:val="none"/>
          <w:lang w:val="zh-CN"/>
        </w:rPr>
      </w:pPr>
    </w:p>
    <w:p w14:paraId="38BA26E9">
      <w:pPr>
        <w:keepNext w:val="0"/>
        <w:keepLines w:val="0"/>
        <w:pageBreakBefore w:val="0"/>
        <w:widowControl w:val="0"/>
        <w:kinsoku/>
        <w:wordWrap/>
        <w:overflowPunct/>
        <w:topLinePunct w:val="0"/>
        <w:autoSpaceDE/>
        <w:autoSpaceDN/>
        <w:bidi w:val="0"/>
        <w:adjustRightInd w:val="0"/>
        <w:spacing w:line="500" w:lineRule="exact"/>
        <w:ind w:firstLine="6240" w:firstLineChars="2600"/>
        <w:textAlignment w:val="auto"/>
        <w:rPr>
          <w:rFonts w:ascii="宋体" w:hAnsi="宋体" w:cs="宋体"/>
          <w:color w:val="auto"/>
          <w:sz w:val="24"/>
          <w:highlight w:val="none"/>
        </w:rPr>
      </w:pPr>
      <w:r>
        <w:rPr>
          <w:rFonts w:hint="eastAsia" w:ascii="宋体" w:hAnsi="宋体" w:cs="宋体"/>
          <w:color w:val="auto"/>
          <w:sz w:val="24"/>
          <w:highlight w:val="none"/>
        </w:rPr>
        <w:t>投标人名称（公章）：</w:t>
      </w:r>
    </w:p>
    <w:p w14:paraId="3C0EC215">
      <w:pPr>
        <w:keepNext w:val="0"/>
        <w:keepLines w:val="0"/>
        <w:pageBreakBefore w:val="0"/>
        <w:widowControl w:val="0"/>
        <w:kinsoku/>
        <w:wordWrap/>
        <w:overflowPunct/>
        <w:topLinePunct w:val="0"/>
        <w:autoSpaceDE/>
        <w:autoSpaceDN/>
        <w:bidi w:val="0"/>
        <w:adjustRightInd w:val="0"/>
        <w:spacing w:line="500" w:lineRule="exact"/>
        <w:ind w:firstLine="6240" w:firstLineChars="2600"/>
        <w:textAlignment w:val="auto"/>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5EC171AC">
      <w:pPr>
        <w:keepNext w:val="0"/>
        <w:keepLines w:val="0"/>
        <w:pageBreakBefore w:val="0"/>
        <w:widowControl w:val="0"/>
        <w:kinsoku/>
        <w:wordWrap/>
        <w:overflowPunct/>
        <w:topLinePunct w:val="0"/>
        <w:autoSpaceDE/>
        <w:autoSpaceDN/>
        <w:bidi w:val="0"/>
        <w:adjustRightInd w:val="0"/>
        <w:spacing w:line="50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77AEB989">
      <w:pPr>
        <w:pStyle w:val="691"/>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14:paraId="6E52A074">
      <w:pPr>
        <w:pStyle w:val="691"/>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6838" w:h="11906" w:orient="landscape"/>
          <w:pgMar w:top="1418" w:right="1247" w:bottom="1418" w:left="1276" w:header="851" w:footer="992" w:gutter="0"/>
          <w:cols w:space="720" w:num="1"/>
          <w:titlePg/>
          <w:docGrid w:linePitch="312" w:charSpace="0"/>
        </w:sectPr>
      </w:pPr>
    </w:p>
    <w:p w14:paraId="17D40D4E">
      <w:pPr>
        <w:pStyle w:val="83"/>
        <w:jc w:val="center"/>
        <w:rPr>
          <w:b/>
          <w:color w:val="auto"/>
          <w:sz w:val="32"/>
          <w:szCs w:val="32"/>
          <w:highlight w:val="none"/>
        </w:rPr>
      </w:pPr>
      <w:r>
        <w:rPr>
          <w:rFonts w:hint="eastAsia"/>
          <w:b/>
          <w:color w:val="auto"/>
          <w:kern w:val="2"/>
          <w:sz w:val="32"/>
          <w:szCs w:val="32"/>
          <w:highlight w:val="none"/>
        </w:rPr>
        <w:t>二、</w:t>
      </w:r>
      <w:r>
        <w:rPr>
          <w:rFonts w:hint="eastAsia"/>
          <w:b/>
          <w:color w:val="auto"/>
          <w:sz w:val="32"/>
          <w:szCs w:val="32"/>
          <w:highlight w:val="none"/>
        </w:rPr>
        <w:t>中小企业声明函（如果有）</w:t>
      </w:r>
    </w:p>
    <w:p w14:paraId="5F5442C8">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41FF84BE">
      <w:pPr>
        <w:pStyle w:val="691"/>
        <w:keepNext w:val="0"/>
        <w:pageBreakBefore w:val="0"/>
        <w:tabs>
          <w:tab w:val="clear" w:pos="720"/>
        </w:tabs>
        <w:snapToGrid w:val="0"/>
        <w:spacing w:before="120" w:after="120"/>
        <w:ind w:firstLine="643"/>
        <w:outlineLvl w:val="9"/>
        <w:rPr>
          <w:rFonts w:ascii="宋体" w:hAnsi="宋体" w:eastAsia="宋体" w:cs="宋体"/>
          <w:b w:val="0"/>
          <w:color w:val="auto"/>
          <w:sz w:val="32"/>
          <w:szCs w:val="32"/>
          <w:highlight w:val="none"/>
        </w:rPr>
      </w:pPr>
    </w:p>
    <w:p w14:paraId="5B13BD3D">
      <w:pPr>
        <w:spacing w:line="360" w:lineRule="auto"/>
        <w:ind w:right="420" w:firstLine="3614" w:firstLineChars="1000"/>
        <w:rPr>
          <w:rFonts w:ascii="宋体" w:hAnsi="宋体" w:cs="宋体"/>
          <w:b/>
          <w:color w:val="auto"/>
          <w:kern w:val="0"/>
          <w:sz w:val="36"/>
          <w:szCs w:val="36"/>
          <w:highlight w:val="none"/>
        </w:rPr>
      </w:pPr>
    </w:p>
    <w:p w14:paraId="3623FC7E">
      <w:pPr>
        <w:spacing w:line="360" w:lineRule="auto"/>
        <w:ind w:right="420" w:firstLine="3614" w:firstLineChars="1000"/>
        <w:rPr>
          <w:rFonts w:ascii="宋体" w:hAnsi="宋体" w:cs="宋体"/>
          <w:b/>
          <w:color w:val="auto"/>
          <w:kern w:val="0"/>
          <w:sz w:val="36"/>
          <w:szCs w:val="36"/>
          <w:highlight w:val="none"/>
        </w:rPr>
      </w:pPr>
    </w:p>
    <w:p w14:paraId="76A6168A">
      <w:pPr>
        <w:spacing w:line="360" w:lineRule="auto"/>
        <w:ind w:right="420" w:firstLine="3614" w:firstLineChars="1000"/>
        <w:rPr>
          <w:rFonts w:ascii="宋体" w:hAnsi="宋体" w:cs="宋体"/>
          <w:b/>
          <w:color w:val="auto"/>
          <w:kern w:val="0"/>
          <w:sz w:val="36"/>
          <w:szCs w:val="36"/>
          <w:highlight w:val="none"/>
        </w:rPr>
      </w:pPr>
    </w:p>
    <w:p w14:paraId="7735F44A">
      <w:pPr>
        <w:spacing w:line="360" w:lineRule="auto"/>
        <w:ind w:right="420" w:firstLine="3614" w:firstLineChars="1000"/>
        <w:rPr>
          <w:rFonts w:ascii="宋体" w:hAnsi="宋体" w:cs="宋体"/>
          <w:b/>
          <w:color w:val="auto"/>
          <w:kern w:val="0"/>
          <w:sz w:val="36"/>
          <w:szCs w:val="36"/>
          <w:highlight w:val="none"/>
        </w:rPr>
      </w:pPr>
    </w:p>
    <w:p w14:paraId="1BB7FA27">
      <w:pPr>
        <w:spacing w:line="360" w:lineRule="auto"/>
        <w:ind w:right="420" w:firstLine="3614" w:firstLineChars="1000"/>
        <w:rPr>
          <w:rFonts w:ascii="宋体" w:hAnsi="宋体" w:cs="宋体"/>
          <w:b/>
          <w:color w:val="auto"/>
          <w:kern w:val="0"/>
          <w:sz w:val="36"/>
          <w:szCs w:val="36"/>
          <w:highlight w:val="none"/>
        </w:rPr>
      </w:pPr>
    </w:p>
    <w:p w14:paraId="5247D95F">
      <w:pPr>
        <w:spacing w:line="360" w:lineRule="auto"/>
        <w:ind w:right="420" w:firstLine="3614" w:firstLineChars="1000"/>
        <w:rPr>
          <w:rFonts w:ascii="宋体" w:hAnsi="宋体" w:cs="宋体"/>
          <w:b/>
          <w:color w:val="auto"/>
          <w:kern w:val="0"/>
          <w:sz w:val="36"/>
          <w:szCs w:val="36"/>
          <w:highlight w:val="none"/>
        </w:rPr>
      </w:pPr>
    </w:p>
    <w:p w14:paraId="3B875031">
      <w:pPr>
        <w:spacing w:line="360" w:lineRule="auto"/>
        <w:ind w:right="420" w:firstLine="3614" w:firstLineChars="1000"/>
        <w:rPr>
          <w:rFonts w:ascii="宋体" w:hAnsi="宋体" w:cs="宋体"/>
          <w:b/>
          <w:color w:val="auto"/>
          <w:kern w:val="0"/>
          <w:sz w:val="36"/>
          <w:szCs w:val="36"/>
          <w:highlight w:val="none"/>
        </w:rPr>
      </w:pPr>
    </w:p>
    <w:p w14:paraId="0285DA3F">
      <w:pPr>
        <w:spacing w:line="360" w:lineRule="auto"/>
        <w:ind w:right="420" w:firstLine="3614" w:firstLineChars="1000"/>
        <w:rPr>
          <w:rFonts w:ascii="宋体" w:hAnsi="宋体" w:cs="宋体"/>
          <w:b/>
          <w:color w:val="auto"/>
          <w:kern w:val="0"/>
          <w:sz w:val="36"/>
          <w:szCs w:val="36"/>
          <w:highlight w:val="none"/>
        </w:rPr>
      </w:pPr>
    </w:p>
    <w:p w14:paraId="4ACE6D22">
      <w:pPr>
        <w:spacing w:line="360" w:lineRule="auto"/>
        <w:ind w:right="420" w:firstLine="3614" w:firstLineChars="1000"/>
        <w:rPr>
          <w:rFonts w:ascii="宋体" w:hAnsi="宋体" w:cs="宋体"/>
          <w:b/>
          <w:color w:val="auto"/>
          <w:kern w:val="0"/>
          <w:sz w:val="36"/>
          <w:szCs w:val="36"/>
          <w:highlight w:val="none"/>
        </w:rPr>
      </w:pPr>
    </w:p>
    <w:p w14:paraId="50FA50EC">
      <w:pPr>
        <w:spacing w:line="360" w:lineRule="auto"/>
        <w:ind w:right="420" w:firstLine="3614" w:firstLineChars="1000"/>
        <w:rPr>
          <w:rFonts w:ascii="宋体" w:hAnsi="宋体" w:cs="宋体"/>
          <w:b/>
          <w:color w:val="auto"/>
          <w:kern w:val="0"/>
          <w:sz w:val="36"/>
          <w:szCs w:val="36"/>
          <w:highlight w:val="none"/>
        </w:rPr>
      </w:pPr>
    </w:p>
    <w:p w14:paraId="4FD9475F">
      <w:pPr>
        <w:spacing w:line="360" w:lineRule="auto"/>
        <w:ind w:right="420" w:firstLine="3614" w:firstLineChars="1000"/>
        <w:rPr>
          <w:rFonts w:ascii="宋体" w:hAnsi="宋体" w:cs="宋体"/>
          <w:b/>
          <w:color w:val="auto"/>
          <w:kern w:val="0"/>
          <w:sz w:val="36"/>
          <w:szCs w:val="36"/>
          <w:highlight w:val="none"/>
        </w:rPr>
      </w:pPr>
    </w:p>
    <w:p w14:paraId="03AF4745">
      <w:pPr>
        <w:spacing w:line="360" w:lineRule="auto"/>
        <w:ind w:right="420" w:firstLine="3614" w:firstLineChars="1000"/>
        <w:rPr>
          <w:rFonts w:ascii="宋体" w:hAnsi="宋体" w:cs="宋体"/>
          <w:b/>
          <w:color w:val="auto"/>
          <w:kern w:val="0"/>
          <w:sz w:val="36"/>
          <w:szCs w:val="36"/>
          <w:highlight w:val="none"/>
        </w:rPr>
      </w:pPr>
    </w:p>
    <w:p w14:paraId="1E9FD994">
      <w:pPr>
        <w:spacing w:line="360" w:lineRule="auto"/>
        <w:ind w:right="420" w:firstLine="3614" w:firstLineChars="1000"/>
        <w:rPr>
          <w:rFonts w:ascii="宋体" w:hAnsi="宋体" w:cs="宋体"/>
          <w:b/>
          <w:color w:val="auto"/>
          <w:kern w:val="0"/>
          <w:sz w:val="36"/>
          <w:szCs w:val="36"/>
          <w:highlight w:val="none"/>
        </w:rPr>
      </w:pPr>
    </w:p>
    <w:p w14:paraId="17CBFACD">
      <w:pPr>
        <w:spacing w:line="360" w:lineRule="auto"/>
        <w:ind w:right="420" w:firstLine="3614" w:firstLineChars="1000"/>
        <w:rPr>
          <w:rFonts w:ascii="宋体" w:hAnsi="宋体" w:cs="宋体"/>
          <w:b/>
          <w:color w:val="auto"/>
          <w:kern w:val="0"/>
          <w:sz w:val="36"/>
          <w:szCs w:val="36"/>
          <w:highlight w:val="none"/>
        </w:rPr>
      </w:pPr>
    </w:p>
    <w:p w14:paraId="2F8009FB">
      <w:pPr>
        <w:spacing w:line="360" w:lineRule="auto"/>
        <w:ind w:right="420" w:firstLine="3614" w:firstLineChars="1000"/>
        <w:rPr>
          <w:rFonts w:ascii="宋体" w:hAnsi="宋体" w:cs="宋体"/>
          <w:b/>
          <w:color w:val="auto"/>
          <w:kern w:val="0"/>
          <w:sz w:val="36"/>
          <w:szCs w:val="36"/>
          <w:highlight w:val="none"/>
        </w:rPr>
      </w:pPr>
    </w:p>
    <w:p w14:paraId="3FBCEC62">
      <w:pPr>
        <w:spacing w:line="360" w:lineRule="auto"/>
        <w:ind w:right="420" w:firstLine="3614" w:firstLineChars="1000"/>
        <w:rPr>
          <w:rFonts w:ascii="宋体" w:hAnsi="宋体" w:cs="宋体"/>
          <w:b/>
          <w:color w:val="auto"/>
          <w:kern w:val="0"/>
          <w:sz w:val="36"/>
          <w:szCs w:val="36"/>
          <w:highlight w:val="none"/>
        </w:rPr>
      </w:pPr>
    </w:p>
    <w:p w14:paraId="6F58A326">
      <w:pPr>
        <w:pStyle w:val="83"/>
        <w:rPr>
          <w:color w:val="auto"/>
          <w:highlight w:val="none"/>
        </w:rPr>
      </w:pPr>
    </w:p>
    <w:p w14:paraId="646275BC">
      <w:pPr>
        <w:pStyle w:val="83"/>
        <w:jc w:val="center"/>
        <w:rPr>
          <w:b/>
          <w:color w:val="auto"/>
          <w:sz w:val="36"/>
          <w:szCs w:val="36"/>
          <w:highlight w:val="none"/>
        </w:rPr>
      </w:pPr>
      <w:r>
        <w:rPr>
          <w:rFonts w:hint="eastAsia"/>
          <w:b/>
          <w:color w:val="auto"/>
          <w:sz w:val="36"/>
          <w:szCs w:val="36"/>
          <w:highlight w:val="none"/>
        </w:rPr>
        <w:t>附件</w:t>
      </w:r>
    </w:p>
    <w:p w14:paraId="180E407F">
      <w:pPr>
        <w:pStyle w:val="83"/>
        <w:rPr>
          <w:color w:val="auto"/>
          <w:highlight w:val="none"/>
        </w:rPr>
      </w:pPr>
    </w:p>
    <w:p w14:paraId="7A50A608">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739382D9">
      <w:pPr>
        <w:spacing w:line="360" w:lineRule="auto"/>
        <w:jc w:val="center"/>
        <w:rPr>
          <w:rFonts w:ascii="宋体" w:hAnsi="宋体" w:cs="宋体"/>
          <w:b/>
          <w:color w:val="auto"/>
          <w:spacing w:val="6"/>
          <w:sz w:val="32"/>
          <w:szCs w:val="32"/>
          <w:highlight w:val="none"/>
        </w:rPr>
      </w:pPr>
      <w:bookmarkStart w:id="413" w:name="OLE_LINK13"/>
      <w:bookmarkStart w:id="414" w:name="OLE_LINK14"/>
      <w:r>
        <w:rPr>
          <w:rFonts w:hint="eastAsia" w:ascii="宋体" w:hAnsi="宋体" w:cs="宋体"/>
          <w:b/>
          <w:color w:val="auto"/>
          <w:spacing w:val="6"/>
          <w:sz w:val="32"/>
          <w:szCs w:val="32"/>
          <w:highlight w:val="none"/>
        </w:rPr>
        <w:t>残疾人福利性单位声明函</w:t>
      </w:r>
    </w:p>
    <w:bookmarkEnd w:id="413"/>
    <w:bookmarkEnd w:id="414"/>
    <w:p w14:paraId="0ABCD389">
      <w:pPr>
        <w:spacing w:line="360" w:lineRule="auto"/>
        <w:rPr>
          <w:rFonts w:ascii="宋体" w:hAnsi="宋体" w:cs="宋体"/>
          <w:b/>
          <w:color w:val="auto"/>
          <w:spacing w:val="6"/>
          <w:sz w:val="30"/>
          <w:szCs w:val="30"/>
          <w:highlight w:val="none"/>
        </w:rPr>
      </w:pPr>
    </w:p>
    <w:p w14:paraId="63BBA10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highlight w:val="none"/>
          <w:u w:val="single"/>
        </w:rPr>
        <w:t>(采购人)</w:t>
      </w:r>
      <w:r>
        <w:rPr>
          <w:rFonts w:hint="eastAsia" w:ascii="宋体" w:hAnsi="宋体" w:cs="宋体"/>
          <w:color w:val="auto"/>
          <w:sz w:val="24"/>
          <w:highlight w:val="none"/>
        </w:rPr>
        <w:t>_单位的_</w:t>
      </w:r>
      <w:r>
        <w:rPr>
          <w:rFonts w:hint="eastAsia" w:ascii="宋体" w:hAnsi="宋体" w:cs="宋体"/>
          <w:color w:val="auto"/>
          <w:sz w:val="24"/>
          <w:highlight w:val="none"/>
          <w:u w:val="single"/>
        </w:rPr>
        <w:t>（项目名称）</w:t>
      </w:r>
      <w:r>
        <w:rPr>
          <w:rFonts w:hint="eastAsia" w:ascii="宋体" w:hAnsi="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1FA97A1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2247A3E4">
      <w:pPr>
        <w:spacing w:line="360" w:lineRule="auto"/>
        <w:ind w:firstLine="480" w:firstLineChars="200"/>
        <w:rPr>
          <w:rFonts w:ascii="宋体" w:hAnsi="宋体" w:cs="宋体"/>
          <w:color w:val="auto"/>
          <w:sz w:val="24"/>
          <w:highlight w:val="none"/>
        </w:rPr>
      </w:pPr>
    </w:p>
    <w:p w14:paraId="490417D7">
      <w:pPr>
        <w:spacing w:line="360" w:lineRule="auto"/>
        <w:ind w:firstLine="480" w:firstLineChars="200"/>
        <w:rPr>
          <w:rFonts w:ascii="宋体" w:hAnsi="宋体" w:cs="宋体"/>
          <w:color w:val="auto"/>
          <w:sz w:val="24"/>
          <w:highlight w:val="none"/>
        </w:rPr>
      </w:pPr>
    </w:p>
    <w:p w14:paraId="6119E23A">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公章</w:t>
      </w:r>
      <w:r>
        <w:rPr>
          <w:rFonts w:hint="eastAsia" w:ascii="宋体" w:hAnsi="宋体" w:cs="宋体"/>
          <w:color w:val="auto"/>
          <w:kern w:val="0"/>
          <w:sz w:val="24"/>
          <w:highlight w:val="none"/>
          <w:lang w:val="zh-CN"/>
        </w:rPr>
        <w:t>）</w:t>
      </w:r>
      <w:r>
        <w:rPr>
          <w:rFonts w:hint="eastAsia" w:ascii="宋体" w:hAnsi="宋体" w:cs="宋体"/>
          <w:color w:val="auto"/>
          <w:sz w:val="24"/>
          <w:highlight w:val="none"/>
        </w:rPr>
        <w:t>：</w:t>
      </w:r>
    </w:p>
    <w:p w14:paraId="262D4F84">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DB6878F">
      <w:pPr>
        <w:spacing w:line="360" w:lineRule="auto"/>
        <w:ind w:firstLine="480" w:firstLineChars="200"/>
        <w:rPr>
          <w:rFonts w:ascii="宋体" w:hAnsi="宋体" w:cs="宋体"/>
          <w:color w:val="auto"/>
          <w:sz w:val="24"/>
          <w:highlight w:val="none"/>
        </w:rPr>
      </w:pPr>
    </w:p>
    <w:p w14:paraId="63E97386">
      <w:pPr>
        <w:tabs>
          <w:tab w:val="left" w:pos="4860"/>
        </w:tabs>
        <w:spacing w:line="360" w:lineRule="auto"/>
        <w:ind w:right="1560" w:firstLine="480" w:firstLineChars="200"/>
        <w:jc w:val="center"/>
        <w:rPr>
          <w:rFonts w:ascii="宋体" w:hAnsi="宋体" w:cs="宋体"/>
          <w:color w:val="auto"/>
          <w:sz w:val="24"/>
          <w:highlight w:val="none"/>
        </w:rPr>
      </w:pPr>
    </w:p>
    <w:p w14:paraId="712F790D">
      <w:pPr>
        <w:spacing w:line="360" w:lineRule="auto"/>
        <w:ind w:firstLine="420" w:firstLineChars="200"/>
        <w:rPr>
          <w:rFonts w:ascii="宋体" w:hAnsi="宋体" w:cs="宋体"/>
          <w:color w:val="auto"/>
          <w:highlight w:val="none"/>
        </w:rPr>
      </w:pPr>
    </w:p>
    <w:p w14:paraId="2DCDC88C">
      <w:pPr>
        <w:spacing w:line="360" w:lineRule="auto"/>
        <w:ind w:firstLine="420" w:firstLineChars="200"/>
        <w:rPr>
          <w:rFonts w:ascii="宋体" w:hAnsi="宋体" w:cs="宋体"/>
          <w:color w:val="auto"/>
          <w:highlight w:val="none"/>
        </w:rPr>
      </w:pPr>
    </w:p>
    <w:p w14:paraId="3375F0B0">
      <w:pPr>
        <w:spacing w:line="360" w:lineRule="auto"/>
        <w:ind w:firstLine="420" w:firstLineChars="200"/>
        <w:rPr>
          <w:rFonts w:ascii="宋体" w:hAnsi="宋体" w:cs="宋体"/>
          <w:color w:val="auto"/>
          <w:highlight w:val="none"/>
        </w:rPr>
      </w:pPr>
    </w:p>
    <w:p w14:paraId="41C0776D">
      <w:pPr>
        <w:spacing w:line="360" w:lineRule="auto"/>
        <w:ind w:firstLine="420" w:firstLineChars="200"/>
        <w:rPr>
          <w:rFonts w:ascii="宋体" w:hAnsi="宋体" w:cs="宋体"/>
          <w:color w:val="auto"/>
          <w:highlight w:val="none"/>
        </w:rPr>
      </w:pPr>
    </w:p>
    <w:p w14:paraId="113D42DE">
      <w:pPr>
        <w:spacing w:line="360" w:lineRule="auto"/>
        <w:rPr>
          <w:rFonts w:ascii="宋体" w:hAnsi="宋体" w:cs="宋体"/>
          <w:b/>
          <w:color w:val="auto"/>
          <w:sz w:val="24"/>
          <w:highlight w:val="none"/>
        </w:rPr>
      </w:pPr>
    </w:p>
    <w:p w14:paraId="62D2E16F">
      <w:pPr>
        <w:spacing w:line="360" w:lineRule="auto"/>
        <w:rPr>
          <w:rFonts w:ascii="宋体" w:hAnsi="宋体" w:cs="宋体"/>
          <w:b/>
          <w:color w:val="auto"/>
          <w:sz w:val="24"/>
          <w:highlight w:val="none"/>
        </w:rPr>
      </w:pPr>
    </w:p>
    <w:p w14:paraId="7603FE30">
      <w:pPr>
        <w:spacing w:line="360" w:lineRule="auto"/>
        <w:rPr>
          <w:rFonts w:ascii="宋体" w:hAnsi="宋体" w:cs="宋体"/>
          <w:b/>
          <w:color w:val="auto"/>
          <w:sz w:val="24"/>
          <w:highlight w:val="none"/>
        </w:rPr>
      </w:pPr>
    </w:p>
    <w:p w14:paraId="536E1694">
      <w:pPr>
        <w:spacing w:line="360" w:lineRule="auto"/>
        <w:rPr>
          <w:rFonts w:ascii="宋体" w:hAnsi="宋体" w:cs="宋体"/>
          <w:b/>
          <w:color w:val="auto"/>
          <w:sz w:val="24"/>
          <w:highlight w:val="none"/>
        </w:rPr>
      </w:pPr>
    </w:p>
    <w:p w14:paraId="758671B6">
      <w:pPr>
        <w:spacing w:line="360" w:lineRule="auto"/>
        <w:rPr>
          <w:rFonts w:ascii="宋体" w:hAnsi="宋体" w:cs="宋体"/>
          <w:b/>
          <w:color w:val="auto"/>
          <w:sz w:val="24"/>
          <w:highlight w:val="none"/>
        </w:rPr>
      </w:pPr>
    </w:p>
    <w:p w14:paraId="4425B563">
      <w:pPr>
        <w:spacing w:line="360" w:lineRule="auto"/>
        <w:rPr>
          <w:rFonts w:ascii="宋体" w:hAnsi="宋体" w:cs="宋体"/>
          <w:b/>
          <w:color w:val="auto"/>
          <w:sz w:val="24"/>
          <w:highlight w:val="none"/>
        </w:rPr>
      </w:pPr>
    </w:p>
    <w:p w14:paraId="15BD1ADB">
      <w:pPr>
        <w:spacing w:line="360" w:lineRule="auto"/>
        <w:rPr>
          <w:rFonts w:ascii="宋体" w:hAnsi="宋体" w:cs="宋体"/>
          <w:b/>
          <w:color w:val="auto"/>
          <w:sz w:val="24"/>
          <w:highlight w:val="none"/>
        </w:rPr>
      </w:pPr>
    </w:p>
    <w:p w14:paraId="48F66BAC">
      <w:pPr>
        <w:spacing w:line="360" w:lineRule="auto"/>
        <w:rPr>
          <w:rFonts w:ascii="宋体" w:hAnsi="宋体" w:cs="宋体"/>
          <w:b/>
          <w:color w:val="auto"/>
          <w:sz w:val="24"/>
          <w:highlight w:val="none"/>
        </w:rPr>
      </w:pPr>
    </w:p>
    <w:p w14:paraId="652B1BA6">
      <w:pPr>
        <w:spacing w:line="360" w:lineRule="auto"/>
        <w:rPr>
          <w:rFonts w:ascii="宋体" w:hAnsi="宋体" w:cs="宋体"/>
          <w:b/>
          <w:color w:val="auto"/>
          <w:sz w:val="24"/>
          <w:highlight w:val="none"/>
        </w:rPr>
      </w:pPr>
    </w:p>
    <w:p w14:paraId="245A0D47">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79E89B00">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3D4981C6">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435D094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343CEEB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3763A6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41706D3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215A13F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3E5F0AE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3A35310">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04846A8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76FC79C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35D67D3F">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2727432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245BE955">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277DF67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1EAFE78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629FB86F">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C172B6F">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14FDBE6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5D1CCE2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45B41F6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43DC981A">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795AC8B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39BBAF7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5A82AEF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2225C37A">
      <w:pPr>
        <w:spacing w:line="360" w:lineRule="auto"/>
        <w:jc w:val="center"/>
        <w:rPr>
          <w:rFonts w:ascii="宋体" w:hAnsi="宋体" w:cs="宋体"/>
          <w:b/>
          <w:bCs/>
          <w:color w:val="auto"/>
          <w:sz w:val="24"/>
          <w:highlight w:val="none"/>
        </w:rPr>
      </w:pPr>
    </w:p>
    <w:p w14:paraId="50951002">
      <w:pPr>
        <w:spacing w:line="360" w:lineRule="auto"/>
        <w:rPr>
          <w:rFonts w:ascii="宋体" w:hAnsi="宋体" w:cs="宋体"/>
          <w:b/>
          <w:color w:val="auto"/>
          <w:sz w:val="24"/>
          <w:highlight w:val="none"/>
        </w:rPr>
      </w:pPr>
    </w:p>
    <w:p w14:paraId="79299F67">
      <w:pPr>
        <w:spacing w:line="360" w:lineRule="auto"/>
        <w:rPr>
          <w:rFonts w:ascii="宋体" w:hAnsi="宋体" w:cs="宋体"/>
          <w:b/>
          <w:color w:val="auto"/>
          <w:sz w:val="24"/>
          <w:highlight w:val="none"/>
        </w:rPr>
      </w:pPr>
    </w:p>
    <w:p w14:paraId="2EDC2790">
      <w:pPr>
        <w:spacing w:line="360" w:lineRule="auto"/>
        <w:rPr>
          <w:rFonts w:ascii="宋体" w:hAnsi="宋体" w:cs="宋体"/>
          <w:b/>
          <w:color w:val="auto"/>
          <w:sz w:val="24"/>
          <w:highlight w:val="none"/>
        </w:rPr>
      </w:pPr>
    </w:p>
    <w:p w14:paraId="451BA626">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4305FFE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364E6A1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0F65F12F">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54AC3CA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4D0671F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6D0729E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412909B7">
      <w:pPr>
        <w:widowControl/>
        <w:spacing w:line="360" w:lineRule="auto"/>
        <w:ind w:firstLine="600" w:firstLineChars="200"/>
        <w:jc w:val="left"/>
        <w:rPr>
          <w:rFonts w:ascii="宋体" w:hAnsi="宋体" w:cs="宋体"/>
          <w:color w:val="auto"/>
          <w:sz w:val="30"/>
          <w:szCs w:val="30"/>
          <w:highlight w:val="none"/>
        </w:rPr>
      </w:pPr>
    </w:p>
    <w:p w14:paraId="5CFB71C0">
      <w:pPr>
        <w:spacing w:line="360" w:lineRule="auto"/>
        <w:jc w:val="center"/>
        <w:rPr>
          <w:rFonts w:ascii="宋体" w:hAnsi="宋体" w:cs="宋体"/>
          <w:b/>
          <w:color w:val="auto"/>
          <w:spacing w:val="6"/>
          <w:sz w:val="32"/>
          <w:szCs w:val="32"/>
          <w:highlight w:val="none"/>
        </w:rPr>
      </w:pPr>
    </w:p>
    <w:p w14:paraId="0F77F6C2">
      <w:pPr>
        <w:spacing w:line="360" w:lineRule="auto"/>
        <w:jc w:val="center"/>
        <w:rPr>
          <w:rFonts w:ascii="宋体" w:hAnsi="宋体" w:cs="宋体"/>
          <w:b/>
          <w:color w:val="auto"/>
          <w:spacing w:val="6"/>
          <w:sz w:val="32"/>
          <w:szCs w:val="32"/>
          <w:highlight w:val="none"/>
        </w:rPr>
      </w:pPr>
    </w:p>
    <w:p w14:paraId="47DDDF1A">
      <w:pPr>
        <w:spacing w:line="360" w:lineRule="auto"/>
        <w:jc w:val="center"/>
        <w:rPr>
          <w:rFonts w:ascii="宋体" w:hAnsi="宋体" w:cs="宋体"/>
          <w:b/>
          <w:color w:val="auto"/>
          <w:spacing w:val="6"/>
          <w:sz w:val="32"/>
          <w:szCs w:val="32"/>
          <w:highlight w:val="none"/>
        </w:rPr>
      </w:pPr>
    </w:p>
    <w:p w14:paraId="4B7E5E10">
      <w:pPr>
        <w:spacing w:line="360" w:lineRule="auto"/>
        <w:jc w:val="center"/>
        <w:rPr>
          <w:rFonts w:ascii="宋体" w:hAnsi="宋体" w:cs="宋体"/>
          <w:b/>
          <w:color w:val="auto"/>
          <w:spacing w:val="6"/>
          <w:sz w:val="32"/>
          <w:szCs w:val="32"/>
          <w:highlight w:val="none"/>
        </w:rPr>
      </w:pPr>
    </w:p>
    <w:p w14:paraId="1C8621E3">
      <w:pPr>
        <w:spacing w:line="360" w:lineRule="auto"/>
        <w:jc w:val="center"/>
        <w:rPr>
          <w:rFonts w:ascii="宋体" w:hAnsi="宋体" w:cs="宋体"/>
          <w:b/>
          <w:color w:val="auto"/>
          <w:spacing w:val="6"/>
          <w:sz w:val="32"/>
          <w:szCs w:val="32"/>
          <w:highlight w:val="none"/>
        </w:rPr>
      </w:pPr>
    </w:p>
    <w:p w14:paraId="3F81F6E9">
      <w:pPr>
        <w:spacing w:line="360" w:lineRule="auto"/>
        <w:jc w:val="center"/>
        <w:rPr>
          <w:rFonts w:ascii="宋体" w:hAnsi="宋体" w:cs="宋体"/>
          <w:b/>
          <w:color w:val="auto"/>
          <w:spacing w:val="6"/>
          <w:sz w:val="32"/>
          <w:szCs w:val="32"/>
          <w:highlight w:val="none"/>
        </w:rPr>
      </w:pPr>
    </w:p>
    <w:p w14:paraId="0032DF24">
      <w:pPr>
        <w:spacing w:line="360" w:lineRule="auto"/>
        <w:jc w:val="center"/>
        <w:rPr>
          <w:rFonts w:ascii="宋体" w:hAnsi="宋体" w:cs="宋体"/>
          <w:b/>
          <w:color w:val="auto"/>
          <w:spacing w:val="6"/>
          <w:sz w:val="32"/>
          <w:szCs w:val="32"/>
          <w:highlight w:val="none"/>
        </w:rPr>
      </w:pPr>
    </w:p>
    <w:p w14:paraId="565DF849">
      <w:pPr>
        <w:spacing w:line="360" w:lineRule="auto"/>
        <w:jc w:val="center"/>
        <w:rPr>
          <w:rFonts w:ascii="宋体" w:hAnsi="宋体" w:cs="宋体"/>
          <w:b/>
          <w:color w:val="auto"/>
          <w:spacing w:val="6"/>
          <w:sz w:val="32"/>
          <w:szCs w:val="32"/>
          <w:highlight w:val="none"/>
        </w:rPr>
      </w:pPr>
    </w:p>
    <w:p w14:paraId="1F852368">
      <w:pPr>
        <w:spacing w:line="360" w:lineRule="auto"/>
        <w:jc w:val="center"/>
        <w:rPr>
          <w:rFonts w:ascii="宋体" w:hAnsi="宋体" w:cs="宋体"/>
          <w:b/>
          <w:color w:val="auto"/>
          <w:spacing w:val="6"/>
          <w:sz w:val="32"/>
          <w:szCs w:val="32"/>
          <w:highlight w:val="none"/>
        </w:rPr>
      </w:pPr>
    </w:p>
    <w:p w14:paraId="679CB1FF">
      <w:pPr>
        <w:spacing w:line="360" w:lineRule="auto"/>
        <w:jc w:val="center"/>
        <w:rPr>
          <w:rFonts w:ascii="宋体" w:hAnsi="宋体" w:cs="宋体"/>
          <w:b/>
          <w:color w:val="auto"/>
          <w:spacing w:val="6"/>
          <w:sz w:val="32"/>
          <w:szCs w:val="32"/>
          <w:highlight w:val="none"/>
        </w:rPr>
      </w:pPr>
    </w:p>
    <w:p w14:paraId="13F43578">
      <w:pPr>
        <w:spacing w:line="360" w:lineRule="auto"/>
        <w:jc w:val="center"/>
        <w:rPr>
          <w:rFonts w:ascii="宋体" w:hAnsi="宋体" w:cs="宋体"/>
          <w:b/>
          <w:color w:val="auto"/>
          <w:spacing w:val="6"/>
          <w:sz w:val="32"/>
          <w:szCs w:val="32"/>
          <w:highlight w:val="none"/>
        </w:rPr>
      </w:pPr>
    </w:p>
    <w:p w14:paraId="6114B59D">
      <w:pPr>
        <w:spacing w:line="360" w:lineRule="auto"/>
        <w:jc w:val="center"/>
        <w:rPr>
          <w:rFonts w:ascii="宋体" w:hAnsi="宋体" w:cs="宋体"/>
          <w:b/>
          <w:color w:val="auto"/>
          <w:spacing w:val="6"/>
          <w:sz w:val="32"/>
          <w:szCs w:val="32"/>
          <w:highlight w:val="none"/>
        </w:rPr>
      </w:pPr>
    </w:p>
    <w:p w14:paraId="3CFF6DC4">
      <w:pPr>
        <w:spacing w:line="360" w:lineRule="auto"/>
        <w:jc w:val="left"/>
        <w:rPr>
          <w:rFonts w:ascii="宋体" w:hAnsi="宋体" w:cs="宋体"/>
          <w:b/>
          <w:color w:val="auto"/>
          <w:spacing w:val="6"/>
          <w:sz w:val="32"/>
          <w:szCs w:val="32"/>
          <w:highlight w:val="none"/>
        </w:rPr>
      </w:pPr>
    </w:p>
    <w:p w14:paraId="6E8E0B21">
      <w:pPr>
        <w:spacing w:line="360" w:lineRule="auto"/>
        <w:jc w:val="left"/>
        <w:rPr>
          <w:rFonts w:ascii="宋体" w:hAnsi="宋体" w:cs="宋体"/>
          <w:b/>
          <w:color w:val="auto"/>
          <w:spacing w:val="6"/>
          <w:sz w:val="32"/>
          <w:szCs w:val="32"/>
          <w:highlight w:val="none"/>
        </w:rPr>
      </w:pPr>
    </w:p>
    <w:p w14:paraId="542B0088">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4A2CCEB4">
      <w:pPr>
        <w:spacing w:line="360" w:lineRule="auto"/>
        <w:jc w:val="center"/>
        <w:rPr>
          <w:rFonts w:ascii="宋体" w:hAnsi="宋体" w:cs="宋体"/>
          <w:b/>
          <w:color w:val="auto"/>
          <w:sz w:val="24"/>
          <w:highlight w:val="none"/>
        </w:rPr>
      </w:pPr>
    </w:p>
    <w:p w14:paraId="6E36DE54">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1608E3CA">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79A1BFF9">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71540140">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0C44D048">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2C694C36">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4C502357">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6009F256">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6D61DF25">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A9DFDD0">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607E94A">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C6ABB7F">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555981C0">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38798B24">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6DE969E">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2831F70">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3F9D97A">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6E461E52">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6F867FC7">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25DC6A39">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E350C1A">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63B5B40F">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18B3286F">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1E75F350">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5786C4F2">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3DE99DF0">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77A31D46">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705A7EFC">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772B6B6C">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640F6C19">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65DF022">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149F8DD1">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F30B925">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3E6ACE1">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13BE3F87">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031CE334">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444AF7B7">
      <w:pPr>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3A2F47FE">
      <w:pPr>
        <w:spacing w:line="360" w:lineRule="auto"/>
        <w:rPr>
          <w:rFonts w:ascii="宋体" w:hAnsi="宋体" w:cs="宋体"/>
          <w:color w:val="auto"/>
          <w:sz w:val="24"/>
          <w:highlight w:val="none"/>
          <w:u w:val="single"/>
        </w:rPr>
      </w:pPr>
      <w:r>
        <w:rPr>
          <w:rFonts w:hint="eastAsia" w:ascii="宋体" w:hAnsi="宋体" w:cs="宋体"/>
          <w:color w:val="auto"/>
          <w:sz w:val="24"/>
          <w:highlight w:val="none"/>
        </w:rPr>
        <w:t xml:space="preserve">                                                                                                    </w:t>
      </w:r>
    </w:p>
    <w:p w14:paraId="3CC8CF0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E3DAB8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2EB45A30">
      <w:pPr>
        <w:spacing w:line="360" w:lineRule="auto"/>
        <w:rPr>
          <w:rFonts w:ascii="宋体" w:hAnsi="宋体" w:cs="宋体"/>
          <w:b/>
          <w:color w:val="auto"/>
          <w:sz w:val="24"/>
          <w:highlight w:val="none"/>
        </w:rPr>
      </w:pPr>
    </w:p>
    <w:p w14:paraId="1ADCAFE1">
      <w:pPr>
        <w:spacing w:line="360" w:lineRule="auto"/>
        <w:rPr>
          <w:rFonts w:ascii="宋体" w:hAnsi="宋体" w:cs="宋体"/>
          <w:b/>
          <w:color w:val="auto"/>
          <w:sz w:val="24"/>
          <w:highlight w:val="none"/>
        </w:rPr>
      </w:pPr>
    </w:p>
    <w:p w14:paraId="2182E5F3">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79977C4E">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62F7B9A2">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66A2559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60B9E78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19A9048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7DF37D5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58EF9795">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20991BF1">
      <w:pPr>
        <w:spacing w:line="360" w:lineRule="auto"/>
        <w:rPr>
          <w:rFonts w:ascii="宋体" w:hAnsi="宋体" w:cs="宋体"/>
          <w:b/>
          <w:color w:val="auto"/>
          <w:sz w:val="24"/>
          <w:highlight w:val="none"/>
        </w:rPr>
      </w:pPr>
    </w:p>
    <w:p w14:paraId="570DFEA1">
      <w:pPr>
        <w:autoSpaceDE w:val="0"/>
        <w:autoSpaceDN w:val="0"/>
        <w:jc w:val="center"/>
        <w:rPr>
          <w:rFonts w:ascii="宋体" w:hAnsi="宋体" w:cs="宋体"/>
          <w:b/>
          <w:color w:val="auto"/>
          <w:spacing w:val="6"/>
          <w:sz w:val="32"/>
          <w:szCs w:val="32"/>
          <w:highlight w:val="none"/>
        </w:rPr>
      </w:pPr>
    </w:p>
    <w:p w14:paraId="2277ED63">
      <w:pPr>
        <w:autoSpaceDE w:val="0"/>
        <w:autoSpaceDN w:val="0"/>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7BAA264A">
      <w:pPr>
        <w:spacing w:line="360" w:lineRule="auto"/>
        <w:rPr>
          <w:rFonts w:ascii="宋体" w:hAnsi="宋体" w:cs="宋体"/>
          <w:color w:val="auto"/>
          <w:sz w:val="24"/>
          <w:highlight w:val="none"/>
          <w:u w:val="single"/>
        </w:rPr>
      </w:pPr>
    </w:p>
    <w:p w14:paraId="2683FCBA">
      <w:pPr>
        <w:spacing w:line="360" w:lineRule="auto"/>
        <w:rPr>
          <w:rFonts w:ascii="宋体" w:hAnsi="宋体" w:cs="宋体"/>
          <w:color w:val="auto"/>
          <w:sz w:val="24"/>
          <w:highlight w:val="none"/>
        </w:rPr>
      </w:pPr>
      <w:r>
        <w:rPr>
          <w:rFonts w:hint="eastAsia" w:ascii="宋体" w:hAnsi="宋体" w:cs="宋体"/>
          <w:color w:val="auto"/>
          <w:sz w:val="24"/>
          <w:highlight w:val="none"/>
          <w:u w:val="single"/>
        </w:rPr>
        <w:t>（采购人）、（采购代理机构）：</w:t>
      </w:r>
    </w:p>
    <w:p w14:paraId="74BF2300">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你方组织的（项目名称）【招标编号：（采购编号）】</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0EFCAB0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00D35BB3">
      <w:pPr>
        <w:spacing w:line="360" w:lineRule="auto"/>
        <w:ind w:firstLine="494"/>
        <w:rPr>
          <w:rFonts w:ascii="宋体" w:hAnsi="宋体" w:cs="宋体"/>
          <w:color w:val="auto"/>
          <w:sz w:val="24"/>
          <w:highlight w:val="none"/>
        </w:rPr>
      </w:pPr>
    </w:p>
    <w:p w14:paraId="50BA515F">
      <w:pPr>
        <w:spacing w:line="360" w:lineRule="auto"/>
        <w:ind w:firstLine="494"/>
        <w:rPr>
          <w:rFonts w:ascii="宋体" w:hAnsi="宋体" w:cs="宋体"/>
          <w:color w:val="auto"/>
          <w:sz w:val="24"/>
          <w:highlight w:val="none"/>
        </w:rPr>
      </w:pPr>
    </w:p>
    <w:p w14:paraId="7562A299">
      <w:pPr>
        <w:spacing w:line="360" w:lineRule="auto"/>
        <w:ind w:firstLine="494"/>
        <w:rPr>
          <w:rFonts w:ascii="宋体" w:hAnsi="宋体" w:cs="宋体"/>
          <w:color w:val="auto"/>
          <w:sz w:val="24"/>
          <w:highlight w:val="none"/>
        </w:rPr>
      </w:pPr>
    </w:p>
    <w:p w14:paraId="727AE9A2">
      <w:pPr>
        <w:spacing w:line="360" w:lineRule="auto"/>
        <w:ind w:firstLine="494"/>
        <w:rPr>
          <w:rFonts w:ascii="宋体" w:hAnsi="宋体" w:cs="宋体"/>
          <w:color w:val="auto"/>
          <w:sz w:val="24"/>
          <w:highlight w:val="none"/>
        </w:rPr>
      </w:pPr>
    </w:p>
    <w:p w14:paraId="16726B4E">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2CD0A5F4">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73ACDAF8">
      <w:pPr>
        <w:rPr>
          <w:rFonts w:ascii="宋体" w:hAnsi="宋体" w:cs="宋体"/>
          <w:color w:val="auto"/>
          <w:sz w:val="24"/>
          <w:highlight w:val="none"/>
        </w:rPr>
      </w:pPr>
      <w:r>
        <w:rPr>
          <w:rFonts w:hint="eastAsia" w:ascii="宋体" w:hAnsi="宋体" w:cs="宋体"/>
          <w:b/>
          <w:bCs/>
          <w:color w:val="auto"/>
          <w:sz w:val="24"/>
          <w:highlight w:val="none"/>
        </w:rPr>
        <w:t>附：</w:t>
      </w:r>
    </w:p>
    <w:p w14:paraId="07281482">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12723FC3">
      <w:pPr>
        <w:autoSpaceDE w:val="0"/>
        <w:autoSpaceDN w:val="0"/>
        <w:jc w:val="center"/>
        <w:rPr>
          <w:rFonts w:ascii="宋体" w:hAnsi="宋体" w:cs="宋体"/>
          <w:b/>
          <w:color w:val="auto"/>
          <w:spacing w:val="6"/>
          <w:sz w:val="32"/>
          <w:szCs w:val="32"/>
          <w:highlight w:val="none"/>
        </w:rPr>
      </w:pPr>
    </w:p>
    <w:p w14:paraId="09FDBCAF">
      <w:pPr>
        <w:autoSpaceDE w:val="0"/>
        <w:autoSpaceDN w:val="0"/>
        <w:jc w:val="center"/>
        <w:rPr>
          <w:rFonts w:ascii="宋体" w:hAnsi="宋体" w:cs="宋体"/>
          <w:b/>
          <w:color w:val="auto"/>
          <w:spacing w:val="6"/>
          <w:sz w:val="32"/>
          <w:szCs w:val="32"/>
          <w:highlight w:val="none"/>
        </w:rPr>
      </w:pPr>
    </w:p>
    <w:p w14:paraId="2ED3C669">
      <w:pPr>
        <w:autoSpaceDE w:val="0"/>
        <w:autoSpaceDN w:val="0"/>
        <w:jc w:val="center"/>
        <w:rPr>
          <w:rFonts w:ascii="宋体" w:hAnsi="宋体" w:cs="宋体"/>
          <w:b/>
          <w:color w:val="auto"/>
          <w:spacing w:val="6"/>
          <w:sz w:val="32"/>
          <w:szCs w:val="32"/>
          <w:highlight w:val="none"/>
        </w:rPr>
      </w:pPr>
    </w:p>
    <w:p w14:paraId="4A56C0F9">
      <w:pPr>
        <w:autoSpaceDE w:val="0"/>
        <w:autoSpaceDN w:val="0"/>
        <w:jc w:val="center"/>
        <w:rPr>
          <w:rFonts w:ascii="宋体" w:hAnsi="宋体" w:cs="宋体"/>
          <w:b/>
          <w:color w:val="auto"/>
          <w:spacing w:val="6"/>
          <w:sz w:val="32"/>
          <w:szCs w:val="32"/>
          <w:highlight w:val="none"/>
        </w:rPr>
      </w:pPr>
    </w:p>
    <w:p w14:paraId="305D2AF2">
      <w:pPr>
        <w:autoSpaceDE w:val="0"/>
        <w:autoSpaceDN w:val="0"/>
        <w:jc w:val="center"/>
        <w:rPr>
          <w:rFonts w:ascii="宋体" w:hAnsi="宋体" w:cs="宋体"/>
          <w:b/>
          <w:color w:val="auto"/>
          <w:spacing w:val="6"/>
          <w:sz w:val="32"/>
          <w:szCs w:val="32"/>
          <w:highlight w:val="none"/>
        </w:rPr>
      </w:pPr>
    </w:p>
    <w:p w14:paraId="3A9C0F77">
      <w:pPr>
        <w:autoSpaceDE w:val="0"/>
        <w:autoSpaceDN w:val="0"/>
        <w:jc w:val="center"/>
        <w:rPr>
          <w:rFonts w:ascii="宋体" w:hAnsi="宋体" w:cs="宋体"/>
          <w:b/>
          <w:color w:val="auto"/>
          <w:spacing w:val="6"/>
          <w:sz w:val="32"/>
          <w:szCs w:val="32"/>
          <w:highlight w:val="none"/>
        </w:rPr>
      </w:pPr>
    </w:p>
    <w:p w14:paraId="681DF22C">
      <w:pPr>
        <w:autoSpaceDE w:val="0"/>
        <w:autoSpaceDN w:val="0"/>
        <w:jc w:val="center"/>
        <w:rPr>
          <w:rFonts w:ascii="宋体" w:hAnsi="宋体" w:cs="宋体"/>
          <w:b/>
          <w:color w:val="auto"/>
          <w:spacing w:val="6"/>
          <w:sz w:val="32"/>
          <w:szCs w:val="32"/>
          <w:highlight w:val="none"/>
        </w:rPr>
      </w:pPr>
    </w:p>
    <w:p w14:paraId="77167CCA">
      <w:pPr>
        <w:autoSpaceDE w:val="0"/>
        <w:autoSpaceDN w:val="0"/>
        <w:jc w:val="center"/>
        <w:rPr>
          <w:rFonts w:ascii="宋体" w:hAnsi="宋体" w:cs="宋体"/>
          <w:b/>
          <w:color w:val="auto"/>
          <w:spacing w:val="6"/>
          <w:sz w:val="32"/>
          <w:szCs w:val="32"/>
          <w:highlight w:val="none"/>
        </w:rPr>
      </w:pPr>
    </w:p>
    <w:p w14:paraId="2768F27C">
      <w:pPr>
        <w:autoSpaceDE w:val="0"/>
        <w:autoSpaceDN w:val="0"/>
        <w:jc w:val="center"/>
        <w:rPr>
          <w:rFonts w:ascii="宋体" w:hAnsi="宋体" w:cs="宋体"/>
          <w:b/>
          <w:color w:val="auto"/>
          <w:spacing w:val="6"/>
          <w:sz w:val="32"/>
          <w:szCs w:val="32"/>
          <w:highlight w:val="none"/>
        </w:rPr>
      </w:pPr>
    </w:p>
    <w:p w14:paraId="653C096D">
      <w:pPr>
        <w:autoSpaceDE w:val="0"/>
        <w:autoSpaceDN w:val="0"/>
        <w:jc w:val="center"/>
        <w:rPr>
          <w:rFonts w:ascii="宋体" w:hAnsi="宋体" w:cs="宋体"/>
          <w:b/>
          <w:color w:val="auto"/>
          <w:spacing w:val="6"/>
          <w:sz w:val="32"/>
          <w:szCs w:val="32"/>
          <w:highlight w:val="none"/>
        </w:rPr>
      </w:pPr>
    </w:p>
    <w:p w14:paraId="369B9828">
      <w:pPr>
        <w:autoSpaceDE w:val="0"/>
        <w:autoSpaceDN w:val="0"/>
        <w:jc w:val="center"/>
        <w:rPr>
          <w:rFonts w:ascii="宋体" w:hAnsi="宋体" w:cs="宋体"/>
          <w:b/>
          <w:color w:val="auto"/>
          <w:spacing w:val="6"/>
          <w:sz w:val="32"/>
          <w:szCs w:val="32"/>
          <w:highlight w:val="none"/>
        </w:rPr>
      </w:pPr>
    </w:p>
    <w:p w14:paraId="57E75FC1">
      <w:pPr>
        <w:autoSpaceDE w:val="0"/>
        <w:autoSpaceDN w:val="0"/>
        <w:jc w:val="center"/>
        <w:rPr>
          <w:rFonts w:ascii="宋体" w:hAnsi="宋体" w:cs="宋体"/>
          <w:b/>
          <w:color w:val="auto"/>
          <w:spacing w:val="6"/>
          <w:sz w:val="32"/>
          <w:szCs w:val="32"/>
          <w:highlight w:val="none"/>
        </w:rPr>
      </w:pPr>
    </w:p>
    <w:p w14:paraId="1969CA06">
      <w:pPr>
        <w:autoSpaceDE w:val="0"/>
        <w:autoSpaceDN w:val="0"/>
        <w:jc w:val="center"/>
        <w:rPr>
          <w:rFonts w:ascii="宋体" w:hAnsi="宋体" w:cs="宋体"/>
          <w:b/>
          <w:color w:val="auto"/>
          <w:spacing w:val="6"/>
          <w:sz w:val="32"/>
          <w:szCs w:val="32"/>
          <w:highlight w:val="none"/>
        </w:rPr>
      </w:pPr>
    </w:p>
    <w:p w14:paraId="22CEB3E2">
      <w:pPr>
        <w:autoSpaceDE w:val="0"/>
        <w:autoSpaceDN w:val="0"/>
        <w:jc w:val="center"/>
        <w:rPr>
          <w:rFonts w:ascii="宋体" w:hAnsi="宋体" w:cs="宋体"/>
          <w:b/>
          <w:color w:val="auto"/>
          <w:spacing w:val="6"/>
          <w:sz w:val="32"/>
          <w:szCs w:val="32"/>
          <w:highlight w:val="none"/>
        </w:rPr>
      </w:pPr>
    </w:p>
    <w:p w14:paraId="25213965">
      <w:pPr>
        <w:autoSpaceDE w:val="0"/>
        <w:autoSpaceDN w:val="0"/>
        <w:jc w:val="center"/>
        <w:rPr>
          <w:rFonts w:ascii="宋体" w:hAnsi="宋体" w:cs="宋体"/>
          <w:b/>
          <w:color w:val="auto"/>
          <w:spacing w:val="6"/>
          <w:sz w:val="32"/>
          <w:szCs w:val="32"/>
          <w:highlight w:val="none"/>
        </w:rPr>
      </w:pPr>
    </w:p>
    <w:p w14:paraId="662A82E3">
      <w:pPr>
        <w:autoSpaceDE w:val="0"/>
        <w:autoSpaceDN w:val="0"/>
        <w:jc w:val="center"/>
        <w:rPr>
          <w:rFonts w:ascii="宋体" w:hAnsi="宋体" w:cs="宋体"/>
          <w:b/>
          <w:color w:val="auto"/>
          <w:spacing w:val="6"/>
          <w:sz w:val="32"/>
          <w:szCs w:val="32"/>
          <w:highlight w:val="none"/>
        </w:rPr>
      </w:pPr>
    </w:p>
    <w:p w14:paraId="7C600FC0">
      <w:pPr>
        <w:autoSpaceDE w:val="0"/>
        <w:autoSpaceDN w:val="0"/>
        <w:rPr>
          <w:rFonts w:ascii="宋体" w:hAnsi="宋体" w:cs="宋体"/>
          <w:b/>
          <w:color w:val="auto"/>
          <w:kern w:val="0"/>
          <w:sz w:val="32"/>
          <w:szCs w:val="32"/>
          <w:highlight w:val="none"/>
          <w:lang w:val="zh-CN"/>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5</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lang w:val="zh-CN"/>
        </w:rPr>
        <w:t>联合协议</w:t>
      </w:r>
    </w:p>
    <w:p w14:paraId="6A6DFB3E">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7DB17F9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 xml:space="preserve">投标。 </w:t>
      </w:r>
    </w:p>
    <w:p w14:paraId="360B4D1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748167E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644117D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03F062F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13924A6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6E4C4E7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p w14:paraId="074F1C3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7A2F05B2">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w:t>
      </w:r>
      <w:bookmarkStart w:id="415" w:name="_Hlk101131882"/>
      <w:r>
        <w:rPr>
          <w:rFonts w:hint="eastAsia" w:ascii="宋体" w:hAnsi="宋体" w:cs="宋体"/>
          <w:color w:val="auto"/>
          <w:kern w:val="0"/>
          <w:sz w:val="24"/>
          <w:highlight w:val="none"/>
          <w:u w:val="single"/>
        </w:rPr>
        <w:t>联合体成员X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w:t>
      </w:r>
      <w:bookmarkEnd w:id="415"/>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提供的服务由小微企业承接，其合同份额占到合同总金额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w:t>
      </w:r>
      <w:bookmarkStart w:id="416" w:name="_Hlk101133598"/>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bookmarkEnd w:id="416"/>
      <w:r>
        <w:rPr>
          <w:rFonts w:hint="eastAsia" w:ascii="宋体" w:hAnsi="宋体" w:cs="宋体"/>
          <w:b/>
          <w:color w:val="auto"/>
          <w:kern w:val="0"/>
          <w:sz w:val="24"/>
          <w:highlight w:val="none"/>
          <w:lang w:val="zh-CN"/>
        </w:rPr>
        <w:t>）</w:t>
      </w:r>
    </w:p>
    <w:p w14:paraId="5ED8A724">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417"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bookmarkEnd w:id="417"/>
    </w:p>
    <w:p w14:paraId="48AB155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704AA60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225B4F1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05DD416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658736E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1451E404">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14:paraId="4CC82E3F">
      <w:pPr>
        <w:snapToGrid w:val="0"/>
        <w:spacing w:line="360" w:lineRule="auto"/>
        <w:ind w:firstLine="5040" w:firstLineChars="2100"/>
        <w:rPr>
          <w:rStyle w:val="82"/>
          <w:color w:val="auto"/>
          <w:highlight w:val="none"/>
        </w:rPr>
      </w:pPr>
      <w:r>
        <w:rPr>
          <w:rStyle w:val="82"/>
          <w:rFonts w:hint="eastAsia"/>
          <w:color w:val="auto"/>
          <w:highlight w:val="none"/>
        </w:rPr>
        <w:t>法定代表人（负责人） (签名)：</w:t>
      </w:r>
    </w:p>
    <w:p w14:paraId="53418D3B">
      <w:pPr>
        <w:snapToGrid w:val="0"/>
        <w:spacing w:line="360" w:lineRule="auto"/>
        <w:ind w:firstLine="5040" w:firstLineChars="2100"/>
        <w:rPr>
          <w:rFonts w:ascii="宋体" w:hAnsi="宋体" w:cs="宋体"/>
          <w:color w:val="auto"/>
          <w:kern w:val="0"/>
          <w:sz w:val="24"/>
          <w:highlight w:val="none"/>
          <w:lang w:val="zh-CN"/>
        </w:rPr>
      </w:pPr>
      <w:r>
        <w:rPr>
          <w:rStyle w:val="82"/>
          <w:rFonts w:hint="eastAsia"/>
          <w:color w:val="auto"/>
          <w:highlight w:val="none"/>
        </w:rPr>
        <w:t>联合体成</w:t>
      </w:r>
      <w:r>
        <w:rPr>
          <w:rFonts w:hint="eastAsia" w:ascii="宋体" w:hAnsi="宋体" w:cs="宋体"/>
          <w:color w:val="auto"/>
          <w:kern w:val="0"/>
          <w:sz w:val="24"/>
          <w:highlight w:val="none"/>
          <w:lang w:val="zh-CN"/>
        </w:rPr>
        <w:t>员名称(公章)：</w:t>
      </w:r>
    </w:p>
    <w:p w14:paraId="697EF80A">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法定代表人（负责人） (签名)：</w:t>
      </w:r>
    </w:p>
    <w:p w14:paraId="680084EB">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30C31B8F">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29C2134C">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9BAB2C8">
      <w:pPr>
        <w:autoSpaceDE w:val="0"/>
        <w:autoSpaceDN w:val="0"/>
        <w:jc w:val="center"/>
        <w:rPr>
          <w:rFonts w:ascii="宋体" w:hAnsi="宋体" w:cs="宋体"/>
          <w:b/>
          <w:color w:val="auto"/>
          <w:spacing w:val="6"/>
          <w:sz w:val="32"/>
          <w:szCs w:val="32"/>
          <w:highlight w:val="none"/>
        </w:rPr>
      </w:pPr>
    </w:p>
    <w:p w14:paraId="6FDFCD38">
      <w:pPr>
        <w:autoSpaceDE w:val="0"/>
        <w:autoSpaceDN w:val="0"/>
        <w:jc w:val="center"/>
        <w:rPr>
          <w:rFonts w:ascii="宋体" w:hAnsi="宋体" w:cs="宋体"/>
          <w:b/>
          <w:color w:val="auto"/>
          <w:spacing w:val="6"/>
          <w:sz w:val="32"/>
          <w:szCs w:val="32"/>
          <w:highlight w:val="none"/>
        </w:rPr>
      </w:pPr>
    </w:p>
    <w:p w14:paraId="09ED846D">
      <w:pPr>
        <w:autoSpaceDE w:val="0"/>
        <w:autoSpaceDN w:val="0"/>
        <w:jc w:val="center"/>
        <w:rPr>
          <w:rFonts w:ascii="宋体" w:hAnsi="宋体" w:cs="宋体"/>
          <w:b/>
          <w:color w:val="auto"/>
          <w:spacing w:val="6"/>
          <w:sz w:val="32"/>
          <w:szCs w:val="32"/>
          <w:highlight w:val="none"/>
        </w:rPr>
      </w:pPr>
    </w:p>
    <w:p w14:paraId="1849C577">
      <w:pPr>
        <w:autoSpaceDE w:val="0"/>
        <w:autoSpaceDN w:val="0"/>
        <w:jc w:val="center"/>
        <w:rPr>
          <w:rFonts w:ascii="宋体" w:hAnsi="宋体" w:cs="宋体"/>
          <w:b/>
          <w:color w:val="auto"/>
          <w:spacing w:val="6"/>
          <w:sz w:val="32"/>
          <w:szCs w:val="32"/>
          <w:highlight w:val="none"/>
        </w:rPr>
      </w:pPr>
    </w:p>
    <w:p w14:paraId="0B17F126">
      <w:pPr>
        <w:autoSpaceDE w:val="0"/>
        <w:autoSpaceDN w:val="0"/>
        <w:jc w:val="center"/>
        <w:rPr>
          <w:rFonts w:ascii="宋体" w:hAnsi="宋体" w:cs="宋体"/>
          <w:b/>
          <w:color w:val="auto"/>
          <w:spacing w:val="6"/>
          <w:sz w:val="32"/>
          <w:szCs w:val="32"/>
          <w:highlight w:val="none"/>
        </w:rPr>
      </w:pPr>
    </w:p>
    <w:p w14:paraId="4FA4D7F9">
      <w:pPr>
        <w:autoSpaceDE w:val="0"/>
        <w:autoSpaceDN w:val="0"/>
        <w:jc w:val="center"/>
        <w:rPr>
          <w:rFonts w:ascii="宋体" w:hAnsi="宋体" w:cs="宋体"/>
          <w:b/>
          <w:color w:val="auto"/>
          <w:spacing w:val="6"/>
          <w:sz w:val="32"/>
          <w:szCs w:val="32"/>
          <w:highlight w:val="none"/>
        </w:rPr>
      </w:pPr>
    </w:p>
    <w:p w14:paraId="482F12B0">
      <w:pPr>
        <w:autoSpaceDE w:val="0"/>
        <w:autoSpaceDN w:val="0"/>
        <w:jc w:val="center"/>
        <w:rPr>
          <w:rFonts w:ascii="宋体" w:hAnsi="宋体" w:cs="宋体"/>
          <w:b/>
          <w:color w:val="auto"/>
          <w:spacing w:val="6"/>
          <w:sz w:val="32"/>
          <w:szCs w:val="32"/>
          <w:highlight w:val="none"/>
        </w:rPr>
      </w:pPr>
    </w:p>
    <w:p w14:paraId="6F117C12">
      <w:pPr>
        <w:autoSpaceDE w:val="0"/>
        <w:autoSpaceDN w:val="0"/>
        <w:jc w:val="center"/>
        <w:rPr>
          <w:rFonts w:ascii="宋体" w:hAnsi="宋体" w:cs="宋体"/>
          <w:b/>
          <w:color w:val="auto"/>
          <w:spacing w:val="6"/>
          <w:sz w:val="32"/>
          <w:szCs w:val="32"/>
          <w:highlight w:val="none"/>
        </w:rPr>
      </w:pPr>
    </w:p>
    <w:p w14:paraId="6791714F">
      <w:pPr>
        <w:autoSpaceDE w:val="0"/>
        <w:autoSpaceDN w:val="0"/>
        <w:jc w:val="center"/>
        <w:rPr>
          <w:rFonts w:ascii="宋体" w:hAnsi="宋体" w:cs="宋体"/>
          <w:b/>
          <w:color w:val="auto"/>
          <w:spacing w:val="6"/>
          <w:sz w:val="32"/>
          <w:szCs w:val="32"/>
          <w:highlight w:val="none"/>
        </w:rPr>
      </w:pPr>
    </w:p>
    <w:p w14:paraId="43731634">
      <w:pPr>
        <w:autoSpaceDE w:val="0"/>
        <w:autoSpaceDN w:val="0"/>
        <w:jc w:val="center"/>
        <w:rPr>
          <w:rFonts w:ascii="宋体" w:hAnsi="宋体" w:cs="宋体"/>
          <w:b/>
          <w:color w:val="auto"/>
          <w:spacing w:val="6"/>
          <w:sz w:val="32"/>
          <w:szCs w:val="32"/>
          <w:highlight w:val="none"/>
        </w:rPr>
      </w:pPr>
    </w:p>
    <w:p w14:paraId="5CCF17F4">
      <w:pPr>
        <w:autoSpaceDE w:val="0"/>
        <w:autoSpaceDN w:val="0"/>
        <w:jc w:val="center"/>
        <w:rPr>
          <w:rFonts w:ascii="宋体" w:hAnsi="宋体" w:cs="宋体"/>
          <w:b/>
          <w:color w:val="auto"/>
          <w:spacing w:val="6"/>
          <w:sz w:val="32"/>
          <w:szCs w:val="32"/>
          <w:highlight w:val="none"/>
        </w:rPr>
      </w:pPr>
    </w:p>
    <w:p w14:paraId="7AE12093">
      <w:pPr>
        <w:autoSpaceDE w:val="0"/>
        <w:autoSpaceDN w:val="0"/>
        <w:jc w:val="center"/>
        <w:rPr>
          <w:rFonts w:ascii="宋体" w:hAnsi="宋体" w:cs="宋体"/>
          <w:b/>
          <w:color w:val="auto"/>
          <w:spacing w:val="6"/>
          <w:sz w:val="32"/>
          <w:szCs w:val="32"/>
          <w:highlight w:val="none"/>
        </w:rPr>
      </w:pPr>
    </w:p>
    <w:p w14:paraId="42FB30F8">
      <w:pPr>
        <w:autoSpaceDE w:val="0"/>
        <w:autoSpaceDN w:val="0"/>
        <w:jc w:val="center"/>
        <w:rPr>
          <w:rFonts w:ascii="宋体" w:hAnsi="宋体" w:cs="宋体"/>
          <w:b/>
          <w:color w:val="auto"/>
          <w:spacing w:val="6"/>
          <w:sz w:val="32"/>
          <w:szCs w:val="32"/>
          <w:highlight w:val="none"/>
        </w:rPr>
      </w:pPr>
    </w:p>
    <w:p w14:paraId="5D9B6EEC">
      <w:pPr>
        <w:autoSpaceDE w:val="0"/>
        <w:autoSpaceDN w:val="0"/>
        <w:jc w:val="center"/>
        <w:rPr>
          <w:rFonts w:ascii="宋体" w:hAnsi="宋体" w:cs="宋体"/>
          <w:b/>
          <w:color w:val="auto"/>
          <w:spacing w:val="6"/>
          <w:sz w:val="32"/>
          <w:szCs w:val="32"/>
          <w:highlight w:val="none"/>
        </w:rPr>
      </w:pPr>
    </w:p>
    <w:p w14:paraId="30A6A17B">
      <w:pPr>
        <w:autoSpaceDE w:val="0"/>
        <w:autoSpaceDN w:val="0"/>
        <w:jc w:val="center"/>
        <w:rPr>
          <w:rFonts w:ascii="宋体" w:hAnsi="宋体" w:cs="宋体"/>
          <w:b/>
          <w:color w:val="auto"/>
          <w:spacing w:val="6"/>
          <w:sz w:val="32"/>
          <w:szCs w:val="32"/>
          <w:highlight w:val="none"/>
        </w:rPr>
      </w:pPr>
    </w:p>
    <w:p w14:paraId="229D910B">
      <w:pPr>
        <w:autoSpaceDE w:val="0"/>
        <w:autoSpaceDN w:val="0"/>
        <w:jc w:val="center"/>
        <w:rPr>
          <w:rFonts w:ascii="宋体" w:hAnsi="宋体" w:cs="宋体"/>
          <w:b/>
          <w:color w:val="auto"/>
          <w:spacing w:val="6"/>
          <w:sz w:val="32"/>
          <w:szCs w:val="32"/>
          <w:highlight w:val="none"/>
        </w:rPr>
      </w:pPr>
    </w:p>
    <w:p w14:paraId="363A5132">
      <w:pPr>
        <w:autoSpaceDE w:val="0"/>
        <w:autoSpaceDN w:val="0"/>
        <w:jc w:val="center"/>
        <w:rPr>
          <w:rFonts w:ascii="宋体" w:hAnsi="宋体" w:cs="宋体"/>
          <w:b/>
          <w:color w:val="auto"/>
          <w:spacing w:val="6"/>
          <w:sz w:val="32"/>
          <w:szCs w:val="32"/>
          <w:highlight w:val="none"/>
        </w:rPr>
      </w:pPr>
    </w:p>
    <w:p w14:paraId="080F6019">
      <w:pPr>
        <w:autoSpaceDE w:val="0"/>
        <w:autoSpaceDN w:val="0"/>
        <w:jc w:val="center"/>
        <w:rPr>
          <w:rFonts w:ascii="宋体" w:hAnsi="宋体" w:cs="宋体"/>
          <w:b/>
          <w:color w:val="auto"/>
          <w:spacing w:val="6"/>
          <w:sz w:val="32"/>
          <w:szCs w:val="32"/>
          <w:highlight w:val="none"/>
        </w:rPr>
      </w:pPr>
    </w:p>
    <w:p w14:paraId="00D5F81F">
      <w:pPr>
        <w:autoSpaceDE w:val="0"/>
        <w:autoSpaceDN w:val="0"/>
        <w:jc w:val="center"/>
        <w:rPr>
          <w:rFonts w:ascii="宋体" w:hAnsi="宋体" w:cs="宋体"/>
          <w:b/>
          <w:color w:val="auto"/>
          <w:spacing w:val="6"/>
          <w:sz w:val="32"/>
          <w:szCs w:val="32"/>
          <w:highlight w:val="none"/>
        </w:rPr>
      </w:pPr>
    </w:p>
    <w:p w14:paraId="63D37DDE">
      <w:pPr>
        <w:autoSpaceDE w:val="0"/>
        <w:autoSpaceDN w:val="0"/>
        <w:jc w:val="center"/>
        <w:rPr>
          <w:rFonts w:ascii="宋体" w:hAnsi="宋体" w:cs="宋体"/>
          <w:b/>
          <w:color w:val="auto"/>
          <w:spacing w:val="6"/>
          <w:sz w:val="32"/>
          <w:szCs w:val="32"/>
          <w:highlight w:val="none"/>
        </w:rPr>
      </w:pPr>
    </w:p>
    <w:p w14:paraId="62C736D1">
      <w:pPr>
        <w:autoSpaceDE w:val="0"/>
        <w:autoSpaceDN w:val="0"/>
        <w:jc w:val="center"/>
        <w:rPr>
          <w:rFonts w:ascii="宋体" w:hAnsi="宋体" w:cs="宋体"/>
          <w:b/>
          <w:color w:val="auto"/>
          <w:spacing w:val="6"/>
          <w:sz w:val="32"/>
          <w:szCs w:val="32"/>
          <w:highlight w:val="none"/>
        </w:rPr>
      </w:pPr>
    </w:p>
    <w:p w14:paraId="0D16DEEE">
      <w:pPr>
        <w:autoSpaceDE w:val="0"/>
        <w:autoSpaceDN w:val="0"/>
        <w:jc w:val="center"/>
        <w:rPr>
          <w:rFonts w:ascii="宋体" w:hAnsi="宋体" w:cs="宋体"/>
          <w:b/>
          <w:color w:val="auto"/>
          <w:spacing w:val="6"/>
          <w:sz w:val="32"/>
          <w:szCs w:val="32"/>
          <w:highlight w:val="none"/>
        </w:rPr>
      </w:pPr>
    </w:p>
    <w:p w14:paraId="680E20AB">
      <w:pPr>
        <w:autoSpaceDE w:val="0"/>
        <w:autoSpaceDN w:val="0"/>
        <w:jc w:val="center"/>
        <w:rPr>
          <w:rFonts w:ascii="宋体" w:hAnsi="宋体" w:cs="宋体"/>
          <w:b/>
          <w:color w:val="auto"/>
          <w:spacing w:val="6"/>
          <w:sz w:val="32"/>
          <w:szCs w:val="32"/>
          <w:highlight w:val="none"/>
        </w:rPr>
      </w:pPr>
    </w:p>
    <w:p w14:paraId="14C7B9D7">
      <w:pPr>
        <w:widowControl/>
        <w:adjustRightInd/>
        <w:jc w:val="left"/>
        <w:rPr>
          <w:rFonts w:ascii="宋体" w:hAnsi="宋体" w:cs="宋体"/>
          <w:b/>
          <w:color w:val="auto"/>
          <w:spacing w:val="6"/>
          <w:sz w:val="32"/>
          <w:szCs w:val="32"/>
          <w:highlight w:val="none"/>
        </w:rPr>
      </w:pPr>
    </w:p>
    <w:p w14:paraId="48B3D73E">
      <w:pPr>
        <w:snapToGrid w:val="0"/>
        <w:spacing w:line="360" w:lineRule="auto"/>
        <w:rPr>
          <w:rFonts w:ascii="宋体" w:hAnsi="宋体" w:cs="宋体"/>
          <w:b/>
          <w:color w:val="auto"/>
          <w:kern w:val="0"/>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6</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rPr>
        <w:t>分包意向协议</w:t>
      </w:r>
    </w:p>
    <w:p w14:paraId="69AF9302">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3AB3B20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3BA7F87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7CA4571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（分包供应商2名称），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06A83977">
      <w:pPr>
        <w:pStyle w:val="83"/>
        <w:rPr>
          <w:color w:val="auto"/>
          <w:highlight w:val="none"/>
        </w:rPr>
      </w:pPr>
      <w:r>
        <w:rPr>
          <w:rFonts w:hint="eastAsia"/>
          <w:color w:val="auto"/>
          <w:highlight w:val="none"/>
        </w:rPr>
        <w:t>……</w:t>
      </w:r>
    </w:p>
    <w:p w14:paraId="2D16E5B5">
      <w:pPr>
        <w:rPr>
          <w:color w:val="auto"/>
          <w:highlight w:val="none"/>
        </w:rPr>
      </w:pPr>
      <w:r>
        <w:rPr>
          <w:rFonts w:hint="eastAsia"/>
          <w:color w:val="auto"/>
          <w:highlight w:val="none"/>
          <w:lang w:val="zh-CN"/>
        </w:rPr>
        <w:t xml:space="preserve"> </w:t>
      </w:r>
    </w:p>
    <w:p w14:paraId="68E3C61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45AEC658">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……）提供的服务全部由小微企业承接，</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6DDB2407">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79D9AA7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5B213EB5">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672A78E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05C5131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548AE5F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7AC2B141">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424EDA4">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62589C9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89A82F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56505A0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393E010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八、其他</w:t>
      </w:r>
    </w:p>
    <w:p w14:paraId="6F0D92A1">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  。                                           投标人名称(公章)：</w:t>
      </w:r>
    </w:p>
    <w:p w14:paraId="1A4E05E8">
      <w:pPr>
        <w:snapToGrid w:val="0"/>
        <w:spacing w:line="360" w:lineRule="auto"/>
        <w:ind w:left="5758" w:leftChars="2742"/>
        <w:rPr>
          <w:rFonts w:ascii="宋体" w:hAnsi="宋体" w:cs="宋体"/>
          <w:color w:val="auto"/>
          <w:kern w:val="0"/>
          <w:sz w:val="24"/>
          <w:highlight w:val="none"/>
          <w:lang w:val="zh-CN"/>
        </w:rPr>
      </w:pPr>
      <w:r>
        <w:rPr>
          <w:rStyle w:val="82"/>
          <w:rFonts w:hint="eastAsia"/>
          <w:color w:val="auto"/>
          <w:highlight w:val="none"/>
        </w:rPr>
        <w:t>法定代表人（负责人） (签名)：</w:t>
      </w:r>
      <w:r>
        <w:rPr>
          <w:rFonts w:hint="eastAsia" w:ascii="宋体" w:hAnsi="宋体" w:cs="宋体"/>
          <w:color w:val="auto"/>
          <w:kern w:val="0"/>
          <w:sz w:val="24"/>
          <w:highlight w:val="none"/>
          <w:lang w:val="zh-CN"/>
        </w:rPr>
        <w:t>分包供应商名称(公章)：</w:t>
      </w:r>
    </w:p>
    <w:p w14:paraId="7489C043">
      <w:pPr>
        <w:pStyle w:val="83"/>
        <w:ind w:firstLine="5760" w:firstLineChars="2400"/>
        <w:rPr>
          <w:color w:val="auto"/>
          <w:highlight w:val="none"/>
        </w:rPr>
      </w:pPr>
      <w:r>
        <w:rPr>
          <w:rStyle w:val="82"/>
          <w:rFonts w:hint="eastAsia"/>
          <w:color w:val="auto"/>
          <w:highlight w:val="none"/>
        </w:rPr>
        <w:t>法定代表人（负责人） (签名)：</w:t>
      </w:r>
    </w:p>
    <w:p w14:paraId="15C54806">
      <w:pPr>
        <w:snapToGrid w:val="0"/>
        <w:spacing w:line="360" w:lineRule="auto"/>
        <w:jc w:val="right"/>
        <w:rPr>
          <w:rFonts w:ascii="宋体" w:hAnsi="宋体" w:cs="宋体"/>
          <w:color w:val="auto"/>
          <w:kern w:val="0"/>
          <w:sz w:val="24"/>
          <w:highlight w:val="none"/>
          <w:lang w:val="zh-CN"/>
        </w:rPr>
      </w:pPr>
    </w:p>
    <w:p w14:paraId="00EF4E27">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6A9B0A10">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2068A70E">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5BF99AC2">
      <w:pPr>
        <w:autoSpaceDE w:val="0"/>
        <w:autoSpaceDN w:val="0"/>
        <w:jc w:val="center"/>
        <w:rPr>
          <w:rFonts w:ascii="宋体" w:hAnsi="宋体" w:cs="宋体"/>
          <w:b/>
          <w:color w:val="auto"/>
          <w:spacing w:val="6"/>
          <w:sz w:val="32"/>
          <w:szCs w:val="32"/>
          <w:highlight w:val="none"/>
        </w:rPr>
      </w:pPr>
    </w:p>
    <w:p w14:paraId="383C3EAE">
      <w:pPr>
        <w:autoSpaceDE w:val="0"/>
        <w:autoSpaceDN w:val="0"/>
        <w:jc w:val="center"/>
        <w:rPr>
          <w:rFonts w:ascii="宋体" w:hAnsi="宋体" w:cs="宋体"/>
          <w:b/>
          <w:color w:val="auto"/>
          <w:spacing w:val="6"/>
          <w:sz w:val="32"/>
          <w:szCs w:val="32"/>
          <w:highlight w:val="none"/>
        </w:rPr>
      </w:pPr>
    </w:p>
    <w:p w14:paraId="669BF8E1">
      <w:pPr>
        <w:autoSpaceDE w:val="0"/>
        <w:autoSpaceDN w:val="0"/>
        <w:jc w:val="center"/>
        <w:rPr>
          <w:rFonts w:ascii="宋体" w:hAnsi="宋体" w:cs="宋体"/>
          <w:b/>
          <w:color w:val="auto"/>
          <w:spacing w:val="6"/>
          <w:sz w:val="32"/>
          <w:szCs w:val="32"/>
          <w:highlight w:val="none"/>
        </w:rPr>
      </w:pPr>
    </w:p>
    <w:p w14:paraId="72540E9A">
      <w:pPr>
        <w:autoSpaceDE w:val="0"/>
        <w:autoSpaceDN w:val="0"/>
        <w:jc w:val="center"/>
        <w:rPr>
          <w:rFonts w:ascii="宋体" w:hAnsi="宋体" w:cs="宋体"/>
          <w:b/>
          <w:color w:val="auto"/>
          <w:spacing w:val="6"/>
          <w:sz w:val="32"/>
          <w:szCs w:val="32"/>
          <w:highlight w:val="none"/>
        </w:rPr>
      </w:pPr>
    </w:p>
    <w:p w14:paraId="33EB6A02">
      <w:pPr>
        <w:autoSpaceDE w:val="0"/>
        <w:autoSpaceDN w:val="0"/>
        <w:jc w:val="center"/>
        <w:rPr>
          <w:rFonts w:ascii="宋体" w:hAnsi="宋体" w:cs="宋体"/>
          <w:b/>
          <w:color w:val="auto"/>
          <w:spacing w:val="6"/>
          <w:sz w:val="32"/>
          <w:szCs w:val="32"/>
          <w:highlight w:val="none"/>
        </w:rPr>
      </w:pPr>
    </w:p>
    <w:p w14:paraId="74823F13">
      <w:pPr>
        <w:autoSpaceDE w:val="0"/>
        <w:autoSpaceDN w:val="0"/>
        <w:jc w:val="center"/>
        <w:rPr>
          <w:rFonts w:ascii="宋体" w:hAnsi="宋体" w:cs="宋体"/>
          <w:b/>
          <w:color w:val="auto"/>
          <w:spacing w:val="6"/>
          <w:sz w:val="32"/>
          <w:szCs w:val="32"/>
          <w:highlight w:val="none"/>
        </w:rPr>
      </w:pPr>
    </w:p>
    <w:p w14:paraId="37C6C299">
      <w:pPr>
        <w:autoSpaceDE w:val="0"/>
        <w:autoSpaceDN w:val="0"/>
        <w:jc w:val="center"/>
        <w:rPr>
          <w:rFonts w:ascii="宋体" w:hAnsi="宋体" w:cs="宋体"/>
          <w:b/>
          <w:color w:val="auto"/>
          <w:spacing w:val="6"/>
          <w:sz w:val="32"/>
          <w:szCs w:val="32"/>
          <w:highlight w:val="none"/>
        </w:rPr>
      </w:pPr>
    </w:p>
    <w:p w14:paraId="22EF3975">
      <w:pPr>
        <w:autoSpaceDE w:val="0"/>
        <w:autoSpaceDN w:val="0"/>
        <w:jc w:val="center"/>
        <w:rPr>
          <w:rFonts w:ascii="宋体" w:hAnsi="宋体" w:cs="宋体"/>
          <w:b/>
          <w:color w:val="auto"/>
          <w:spacing w:val="6"/>
          <w:sz w:val="32"/>
          <w:szCs w:val="32"/>
          <w:highlight w:val="none"/>
        </w:rPr>
      </w:pPr>
    </w:p>
    <w:p w14:paraId="0F19802D">
      <w:pPr>
        <w:autoSpaceDE w:val="0"/>
        <w:autoSpaceDN w:val="0"/>
        <w:jc w:val="center"/>
        <w:rPr>
          <w:rFonts w:ascii="宋体" w:hAnsi="宋体" w:cs="宋体"/>
          <w:b/>
          <w:color w:val="auto"/>
          <w:spacing w:val="6"/>
          <w:sz w:val="32"/>
          <w:szCs w:val="32"/>
          <w:highlight w:val="none"/>
        </w:rPr>
      </w:pPr>
    </w:p>
    <w:p w14:paraId="22674014">
      <w:pPr>
        <w:autoSpaceDE w:val="0"/>
        <w:autoSpaceDN w:val="0"/>
        <w:jc w:val="center"/>
        <w:rPr>
          <w:rFonts w:ascii="宋体" w:hAnsi="宋体" w:cs="宋体"/>
          <w:b/>
          <w:color w:val="auto"/>
          <w:spacing w:val="6"/>
          <w:sz w:val="32"/>
          <w:szCs w:val="32"/>
          <w:highlight w:val="none"/>
        </w:rPr>
      </w:pPr>
    </w:p>
    <w:p w14:paraId="5F3953B3">
      <w:pPr>
        <w:autoSpaceDE w:val="0"/>
        <w:autoSpaceDN w:val="0"/>
        <w:jc w:val="center"/>
        <w:rPr>
          <w:rFonts w:ascii="宋体" w:hAnsi="宋体" w:cs="宋体"/>
          <w:b/>
          <w:color w:val="auto"/>
          <w:spacing w:val="6"/>
          <w:sz w:val="32"/>
          <w:szCs w:val="32"/>
          <w:highlight w:val="none"/>
        </w:rPr>
      </w:pPr>
    </w:p>
    <w:p w14:paraId="4181A515">
      <w:pPr>
        <w:autoSpaceDE w:val="0"/>
        <w:autoSpaceDN w:val="0"/>
        <w:jc w:val="center"/>
        <w:rPr>
          <w:rFonts w:ascii="宋体" w:hAnsi="宋体" w:cs="宋体"/>
          <w:b/>
          <w:color w:val="auto"/>
          <w:spacing w:val="6"/>
          <w:sz w:val="32"/>
          <w:szCs w:val="32"/>
          <w:highlight w:val="none"/>
        </w:rPr>
      </w:pPr>
    </w:p>
    <w:p w14:paraId="25045C5C">
      <w:pPr>
        <w:autoSpaceDE w:val="0"/>
        <w:autoSpaceDN w:val="0"/>
        <w:jc w:val="center"/>
        <w:rPr>
          <w:rFonts w:ascii="宋体" w:hAnsi="宋体" w:cs="宋体"/>
          <w:b/>
          <w:color w:val="auto"/>
          <w:spacing w:val="6"/>
          <w:sz w:val="32"/>
          <w:szCs w:val="32"/>
          <w:highlight w:val="none"/>
        </w:rPr>
      </w:pPr>
    </w:p>
    <w:p w14:paraId="457BCD08">
      <w:pPr>
        <w:autoSpaceDE w:val="0"/>
        <w:autoSpaceDN w:val="0"/>
        <w:jc w:val="center"/>
        <w:rPr>
          <w:rFonts w:ascii="宋体" w:hAnsi="宋体" w:cs="宋体"/>
          <w:b/>
          <w:color w:val="auto"/>
          <w:spacing w:val="6"/>
          <w:sz w:val="32"/>
          <w:szCs w:val="32"/>
          <w:highlight w:val="none"/>
        </w:rPr>
      </w:pPr>
    </w:p>
    <w:p w14:paraId="23469BF5">
      <w:pPr>
        <w:autoSpaceDE w:val="0"/>
        <w:autoSpaceDN w:val="0"/>
        <w:jc w:val="center"/>
        <w:rPr>
          <w:rFonts w:ascii="宋体" w:hAnsi="宋体" w:cs="宋体"/>
          <w:b/>
          <w:color w:val="auto"/>
          <w:spacing w:val="6"/>
          <w:sz w:val="32"/>
          <w:szCs w:val="32"/>
          <w:highlight w:val="none"/>
        </w:rPr>
      </w:pPr>
    </w:p>
    <w:p w14:paraId="54D0C4DE">
      <w:pPr>
        <w:autoSpaceDE w:val="0"/>
        <w:autoSpaceDN w:val="0"/>
        <w:jc w:val="center"/>
        <w:rPr>
          <w:rFonts w:ascii="宋体" w:hAnsi="宋体" w:cs="宋体"/>
          <w:b/>
          <w:color w:val="auto"/>
          <w:spacing w:val="6"/>
          <w:sz w:val="32"/>
          <w:szCs w:val="32"/>
          <w:highlight w:val="none"/>
        </w:rPr>
      </w:pPr>
    </w:p>
    <w:p w14:paraId="773533B1">
      <w:pPr>
        <w:autoSpaceDE w:val="0"/>
        <w:autoSpaceDN w:val="0"/>
        <w:jc w:val="center"/>
        <w:rPr>
          <w:rFonts w:ascii="宋体" w:hAnsi="宋体" w:cs="宋体"/>
          <w:b/>
          <w:color w:val="auto"/>
          <w:spacing w:val="6"/>
          <w:sz w:val="32"/>
          <w:szCs w:val="32"/>
          <w:highlight w:val="none"/>
        </w:rPr>
      </w:pPr>
    </w:p>
    <w:p w14:paraId="4059E6F5">
      <w:pPr>
        <w:autoSpaceDE w:val="0"/>
        <w:autoSpaceDN w:val="0"/>
        <w:jc w:val="center"/>
        <w:rPr>
          <w:rFonts w:ascii="宋体" w:hAnsi="宋体" w:cs="宋体"/>
          <w:b/>
          <w:color w:val="auto"/>
          <w:spacing w:val="6"/>
          <w:sz w:val="32"/>
          <w:szCs w:val="32"/>
          <w:highlight w:val="none"/>
        </w:rPr>
      </w:pPr>
    </w:p>
    <w:p w14:paraId="7F6061AA">
      <w:pPr>
        <w:autoSpaceDE w:val="0"/>
        <w:autoSpaceDN w:val="0"/>
        <w:jc w:val="center"/>
        <w:rPr>
          <w:rFonts w:ascii="宋体" w:hAnsi="宋体" w:cs="宋体"/>
          <w:b/>
          <w:color w:val="auto"/>
          <w:spacing w:val="6"/>
          <w:sz w:val="32"/>
          <w:szCs w:val="32"/>
          <w:highlight w:val="none"/>
        </w:rPr>
      </w:pPr>
    </w:p>
    <w:p w14:paraId="12B85170">
      <w:pPr>
        <w:autoSpaceDE w:val="0"/>
        <w:autoSpaceDN w:val="0"/>
        <w:jc w:val="center"/>
        <w:rPr>
          <w:rFonts w:ascii="宋体" w:hAnsi="宋体" w:cs="宋体"/>
          <w:b/>
          <w:color w:val="auto"/>
          <w:spacing w:val="6"/>
          <w:sz w:val="32"/>
          <w:szCs w:val="32"/>
          <w:highlight w:val="none"/>
        </w:rPr>
      </w:pPr>
    </w:p>
    <w:p w14:paraId="6D5EC196">
      <w:pPr>
        <w:autoSpaceDE w:val="0"/>
        <w:autoSpaceDN w:val="0"/>
        <w:jc w:val="center"/>
        <w:rPr>
          <w:rFonts w:ascii="宋体" w:hAnsi="宋体" w:cs="宋体"/>
          <w:b/>
          <w:color w:val="auto"/>
          <w:spacing w:val="6"/>
          <w:sz w:val="32"/>
          <w:szCs w:val="32"/>
          <w:highlight w:val="none"/>
        </w:rPr>
      </w:pPr>
    </w:p>
    <w:p w14:paraId="561A0CE5">
      <w:pPr>
        <w:autoSpaceDE w:val="0"/>
        <w:autoSpaceDN w:val="0"/>
        <w:jc w:val="center"/>
        <w:rPr>
          <w:rFonts w:ascii="宋体" w:hAnsi="宋体" w:cs="宋体"/>
          <w:b/>
          <w:color w:val="auto"/>
          <w:spacing w:val="6"/>
          <w:sz w:val="32"/>
          <w:szCs w:val="32"/>
          <w:highlight w:val="none"/>
        </w:rPr>
      </w:pPr>
    </w:p>
    <w:p w14:paraId="23657E7C">
      <w:pPr>
        <w:autoSpaceDE w:val="0"/>
        <w:autoSpaceDN w:val="0"/>
        <w:jc w:val="center"/>
        <w:rPr>
          <w:rFonts w:ascii="宋体" w:hAnsi="宋体" w:cs="宋体"/>
          <w:b/>
          <w:color w:val="auto"/>
          <w:spacing w:val="6"/>
          <w:sz w:val="32"/>
          <w:szCs w:val="32"/>
          <w:highlight w:val="none"/>
        </w:rPr>
      </w:pPr>
    </w:p>
    <w:p w14:paraId="045D59C1">
      <w:pPr>
        <w:autoSpaceDE w:val="0"/>
        <w:autoSpaceDN w:val="0"/>
        <w:jc w:val="center"/>
        <w:rPr>
          <w:rFonts w:ascii="宋体" w:hAnsi="宋体" w:cs="宋体"/>
          <w:b/>
          <w:color w:val="auto"/>
          <w:spacing w:val="6"/>
          <w:sz w:val="32"/>
          <w:szCs w:val="32"/>
          <w:highlight w:val="none"/>
        </w:rPr>
      </w:pPr>
    </w:p>
    <w:p w14:paraId="01BE0827">
      <w:pPr>
        <w:autoSpaceDE w:val="0"/>
        <w:autoSpaceDN w:val="0"/>
        <w:jc w:val="center"/>
        <w:rPr>
          <w:rFonts w:ascii="宋体" w:hAnsi="宋体" w:cs="宋体"/>
          <w:b/>
          <w:color w:val="auto"/>
          <w:spacing w:val="6"/>
          <w:sz w:val="32"/>
          <w:szCs w:val="32"/>
          <w:highlight w:val="none"/>
        </w:rPr>
      </w:pPr>
    </w:p>
    <w:p w14:paraId="3970A375">
      <w:pPr>
        <w:spacing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附件</w:t>
      </w:r>
      <w:r>
        <w:rPr>
          <w:rFonts w:ascii="宋体" w:hAnsi="宋体" w:cs="宋体"/>
          <w:b/>
          <w:color w:val="auto"/>
          <w:sz w:val="32"/>
          <w:szCs w:val="32"/>
          <w:highlight w:val="none"/>
        </w:rPr>
        <w:t>7</w:t>
      </w:r>
      <w:r>
        <w:rPr>
          <w:rFonts w:hint="eastAsia" w:ascii="宋体" w:hAnsi="宋体" w:cs="宋体"/>
          <w:b/>
          <w:color w:val="auto"/>
          <w:sz w:val="32"/>
          <w:szCs w:val="32"/>
          <w:highlight w:val="none"/>
        </w:rPr>
        <w:t>：中小企业声明函</w:t>
      </w:r>
    </w:p>
    <w:p w14:paraId="66168072">
      <w:pPr>
        <w:spacing w:line="360" w:lineRule="auto"/>
        <w:jc w:val="center"/>
        <w:rPr>
          <w:rFonts w:ascii="宋体" w:hAnsi="宋体" w:cs="宋体"/>
          <w:color w:val="auto"/>
          <w:sz w:val="24"/>
          <w:highlight w:val="none"/>
          <w:u w:val="single"/>
        </w:rPr>
      </w:pPr>
    </w:p>
    <w:p w14:paraId="1258038E">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14:paraId="57ACA157">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（采购人）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AE3A409">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（采购文件中明确的所属行业）</w:t>
      </w:r>
      <w:r>
        <w:rPr>
          <w:rFonts w:hint="eastAsia" w:ascii="宋体" w:hAnsi="宋体" w:cs="宋体"/>
          <w:color w:val="auto"/>
          <w:sz w:val="24"/>
          <w:highlight w:val="none"/>
        </w:rPr>
        <w:t xml:space="preserve"> ；承建（承接）企业为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5CD84DB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（标的名称），</w:t>
      </w:r>
      <w:r>
        <w:rPr>
          <w:rFonts w:hint="eastAsia" w:ascii="宋体" w:hAnsi="宋体" w:cs="宋体"/>
          <w:color w:val="auto"/>
          <w:sz w:val="24"/>
          <w:highlight w:val="none"/>
        </w:rPr>
        <w:t xml:space="preserve">属于 </w:t>
      </w:r>
      <w:r>
        <w:rPr>
          <w:rFonts w:hint="eastAsia" w:ascii="宋体" w:hAnsi="宋体" w:cs="宋体"/>
          <w:color w:val="auto"/>
          <w:sz w:val="24"/>
          <w:highlight w:val="none"/>
          <w:u w:val="single"/>
        </w:rPr>
        <w:t xml:space="preserve">（采购文件中明确的所属行业） </w:t>
      </w:r>
      <w:r>
        <w:rPr>
          <w:rFonts w:hint="eastAsia" w:ascii="宋体" w:hAnsi="宋体" w:cs="宋体"/>
          <w:color w:val="auto"/>
          <w:sz w:val="24"/>
          <w:highlight w:val="none"/>
        </w:rPr>
        <w:t xml:space="preserve">；承建（承接）企业为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69FAC75B">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p>
    <w:p w14:paraId="4F80A922">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6B4886C8">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730F6F00">
      <w:pPr>
        <w:snapToGrid w:val="0"/>
        <w:spacing w:line="360" w:lineRule="auto"/>
        <w:ind w:firstLine="5160" w:firstLineChars="21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投标人名称(公章)：</w:t>
      </w:r>
    </w:p>
    <w:p w14:paraId="58CE30F2">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76C51F8">
      <w:pPr>
        <w:spacing w:line="360" w:lineRule="auto"/>
        <w:ind w:right="420"/>
        <w:rPr>
          <w:rFonts w:ascii="宋体" w:hAnsi="宋体" w:cs="宋体"/>
          <w:color w:val="auto"/>
          <w:sz w:val="24"/>
          <w:highlight w:val="none"/>
        </w:rPr>
      </w:pPr>
    </w:p>
    <w:p w14:paraId="1283E46C">
      <w:pPr>
        <w:spacing w:line="360" w:lineRule="auto"/>
        <w:ind w:right="420"/>
        <w:rPr>
          <w:rFonts w:ascii="宋体" w:hAnsi="宋体" w:cs="宋体"/>
          <w:color w:val="auto"/>
          <w:sz w:val="24"/>
          <w:highlight w:val="none"/>
        </w:rPr>
      </w:pPr>
      <w:r>
        <w:rPr>
          <w:rFonts w:hint="eastAsia" w:ascii="宋体" w:hAnsi="宋体" w:cs="宋体"/>
          <w:color w:val="auto"/>
          <w:sz w:val="24"/>
          <w:highlight w:val="none"/>
        </w:rPr>
        <w:t xml:space="preserve">   注：</w:t>
      </w:r>
    </w:p>
    <w:p w14:paraId="705F03DF">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6AD8F3C3">
      <w:pPr>
        <w:spacing w:line="360" w:lineRule="auto"/>
        <w:ind w:right="420" w:firstLine="720" w:firstLineChars="300"/>
        <w:rPr>
          <w:rFonts w:ascii="宋体" w:hAnsi="宋体" w:cs="宋体"/>
          <w:color w:val="auto"/>
          <w:sz w:val="24"/>
          <w:highlight w:val="none"/>
        </w:rPr>
      </w:pPr>
      <w:r>
        <w:rPr>
          <w:rFonts w:hint="eastAsia" w:ascii="宋体" w:hAnsi="宋体" w:cs="宋体"/>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452C3931">
      <w:pPr>
        <w:pStyle w:val="83"/>
        <w:rPr>
          <w:color w:val="auto"/>
          <w:highlight w:val="none"/>
        </w:rPr>
      </w:pPr>
    </w:p>
    <w:p w14:paraId="4661E49F">
      <w:pPr>
        <w:spacing w:line="360" w:lineRule="auto"/>
        <w:ind w:right="420"/>
        <w:rPr>
          <w:rFonts w:ascii="宋体" w:hAnsi="宋体" w:cs="宋体"/>
          <w:color w:val="auto"/>
          <w:highlight w:val="none"/>
        </w:rPr>
      </w:pPr>
      <w:r>
        <w:rPr>
          <w:rFonts w:ascii="宋体" w:hAnsi="宋体" w:cs="宋体"/>
          <w:color w:val="auto"/>
          <w:highlight w:val="none"/>
        </w:rPr>
        <w:br w:type="page"/>
      </w:r>
    </w:p>
    <w:p w14:paraId="0802647A">
      <w:pPr>
        <w:snapToGrid w:val="0"/>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附件8：关于符合本国产品标准的声明函</w:t>
      </w:r>
    </w:p>
    <w:p w14:paraId="5B6655A8">
      <w:pPr>
        <w:spacing w:line="360" w:lineRule="auto"/>
        <w:jc w:val="center"/>
        <w:rPr>
          <w:rFonts w:ascii="宋体" w:hAnsi="宋体" w:cs="宋体"/>
          <w:color w:val="auto"/>
          <w:sz w:val="24"/>
          <w:highlight w:val="none"/>
          <w:u w:val="single"/>
        </w:rPr>
      </w:pPr>
    </w:p>
    <w:p w14:paraId="7CA55C2E">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关于符合本国产品标准的声明函</w:t>
      </w:r>
    </w:p>
    <w:p w14:paraId="43F7B334">
      <w:pPr>
        <w:spacing w:line="360" w:lineRule="auto"/>
        <w:ind w:right="420" w:firstLine="480" w:firstLineChars="200"/>
        <w:rPr>
          <w:rFonts w:ascii="宋体" w:hAnsi="宋体" w:cs="宋体"/>
          <w:color w:val="auto"/>
          <w:sz w:val="24"/>
          <w:highlight w:val="none"/>
        </w:rPr>
      </w:pPr>
    </w:p>
    <w:p w14:paraId="519933D1">
      <w:pPr>
        <w:spacing w:line="360" w:lineRule="auto"/>
        <w:ind w:right="420" w:firstLine="480" w:firstLineChars="200"/>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6CA71F0D">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（产品名称1）</w:t>
      </w:r>
      <w:r>
        <w:rPr>
          <w:rFonts w:hint="eastAsia" w:ascii="宋体" w:hAnsi="宋体" w:cs="宋体"/>
          <w:color w:val="auto"/>
          <w:sz w:val="24"/>
          <w:highlight w:val="none"/>
        </w:rPr>
        <w:t>1，生产厂为</w:t>
      </w:r>
      <w:r>
        <w:rPr>
          <w:rFonts w:hint="eastAsia" w:ascii="宋体" w:hAnsi="宋体" w:cs="宋体"/>
          <w:color w:val="auto"/>
          <w:sz w:val="24"/>
          <w:highlight w:val="none"/>
          <w:u w:val="single"/>
        </w:rPr>
        <w:t>（厂名）</w:t>
      </w:r>
      <w:r>
        <w:rPr>
          <w:rFonts w:hint="eastAsia" w:ascii="宋体" w:hAnsi="宋体" w:cs="宋体"/>
          <w:color w:val="auto"/>
          <w:sz w:val="24"/>
          <w:highlight w:val="none"/>
        </w:rPr>
        <w:t>2，厂址为</w:t>
      </w:r>
      <w:r>
        <w:rPr>
          <w:rFonts w:hint="eastAsia" w:ascii="宋体" w:hAnsi="宋体" w:cs="宋体"/>
          <w:color w:val="auto"/>
          <w:sz w:val="24"/>
          <w:highlight w:val="none"/>
          <w:u w:val="single"/>
        </w:rPr>
        <w:t>（生产厂址）</w:t>
      </w:r>
      <w:r>
        <w:rPr>
          <w:rFonts w:hint="eastAsia" w:ascii="宋体" w:hAnsi="宋体" w:cs="宋体"/>
          <w:color w:val="auto"/>
          <w:sz w:val="24"/>
          <w:highlight w:val="none"/>
        </w:rPr>
        <w:t>。</w:t>
      </w:r>
      <w:r>
        <w:rPr>
          <w:rFonts w:hint="eastAsia" w:ascii="宋体" w:hAnsi="宋体" w:cs="宋体"/>
          <w:color w:val="auto"/>
          <w:sz w:val="24"/>
          <w:highlight w:val="none"/>
          <w:u w:val="single"/>
        </w:rPr>
        <w:t>（产品名称1）</w:t>
      </w:r>
      <w:r>
        <w:rPr>
          <w:rFonts w:hint="eastAsia" w:ascii="宋体" w:hAnsi="宋体" w:cs="宋体"/>
          <w:color w:val="auto"/>
          <w:sz w:val="24"/>
          <w:highlight w:val="none"/>
        </w:rPr>
        <w:t>的中国境内生产的组件成本占比≥</w:t>
      </w:r>
      <w:r>
        <w:rPr>
          <w:rFonts w:hint="eastAsia" w:ascii="宋体" w:hAnsi="宋体" w:cs="宋体"/>
          <w:color w:val="auto"/>
          <w:sz w:val="24"/>
          <w:highlight w:val="none"/>
          <w:u w:val="single"/>
        </w:rPr>
        <w:t>（规定比例）</w:t>
      </w:r>
      <w:r>
        <w:rPr>
          <w:rFonts w:hint="eastAsia" w:ascii="宋体" w:hAnsi="宋体" w:cs="宋体"/>
          <w:color w:val="auto"/>
          <w:sz w:val="24"/>
          <w:highlight w:val="none"/>
        </w:rPr>
        <w:t>3。</w:t>
      </w:r>
      <w:r>
        <w:rPr>
          <w:rFonts w:hint="eastAsia" w:ascii="宋体" w:hAnsi="宋体" w:cs="宋体"/>
          <w:color w:val="auto"/>
          <w:sz w:val="24"/>
          <w:highlight w:val="none"/>
          <w:u w:val="single"/>
        </w:rPr>
        <w:t>（产品名称1）</w:t>
      </w:r>
      <w:r>
        <w:rPr>
          <w:rFonts w:hint="eastAsia" w:ascii="宋体" w:hAnsi="宋体" w:cs="宋体"/>
          <w:color w:val="auto"/>
          <w:sz w:val="24"/>
          <w:highlight w:val="none"/>
        </w:rPr>
        <w:t>的</w:t>
      </w:r>
      <w:r>
        <w:rPr>
          <w:rFonts w:hint="eastAsia" w:ascii="宋体" w:hAnsi="宋体" w:cs="宋体"/>
          <w:color w:val="auto"/>
          <w:sz w:val="24"/>
          <w:highlight w:val="none"/>
          <w:u w:val="single"/>
        </w:rPr>
        <w:t>（关键组件）</w:t>
      </w:r>
      <w:r>
        <w:rPr>
          <w:rFonts w:hint="eastAsia" w:ascii="宋体" w:hAnsi="宋体" w:cs="宋体"/>
          <w:color w:val="auto"/>
          <w:sz w:val="24"/>
          <w:highlight w:val="none"/>
        </w:rPr>
        <w:t>4在中国境内生产。</w:t>
      </w:r>
      <w:r>
        <w:rPr>
          <w:rFonts w:hint="eastAsia" w:ascii="宋体" w:hAnsi="宋体" w:cs="宋体"/>
          <w:color w:val="auto"/>
          <w:sz w:val="24"/>
          <w:highlight w:val="none"/>
          <w:u w:val="single"/>
        </w:rPr>
        <w:t>（产品名称1）</w:t>
      </w:r>
      <w:r>
        <w:rPr>
          <w:rFonts w:hint="eastAsia" w:ascii="宋体" w:hAnsi="宋体" w:cs="宋体"/>
          <w:color w:val="auto"/>
          <w:sz w:val="24"/>
          <w:highlight w:val="none"/>
        </w:rPr>
        <w:t>的</w:t>
      </w:r>
      <w:r>
        <w:rPr>
          <w:rFonts w:hint="eastAsia" w:ascii="宋体" w:hAnsi="宋体" w:cs="宋体"/>
          <w:color w:val="auto"/>
          <w:sz w:val="24"/>
          <w:highlight w:val="none"/>
          <w:u w:val="single"/>
        </w:rPr>
        <w:t>（关键工序）</w:t>
      </w:r>
      <w:r>
        <w:rPr>
          <w:rFonts w:hint="eastAsia" w:ascii="宋体" w:hAnsi="宋体" w:cs="宋体"/>
          <w:color w:val="auto"/>
          <w:sz w:val="24"/>
          <w:highlight w:val="none"/>
        </w:rPr>
        <w:t>5在中国境内完成。</w:t>
      </w:r>
    </w:p>
    <w:p w14:paraId="645CABF8">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（产品名称2）</w:t>
      </w:r>
      <w:r>
        <w:rPr>
          <w:rFonts w:hint="eastAsia" w:ascii="宋体" w:hAnsi="宋体" w:cs="宋体"/>
          <w:color w:val="auto"/>
          <w:sz w:val="24"/>
          <w:highlight w:val="none"/>
        </w:rPr>
        <w:t>，生产厂为</w:t>
      </w:r>
      <w:r>
        <w:rPr>
          <w:rFonts w:hint="eastAsia" w:ascii="宋体" w:hAnsi="宋体" w:cs="宋体"/>
          <w:color w:val="auto"/>
          <w:sz w:val="24"/>
          <w:highlight w:val="none"/>
          <w:u w:val="single"/>
        </w:rPr>
        <w:t>（厂名）</w:t>
      </w:r>
      <w:r>
        <w:rPr>
          <w:rFonts w:hint="eastAsia" w:ascii="宋体" w:hAnsi="宋体" w:cs="宋体"/>
          <w:color w:val="auto"/>
          <w:sz w:val="24"/>
          <w:highlight w:val="none"/>
        </w:rPr>
        <w:t>，厂址为</w:t>
      </w:r>
      <w:r>
        <w:rPr>
          <w:rFonts w:hint="eastAsia" w:ascii="宋体" w:hAnsi="宋体" w:cs="宋体"/>
          <w:color w:val="auto"/>
          <w:sz w:val="24"/>
          <w:highlight w:val="none"/>
          <w:u w:val="single"/>
        </w:rPr>
        <w:t>（生产厂址）</w:t>
      </w:r>
      <w:r>
        <w:rPr>
          <w:rFonts w:hint="eastAsia" w:ascii="宋体" w:hAnsi="宋体" w:cs="宋体"/>
          <w:color w:val="auto"/>
          <w:sz w:val="24"/>
          <w:highlight w:val="none"/>
        </w:rPr>
        <w:t>。</w:t>
      </w:r>
      <w:r>
        <w:rPr>
          <w:rFonts w:hint="eastAsia" w:ascii="宋体" w:hAnsi="宋体" w:cs="宋体"/>
          <w:color w:val="auto"/>
          <w:sz w:val="24"/>
          <w:highlight w:val="none"/>
          <w:u w:val="single"/>
        </w:rPr>
        <w:t>（产品名称2）</w:t>
      </w:r>
      <w:r>
        <w:rPr>
          <w:rFonts w:hint="eastAsia" w:ascii="宋体" w:hAnsi="宋体" w:cs="宋体"/>
          <w:color w:val="auto"/>
          <w:sz w:val="24"/>
          <w:highlight w:val="none"/>
        </w:rPr>
        <w:t>的中国境内生产的组件成本占比≥</w:t>
      </w:r>
      <w:r>
        <w:rPr>
          <w:rFonts w:hint="eastAsia" w:ascii="宋体" w:hAnsi="宋体" w:cs="宋体"/>
          <w:color w:val="auto"/>
          <w:sz w:val="24"/>
          <w:highlight w:val="none"/>
          <w:u w:val="single"/>
        </w:rPr>
        <w:t>（规定比例）</w:t>
      </w:r>
      <w:r>
        <w:rPr>
          <w:rFonts w:hint="eastAsia" w:ascii="宋体" w:hAnsi="宋体" w:cs="宋体"/>
          <w:color w:val="auto"/>
          <w:sz w:val="24"/>
          <w:highlight w:val="none"/>
        </w:rPr>
        <w:t>。</w:t>
      </w:r>
      <w:r>
        <w:rPr>
          <w:rFonts w:hint="eastAsia" w:ascii="宋体" w:hAnsi="宋体" w:cs="宋体"/>
          <w:color w:val="auto"/>
          <w:sz w:val="24"/>
          <w:highlight w:val="none"/>
          <w:u w:val="single"/>
        </w:rPr>
        <w:t>（产品名称2）</w:t>
      </w:r>
      <w:r>
        <w:rPr>
          <w:rFonts w:hint="eastAsia" w:ascii="宋体" w:hAnsi="宋体" w:cs="宋体"/>
          <w:color w:val="auto"/>
          <w:sz w:val="24"/>
          <w:highlight w:val="none"/>
        </w:rPr>
        <w:t>的</w:t>
      </w:r>
      <w:r>
        <w:rPr>
          <w:rFonts w:hint="eastAsia" w:ascii="宋体" w:hAnsi="宋体" w:cs="宋体"/>
          <w:color w:val="auto"/>
          <w:sz w:val="24"/>
          <w:highlight w:val="none"/>
          <w:u w:val="single"/>
        </w:rPr>
        <w:t>（关键组件）</w:t>
      </w:r>
      <w:r>
        <w:rPr>
          <w:rFonts w:hint="eastAsia" w:ascii="宋体" w:hAnsi="宋体" w:cs="宋体"/>
          <w:color w:val="auto"/>
          <w:sz w:val="24"/>
          <w:highlight w:val="none"/>
        </w:rPr>
        <w:t>在中国境内生产。</w:t>
      </w:r>
      <w:r>
        <w:rPr>
          <w:rFonts w:hint="eastAsia" w:ascii="宋体" w:hAnsi="宋体" w:cs="宋体"/>
          <w:color w:val="auto"/>
          <w:sz w:val="24"/>
          <w:highlight w:val="none"/>
          <w:u w:val="single"/>
        </w:rPr>
        <w:t>（产品名称2）</w:t>
      </w:r>
      <w:r>
        <w:rPr>
          <w:rFonts w:hint="eastAsia" w:ascii="宋体" w:hAnsi="宋体" w:cs="宋体"/>
          <w:color w:val="auto"/>
          <w:sz w:val="24"/>
          <w:highlight w:val="none"/>
        </w:rPr>
        <w:t>的</w:t>
      </w:r>
      <w:r>
        <w:rPr>
          <w:rFonts w:hint="eastAsia" w:ascii="宋体" w:hAnsi="宋体" w:cs="宋体"/>
          <w:color w:val="auto"/>
          <w:sz w:val="24"/>
          <w:highlight w:val="none"/>
          <w:u w:val="single"/>
        </w:rPr>
        <w:t>（关键工序）</w:t>
      </w:r>
      <w:r>
        <w:rPr>
          <w:rFonts w:hint="eastAsia" w:ascii="宋体" w:hAnsi="宋体" w:cs="宋体"/>
          <w:color w:val="auto"/>
          <w:sz w:val="24"/>
          <w:highlight w:val="none"/>
        </w:rPr>
        <w:t>在中国境内完成。</w:t>
      </w:r>
    </w:p>
    <w:p w14:paraId="76B77C48">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w:t>
      </w:r>
    </w:p>
    <w:p w14:paraId="3C805FE4">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本公司（单位）对上述声明内容的真实性负责。如有虚假，愿承担相应法律责任。</w:t>
      </w:r>
    </w:p>
    <w:p w14:paraId="518DFCA6">
      <w:pPr>
        <w:spacing w:line="360" w:lineRule="auto"/>
        <w:ind w:right="420" w:firstLine="480" w:firstLineChars="200"/>
        <w:rPr>
          <w:rFonts w:ascii="宋体" w:hAnsi="宋体" w:cs="宋体"/>
          <w:color w:val="auto"/>
          <w:sz w:val="24"/>
          <w:highlight w:val="none"/>
        </w:rPr>
      </w:pPr>
    </w:p>
    <w:p w14:paraId="57412750">
      <w:pPr>
        <w:spacing w:line="360" w:lineRule="auto"/>
        <w:ind w:right="420" w:firstLine="480" w:firstLineChars="200"/>
        <w:jc w:val="right"/>
        <w:rPr>
          <w:rFonts w:ascii="宋体" w:hAnsi="宋体" w:cs="宋体"/>
          <w:color w:val="auto"/>
          <w:sz w:val="24"/>
          <w:highlight w:val="none"/>
        </w:rPr>
      </w:pPr>
      <w:r>
        <w:rPr>
          <w:rFonts w:hint="eastAsia" w:ascii="宋体" w:hAnsi="宋体" w:cs="宋体"/>
          <w:color w:val="auto"/>
          <w:sz w:val="24"/>
          <w:highlight w:val="none"/>
        </w:rPr>
        <w:t>公司（单位）名称（盖章）：　</w:t>
      </w:r>
      <w:r>
        <w:rPr>
          <w:rFonts w:ascii="宋体" w:hAnsi="宋体" w:cs="宋体"/>
          <w:color w:val="auto"/>
          <w:sz w:val="24"/>
          <w:highlight w:val="none"/>
        </w:rPr>
        <w:t>        </w:t>
      </w:r>
    </w:p>
    <w:p w14:paraId="3824F089">
      <w:pPr>
        <w:spacing w:line="360" w:lineRule="auto"/>
        <w:ind w:right="180" w:firstLine="480" w:firstLineChars="200"/>
        <w:jc w:val="right"/>
        <w:rPr>
          <w:rFonts w:ascii="宋体" w:hAnsi="宋体" w:cs="宋体"/>
          <w:color w:val="auto"/>
          <w:sz w:val="24"/>
          <w:highlight w:val="none"/>
        </w:rPr>
      </w:pPr>
      <w:r>
        <w:rPr>
          <w:rFonts w:hint="eastAsia" w:ascii="宋体" w:hAnsi="宋体" w:cs="宋体"/>
          <w:color w:val="auto"/>
          <w:sz w:val="24"/>
          <w:highlight w:val="none"/>
        </w:rPr>
        <w:t>日期：</w:t>
      </w:r>
      <w:r>
        <w:rPr>
          <w:rFonts w:ascii="宋体" w:hAnsi="宋体" w:cs="宋体"/>
          <w:color w:val="auto"/>
          <w:sz w:val="24"/>
          <w:highlight w:val="none"/>
        </w:rPr>
        <w:t> </w:t>
      </w:r>
      <w:r>
        <w:rPr>
          <w:rFonts w:hint="eastAsia" w:ascii="宋体" w:hAnsi="宋体" w:cs="宋体"/>
          <w:color w:val="auto"/>
          <w:sz w:val="24"/>
          <w:highlight w:val="none"/>
        </w:rPr>
        <w:t xml:space="preserve">  </w:t>
      </w:r>
      <w:r>
        <w:rPr>
          <w:rFonts w:ascii="宋体" w:hAnsi="宋体" w:cs="宋体"/>
          <w:color w:val="auto"/>
          <w:sz w:val="24"/>
          <w:highlight w:val="none"/>
        </w:rPr>
        <w:t> </w:t>
      </w:r>
      <w:r>
        <w:rPr>
          <w:rFonts w:hint="eastAsia" w:ascii="宋体" w:hAnsi="宋体" w:cs="宋体"/>
          <w:color w:val="auto"/>
          <w:sz w:val="24"/>
          <w:highlight w:val="none"/>
        </w:rPr>
        <w:t>年 　</w:t>
      </w:r>
      <w:r>
        <w:rPr>
          <w:rFonts w:ascii="宋体" w:hAnsi="宋体" w:cs="宋体"/>
          <w:color w:val="auto"/>
          <w:sz w:val="24"/>
          <w:highlight w:val="none"/>
        </w:rPr>
        <w:t> </w:t>
      </w:r>
      <w:r>
        <w:rPr>
          <w:rFonts w:hint="eastAsia" w:ascii="宋体" w:hAnsi="宋体" w:cs="宋体"/>
          <w:color w:val="auto"/>
          <w:sz w:val="24"/>
          <w:highlight w:val="none"/>
        </w:rPr>
        <w:t xml:space="preserve">月　 </w:t>
      </w:r>
      <w:r>
        <w:rPr>
          <w:rFonts w:ascii="宋体" w:hAnsi="宋体" w:cs="宋体"/>
          <w:color w:val="auto"/>
          <w:sz w:val="24"/>
          <w:highlight w:val="none"/>
        </w:rPr>
        <w:t> </w:t>
      </w:r>
      <w:r>
        <w:rPr>
          <w:rFonts w:hint="eastAsia" w:ascii="宋体" w:hAnsi="宋体" w:cs="宋体"/>
          <w:color w:val="auto"/>
          <w:sz w:val="24"/>
          <w:highlight w:val="none"/>
        </w:rPr>
        <w:t>日</w:t>
      </w:r>
      <w:r>
        <w:rPr>
          <w:rFonts w:ascii="宋体" w:hAnsi="宋体" w:cs="宋体"/>
          <w:color w:val="auto"/>
          <w:sz w:val="24"/>
          <w:highlight w:val="none"/>
        </w:rPr>
        <w:t>         </w:t>
      </w:r>
    </w:p>
    <w:p w14:paraId="5093284B">
      <w:pPr>
        <w:spacing w:line="360" w:lineRule="auto"/>
        <w:ind w:right="420" w:firstLine="480" w:firstLineChars="200"/>
        <w:rPr>
          <w:rFonts w:ascii="宋体" w:hAnsi="宋体" w:cs="宋体"/>
          <w:color w:val="auto"/>
          <w:sz w:val="24"/>
          <w:highlight w:val="none"/>
        </w:rPr>
      </w:pPr>
    </w:p>
    <w:p w14:paraId="213131A9">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5DDCF757">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1.产品如有型号，请在“产品名称”栏一并填写。</w:t>
      </w:r>
    </w:p>
    <w:p w14:paraId="79D9DAD0">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2.生产厂名与厂址应与生产厂营业执照载明的相关信息保持一致。</w:t>
      </w:r>
    </w:p>
    <w:p w14:paraId="75315DCE">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3.该产品的中国境内生产的组件成本占比相关要求实施前，“规定比例”栏可不填，下同。</w:t>
      </w:r>
    </w:p>
    <w:p w14:paraId="588C3D2C">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4.该产品的关键组件要求实施前，“关键组件”栏可不填，下同。</w:t>
      </w:r>
    </w:p>
    <w:p w14:paraId="31269751">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5.该产品的关键工序要求实施前，“关键工序”栏可不填，下同。</w:t>
      </w:r>
    </w:p>
    <w:p w14:paraId="1BC780D9">
      <w:pPr>
        <w:spacing w:line="360" w:lineRule="auto"/>
        <w:jc w:val="center"/>
        <w:rPr>
          <w:rFonts w:ascii="宋体" w:hAnsi="宋体" w:cs="宋体"/>
          <w:b/>
          <w:color w:val="auto"/>
          <w:sz w:val="32"/>
          <w:szCs w:val="32"/>
          <w:highlight w:val="none"/>
        </w:rPr>
      </w:pPr>
    </w:p>
    <w:p w14:paraId="06134546">
      <w:pPr>
        <w:spacing w:line="360" w:lineRule="auto"/>
        <w:jc w:val="center"/>
        <w:rPr>
          <w:rFonts w:ascii="宋体" w:hAnsi="宋体" w:cs="宋体"/>
          <w:b/>
          <w:color w:val="auto"/>
          <w:sz w:val="32"/>
          <w:szCs w:val="32"/>
          <w:highlight w:val="none"/>
        </w:rPr>
      </w:pPr>
    </w:p>
    <w:p w14:paraId="636D436A">
      <w:pPr>
        <w:snapToGrid w:val="0"/>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附件9：关于符合本国产品标准的产品成本之和占所提供的全部产品成本之和的比例达到80%以上的声明函</w:t>
      </w:r>
    </w:p>
    <w:p w14:paraId="5F84B6AC">
      <w:pPr>
        <w:spacing w:line="360" w:lineRule="auto"/>
        <w:jc w:val="center"/>
        <w:rPr>
          <w:rFonts w:ascii="宋体" w:hAnsi="宋体" w:cs="宋体"/>
          <w:b/>
          <w:color w:val="auto"/>
          <w:sz w:val="32"/>
          <w:szCs w:val="32"/>
          <w:highlight w:val="none"/>
        </w:rPr>
      </w:pPr>
    </w:p>
    <w:p w14:paraId="06D75C72">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关于符合本国产品标准的产品成本之和占所提供的全部产品成本之和的比例达到80%以上的声明函</w:t>
      </w:r>
    </w:p>
    <w:p w14:paraId="1908FCAF">
      <w:pPr>
        <w:spacing w:line="360" w:lineRule="auto"/>
        <w:ind w:right="420" w:firstLine="480" w:firstLineChars="200"/>
        <w:rPr>
          <w:rFonts w:ascii="宋体" w:hAnsi="宋体" w:cs="宋体"/>
          <w:color w:val="auto"/>
          <w:sz w:val="24"/>
          <w:highlight w:val="none"/>
        </w:rPr>
      </w:pPr>
    </w:p>
    <w:p w14:paraId="40200D63">
      <w:pPr>
        <w:spacing w:line="360" w:lineRule="auto"/>
        <w:ind w:right="420" w:firstLine="480" w:firstLineChars="200"/>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本公司（单位）郑重声明，根据《国务院办公厅关于在政府采购中实施本国产品标准及相关政策的通知》（国办发〔2025〕34号）的规定，本公司（单位）本次投标所提供的符合本国产品标准的产品成本之和占我公司（单位）本次投标所提供的全部产品（全部产品是指货物或服务采购项目或采购包中包含的全部货物、服务产品）成本之和的比例达到80%以上。</w:t>
      </w:r>
    </w:p>
    <w:p w14:paraId="443F1EDE">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本公司（单位）对上述声明内容的真实性负责。如有虚假，愿承担相应法律责任。</w:t>
      </w:r>
    </w:p>
    <w:p w14:paraId="50B8A6F3">
      <w:pPr>
        <w:spacing w:line="360" w:lineRule="auto"/>
        <w:ind w:right="420" w:firstLine="480" w:firstLineChars="200"/>
        <w:rPr>
          <w:rFonts w:ascii="宋体" w:hAnsi="宋体" w:cs="宋体"/>
          <w:color w:val="auto"/>
          <w:sz w:val="24"/>
          <w:highlight w:val="none"/>
        </w:rPr>
      </w:pPr>
    </w:p>
    <w:p w14:paraId="25CFBDE7">
      <w:pPr>
        <w:spacing w:line="360" w:lineRule="auto"/>
        <w:ind w:right="420" w:firstLine="480" w:firstLineChars="200"/>
        <w:jc w:val="right"/>
        <w:rPr>
          <w:rFonts w:ascii="宋体" w:hAnsi="宋体" w:cs="宋体"/>
          <w:color w:val="auto"/>
          <w:sz w:val="24"/>
          <w:highlight w:val="none"/>
        </w:rPr>
      </w:pPr>
      <w:r>
        <w:rPr>
          <w:rFonts w:hint="eastAsia" w:ascii="宋体" w:hAnsi="宋体" w:cs="宋体"/>
          <w:color w:val="auto"/>
          <w:sz w:val="24"/>
          <w:highlight w:val="none"/>
        </w:rPr>
        <w:t>公司（单位）名称（盖章）：　</w:t>
      </w:r>
      <w:r>
        <w:rPr>
          <w:rFonts w:ascii="宋体" w:hAnsi="宋体" w:cs="宋体"/>
          <w:color w:val="auto"/>
          <w:sz w:val="24"/>
          <w:highlight w:val="none"/>
        </w:rPr>
        <w:t>        </w:t>
      </w:r>
    </w:p>
    <w:p w14:paraId="3653C157">
      <w:pPr>
        <w:spacing w:line="360" w:lineRule="auto"/>
        <w:ind w:right="180" w:firstLine="480" w:firstLineChars="200"/>
        <w:jc w:val="right"/>
        <w:rPr>
          <w:rFonts w:ascii="宋体" w:hAnsi="宋体" w:cs="宋体"/>
          <w:color w:val="auto"/>
          <w:sz w:val="24"/>
          <w:highlight w:val="none"/>
        </w:rPr>
      </w:pPr>
      <w:r>
        <w:rPr>
          <w:rFonts w:hint="eastAsia" w:ascii="宋体" w:hAnsi="宋体" w:cs="宋体"/>
          <w:color w:val="auto"/>
          <w:sz w:val="24"/>
          <w:highlight w:val="none"/>
        </w:rPr>
        <w:t>日期：</w:t>
      </w:r>
      <w:r>
        <w:rPr>
          <w:rFonts w:ascii="宋体" w:hAnsi="宋体" w:cs="宋体"/>
          <w:color w:val="auto"/>
          <w:sz w:val="24"/>
          <w:highlight w:val="none"/>
        </w:rPr>
        <w:t> </w:t>
      </w:r>
      <w:r>
        <w:rPr>
          <w:rFonts w:hint="eastAsia" w:ascii="宋体" w:hAnsi="宋体" w:cs="宋体"/>
          <w:color w:val="auto"/>
          <w:sz w:val="24"/>
          <w:highlight w:val="none"/>
        </w:rPr>
        <w:t xml:space="preserve">  </w:t>
      </w:r>
      <w:r>
        <w:rPr>
          <w:rFonts w:ascii="宋体" w:hAnsi="宋体" w:cs="宋体"/>
          <w:color w:val="auto"/>
          <w:sz w:val="24"/>
          <w:highlight w:val="none"/>
        </w:rPr>
        <w:t> </w:t>
      </w:r>
      <w:r>
        <w:rPr>
          <w:rFonts w:hint="eastAsia" w:ascii="宋体" w:hAnsi="宋体" w:cs="宋体"/>
          <w:color w:val="auto"/>
          <w:sz w:val="24"/>
          <w:highlight w:val="none"/>
        </w:rPr>
        <w:t>年 　</w:t>
      </w:r>
      <w:r>
        <w:rPr>
          <w:rFonts w:ascii="宋体" w:hAnsi="宋体" w:cs="宋体"/>
          <w:color w:val="auto"/>
          <w:sz w:val="24"/>
          <w:highlight w:val="none"/>
        </w:rPr>
        <w:t> </w:t>
      </w:r>
      <w:r>
        <w:rPr>
          <w:rFonts w:hint="eastAsia" w:ascii="宋体" w:hAnsi="宋体" w:cs="宋体"/>
          <w:color w:val="auto"/>
          <w:sz w:val="24"/>
          <w:highlight w:val="none"/>
        </w:rPr>
        <w:t xml:space="preserve">月　 </w:t>
      </w:r>
      <w:r>
        <w:rPr>
          <w:rFonts w:ascii="宋体" w:hAnsi="宋体" w:cs="宋体"/>
          <w:color w:val="auto"/>
          <w:sz w:val="24"/>
          <w:highlight w:val="none"/>
        </w:rPr>
        <w:t> </w:t>
      </w:r>
      <w:r>
        <w:rPr>
          <w:rFonts w:hint="eastAsia" w:ascii="宋体" w:hAnsi="宋体" w:cs="宋体"/>
          <w:color w:val="auto"/>
          <w:sz w:val="24"/>
          <w:highlight w:val="none"/>
        </w:rPr>
        <w:t>日</w:t>
      </w:r>
      <w:r>
        <w:rPr>
          <w:rFonts w:ascii="宋体" w:hAnsi="宋体" w:cs="宋体"/>
          <w:color w:val="auto"/>
          <w:sz w:val="24"/>
          <w:highlight w:val="none"/>
        </w:rPr>
        <w:t>         </w:t>
      </w:r>
    </w:p>
    <w:p w14:paraId="3C8E6232">
      <w:pPr>
        <w:spacing w:line="360" w:lineRule="auto"/>
        <w:ind w:right="420" w:firstLine="480" w:firstLineChars="200"/>
        <w:rPr>
          <w:rFonts w:ascii="宋体" w:hAnsi="宋体" w:cs="宋体"/>
          <w:color w:val="auto"/>
          <w:sz w:val="24"/>
          <w:highlight w:val="none"/>
        </w:rPr>
      </w:pPr>
    </w:p>
    <w:p w14:paraId="2045DF6D">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1BE329F7">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1.本声明函须同时提供关于符合本国产品标准的声明函或财政部会同有关部门规定的有关证明文件，否则不享受价格扣除政策。</w:t>
      </w:r>
    </w:p>
    <w:p w14:paraId="308FBD48">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2.当采购项目或者采购包中含有多种产品，投标人拟享受该政策时提供。当采购项目或者采购包中仅含有单一产品时，无须提供本声明函。</w:t>
      </w:r>
    </w:p>
    <w:p w14:paraId="53325755">
      <w:pPr>
        <w:spacing w:line="360" w:lineRule="auto"/>
        <w:jc w:val="center"/>
        <w:rPr>
          <w:rFonts w:ascii="宋体" w:hAnsi="宋体" w:cs="宋体"/>
          <w:b/>
          <w:color w:val="auto"/>
          <w:sz w:val="32"/>
          <w:szCs w:val="32"/>
          <w:highlight w:val="none"/>
        </w:rPr>
      </w:pPr>
    </w:p>
    <w:p w14:paraId="04170F26">
      <w:pPr>
        <w:spacing w:line="360" w:lineRule="auto"/>
        <w:jc w:val="center"/>
        <w:rPr>
          <w:rFonts w:ascii="宋体" w:hAnsi="宋体" w:cs="宋体"/>
          <w:b/>
          <w:color w:val="auto"/>
          <w:sz w:val="32"/>
          <w:szCs w:val="32"/>
          <w:highlight w:val="none"/>
        </w:rPr>
      </w:pPr>
    </w:p>
    <w:p w14:paraId="476F9B99">
      <w:pPr>
        <w:spacing w:line="360" w:lineRule="auto"/>
        <w:jc w:val="center"/>
        <w:rPr>
          <w:rFonts w:ascii="宋体" w:hAnsi="宋体" w:cs="宋体"/>
          <w:b/>
          <w:color w:val="auto"/>
          <w:sz w:val="32"/>
          <w:szCs w:val="32"/>
          <w:highlight w:val="none"/>
        </w:rPr>
      </w:pPr>
    </w:p>
    <w:p w14:paraId="5120F615">
      <w:pPr>
        <w:spacing w:line="360" w:lineRule="auto"/>
        <w:rPr>
          <w:rFonts w:ascii="宋体" w:hAnsi="宋体" w:cs="宋体"/>
          <w:bCs/>
          <w:color w:val="auto"/>
          <w:sz w:val="24"/>
          <w:highlight w:val="none"/>
        </w:rPr>
      </w:pPr>
    </w:p>
    <w:p w14:paraId="17BC9FBA">
      <w:pPr>
        <w:spacing w:line="360" w:lineRule="auto"/>
        <w:rPr>
          <w:rFonts w:ascii="宋体" w:hAnsi="宋体" w:cs="宋体"/>
          <w:bCs/>
          <w:color w:val="auto"/>
          <w:sz w:val="24"/>
          <w:highlight w:val="none"/>
        </w:rPr>
      </w:pPr>
    </w:p>
    <w:bookmarkEnd w:id="422"/>
    <w:sectPr>
      <w:headerReference r:id="rId29" w:type="first"/>
      <w:footerReference r:id="rId32" w:type="first"/>
      <w:headerReference r:id="rId28" w:type="default"/>
      <w:footerReference r:id="rId30" w:type="default"/>
      <w:footerReference r:id="rId31"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Book Antiqua">
    <w:panose1 w:val="02040602050305030304"/>
    <w:charset w:val="00"/>
    <w:family w:val="roman"/>
    <w:pitch w:val="default"/>
    <w:sig w:usb0="00000287" w:usb1="00000000" w:usb2="00000000" w:usb3="00000000" w:csb0="2000009F" w:csb1="DFD7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F7FFAEFF" w:usb1="F9DFFFFF" w:usb2="0000007F" w:usb3="00000000" w:csb0="203F01FF" w:csb1="DFFF0000"/>
  </w:font>
  <w:font w:name="Helvetica">
    <w:altName w:val="Arial"/>
    <w:panose1 w:val="020B05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Yu Gothic UI Light">
    <w:altName w:val="Meiryo UI"/>
    <w:panose1 w:val="020B0300000000000000"/>
    <w:charset w:val="80"/>
    <w:family w:val="auto"/>
    <w:pitch w:val="default"/>
    <w:sig w:usb0="00000000" w:usb1="00000000" w:usb2="00000016" w:usb3="00000000" w:csb0="2002009F" w:csb1="00000000"/>
  </w:font>
  <w:font w:name="Meiryo UI">
    <w:panose1 w:val="020B0604030504040204"/>
    <w:charset w:val="80"/>
    <w:family w:val="auto"/>
    <w:pitch w:val="default"/>
    <w:sig w:usb0="E10102FF" w:usb1="EAC7FFFF" w:usb2="00010012" w:usb3="00000000" w:csb0="6002009F" w:csb1="DFD70000"/>
  </w:font>
  <w:font w:name="PMingLiU">
    <w:panose1 w:val="02020500000000000000"/>
    <w:charset w:val="88"/>
    <w:family w:val="auto"/>
    <w:pitch w:val="default"/>
    <w:sig w:usb0="A00002FF" w:usb1="28CFFCFA" w:usb2="00000016" w:usb3="00000000" w:csb0="0010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475B5">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48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171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9FCB7">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153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167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02B98155">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9D1CC">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147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167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343EC98B">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6AF4E">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156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167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499A1996">
    <w:pPr>
      <w:rPr>
        <w:rFonts w:ascii="仿宋_GB2312" w:eastAsia="仿宋_GB231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C456B">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155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167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620BC447">
    <w:pPr>
      <w:rPr>
        <w:rFonts w:ascii="仿宋_GB2312" w:eastAsia="仿宋_GB2312"/>
        <w:szCs w:val="21"/>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A36E5">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171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171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99346">
    <w:pPr>
      <w:pStyle w:val="41"/>
      <w:framePr w:wrap="around" w:vAnchor="text" w:hAnchor="margin" w:xAlign="right" w:y="1"/>
      <w:rPr>
        <w:rStyle w:val="73"/>
      </w:rPr>
    </w:pPr>
    <w:r>
      <w:fldChar w:fldCharType="begin"/>
    </w:r>
    <w:r>
      <w:rPr>
        <w:rStyle w:val="73"/>
      </w:rPr>
      <w:instrText xml:space="preserve">PAGE  </w:instrText>
    </w:r>
    <w:r>
      <w:fldChar w:fldCharType="end"/>
    </w:r>
  </w:p>
  <w:p w14:paraId="644276B3">
    <w:pPr>
      <w:pStyle w:val="41"/>
      <w:ind w:right="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C5E34">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157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167</w:t>
    </w:r>
    <w:r>
      <w:rPr>
        <w:rFonts w:hint="eastAsia" w:ascii="仿宋_GB2312" w:eastAsia="仿宋_GB2312"/>
        <w:kern w:val="0"/>
        <w:sz w:val="21"/>
        <w:szCs w:val="21"/>
      </w:rPr>
      <w:fldChar w:fldCharType="end"/>
    </w:r>
    <w:bookmarkStart w:id="418" w:name="_Toc164085800"/>
    <w:bookmarkStart w:id="419" w:name="_Toc91899912"/>
    <w:bookmarkStart w:id="420" w:name="_Toc131845147"/>
    <w:bookmarkStart w:id="421" w:name="_Toc36110187"/>
    <w:r>
      <w:rPr>
        <w:rFonts w:hint="eastAsia" w:ascii="仿宋_GB2312" w:eastAsia="仿宋_GB2312"/>
        <w:kern w:val="0"/>
        <w:sz w:val="21"/>
        <w:szCs w:val="21"/>
      </w:rPr>
      <w:t xml:space="preserve"> 页</w:t>
    </w:r>
    <w:bookmarkEnd w:id="418"/>
    <w:bookmarkEnd w:id="419"/>
    <w:bookmarkEnd w:id="420"/>
    <w:bookmarkEnd w:id="421"/>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B619C">
    <w:pPr>
      <w:pStyle w:val="41"/>
      <w:framePr w:wrap="around" w:vAnchor="text" w:hAnchor="margin" w:xAlign="right" w:y="1"/>
      <w:rPr>
        <w:rStyle w:val="73"/>
      </w:rPr>
    </w:pPr>
    <w:r>
      <w:fldChar w:fldCharType="begin"/>
    </w:r>
    <w:r>
      <w:rPr>
        <w:rStyle w:val="73"/>
      </w:rPr>
      <w:instrText xml:space="preserve">PAGE  </w:instrText>
    </w:r>
    <w:r>
      <w:fldChar w:fldCharType="end"/>
    </w:r>
  </w:p>
  <w:p w14:paraId="33C16FDA">
    <w:pPr>
      <w:pStyle w:val="4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D3729">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171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C8B07">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144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167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6743AD8E">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2D4EF">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128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167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038A3544">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87380">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10E3DAE7">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800BC">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145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167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6D04B11C">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B43BB">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78080491">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A8D08">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146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167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76EB03E4">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E8F15">
    <w:pPr>
      <w:pStyle w:val="42"/>
      <w:pBdr>
        <w:bottom w:val="single" w:color="auto" w:sz="6" w:space="4"/>
      </w:pBdr>
      <w:jc w:val="right"/>
    </w:pPr>
    <w:r>
      <w:t></w:t>
    </w:r>
    <w:r>
      <w:rPr>
        <w:rFonts w:hint="eastAsia"/>
      </w:rPr>
      <w:t xml:space="preserve">        </w:t>
    </w:r>
    <w:r>
      <w:rPr>
        <w:rFonts w:hint="eastAsia"/>
        <w:sz w:val="21"/>
        <w:szCs w:val="21"/>
      </w:rPr>
      <w:t xml:space="preserve"> </w:t>
    </w:r>
    <w:r>
      <w:rPr>
        <w:sz w:val="21"/>
        <w:szCs w:val="21"/>
      </w:rPr>
      <w:t>北海市政府采购公开招标文件</w:t>
    </w:r>
  </w:p>
  <w:p w14:paraId="028347BA">
    <w:pPr>
      <w:pStyle w:val="60"/>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68B3F">
    <w:pPr>
      <w:pStyle w:val="42"/>
      <w:jc w:val="right"/>
    </w:pPr>
    <w:r>
      <w:t></w:t>
    </w:r>
    <w:r>
      <w:rPr>
        <w:rFonts w:hint="eastAsia"/>
      </w:rPr>
      <w:t xml:space="preserve">                 </w:t>
    </w:r>
    <w:r>
      <w:t xml:space="preserve">                                </w:t>
    </w:r>
    <w:r>
      <w:rPr>
        <w:rFonts w:hint="eastAsia"/>
      </w:rPr>
      <w:t xml:space="preserve">         </w:t>
    </w:r>
    <w:r>
      <w:rPr>
        <w:sz w:val="21"/>
        <w:szCs w:val="21"/>
      </w:rPr>
      <w:t>北海市政府采购公开招标文件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54A54">
    <w:pPr>
      <w:pStyle w:val="42"/>
      <w:jc w:val="right"/>
      <w:rPr>
        <w:rFonts w:ascii="仿宋_GB2312" w:eastAsia="仿宋_GB2312"/>
        <w:b/>
        <w:i/>
        <w:sz w:val="21"/>
        <w:szCs w:val="21"/>
        <w:u w:val="single"/>
      </w:rPr>
    </w:pPr>
    <w:r>
      <w:rPr>
        <w:rFonts w:hint="eastAsia"/>
      </w:rPr>
      <w:t xml:space="preserve">                                </w:t>
    </w:r>
    <w:r>
      <w:rPr>
        <w:rFonts w:hint="eastAsia"/>
        <w:sz w:val="21"/>
        <w:szCs w:val="21"/>
      </w:rPr>
      <w:t xml:space="preserve">  </w:t>
    </w:r>
    <w:r>
      <w:rPr>
        <w:sz w:val="21"/>
        <w:szCs w:val="21"/>
      </w:rPr>
      <w:t>北海市政府采购公开招标文件</w:t>
    </w:r>
  </w:p>
  <w:p w14:paraId="61350B12">
    <w:pPr>
      <w:rPr>
        <w:rFonts w:ascii="仿宋_GB2312" w:eastAsia="仿宋_GB2312"/>
        <w:b/>
        <w:i/>
        <w:sz w:val="18"/>
        <w:u w:val="singl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C36D3">
    <w:pPr>
      <w:pStyle w:val="42"/>
      <w:jc w:val="right"/>
      <w:rPr>
        <w:sz w:val="21"/>
        <w:szCs w:val="21"/>
      </w:rPr>
    </w:pPr>
    <w:r>
      <w:rPr>
        <w:rFonts w:hint="eastAsia"/>
      </w:rPr>
      <w:t xml:space="preserve">                                                                                                        </w:t>
    </w:r>
    <w:r>
      <w:rPr>
        <w:sz w:val="21"/>
        <w:szCs w:val="21"/>
      </w:rPr>
      <w:t>北海市政府采购公开招标文件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0EE59">
    <w:pPr>
      <w:pStyle w:val="42"/>
      <w:jc w:val="right"/>
      <w:rPr>
        <w:rFonts w:ascii="仿宋_GB2312" w:eastAsia="仿宋_GB2312"/>
        <w:b/>
        <w:i/>
        <w:iCs/>
        <w:u w:val="single"/>
      </w:rPr>
    </w:pPr>
    <w:r>
      <w:t></w:t>
    </w:r>
    <w:r>
      <w:rPr>
        <w:sz w:val="21"/>
        <w:szCs w:val="21"/>
      </w:rPr>
      <w:t>北海市政府采购公开招标文件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44906">
    <w:pPr>
      <w:pStyle w:val="42"/>
    </w:pPr>
    <w:r>
      <w:t></w:t>
    </w:r>
    <w:r>
      <w:rPr>
        <w:rFonts w:hint="eastAsia"/>
      </w:rPr>
      <w:t xml:space="preserve">                </w:t>
    </w:r>
    <w:r>
      <w:rPr>
        <w:rFonts w:hint="eastAsia"/>
        <w:sz w:val="21"/>
        <w:szCs w:val="21"/>
      </w:rPr>
      <w:t xml:space="preserve">                       </w:t>
    </w:r>
    <w:r>
      <w:rPr>
        <w:sz w:val="21"/>
        <w:szCs w:val="21"/>
      </w:rPr>
      <w:t>北海市政府采购公开招标文件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3B8BC">
    <w:pPr>
      <w:pStyle w:val="42"/>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sz w:val="21"/>
        <w:szCs w:val="21"/>
        <w:lang w:val="zh-CN"/>
      </w:rPr>
      <w:t>北海市政府采购公开招标文件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A5CA5">
    <w:pPr>
      <w:pStyle w:val="42"/>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98DF4">
    <w:pPr>
      <w:pStyle w:val="42"/>
    </w:pPr>
    <w:r>
      <w:t></w:t>
    </w:r>
    <w:r>
      <w:rPr>
        <w:rFonts w:hint="eastAsia"/>
      </w:rPr>
      <w:t xml:space="preserve">         </w:t>
    </w:r>
  </w:p>
  <w:p w14:paraId="3542BB0F">
    <w:pPr>
      <w:pStyle w:val="42"/>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B61BD">
    <w:pPr>
      <w:pStyle w:val="42"/>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DA831">
    <w:pPr>
      <w:pStyle w:val="42"/>
    </w:pPr>
    <w:r>
      <w:t></w:t>
    </w:r>
    <w:r>
      <w:rPr>
        <w:rFonts w:hint="eastAsia"/>
      </w:rPr>
      <w:t xml:space="preserve">         </w:t>
    </w:r>
  </w:p>
  <w:p w14:paraId="2D452EE0">
    <w:pPr>
      <w:pStyle w:val="42"/>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AAF2E">
    <w:pPr>
      <w:pStyle w:val="42"/>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DA027">
    <w:pPr>
      <w:pStyle w:val="42"/>
    </w:pPr>
    <w:r>
      <w:t></w:t>
    </w:r>
    <w:r>
      <w:rPr>
        <w:rFonts w:hint="eastAsia"/>
      </w:rPr>
      <w:t xml:space="preserve">         </w:t>
    </w:r>
  </w:p>
  <w:p w14:paraId="3CAC616E">
    <w:pPr>
      <w:pStyle w:val="42"/>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4258A">
    <w:pPr>
      <w:pStyle w:val="42"/>
      <w:rPr>
        <w:rFonts w:ascii="仿宋_GB2312" w:eastAsia="仿宋_GB2312"/>
        <w:b/>
        <w:i/>
        <w:u w:val="single"/>
      </w:rPr>
    </w:pPr>
    <w:r>
      <w:t></w:t>
    </w:r>
    <w:r>
      <w:rPr>
        <w:rFonts w:hint="eastAsia"/>
      </w:rPr>
      <w:t xml:space="preserve">                                                </w:t>
    </w:r>
    <w:r>
      <w:rPr>
        <w:rFonts w:hint="eastAsia"/>
        <w:sz w:val="21"/>
        <w:szCs w:val="21"/>
      </w:rPr>
      <w:t xml:space="preserve">  </w:t>
    </w:r>
    <w:r>
      <w:rPr>
        <w:sz w:val="21"/>
        <w:szCs w:val="21"/>
      </w:rPr>
      <w:t>北海市政府采购公开招标文件</w:t>
    </w:r>
  </w:p>
  <w:p w14:paraId="688362D0">
    <w:pPr>
      <w:rPr>
        <w:rFonts w:ascii="仿宋_GB2312" w:eastAsia="仿宋_GB2312"/>
        <w:b/>
        <w:i/>
        <w:sz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FC1CA"/>
    <w:multiLevelType w:val="singleLevel"/>
    <w:tmpl w:val="02FFC1CA"/>
    <w:lvl w:ilvl="0" w:tentative="0">
      <w:start w:val="6"/>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676"/>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8B8"/>
    <w:rsid w:val="00026EAC"/>
    <w:rsid w:val="000270F2"/>
    <w:rsid w:val="00027540"/>
    <w:rsid w:val="00030572"/>
    <w:rsid w:val="00030A97"/>
    <w:rsid w:val="00030CB3"/>
    <w:rsid w:val="0003206A"/>
    <w:rsid w:val="000325AC"/>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27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30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C71"/>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AF5"/>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A24"/>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37A96"/>
    <w:rsid w:val="0014042F"/>
    <w:rsid w:val="00140693"/>
    <w:rsid w:val="00140D7A"/>
    <w:rsid w:val="00141D28"/>
    <w:rsid w:val="00141DFE"/>
    <w:rsid w:val="00142185"/>
    <w:rsid w:val="001422E2"/>
    <w:rsid w:val="0014233D"/>
    <w:rsid w:val="001433BC"/>
    <w:rsid w:val="00143872"/>
    <w:rsid w:val="00143A85"/>
    <w:rsid w:val="00144649"/>
    <w:rsid w:val="00145022"/>
    <w:rsid w:val="00145662"/>
    <w:rsid w:val="00145C6D"/>
    <w:rsid w:val="001460FC"/>
    <w:rsid w:val="00146151"/>
    <w:rsid w:val="00146326"/>
    <w:rsid w:val="0014648C"/>
    <w:rsid w:val="00146EA3"/>
    <w:rsid w:val="00147032"/>
    <w:rsid w:val="00147EA7"/>
    <w:rsid w:val="00151820"/>
    <w:rsid w:val="00151B2F"/>
    <w:rsid w:val="001524DC"/>
    <w:rsid w:val="001525E5"/>
    <w:rsid w:val="00153859"/>
    <w:rsid w:val="00153915"/>
    <w:rsid w:val="001539F0"/>
    <w:rsid w:val="00154BBA"/>
    <w:rsid w:val="001552F0"/>
    <w:rsid w:val="00155B95"/>
    <w:rsid w:val="00156853"/>
    <w:rsid w:val="00157432"/>
    <w:rsid w:val="00157893"/>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5850"/>
    <w:rsid w:val="00176AA6"/>
    <w:rsid w:val="00177063"/>
    <w:rsid w:val="00180A47"/>
    <w:rsid w:val="00181025"/>
    <w:rsid w:val="001822F7"/>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6E2"/>
    <w:rsid w:val="00193B94"/>
    <w:rsid w:val="001940A7"/>
    <w:rsid w:val="00194BB1"/>
    <w:rsid w:val="00194BC6"/>
    <w:rsid w:val="00194DE5"/>
    <w:rsid w:val="00195070"/>
    <w:rsid w:val="00195245"/>
    <w:rsid w:val="0019526D"/>
    <w:rsid w:val="0019553F"/>
    <w:rsid w:val="001956BE"/>
    <w:rsid w:val="0019602C"/>
    <w:rsid w:val="001969F2"/>
    <w:rsid w:val="00196CD6"/>
    <w:rsid w:val="00197370"/>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EF0"/>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878"/>
    <w:rsid w:val="001D0947"/>
    <w:rsid w:val="001D0FB2"/>
    <w:rsid w:val="001D16F5"/>
    <w:rsid w:val="001D16FE"/>
    <w:rsid w:val="001D1970"/>
    <w:rsid w:val="001D1D55"/>
    <w:rsid w:val="001D21EF"/>
    <w:rsid w:val="001D29A4"/>
    <w:rsid w:val="001D2B73"/>
    <w:rsid w:val="001D2D5F"/>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693F"/>
    <w:rsid w:val="001E7F81"/>
    <w:rsid w:val="001F0FD1"/>
    <w:rsid w:val="001F125D"/>
    <w:rsid w:val="001F1526"/>
    <w:rsid w:val="001F19D1"/>
    <w:rsid w:val="001F1CB9"/>
    <w:rsid w:val="001F1F18"/>
    <w:rsid w:val="001F2F92"/>
    <w:rsid w:val="001F456F"/>
    <w:rsid w:val="001F5DA1"/>
    <w:rsid w:val="001F612E"/>
    <w:rsid w:val="001F6A92"/>
    <w:rsid w:val="001F77E8"/>
    <w:rsid w:val="00201A0C"/>
    <w:rsid w:val="00201B0F"/>
    <w:rsid w:val="0020255A"/>
    <w:rsid w:val="002025B1"/>
    <w:rsid w:val="00202800"/>
    <w:rsid w:val="002029C7"/>
    <w:rsid w:val="00202D33"/>
    <w:rsid w:val="00202E58"/>
    <w:rsid w:val="00202F99"/>
    <w:rsid w:val="00203C85"/>
    <w:rsid w:val="0020449A"/>
    <w:rsid w:val="00204E9B"/>
    <w:rsid w:val="00205298"/>
    <w:rsid w:val="002055C0"/>
    <w:rsid w:val="0020569E"/>
    <w:rsid w:val="002064B3"/>
    <w:rsid w:val="00206698"/>
    <w:rsid w:val="00206736"/>
    <w:rsid w:val="00206C88"/>
    <w:rsid w:val="00210B9C"/>
    <w:rsid w:val="00211185"/>
    <w:rsid w:val="00211A94"/>
    <w:rsid w:val="002126F2"/>
    <w:rsid w:val="00212A84"/>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3CE7"/>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5B2"/>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419"/>
    <w:rsid w:val="00255784"/>
    <w:rsid w:val="00255A29"/>
    <w:rsid w:val="002562CA"/>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097"/>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441"/>
    <w:rsid w:val="00290A99"/>
    <w:rsid w:val="00290EAF"/>
    <w:rsid w:val="002912A0"/>
    <w:rsid w:val="0029159A"/>
    <w:rsid w:val="00291CF1"/>
    <w:rsid w:val="00292AA1"/>
    <w:rsid w:val="00292E7B"/>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D96"/>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7A7"/>
    <w:rsid w:val="002B1881"/>
    <w:rsid w:val="002B1F61"/>
    <w:rsid w:val="002B2070"/>
    <w:rsid w:val="002B2906"/>
    <w:rsid w:val="002B2AF3"/>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4F52"/>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C4C"/>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6C2"/>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1E12"/>
    <w:rsid w:val="003320D7"/>
    <w:rsid w:val="00332265"/>
    <w:rsid w:val="00332862"/>
    <w:rsid w:val="00332D52"/>
    <w:rsid w:val="00333337"/>
    <w:rsid w:val="00333593"/>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95"/>
    <w:rsid w:val="003519CD"/>
    <w:rsid w:val="00351A3A"/>
    <w:rsid w:val="0035455F"/>
    <w:rsid w:val="00354A88"/>
    <w:rsid w:val="00355D75"/>
    <w:rsid w:val="00355D8F"/>
    <w:rsid w:val="00356A73"/>
    <w:rsid w:val="00356FF0"/>
    <w:rsid w:val="00357051"/>
    <w:rsid w:val="003577EF"/>
    <w:rsid w:val="00357A60"/>
    <w:rsid w:val="00360304"/>
    <w:rsid w:val="00360A78"/>
    <w:rsid w:val="00361750"/>
    <w:rsid w:val="00362061"/>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3F17"/>
    <w:rsid w:val="003B4587"/>
    <w:rsid w:val="003B4B51"/>
    <w:rsid w:val="003B4FE1"/>
    <w:rsid w:val="003B514E"/>
    <w:rsid w:val="003B5531"/>
    <w:rsid w:val="003B5A25"/>
    <w:rsid w:val="003B636A"/>
    <w:rsid w:val="003B69CE"/>
    <w:rsid w:val="003B7403"/>
    <w:rsid w:val="003B7751"/>
    <w:rsid w:val="003C011C"/>
    <w:rsid w:val="003C0E32"/>
    <w:rsid w:val="003C11D7"/>
    <w:rsid w:val="003C16CB"/>
    <w:rsid w:val="003C1B97"/>
    <w:rsid w:val="003C247B"/>
    <w:rsid w:val="003C2B88"/>
    <w:rsid w:val="003C3292"/>
    <w:rsid w:val="003C3C1E"/>
    <w:rsid w:val="003C3D88"/>
    <w:rsid w:val="003C4134"/>
    <w:rsid w:val="003C435B"/>
    <w:rsid w:val="003C4EBE"/>
    <w:rsid w:val="003C62EC"/>
    <w:rsid w:val="003C685A"/>
    <w:rsid w:val="003C6E9C"/>
    <w:rsid w:val="003C746F"/>
    <w:rsid w:val="003C7570"/>
    <w:rsid w:val="003C76E6"/>
    <w:rsid w:val="003C79F2"/>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2FA2"/>
    <w:rsid w:val="003E336A"/>
    <w:rsid w:val="003E3E2F"/>
    <w:rsid w:val="003E4048"/>
    <w:rsid w:val="003E425C"/>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657"/>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96F"/>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380"/>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2C27"/>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6B64"/>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396"/>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2DFB"/>
    <w:rsid w:val="0049333E"/>
    <w:rsid w:val="0049418F"/>
    <w:rsid w:val="0049570D"/>
    <w:rsid w:val="00495C48"/>
    <w:rsid w:val="00495DC6"/>
    <w:rsid w:val="00496CCE"/>
    <w:rsid w:val="004978C1"/>
    <w:rsid w:val="00497A5C"/>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6A4"/>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1886"/>
    <w:rsid w:val="0057200B"/>
    <w:rsid w:val="00572297"/>
    <w:rsid w:val="0057345D"/>
    <w:rsid w:val="0057347D"/>
    <w:rsid w:val="00573560"/>
    <w:rsid w:val="00574954"/>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8EB"/>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79B"/>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603"/>
    <w:rsid w:val="005C6AAB"/>
    <w:rsid w:val="005C6D5D"/>
    <w:rsid w:val="005C6FD0"/>
    <w:rsid w:val="005D01C3"/>
    <w:rsid w:val="005D05FF"/>
    <w:rsid w:val="005D0FB4"/>
    <w:rsid w:val="005D1176"/>
    <w:rsid w:val="005D1747"/>
    <w:rsid w:val="005D1937"/>
    <w:rsid w:val="005D266D"/>
    <w:rsid w:val="005D306D"/>
    <w:rsid w:val="005D3327"/>
    <w:rsid w:val="005D4854"/>
    <w:rsid w:val="005D51D8"/>
    <w:rsid w:val="005D5BCF"/>
    <w:rsid w:val="005D65BF"/>
    <w:rsid w:val="005D6D84"/>
    <w:rsid w:val="005D70A1"/>
    <w:rsid w:val="005D75EC"/>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3F0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256"/>
    <w:rsid w:val="00603373"/>
    <w:rsid w:val="006036D0"/>
    <w:rsid w:val="00603B1C"/>
    <w:rsid w:val="006042CD"/>
    <w:rsid w:val="00605217"/>
    <w:rsid w:val="006054A5"/>
    <w:rsid w:val="006059E4"/>
    <w:rsid w:val="00605D60"/>
    <w:rsid w:val="006062A0"/>
    <w:rsid w:val="00607015"/>
    <w:rsid w:val="0061098D"/>
    <w:rsid w:val="00610B78"/>
    <w:rsid w:val="00611B59"/>
    <w:rsid w:val="00611EAD"/>
    <w:rsid w:val="00611FBA"/>
    <w:rsid w:val="00612098"/>
    <w:rsid w:val="0061272A"/>
    <w:rsid w:val="0061299E"/>
    <w:rsid w:val="006130D0"/>
    <w:rsid w:val="006132B1"/>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648"/>
    <w:rsid w:val="00633769"/>
    <w:rsid w:val="00633FE3"/>
    <w:rsid w:val="00634276"/>
    <w:rsid w:val="00634570"/>
    <w:rsid w:val="0063487C"/>
    <w:rsid w:val="00634CE6"/>
    <w:rsid w:val="00635B73"/>
    <w:rsid w:val="00635BB7"/>
    <w:rsid w:val="00636888"/>
    <w:rsid w:val="00636CC7"/>
    <w:rsid w:val="006371A2"/>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465"/>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2B9"/>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C58"/>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246"/>
    <w:rsid w:val="006E045C"/>
    <w:rsid w:val="006E0569"/>
    <w:rsid w:val="006E065E"/>
    <w:rsid w:val="006E0849"/>
    <w:rsid w:val="006E11D6"/>
    <w:rsid w:val="006E17AC"/>
    <w:rsid w:val="006E189B"/>
    <w:rsid w:val="006E20D9"/>
    <w:rsid w:val="006E27DC"/>
    <w:rsid w:val="006E2902"/>
    <w:rsid w:val="006E2F9D"/>
    <w:rsid w:val="006E3556"/>
    <w:rsid w:val="006E37C6"/>
    <w:rsid w:val="006E3B57"/>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0CF"/>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0F6"/>
    <w:rsid w:val="00746814"/>
    <w:rsid w:val="00746D58"/>
    <w:rsid w:val="00747578"/>
    <w:rsid w:val="00750D12"/>
    <w:rsid w:val="00751073"/>
    <w:rsid w:val="00751AF2"/>
    <w:rsid w:val="00751B1A"/>
    <w:rsid w:val="00751BD2"/>
    <w:rsid w:val="00751CE5"/>
    <w:rsid w:val="00752188"/>
    <w:rsid w:val="00752CC6"/>
    <w:rsid w:val="00753938"/>
    <w:rsid w:val="00753A57"/>
    <w:rsid w:val="00753C5C"/>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2B48"/>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CA7"/>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189"/>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1E7F"/>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505"/>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3649"/>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03E"/>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0D7F"/>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5CA"/>
    <w:rsid w:val="008D1612"/>
    <w:rsid w:val="008D19FA"/>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39F5"/>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582"/>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0DA"/>
    <w:rsid w:val="00925A3E"/>
    <w:rsid w:val="009261DB"/>
    <w:rsid w:val="00926939"/>
    <w:rsid w:val="00926F4C"/>
    <w:rsid w:val="00927330"/>
    <w:rsid w:val="00927710"/>
    <w:rsid w:val="009307CA"/>
    <w:rsid w:val="009312DF"/>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153"/>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4FC"/>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0DF6"/>
    <w:rsid w:val="009C10DA"/>
    <w:rsid w:val="009C19FC"/>
    <w:rsid w:val="009C27F7"/>
    <w:rsid w:val="009C2D71"/>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1FB1"/>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9F7280"/>
    <w:rsid w:val="00A000C5"/>
    <w:rsid w:val="00A007B4"/>
    <w:rsid w:val="00A00930"/>
    <w:rsid w:val="00A00CA0"/>
    <w:rsid w:val="00A00E00"/>
    <w:rsid w:val="00A01221"/>
    <w:rsid w:val="00A012A8"/>
    <w:rsid w:val="00A012F1"/>
    <w:rsid w:val="00A014EE"/>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3F39"/>
    <w:rsid w:val="00A249D2"/>
    <w:rsid w:val="00A254AB"/>
    <w:rsid w:val="00A25588"/>
    <w:rsid w:val="00A259F2"/>
    <w:rsid w:val="00A266CC"/>
    <w:rsid w:val="00A26DB4"/>
    <w:rsid w:val="00A26E49"/>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CE9"/>
    <w:rsid w:val="00A41D73"/>
    <w:rsid w:val="00A42406"/>
    <w:rsid w:val="00A42A74"/>
    <w:rsid w:val="00A433E8"/>
    <w:rsid w:val="00A43A1D"/>
    <w:rsid w:val="00A43AB0"/>
    <w:rsid w:val="00A44854"/>
    <w:rsid w:val="00A44A45"/>
    <w:rsid w:val="00A454ED"/>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3814"/>
    <w:rsid w:val="00A8420B"/>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3DC0"/>
    <w:rsid w:val="00AA408E"/>
    <w:rsid w:val="00AA4DA9"/>
    <w:rsid w:val="00AA4F6D"/>
    <w:rsid w:val="00AA50CE"/>
    <w:rsid w:val="00AA536B"/>
    <w:rsid w:val="00AA57C9"/>
    <w:rsid w:val="00AA5A5C"/>
    <w:rsid w:val="00AA5A6F"/>
    <w:rsid w:val="00AA5D86"/>
    <w:rsid w:val="00AA634D"/>
    <w:rsid w:val="00AA6F6C"/>
    <w:rsid w:val="00AA721D"/>
    <w:rsid w:val="00AA7519"/>
    <w:rsid w:val="00AA790A"/>
    <w:rsid w:val="00AB02EA"/>
    <w:rsid w:val="00AB110C"/>
    <w:rsid w:val="00AB227A"/>
    <w:rsid w:val="00AB22BF"/>
    <w:rsid w:val="00AB256E"/>
    <w:rsid w:val="00AB318B"/>
    <w:rsid w:val="00AB3466"/>
    <w:rsid w:val="00AB38B2"/>
    <w:rsid w:val="00AB3AB9"/>
    <w:rsid w:val="00AB3BBB"/>
    <w:rsid w:val="00AB408C"/>
    <w:rsid w:val="00AB43AF"/>
    <w:rsid w:val="00AB489E"/>
    <w:rsid w:val="00AB4E41"/>
    <w:rsid w:val="00AB5EB1"/>
    <w:rsid w:val="00AB6003"/>
    <w:rsid w:val="00AB759A"/>
    <w:rsid w:val="00AB7B06"/>
    <w:rsid w:val="00AB7EAA"/>
    <w:rsid w:val="00AC0432"/>
    <w:rsid w:val="00AC0770"/>
    <w:rsid w:val="00AC1683"/>
    <w:rsid w:val="00AC1D82"/>
    <w:rsid w:val="00AC2D5F"/>
    <w:rsid w:val="00AC38A5"/>
    <w:rsid w:val="00AC4094"/>
    <w:rsid w:val="00AC42B6"/>
    <w:rsid w:val="00AC4AB7"/>
    <w:rsid w:val="00AC51E0"/>
    <w:rsid w:val="00AC6D24"/>
    <w:rsid w:val="00AC6E18"/>
    <w:rsid w:val="00AC7F64"/>
    <w:rsid w:val="00AD0DD3"/>
    <w:rsid w:val="00AD1065"/>
    <w:rsid w:val="00AD159E"/>
    <w:rsid w:val="00AD2AB1"/>
    <w:rsid w:val="00AD3132"/>
    <w:rsid w:val="00AD336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291"/>
    <w:rsid w:val="00B21676"/>
    <w:rsid w:val="00B219E1"/>
    <w:rsid w:val="00B21ECF"/>
    <w:rsid w:val="00B22150"/>
    <w:rsid w:val="00B2225B"/>
    <w:rsid w:val="00B226DE"/>
    <w:rsid w:val="00B22FB5"/>
    <w:rsid w:val="00B241D5"/>
    <w:rsid w:val="00B24BE9"/>
    <w:rsid w:val="00B2551D"/>
    <w:rsid w:val="00B259DF"/>
    <w:rsid w:val="00B25A55"/>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0B24"/>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0D61"/>
    <w:rsid w:val="00BB1688"/>
    <w:rsid w:val="00BB1EFB"/>
    <w:rsid w:val="00BB269F"/>
    <w:rsid w:val="00BB27CC"/>
    <w:rsid w:val="00BB2ACE"/>
    <w:rsid w:val="00BB2E4E"/>
    <w:rsid w:val="00BB2E62"/>
    <w:rsid w:val="00BB36C9"/>
    <w:rsid w:val="00BB3823"/>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28FB"/>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27AD1"/>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1D31"/>
    <w:rsid w:val="00C4297A"/>
    <w:rsid w:val="00C4360C"/>
    <w:rsid w:val="00C439B8"/>
    <w:rsid w:val="00C43A0B"/>
    <w:rsid w:val="00C43EDA"/>
    <w:rsid w:val="00C43FEC"/>
    <w:rsid w:val="00C4414C"/>
    <w:rsid w:val="00C45512"/>
    <w:rsid w:val="00C45C55"/>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177"/>
    <w:rsid w:val="00C562A9"/>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DEA"/>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1A7"/>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06"/>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20"/>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2BA"/>
    <w:rsid w:val="00DF6FD2"/>
    <w:rsid w:val="00DF72EF"/>
    <w:rsid w:val="00DF743D"/>
    <w:rsid w:val="00DF7724"/>
    <w:rsid w:val="00E000D8"/>
    <w:rsid w:val="00E00C1E"/>
    <w:rsid w:val="00E00F5F"/>
    <w:rsid w:val="00E010E6"/>
    <w:rsid w:val="00E01377"/>
    <w:rsid w:val="00E014E7"/>
    <w:rsid w:val="00E0232F"/>
    <w:rsid w:val="00E026A9"/>
    <w:rsid w:val="00E03063"/>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761"/>
    <w:rsid w:val="00E12BDF"/>
    <w:rsid w:val="00E13033"/>
    <w:rsid w:val="00E13326"/>
    <w:rsid w:val="00E13D07"/>
    <w:rsid w:val="00E14356"/>
    <w:rsid w:val="00E14961"/>
    <w:rsid w:val="00E14D76"/>
    <w:rsid w:val="00E15183"/>
    <w:rsid w:val="00E1594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6F43"/>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37EE"/>
    <w:rsid w:val="00E5448E"/>
    <w:rsid w:val="00E54E0D"/>
    <w:rsid w:val="00E55247"/>
    <w:rsid w:val="00E558E5"/>
    <w:rsid w:val="00E55B3C"/>
    <w:rsid w:val="00E56744"/>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2F9D"/>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04C"/>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01F"/>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2F8"/>
    <w:rsid w:val="00EB2635"/>
    <w:rsid w:val="00EB2961"/>
    <w:rsid w:val="00EB2E1A"/>
    <w:rsid w:val="00EB2F8A"/>
    <w:rsid w:val="00EB3268"/>
    <w:rsid w:val="00EB3298"/>
    <w:rsid w:val="00EB3939"/>
    <w:rsid w:val="00EB3CE6"/>
    <w:rsid w:val="00EB3E92"/>
    <w:rsid w:val="00EB5435"/>
    <w:rsid w:val="00EB54AB"/>
    <w:rsid w:val="00EB59BC"/>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B8F"/>
    <w:rsid w:val="00ED18B1"/>
    <w:rsid w:val="00ED1ADE"/>
    <w:rsid w:val="00ED3692"/>
    <w:rsid w:val="00ED4A77"/>
    <w:rsid w:val="00ED4B6E"/>
    <w:rsid w:val="00ED5981"/>
    <w:rsid w:val="00ED613A"/>
    <w:rsid w:val="00ED6514"/>
    <w:rsid w:val="00ED66B2"/>
    <w:rsid w:val="00ED71BA"/>
    <w:rsid w:val="00ED728F"/>
    <w:rsid w:val="00ED73A1"/>
    <w:rsid w:val="00ED7CA2"/>
    <w:rsid w:val="00EE04B1"/>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4E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265"/>
    <w:rsid w:val="00F266E3"/>
    <w:rsid w:val="00F2689C"/>
    <w:rsid w:val="00F27E44"/>
    <w:rsid w:val="00F30313"/>
    <w:rsid w:val="00F303BC"/>
    <w:rsid w:val="00F30472"/>
    <w:rsid w:val="00F30961"/>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97D"/>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7EE"/>
    <w:rsid w:val="00F63BF4"/>
    <w:rsid w:val="00F63C55"/>
    <w:rsid w:val="00F63C60"/>
    <w:rsid w:val="00F64991"/>
    <w:rsid w:val="00F65425"/>
    <w:rsid w:val="00F65BA9"/>
    <w:rsid w:val="00F65BC8"/>
    <w:rsid w:val="00F65C4A"/>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022"/>
    <w:rsid w:val="00FA423C"/>
    <w:rsid w:val="00FA44D0"/>
    <w:rsid w:val="00FA4590"/>
    <w:rsid w:val="00FA55A2"/>
    <w:rsid w:val="00FA672F"/>
    <w:rsid w:val="00FA775E"/>
    <w:rsid w:val="00FA7792"/>
    <w:rsid w:val="00FA7AA8"/>
    <w:rsid w:val="00FA7F1D"/>
    <w:rsid w:val="00FB011C"/>
    <w:rsid w:val="00FB0D60"/>
    <w:rsid w:val="00FB18FD"/>
    <w:rsid w:val="00FB21CC"/>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4AC7"/>
    <w:rsid w:val="00FF5C6A"/>
    <w:rsid w:val="00FF651D"/>
    <w:rsid w:val="00FF6843"/>
    <w:rsid w:val="00FF6C25"/>
    <w:rsid w:val="010651D9"/>
    <w:rsid w:val="011F6449"/>
    <w:rsid w:val="01236AFB"/>
    <w:rsid w:val="0149098B"/>
    <w:rsid w:val="019F7441"/>
    <w:rsid w:val="01B37585"/>
    <w:rsid w:val="01CA3F1A"/>
    <w:rsid w:val="01D55165"/>
    <w:rsid w:val="01DF6BF8"/>
    <w:rsid w:val="01EC2C57"/>
    <w:rsid w:val="025F0711"/>
    <w:rsid w:val="026B2E25"/>
    <w:rsid w:val="0277007C"/>
    <w:rsid w:val="027C6214"/>
    <w:rsid w:val="02824D4D"/>
    <w:rsid w:val="028D3650"/>
    <w:rsid w:val="02B367FB"/>
    <w:rsid w:val="02DC4B10"/>
    <w:rsid w:val="02DD76CE"/>
    <w:rsid w:val="02F36323"/>
    <w:rsid w:val="02F5619C"/>
    <w:rsid w:val="0326446A"/>
    <w:rsid w:val="032B57EF"/>
    <w:rsid w:val="032D5555"/>
    <w:rsid w:val="036634D2"/>
    <w:rsid w:val="03CD39A8"/>
    <w:rsid w:val="03D04978"/>
    <w:rsid w:val="03DD35E4"/>
    <w:rsid w:val="04076900"/>
    <w:rsid w:val="041A5A3B"/>
    <w:rsid w:val="042311BA"/>
    <w:rsid w:val="042B157A"/>
    <w:rsid w:val="04736067"/>
    <w:rsid w:val="048F763B"/>
    <w:rsid w:val="049F330E"/>
    <w:rsid w:val="04AA775C"/>
    <w:rsid w:val="04AF1889"/>
    <w:rsid w:val="04BD14C3"/>
    <w:rsid w:val="04D53301"/>
    <w:rsid w:val="04F66F48"/>
    <w:rsid w:val="05251E14"/>
    <w:rsid w:val="05A16594"/>
    <w:rsid w:val="05A7762D"/>
    <w:rsid w:val="060E5941"/>
    <w:rsid w:val="06110FAF"/>
    <w:rsid w:val="06493CA7"/>
    <w:rsid w:val="065A6178"/>
    <w:rsid w:val="066F1CF3"/>
    <w:rsid w:val="06930BB8"/>
    <w:rsid w:val="06952D48"/>
    <w:rsid w:val="07245D42"/>
    <w:rsid w:val="07264C62"/>
    <w:rsid w:val="0779354C"/>
    <w:rsid w:val="07F41FA5"/>
    <w:rsid w:val="0805171E"/>
    <w:rsid w:val="08061376"/>
    <w:rsid w:val="08452D77"/>
    <w:rsid w:val="086401F8"/>
    <w:rsid w:val="08751CAA"/>
    <w:rsid w:val="087E4C40"/>
    <w:rsid w:val="08A871D0"/>
    <w:rsid w:val="08D66AD6"/>
    <w:rsid w:val="08DA33A3"/>
    <w:rsid w:val="08E80F13"/>
    <w:rsid w:val="09335624"/>
    <w:rsid w:val="0944690F"/>
    <w:rsid w:val="09535675"/>
    <w:rsid w:val="095F057D"/>
    <w:rsid w:val="09642282"/>
    <w:rsid w:val="09733572"/>
    <w:rsid w:val="09772C16"/>
    <w:rsid w:val="09774987"/>
    <w:rsid w:val="098353B5"/>
    <w:rsid w:val="09A92330"/>
    <w:rsid w:val="09B06B87"/>
    <w:rsid w:val="09C13146"/>
    <w:rsid w:val="09E04166"/>
    <w:rsid w:val="0A1C0718"/>
    <w:rsid w:val="0A3E7710"/>
    <w:rsid w:val="0A5B7E63"/>
    <w:rsid w:val="0A7823B4"/>
    <w:rsid w:val="0AA374A5"/>
    <w:rsid w:val="0AAB7649"/>
    <w:rsid w:val="0ABC5606"/>
    <w:rsid w:val="0B30404E"/>
    <w:rsid w:val="0B4C6C14"/>
    <w:rsid w:val="0B547599"/>
    <w:rsid w:val="0B5F3278"/>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C43B46"/>
    <w:rsid w:val="0DD63300"/>
    <w:rsid w:val="0DF50604"/>
    <w:rsid w:val="0DF702FE"/>
    <w:rsid w:val="0E060E51"/>
    <w:rsid w:val="0E5604B2"/>
    <w:rsid w:val="0E6D5D79"/>
    <w:rsid w:val="0E9D0089"/>
    <w:rsid w:val="0EB803EE"/>
    <w:rsid w:val="0EF94D4B"/>
    <w:rsid w:val="0F1B5DB5"/>
    <w:rsid w:val="0F2729AB"/>
    <w:rsid w:val="0F4958DC"/>
    <w:rsid w:val="0F515DF7"/>
    <w:rsid w:val="0F596BA8"/>
    <w:rsid w:val="0F6248D2"/>
    <w:rsid w:val="0F693536"/>
    <w:rsid w:val="0F7B0511"/>
    <w:rsid w:val="0F7B76D9"/>
    <w:rsid w:val="0F816ACD"/>
    <w:rsid w:val="0F9832DB"/>
    <w:rsid w:val="0FBF3FD2"/>
    <w:rsid w:val="0FBF7FF3"/>
    <w:rsid w:val="0FE34B24"/>
    <w:rsid w:val="10646583"/>
    <w:rsid w:val="107D4B15"/>
    <w:rsid w:val="108A3C80"/>
    <w:rsid w:val="10C26171"/>
    <w:rsid w:val="10F33360"/>
    <w:rsid w:val="10FC16EA"/>
    <w:rsid w:val="110F1D40"/>
    <w:rsid w:val="11266F33"/>
    <w:rsid w:val="11355F72"/>
    <w:rsid w:val="118963A1"/>
    <w:rsid w:val="11B33FB3"/>
    <w:rsid w:val="11C6522A"/>
    <w:rsid w:val="11E104CC"/>
    <w:rsid w:val="11E20309"/>
    <w:rsid w:val="11EE4B5F"/>
    <w:rsid w:val="12255233"/>
    <w:rsid w:val="12530213"/>
    <w:rsid w:val="127723A9"/>
    <w:rsid w:val="12862074"/>
    <w:rsid w:val="12883966"/>
    <w:rsid w:val="129E45B4"/>
    <w:rsid w:val="12D81596"/>
    <w:rsid w:val="13072A44"/>
    <w:rsid w:val="1323348A"/>
    <w:rsid w:val="13382C11"/>
    <w:rsid w:val="135F4BE2"/>
    <w:rsid w:val="13915DCB"/>
    <w:rsid w:val="139B1A0A"/>
    <w:rsid w:val="139D25C7"/>
    <w:rsid w:val="13BF3CE4"/>
    <w:rsid w:val="141008D8"/>
    <w:rsid w:val="14125FE6"/>
    <w:rsid w:val="146D271E"/>
    <w:rsid w:val="14900043"/>
    <w:rsid w:val="14982588"/>
    <w:rsid w:val="149A5AD9"/>
    <w:rsid w:val="14A7619D"/>
    <w:rsid w:val="14AA5A37"/>
    <w:rsid w:val="15033573"/>
    <w:rsid w:val="150536C3"/>
    <w:rsid w:val="150C1963"/>
    <w:rsid w:val="151447A0"/>
    <w:rsid w:val="153C0833"/>
    <w:rsid w:val="154A6454"/>
    <w:rsid w:val="15762120"/>
    <w:rsid w:val="159568DC"/>
    <w:rsid w:val="15C119DB"/>
    <w:rsid w:val="15F80537"/>
    <w:rsid w:val="16A8729C"/>
    <w:rsid w:val="16B33777"/>
    <w:rsid w:val="16BC70A7"/>
    <w:rsid w:val="16C6339E"/>
    <w:rsid w:val="172F2D79"/>
    <w:rsid w:val="17557BEF"/>
    <w:rsid w:val="177C760C"/>
    <w:rsid w:val="17D349C1"/>
    <w:rsid w:val="180377DD"/>
    <w:rsid w:val="1830729E"/>
    <w:rsid w:val="185561DD"/>
    <w:rsid w:val="1870062C"/>
    <w:rsid w:val="18721BFE"/>
    <w:rsid w:val="18817102"/>
    <w:rsid w:val="18830A15"/>
    <w:rsid w:val="18852B28"/>
    <w:rsid w:val="188B5321"/>
    <w:rsid w:val="19766A09"/>
    <w:rsid w:val="19932372"/>
    <w:rsid w:val="19A20DD5"/>
    <w:rsid w:val="19AE03F1"/>
    <w:rsid w:val="1A071A03"/>
    <w:rsid w:val="1A1F16AE"/>
    <w:rsid w:val="1A31352B"/>
    <w:rsid w:val="1A3B5C77"/>
    <w:rsid w:val="1A43444C"/>
    <w:rsid w:val="1A622AE9"/>
    <w:rsid w:val="1A984BAD"/>
    <w:rsid w:val="1AB8220E"/>
    <w:rsid w:val="1AE4166C"/>
    <w:rsid w:val="1AF06CFB"/>
    <w:rsid w:val="1AF11B8D"/>
    <w:rsid w:val="1B0B4F2F"/>
    <w:rsid w:val="1B11359C"/>
    <w:rsid w:val="1B2A271F"/>
    <w:rsid w:val="1B530544"/>
    <w:rsid w:val="1B713184"/>
    <w:rsid w:val="1B773153"/>
    <w:rsid w:val="1B811E07"/>
    <w:rsid w:val="1BA209CF"/>
    <w:rsid w:val="1BB4777D"/>
    <w:rsid w:val="1BD75AB8"/>
    <w:rsid w:val="1C006A5E"/>
    <w:rsid w:val="1C0459C2"/>
    <w:rsid w:val="1C1B3B4A"/>
    <w:rsid w:val="1C88086E"/>
    <w:rsid w:val="1D266CE1"/>
    <w:rsid w:val="1D3963AF"/>
    <w:rsid w:val="1D6A673C"/>
    <w:rsid w:val="1D9247AE"/>
    <w:rsid w:val="1DB567EC"/>
    <w:rsid w:val="1DB608DC"/>
    <w:rsid w:val="1DD86CE1"/>
    <w:rsid w:val="1DF51A98"/>
    <w:rsid w:val="1E3D060F"/>
    <w:rsid w:val="1E3F7D2E"/>
    <w:rsid w:val="1E4134E4"/>
    <w:rsid w:val="1E5062B3"/>
    <w:rsid w:val="1E523514"/>
    <w:rsid w:val="1E714A66"/>
    <w:rsid w:val="1E802593"/>
    <w:rsid w:val="1E8B6156"/>
    <w:rsid w:val="1EA4168C"/>
    <w:rsid w:val="1EA703CC"/>
    <w:rsid w:val="1EB7330C"/>
    <w:rsid w:val="1F0A0FF3"/>
    <w:rsid w:val="1F5771FF"/>
    <w:rsid w:val="1FD52DD5"/>
    <w:rsid w:val="1FE868A9"/>
    <w:rsid w:val="20034907"/>
    <w:rsid w:val="20173E4B"/>
    <w:rsid w:val="202F5AD6"/>
    <w:rsid w:val="204E48BC"/>
    <w:rsid w:val="208921B3"/>
    <w:rsid w:val="20973DEB"/>
    <w:rsid w:val="20B26522"/>
    <w:rsid w:val="20B44310"/>
    <w:rsid w:val="211116EB"/>
    <w:rsid w:val="216133FC"/>
    <w:rsid w:val="21D56769"/>
    <w:rsid w:val="21E52EF3"/>
    <w:rsid w:val="21FB5D7B"/>
    <w:rsid w:val="22015E94"/>
    <w:rsid w:val="220B1C3D"/>
    <w:rsid w:val="221D1D20"/>
    <w:rsid w:val="22334A87"/>
    <w:rsid w:val="22BE6801"/>
    <w:rsid w:val="233500BF"/>
    <w:rsid w:val="23377FF7"/>
    <w:rsid w:val="236B425F"/>
    <w:rsid w:val="23836192"/>
    <w:rsid w:val="238C6E29"/>
    <w:rsid w:val="23901F29"/>
    <w:rsid w:val="239C0061"/>
    <w:rsid w:val="23B77FEA"/>
    <w:rsid w:val="23B908A4"/>
    <w:rsid w:val="23E95BEF"/>
    <w:rsid w:val="23FD0064"/>
    <w:rsid w:val="245375B0"/>
    <w:rsid w:val="245466F9"/>
    <w:rsid w:val="24642C0A"/>
    <w:rsid w:val="248A2B54"/>
    <w:rsid w:val="24AA57B9"/>
    <w:rsid w:val="24B22173"/>
    <w:rsid w:val="24B95AD9"/>
    <w:rsid w:val="24BE24DA"/>
    <w:rsid w:val="24CF5825"/>
    <w:rsid w:val="24D663E6"/>
    <w:rsid w:val="24D77F2B"/>
    <w:rsid w:val="258B00E2"/>
    <w:rsid w:val="25A917A6"/>
    <w:rsid w:val="25BE27CC"/>
    <w:rsid w:val="25C970BA"/>
    <w:rsid w:val="25F74A5C"/>
    <w:rsid w:val="2628662C"/>
    <w:rsid w:val="262D45DE"/>
    <w:rsid w:val="26871DC8"/>
    <w:rsid w:val="26A53EF9"/>
    <w:rsid w:val="26A94201"/>
    <w:rsid w:val="26AC274F"/>
    <w:rsid w:val="27044A29"/>
    <w:rsid w:val="271D34C8"/>
    <w:rsid w:val="2742124F"/>
    <w:rsid w:val="276142BF"/>
    <w:rsid w:val="27783712"/>
    <w:rsid w:val="27907362"/>
    <w:rsid w:val="27A41B81"/>
    <w:rsid w:val="27BD0F59"/>
    <w:rsid w:val="27DC1974"/>
    <w:rsid w:val="27E770BC"/>
    <w:rsid w:val="281A2F57"/>
    <w:rsid w:val="28333E1D"/>
    <w:rsid w:val="28454BD6"/>
    <w:rsid w:val="28455253"/>
    <w:rsid w:val="28551971"/>
    <w:rsid w:val="285B1C53"/>
    <w:rsid w:val="2876793A"/>
    <w:rsid w:val="289F7086"/>
    <w:rsid w:val="28B256E1"/>
    <w:rsid w:val="28C32028"/>
    <w:rsid w:val="28CC490F"/>
    <w:rsid w:val="28DB23E5"/>
    <w:rsid w:val="28DE40AA"/>
    <w:rsid w:val="29345E77"/>
    <w:rsid w:val="294C65AD"/>
    <w:rsid w:val="29806583"/>
    <w:rsid w:val="298B3C4C"/>
    <w:rsid w:val="29A502DB"/>
    <w:rsid w:val="29F26D24"/>
    <w:rsid w:val="2A15033F"/>
    <w:rsid w:val="2A1662C1"/>
    <w:rsid w:val="2A1C7367"/>
    <w:rsid w:val="2A2815FA"/>
    <w:rsid w:val="2A6D6092"/>
    <w:rsid w:val="2A7D76B4"/>
    <w:rsid w:val="2B437463"/>
    <w:rsid w:val="2B6C6202"/>
    <w:rsid w:val="2B7807EE"/>
    <w:rsid w:val="2BA50BF7"/>
    <w:rsid w:val="2BBF00EC"/>
    <w:rsid w:val="2BC37CFD"/>
    <w:rsid w:val="2BD5237F"/>
    <w:rsid w:val="2BE536CE"/>
    <w:rsid w:val="2BE758D9"/>
    <w:rsid w:val="2C022011"/>
    <w:rsid w:val="2C09049E"/>
    <w:rsid w:val="2C0A653C"/>
    <w:rsid w:val="2C191F85"/>
    <w:rsid w:val="2CDC3325"/>
    <w:rsid w:val="2CE82D6F"/>
    <w:rsid w:val="2D343236"/>
    <w:rsid w:val="2DD15014"/>
    <w:rsid w:val="2DF72DE4"/>
    <w:rsid w:val="2E0220AF"/>
    <w:rsid w:val="2E053A60"/>
    <w:rsid w:val="2E1754F4"/>
    <w:rsid w:val="2E1C30BA"/>
    <w:rsid w:val="2E4B082A"/>
    <w:rsid w:val="2E5D4E86"/>
    <w:rsid w:val="2E5D790B"/>
    <w:rsid w:val="2E615CCD"/>
    <w:rsid w:val="2E9A3C18"/>
    <w:rsid w:val="2EBB0FEE"/>
    <w:rsid w:val="2EC63002"/>
    <w:rsid w:val="2EF25DA5"/>
    <w:rsid w:val="2F0A6B38"/>
    <w:rsid w:val="2F946CCB"/>
    <w:rsid w:val="2FD25781"/>
    <w:rsid w:val="2FDC745C"/>
    <w:rsid w:val="2FFD7934"/>
    <w:rsid w:val="30226B4B"/>
    <w:rsid w:val="30733ACD"/>
    <w:rsid w:val="308C3862"/>
    <w:rsid w:val="309379D8"/>
    <w:rsid w:val="30A270F7"/>
    <w:rsid w:val="30A513E9"/>
    <w:rsid w:val="30DF1478"/>
    <w:rsid w:val="30EC586F"/>
    <w:rsid w:val="314550B7"/>
    <w:rsid w:val="317177E5"/>
    <w:rsid w:val="319C6071"/>
    <w:rsid w:val="31AC537E"/>
    <w:rsid w:val="31E3679B"/>
    <w:rsid w:val="31E732FD"/>
    <w:rsid w:val="3226757F"/>
    <w:rsid w:val="32517576"/>
    <w:rsid w:val="32BE5C2C"/>
    <w:rsid w:val="32E74194"/>
    <w:rsid w:val="32FB6478"/>
    <w:rsid w:val="33263B3F"/>
    <w:rsid w:val="335568C7"/>
    <w:rsid w:val="336963EB"/>
    <w:rsid w:val="33816EEB"/>
    <w:rsid w:val="33A73E16"/>
    <w:rsid w:val="33EB55CD"/>
    <w:rsid w:val="33EC4C02"/>
    <w:rsid w:val="340D2360"/>
    <w:rsid w:val="3410665D"/>
    <w:rsid w:val="34211214"/>
    <w:rsid w:val="342E63AB"/>
    <w:rsid w:val="3442066A"/>
    <w:rsid w:val="346017A2"/>
    <w:rsid w:val="34950E68"/>
    <w:rsid w:val="34986E94"/>
    <w:rsid w:val="34AF62C9"/>
    <w:rsid w:val="34CA69CE"/>
    <w:rsid w:val="34CB4388"/>
    <w:rsid w:val="34FA6E12"/>
    <w:rsid w:val="351B3577"/>
    <w:rsid w:val="354D7158"/>
    <w:rsid w:val="358D5588"/>
    <w:rsid w:val="35C5483A"/>
    <w:rsid w:val="363A3B40"/>
    <w:rsid w:val="365302AE"/>
    <w:rsid w:val="36607A0A"/>
    <w:rsid w:val="366E227C"/>
    <w:rsid w:val="366F2E0D"/>
    <w:rsid w:val="367B6A5C"/>
    <w:rsid w:val="36A4650C"/>
    <w:rsid w:val="36A74ADA"/>
    <w:rsid w:val="36AD60D5"/>
    <w:rsid w:val="36B224F9"/>
    <w:rsid w:val="36EC0CC9"/>
    <w:rsid w:val="37180EE6"/>
    <w:rsid w:val="373F410B"/>
    <w:rsid w:val="37EE7094"/>
    <w:rsid w:val="3806274D"/>
    <w:rsid w:val="38296C89"/>
    <w:rsid w:val="383002EB"/>
    <w:rsid w:val="38586797"/>
    <w:rsid w:val="38BC0149"/>
    <w:rsid w:val="38D87D1C"/>
    <w:rsid w:val="391A0D07"/>
    <w:rsid w:val="39636459"/>
    <w:rsid w:val="396B7F6C"/>
    <w:rsid w:val="398A4394"/>
    <w:rsid w:val="3991368E"/>
    <w:rsid w:val="39B417A9"/>
    <w:rsid w:val="39FC5695"/>
    <w:rsid w:val="3A006D8E"/>
    <w:rsid w:val="3A3651E5"/>
    <w:rsid w:val="3A744481"/>
    <w:rsid w:val="3A8C7BEF"/>
    <w:rsid w:val="3A906246"/>
    <w:rsid w:val="3B2349B7"/>
    <w:rsid w:val="3B616CFF"/>
    <w:rsid w:val="3B6259F6"/>
    <w:rsid w:val="3B6D7BDC"/>
    <w:rsid w:val="3B976654"/>
    <w:rsid w:val="3BBC2D82"/>
    <w:rsid w:val="3BC01EFC"/>
    <w:rsid w:val="3BC9431F"/>
    <w:rsid w:val="3BCA786A"/>
    <w:rsid w:val="3BD31E2F"/>
    <w:rsid w:val="3BF15831"/>
    <w:rsid w:val="3C105946"/>
    <w:rsid w:val="3C3F06A4"/>
    <w:rsid w:val="3C471448"/>
    <w:rsid w:val="3C5F759A"/>
    <w:rsid w:val="3C6C525A"/>
    <w:rsid w:val="3CCE23CB"/>
    <w:rsid w:val="3CD17D17"/>
    <w:rsid w:val="3D165A83"/>
    <w:rsid w:val="3D3C7F39"/>
    <w:rsid w:val="3D440F09"/>
    <w:rsid w:val="3D4504A0"/>
    <w:rsid w:val="3D8734BB"/>
    <w:rsid w:val="3D9A11D4"/>
    <w:rsid w:val="3DA16D89"/>
    <w:rsid w:val="3DA364BE"/>
    <w:rsid w:val="3DA52210"/>
    <w:rsid w:val="3DC443F3"/>
    <w:rsid w:val="3DE041CB"/>
    <w:rsid w:val="3E0D48F6"/>
    <w:rsid w:val="3E1868B4"/>
    <w:rsid w:val="3E2954F7"/>
    <w:rsid w:val="3E377251"/>
    <w:rsid w:val="3E42664B"/>
    <w:rsid w:val="3E5A7334"/>
    <w:rsid w:val="3E7B5D6B"/>
    <w:rsid w:val="3E843E66"/>
    <w:rsid w:val="3E8F51FE"/>
    <w:rsid w:val="3E926F87"/>
    <w:rsid w:val="3E9A59DE"/>
    <w:rsid w:val="3EAF4836"/>
    <w:rsid w:val="3EC33DFA"/>
    <w:rsid w:val="3EED21E7"/>
    <w:rsid w:val="3EF43DA9"/>
    <w:rsid w:val="3F060E16"/>
    <w:rsid w:val="3F1D1096"/>
    <w:rsid w:val="3F2F0234"/>
    <w:rsid w:val="3F6363FE"/>
    <w:rsid w:val="3F756B8F"/>
    <w:rsid w:val="3F95482B"/>
    <w:rsid w:val="4019356B"/>
    <w:rsid w:val="40592157"/>
    <w:rsid w:val="406E1CAE"/>
    <w:rsid w:val="40A0133A"/>
    <w:rsid w:val="40C31A53"/>
    <w:rsid w:val="40E11F21"/>
    <w:rsid w:val="40FF545D"/>
    <w:rsid w:val="410067C8"/>
    <w:rsid w:val="415820EB"/>
    <w:rsid w:val="418F0D2A"/>
    <w:rsid w:val="41D01505"/>
    <w:rsid w:val="42474939"/>
    <w:rsid w:val="424C3C57"/>
    <w:rsid w:val="42613FF3"/>
    <w:rsid w:val="42660D96"/>
    <w:rsid w:val="428667D2"/>
    <w:rsid w:val="42CD1CE0"/>
    <w:rsid w:val="42E1381E"/>
    <w:rsid w:val="42ED6459"/>
    <w:rsid w:val="42FE58DD"/>
    <w:rsid w:val="430B55FB"/>
    <w:rsid w:val="43174B3D"/>
    <w:rsid w:val="434B790E"/>
    <w:rsid w:val="4360274F"/>
    <w:rsid w:val="436A4639"/>
    <w:rsid w:val="43813731"/>
    <w:rsid w:val="43977AB6"/>
    <w:rsid w:val="43A3342B"/>
    <w:rsid w:val="43C77C27"/>
    <w:rsid w:val="43D11130"/>
    <w:rsid w:val="43DE09EE"/>
    <w:rsid w:val="43EB2820"/>
    <w:rsid w:val="44002FAD"/>
    <w:rsid w:val="449101DD"/>
    <w:rsid w:val="44B26298"/>
    <w:rsid w:val="44DE1391"/>
    <w:rsid w:val="451B225C"/>
    <w:rsid w:val="452410C9"/>
    <w:rsid w:val="45317DFB"/>
    <w:rsid w:val="456D3CE4"/>
    <w:rsid w:val="4579042C"/>
    <w:rsid w:val="457F0571"/>
    <w:rsid w:val="45851176"/>
    <w:rsid w:val="45C63B94"/>
    <w:rsid w:val="45F5287C"/>
    <w:rsid w:val="460E7DA5"/>
    <w:rsid w:val="46422483"/>
    <w:rsid w:val="4659254A"/>
    <w:rsid w:val="465B0637"/>
    <w:rsid w:val="465E3F0D"/>
    <w:rsid w:val="466A16E6"/>
    <w:rsid w:val="46893F2B"/>
    <w:rsid w:val="46C4686E"/>
    <w:rsid w:val="477B778F"/>
    <w:rsid w:val="478203EC"/>
    <w:rsid w:val="47B025FA"/>
    <w:rsid w:val="4809698F"/>
    <w:rsid w:val="4811697D"/>
    <w:rsid w:val="487A3E25"/>
    <w:rsid w:val="488B5503"/>
    <w:rsid w:val="48937E21"/>
    <w:rsid w:val="489A0361"/>
    <w:rsid w:val="489D0201"/>
    <w:rsid w:val="48B94FF3"/>
    <w:rsid w:val="48E37AAB"/>
    <w:rsid w:val="48FD4B4C"/>
    <w:rsid w:val="490A68E0"/>
    <w:rsid w:val="491055FE"/>
    <w:rsid w:val="49246C51"/>
    <w:rsid w:val="495F5B3E"/>
    <w:rsid w:val="496F77D7"/>
    <w:rsid w:val="497654FD"/>
    <w:rsid w:val="49B64211"/>
    <w:rsid w:val="49E56AF9"/>
    <w:rsid w:val="49F6167F"/>
    <w:rsid w:val="4A064FA0"/>
    <w:rsid w:val="4A16615C"/>
    <w:rsid w:val="4A4424D7"/>
    <w:rsid w:val="4AB82D0F"/>
    <w:rsid w:val="4AEB7664"/>
    <w:rsid w:val="4AFD7C19"/>
    <w:rsid w:val="4B0567D1"/>
    <w:rsid w:val="4B236AAE"/>
    <w:rsid w:val="4B61087C"/>
    <w:rsid w:val="4B707271"/>
    <w:rsid w:val="4B9739F7"/>
    <w:rsid w:val="4BEE2503"/>
    <w:rsid w:val="4BF0032F"/>
    <w:rsid w:val="4C245A30"/>
    <w:rsid w:val="4C72455F"/>
    <w:rsid w:val="4CA5673B"/>
    <w:rsid w:val="4CB1343A"/>
    <w:rsid w:val="4CB6685F"/>
    <w:rsid w:val="4CC367FE"/>
    <w:rsid w:val="4D077F3C"/>
    <w:rsid w:val="4D123355"/>
    <w:rsid w:val="4D2A3B31"/>
    <w:rsid w:val="4D312C52"/>
    <w:rsid w:val="4D905305"/>
    <w:rsid w:val="4D964A72"/>
    <w:rsid w:val="4D9C1254"/>
    <w:rsid w:val="4DA277DD"/>
    <w:rsid w:val="4E6D2B55"/>
    <w:rsid w:val="4E793892"/>
    <w:rsid w:val="4E800872"/>
    <w:rsid w:val="4EC569ED"/>
    <w:rsid w:val="4ED50EA1"/>
    <w:rsid w:val="4EEC050C"/>
    <w:rsid w:val="4F104EC3"/>
    <w:rsid w:val="4F47354A"/>
    <w:rsid w:val="4F534698"/>
    <w:rsid w:val="4F856340"/>
    <w:rsid w:val="4F911C54"/>
    <w:rsid w:val="4FE625E0"/>
    <w:rsid w:val="5021480F"/>
    <w:rsid w:val="50962ECB"/>
    <w:rsid w:val="50A42E38"/>
    <w:rsid w:val="50A4577F"/>
    <w:rsid w:val="50B73D1F"/>
    <w:rsid w:val="50BD5BC9"/>
    <w:rsid w:val="50C11EEE"/>
    <w:rsid w:val="50E97CFC"/>
    <w:rsid w:val="50FA4028"/>
    <w:rsid w:val="510D65B7"/>
    <w:rsid w:val="511157AB"/>
    <w:rsid w:val="5142540C"/>
    <w:rsid w:val="51583D23"/>
    <w:rsid w:val="518832C8"/>
    <w:rsid w:val="519D3C50"/>
    <w:rsid w:val="51A0432A"/>
    <w:rsid w:val="51A86090"/>
    <w:rsid w:val="51B7396D"/>
    <w:rsid w:val="51DC4954"/>
    <w:rsid w:val="51DD247A"/>
    <w:rsid w:val="522E4CC3"/>
    <w:rsid w:val="5244713B"/>
    <w:rsid w:val="52615633"/>
    <w:rsid w:val="526F4DE4"/>
    <w:rsid w:val="52977FD4"/>
    <w:rsid w:val="52A25790"/>
    <w:rsid w:val="52A96B6F"/>
    <w:rsid w:val="52B45975"/>
    <w:rsid w:val="52D94AA4"/>
    <w:rsid w:val="52EA3A62"/>
    <w:rsid w:val="52F50BB8"/>
    <w:rsid w:val="53097272"/>
    <w:rsid w:val="53544462"/>
    <w:rsid w:val="5397158E"/>
    <w:rsid w:val="53DC0CED"/>
    <w:rsid w:val="54013861"/>
    <w:rsid w:val="54487265"/>
    <w:rsid w:val="544D6070"/>
    <w:rsid w:val="54605E1E"/>
    <w:rsid w:val="54634273"/>
    <w:rsid w:val="5473551E"/>
    <w:rsid w:val="549008AD"/>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2E70CC"/>
    <w:rsid w:val="566B6D1E"/>
    <w:rsid w:val="57032A2C"/>
    <w:rsid w:val="570F5219"/>
    <w:rsid w:val="57157607"/>
    <w:rsid w:val="575D12B5"/>
    <w:rsid w:val="57610A87"/>
    <w:rsid w:val="577B1140"/>
    <w:rsid w:val="577B7F21"/>
    <w:rsid w:val="577F181B"/>
    <w:rsid w:val="57921984"/>
    <w:rsid w:val="579737F0"/>
    <w:rsid w:val="57AB7B30"/>
    <w:rsid w:val="57AF5251"/>
    <w:rsid w:val="57B26373"/>
    <w:rsid w:val="57B63F04"/>
    <w:rsid w:val="57CD20C2"/>
    <w:rsid w:val="57D675AB"/>
    <w:rsid w:val="57D95FDD"/>
    <w:rsid w:val="5804270C"/>
    <w:rsid w:val="58917D2F"/>
    <w:rsid w:val="5894085C"/>
    <w:rsid w:val="58AE4F0C"/>
    <w:rsid w:val="58B85899"/>
    <w:rsid w:val="58E363A9"/>
    <w:rsid w:val="591A5F3D"/>
    <w:rsid w:val="595E1678"/>
    <w:rsid w:val="596D5BD4"/>
    <w:rsid w:val="597E3DD8"/>
    <w:rsid w:val="59B368E2"/>
    <w:rsid w:val="59F80043"/>
    <w:rsid w:val="5A0200B9"/>
    <w:rsid w:val="5A09252F"/>
    <w:rsid w:val="5A0B2778"/>
    <w:rsid w:val="5A2A7C7B"/>
    <w:rsid w:val="5A3E2560"/>
    <w:rsid w:val="5A5D3B6E"/>
    <w:rsid w:val="5A637A76"/>
    <w:rsid w:val="5A6D33BA"/>
    <w:rsid w:val="5A792B1F"/>
    <w:rsid w:val="5A874767"/>
    <w:rsid w:val="5AA85BE2"/>
    <w:rsid w:val="5AAD6F28"/>
    <w:rsid w:val="5AD63A24"/>
    <w:rsid w:val="5B2E1A1D"/>
    <w:rsid w:val="5B843A1C"/>
    <w:rsid w:val="5B873E3F"/>
    <w:rsid w:val="5C02690E"/>
    <w:rsid w:val="5C196DA7"/>
    <w:rsid w:val="5C2A048C"/>
    <w:rsid w:val="5C620C4D"/>
    <w:rsid w:val="5C7B3922"/>
    <w:rsid w:val="5C80234E"/>
    <w:rsid w:val="5C8A680C"/>
    <w:rsid w:val="5CA70254"/>
    <w:rsid w:val="5CFE5C20"/>
    <w:rsid w:val="5D0C4701"/>
    <w:rsid w:val="5D0F0395"/>
    <w:rsid w:val="5D221076"/>
    <w:rsid w:val="5D397964"/>
    <w:rsid w:val="5D5A391C"/>
    <w:rsid w:val="5D5F10C0"/>
    <w:rsid w:val="5D891B7B"/>
    <w:rsid w:val="5DAD38EE"/>
    <w:rsid w:val="5DD2206D"/>
    <w:rsid w:val="5E006862"/>
    <w:rsid w:val="5E0207B9"/>
    <w:rsid w:val="5E1834A1"/>
    <w:rsid w:val="5E261785"/>
    <w:rsid w:val="5E4A7017"/>
    <w:rsid w:val="5E552BBA"/>
    <w:rsid w:val="5E611C10"/>
    <w:rsid w:val="5E7A0F3F"/>
    <w:rsid w:val="5E8167DF"/>
    <w:rsid w:val="5E8C325E"/>
    <w:rsid w:val="5EFC7377"/>
    <w:rsid w:val="5F06174D"/>
    <w:rsid w:val="5F3A3602"/>
    <w:rsid w:val="5F45733B"/>
    <w:rsid w:val="5F6277C6"/>
    <w:rsid w:val="5F6D0B1D"/>
    <w:rsid w:val="5F8261C8"/>
    <w:rsid w:val="5F8D0B82"/>
    <w:rsid w:val="5FCC5339"/>
    <w:rsid w:val="5FE34A5B"/>
    <w:rsid w:val="5FFE1E36"/>
    <w:rsid w:val="60232584"/>
    <w:rsid w:val="607330CE"/>
    <w:rsid w:val="60825176"/>
    <w:rsid w:val="609F2AC4"/>
    <w:rsid w:val="60C70EC5"/>
    <w:rsid w:val="60FA2EE8"/>
    <w:rsid w:val="61054A27"/>
    <w:rsid w:val="610A52BC"/>
    <w:rsid w:val="61186D8B"/>
    <w:rsid w:val="611D2366"/>
    <w:rsid w:val="61421856"/>
    <w:rsid w:val="6144655B"/>
    <w:rsid w:val="615227C4"/>
    <w:rsid w:val="61654E3F"/>
    <w:rsid w:val="6182292A"/>
    <w:rsid w:val="619F7F92"/>
    <w:rsid w:val="61F94C26"/>
    <w:rsid w:val="62000E56"/>
    <w:rsid w:val="624F3E49"/>
    <w:rsid w:val="62632286"/>
    <w:rsid w:val="62885958"/>
    <w:rsid w:val="62C76023"/>
    <w:rsid w:val="62F40B65"/>
    <w:rsid w:val="62FC2CFE"/>
    <w:rsid w:val="63024505"/>
    <w:rsid w:val="635600A5"/>
    <w:rsid w:val="635B1DB5"/>
    <w:rsid w:val="636B2239"/>
    <w:rsid w:val="63711FED"/>
    <w:rsid w:val="63880DDC"/>
    <w:rsid w:val="638D750D"/>
    <w:rsid w:val="63AC6CC0"/>
    <w:rsid w:val="63CB65D6"/>
    <w:rsid w:val="63EB0A27"/>
    <w:rsid w:val="64055776"/>
    <w:rsid w:val="64240056"/>
    <w:rsid w:val="643E143A"/>
    <w:rsid w:val="64491666"/>
    <w:rsid w:val="648B6EEF"/>
    <w:rsid w:val="64C158BF"/>
    <w:rsid w:val="64CE2EAA"/>
    <w:rsid w:val="64D61014"/>
    <w:rsid w:val="653C3090"/>
    <w:rsid w:val="65854376"/>
    <w:rsid w:val="658767BE"/>
    <w:rsid w:val="65892531"/>
    <w:rsid w:val="65B3649A"/>
    <w:rsid w:val="65D425B6"/>
    <w:rsid w:val="65F71905"/>
    <w:rsid w:val="66195831"/>
    <w:rsid w:val="662E75B1"/>
    <w:rsid w:val="66342C2E"/>
    <w:rsid w:val="663E784C"/>
    <w:rsid w:val="668B6A45"/>
    <w:rsid w:val="67011F07"/>
    <w:rsid w:val="672F3F24"/>
    <w:rsid w:val="67390E0D"/>
    <w:rsid w:val="673E055F"/>
    <w:rsid w:val="67551CE3"/>
    <w:rsid w:val="67A22552"/>
    <w:rsid w:val="67B22DCC"/>
    <w:rsid w:val="67BE71AA"/>
    <w:rsid w:val="67D90273"/>
    <w:rsid w:val="67DE5875"/>
    <w:rsid w:val="67E55852"/>
    <w:rsid w:val="67EB1AB4"/>
    <w:rsid w:val="67F43B0A"/>
    <w:rsid w:val="67FA1285"/>
    <w:rsid w:val="681D3FA7"/>
    <w:rsid w:val="68551F4F"/>
    <w:rsid w:val="687C10C9"/>
    <w:rsid w:val="68840C16"/>
    <w:rsid w:val="68872541"/>
    <w:rsid w:val="68876EFB"/>
    <w:rsid w:val="68884654"/>
    <w:rsid w:val="689F444F"/>
    <w:rsid w:val="68B96DBB"/>
    <w:rsid w:val="68CA2805"/>
    <w:rsid w:val="68E937A3"/>
    <w:rsid w:val="69051896"/>
    <w:rsid w:val="691664E5"/>
    <w:rsid w:val="6923737E"/>
    <w:rsid w:val="693E15D3"/>
    <w:rsid w:val="69627681"/>
    <w:rsid w:val="6977531D"/>
    <w:rsid w:val="69CC2BFF"/>
    <w:rsid w:val="69FD55B8"/>
    <w:rsid w:val="6A0B1C62"/>
    <w:rsid w:val="6A2406C8"/>
    <w:rsid w:val="6A8120E5"/>
    <w:rsid w:val="6AD83814"/>
    <w:rsid w:val="6ADE0BD1"/>
    <w:rsid w:val="6AE96859"/>
    <w:rsid w:val="6AF61B39"/>
    <w:rsid w:val="6B147746"/>
    <w:rsid w:val="6B24787C"/>
    <w:rsid w:val="6B573233"/>
    <w:rsid w:val="6B5B6274"/>
    <w:rsid w:val="6B7E5E0A"/>
    <w:rsid w:val="6B935D53"/>
    <w:rsid w:val="6C196F71"/>
    <w:rsid w:val="6C226FCB"/>
    <w:rsid w:val="6C31226F"/>
    <w:rsid w:val="6C552F0B"/>
    <w:rsid w:val="6C8C67B7"/>
    <w:rsid w:val="6C9D744C"/>
    <w:rsid w:val="6CCE7137"/>
    <w:rsid w:val="6CE222B5"/>
    <w:rsid w:val="6D167928"/>
    <w:rsid w:val="6D26299B"/>
    <w:rsid w:val="6D4772EC"/>
    <w:rsid w:val="6D9078AF"/>
    <w:rsid w:val="6DA1222C"/>
    <w:rsid w:val="6DAA3FEF"/>
    <w:rsid w:val="6DC0172B"/>
    <w:rsid w:val="6DCB690C"/>
    <w:rsid w:val="6DD41A5B"/>
    <w:rsid w:val="6DF43C2E"/>
    <w:rsid w:val="6DF51CA3"/>
    <w:rsid w:val="6E5766D1"/>
    <w:rsid w:val="6E8335BD"/>
    <w:rsid w:val="6E8E12EF"/>
    <w:rsid w:val="6E972936"/>
    <w:rsid w:val="6EA22C9D"/>
    <w:rsid w:val="6ED446C5"/>
    <w:rsid w:val="6EF773B9"/>
    <w:rsid w:val="6F2A7D94"/>
    <w:rsid w:val="6F5653D4"/>
    <w:rsid w:val="6F8331F1"/>
    <w:rsid w:val="6FAE1A09"/>
    <w:rsid w:val="6FD75BF8"/>
    <w:rsid w:val="6FFB5DE2"/>
    <w:rsid w:val="704B4683"/>
    <w:rsid w:val="70576D06"/>
    <w:rsid w:val="707723D0"/>
    <w:rsid w:val="70F5661B"/>
    <w:rsid w:val="71360107"/>
    <w:rsid w:val="713B688E"/>
    <w:rsid w:val="715C2AFE"/>
    <w:rsid w:val="71D43752"/>
    <w:rsid w:val="71DD11C4"/>
    <w:rsid w:val="71F1796A"/>
    <w:rsid w:val="71F31B1A"/>
    <w:rsid w:val="72154626"/>
    <w:rsid w:val="721B720C"/>
    <w:rsid w:val="72262B5D"/>
    <w:rsid w:val="72283FF7"/>
    <w:rsid w:val="722E7212"/>
    <w:rsid w:val="723A0474"/>
    <w:rsid w:val="725923E4"/>
    <w:rsid w:val="72864BF7"/>
    <w:rsid w:val="729023FC"/>
    <w:rsid w:val="73810874"/>
    <w:rsid w:val="73C0182D"/>
    <w:rsid w:val="73C0646E"/>
    <w:rsid w:val="73FB0445"/>
    <w:rsid w:val="742222F5"/>
    <w:rsid w:val="74476126"/>
    <w:rsid w:val="74706664"/>
    <w:rsid w:val="747824B9"/>
    <w:rsid w:val="747C351C"/>
    <w:rsid w:val="747F3682"/>
    <w:rsid w:val="749C4185"/>
    <w:rsid w:val="74A40EAA"/>
    <w:rsid w:val="74C036DE"/>
    <w:rsid w:val="75067759"/>
    <w:rsid w:val="751E7EE5"/>
    <w:rsid w:val="752E6DCD"/>
    <w:rsid w:val="754730F9"/>
    <w:rsid w:val="7551380D"/>
    <w:rsid w:val="75600BE5"/>
    <w:rsid w:val="7564475C"/>
    <w:rsid w:val="7583797F"/>
    <w:rsid w:val="759C09B9"/>
    <w:rsid w:val="75D20F1D"/>
    <w:rsid w:val="75DA2C18"/>
    <w:rsid w:val="75F54412"/>
    <w:rsid w:val="761D08E0"/>
    <w:rsid w:val="765D347C"/>
    <w:rsid w:val="76826699"/>
    <w:rsid w:val="768F5B89"/>
    <w:rsid w:val="76C87133"/>
    <w:rsid w:val="76CD08D5"/>
    <w:rsid w:val="76DB4B92"/>
    <w:rsid w:val="76FD013A"/>
    <w:rsid w:val="77052AA4"/>
    <w:rsid w:val="77136511"/>
    <w:rsid w:val="77340A39"/>
    <w:rsid w:val="77351FD0"/>
    <w:rsid w:val="77472422"/>
    <w:rsid w:val="777F31F2"/>
    <w:rsid w:val="77924665"/>
    <w:rsid w:val="77D1700D"/>
    <w:rsid w:val="77EC04CC"/>
    <w:rsid w:val="78775729"/>
    <w:rsid w:val="78A42DB0"/>
    <w:rsid w:val="78A656AB"/>
    <w:rsid w:val="78B2245C"/>
    <w:rsid w:val="78E172CC"/>
    <w:rsid w:val="78EA1D1F"/>
    <w:rsid w:val="7904172F"/>
    <w:rsid w:val="790F7E27"/>
    <w:rsid w:val="792A231A"/>
    <w:rsid w:val="79316829"/>
    <w:rsid w:val="797E66A9"/>
    <w:rsid w:val="798518A4"/>
    <w:rsid w:val="799E43E2"/>
    <w:rsid w:val="79A97383"/>
    <w:rsid w:val="79E27E8B"/>
    <w:rsid w:val="79F850CE"/>
    <w:rsid w:val="79FD443C"/>
    <w:rsid w:val="7A13741D"/>
    <w:rsid w:val="7A1D1975"/>
    <w:rsid w:val="7A3E5150"/>
    <w:rsid w:val="7A4670D6"/>
    <w:rsid w:val="7A534B63"/>
    <w:rsid w:val="7A615382"/>
    <w:rsid w:val="7A67303B"/>
    <w:rsid w:val="7AAB1D04"/>
    <w:rsid w:val="7ABA4368"/>
    <w:rsid w:val="7AD05746"/>
    <w:rsid w:val="7B1932BB"/>
    <w:rsid w:val="7B257FFD"/>
    <w:rsid w:val="7B273D20"/>
    <w:rsid w:val="7B343476"/>
    <w:rsid w:val="7B48416D"/>
    <w:rsid w:val="7B5A2978"/>
    <w:rsid w:val="7B5A7E4C"/>
    <w:rsid w:val="7B667AF9"/>
    <w:rsid w:val="7B7468F8"/>
    <w:rsid w:val="7BB32771"/>
    <w:rsid w:val="7BEE0103"/>
    <w:rsid w:val="7C0A0FE4"/>
    <w:rsid w:val="7C254906"/>
    <w:rsid w:val="7C590818"/>
    <w:rsid w:val="7C7C10F6"/>
    <w:rsid w:val="7C853BEA"/>
    <w:rsid w:val="7C881368"/>
    <w:rsid w:val="7C882A27"/>
    <w:rsid w:val="7CE27788"/>
    <w:rsid w:val="7D0C32F1"/>
    <w:rsid w:val="7D0F408D"/>
    <w:rsid w:val="7D491C6C"/>
    <w:rsid w:val="7D5429C0"/>
    <w:rsid w:val="7D6E6D43"/>
    <w:rsid w:val="7DB57A34"/>
    <w:rsid w:val="7DE60973"/>
    <w:rsid w:val="7DEF0916"/>
    <w:rsid w:val="7E1E5218"/>
    <w:rsid w:val="7E9A4E1F"/>
    <w:rsid w:val="7EA7723A"/>
    <w:rsid w:val="7EF56FBB"/>
    <w:rsid w:val="7EF96CF3"/>
    <w:rsid w:val="7F0768EB"/>
    <w:rsid w:val="7F143BEC"/>
    <w:rsid w:val="7F547970"/>
    <w:rsid w:val="7F715AF2"/>
    <w:rsid w:val="7F886E69"/>
    <w:rsid w:val="BB7FA927"/>
    <w:rsid w:val="F5FFD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1"/>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5">
    <w:name w:val="heading 3"/>
    <w:basedOn w:val="1"/>
    <w:next w:val="2"/>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5"/>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1"/>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5"/>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5"/>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6"/>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0"/>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link w:val="191"/>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index 8"/>
    <w:basedOn w:val="1"/>
    <w:next w:val="1"/>
    <w:qFormat/>
    <w:uiPriority w:val="0"/>
    <w:pPr>
      <w:ind w:left="2940"/>
    </w:pPr>
    <w:rPr>
      <w:rFonts w:ascii="Book Antiqua" w:hAnsi="Book Antiqua" w:cs="Book Antiqua"/>
    </w:r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caption"/>
    <w:basedOn w:val="1"/>
    <w:next w:val="1"/>
    <w:link w:val="227"/>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link w:val="200"/>
    <w:qFormat/>
    <w:uiPriority w:val="0"/>
    <w:pPr>
      <w:shd w:val="clear" w:color="auto" w:fill="000080"/>
    </w:pPr>
  </w:style>
  <w:style w:type="paragraph" w:styleId="20">
    <w:name w:val="annotation text"/>
    <w:basedOn w:val="1"/>
    <w:link w:val="342"/>
    <w:qFormat/>
    <w:uiPriority w:val="0"/>
    <w:pPr>
      <w:jc w:val="left"/>
    </w:pPr>
  </w:style>
  <w:style w:type="paragraph" w:styleId="21">
    <w:name w:val="Salutation"/>
    <w:basedOn w:val="1"/>
    <w:next w:val="1"/>
    <w:link w:val="296"/>
    <w:qFormat/>
    <w:uiPriority w:val="0"/>
    <w:rPr>
      <w:rFonts w:ascii="仿宋_GB2312" w:eastAsia="仿宋_GB2312"/>
      <w:sz w:val="28"/>
      <w:szCs w:val="20"/>
    </w:rPr>
  </w:style>
  <w:style w:type="paragraph" w:styleId="22">
    <w:name w:val="Body Text 3"/>
    <w:basedOn w:val="1"/>
    <w:link w:val="328"/>
    <w:qFormat/>
    <w:uiPriority w:val="0"/>
    <w:pPr>
      <w:jc w:val="center"/>
    </w:pPr>
    <w:rPr>
      <w:szCs w:val="20"/>
    </w:rPr>
  </w:style>
  <w:style w:type="paragraph" w:styleId="23">
    <w:name w:val="List Bullet 3"/>
    <w:basedOn w:val="1"/>
    <w:unhideWhenUsed/>
    <w:qFormat/>
    <w:uiPriority w:val="0"/>
    <w:pPr>
      <w:snapToGrid w:val="0"/>
      <w:spacing w:line="360" w:lineRule="auto"/>
      <w:ind w:left="360" w:right="238" w:hanging="360"/>
      <w:contextualSpacing/>
    </w:pPr>
    <w:rPr>
      <w:sz w:val="24"/>
    </w:rPr>
  </w:style>
  <w:style w:type="paragraph" w:styleId="24">
    <w:name w:val="Body Text"/>
    <w:basedOn w:val="1"/>
    <w:next w:val="25"/>
    <w:link w:val="428"/>
    <w:qFormat/>
    <w:uiPriority w:val="0"/>
    <w:pPr>
      <w:autoSpaceDE w:val="0"/>
      <w:autoSpaceDN w:val="0"/>
      <w:spacing w:line="360" w:lineRule="auto"/>
    </w:pPr>
    <w:rPr>
      <w:rFonts w:ascii="宋体" w:hAnsi="Arial" w:cs="Arial"/>
      <w:snapToGrid w:val="0"/>
      <w:sz w:val="24"/>
      <w:szCs w:val="21"/>
      <w:lang w:val="zh-CN"/>
    </w:rPr>
  </w:style>
  <w:style w:type="paragraph" w:styleId="25">
    <w:name w:val="Body Text First Indent 2"/>
    <w:basedOn w:val="1"/>
    <w:link w:val="119"/>
    <w:qFormat/>
    <w:uiPriority w:val="0"/>
    <w:pPr>
      <w:adjustRightInd/>
      <w:spacing w:after="120" w:line="240" w:lineRule="auto"/>
      <w:ind w:left="420" w:leftChars="200" w:firstLine="210"/>
    </w:pPr>
    <w:rPr>
      <w:sz w:val="21"/>
    </w:rPr>
  </w:style>
  <w:style w:type="paragraph" w:styleId="26">
    <w:name w:val="Body Text Indent"/>
    <w:basedOn w:val="1"/>
    <w:link w:val="263"/>
    <w:qFormat/>
    <w:uiPriority w:val="0"/>
    <w:pPr>
      <w:spacing w:line="480" w:lineRule="exact"/>
      <w:ind w:firstLine="480" w:firstLineChars="200"/>
    </w:pPr>
    <w:rPr>
      <w:rFonts w:ascii="宋体" w:hAnsi="宋体"/>
      <w:sz w:val="24"/>
    </w:rPr>
  </w:style>
  <w:style w:type="paragraph" w:styleId="27">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217"/>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link w:val="123"/>
    <w:qFormat/>
    <w:uiPriority w:val="0"/>
    <w:rPr>
      <w:rFonts w:ascii="宋体" w:hAnsi="Courier New" w:cs="Arial"/>
      <w:snapToGrid w:val="0"/>
      <w:szCs w:val="21"/>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0"/>
    <w:pPr>
      <w:ind w:left="2940" w:leftChars="1400"/>
    </w:pPr>
  </w:style>
  <w:style w:type="paragraph" w:styleId="37">
    <w:name w:val="Date"/>
    <w:basedOn w:val="1"/>
    <w:next w:val="1"/>
    <w:link w:val="179"/>
    <w:qFormat/>
    <w:uiPriority w:val="0"/>
    <w:pPr>
      <w:ind w:left="100" w:leftChars="2500"/>
    </w:pPr>
    <w:rPr>
      <w:rFonts w:ascii="宋体"/>
      <w:sz w:val="24"/>
      <w:szCs w:val="21"/>
      <w:lang w:val="zh-CN"/>
    </w:rPr>
  </w:style>
  <w:style w:type="paragraph" w:styleId="38">
    <w:name w:val="Body Text Indent 2"/>
    <w:basedOn w:val="1"/>
    <w:link w:val="306"/>
    <w:qFormat/>
    <w:uiPriority w:val="0"/>
    <w:pPr>
      <w:spacing w:line="360" w:lineRule="auto"/>
      <w:ind w:firstLine="601"/>
      <w:textAlignment w:val="baseline"/>
    </w:pPr>
    <w:rPr>
      <w:rFonts w:ascii="宋体"/>
      <w:kern w:val="0"/>
      <w:sz w:val="28"/>
      <w:szCs w:val="20"/>
    </w:rPr>
  </w:style>
  <w:style w:type="paragraph" w:styleId="39">
    <w:name w:val="endnote text"/>
    <w:basedOn w:val="1"/>
    <w:link w:val="930"/>
    <w:qFormat/>
    <w:uiPriority w:val="0"/>
    <w:rPr>
      <w:lang w:val="zh-CN"/>
    </w:rPr>
  </w:style>
  <w:style w:type="paragraph" w:styleId="40">
    <w:name w:val="Balloon Text"/>
    <w:basedOn w:val="1"/>
    <w:link w:val="186"/>
    <w:qFormat/>
    <w:uiPriority w:val="0"/>
    <w:rPr>
      <w:sz w:val="18"/>
      <w:szCs w:val="18"/>
    </w:rPr>
  </w:style>
  <w:style w:type="paragraph" w:styleId="41">
    <w:name w:val="footer"/>
    <w:basedOn w:val="1"/>
    <w:link w:val="381"/>
    <w:qFormat/>
    <w:uiPriority w:val="99"/>
    <w:pPr>
      <w:tabs>
        <w:tab w:val="center" w:pos="4153"/>
        <w:tab w:val="right" w:pos="8306"/>
      </w:tabs>
      <w:snapToGrid w:val="0"/>
      <w:jc w:val="left"/>
    </w:pPr>
    <w:rPr>
      <w:sz w:val="18"/>
      <w:szCs w:val="18"/>
    </w:rPr>
  </w:style>
  <w:style w:type="paragraph" w:styleId="42">
    <w:name w:val="header"/>
    <w:basedOn w:val="1"/>
    <w:link w:val="390"/>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343"/>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qFormat/>
    <w:uiPriority w:val="39"/>
  </w:style>
  <w:style w:type="paragraph" w:styleId="45">
    <w:name w:val="toc 4"/>
    <w:basedOn w:val="1"/>
    <w:next w:val="1"/>
    <w:qFormat/>
    <w:uiPriority w:val="0"/>
    <w:pPr>
      <w:ind w:left="1260" w:leftChars="600"/>
    </w:pPr>
  </w:style>
  <w:style w:type="paragraph" w:styleId="46">
    <w:name w:val="index heading"/>
    <w:basedOn w:val="1"/>
    <w:next w:val="47"/>
    <w:qFormat/>
    <w:uiPriority w:val="0"/>
    <w:pPr>
      <w:adjustRightInd/>
      <w:ind w:firstLine="200" w:firstLineChars="200"/>
    </w:pPr>
  </w:style>
  <w:style w:type="paragraph" w:styleId="47">
    <w:name w:val="index 1"/>
    <w:basedOn w:val="1"/>
    <w:next w:val="1"/>
    <w:qFormat/>
    <w:uiPriority w:val="0"/>
    <w:pPr>
      <w:adjustRightInd/>
      <w:spacing w:line="360" w:lineRule="auto"/>
      <w:ind w:firstLine="200" w:firstLineChars="200"/>
      <w:jc w:val="center"/>
    </w:pPr>
    <w:rPr>
      <w:sz w:val="24"/>
      <w:szCs w:val="20"/>
    </w:rPr>
  </w:style>
  <w:style w:type="paragraph" w:styleId="48">
    <w:name w:val="Subtitle"/>
    <w:link w:val="131"/>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qFormat/>
    <w:uiPriority w:val="0"/>
    <w:pPr>
      <w:tabs>
        <w:tab w:val="left" w:pos="902"/>
      </w:tabs>
      <w:adjustRightInd/>
      <w:spacing w:line="400" w:lineRule="exact"/>
      <w:ind w:left="902" w:hanging="420"/>
    </w:pPr>
    <w:rPr>
      <w:sz w:val="24"/>
      <w:szCs w:val="20"/>
    </w:rPr>
  </w:style>
  <w:style w:type="paragraph" w:styleId="50">
    <w:name w:val="List"/>
    <w:basedOn w:val="1"/>
    <w:qFormat/>
    <w:uiPriority w:val="0"/>
    <w:pPr>
      <w:ind w:left="200" w:hanging="200" w:hangingChars="200"/>
    </w:pPr>
  </w:style>
  <w:style w:type="paragraph" w:styleId="51">
    <w:name w:val="footnote text"/>
    <w:basedOn w:val="2"/>
    <w:link w:val="308"/>
    <w:qFormat/>
    <w:uiPriority w:val="0"/>
    <w:pPr>
      <w:adjustRightInd/>
      <w:snapToGrid/>
      <w:spacing w:before="60" w:after="60" w:line="300" w:lineRule="exact"/>
      <w:ind w:firstLine="0"/>
    </w:pPr>
    <w:rPr>
      <w:rFonts w:ascii="Calibri"/>
      <w:snapToGrid/>
      <w:color w:val="0000FF"/>
      <w:kern w:val="0"/>
      <w:sz w:val="21"/>
    </w:rPr>
  </w:style>
  <w:style w:type="paragraph" w:styleId="52">
    <w:name w:val="toc 6"/>
    <w:basedOn w:val="1"/>
    <w:next w:val="1"/>
    <w:qFormat/>
    <w:uiPriority w:val="0"/>
    <w:pPr>
      <w:ind w:left="2100" w:leftChars="1000"/>
    </w:pPr>
  </w:style>
  <w:style w:type="paragraph" w:styleId="53">
    <w:name w:val="List 5"/>
    <w:basedOn w:val="1"/>
    <w:qFormat/>
    <w:uiPriority w:val="0"/>
    <w:pPr>
      <w:adjustRightInd/>
      <w:ind w:left="100" w:leftChars="800" w:hanging="200" w:hangingChars="200"/>
    </w:pPr>
  </w:style>
  <w:style w:type="paragraph" w:styleId="54">
    <w:name w:val="Body Text Indent 3"/>
    <w:basedOn w:val="1"/>
    <w:link w:val="373"/>
    <w:qFormat/>
    <w:uiPriority w:val="0"/>
    <w:pPr>
      <w:spacing w:line="360" w:lineRule="auto"/>
      <w:ind w:firstLine="420"/>
    </w:pPr>
    <w:rPr>
      <w:sz w:val="24"/>
      <w:szCs w:val="20"/>
    </w:rPr>
  </w:style>
  <w:style w:type="paragraph" w:styleId="55">
    <w:name w:val="toc 2"/>
    <w:basedOn w:val="1"/>
    <w:next w:val="1"/>
    <w:qFormat/>
    <w:uiPriority w:val="0"/>
    <w:pPr>
      <w:ind w:left="420" w:leftChars="200"/>
    </w:pPr>
  </w:style>
  <w:style w:type="paragraph" w:styleId="56">
    <w:name w:val="toc 9"/>
    <w:basedOn w:val="1"/>
    <w:next w:val="1"/>
    <w:qFormat/>
    <w:uiPriority w:val="0"/>
    <w:pPr>
      <w:ind w:left="3360" w:leftChars="1600"/>
    </w:pPr>
  </w:style>
  <w:style w:type="paragraph" w:styleId="57">
    <w:name w:val="Body Text 2"/>
    <w:basedOn w:val="1"/>
    <w:link w:val="300"/>
    <w:qFormat/>
    <w:uiPriority w:val="0"/>
    <w:pPr>
      <w:spacing w:after="120" w:line="480" w:lineRule="auto"/>
    </w:pPr>
  </w:style>
  <w:style w:type="paragraph" w:styleId="58">
    <w:name w:val="HTML Preformatted"/>
    <w:basedOn w:val="1"/>
    <w:link w:val="29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qFormat/>
    <w:uiPriority w:val="99"/>
    <w:pPr>
      <w:widowControl/>
      <w:spacing w:before="100" w:beforeAutospacing="1" w:after="100" w:afterAutospacing="1"/>
      <w:jc w:val="left"/>
    </w:pPr>
    <w:rPr>
      <w:rFonts w:ascii="宋体" w:hAnsi="宋体"/>
      <w:kern w:val="0"/>
      <w:sz w:val="24"/>
    </w:rPr>
  </w:style>
  <w:style w:type="paragraph" w:styleId="60">
    <w:name w:val="Title"/>
    <w:basedOn w:val="1"/>
    <w:link w:val="284"/>
    <w:qFormat/>
    <w:uiPriority w:val="10"/>
    <w:pPr>
      <w:widowControl/>
      <w:overflowPunct w:val="0"/>
      <w:autoSpaceDE w:val="0"/>
      <w:autoSpaceDN w:val="0"/>
      <w:jc w:val="center"/>
      <w:textAlignment w:val="baseline"/>
    </w:pPr>
    <w:rPr>
      <w:b/>
      <w:kern w:val="0"/>
      <w:sz w:val="24"/>
      <w:szCs w:val="20"/>
      <w:lang w:val="en-GB"/>
    </w:rPr>
  </w:style>
  <w:style w:type="paragraph" w:styleId="61">
    <w:name w:val="annotation subject"/>
    <w:basedOn w:val="20"/>
    <w:next w:val="20"/>
    <w:link w:val="94"/>
    <w:qFormat/>
    <w:uiPriority w:val="0"/>
    <w:rPr>
      <w:b/>
      <w:bCs/>
    </w:rPr>
  </w:style>
  <w:style w:type="paragraph" w:styleId="62">
    <w:name w:val="Body Text First Indent"/>
    <w:basedOn w:val="24"/>
    <w:link w:val="319"/>
    <w:qFormat/>
    <w:uiPriority w:val="0"/>
    <w:pPr>
      <w:ind w:firstLine="420"/>
    </w:pPr>
    <w:rPr>
      <w:rFonts w:hAnsi="Calibri" w:cs="Times New Roman"/>
      <w:snapToGrid/>
      <w:szCs w:val="20"/>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character" w:customStyle="1" w:styleId="80">
    <w:name w:val="表格非标题文字 Char"/>
    <w:link w:val="81"/>
    <w:qFormat/>
    <w:uiPriority w:val="0"/>
    <w:rPr>
      <w:rFonts w:ascii="Futura Bk" w:hAnsi="Futura Bk"/>
      <w:kern w:val="2"/>
      <w:sz w:val="18"/>
      <w:szCs w:val="21"/>
      <w:lang w:val="en-US" w:eastAsia="zh-CN" w:bidi="ar-SA"/>
    </w:rPr>
  </w:style>
  <w:style w:type="paragraph" w:customStyle="1" w:styleId="81">
    <w:name w:val="表格非标题文字"/>
    <w:link w:val="80"/>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2">
    <w:name w:val="*正文 Char"/>
    <w:link w:val="83"/>
    <w:qFormat/>
    <w:locked/>
    <w:uiPriority w:val="0"/>
    <w:rPr>
      <w:rFonts w:ascii="宋体" w:hAnsi="宋体"/>
      <w:sz w:val="24"/>
    </w:rPr>
  </w:style>
  <w:style w:type="paragraph" w:customStyle="1" w:styleId="83">
    <w:name w:val="*正文"/>
    <w:basedOn w:val="1"/>
    <w:link w:val="82"/>
    <w:qFormat/>
    <w:uiPriority w:val="0"/>
    <w:pPr>
      <w:snapToGrid w:val="0"/>
      <w:spacing w:line="360" w:lineRule="auto"/>
      <w:ind w:firstLine="482"/>
      <w:jc w:val="left"/>
    </w:pPr>
    <w:rPr>
      <w:rFonts w:ascii="宋体" w:hAnsi="宋体"/>
      <w:kern w:val="0"/>
      <w:sz w:val="24"/>
      <w:szCs w:val="20"/>
    </w:rPr>
  </w:style>
  <w:style w:type="character" w:customStyle="1" w:styleId="84">
    <w:name w:val="Char Char71"/>
    <w:semiHidden/>
    <w:qFormat/>
    <w:uiPriority w:val="0"/>
    <w:rPr>
      <w:rFonts w:eastAsia="宋体"/>
      <w:kern w:val="2"/>
      <w:sz w:val="21"/>
      <w:szCs w:val="24"/>
      <w:lang w:val="en-US" w:eastAsia="zh-CN" w:bidi="ar-SA"/>
    </w:rPr>
  </w:style>
  <w:style w:type="character" w:customStyle="1" w:styleId="85">
    <w:name w:val="Char Char6"/>
    <w:qFormat/>
    <w:uiPriority w:val="0"/>
    <w:rPr>
      <w:rFonts w:eastAsia="宋体"/>
      <w:kern w:val="2"/>
      <w:sz w:val="21"/>
      <w:szCs w:val="24"/>
      <w:lang w:val="en-US" w:eastAsia="zh-CN" w:bidi="ar-SA"/>
    </w:rPr>
  </w:style>
  <w:style w:type="character" w:customStyle="1" w:styleId="86">
    <w:name w:val="正文缩进 Char"/>
    <w:qFormat/>
    <w:uiPriority w:val="0"/>
    <w:rPr>
      <w:rFonts w:eastAsia="宋体"/>
      <w:kern w:val="2"/>
      <w:sz w:val="21"/>
      <w:lang w:val="en-US" w:eastAsia="zh-CN"/>
    </w:rPr>
  </w:style>
  <w:style w:type="character" w:customStyle="1" w:styleId="87">
    <w:name w:val="正文首行缩进 Char1"/>
    <w:qFormat/>
    <w:uiPriority w:val="0"/>
    <w:rPr>
      <w:rFonts w:ascii="宋体" w:hAnsi="Times New Roman" w:eastAsia="宋体" w:cs="Times New Roman"/>
      <w:snapToGrid w:val="0"/>
      <w:kern w:val="2"/>
      <w:sz w:val="24"/>
      <w:szCs w:val="21"/>
      <w:lang w:val="zh-CN"/>
    </w:rPr>
  </w:style>
  <w:style w:type="character" w:customStyle="1" w:styleId="88">
    <w:name w:val="Char Char28"/>
    <w:qFormat/>
    <w:uiPriority w:val="6"/>
    <w:rPr>
      <w:rFonts w:ascii="仿宋_GB2312" w:hAnsi="仿宋_GB2312" w:eastAsia="仿宋_GB2312"/>
      <w:kern w:val="1"/>
      <w:sz w:val="28"/>
    </w:rPr>
  </w:style>
  <w:style w:type="character" w:customStyle="1" w:styleId="89">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0">
    <w:name w:val="Heading 1 Char"/>
    <w:qFormat/>
    <w:uiPriority w:val="6"/>
    <w:rPr>
      <w:rFonts w:ascii="Times New Roman" w:hAnsi="Times New Roman" w:eastAsia="黑体" w:cs="Times New Roman"/>
      <w:b/>
      <w:kern w:val="0"/>
      <w:sz w:val="24"/>
      <w:szCs w:val="24"/>
    </w:rPr>
  </w:style>
  <w:style w:type="character" w:customStyle="1" w:styleId="91">
    <w:name w:val="U_正文 Char"/>
    <w:link w:val="92"/>
    <w:qFormat/>
    <w:uiPriority w:val="0"/>
    <w:rPr>
      <w:sz w:val="24"/>
      <w:szCs w:val="24"/>
    </w:rPr>
  </w:style>
  <w:style w:type="paragraph" w:customStyle="1" w:styleId="92">
    <w:name w:val="U_正文"/>
    <w:basedOn w:val="1"/>
    <w:link w:val="91"/>
    <w:qFormat/>
    <w:uiPriority w:val="0"/>
    <w:pPr>
      <w:adjustRightInd/>
      <w:spacing w:beforeLines="20" w:afterLines="20" w:line="300" w:lineRule="auto"/>
      <w:ind w:firstLine="200" w:firstLineChars="200"/>
    </w:pPr>
    <w:rPr>
      <w:kern w:val="0"/>
      <w:sz w:val="24"/>
    </w:rPr>
  </w:style>
  <w:style w:type="character" w:customStyle="1" w:styleId="93">
    <w:name w:val="HTML 地址 Char1"/>
    <w:qFormat/>
    <w:uiPriority w:val="0"/>
    <w:rPr>
      <w:rFonts w:ascii="Times New Roman" w:hAnsi="Times New Roman" w:eastAsia="宋体" w:cs="Times New Roman"/>
      <w:i/>
      <w:iCs/>
      <w:szCs w:val="24"/>
    </w:rPr>
  </w:style>
  <w:style w:type="character" w:customStyle="1" w:styleId="94">
    <w:name w:val="批注主题 Char1"/>
    <w:link w:val="61"/>
    <w:qFormat/>
    <w:uiPriority w:val="0"/>
    <w:rPr>
      <w:b/>
      <w:bCs/>
      <w:kern w:val="2"/>
      <w:sz w:val="21"/>
      <w:szCs w:val="24"/>
    </w:rPr>
  </w:style>
  <w:style w:type="character" w:customStyle="1" w:styleId="95">
    <w:name w:val="Char Char51"/>
    <w:qFormat/>
    <w:uiPriority w:val="0"/>
    <w:rPr>
      <w:rFonts w:ascii="宋体" w:hAnsi="Courier New" w:eastAsia="宋体"/>
      <w:kern w:val="2"/>
      <w:sz w:val="21"/>
      <w:lang w:val="en-US" w:eastAsia="zh-CN"/>
    </w:rPr>
  </w:style>
  <w:style w:type="character" w:customStyle="1" w:styleId="96">
    <w:name w:val="表正文 Char"/>
    <w:qFormat/>
    <w:uiPriority w:val="0"/>
    <w:rPr>
      <w:rFonts w:ascii="宋体" w:eastAsia="宋体"/>
      <w:snapToGrid w:val="0"/>
      <w:color w:val="000000"/>
      <w:kern w:val="28"/>
      <w:sz w:val="28"/>
      <w:lang w:val="en-US" w:eastAsia="zh-CN" w:bidi="ar-SA"/>
    </w:rPr>
  </w:style>
  <w:style w:type="character" w:customStyle="1" w:styleId="97">
    <w:name w:val="Char Char34"/>
    <w:qFormat/>
    <w:uiPriority w:val="6"/>
    <w:rPr>
      <w:b/>
      <w:kern w:val="1"/>
      <w:sz w:val="28"/>
      <w:szCs w:val="28"/>
    </w:rPr>
  </w:style>
  <w:style w:type="character" w:customStyle="1" w:styleId="98">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99">
    <w:name w:val="哈哈正文 Char"/>
    <w:link w:val="100"/>
    <w:qFormat/>
    <w:uiPriority w:val="0"/>
    <w:rPr>
      <w:rFonts w:ascii="宋体" w:hAnsi="宋体" w:eastAsia="宋体"/>
      <w:kern w:val="2"/>
      <w:sz w:val="24"/>
      <w:lang w:bidi="ar-SA"/>
    </w:rPr>
  </w:style>
  <w:style w:type="paragraph" w:customStyle="1" w:styleId="100">
    <w:name w:val="哈哈正文"/>
    <w:basedOn w:val="1"/>
    <w:link w:val="99"/>
    <w:qFormat/>
    <w:uiPriority w:val="0"/>
    <w:pPr>
      <w:adjustRightInd/>
      <w:spacing w:line="360" w:lineRule="auto"/>
      <w:ind w:firstLine="200" w:firstLineChars="200"/>
    </w:pPr>
    <w:rPr>
      <w:rFonts w:ascii="宋体" w:hAnsi="宋体"/>
      <w:sz w:val="24"/>
      <w:szCs w:val="20"/>
    </w:rPr>
  </w:style>
  <w:style w:type="character" w:customStyle="1" w:styleId="101">
    <w:name w:val="未处理的提及1"/>
    <w:qFormat/>
    <w:uiPriority w:val="0"/>
    <w:rPr>
      <w:color w:val="808080"/>
      <w:shd w:val="clear" w:color="auto" w:fill="E6E6E6"/>
    </w:rPr>
  </w:style>
  <w:style w:type="character" w:customStyle="1" w:styleId="102">
    <w:name w:val="txt"/>
    <w:qFormat/>
    <w:uiPriority w:val="0"/>
    <w:rPr>
      <w:rFonts w:ascii="仿宋_GB2312" w:eastAsia="微软雅黑"/>
      <w:b/>
      <w:kern w:val="2"/>
      <w:sz w:val="32"/>
      <w:szCs w:val="32"/>
      <w:lang w:val="en-US" w:eastAsia="zh-CN" w:bidi="ar-SA"/>
    </w:rPr>
  </w:style>
  <w:style w:type="character" w:customStyle="1" w:styleId="103">
    <w:name w:val="二级标题 Char Char"/>
    <w:qFormat/>
    <w:uiPriority w:val="0"/>
    <w:rPr>
      <w:rFonts w:ascii="宋体" w:hAnsi="宋体" w:eastAsia="宋体"/>
      <w:b/>
      <w:snapToGrid w:val="0"/>
      <w:kern w:val="2"/>
      <w:sz w:val="24"/>
      <w:szCs w:val="24"/>
      <w:lang w:val="en-US" w:eastAsia="zh-CN" w:bidi="ar-SA"/>
    </w:rPr>
  </w:style>
  <w:style w:type="character" w:customStyle="1" w:styleId="104">
    <w:name w:val="Char Char32"/>
    <w:qFormat/>
    <w:uiPriority w:val="6"/>
    <w:rPr>
      <w:b/>
      <w:kern w:val="1"/>
      <w:sz w:val="24"/>
      <w:szCs w:val="24"/>
    </w:rPr>
  </w:style>
  <w:style w:type="character" w:customStyle="1" w:styleId="105">
    <w:name w:val="PI Char1"/>
    <w:qFormat/>
    <w:uiPriority w:val="0"/>
    <w:rPr>
      <w:rFonts w:ascii="宋体" w:hAnsi="宋体"/>
      <w:kern w:val="2"/>
      <w:sz w:val="24"/>
      <w:szCs w:val="24"/>
    </w:rPr>
  </w:style>
  <w:style w:type="character" w:customStyle="1" w:styleId="106">
    <w:name w:val="tw4winTerm"/>
    <w:qFormat/>
    <w:uiPriority w:val="0"/>
    <w:rPr>
      <w:color w:val="0000FF"/>
    </w:rPr>
  </w:style>
  <w:style w:type="character" w:customStyle="1" w:styleId="107">
    <w:name w:val="Footer Char"/>
    <w:qFormat/>
    <w:locked/>
    <w:uiPriority w:val="0"/>
    <w:rPr>
      <w:rFonts w:eastAsia="宋体"/>
      <w:kern w:val="2"/>
      <w:sz w:val="18"/>
      <w:lang w:val="en-US" w:eastAsia="zh-CN" w:bidi="ar-SA"/>
    </w:rPr>
  </w:style>
  <w:style w:type="character" w:customStyle="1" w:styleId="108">
    <w:name w:val="普通文字 Char Char1"/>
    <w:qFormat/>
    <w:uiPriority w:val="0"/>
    <w:rPr>
      <w:rFonts w:ascii="宋体" w:hAnsi="Courier New"/>
      <w:kern w:val="2"/>
      <w:sz w:val="21"/>
    </w:rPr>
  </w:style>
  <w:style w:type="character" w:customStyle="1" w:styleId="109">
    <w:name w:val="Char Char101"/>
    <w:qFormat/>
    <w:uiPriority w:val="6"/>
    <w:rPr>
      <w:rFonts w:ascii="宋体" w:hAnsi="宋体"/>
      <w:kern w:val="2"/>
      <w:sz w:val="21"/>
      <w:szCs w:val="24"/>
      <w:lang w:val="en-US" w:eastAsia="zh-CN"/>
    </w:rPr>
  </w:style>
  <w:style w:type="character" w:customStyle="1" w:styleId="110">
    <w:name w:val="标题 4 Char"/>
    <w:qFormat/>
    <w:uiPriority w:val="0"/>
    <w:rPr>
      <w:rFonts w:ascii="Arial" w:hAnsi="Arial" w:eastAsia="黑体"/>
      <w:b/>
      <w:kern w:val="2"/>
      <w:sz w:val="28"/>
    </w:rPr>
  </w:style>
  <w:style w:type="character" w:customStyle="1" w:styleId="111">
    <w:name w:val="链接"/>
    <w:qFormat/>
    <w:uiPriority w:val="0"/>
    <w:rPr>
      <w:color w:val="0000FF"/>
      <w:sz w:val="21"/>
      <w:szCs w:val="21"/>
      <w:u w:val="single"/>
    </w:rPr>
  </w:style>
  <w:style w:type="character" w:customStyle="1" w:styleId="112">
    <w:name w:val="h4 Char"/>
    <w:qFormat/>
    <w:uiPriority w:val="0"/>
    <w:rPr>
      <w:rFonts w:ascii="Arial" w:hAnsi="Arial" w:eastAsia="黑体"/>
      <w:b/>
      <w:bCs/>
      <w:kern w:val="2"/>
      <w:sz w:val="28"/>
      <w:szCs w:val="28"/>
      <w:lang w:val="zh-CN" w:eastAsia="zh-CN" w:bidi="ar-SA"/>
    </w:rPr>
  </w:style>
  <w:style w:type="character" w:customStyle="1" w:styleId="113">
    <w:name w:val="5正文 Char"/>
    <w:link w:val="114"/>
    <w:qFormat/>
    <w:uiPriority w:val="0"/>
    <w:rPr>
      <w:rFonts w:ascii="仿宋_GB2312" w:hAnsi="微软雅黑" w:eastAsia="仿宋_GB2312"/>
      <w:sz w:val="28"/>
      <w:szCs w:val="21"/>
    </w:rPr>
  </w:style>
  <w:style w:type="paragraph" w:customStyle="1" w:styleId="114">
    <w:name w:val="5正文"/>
    <w:basedOn w:val="1"/>
    <w:link w:val="113"/>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5">
    <w:name w:val="标题 3 字符"/>
    <w:qFormat/>
    <w:uiPriority w:val="9"/>
    <w:rPr>
      <w:b/>
      <w:bCs/>
      <w:kern w:val="2"/>
      <w:sz w:val="32"/>
      <w:szCs w:val="32"/>
    </w:rPr>
  </w:style>
  <w:style w:type="character" w:customStyle="1" w:styleId="116">
    <w:name w:val="样式6 Char"/>
    <w:qFormat/>
    <w:uiPriority w:val="0"/>
    <w:rPr>
      <w:rFonts w:ascii="仿宋_GB2312" w:hAnsi="宋体" w:eastAsia="仿宋_GB2312"/>
      <w:b/>
      <w:bCs/>
      <w:kern w:val="2"/>
      <w:sz w:val="24"/>
      <w:szCs w:val="24"/>
      <w:lang w:val="en-US" w:eastAsia="zh-CN" w:bidi="ar-SA"/>
    </w:rPr>
  </w:style>
  <w:style w:type="character" w:customStyle="1" w:styleId="117">
    <w:name w:val="Char Char14"/>
    <w:qFormat/>
    <w:uiPriority w:val="6"/>
    <w:rPr>
      <w:rFonts w:ascii="黑体" w:hAnsi="黑体" w:eastAsia="黑体"/>
    </w:rPr>
  </w:style>
  <w:style w:type="character" w:customStyle="1" w:styleId="118">
    <w:name w:val="Heading 2 Hidden Char"/>
    <w:qFormat/>
    <w:uiPriority w:val="0"/>
    <w:rPr>
      <w:rFonts w:ascii="仿宋_GB2312" w:eastAsia="仿宋_GB2312"/>
      <w:b/>
      <w:bCs/>
      <w:kern w:val="2"/>
      <w:sz w:val="24"/>
      <w:szCs w:val="24"/>
      <w:lang w:val="zh-CN" w:eastAsia="zh-CN" w:bidi="ar-SA"/>
    </w:rPr>
  </w:style>
  <w:style w:type="character" w:customStyle="1" w:styleId="119">
    <w:name w:val="正文首行缩进 2 Char"/>
    <w:link w:val="25"/>
    <w:qFormat/>
    <w:uiPriority w:val="0"/>
    <w:rPr>
      <w:rFonts w:ascii="宋体" w:hAnsi="宋体"/>
      <w:kern w:val="2"/>
      <w:sz w:val="21"/>
      <w:szCs w:val="24"/>
    </w:rPr>
  </w:style>
  <w:style w:type="character" w:customStyle="1" w:styleId="120">
    <w:name w:val="font11"/>
    <w:qFormat/>
    <w:uiPriority w:val="0"/>
    <w:rPr>
      <w:rFonts w:hint="default" w:ascii="Times New Roman" w:hAnsi="Times New Roman" w:cs="Times New Roman"/>
      <w:color w:val="000000"/>
      <w:sz w:val="22"/>
      <w:szCs w:val="22"/>
      <w:u w:val="none"/>
    </w:rPr>
  </w:style>
  <w:style w:type="character" w:customStyle="1" w:styleId="121">
    <w:name w:val="表正文 Char1"/>
    <w:qFormat/>
    <w:uiPriority w:val="0"/>
    <w:rPr>
      <w:rFonts w:ascii="宋体" w:eastAsia="宋体"/>
      <w:snapToGrid w:val="0"/>
      <w:color w:val="000000"/>
      <w:kern w:val="28"/>
      <w:sz w:val="28"/>
    </w:rPr>
  </w:style>
  <w:style w:type="character" w:customStyle="1" w:styleId="122">
    <w:name w:val="blue1"/>
    <w:basedOn w:val="70"/>
    <w:qFormat/>
    <w:uiPriority w:val="0"/>
    <w:rPr>
      <w:rFonts w:ascii="Arial" w:hAnsi="Arial" w:eastAsia="黑体" w:cs="Arial"/>
      <w:snapToGrid w:val="0"/>
      <w:kern w:val="0"/>
      <w:szCs w:val="21"/>
    </w:rPr>
  </w:style>
  <w:style w:type="character" w:customStyle="1" w:styleId="123">
    <w:name w:val="纯文本 Char"/>
    <w:link w:val="34"/>
    <w:qFormat/>
    <w:uiPriority w:val="0"/>
    <w:rPr>
      <w:rFonts w:ascii="宋体" w:hAnsi="Courier New" w:eastAsia="宋体" w:cs="Arial"/>
      <w:snapToGrid w:val="0"/>
      <w:kern w:val="2"/>
      <w:sz w:val="21"/>
      <w:szCs w:val="21"/>
      <w:lang w:val="en-US" w:eastAsia="zh-CN" w:bidi="ar-SA"/>
    </w:rPr>
  </w:style>
  <w:style w:type="character" w:customStyle="1" w:styleId="124">
    <w:name w:val="标书1 Char"/>
    <w:qFormat/>
    <w:uiPriority w:val="0"/>
    <w:rPr>
      <w:rFonts w:eastAsia="宋体"/>
      <w:b/>
      <w:bCs/>
      <w:kern w:val="44"/>
      <w:sz w:val="44"/>
      <w:szCs w:val="44"/>
      <w:lang w:val="en-US" w:eastAsia="zh-CN" w:bidi="ar-SA"/>
    </w:rPr>
  </w:style>
  <w:style w:type="character" w:customStyle="1" w:styleId="125">
    <w:name w:val="样式5 Char"/>
    <w:qFormat/>
    <w:uiPriority w:val="0"/>
    <w:rPr>
      <w:rFonts w:ascii="仿宋_GB2312" w:hAnsi="仿宋" w:eastAsia="仿宋_GB2312"/>
      <w:kern w:val="2"/>
      <w:sz w:val="24"/>
      <w:szCs w:val="24"/>
    </w:rPr>
  </w:style>
  <w:style w:type="character" w:customStyle="1" w:styleId="126">
    <w:name w:val="样式4 Char"/>
    <w:qFormat/>
    <w:uiPriority w:val="0"/>
    <w:rPr>
      <w:rFonts w:ascii="仿宋_GB2312" w:hAnsi="仿宋" w:eastAsia="仿宋_GB2312"/>
      <w:b/>
      <w:kern w:val="2"/>
      <w:sz w:val="32"/>
      <w:szCs w:val="32"/>
      <w:lang w:bidi="ar-SA"/>
    </w:rPr>
  </w:style>
  <w:style w:type="character" w:customStyle="1" w:styleId="127">
    <w:name w:val="插图说明 Char"/>
    <w:qFormat/>
    <w:uiPriority w:val="0"/>
    <w:rPr>
      <w:rFonts w:eastAsia="黑体"/>
      <w:sz w:val="24"/>
      <w:lang w:val="en-US" w:eastAsia="zh-CN"/>
    </w:rPr>
  </w:style>
  <w:style w:type="character" w:customStyle="1" w:styleId="128">
    <w:name w:val="正文2 Char Char"/>
    <w:link w:val="129"/>
    <w:qFormat/>
    <w:uiPriority w:val="0"/>
    <w:rPr>
      <w:rFonts w:eastAsia="宋体"/>
      <w:kern w:val="2"/>
      <w:sz w:val="24"/>
      <w:lang w:val="en-US" w:eastAsia="zh-CN" w:bidi="ar-SA"/>
    </w:rPr>
  </w:style>
  <w:style w:type="paragraph" w:customStyle="1" w:styleId="129">
    <w:name w:val="正文2"/>
    <w:basedOn w:val="1"/>
    <w:link w:val="128"/>
    <w:qFormat/>
    <w:uiPriority w:val="0"/>
    <w:pPr>
      <w:spacing w:before="156" w:line="360" w:lineRule="auto"/>
      <w:ind w:firstLine="510" w:firstLineChars="200"/>
    </w:pPr>
    <w:rPr>
      <w:sz w:val="24"/>
      <w:szCs w:val="20"/>
    </w:rPr>
  </w:style>
  <w:style w:type="character" w:customStyle="1" w:styleId="130">
    <w:name w:val="Char Char24"/>
    <w:qFormat/>
    <w:uiPriority w:val="6"/>
    <w:rPr>
      <w:kern w:val="1"/>
      <w:sz w:val="21"/>
    </w:rPr>
  </w:style>
  <w:style w:type="character" w:customStyle="1" w:styleId="131">
    <w:name w:val="副标题 Char"/>
    <w:link w:val="48"/>
    <w:qFormat/>
    <w:uiPriority w:val="0"/>
    <w:rPr>
      <w:rFonts w:ascii="Arial" w:hAnsi="Arial" w:eastAsia="隶书"/>
      <w:b/>
      <w:bCs/>
      <w:kern w:val="28"/>
      <w:sz w:val="44"/>
      <w:szCs w:val="32"/>
      <w:lang w:val="en-US" w:eastAsia="zh-CN" w:bidi="ar-SA"/>
    </w:rPr>
  </w:style>
  <w:style w:type="character" w:customStyle="1" w:styleId="132">
    <w:name w:val="普通文字 Char1 Char"/>
    <w:qFormat/>
    <w:uiPriority w:val="0"/>
    <w:rPr>
      <w:rFonts w:ascii="宋体" w:hAnsi="Courier New" w:eastAsia="宋体"/>
      <w:kern w:val="2"/>
      <w:sz w:val="21"/>
      <w:szCs w:val="24"/>
      <w:lang w:val="en-US" w:eastAsia="zh-CN" w:bidi="ar-SA"/>
    </w:rPr>
  </w:style>
  <w:style w:type="character" w:customStyle="1" w:styleId="133">
    <w:name w:val="h3 Char1"/>
    <w:qFormat/>
    <w:uiPriority w:val="0"/>
    <w:rPr>
      <w:rFonts w:eastAsia="宋体"/>
      <w:b/>
      <w:bCs/>
      <w:kern w:val="2"/>
      <w:sz w:val="32"/>
      <w:szCs w:val="32"/>
      <w:lang w:bidi="ar-SA"/>
    </w:rPr>
  </w:style>
  <w:style w:type="character" w:customStyle="1" w:styleId="134">
    <w:name w:val="标题 Char1"/>
    <w:qFormat/>
    <w:uiPriority w:val="0"/>
    <w:rPr>
      <w:rFonts w:ascii="Cambria" w:hAnsi="Cambria" w:eastAsia="宋体" w:cs="Times New Roman"/>
      <w:b/>
      <w:bCs/>
      <w:sz w:val="32"/>
      <w:szCs w:val="32"/>
      <w:lang w:bidi="ar-SA"/>
    </w:rPr>
  </w:style>
  <w:style w:type="character" w:customStyle="1" w:styleId="135">
    <w:name w:val="gf正文1 Char"/>
    <w:qFormat/>
    <w:uiPriority w:val="0"/>
    <w:rPr>
      <w:rFonts w:ascii="宋体" w:hAnsi="宋体" w:eastAsia="宋体" w:cs="宋体"/>
      <w:kern w:val="2"/>
      <w:sz w:val="24"/>
      <w:szCs w:val="24"/>
      <w:lang w:val="en-US" w:eastAsia="zh-CN" w:bidi="ar-SA"/>
    </w:rPr>
  </w:style>
  <w:style w:type="character" w:customStyle="1" w:styleId="136">
    <w:name w:val="正文文本缩进 Char1"/>
    <w:qFormat/>
    <w:uiPriority w:val="0"/>
    <w:rPr>
      <w:rFonts w:ascii="Calibri" w:hAnsi="Calibri"/>
      <w:sz w:val="28"/>
    </w:rPr>
  </w:style>
  <w:style w:type="character" w:customStyle="1" w:styleId="137">
    <w:name w:val="No Spacing Char"/>
    <w:link w:val="138"/>
    <w:qFormat/>
    <w:uiPriority w:val="1"/>
    <w:rPr>
      <w:sz w:val="22"/>
      <w:szCs w:val="22"/>
      <w:lang w:val="en-US" w:eastAsia="zh-CN" w:bidi="ar-SA"/>
    </w:rPr>
  </w:style>
  <w:style w:type="paragraph" w:customStyle="1" w:styleId="138">
    <w:name w:val="无间隔1"/>
    <w:link w:val="137"/>
    <w:qFormat/>
    <w:uiPriority w:val="1"/>
    <w:rPr>
      <w:rFonts w:ascii="Times New Roman" w:hAnsi="Times New Roman" w:eastAsia="宋体" w:cs="Times New Roman"/>
      <w:sz w:val="22"/>
      <w:szCs w:val="22"/>
      <w:lang w:val="en-US" w:eastAsia="zh-CN" w:bidi="ar-SA"/>
    </w:rPr>
  </w:style>
  <w:style w:type="character" w:customStyle="1" w:styleId="139">
    <w:name w:val="样式7 Char"/>
    <w:qFormat/>
    <w:uiPriority w:val="0"/>
    <w:rPr>
      <w:rFonts w:ascii="仿宋_GB2312" w:hAnsi="仿宋" w:eastAsia="仿宋_GB2312"/>
      <w:b/>
      <w:kern w:val="2"/>
      <w:sz w:val="24"/>
      <w:szCs w:val="24"/>
    </w:rPr>
  </w:style>
  <w:style w:type="character" w:customStyle="1" w:styleId="140">
    <w:name w:val="font12gray1"/>
    <w:qFormat/>
    <w:uiPriority w:val="0"/>
    <w:rPr>
      <w:rFonts w:ascii="仿宋_GB2312" w:eastAsia="微软雅黑"/>
      <w:b/>
      <w:spacing w:val="300"/>
      <w:kern w:val="2"/>
      <w:sz w:val="18"/>
      <w:szCs w:val="18"/>
      <w:lang w:val="en-US" w:eastAsia="zh-CN" w:bidi="ar-SA"/>
    </w:rPr>
  </w:style>
  <w:style w:type="character" w:customStyle="1" w:styleId="141">
    <w:name w:val="Char Char7"/>
    <w:semiHidden/>
    <w:qFormat/>
    <w:uiPriority w:val="0"/>
    <w:rPr>
      <w:rFonts w:eastAsia="宋体"/>
      <w:kern w:val="2"/>
      <w:sz w:val="21"/>
      <w:szCs w:val="24"/>
      <w:lang w:val="en-US" w:eastAsia="zh-CN" w:bidi="ar-SA"/>
    </w:rPr>
  </w:style>
  <w:style w:type="character" w:customStyle="1" w:styleId="142">
    <w:name w:val="表名 Char"/>
    <w:qFormat/>
    <w:uiPriority w:val="0"/>
    <w:rPr>
      <w:rFonts w:eastAsia="宋体"/>
      <w:b/>
      <w:bCs/>
      <w:kern w:val="2"/>
      <w:sz w:val="24"/>
      <w:szCs w:val="24"/>
      <w:lang w:val="en-US" w:eastAsia="zh-CN" w:bidi="ar-SA"/>
    </w:rPr>
  </w:style>
  <w:style w:type="character" w:customStyle="1" w:styleId="143">
    <w:name w:val="Document Map Char"/>
    <w:qFormat/>
    <w:locked/>
    <w:uiPriority w:val="0"/>
    <w:rPr>
      <w:rFonts w:eastAsia="宋体"/>
      <w:kern w:val="2"/>
      <w:sz w:val="21"/>
      <w:szCs w:val="24"/>
      <w:lang w:val="en-US" w:eastAsia="zh-CN" w:bidi="ar-SA"/>
    </w:rPr>
  </w:style>
  <w:style w:type="character" w:customStyle="1" w:styleId="144">
    <w:name w:val="font41"/>
    <w:qFormat/>
    <w:uiPriority w:val="0"/>
    <w:rPr>
      <w:rFonts w:hint="eastAsia" w:ascii="仿宋_GB2312" w:eastAsia="仿宋_GB2312" w:cs="仿宋_GB2312"/>
      <w:color w:val="000000"/>
      <w:sz w:val="22"/>
      <w:szCs w:val="22"/>
      <w:u w:val="none"/>
    </w:rPr>
  </w:style>
  <w:style w:type="character" w:customStyle="1" w:styleId="145">
    <w:name w:val="标题 6 Char"/>
    <w:link w:val="8"/>
    <w:qFormat/>
    <w:uiPriority w:val="0"/>
    <w:rPr>
      <w:rFonts w:ascii="Arial" w:hAnsi="Arial" w:eastAsia="黑体"/>
      <w:b/>
      <w:bCs/>
      <w:kern w:val="2"/>
      <w:sz w:val="24"/>
      <w:szCs w:val="24"/>
    </w:rPr>
  </w:style>
  <w:style w:type="character" w:customStyle="1" w:styleId="146">
    <w:name w:val="纯文本 Char_0"/>
    <w:link w:val="147"/>
    <w:qFormat/>
    <w:uiPriority w:val="0"/>
    <w:rPr>
      <w:rFonts w:ascii="宋体" w:hAnsi="Courier New"/>
      <w:kern w:val="2"/>
      <w:sz w:val="21"/>
      <w:szCs w:val="21"/>
      <w:lang w:val="en-US" w:eastAsia="zh-CN"/>
    </w:rPr>
  </w:style>
  <w:style w:type="paragraph" w:customStyle="1" w:styleId="147">
    <w:name w:val="纯文本_0_0"/>
    <w:basedOn w:val="148"/>
    <w:link w:val="146"/>
    <w:qFormat/>
    <w:uiPriority w:val="0"/>
    <w:rPr>
      <w:rFonts w:ascii="宋体" w:hAnsi="Courier New"/>
      <w:szCs w:val="21"/>
    </w:rPr>
  </w:style>
  <w:style w:type="paragraph" w:customStyle="1" w:styleId="14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Balloon Text Char"/>
    <w:qFormat/>
    <w:locked/>
    <w:uiPriority w:val="0"/>
    <w:rPr>
      <w:rFonts w:eastAsia="宋体"/>
      <w:kern w:val="2"/>
      <w:sz w:val="18"/>
      <w:szCs w:val="18"/>
      <w:lang w:val="en-US" w:eastAsia="zh-CN" w:bidi="ar-SA"/>
    </w:rPr>
  </w:style>
  <w:style w:type="character" w:customStyle="1" w:styleId="150">
    <w:name w:val="正文 项目2 Char"/>
    <w:basedOn w:val="151"/>
    <w:qFormat/>
    <w:uiPriority w:val="0"/>
    <w:rPr>
      <w:rFonts w:ascii="仿宋_GB2312" w:hAnsi="仿宋_GB2312" w:eastAsia="仿宋_GB2312"/>
      <w:kern w:val="2"/>
      <w:sz w:val="24"/>
      <w:lang w:bidi="ar-SA"/>
    </w:rPr>
  </w:style>
  <w:style w:type="character" w:customStyle="1" w:styleId="151">
    <w:name w:val="正文 项目 Char"/>
    <w:qFormat/>
    <w:uiPriority w:val="0"/>
    <w:rPr>
      <w:rFonts w:ascii="仿宋_GB2312" w:hAnsi="仿宋_GB2312" w:eastAsia="仿宋_GB2312"/>
      <w:kern w:val="2"/>
      <w:sz w:val="24"/>
      <w:lang w:bidi="ar-SA"/>
    </w:rPr>
  </w:style>
  <w:style w:type="character" w:customStyle="1" w:styleId="152">
    <w:name w:val="h Char Char1"/>
    <w:qFormat/>
    <w:uiPriority w:val="0"/>
    <w:rPr>
      <w:rFonts w:eastAsia="宋体"/>
      <w:kern w:val="2"/>
      <w:sz w:val="18"/>
      <w:szCs w:val="18"/>
      <w:lang w:val="en-US" w:eastAsia="zh-CN" w:bidi="ar-SA"/>
    </w:rPr>
  </w:style>
  <w:style w:type="character" w:customStyle="1" w:styleId="153">
    <w:name w:val="Char Char27"/>
    <w:qFormat/>
    <w:uiPriority w:val="6"/>
    <w:rPr>
      <w:rFonts w:ascii="宋体" w:hAnsi="宋体" w:eastAsia="宋体"/>
      <w:color w:val="000000"/>
      <w:kern w:val="1"/>
      <w:sz w:val="28"/>
      <w:lang w:val="en-US" w:eastAsia="zh-CN" w:bidi="ar-SA"/>
    </w:rPr>
  </w:style>
  <w:style w:type="character" w:customStyle="1" w:styleId="154">
    <w:name w:val="px14"/>
    <w:qFormat/>
    <w:uiPriority w:val="0"/>
    <w:rPr>
      <w:rFonts w:ascii="仿宋_GB2312" w:eastAsia="微软雅黑" w:cs="Times New Roman"/>
      <w:b/>
      <w:kern w:val="2"/>
      <w:sz w:val="32"/>
      <w:szCs w:val="32"/>
      <w:lang w:val="en-US" w:eastAsia="zh-CN" w:bidi="ar-SA"/>
    </w:rPr>
  </w:style>
  <w:style w:type="character" w:customStyle="1" w:styleId="155">
    <w:name w:val="HTML 预设格式 Char1"/>
    <w:qFormat/>
    <w:uiPriority w:val="0"/>
    <w:rPr>
      <w:rFonts w:ascii="Courier New" w:hAnsi="Courier New" w:eastAsia="宋体" w:cs="Courier New"/>
      <w:sz w:val="20"/>
      <w:szCs w:val="20"/>
    </w:rPr>
  </w:style>
  <w:style w:type="character" w:customStyle="1" w:styleId="156">
    <w:name w:val="普通文字 Char1"/>
    <w:qFormat/>
    <w:uiPriority w:val="0"/>
    <w:rPr>
      <w:rFonts w:ascii="宋体" w:hAnsi="Courier New" w:eastAsia="宋体"/>
      <w:kern w:val="2"/>
      <w:sz w:val="21"/>
      <w:lang w:val="en-US" w:eastAsia="zh-CN"/>
    </w:rPr>
  </w:style>
  <w:style w:type="character" w:customStyle="1" w:styleId="157">
    <w:name w:val="hei16b1"/>
    <w:qFormat/>
    <w:uiPriority w:val="0"/>
    <w:rPr>
      <w:rFonts w:hint="default" w:ascii="Arial" w:hAnsi="Arial" w:cs="Arial"/>
      <w:b/>
      <w:bCs/>
      <w:color w:val="000000"/>
      <w:sz w:val="24"/>
      <w:szCs w:val="24"/>
    </w:rPr>
  </w:style>
  <w:style w:type="character" w:customStyle="1" w:styleId="158">
    <w:name w:val="正文（绿盟科技） Char"/>
    <w:link w:val="159"/>
    <w:qFormat/>
    <w:uiPriority w:val="0"/>
    <w:rPr>
      <w:rFonts w:ascii="Arial" w:hAnsi="Arial"/>
      <w:sz w:val="21"/>
      <w:szCs w:val="21"/>
    </w:rPr>
  </w:style>
  <w:style w:type="paragraph" w:customStyle="1" w:styleId="159">
    <w:name w:val="正文（绿盟科技）"/>
    <w:link w:val="158"/>
    <w:qFormat/>
    <w:uiPriority w:val="0"/>
    <w:pPr>
      <w:spacing w:line="300" w:lineRule="auto"/>
    </w:pPr>
    <w:rPr>
      <w:rFonts w:ascii="Arial" w:hAnsi="Arial" w:eastAsia="宋体" w:cs="Times New Roman"/>
      <w:sz w:val="21"/>
      <w:szCs w:val="21"/>
      <w:lang w:val="en-US" w:eastAsia="zh-CN" w:bidi="ar-SA"/>
    </w:rPr>
  </w:style>
  <w:style w:type="character" w:customStyle="1" w:styleId="160">
    <w:name w:val="Char Char19"/>
    <w:qFormat/>
    <w:uiPriority w:val="6"/>
    <w:rPr>
      <w:rFonts w:ascii="宋体" w:hAnsi="宋体"/>
      <w:i/>
      <w:sz w:val="24"/>
      <w:szCs w:val="24"/>
    </w:rPr>
  </w:style>
  <w:style w:type="character" w:customStyle="1" w:styleId="161">
    <w:name w:val="页脚 Char"/>
    <w:qFormat/>
    <w:uiPriority w:val="99"/>
    <w:rPr>
      <w:rFonts w:eastAsia="仿宋_GB2312"/>
      <w:kern w:val="2"/>
      <w:sz w:val="18"/>
      <w:lang w:val="en-US" w:eastAsia="zh-CN"/>
    </w:rPr>
  </w:style>
  <w:style w:type="character" w:customStyle="1" w:styleId="162">
    <w:name w:val="批注主题 Char"/>
    <w:qFormat/>
    <w:uiPriority w:val="0"/>
    <w:rPr>
      <w:rFonts w:eastAsia="宋体"/>
      <w:b/>
      <w:bCs/>
      <w:kern w:val="2"/>
      <w:sz w:val="21"/>
      <w:szCs w:val="24"/>
      <w:lang w:val="en-US" w:eastAsia="zh-CN" w:bidi="ar-SA"/>
    </w:rPr>
  </w:style>
  <w:style w:type="character" w:customStyle="1" w:styleId="163">
    <w:name w:val="Comment Text Char"/>
    <w:qFormat/>
    <w:locked/>
    <w:uiPriority w:val="0"/>
    <w:rPr>
      <w:rFonts w:ascii="宋体" w:hAnsi="宋体" w:eastAsia="宋体"/>
      <w:kern w:val="2"/>
      <w:sz w:val="24"/>
      <w:lang w:val="en-US" w:eastAsia="zh-CN" w:bidi="ar-SA"/>
    </w:rPr>
  </w:style>
  <w:style w:type="character" w:customStyle="1" w:styleId="164">
    <w:name w:val="标题 2 字符"/>
    <w:qFormat/>
    <w:uiPriority w:val="1"/>
    <w:rPr>
      <w:rFonts w:ascii="仿宋_GB2312" w:hAnsi="Times New Roman" w:eastAsia="仿宋_GB2312" w:cs="Times New Roman"/>
      <w:b/>
      <w:kern w:val="2"/>
      <w:sz w:val="24"/>
      <w:lang w:val="zh-CN"/>
    </w:rPr>
  </w:style>
  <w:style w:type="character" w:customStyle="1" w:styleId="165">
    <w:name w:val="Char Char72"/>
    <w:qFormat/>
    <w:uiPriority w:val="0"/>
    <w:rPr>
      <w:rFonts w:eastAsia="宋体"/>
      <w:kern w:val="2"/>
      <w:sz w:val="21"/>
      <w:szCs w:val="24"/>
      <w:lang w:val="en-US" w:eastAsia="zh-CN" w:bidi="ar-SA"/>
    </w:rPr>
  </w:style>
  <w:style w:type="character" w:customStyle="1" w:styleId="166">
    <w:name w:val="正文文本缩进 Char2"/>
    <w:qFormat/>
    <w:uiPriority w:val="0"/>
    <w:rPr>
      <w:rFonts w:ascii="Times New Roman" w:hAnsi="Times New Roman" w:eastAsia="宋体" w:cs="Times New Roman"/>
      <w:snapToGrid w:val="0"/>
      <w:kern w:val="0"/>
      <w:szCs w:val="24"/>
    </w:rPr>
  </w:style>
  <w:style w:type="character" w:customStyle="1" w:styleId="167">
    <w:name w:val="样式2 Char"/>
    <w:qFormat/>
    <w:uiPriority w:val="0"/>
    <w:rPr>
      <w:rFonts w:ascii="仿宋_GB2312" w:hAnsi="仿宋" w:eastAsia="仿宋_GB2312" w:cs="仿宋_GB2312"/>
      <w:b/>
      <w:bCs/>
      <w:sz w:val="32"/>
      <w:szCs w:val="30"/>
      <w:lang w:val="zh-CN"/>
    </w:rPr>
  </w:style>
  <w:style w:type="character" w:customStyle="1" w:styleId="168">
    <w:name w:val="表格名称[858D7CFB-ED40-4347-BF05-701D383B685F]"/>
    <w:link w:val="169"/>
    <w:qFormat/>
    <w:uiPriority w:val="0"/>
    <w:rPr>
      <w:sz w:val="32"/>
    </w:rPr>
  </w:style>
  <w:style w:type="paragraph" w:customStyle="1" w:styleId="169">
    <w:name w:val="表格名称"/>
    <w:basedOn w:val="4"/>
    <w:link w:val="168"/>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0">
    <w:name w:val="Char Char4"/>
    <w:qFormat/>
    <w:uiPriority w:val="0"/>
    <w:rPr>
      <w:rFonts w:eastAsia="宋体"/>
      <w:b/>
      <w:sz w:val="24"/>
      <w:lang w:val="en-GB" w:eastAsia="zh-CN" w:bidi="ar-SA"/>
    </w:rPr>
  </w:style>
  <w:style w:type="character" w:customStyle="1" w:styleId="171">
    <w:name w:val="c7 style3"/>
    <w:qFormat/>
    <w:uiPriority w:val="0"/>
  </w:style>
  <w:style w:type="character" w:customStyle="1" w:styleId="172">
    <w:name w:val="正文文本 3 Char1"/>
    <w:semiHidden/>
    <w:qFormat/>
    <w:uiPriority w:val="99"/>
    <w:rPr>
      <w:rFonts w:ascii="Times New Roman" w:hAnsi="Times New Roman" w:eastAsia="宋体" w:cs="Times New Roman"/>
      <w:sz w:val="16"/>
      <w:szCs w:val="16"/>
    </w:rPr>
  </w:style>
  <w:style w:type="character" w:customStyle="1" w:styleId="173">
    <w:name w:val="tw4winInternal"/>
    <w:qFormat/>
    <w:uiPriority w:val="0"/>
    <w:rPr>
      <w:rFonts w:ascii="Courier New" w:hAnsi="Courier New" w:cs="Courier New"/>
      <w:color w:val="FF0000"/>
      <w:lang w:val="en-US" w:eastAsia="zh-CN"/>
    </w:rPr>
  </w:style>
  <w:style w:type="character" w:customStyle="1" w:styleId="174">
    <w:name w:val="Char Char10"/>
    <w:semiHidden/>
    <w:qFormat/>
    <w:uiPriority w:val="0"/>
    <w:rPr>
      <w:rFonts w:ascii="宋体" w:hAnsi="宋体"/>
      <w:kern w:val="2"/>
      <w:sz w:val="21"/>
      <w:szCs w:val="24"/>
      <w:lang w:val="en-US" w:eastAsia="zh-CN"/>
    </w:rPr>
  </w:style>
  <w:style w:type="character" w:customStyle="1" w:styleId="175">
    <w:name w:val="shadow11"/>
    <w:qFormat/>
    <w:uiPriority w:val="0"/>
    <w:rPr>
      <w:color w:val="000000"/>
      <w:sz w:val="21"/>
    </w:rPr>
  </w:style>
  <w:style w:type="character" w:customStyle="1" w:styleId="176">
    <w:name w:val="正文非缩进 Char3"/>
    <w:qFormat/>
    <w:uiPriority w:val="0"/>
    <w:rPr>
      <w:rFonts w:ascii="宋体" w:eastAsia="宋体"/>
      <w:snapToGrid w:val="0"/>
      <w:color w:val="000000"/>
      <w:kern w:val="28"/>
      <w:sz w:val="28"/>
      <w:lang w:val="en-US" w:eastAsia="zh-CN" w:bidi="ar-SA"/>
    </w:rPr>
  </w:style>
  <w:style w:type="character" w:customStyle="1" w:styleId="177">
    <w:name w:val="Char Char"/>
    <w:qFormat/>
    <w:uiPriority w:val="0"/>
    <w:rPr>
      <w:rFonts w:ascii="宋体" w:hAnsi="Courier New" w:eastAsia="宋体"/>
      <w:kern w:val="2"/>
      <w:sz w:val="21"/>
      <w:lang w:val="en-US" w:eastAsia="zh-CN" w:bidi="ar-SA"/>
    </w:rPr>
  </w:style>
  <w:style w:type="character" w:customStyle="1" w:styleId="178">
    <w:name w:val="签名 Char1"/>
    <w:qFormat/>
    <w:uiPriority w:val="0"/>
    <w:rPr>
      <w:rFonts w:ascii="Times New Roman" w:hAnsi="Times New Roman" w:eastAsia="宋体" w:cs="Times New Roman"/>
      <w:szCs w:val="24"/>
    </w:rPr>
  </w:style>
  <w:style w:type="character" w:customStyle="1" w:styleId="179">
    <w:name w:val="日期 Char"/>
    <w:link w:val="37"/>
    <w:qFormat/>
    <w:uiPriority w:val="0"/>
    <w:rPr>
      <w:rFonts w:ascii="宋体"/>
      <w:kern w:val="2"/>
      <w:sz w:val="24"/>
      <w:szCs w:val="21"/>
      <w:lang w:val="zh-CN"/>
    </w:rPr>
  </w:style>
  <w:style w:type="character" w:customStyle="1" w:styleId="180">
    <w:name w:val="标题 9 Char"/>
    <w:link w:val="11"/>
    <w:qFormat/>
    <w:uiPriority w:val="0"/>
    <w:rPr>
      <w:rFonts w:ascii="Arial" w:hAnsi="Arial" w:eastAsia="黑体"/>
      <w:kern w:val="2"/>
      <w:sz w:val="21"/>
      <w:szCs w:val="21"/>
    </w:rPr>
  </w:style>
  <w:style w:type="character" w:customStyle="1" w:styleId="181">
    <w:name w:val="Char Char18"/>
    <w:qFormat/>
    <w:uiPriority w:val="6"/>
    <w:rPr>
      <w:rFonts w:ascii="宋体" w:hAnsi="宋体"/>
      <w:sz w:val="28"/>
    </w:rPr>
  </w:style>
  <w:style w:type="character" w:customStyle="1" w:styleId="182">
    <w:name w:val="批注文字 Char"/>
    <w:qFormat/>
    <w:uiPriority w:val="99"/>
    <w:rPr>
      <w:kern w:val="2"/>
      <w:sz w:val="21"/>
      <w:szCs w:val="24"/>
    </w:rPr>
  </w:style>
  <w:style w:type="character" w:customStyle="1" w:styleId="183">
    <w:name w:val="Char Char22"/>
    <w:qFormat/>
    <w:uiPriority w:val="6"/>
    <w:rPr>
      <w:rFonts w:ascii="宋体" w:hAnsi="宋体"/>
      <w:kern w:val="1"/>
      <w:sz w:val="24"/>
      <w:szCs w:val="24"/>
    </w:rPr>
  </w:style>
  <w:style w:type="character" w:customStyle="1" w:styleId="184">
    <w:name w:val="pt141"/>
    <w:qFormat/>
    <w:uiPriority w:val="0"/>
    <w:rPr>
      <w:color w:val="330066"/>
      <w:sz w:val="22"/>
      <w:szCs w:val="22"/>
    </w:rPr>
  </w:style>
  <w:style w:type="character" w:customStyle="1" w:styleId="185">
    <w:name w:val="正文文本缩进 2 Char1"/>
    <w:semiHidden/>
    <w:qFormat/>
    <w:uiPriority w:val="99"/>
    <w:rPr>
      <w:rFonts w:ascii="Times New Roman" w:hAnsi="Times New Roman" w:eastAsia="宋体" w:cs="Times New Roman"/>
      <w:szCs w:val="24"/>
    </w:rPr>
  </w:style>
  <w:style w:type="character" w:customStyle="1" w:styleId="186">
    <w:name w:val="批注框文本 Char"/>
    <w:link w:val="40"/>
    <w:qFormat/>
    <w:uiPriority w:val="0"/>
    <w:rPr>
      <w:kern w:val="2"/>
      <w:sz w:val="18"/>
      <w:szCs w:val="18"/>
    </w:rPr>
  </w:style>
  <w:style w:type="character" w:customStyle="1" w:styleId="187">
    <w:name w:val="Char Char611"/>
    <w:qFormat/>
    <w:uiPriority w:val="0"/>
    <w:rPr>
      <w:rFonts w:eastAsia="宋体"/>
      <w:kern w:val="2"/>
      <w:sz w:val="21"/>
      <w:szCs w:val="24"/>
      <w:lang w:val="en-US" w:eastAsia="zh-CN" w:bidi="ar-SA"/>
    </w:rPr>
  </w:style>
  <w:style w:type="character" w:customStyle="1" w:styleId="188">
    <w:name w:val="highlight1"/>
    <w:qFormat/>
    <w:uiPriority w:val="0"/>
    <w:rPr>
      <w:rFonts w:ascii="仿宋_GB2312" w:eastAsia="微软雅黑"/>
      <w:b/>
      <w:kern w:val="2"/>
      <w:sz w:val="23"/>
      <w:szCs w:val="23"/>
      <w:lang w:val="en-US" w:eastAsia="zh-CN" w:bidi="ar-SA"/>
    </w:rPr>
  </w:style>
  <w:style w:type="character" w:customStyle="1" w:styleId="189">
    <w:name w:val="my正文 Char"/>
    <w:link w:val="190"/>
    <w:qFormat/>
    <w:locked/>
    <w:uiPriority w:val="0"/>
    <w:rPr>
      <w:rFonts w:ascii="Tahoma" w:hAnsi="Tahoma"/>
      <w:sz w:val="24"/>
      <w:szCs w:val="24"/>
    </w:rPr>
  </w:style>
  <w:style w:type="paragraph" w:customStyle="1" w:styleId="190">
    <w:name w:val="my正文"/>
    <w:basedOn w:val="1"/>
    <w:link w:val="189"/>
    <w:qFormat/>
    <w:uiPriority w:val="0"/>
    <w:pPr>
      <w:adjustRightInd/>
      <w:spacing w:line="360" w:lineRule="auto"/>
      <w:ind w:firstLine="480" w:firstLineChars="200"/>
    </w:pPr>
    <w:rPr>
      <w:rFonts w:ascii="Tahoma" w:hAnsi="Tahoma"/>
      <w:kern w:val="0"/>
      <w:sz w:val="24"/>
    </w:rPr>
  </w:style>
  <w:style w:type="character" w:customStyle="1" w:styleId="191">
    <w:name w:val="正文缩进 Char2"/>
    <w:link w:val="2"/>
    <w:qFormat/>
    <w:uiPriority w:val="0"/>
    <w:rPr>
      <w:rFonts w:ascii="宋体" w:eastAsia="宋体"/>
      <w:snapToGrid w:val="0"/>
      <w:color w:val="000000"/>
      <w:kern w:val="28"/>
      <w:sz w:val="28"/>
      <w:lang w:val="en-US" w:eastAsia="zh-CN" w:bidi="ar-SA"/>
    </w:rPr>
  </w:style>
  <w:style w:type="character" w:customStyle="1" w:styleId="192">
    <w:name w:val="Used by Word for text of Help footnotes Char Char1"/>
    <w:qFormat/>
    <w:uiPriority w:val="0"/>
    <w:rPr>
      <w:color w:val="0000FF"/>
      <w:sz w:val="21"/>
    </w:rPr>
  </w:style>
  <w:style w:type="character" w:customStyle="1" w:styleId="193">
    <w:name w:val="页眉 Char"/>
    <w:qFormat/>
    <w:uiPriority w:val="0"/>
    <w:rPr>
      <w:rFonts w:eastAsia="仿宋_GB2312"/>
      <w:kern w:val="2"/>
      <w:sz w:val="18"/>
      <w:lang w:val="en-US" w:eastAsia="zh-CN"/>
    </w:rPr>
  </w:style>
  <w:style w:type="character" w:customStyle="1" w:styleId="194">
    <w:name w:val="FA正文 Char Char"/>
    <w:qFormat/>
    <w:uiPriority w:val="0"/>
    <w:rPr>
      <w:rFonts w:hAnsi="宋体"/>
      <w:kern w:val="2"/>
      <w:sz w:val="24"/>
      <w:lang w:bidi="ar-SA"/>
    </w:rPr>
  </w:style>
  <w:style w:type="character" w:customStyle="1" w:styleId="195">
    <w:name w:val="纯文本 字符"/>
    <w:qFormat/>
    <w:uiPriority w:val="0"/>
    <w:rPr>
      <w:rFonts w:ascii="宋体" w:hAnsi="Courier New" w:eastAsia="宋体" w:cs="Arial"/>
      <w:snapToGrid w:val="0"/>
      <w:kern w:val="2"/>
      <w:sz w:val="21"/>
      <w:szCs w:val="21"/>
      <w:lang w:val="en-US" w:eastAsia="zh-CN" w:bidi="ar-SA"/>
    </w:rPr>
  </w:style>
  <w:style w:type="character" w:customStyle="1" w:styleId="196">
    <w:name w:val="3级 Char"/>
    <w:link w:val="197"/>
    <w:qFormat/>
    <w:uiPriority w:val="0"/>
    <w:rPr>
      <w:rFonts w:ascii="宋体" w:hAnsi="宋体"/>
      <w:b/>
      <w:bCs/>
      <w:snapToGrid/>
      <w:sz w:val="28"/>
    </w:rPr>
  </w:style>
  <w:style w:type="paragraph" w:customStyle="1" w:styleId="197">
    <w:name w:val="3级"/>
    <w:basedOn w:val="198"/>
    <w:link w:val="196"/>
    <w:qFormat/>
    <w:uiPriority w:val="0"/>
    <w:pPr>
      <w:ind w:left="0" w:right="466" w:firstLine="288"/>
    </w:pPr>
    <w:rPr>
      <w:rFonts w:hAnsi="宋体"/>
      <w:snapToGrid/>
    </w:rPr>
  </w:style>
  <w:style w:type="paragraph" w:customStyle="1" w:styleId="198">
    <w:name w:val="样式 标题 3h33rd level3BOD 0H3l3CTHeading 3 - oldLevel 3 He..."/>
    <w:basedOn w:val="5"/>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199">
    <w:name w:val="myp11"/>
    <w:qFormat/>
    <w:uiPriority w:val="0"/>
    <w:rPr>
      <w:rFonts w:ascii="仿宋_GB2312" w:eastAsia="微软雅黑"/>
      <w:b/>
      <w:kern w:val="2"/>
      <w:sz w:val="32"/>
      <w:szCs w:val="32"/>
      <w:lang w:val="en-US" w:eastAsia="zh-CN" w:bidi="ar-SA"/>
    </w:rPr>
  </w:style>
  <w:style w:type="character" w:customStyle="1" w:styleId="200">
    <w:name w:val="文档结构图 Char1"/>
    <w:link w:val="19"/>
    <w:qFormat/>
    <w:uiPriority w:val="0"/>
    <w:rPr>
      <w:kern w:val="2"/>
      <w:sz w:val="21"/>
      <w:szCs w:val="24"/>
      <w:shd w:val="clear" w:color="auto" w:fill="000080"/>
    </w:rPr>
  </w:style>
  <w:style w:type="character" w:customStyle="1" w:styleId="201">
    <w:name w:val="H6 Char"/>
    <w:qFormat/>
    <w:uiPriority w:val="0"/>
    <w:rPr>
      <w:rFonts w:ascii="Arial" w:hAnsi="Arial" w:eastAsia="黑体"/>
      <w:b/>
      <w:bCs/>
      <w:kern w:val="2"/>
      <w:sz w:val="24"/>
      <w:szCs w:val="24"/>
    </w:rPr>
  </w:style>
  <w:style w:type="character" w:customStyle="1" w:styleId="202">
    <w:name w:val="Char Char91"/>
    <w:qFormat/>
    <w:uiPriority w:val="0"/>
    <w:rPr>
      <w:rFonts w:eastAsia="宋体"/>
      <w:kern w:val="2"/>
      <w:sz w:val="18"/>
      <w:szCs w:val="18"/>
      <w:lang w:val="en-US" w:eastAsia="zh-CN" w:bidi="ar-SA"/>
    </w:rPr>
  </w:style>
  <w:style w:type="character" w:customStyle="1" w:styleId="203">
    <w:name w:val="副标题 Char1"/>
    <w:qFormat/>
    <w:uiPriority w:val="0"/>
    <w:rPr>
      <w:rFonts w:ascii="Cambria" w:hAnsi="Cambria" w:eastAsia="宋体" w:cs="Times New Roman"/>
      <w:b/>
      <w:bCs/>
      <w:snapToGrid w:val="0"/>
      <w:kern w:val="28"/>
      <w:sz w:val="32"/>
      <w:szCs w:val="32"/>
    </w:rPr>
  </w:style>
  <w:style w:type="character" w:customStyle="1" w:styleId="204">
    <w:name w:val="font61"/>
    <w:qFormat/>
    <w:uiPriority w:val="0"/>
    <w:rPr>
      <w:rFonts w:hint="eastAsia" w:ascii="仿宋" w:hAnsi="仿宋" w:eastAsia="仿宋" w:cs="仿宋"/>
      <w:color w:val="000000"/>
      <w:sz w:val="20"/>
      <w:szCs w:val="20"/>
      <w:u w:val="none"/>
    </w:rPr>
  </w:style>
  <w:style w:type="character" w:customStyle="1" w:styleId="205">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6">
    <w:name w:val="Char Char211"/>
    <w:qFormat/>
    <w:uiPriority w:val="0"/>
    <w:rPr>
      <w:rFonts w:eastAsia="宋体"/>
      <w:b/>
      <w:bCs/>
      <w:kern w:val="2"/>
      <w:sz w:val="21"/>
      <w:szCs w:val="24"/>
      <w:lang w:val="en-US" w:eastAsia="zh-CN" w:bidi="ar-SA"/>
    </w:rPr>
  </w:style>
  <w:style w:type="character" w:customStyle="1" w:styleId="207">
    <w:name w:val="标题 2 Char"/>
    <w:qFormat/>
    <w:uiPriority w:val="0"/>
    <w:rPr>
      <w:rFonts w:ascii="Arial" w:hAnsi="Arial" w:eastAsia="黑体"/>
      <w:b/>
      <w:kern w:val="2"/>
      <w:sz w:val="32"/>
      <w:lang w:val="en-US" w:eastAsia="zh-CN"/>
    </w:rPr>
  </w:style>
  <w:style w:type="character" w:customStyle="1" w:styleId="208">
    <w:name w:val="maywed421"/>
    <w:qFormat/>
    <w:uiPriority w:val="0"/>
    <w:rPr>
      <w:color w:val="366FB6"/>
      <w:u w:val="none"/>
    </w:rPr>
  </w:style>
  <w:style w:type="character" w:customStyle="1" w:styleId="209">
    <w:name w:val="正文文本缩进 Char"/>
    <w:qFormat/>
    <w:uiPriority w:val="0"/>
    <w:rPr>
      <w:rFonts w:ascii="宋体" w:hAnsi="宋体"/>
      <w:kern w:val="2"/>
      <w:sz w:val="24"/>
      <w:szCs w:val="24"/>
    </w:rPr>
  </w:style>
  <w:style w:type="character" w:customStyle="1" w:styleId="210">
    <w:name w:val="Char Char102"/>
    <w:semiHidden/>
    <w:qFormat/>
    <w:uiPriority w:val="0"/>
    <w:rPr>
      <w:rFonts w:ascii="宋体" w:hAnsi="宋体"/>
      <w:kern w:val="2"/>
      <w:sz w:val="21"/>
      <w:szCs w:val="24"/>
      <w:lang w:val="en-US" w:eastAsia="zh-CN"/>
    </w:rPr>
  </w:style>
  <w:style w:type="character" w:customStyle="1" w:styleId="211">
    <w:name w:val="页眉 Char1"/>
    <w:qFormat/>
    <w:uiPriority w:val="0"/>
    <w:rPr>
      <w:rFonts w:eastAsia="宋体"/>
      <w:kern w:val="2"/>
      <w:sz w:val="18"/>
      <w:szCs w:val="18"/>
      <w:lang w:val="en-US" w:eastAsia="zh-CN" w:bidi="ar-SA"/>
    </w:rPr>
  </w:style>
  <w:style w:type="character" w:customStyle="1" w:styleId="212">
    <w:name w:val="md"/>
    <w:basedOn w:val="70"/>
    <w:qFormat/>
    <w:uiPriority w:val="0"/>
    <w:rPr>
      <w:rFonts w:ascii="Arial" w:hAnsi="Arial" w:eastAsia="黑体" w:cs="Arial"/>
      <w:snapToGrid w:val="0"/>
      <w:kern w:val="0"/>
      <w:szCs w:val="21"/>
    </w:rPr>
  </w:style>
  <w:style w:type="character" w:customStyle="1" w:styleId="213">
    <w:name w:val="big1"/>
    <w:qFormat/>
    <w:uiPriority w:val="0"/>
    <w:rPr>
      <w:rFonts w:hint="eastAsia" w:ascii="宋体" w:hAnsi="宋体" w:eastAsia="宋体"/>
      <w:color w:val="333333"/>
      <w:sz w:val="22"/>
      <w:szCs w:val="22"/>
    </w:rPr>
  </w:style>
  <w:style w:type="character" w:customStyle="1" w:styleId="214">
    <w:name w:val="Char Char311"/>
    <w:qFormat/>
    <w:uiPriority w:val="0"/>
    <w:rPr>
      <w:rFonts w:eastAsia="宋体"/>
      <w:kern w:val="2"/>
      <w:sz w:val="21"/>
      <w:szCs w:val="24"/>
      <w:lang w:val="en-US" w:eastAsia="zh-CN" w:bidi="ar-SA"/>
    </w:rPr>
  </w:style>
  <w:style w:type="character" w:customStyle="1" w:styleId="215">
    <w:name w:val="Char Char81"/>
    <w:qFormat/>
    <w:uiPriority w:val="6"/>
    <w:rPr>
      <w:rFonts w:eastAsia="宋体"/>
      <w:b/>
      <w:sz w:val="24"/>
      <w:lang w:val="en-GB" w:eastAsia="zh-CN"/>
    </w:rPr>
  </w:style>
  <w:style w:type="character" w:customStyle="1" w:styleId="216">
    <w:name w:val="样式3 Char"/>
    <w:basedOn w:val="167"/>
    <w:qFormat/>
    <w:uiPriority w:val="0"/>
    <w:rPr>
      <w:rFonts w:ascii="仿宋_GB2312" w:hAnsi="仿宋" w:eastAsia="仿宋_GB2312" w:cs="仿宋_GB2312"/>
      <w:sz w:val="32"/>
      <w:szCs w:val="30"/>
      <w:lang w:val="zh-CN"/>
    </w:rPr>
  </w:style>
  <w:style w:type="character" w:customStyle="1" w:styleId="217">
    <w:name w:val="HTML 地址 Char"/>
    <w:link w:val="31"/>
    <w:qFormat/>
    <w:uiPriority w:val="0"/>
    <w:rPr>
      <w:rFonts w:ascii="宋体" w:hAnsi="宋体"/>
      <w:i/>
      <w:iCs/>
      <w:sz w:val="24"/>
      <w:szCs w:val="24"/>
    </w:rPr>
  </w:style>
  <w:style w:type="character" w:customStyle="1" w:styleId="218">
    <w:name w:val="正文首行缩进 2 Char1"/>
    <w:qFormat/>
    <w:uiPriority w:val="0"/>
    <w:rPr>
      <w:rFonts w:ascii="Times New Roman" w:hAnsi="Times New Roman" w:eastAsia="宋体" w:cs="Times New Roman"/>
      <w:kern w:val="2"/>
      <w:sz w:val="24"/>
      <w:szCs w:val="24"/>
    </w:rPr>
  </w:style>
  <w:style w:type="character" w:customStyle="1" w:styleId="219">
    <w:name w:val="副标题 Char2"/>
    <w:qFormat/>
    <w:uiPriority w:val="0"/>
    <w:rPr>
      <w:rFonts w:ascii="Cambria" w:hAnsi="Cambria" w:eastAsia="宋体" w:cs="Times New Roman"/>
      <w:b/>
      <w:bCs/>
      <w:snapToGrid w:val="0"/>
      <w:kern w:val="28"/>
      <w:sz w:val="32"/>
      <w:szCs w:val="32"/>
    </w:rPr>
  </w:style>
  <w:style w:type="character" w:customStyle="1" w:styleId="220">
    <w:name w:val="标题4-dyf Char"/>
    <w:link w:val="221"/>
    <w:qFormat/>
    <w:uiPriority w:val="0"/>
    <w:rPr>
      <w:rFonts w:ascii="Cambria" w:hAnsi="Cambria"/>
      <w:b/>
      <w:bCs/>
      <w:color w:val="000000"/>
      <w:kern w:val="2"/>
      <w:sz w:val="21"/>
      <w:szCs w:val="21"/>
    </w:rPr>
  </w:style>
  <w:style w:type="paragraph" w:customStyle="1" w:styleId="221">
    <w:name w:val="标题4-dyf"/>
    <w:basedOn w:val="6"/>
    <w:link w:val="220"/>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2">
    <w:name w:val="dectext1"/>
    <w:qFormat/>
    <w:uiPriority w:val="0"/>
    <w:rPr>
      <w:rFonts w:ascii="宋体" w:hAnsi="宋体" w:eastAsia="宋体"/>
      <w:color w:val="333333"/>
      <w:sz w:val="21"/>
      <w:szCs w:val="21"/>
      <w:u w:val="none"/>
    </w:rPr>
  </w:style>
  <w:style w:type="character" w:customStyle="1" w:styleId="223">
    <w:name w:val="冯 Char"/>
    <w:link w:val="224"/>
    <w:qFormat/>
    <w:uiPriority w:val="0"/>
    <w:rPr>
      <w:rFonts w:ascii="宋体" w:hAnsi="宋体"/>
      <w:color w:val="000000"/>
      <w:sz w:val="24"/>
      <w:szCs w:val="24"/>
    </w:rPr>
  </w:style>
  <w:style w:type="paragraph" w:customStyle="1" w:styleId="224">
    <w:name w:val="冯"/>
    <w:basedOn w:val="1"/>
    <w:link w:val="223"/>
    <w:qFormat/>
    <w:uiPriority w:val="0"/>
    <w:pPr>
      <w:widowControl/>
      <w:adjustRightInd/>
      <w:spacing w:line="360" w:lineRule="auto"/>
      <w:ind w:firstLine="480" w:firstLineChars="200"/>
    </w:pPr>
    <w:rPr>
      <w:rFonts w:ascii="宋体" w:hAnsi="宋体"/>
      <w:color w:val="000000"/>
      <w:kern w:val="0"/>
      <w:sz w:val="24"/>
    </w:rPr>
  </w:style>
  <w:style w:type="character" w:customStyle="1" w:styleId="225">
    <w:name w:val="Header Char"/>
    <w:qFormat/>
    <w:locked/>
    <w:uiPriority w:val="0"/>
    <w:rPr>
      <w:rFonts w:eastAsia="宋体"/>
      <w:kern w:val="2"/>
      <w:sz w:val="18"/>
      <w:szCs w:val="18"/>
      <w:lang w:val="en-US" w:eastAsia="zh-CN" w:bidi="ar-SA"/>
    </w:rPr>
  </w:style>
  <w:style w:type="character" w:customStyle="1" w:styleId="226">
    <w:name w:val="Char Char12"/>
    <w:qFormat/>
    <w:uiPriority w:val="0"/>
    <w:rPr>
      <w:rFonts w:ascii="仿宋_GB2312" w:eastAsia="仿宋_GB2312"/>
      <w:b/>
      <w:bCs/>
      <w:kern w:val="2"/>
      <w:sz w:val="24"/>
      <w:szCs w:val="24"/>
      <w:lang w:val="zh-CN" w:eastAsia="zh-CN" w:bidi="ar-SA"/>
    </w:rPr>
  </w:style>
  <w:style w:type="character" w:customStyle="1" w:styleId="227">
    <w:name w:val="题注 Char"/>
    <w:link w:val="17"/>
    <w:qFormat/>
    <w:uiPriority w:val="0"/>
    <w:rPr>
      <w:b/>
      <w:kern w:val="2"/>
      <w:sz w:val="28"/>
    </w:rPr>
  </w:style>
  <w:style w:type="character" w:customStyle="1" w:styleId="228">
    <w:name w:val="普通文字 Char3"/>
    <w:qFormat/>
    <w:uiPriority w:val="0"/>
    <w:rPr>
      <w:rFonts w:ascii="宋体" w:hAnsi="Courier New" w:eastAsia="宋体"/>
      <w:kern w:val="2"/>
      <w:sz w:val="21"/>
      <w:lang w:val="en-US" w:eastAsia="zh-CN" w:bidi="ar-SA"/>
    </w:rPr>
  </w:style>
  <w:style w:type="character" w:customStyle="1" w:styleId="229">
    <w:name w:val="公文正文 Char"/>
    <w:qFormat/>
    <w:uiPriority w:val="0"/>
    <w:rPr>
      <w:rFonts w:ascii="仿宋_GB2312" w:eastAsia="仿宋_GB2312"/>
      <w:kern w:val="2"/>
      <w:sz w:val="24"/>
      <w:szCs w:val="24"/>
      <w:lang w:val="en-US" w:eastAsia="zh-CN" w:bidi="ar-SA"/>
    </w:rPr>
  </w:style>
  <w:style w:type="character" w:customStyle="1" w:styleId="230">
    <w:name w:val="正文首行缩进 Char Char Char Char Char"/>
    <w:qFormat/>
    <w:uiPriority w:val="0"/>
    <w:rPr>
      <w:rFonts w:ascii="宋体"/>
      <w:kern w:val="2"/>
      <w:sz w:val="24"/>
      <w:lang w:val="zh-CN"/>
    </w:rPr>
  </w:style>
  <w:style w:type="character" w:customStyle="1" w:styleId="231">
    <w:name w:val="PI Char"/>
    <w:qFormat/>
    <w:uiPriority w:val="0"/>
    <w:rPr>
      <w:rFonts w:ascii="宋体" w:hAnsi="宋体" w:eastAsia="宋体"/>
      <w:kern w:val="2"/>
      <w:sz w:val="24"/>
      <w:szCs w:val="24"/>
      <w:lang w:val="en-US" w:eastAsia="zh-CN" w:bidi="ar-SA"/>
    </w:rPr>
  </w:style>
  <w:style w:type="character" w:customStyle="1" w:styleId="232">
    <w:name w:val="Default Char"/>
    <w:link w:val="233"/>
    <w:qFormat/>
    <w:uiPriority w:val="0"/>
    <w:rPr>
      <w:rFonts w:ascii="仿宋_GB2312" w:eastAsia="仿宋_GB2312" w:cs="仿宋_GB2312"/>
      <w:color w:val="000000"/>
      <w:sz w:val="24"/>
      <w:szCs w:val="24"/>
      <w:lang w:val="en-US" w:eastAsia="zh-CN" w:bidi="ar-SA"/>
    </w:rPr>
  </w:style>
  <w:style w:type="paragraph" w:customStyle="1" w:styleId="233">
    <w:name w:val="Default"/>
    <w:link w:val="23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4">
    <w:name w:val="style91"/>
    <w:qFormat/>
    <w:uiPriority w:val="0"/>
    <w:rPr>
      <w:color w:val="333333"/>
    </w:rPr>
  </w:style>
  <w:style w:type="character" w:customStyle="1" w:styleId="235">
    <w:name w:val="列出段落 Char2"/>
    <w:qFormat/>
    <w:uiPriority w:val="34"/>
    <w:rPr>
      <w:rFonts w:ascii="Calibri" w:hAnsi="Calibri"/>
      <w:kern w:val="2"/>
      <w:sz w:val="28"/>
    </w:rPr>
  </w:style>
  <w:style w:type="character" w:customStyle="1" w:styleId="236">
    <w:name w:val="mdeck"/>
    <w:qFormat/>
    <w:uiPriority w:val="0"/>
    <w:rPr>
      <w:rFonts w:ascii="仿宋_GB2312" w:eastAsia="微软雅黑"/>
      <w:b/>
      <w:kern w:val="2"/>
      <w:sz w:val="32"/>
      <w:szCs w:val="32"/>
      <w:lang w:val="en-US" w:eastAsia="zh-CN" w:bidi="ar-SA"/>
    </w:rPr>
  </w:style>
  <w:style w:type="character" w:customStyle="1" w:styleId="237">
    <w:name w:val="unnamed11"/>
    <w:qFormat/>
    <w:uiPriority w:val="0"/>
    <w:rPr>
      <w:sz w:val="20"/>
      <w:szCs w:val="20"/>
    </w:rPr>
  </w:style>
  <w:style w:type="character" w:customStyle="1" w:styleId="238">
    <w:name w:val="正文文本 Char2"/>
    <w:semiHidden/>
    <w:qFormat/>
    <w:uiPriority w:val="99"/>
    <w:rPr>
      <w:rFonts w:ascii="Times New Roman" w:hAnsi="Times New Roman" w:eastAsia="宋体" w:cs="Times New Roman"/>
      <w:snapToGrid w:val="0"/>
      <w:kern w:val="0"/>
      <w:szCs w:val="24"/>
    </w:rPr>
  </w:style>
  <w:style w:type="character" w:customStyle="1" w:styleId="239">
    <w:name w:val="标书正文格式 Char"/>
    <w:qFormat/>
    <w:uiPriority w:val="0"/>
    <w:rPr>
      <w:rFonts w:eastAsia="楷体_GB2312"/>
      <w:kern w:val="2"/>
      <w:sz w:val="24"/>
      <w:szCs w:val="24"/>
      <w:lang w:bidi="ar-SA"/>
    </w:rPr>
  </w:style>
  <w:style w:type="character" w:customStyle="1" w:styleId="240">
    <w:name w:val="Char Char11"/>
    <w:qFormat/>
    <w:locked/>
    <w:uiPriority w:val="0"/>
    <w:rPr>
      <w:rFonts w:ascii="宋体" w:hAnsi="宋体" w:eastAsia="宋体"/>
      <w:b/>
      <w:kern w:val="2"/>
      <w:sz w:val="24"/>
      <w:szCs w:val="24"/>
      <w:lang w:val="en-US" w:eastAsia="zh-CN" w:bidi="ar-SA"/>
    </w:rPr>
  </w:style>
  <w:style w:type="character" w:customStyle="1" w:styleId="241">
    <w:name w:val="ca-131"/>
    <w:qFormat/>
    <w:uiPriority w:val="0"/>
    <w:rPr>
      <w:rFonts w:hint="eastAsia" w:ascii="仿宋_GB2312" w:eastAsia="仿宋_GB2312"/>
      <w:b/>
      <w:bCs/>
      <w:color w:val="000000"/>
      <w:spacing w:val="-20"/>
      <w:sz w:val="24"/>
      <w:szCs w:val="24"/>
    </w:rPr>
  </w:style>
  <w:style w:type="character" w:customStyle="1" w:styleId="242">
    <w:name w:val="tw4winMark"/>
    <w:qFormat/>
    <w:uiPriority w:val="0"/>
    <w:rPr>
      <w:rFonts w:ascii="Courier New" w:hAnsi="Courier New" w:cs="Courier New"/>
      <w:vanish/>
      <w:color w:val="800080"/>
      <w:sz w:val="24"/>
      <w:szCs w:val="24"/>
      <w:vertAlign w:val="subscript"/>
    </w:rPr>
  </w:style>
  <w:style w:type="character" w:customStyle="1" w:styleId="243">
    <w:name w:val="正文样式 Char"/>
    <w:link w:val="244"/>
    <w:qFormat/>
    <w:uiPriority w:val="0"/>
    <w:rPr>
      <w:rFonts w:ascii="Calibri" w:hAnsi="Calibri"/>
      <w:sz w:val="24"/>
      <w:szCs w:val="24"/>
    </w:rPr>
  </w:style>
  <w:style w:type="paragraph" w:customStyle="1" w:styleId="244">
    <w:name w:val="正文样式"/>
    <w:basedOn w:val="1"/>
    <w:link w:val="243"/>
    <w:qFormat/>
    <w:uiPriority w:val="0"/>
    <w:pPr>
      <w:adjustRightInd/>
      <w:spacing w:line="360" w:lineRule="auto"/>
      <w:ind w:firstLine="480" w:firstLineChars="200"/>
    </w:pPr>
    <w:rPr>
      <w:kern w:val="0"/>
      <w:sz w:val="24"/>
    </w:rPr>
  </w:style>
  <w:style w:type="character" w:customStyle="1" w:styleId="245">
    <w:name w:val="表正文 Char3"/>
    <w:qFormat/>
    <w:uiPriority w:val="0"/>
    <w:rPr>
      <w:rFonts w:eastAsia="宋体"/>
    </w:rPr>
  </w:style>
  <w:style w:type="character" w:customStyle="1" w:styleId="246">
    <w:name w:val="H5 Char"/>
    <w:qFormat/>
    <w:uiPriority w:val="0"/>
    <w:rPr>
      <w:b/>
      <w:bCs/>
      <w:kern w:val="2"/>
      <w:sz w:val="28"/>
      <w:szCs w:val="28"/>
    </w:rPr>
  </w:style>
  <w:style w:type="character" w:customStyle="1" w:styleId="247">
    <w:name w:val="Char Char3"/>
    <w:qFormat/>
    <w:uiPriority w:val="0"/>
    <w:rPr>
      <w:rFonts w:eastAsia="宋体"/>
      <w:kern w:val="2"/>
      <w:sz w:val="21"/>
      <w:szCs w:val="24"/>
      <w:lang w:val="en-US" w:eastAsia="zh-CN" w:bidi="ar-SA"/>
    </w:rPr>
  </w:style>
  <w:style w:type="character" w:customStyle="1" w:styleId="248">
    <w:name w:val="正文 编号 Char"/>
    <w:qFormat/>
    <w:uiPriority w:val="0"/>
    <w:rPr>
      <w:rFonts w:ascii="仿宋_GB2312" w:hAnsi="仿宋_GB2312" w:eastAsia="仿宋_GB2312"/>
      <w:kern w:val="2"/>
      <w:sz w:val="24"/>
      <w:lang w:bidi="ar-SA"/>
    </w:rPr>
  </w:style>
  <w:style w:type="character" w:customStyle="1" w:styleId="249">
    <w:name w:val="question-title2"/>
    <w:qFormat/>
    <w:uiPriority w:val="6"/>
    <w:rPr>
      <w:rFonts w:ascii="Arial" w:hAnsi="Arial" w:eastAsia="黑体" w:cs="Arial"/>
      <w:snapToGrid w:val="0"/>
      <w:kern w:val="0"/>
      <w:szCs w:val="21"/>
    </w:rPr>
  </w:style>
  <w:style w:type="character" w:customStyle="1" w:styleId="250">
    <w:name w:val="gf正文1 Char Char"/>
    <w:link w:val="251"/>
    <w:qFormat/>
    <w:uiPriority w:val="0"/>
    <w:rPr>
      <w:rFonts w:ascii="宋体" w:hAnsi="宋体" w:cs="宋体"/>
      <w:kern w:val="2"/>
      <w:sz w:val="24"/>
      <w:szCs w:val="24"/>
    </w:rPr>
  </w:style>
  <w:style w:type="paragraph" w:customStyle="1" w:styleId="251">
    <w:name w:val="gf正文1"/>
    <w:basedOn w:val="1"/>
    <w:link w:val="250"/>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2">
    <w:name w:val="Char Char15"/>
    <w:qFormat/>
    <w:uiPriority w:val="6"/>
    <w:rPr>
      <w:rFonts w:ascii="宋体" w:hAnsi="宋体"/>
      <w:kern w:val="1"/>
      <w:sz w:val="21"/>
    </w:rPr>
  </w:style>
  <w:style w:type="character" w:customStyle="1" w:styleId="253">
    <w:name w:val="正文缩进 Char3"/>
    <w:qFormat/>
    <w:uiPriority w:val="0"/>
    <w:rPr>
      <w:rFonts w:ascii="宋体" w:eastAsia="宋体"/>
      <w:snapToGrid w:val="0"/>
      <w:color w:val="000000"/>
      <w:kern w:val="28"/>
      <w:sz w:val="28"/>
      <w:lang w:val="en-US" w:eastAsia="zh-CN" w:bidi="ar-SA"/>
    </w:rPr>
  </w:style>
  <w:style w:type="character" w:customStyle="1" w:styleId="254">
    <w:name w:val="列出段落 Char1"/>
    <w:link w:val="255"/>
    <w:qFormat/>
    <w:uiPriority w:val="0"/>
    <w:rPr>
      <w:rFonts w:ascii="Calibri" w:hAnsi="Calibri"/>
      <w:sz w:val="24"/>
      <w:lang w:eastAsia="en-US"/>
    </w:rPr>
  </w:style>
  <w:style w:type="paragraph" w:customStyle="1" w:styleId="255">
    <w:name w:val="列表1"/>
    <w:basedOn w:val="1"/>
    <w:next w:val="256"/>
    <w:link w:val="254"/>
    <w:qFormat/>
    <w:uiPriority w:val="0"/>
    <w:pPr>
      <w:widowControl/>
      <w:adjustRightInd/>
      <w:spacing w:after="200" w:line="360" w:lineRule="auto"/>
      <w:ind w:left="720" w:firstLine="200" w:firstLineChars="200"/>
      <w:jc w:val="left"/>
    </w:pPr>
    <w:rPr>
      <w:kern w:val="0"/>
      <w:sz w:val="24"/>
      <w:szCs w:val="20"/>
      <w:lang w:eastAsia="en-US"/>
    </w:rPr>
  </w:style>
  <w:style w:type="paragraph" w:styleId="256">
    <w:name w:val="List Paragraph"/>
    <w:basedOn w:val="1"/>
    <w:qFormat/>
    <w:uiPriority w:val="34"/>
    <w:pPr>
      <w:spacing w:line="360" w:lineRule="auto"/>
      <w:ind w:firstLine="200" w:firstLineChars="200"/>
    </w:pPr>
    <w:rPr>
      <w:rFonts w:eastAsia="楷体_GB2312" w:cs="Lucida Sans"/>
      <w:sz w:val="24"/>
    </w:rPr>
  </w:style>
  <w:style w:type="character" w:customStyle="1" w:styleId="257">
    <w:name w:val="Char Char8"/>
    <w:qFormat/>
    <w:uiPriority w:val="0"/>
    <w:rPr>
      <w:rFonts w:eastAsia="宋体"/>
      <w:b/>
      <w:sz w:val="24"/>
      <w:lang w:val="en-GB" w:eastAsia="zh-CN"/>
    </w:rPr>
  </w:style>
  <w:style w:type="character" w:customStyle="1" w:styleId="258">
    <w:name w:val="Normal Indent Char Char"/>
    <w:qFormat/>
    <w:uiPriority w:val="0"/>
    <w:rPr>
      <w:rFonts w:eastAsia="宋体"/>
      <w:kern w:val="2"/>
      <w:sz w:val="21"/>
      <w:lang w:val="en-US" w:eastAsia="zh-CN" w:bidi="ar-SA"/>
    </w:rPr>
  </w:style>
  <w:style w:type="character" w:customStyle="1" w:styleId="259">
    <w:name w:val="列表段落 字符"/>
    <w:qFormat/>
    <w:uiPriority w:val="99"/>
  </w:style>
  <w:style w:type="character" w:customStyle="1" w:styleId="260">
    <w:name w:val="Ò³Ã¼ Char Char1"/>
    <w:qFormat/>
    <w:uiPriority w:val="0"/>
    <w:rPr>
      <w:rFonts w:eastAsia="宋体"/>
      <w:kern w:val="2"/>
      <w:sz w:val="18"/>
      <w:szCs w:val="18"/>
      <w:lang w:val="en-US" w:eastAsia="zh-CN" w:bidi="ar-SA"/>
    </w:rPr>
  </w:style>
  <w:style w:type="character" w:customStyle="1" w:styleId="261">
    <w:name w:val="方案正文 Char"/>
    <w:qFormat/>
    <w:uiPriority w:val="0"/>
    <w:rPr>
      <w:rFonts w:ascii="仿宋_GB2312" w:eastAsia="仿宋_GB2312"/>
      <w:b/>
      <w:color w:val="000000"/>
      <w:kern w:val="2"/>
      <w:sz w:val="24"/>
      <w:lang w:val="en-US" w:eastAsia="zh-CN" w:bidi="ar-SA"/>
    </w:rPr>
  </w:style>
  <w:style w:type="character" w:customStyle="1" w:styleId="262">
    <w:name w:val="Char Char30"/>
    <w:qFormat/>
    <w:uiPriority w:val="6"/>
    <w:rPr>
      <w:rFonts w:ascii="Arial" w:hAnsi="Arial" w:eastAsia="黑体"/>
      <w:kern w:val="1"/>
      <w:sz w:val="21"/>
      <w:szCs w:val="21"/>
    </w:rPr>
  </w:style>
  <w:style w:type="character" w:customStyle="1" w:styleId="263">
    <w:name w:val="正文文本缩进 Char3"/>
    <w:link w:val="26"/>
    <w:qFormat/>
    <w:uiPriority w:val="0"/>
    <w:rPr>
      <w:rFonts w:ascii="宋体" w:hAnsi="宋体"/>
      <w:kern w:val="2"/>
      <w:sz w:val="24"/>
      <w:szCs w:val="24"/>
    </w:rPr>
  </w:style>
  <w:style w:type="character" w:customStyle="1" w:styleId="264">
    <w:name w:val="font01"/>
    <w:qFormat/>
    <w:uiPriority w:val="0"/>
    <w:rPr>
      <w:rFonts w:hint="eastAsia" w:ascii="微软雅黑" w:hAnsi="微软雅黑" w:eastAsia="微软雅黑" w:cs="微软雅黑"/>
      <w:color w:val="000000"/>
      <w:sz w:val="20"/>
      <w:szCs w:val="20"/>
      <w:u w:val="none"/>
    </w:rPr>
  </w:style>
  <w:style w:type="character" w:customStyle="1" w:styleId="265">
    <w:name w:val="Char Char20"/>
    <w:qFormat/>
    <w:uiPriority w:val="6"/>
    <w:rPr>
      <w:kern w:val="1"/>
      <w:sz w:val="24"/>
    </w:rPr>
  </w:style>
  <w:style w:type="character" w:customStyle="1" w:styleId="266">
    <w:name w:val="tw4winExternal"/>
    <w:qFormat/>
    <w:uiPriority w:val="0"/>
    <w:rPr>
      <w:rFonts w:ascii="Courier New" w:hAnsi="Courier New" w:cs="Courier New"/>
      <w:color w:val="808080"/>
      <w:lang w:val="en-US" w:eastAsia="zh-CN"/>
    </w:rPr>
  </w:style>
  <w:style w:type="character" w:customStyle="1" w:styleId="267">
    <w:name w:val="标题 4 Char1"/>
    <w:qFormat/>
    <w:uiPriority w:val="9"/>
    <w:rPr>
      <w:rFonts w:ascii="Cambria" w:hAnsi="Cambria" w:eastAsia="宋体" w:cs="Times New Roman"/>
      <w:b/>
      <w:bCs/>
      <w:kern w:val="2"/>
      <w:sz w:val="28"/>
      <w:szCs w:val="28"/>
    </w:rPr>
  </w:style>
  <w:style w:type="character" w:customStyle="1" w:styleId="268">
    <w:name w:val="批注文字 Char2"/>
    <w:qFormat/>
    <w:uiPriority w:val="99"/>
    <w:rPr>
      <w:rFonts w:ascii="Times New Roman" w:hAnsi="Times New Roman" w:eastAsia="宋体" w:cs="Times New Roman"/>
      <w:snapToGrid w:val="0"/>
      <w:kern w:val="0"/>
      <w:szCs w:val="24"/>
    </w:rPr>
  </w:style>
  <w:style w:type="character" w:customStyle="1" w:styleId="269">
    <w:name w:val="正文文本 2 Char"/>
    <w:qFormat/>
    <w:uiPriority w:val="0"/>
    <w:rPr>
      <w:rFonts w:eastAsia="宋体"/>
      <w:kern w:val="2"/>
      <w:sz w:val="21"/>
      <w:szCs w:val="24"/>
      <w:lang w:val="en-US" w:eastAsia="zh-CN" w:bidi="ar-SA"/>
    </w:rPr>
  </w:style>
  <w:style w:type="character" w:customStyle="1" w:styleId="270">
    <w:name w:val="Ò³Ã¼ Char Char"/>
    <w:qFormat/>
    <w:uiPriority w:val="0"/>
    <w:rPr>
      <w:rFonts w:eastAsia="宋体"/>
      <w:kern w:val="2"/>
      <w:sz w:val="18"/>
      <w:lang w:val="en-US" w:eastAsia="zh-CN" w:bidi="ar-SA"/>
    </w:rPr>
  </w:style>
  <w:style w:type="character" w:customStyle="1" w:styleId="271">
    <w:name w:val="message1"/>
    <w:qFormat/>
    <w:uiPriority w:val="0"/>
    <w:rPr>
      <w:rFonts w:hint="default" w:ascii="Tahoma" w:hAnsi="Tahoma" w:cs="Tahoma"/>
      <w:sz w:val="18"/>
      <w:szCs w:val="18"/>
    </w:rPr>
  </w:style>
  <w:style w:type="character" w:customStyle="1" w:styleId="272">
    <w:name w:val="Char Char23"/>
    <w:qFormat/>
    <w:uiPriority w:val="6"/>
    <w:rPr>
      <w:color w:val="0000FF"/>
      <w:sz w:val="21"/>
    </w:rPr>
  </w:style>
  <w:style w:type="character" w:customStyle="1" w:styleId="273">
    <w:name w:val="批注框文本 字符"/>
    <w:qFormat/>
    <w:uiPriority w:val="0"/>
    <w:rPr>
      <w:rFonts w:ascii="Arial" w:hAnsi="Arial" w:eastAsia="黑体" w:cs="Arial"/>
      <w:snapToGrid w:val="0"/>
      <w:kern w:val="0"/>
      <w:sz w:val="18"/>
      <w:szCs w:val="18"/>
    </w:rPr>
  </w:style>
  <w:style w:type="character" w:customStyle="1" w:styleId="274">
    <w:name w:val="纯文本 Char2"/>
    <w:semiHidden/>
    <w:qFormat/>
    <w:uiPriority w:val="99"/>
    <w:rPr>
      <w:rFonts w:ascii="宋体" w:hAnsi="Courier New" w:eastAsia="宋体" w:cs="Courier New"/>
    </w:rPr>
  </w:style>
  <w:style w:type="character" w:customStyle="1" w:styleId="275">
    <w:name w:val="Char Char25"/>
    <w:qFormat/>
    <w:uiPriority w:val="6"/>
    <w:rPr>
      <w:rFonts w:ascii="宋体" w:hAnsi="宋体"/>
      <w:kern w:val="1"/>
      <w:sz w:val="24"/>
      <w:lang w:val="zh-CN"/>
    </w:rPr>
  </w:style>
  <w:style w:type="character" w:customStyle="1" w:styleId="276">
    <w:name w:val="Char Char411"/>
    <w:qFormat/>
    <w:uiPriority w:val="0"/>
    <w:rPr>
      <w:rFonts w:eastAsia="宋体"/>
      <w:b/>
      <w:sz w:val="24"/>
      <w:lang w:val="en-GB" w:eastAsia="zh-CN" w:bidi="ar-SA"/>
    </w:rPr>
  </w:style>
  <w:style w:type="character" w:customStyle="1" w:styleId="277">
    <w:name w:val="Heading 7 Char"/>
    <w:qFormat/>
    <w:locked/>
    <w:uiPriority w:val="0"/>
    <w:rPr>
      <w:rFonts w:ascii="宋体" w:hAnsi="宋体" w:eastAsia="宋体"/>
      <w:b/>
      <w:bCs/>
      <w:kern w:val="2"/>
      <w:sz w:val="24"/>
      <w:szCs w:val="24"/>
      <w:lang w:val="en-US" w:eastAsia="zh-CN" w:bidi="ar-SA"/>
    </w:rPr>
  </w:style>
  <w:style w:type="character" w:customStyle="1" w:styleId="278">
    <w:name w:val="此正文 Char"/>
    <w:link w:val="279"/>
    <w:qFormat/>
    <w:uiPriority w:val="0"/>
    <w:rPr>
      <w:kern w:val="2"/>
      <w:sz w:val="24"/>
      <w:szCs w:val="24"/>
    </w:rPr>
  </w:style>
  <w:style w:type="paragraph" w:customStyle="1" w:styleId="279">
    <w:name w:val="此正文"/>
    <w:basedOn w:val="1"/>
    <w:link w:val="278"/>
    <w:qFormat/>
    <w:uiPriority w:val="0"/>
    <w:pPr>
      <w:adjustRightInd/>
      <w:spacing w:line="360" w:lineRule="auto"/>
      <w:ind w:firstLine="200" w:firstLineChars="200"/>
    </w:pPr>
    <w:rPr>
      <w:sz w:val="24"/>
    </w:rPr>
  </w:style>
  <w:style w:type="character" w:customStyle="1" w:styleId="280">
    <w:name w:val="Char Char2"/>
    <w:qFormat/>
    <w:uiPriority w:val="0"/>
    <w:rPr>
      <w:rFonts w:eastAsia="宋体"/>
      <w:b/>
      <w:bCs/>
      <w:kern w:val="2"/>
      <w:sz w:val="21"/>
      <w:szCs w:val="24"/>
      <w:lang w:val="en-US" w:eastAsia="zh-CN" w:bidi="ar-SA"/>
    </w:rPr>
  </w:style>
  <w:style w:type="character" w:customStyle="1" w:styleId="281">
    <w:name w:val="标题 1 Char"/>
    <w:link w:val="3"/>
    <w:qFormat/>
    <w:uiPriority w:val="9"/>
    <w:rPr>
      <w:b/>
      <w:bCs/>
      <w:kern w:val="44"/>
      <w:sz w:val="44"/>
      <w:szCs w:val="44"/>
    </w:rPr>
  </w:style>
  <w:style w:type="character" w:customStyle="1" w:styleId="282">
    <w:name w:val="Footer-Even Char1"/>
    <w:qFormat/>
    <w:uiPriority w:val="0"/>
    <w:rPr>
      <w:rFonts w:eastAsia="宋体"/>
      <w:kern w:val="2"/>
      <w:sz w:val="18"/>
      <w:szCs w:val="18"/>
      <w:lang w:val="en-US" w:eastAsia="zh-CN" w:bidi="ar-SA"/>
    </w:rPr>
  </w:style>
  <w:style w:type="character" w:customStyle="1" w:styleId="283">
    <w:name w:val="Char Char29"/>
    <w:qFormat/>
    <w:uiPriority w:val="6"/>
    <w:rPr>
      <w:rFonts w:ascii="Arial" w:hAnsi="Arial" w:eastAsia="微软雅黑"/>
      <w:b/>
      <w:kern w:val="1"/>
      <w:sz w:val="44"/>
      <w:szCs w:val="32"/>
      <w:lang w:val="en-US" w:eastAsia="zh-CN" w:bidi="ar-SA"/>
    </w:rPr>
  </w:style>
  <w:style w:type="character" w:customStyle="1" w:styleId="284">
    <w:name w:val="标题 Char2"/>
    <w:link w:val="60"/>
    <w:qFormat/>
    <w:uiPriority w:val="10"/>
    <w:rPr>
      <w:b/>
      <w:sz w:val="24"/>
      <w:lang w:val="en-GB"/>
    </w:rPr>
  </w:style>
  <w:style w:type="character" w:customStyle="1" w:styleId="285">
    <w:name w:val="font81"/>
    <w:qFormat/>
    <w:uiPriority w:val="0"/>
    <w:rPr>
      <w:rFonts w:ascii="微软雅黑" w:hAnsi="微软雅黑" w:eastAsia="微软雅黑" w:cs="微软雅黑"/>
      <w:color w:val="000000"/>
      <w:sz w:val="20"/>
      <w:szCs w:val="20"/>
      <w:u w:val="none"/>
    </w:rPr>
  </w:style>
  <w:style w:type="character" w:customStyle="1" w:styleId="286">
    <w:name w:val="Char Char312"/>
    <w:qFormat/>
    <w:uiPriority w:val="0"/>
    <w:rPr>
      <w:rFonts w:ascii="Times New Roman" w:hAnsi="Times New Roman" w:eastAsia="宋体" w:cs="Times New Roman"/>
      <w:b/>
      <w:kern w:val="2"/>
      <w:sz w:val="32"/>
      <w:szCs w:val="24"/>
      <w:lang w:val="en-US" w:eastAsia="zh-CN" w:bidi="ar-SA"/>
    </w:rPr>
  </w:style>
  <w:style w:type="character" w:customStyle="1" w:styleId="287">
    <w:name w:val="t21"/>
    <w:qFormat/>
    <w:uiPriority w:val="0"/>
    <w:rPr>
      <w:rFonts w:ascii="仿宋_GB2312" w:eastAsia="微软雅黑"/>
      <w:b/>
      <w:kern w:val="2"/>
      <w:sz w:val="23"/>
      <w:szCs w:val="23"/>
      <w:lang w:val="en-US" w:eastAsia="zh-CN" w:bidi="ar-SA"/>
    </w:rPr>
  </w:style>
  <w:style w:type="character" w:customStyle="1" w:styleId="288">
    <w:name w:val="样式8 Char"/>
    <w:qFormat/>
    <w:uiPriority w:val="0"/>
    <w:rPr>
      <w:rFonts w:ascii="仿宋_GB2312" w:hAnsi="宋体" w:eastAsia="仿宋_GB2312"/>
      <w:b/>
      <w:bCs/>
      <w:kern w:val="2"/>
      <w:sz w:val="24"/>
      <w:szCs w:val="24"/>
    </w:rPr>
  </w:style>
  <w:style w:type="character" w:customStyle="1" w:styleId="289">
    <w:name w:val="表格 Char Char"/>
    <w:qFormat/>
    <w:uiPriority w:val="0"/>
    <w:rPr>
      <w:rFonts w:ascii="宋体" w:hAnsi="宋体" w:eastAsia="宋体"/>
      <w:lang w:bidi="ar-SA"/>
    </w:rPr>
  </w:style>
  <w:style w:type="character" w:customStyle="1" w:styleId="290">
    <w:name w:val="正文文本 字符1"/>
    <w:qFormat/>
    <w:uiPriority w:val="0"/>
    <w:rPr>
      <w:rFonts w:ascii="Calibri" w:hAnsi="Calibri" w:eastAsia="黑体" w:cs="Arial"/>
      <w:snapToGrid w:val="0"/>
      <w:kern w:val="2"/>
      <w:sz w:val="28"/>
      <w:szCs w:val="21"/>
    </w:rPr>
  </w:style>
  <w:style w:type="character" w:customStyle="1" w:styleId="291">
    <w:name w:val="标题 5 Char"/>
    <w:link w:val="7"/>
    <w:qFormat/>
    <w:uiPriority w:val="9"/>
    <w:rPr>
      <w:b/>
      <w:bCs/>
      <w:kern w:val="2"/>
      <w:sz w:val="28"/>
      <w:szCs w:val="28"/>
    </w:rPr>
  </w:style>
  <w:style w:type="character" w:customStyle="1" w:styleId="292">
    <w:name w:val="标题 6 Char1"/>
    <w:qFormat/>
    <w:uiPriority w:val="0"/>
    <w:rPr>
      <w:rFonts w:ascii="Arial" w:hAnsi="Arial" w:eastAsia="黑体" w:cs="Times New Roman"/>
      <w:b/>
      <w:sz w:val="24"/>
      <w:szCs w:val="20"/>
      <w:lang w:bidi="ar-SA"/>
    </w:rPr>
  </w:style>
  <w:style w:type="character" w:customStyle="1" w:styleId="293">
    <w:name w:val="带编号样式 Char"/>
    <w:qFormat/>
    <w:uiPriority w:val="0"/>
    <w:rPr>
      <w:rFonts w:ascii="仿宋_GB2312" w:eastAsia="仿宋_GB2312"/>
      <w:color w:val="000000"/>
      <w:sz w:val="24"/>
      <w:lang w:bidi="ar-SA"/>
    </w:rPr>
  </w:style>
  <w:style w:type="character" w:customStyle="1" w:styleId="294">
    <w:name w:val="unnamed31"/>
    <w:qFormat/>
    <w:uiPriority w:val="0"/>
    <w:rPr>
      <w:rFonts w:ascii="Tahoma" w:hAnsi="Tahoma" w:eastAsia="宋体"/>
      <w:b/>
      <w:kern w:val="2"/>
      <w:sz w:val="24"/>
      <w:szCs w:val="32"/>
      <w:u w:val="none"/>
      <w:lang w:val="en-US" w:eastAsia="zh-CN" w:bidi="ar-SA"/>
    </w:rPr>
  </w:style>
  <w:style w:type="character" w:customStyle="1" w:styleId="295">
    <w:name w:val="正文首行缩进 Char Char Char Char Char Char1"/>
    <w:qFormat/>
    <w:uiPriority w:val="0"/>
    <w:rPr>
      <w:rFonts w:ascii="宋体" w:eastAsia="宋体"/>
      <w:kern w:val="2"/>
      <w:sz w:val="24"/>
      <w:szCs w:val="24"/>
      <w:lang w:val="zh-CN" w:bidi="ar-SA"/>
    </w:rPr>
  </w:style>
  <w:style w:type="character" w:customStyle="1" w:styleId="296">
    <w:name w:val="称呼 Char"/>
    <w:link w:val="21"/>
    <w:qFormat/>
    <w:uiPriority w:val="0"/>
    <w:rPr>
      <w:rFonts w:ascii="仿宋_GB2312" w:eastAsia="仿宋_GB2312"/>
      <w:kern w:val="2"/>
      <w:sz w:val="28"/>
    </w:rPr>
  </w:style>
  <w:style w:type="character" w:customStyle="1" w:styleId="297">
    <w:name w:val="文本正文 Char Char"/>
    <w:qFormat/>
    <w:locked/>
    <w:uiPriority w:val="0"/>
    <w:rPr>
      <w:sz w:val="24"/>
      <w:lang w:bidi="ar-SA"/>
    </w:rPr>
  </w:style>
  <w:style w:type="character" w:customStyle="1" w:styleId="298">
    <w:name w:val="正文缩进 字符"/>
    <w:qFormat/>
    <w:uiPriority w:val="0"/>
    <w:rPr>
      <w:rFonts w:ascii="宋体" w:eastAsia="宋体"/>
      <w:snapToGrid w:val="0"/>
      <w:color w:val="000000"/>
      <w:kern w:val="28"/>
      <w:sz w:val="28"/>
      <w:lang w:val="en-US" w:eastAsia="zh-CN" w:bidi="ar-SA"/>
    </w:rPr>
  </w:style>
  <w:style w:type="character" w:customStyle="1" w:styleId="299">
    <w:name w:val="HTML 预设格式 Char"/>
    <w:link w:val="58"/>
    <w:qFormat/>
    <w:uiPriority w:val="0"/>
    <w:rPr>
      <w:rFonts w:ascii="黑体" w:hAnsi="Courier New" w:eastAsia="黑体"/>
    </w:rPr>
  </w:style>
  <w:style w:type="character" w:customStyle="1" w:styleId="300">
    <w:name w:val="正文文本 2 Char1"/>
    <w:link w:val="57"/>
    <w:qFormat/>
    <w:uiPriority w:val="0"/>
    <w:rPr>
      <w:kern w:val="2"/>
      <w:sz w:val="21"/>
      <w:szCs w:val="24"/>
    </w:rPr>
  </w:style>
  <w:style w:type="character" w:customStyle="1" w:styleId="301">
    <w:name w:val="样式 样式 标题 4h4H4Fab-4T5Ref Heading 1rh1Heading sqlsect 1.2.3.... +... Char"/>
    <w:link w:val="302"/>
    <w:qFormat/>
    <w:uiPriority w:val="0"/>
    <w:rPr>
      <w:rFonts w:ascii="微软雅黑" w:hAnsi="微软雅黑" w:eastAsia="微软雅黑"/>
      <w:b/>
      <w:bCs/>
      <w:kern w:val="2"/>
      <w:sz w:val="24"/>
      <w:szCs w:val="28"/>
    </w:rPr>
  </w:style>
  <w:style w:type="paragraph" w:customStyle="1" w:styleId="302">
    <w:name w:val="样式 样式 标题 4h4H4Fab-4T5Ref Heading 1rh1Heading sqlsect 1.2.3.... +..."/>
    <w:basedOn w:val="303"/>
    <w:link w:val="301"/>
    <w:qFormat/>
    <w:uiPriority w:val="0"/>
    <w:pPr>
      <w:tabs>
        <w:tab w:val="left" w:pos="2356"/>
      </w:tabs>
    </w:pPr>
  </w:style>
  <w:style w:type="paragraph" w:customStyle="1" w:styleId="303">
    <w:name w:val="样式 标题 4h4H4Fab-4T5Ref Heading 1rh1Heading sqlsect 1.2.3...."/>
    <w:basedOn w:val="6"/>
    <w:link w:val="411"/>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4">
    <w:name w:val="正文非缩进 Char"/>
    <w:qFormat/>
    <w:uiPriority w:val="0"/>
    <w:rPr>
      <w:rFonts w:ascii="宋体" w:eastAsia="宋体"/>
      <w:snapToGrid w:val="0"/>
      <w:color w:val="000000"/>
      <w:kern w:val="28"/>
      <w:sz w:val="28"/>
      <w:lang w:val="en-US" w:eastAsia="zh-CN" w:bidi="ar-SA"/>
    </w:rPr>
  </w:style>
  <w:style w:type="character" w:customStyle="1" w:styleId="305">
    <w:name w:val="标题 7 Char"/>
    <w:link w:val="9"/>
    <w:qFormat/>
    <w:uiPriority w:val="0"/>
    <w:rPr>
      <w:b/>
      <w:bCs/>
      <w:kern w:val="2"/>
      <w:sz w:val="24"/>
      <w:szCs w:val="24"/>
    </w:rPr>
  </w:style>
  <w:style w:type="character" w:customStyle="1" w:styleId="306">
    <w:name w:val="正文文本缩进 2 Char"/>
    <w:link w:val="38"/>
    <w:qFormat/>
    <w:uiPriority w:val="0"/>
    <w:rPr>
      <w:rFonts w:ascii="宋体"/>
      <w:sz w:val="28"/>
    </w:rPr>
  </w:style>
  <w:style w:type="character" w:customStyle="1" w:styleId="307">
    <w:name w:val="Char Char5"/>
    <w:qFormat/>
    <w:uiPriority w:val="0"/>
    <w:rPr>
      <w:rFonts w:ascii="宋体" w:hAnsi="Courier New" w:eastAsia="宋体"/>
      <w:kern w:val="2"/>
      <w:sz w:val="21"/>
      <w:lang w:val="en-US" w:eastAsia="zh-CN"/>
    </w:rPr>
  </w:style>
  <w:style w:type="character" w:customStyle="1" w:styleId="308">
    <w:name w:val="脚注文本 Char"/>
    <w:link w:val="51"/>
    <w:qFormat/>
    <w:uiPriority w:val="0"/>
    <w:rPr>
      <w:color w:val="0000FF"/>
      <w:sz w:val="21"/>
    </w:rPr>
  </w:style>
  <w:style w:type="character" w:customStyle="1" w:styleId="309">
    <w:name w:val="称呼 Char1"/>
    <w:qFormat/>
    <w:uiPriority w:val="0"/>
    <w:rPr>
      <w:rFonts w:ascii="Times New Roman" w:hAnsi="Times New Roman" w:eastAsia="宋体" w:cs="Times New Roman"/>
      <w:szCs w:val="24"/>
    </w:rPr>
  </w:style>
  <w:style w:type="character" w:customStyle="1" w:styleId="310">
    <w:name w:val="正文1 Char"/>
    <w:qFormat/>
    <w:uiPriority w:val="0"/>
    <w:rPr>
      <w:rFonts w:ascii="宋体" w:eastAsia="宋体"/>
      <w:snapToGrid w:val="0"/>
      <w:color w:val="000000"/>
      <w:kern w:val="28"/>
      <w:sz w:val="28"/>
      <w:lang w:val="en-US" w:eastAsia="zh-CN" w:bidi="ar-SA"/>
    </w:rPr>
  </w:style>
  <w:style w:type="character" w:customStyle="1" w:styleId="311">
    <w:name w:val="正文缩进 Char1"/>
    <w:qFormat/>
    <w:uiPriority w:val="0"/>
    <w:rPr>
      <w:rFonts w:ascii="宋体" w:eastAsia="宋体"/>
      <w:snapToGrid w:val="0"/>
      <w:color w:val="000000"/>
      <w:kern w:val="28"/>
      <w:sz w:val="28"/>
      <w:lang w:val="en-US" w:eastAsia="zh-CN" w:bidi="ar-SA"/>
    </w:rPr>
  </w:style>
  <w:style w:type="character" w:customStyle="1" w:styleId="312">
    <w:name w:val="font21"/>
    <w:qFormat/>
    <w:uiPriority w:val="0"/>
    <w:rPr>
      <w:rFonts w:hint="eastAsia" w:ascii="宋体" w:hAnsi="宋体" w:eastAsia="宋体"/>
      <w:kern w:val="2"/>
      <w:sz w:val="28"/>
      <w:szCs w:val="28"/>
      <w:lang w:val="en-US" w:eastAsia="zh-CN" w:bidi="ar-SA"/>
    </w:rPr>
  </w:style>
  <w:style w:type="character" w:customStyle="1" w:styleId="313">
    <w:name w:val="Char Char26"/>
    <w:qFormat/>
    <w:uiPriority w:val="6"/>
    <w:rPr>
      <w:kern w:val="1"/>
      <w:sz w:val="21"/>
      <w:szCs w:val="24"/>
    </w:rPr>
  </w:style>
  <w:style w:type="character" w:customStyle="1" w:styleId="314">
    <w:name w:val="Item List Char"/>
    <w:link w:val="315"/>
    <w:qFormat/>
    <w:uiPriority w:val="0"/>
    <w:rPr>
      <w:rFonts w:ascii="Arial"/>
      <w:bCs/>
      <w:sz w:val="21"/>
      <w:szCs w:val="21"/>
      <w:lang w:val="en-US" w:eastAsia="zh-CN" w:bidi="ar-SA"/>
    </w:rPr>
  </w:style>
  <w:style w:type="paragraph" w:customStyle="1" w:styleId="315">
    <w:name w:val="Item List"/>
    <w:link w:val="314"/>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6">
    <w:name w:val="批注框文本 Char1"/>
    <w:qFormat/>
    <w:uiPriority w:val="0"/>
    <w:rPr>
      <w:rFonts w:ascii="Times New Roman" w:hAnsi="Times New Roman" w:eastAsia="宋体" w:cs="Times New Roman"/>
      <w:sz w:val="18"/>
      <w:szCs w:val="18"/>
    </w:rPr>
  </w:style>
  <w:style w:type="character" w:customStyle="1" w:styleId="317">
    <w:name w:val="纯文本 Char1"/>
    <w:link w:val="318"/>
    <w:qFormat/>
    <w:uiPriority w:val="0"/>
    <w:rPr>
      <w:rFonts w:ascii="宋体" w:hAnsi="Courier New"/>
    </w:rPr>
  </w:style>
  <w:style w:type="paragraph" w:customStyle="1" w:styleId="318">
    <w:name w:val="纯文本1"/>
    <w:basedOn w:val="1"/>
    <w:link w:val="317"/>
    <w:qFormat/>
    <w:uiPriority w:val="0"/>
    <w:pPr>
      <w:adjustRightInd/>
    </w:pPr>
    <w:rPr>
      <w:rFonts w:ascii="宋体" w:hAnsi="Courier New"/>
      <w:kern w:val="0"/>
      <w:sz w:val="20"/>
      <w:szCs w:val="20"/>
    </w:rPr>
  </w:style>
  <w:style w:type="character" w:customStyle="1" w:styleId="319">
    <w:name w:val="正文首行缩进 Char"/>
    <w:link w:val="62"/>
    <w:qFormat/>
    <w:uiPriority w:val="0"/>
    <w:rPr>
      <w:rFonts w:ascii="宋体"/>
      <w:kern w:val="2"/>
      <w:sz w:val="24"/>
      <w:lang w:val="zh-CN"/>
    </w:rPr>
  </w:style>
  <w:style w:type="character" w:customStyle="1" w:styleId="320">
    <w:name w:val="h3 Char"/>
    <w:qFormat/>
    <w:uiPriority w:val="0"/>
    <w:rPr>
      <w:rFonts w:eastAsia="宋体"/>
      <w:b/>
      <w:kern w:val="2"/>
      <w:sz w:val="32"/>
      <w:lang w:val="en-US" w:eastAsia="zh-CN" w:bidi="ar-SA"/>
    </w:rPr>
  </w:style>
  <w:style w:type="character" w:customStyle="1" w:styleId="321">
    <w:name w:val="dandyren_title1"/>
    <w:qFormat/>
    <w:uiPriority w:val="0"/>
    <w:rPr>
      <w:b/>
      <w:bCs/>
      <w:color w:val="FF6633"/>
      <w:sz w:val="18"/>
      <w:szCs w:val="18"/>
    </w:rPr>
  </w:style>
  <w:style w:type="character" w:customStyle="1" w:styleId="322">
    <w:name w:val="Char Char31"/>
    <w:qFormat/>
    <w:uiPriority w:val="6"/>
    <w:rPr>
      <w:rFonts w:ascii="Arial" w:hAnsi="Arial" w:eastAsia="黑体"/>
      <w:kern w:val="1"/>
      <w:sz w:val="24"/>
      <w:szCs w:val="24"/>
    </w:rPr>
  </w:style>
  <w:style w:type="character" w:customStyle="1" w:styleId="323">
    <w:name w:val="h Char1"/>
    <w:qFormat/>
    <w:uiPriority w:val="0"/>
    <w:rPr>
      <w:sz w:val="18"/>
      <w:szCs w:val="18"/>
    </w:rPr>
  </w:style>
  <w:style w:type="character" w:customStyle="1" w:styleId="324">
    <w:name w:val="solutionfonts"/>
    <w:qFormat/>
    <w:uiPriority w:val="0"/>
  </w:style>
  <w:style w:type="character" w:customStyle="1" w:styleId="325">
    <w:name w:val="标题 4 Char2"/>
    <w:link w:val="6"/>
    <w:qFormat/>
    <w:uiPriority w:val="9"/>
    <w:rPr>
      <w:rFonts w:ascii="Arial" w:hAnsi="Arial" w:eastAsia="黑体"/>
      <w:b/>
      <w:bCs/>
      <w:kern w:val="2"/>
      <w:sz w:val="28"/>
      <w:szCs w:val="28"/>
      <w:lang w:val="zh-CN"/>
    </w:rPr>
  </w:style>
  <w:style w:type="character" w:customStyle="1" w:styleId="326">
    <w:name w:val="首行缩进 Char"/>
    <w:qFormat/>
    <w:uiPriority w:val="0"/>
    <w:rPr>
      <w:rFonts w:ascii="宋体" w:eastAsia="宋体"/>
      <w:kern w:val="2"/>
      <w:sz w:val="24"/>
      <w:lang w:val="en-US" w:eastAsia="zh-CN" w:bidi="ar-SA"/>
    </w:rPr>
  </w:style>
  <w:style w:type="character" w:customStyle="1" w:styleId="327">
    <w:name w:val="Char Char52"/>
    <w:qFormat/>
    <w:uiPriority w:val="0"/>
    <w:rPr>
      <w:rFonts w:ascii="宋体" w:hAnsi="Courier New" w:eastAsia="宋体"/>
      <w:kern w:val="2"/>
      <w:sz w:val="21"/>
      <w:lang w:val="en-US" w:eastAsia="zh-CN"/>
    </w:rPr>
  </w:style>
  <w:style w:type="character" w:customStyle="1" w:styleId="328">
    <w:name w:val="正文文本 3 Char"/>
    <w:link w:val="22"/>
    <w:qFormat/>
    <w:uiPriority w:val="0"/>
    <w:rPr>
      <w:kern w:val="2"/>
      <w:sz w:val="21"/>
    </w:rPr>
  </w:style>
  <w:style w:type="character" w:customStyle="1" w:styleId="329">
    <w:name w:val="font31"/>
    <w:qFormat/>
    <w:uiPriority w:val="0"/>
    <w:rPr>
      <w:rFonts w:hint="eastAsia" w:ascii="仿宋" w:hAnsi="仿宋" w:eastAsia="仿宋" w:cs="仿宋"/>
      <w:color w:val="000000"/>
      <w:sz w:val="20"/>
      <w:szCs w:val="20"/>
      <w:u w:val="none"/>
    </w:rPr>
  </w:style>
  <w:style w:type="character" w:customStyle="1" w:styleId="330">
    <w:name w:val="正文说明 Char"/>
    <w:link w:val="331"/>
    <w:qFormat/>
    <w:uiPriority w:val="0"/>
    <w:rPr>
      <w:sz w:val="24"/>
      <w:szCs w:val="24"/>
    </w:rPr>
  </w:style>
  <w:style w:type="paragraph" w:customStyle="1" w:styleId="331">
    <w:name w:val="正文说明"/>
    <w:basedOn w:val="1"/>
    <w:link w:val="330"/>
    <w:qFormat/>
    <w:uiPriority w:val="0"/>
    <w:pPr>
      <w:adjustRightInd/>
      <w:spacing w:line="360" w:lineRule="auto"/>
    </w:pPr>
    <w:rPr>
      <w:kern w:val="0"/>
      <w:sz w:val="24"/>
    </w:rPr>
  </w:style>
  <w:style w:type="character" w:customStyle="1" w:styleId="332">
    <w:name w:val="脚注文本 Char1"/>
    <w:qFormat/>
    <w:uiPriority w:val="0"/>
    <w:rPr>
      <w:rFonts w:ascii="Times New Roman" w:hAnsi="Times New Roman" w:eastAsia="宋体" w:cs="Times New Roman"/>
      <w:sz w:val="18"/>
      <w:szCs w:val="18"/>
    </w:rPr>
  </w:style>
  <w:style w:type="character" w:customStyle="1" w:styleId="333">
    <w:name w:val="Char Char1211"/>
    <w:qFormat/>
    <w:uiPriority w:val="0"/>
    <w:rPr>
      <w:rFonts w:ascii="仿宋_GB2312" w:eastAsia="仿宋_GB2312"/>
      <w:b/>
      <w:bCs/>
      <w:kern w:val="2"/>
      <w:sz w:val="24"/>
      <w:szCs w:val="24"/>
      <w:lang w:val="zh-CN" w:eastAsia="zh-CN" w:bidi="ar-SA"/>
    </w:rPr>
  </w:style>
  <w:style w:type="character" w:customStyle="1" w:styleId="334">
    <w:name w:val="标题 Char"/>
    <w:qFormat/>
    <w:uiPriority w:val="0"/>
    <w:rPr>
      <w:rFonts w:eastAsia="宋体"/>
      <w:b/>
      <w:sz w:val="24"/>
      <w:lang w:val="en-GB" w:eastAsia="zh-CN" w:bidi="ar-SA"/>
    </w:rPr>
  </w:style>
  <w:style w:type="character" w:customStyle="1" w:styleId="335">
    <w:name w:val="Char Char35"/>
    <w:qFormat/>
    <w:uiPriority w:val="6"/>
    <w:rPr>
      <w:rFonts w:ascii="Arial" w:hAnsi="Arial" w:eastAsia="黑体"/>
      <w:b/>
      <w:kern w:val="1"/>
      <w:sz w:val="28"/>
      <w:szCs w:val="28"/>
      <w:lang w:val="zh-CN"/>
    </w:rPr>
  </w:style>
  <w:style w:type="character" w:customStyle="1" w:styleId="336">
    <w:name w:val="纯文本 Char Char Char"/>
    <w:qFormat/>
    <w:uiPriority w:val="0"/>
    <w:rPr>
      <w:rFonts w:ascii="宋体" w:hAnsi="Courier New" w:eastAsia="宋体"/>
      <w:kern w:val="2"/>
      <w:sz w:val="21"/>
      <w:lang w:val="en-US" w:eastAsia="zh-CN" w:bidi="ar-SA"/>
    </w:rPr>
  </w:style>
  <w:style w:type="character" w:customStyle="1" w:styleId="337">
    <w:name w:val="Table Text Char"/>
    <w:link w:val="338"/>
    <w:qFormat/>
    <w:uiPriority w:val="0"/>
    <w:rPr>
      <w:sz w:val="24"/>
      <w:szCs w:val="24"/>
    </w:rPr>
  </w:style>
  <w:style w:type="paragraph" w:customStyle="1" w:styleId="338">
    <w:name w:val="Table Text"/>
    <w:basedOn w:val="1"/>
    <w:link w:val="337"/>
    <w:qFormat/>
    <w:uiPriority w:val="0"/>
    <w:pPr>
      <w:widowControl/>
      <w:spacing w:before="60" w:after="60"/>
      <w:jc w:val="left"/>
    </w:pPr>
    <w:rPr>
      <w:kern w:val="0"/>
      <w:sz w:val="24"/>
    </w:rPr>
  </w:style>
  <w:style w:type="character" w:customStyle="1" w:styleId="339">
    <w:name w:val="正文1 Char1"/>
    <w:qFormat/>
    <w:uiPriority w:val="0"/>
    <w:rPr>
      <w:rFonts w:ascii="仿宋_GB2312" w:hAnsi="Courier New" w:eastAsia="仿宋_GB2312"/>
      <w:kern w:val="28"/>
      <w:sz w:val="24"/>
      <w:szCs w:val="24"/>
      <w:lang w:val="en-US" w:eastAsia="zh-CN"/>
    </w:rPr>
  </w:style>
  <w:style w:type="character" w:customStyle="1" w:styleId="340">
    <w:name w:val="页脚 Char1"/>
    <w:qFormat/>
    <w:uiPriority w:val="0"/>
    <w:rPr>
      <w:rFonts w:eastAsia="宋体"/>
      <w:kern w:val="2"/>
      <w:sz w:val="18"/>
      <w:szCs w:val="18"/>
      <w:lang w:val="en-US" w:eastAsia="zh-CN" w:bidi="ar-SA"/>
    </w:rPr>
  </w:style>
  <w:style w:type="character" w:customStyle="1" w:styleId="341">
    <w:name w:val="Bold"/>
    <w:qFormat/>
    <w:uiPriority w:val="0"/>
    <w:rPr>
      <w:rFonts w:ascii="Arial" w:hAnsi="Arial" w:eastAsia="黑体" w:cs="Times New Roman"/>
      <w:b/>
      <w:kern w:val="2"/>
      <w:sz w:val="32"/>
      <w:szCs w:val="32"/>
      <w:lang w:val="en-US" w:eastAsia="zh-CN" w:bidi="ar-SA"/>
    </w:rPr>
  </w:style>
  <w:style w:type="character" w:customStyle="1" w:styleId="342">
    <w:name w:val="批注文字 Char1"/>
    <w:link w:val="20"/>
    <w:qFormat/>
    <w:uiPriority w:val="99"/>
    <w:rPr>
      <w:kern w:val="2"/>
      <w:sz w:val="21"/>
      <w:szCs w:val="24"/>
    </w:rPr>
  </w:style>
  <w:style w:type="character" w:customStyle="1" w:styleId="343">
    <w:name w:val="签名 Char"/>
    <w:link w:val="43"/>
    <w:qFormat/>
    <w:uiPriority w:val="0"/>
    <w:rPr>
      <w:rFonts w:eastAsia="仿宋_GB2312"/>
      <w:sz w:val="24"/>
    </w:rPr>
  </w:style>
  <w:style w:type="character" w:customStyle="1" w:styleId="344">
    <w:name w:val="hui3"/>
    <w:qFormat/>
    <w:uiPriority w:val="0"/>
    <w:rPr>
      <w:color w:val="333333"/>
    </w:rPr>
  </w:style>
  <w:style w:type="character" w:customStyle="1" w:styleId="345">
    <w:name w:val="Char Char17"/>
    <w:qFormat/>
    <w:uiPriority w:val="6"/>
    <w:rPr>
      <w:rFonts w:eastAsia="仿宋_GB2312"/>
      <w:sz w:val="24"/>
    </w:rPr>
  </w:style>
  <w:style w:type="character" w:customStyle="1" w:styleId="346">
    <w:name w:val="标题 4 字符"/>
    <w:qFormat/>
    <w:uiPriority w:val="9"/>
    <w:rPr>
      <w:rFonts w:ascii="等线 Light" w:hAnsi="等线 Light" w:eastAsia="等线 Light" w:cs="Times New Roman"/>
      <w:b/>
      <w:bCs/>
      <w:snapToGrid w:val="0"/>
      <w:kern w:val="0"/>
      <w:sz w:val="28"/>
      <w:szCs w:val="28"/>
    </w:rPr>
  </w:style>
  <w:style w:type="character" w:customStyle="1" w:styleId="347">
    <w:name w:val="Char Char37"/>
    <w:qFormat/>
    <w:uiPriority w:val="6"/>
    <w:rPr>
      <w:b/>
      <w:kern w:val="1"/>
      <w:sz w:val="44"/>
      <w:szCs w:val="44"/>
    </w:rPr>
  </w:style>
  <w:style w:type="character" w:customStyle="1" w:styleId="348">
    <w:name w:val="列出段落 Char"/>
    <w:qFormat/>
    <w:uiPriority w:val="0"/>
    <w:rPr>
      <w:rFonts w:eastAsia="楷体_GB2312" w:cs="Lucida Sans"/>
      <w:kern w:val="2"/>
      <w:sz w:val="24"/>
      <w:szCs w:val="24"/>
      <w:lang w:val="en-US" w:eastAsia="zh-CN" w:bidi="ar-SA"/>
    </w:rPr>
  </w:style>
  <w:style w:type="character" w:customStyle="1" w:styleId="349">
    <w:name w:val="正文文本缩进 3 Char1"/>
    <w:semiHidden/>
    <w:qFormat/>
    <w:uiPriority w:val="99"/>
    <w:rPr>
      <w:rFonts w:ascii="Times New Roman" w:hAnsi="Times New Roman" w:eastAsia="宋体" w:cs="Times New Roman"/>
      <w:sz w:val="16"/>
      <w:szCs w:val="16"/>
    </w:rPr>
  </w:style>
  <w:style w:type="character" w:customStyle="1" w:styleId="350">
    <w:name w:val="公文正文 Char Char"/>
    <w:link w:val="351"/>
    <w:qFormat/>
    <w:uiPriority w:val="0"/>
    <w:rPr>
      <w:rFonts w:ascii="仿宋_GB2312" w:eastAsia="仿宋_GB2312"/>
      <w:kern w:val="2"/>
      <w:sz w:val="24"/>
      <w:szCs w:val="24"/>
    </w:rPr>
  </w:style>
  <w:style w:type="paragraph" w:customStyle="1" w:styleId="351">
    <w:name w:val="公文正文"/>
    <w:basedOn w:val="1"/>
    <w:link w:val="350"/>
    <w:qFormat/>
    <w:uiPriority w:val="0"/>
    <w:pPr>
      <w:adjustRightInd/>
      <w:spacing w:before="156" w:line="360" w:lineRule="auto"/>
      <w:ind w:firstLine="360" w:firstLineChars="200"/>
    </w:pPr>
    <w:rPr>
      <w:rFonts w:ascii="仿宋_GB2312" w:eastAsia="仿宋_GB2312"/>
      <w:sz w:val="24"/>
    </w:rPr>
  </w:style>
  <w:style w:type="character" w:customStyle="1" w:styleId="352">
    <w:name w:val="Table Text Char1"/>
    <w:qFormat/>
    <w:uiPriority w:val="0"/>
    <w:rPr>
      <w:rFonts w:eastAsia="宋体"/>
      <w:sz w:val="24"/>
      <w:szCs w:val="24"/>
      <w:lang w:val="en-US" w:eastAsia="zh-CN" w:bidi="ar-SA"/>
    </w:rPr>
  </w:style>
  <w:style w:type="character" w:customStyle="1" w:styleId="353">
    <w:name w:val="标题 1 Char Char"/>
    <w:qFormat/>
    <w:uiPriority w:val="0"/>
    <w:rPr>
      <w:rFonts w:hint="eastAsia" w:ascii="宋体" w:hAnsi="宋体" w:eastAsia="宋体"/>
      <w:b/>
      <w:spacing w:val="-2"/>
      <w:sz w:val="24"/>
      <w:lang w:val="en-US" w:eastAsia="zh-CN" w:bidi="ar-SA"/>
    </w:rPr>
  </w:style>
  <w:style w:type="character" w:customStyle="1" w:styleId="354">
    <w:name w:val="正文（缩进2汉字） Char"/>
    <w:link w:val="355"/>
    <w:qFormat/>
    <w:uiPriority w:val="0"/>
    <w:rPr>
      <w:rFonts w:ascii="宋体"/>
    </w:rPr>
  </w:style>
  <w:style w:type="paragraph" w:customStyle="1" w:styleId="355">
    <w:name w:val="正文（缩进2汉字）"/>
    <w:basedOn w:val="1"/>
    <w:link w:val="35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6">
    <w:name w:val="标题 8 Char"/>
    <w:link w:val="10"/>
    <w:qFormat/>
    <w:uiPriority w:val="0"/>
    <w:rPr>
      <w:rFonts w:ascii="Arial" w:hAnsi="Arial" w:eastAsia="黑体"/>
      <w:kern w:val="2"/>
      <w:sz w:val="24"/>
      <w:szCs w:val="24"/>
    </w:rPr>
  </w:style>
  <w:style w:type="character" w:customStyle="1" w:styleId="357">
    <w:name w:val="标书表格字体格式 Char"/>
    <w:qFormat/>
    <w:uiPriority w:val="0"/>
    <w:rPr>
      <w:kern w:val="2"/>
      <w:sz w:val="21"/>
      <w:szCs w:val="24"/>
      <w:lang w:bidi="ar-SA"/>
    </w:rPr>
  </w:style>
  <w:style w:type="character" w:customStyle="1" w:styleId="358">
    <w:name w:val="tw4winError"/>
    <w:qFormat/>
    <w:uiPriority w:val="0"/>
    <w:rPr>
      <w:rFonts w:ascii="Courier New" w:hAnsi="Courier New" w:cs="Courier New"/>
      <w:color w:val="00FF00"/>
      <w:sz w:val="40"/>
      <w:szCs w:val="40"/>
    </w:rPr>
  </w:style>
  <w:style w:type="character" w:customStyle="1" w:styleId="359">
    <w:name w:val="Body Text(ch) Char Char"/>
    <w:qFormat/>
    <w:uiPriority w:val="0"/>
    <w:rPr>
      <w:rFonts w:ascii="宋体"/>
      <w:kern w:val="2"/>
      <w:sz w:val="24"/>
      <w:szCs w:val="21"/>
      <w:lang w:val="zh-CN"/>
    </w:rPr>
  </w:style>
  <w:style w:type="character" w:customStyle="1" w:styleId="360">
    <w:name w:val="正文首行缩进两字 Char"/>
    <w:qFormat/>
    <w:uiPriority w:val="0"/>
    <w:rPr>
      <w:sz w:val="24"/>
      <w:szCs w:val="24"/>
      <w:lang w:val="en-US" w:eastAsia="zh-CN" w:bidi="ar-SA"/>
    </w:rPr>
  </w:style>
  <w:style w:type="character" w:customStyle="1" w:styleId="361">
    <w:name w:val="正文文本 Char"/>
    <w:qFormat/>
    <w:uiPriority w:val="0"/>
    <w:rPr>
      <w:rFonts w:eastAsia="宋体"/>
      <w:kern w:val="2"/>
      <w:sz w:val="24"/>
      <w:szCs w:val="24"/>
      <w:lang w:val="en-US" w:eastAsia="zh-CN" w:bidi="ar-SA"/>
    </w:rPr>
  </w:style>
  <w:style w:type="character" w:customStyle="1" w:styleId="362">
    <w:name w:val="文档结构图 字符1"/>
    <w:qFormat/>
    <w:uiPriority w:val="0"/>
    <w:rPr>
      <w:rFonts w:ascii="宋体" w:hAnsi="Calibri" w:eastAsia="黑体" w:cs="Arial"/>
      <w:snapToGrid w:val="0"/>
      <w:kern w:val="2"/>
      <w:sz w:val="18"/>
      <w:szCs w:val="18"/>
    </w:rPr>
  </w:style>
  <w:style w:type="character" w:customStyle="1" w:styleId="363">
    <w:name w:val="content"/>
    <w:qFormat/>
    <w:uiPriority w:val="0"/>
  </w:style>
  <w:style w:type="character" w:customStyle="1" w:styleId="364">
    <w:name w:val="tw4winPopup"/>
    <w:qFormat/>
    <w:uiPriority w:val="0"/>
    <w:rPr>
      <w:rFonts w:ascii="Courier New" w:hAnsi="Courier New" w:cs="Courier New"/>
      <w:color w:val="008000"/>
      <w:lang w:val="en-US" w:eastAsia="zh-CN"/>
    </w:rPr>
  </w:style>
  <w:style w:type="character" w:customStyle="1" w:styleId="365">
    <w:name w:val="param-name"/>
    <w:qFormat/>
    <w:uiPriority w:val="99"/>
    <w:rPr>
      <w:rFonts w:ascii="Arial" w:hAnsi="Arial" w:eastAsia="黑体" w:cs="Arial"/>
      <w:snapToGrid w:val="0"/>
      <w:kern w:val="0"/>
      <w:szCs w:val="21"/>
    </w:rPr>
  </w:style>
  <w:style w:type="character" w:customStyle="1" w:styleId="366">
    <w:name w:val="标准正文格式 Char"/>
    <w:qFormat/>
    <w:uiPriority w:val="0"/>
    <w:rPr>
      <w:rFonts w:ascii="宋体" w:eastAsia="仿宋_GB2312" w:cs="宋体"/>
      <w:color w:val="000000"/>
      <w:sz w:val="24"/>
      <w:lang w:val="en-US" w:eastAsia="zh-CN" w:bidi="ar-SA"/>
    </w:rPr>
  </w:style>
  <w:style w:type="character" w:customStyle="1" w:styleId="367">
    <w:name w:val="Char Char212"/>
    <w:qFormat/>
    <w:uiPriority w:val="0"/>
    <w:rPr>
      <w:rFonts w:eastAsia="宋体"/>
      <w:b/>
      <w:bCs/>
      <w:kern w:val="2"/>
      <w:sz w:val="21"/>
      <w:szCs w:val="24"/>
      <w:lang w:val="en-US" w:eastAsia="zh-CN" w:bidi="ar-SA"/>
    </w:rPr>
  </w:style>
  <w:style w:type="character" w:customStyle="1" w:styleId="368">
    <w:name w:val="文档结构图 Char"/>
    <w:qFormat/>
    <w:uiPriority w:val="0"/>
    <w:rPr>
      <w:rFonts w:eastAsia="宋体"/>
      <w:kern w:val="2"/>
      <w:sz w:val="21"/>
      <w:szCs w:val="24"/>
      <w:lang w:val="en-US" w:eastAsia="zh-CN" w:bidi="ar-SA"/>
    </w:rPr>
  </w:style>
  <w:style w:type="character" w:customStyle="1" w:styleId="369">
    <w:name w:val="zbggmain style9"/>
    <w:qFormat/>
    <w:uiPriority w:val="0"/>
  </w:style>
  <w:style w:type="character" w:customStyle="1" w:styleId="370">
    <w:name w:val="Char Char16"/>
    <w:qFormat/>
    <w:uiPriority w:val="6"/>
    <w:rPr>
      <w:kern w:val="1"/>
      <w:sz w:val="18"/>
      <w:szCs w:val="18"/>
    </w:rPr>
  </w:style>
  <w:style w:type="character" w:customStyle="1" w:styleId="371">
    <w:name w:val="font51"/>
    <w:qFormat/>
    <w:uiPriority w:val="0"/>
    <w:rPr>
      <w:rFonts w:hint="eastAsia" w:ascii="仿宋" w:hAnsi="仿宋" w:eastAsia="仿宋" w:cs="仿宋"/>
      <w:color w:val="000000"/>
      <w:sz w:val="20"/>
      <w:szCs w:val="20"/>
      <w:u w:val="none"/>
    </w:rPr>
  </w:style>
  <w:style w:type="character" w:customStyle="1" w:styleId="372">
    <w:name w:val="Char Char82"/>
    <w:qFormat/>
    <w:uiPriority w:val="0"/>
    <w:rPr>
      <w:rFonts w:eastAsia="宋体"/>
      <w:b/>
      <w:sz w:val="24"/>
      <w:lang w:val="en-GB" w:eastAsia="zh-CN"/>
    </w:rPr>
  </w:style>
  <w:style w:type="character" w:customStyle="1" w:styleId="373">
    <w:name w:val="正文文本缩进 3 Char"/>
    <w:link w:val="54"/>
    <w:qFormat/>
    <w:uiPriority w:val="0"/>
    <w:rPr>
      <w:kern w:val="2"/>
      <w:sz w:val="24"/>
    </w:rPr>
  </w:style>
  <w:style w:type="character" w:customStyle="1" w:styleId="374">
    <w:name w:val="日期 Char1"/>
    <w:semiHidden/>
    <w:qFormat/>
    <w:uiPriority w:val="99"/>
    <w:rPr>
      <w:rFonts w:ascii="Times New Roman" w:hAnsi="Times New Roman" w:eastAsia="宋体" w:cs="Times New Roman"/>
      <w:szCs w:val="24"/>
    </w:rPr>
  </w:style>
  <w:style w:type="character" w:customStyle="1" w:styleId="375">
    <w:name w:val="页眉 字符"/>
    <w:qFormat/>
    <w:uiPriority w:val="99"/>
    <w:rPr>
      <w:kern w:val="2"/>
      <w:sz w:val="18"/>
      <w:szCs w:val="18"/>
    </w:rPr>
  </w:style>
  <w:style w:type="character" w:customStyle="1" w:styleId="376">
    <w:name w:val="Char Char33"/>
    <w:qFormat/>
    <w:uiPriority w:val="6"/>
    <w:rPr>
      <w:rFonts w:ascii="Arial" w:hAnsi="Arial" w:eastAsia="黑体"/>
      <w:b/>
      <w:kern w:val="1"/>
      <w:sz w:val="24"/>
      <w:szCs w:val="24"/>
    </w:rPr>
  </w:style>
  <w:style w:type="character" w:customStyle="1" w:styleId="377">
    <w:name w:val="b11_01b Char"/>
    <w:link w:val="378"/>
    <w:qFormat/>
    <w:uiPriority w:val="0"/>
    <w:rPr>
      <w:rFonts w:ascii="Verdana" w:hAnsi="Verdana"/>
      <w:b/>
      <w:bCs/>
      <w:color w:val="4A82CA"/>
      <w:sz w:val="17"/>
      <w:szCs w:val="17"/>
    </w:rPr>
  </w:style>
  <w:style w:type="paragraph" w:customStyle="1" w:styleId="378">
    <w:name w:val="b11_01b"/>
    <w:basedOn w:val="1"/>
    <w:next w:val="1"/>
    <w:link w:val="377"/>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79">
    <w:name w:val="Char Char121"/>
    <w:qFormat/>
    <w:uiPriority w:val="6"/>
    <w:rPr>
      <w:rFonts w:ascii="仿宋_GB2312" w:eastAsia="仿宋_GB2312"/>
      <w:b/>
      <w:bCs/>
      <w:kern w:val="2"/>
      <w:sz w:val="24"/>
      <w:szCs w:val="24"/>
      <w:lang w:val="zh-CN" w:eastAsia="zh-CN" w:bidi="ar-SA"/>
    </w:rPr>
  </w:style>
  <w:style w:type="character" w:customStyle="1" w:styleId="380">
    <w:name w:val="Footer-Even Char"/>
    <w:qFormat/>
    <w:uiPriority w:val="0"/>
    <w:rPr>
      <w:rFonts w:eastAsia="宋体"/>
      <w:kern w:val="2"/>
      <w:sz w:val="18"/>
      <w:lang w:val="en-US" w:eastAsia="zh-CN" w:bidi="ar-SA"/>
    </w:rPr>
  </w:style>
  <w:style w:type="character" w:customStyle="1" w:styleId="381">
    <w:name w:val="页脚 Char2"/>
    <w:link w:val="41"/>
    <w:qFormat/>
    <w:locked/>
    <w:uiPriority w:val="99"/>
    <w:rPr>
      <w:kern w:val="2"/>
      <w:sz w:val="18"/>
      <w:szCs w:val="18"/>
    </w:rPr>
  </w:style>
  <w:style w:type="character" w:customStyle="1" w:styleId="382">
    <w:name w:val="Char Char36"/>
    <w:qFormat/>
    <w:uiPriority w:val="6"/>
    <w:rPr>
      <w:rFonts w:ascii="仿宋_GB2312" w:hAnsi="仿宋_GB2312" w:eastAsia="仿宋_GB2312" w:cs="Arial"/>
      <w:b/>
      <w:kern w:val="1"/>
      <w:sz w:val="32"/>
      <w:szCs w:val="32"/>
      <w:lang w:val="zh-CN" w:eastAsia="zh-CN" w:bidi="ar-SA"/>
    </w:rPr>
  </w:style>
  <w:style w:type="character" w:customStyle="1" w:styleId="383">
    <w:name w:val="Char Char61"/>
    <w:qFormat/>
    <w:uiPriority w:val="6"/>
    <w:rPr>
      <w:rFonts w:eastAsia="宋体"/>
      <w:kern w:val="2"/>
      <w:sz w:val="21"/>
      <w:szCs w:val="24"/>
      <w:lang w:val="en-US" w:eastAsia="zh-CN" w:bidi="ar-SA"/>
    </w:rPr>
  </w:style>
  <w:style w:type="character" w:customStyle="1" w:styleId="384">
    <w:name w:val="正文文字缩进 2 Char Char"/>
    <w:qFormat/>
    <w:uiPriority w:val="0"/>
    <w:rPr>
      <w:rFonts w:ascii="宋体"/>
      <w:sz w:val="28"/>
    </w:rPr>
  </w:style>
  <w:style w:type="character" w:customStyle="1" w:styleId="385">
    <w:name w:val="f141"/>
    <w:qFormat/>
    <w:uiPriority w:val="0"/>
    <w:rPr>
      <w:rFonts w:ascii="Tahoma" w:hAnsi="Tahoma" w:eastAsia="宋体"/>
      <w:b/>
      <w:kern w:val="2"/>
      <w:sz w:val="21"/>
      <w:szCs w:val="21"/>
      <w:lang w:val="en-US" w:eastAsia="zh-CN" w:bidi="ar-SA"/>
    </w:rPr>
  </w:style>
  <w:style w:type="character" w:customStyle="1" w:styleId="386">
    <w:name w:val="段落 Char Char"/>
    <w:link w:val="387"/>
    <w:qFormat/>
    <w:uiPriority w:val="0"/>
    <w:rPr>
      <w:rFonts w:ascii="宋体" w:hAnsi="宋体"/>
      <w:sz w:val="24"/>
    </w:rPr>
  </w:style>
  <w:style w:type="paragraph" w:customStyle="1" w:styleId="387">
    <w:name w:val="段落"/>
    <w:basedOn w:val="1"/>
    <w:link w:val="386"/>
    <w:qFormat/>
    <w:uiPriority w:val="0"/>
    <w:pPr>
      <w:adjustRightInd/>
      <w:spacing w:line="360" w:lineRule="auto"/>
      <w:ind w:firstLine="480" w:firstLineChars="200"/>
    </w:pPr>
    <w:rPr>
      <w:rFonts w:ascii="宋体" w:hAnsi="宋体"/>
      <w:kern w:val="0"/>
      <w:sz w:val="24"/>
      <w:szCs w:val="20"/>
    </w:rPr>
  </w:style>
  <w:style w:type="character" w:customStyle="1" w:styleId="388">
    <w:name w:val="标题 3 Char2"/>
    <w:qFormat/>
    <w:uiPriority w:val="0"/>
    <w:rPr>
      <w:rFonts w:eastAsia="宋体"/>
      <w:b/>
      <w:bCs/>
      <w:kern w:val="2"/>
      <w:sz w:val="32"/>
      <w:szCs w:val="32"/>
      <w:lang w:val="en-US" w:eastAsia="zh-CN" w:bidi="ar-SA"/>
    </w:rPr>
  </w:style>
  <w:style w:type="character" w:customStyle="1" w:styleId="389">
    <w:name w:val="apple-converted-space"/>
    <w:qFormat/>
    <w:uiPriority w:val="0"/>
  </w:style>
  <w:style w:type="character" w:customStyle="1" w:styleId="390">
    <w:name w:val="页眉 Char2"/>
    <w:link w:val="42"/>
    <w:qFormat/>
    <w:uiPriority w:val="99"/>
    <w:rPr>
      <w:kern w:val="2"/>
      <w:sz w:val="18"/>
      <w:szCs w:val="18"/>
    </w:rPr>
  </w:style>
  <w:style w:type="character" w:customStyle="1" w:styleId="391">
    <w:name w:val="Char Char9"/>
    <w:qFormat/>
    <w:uiPriority w:val="0"/>
    <w:rPr>
      <w:rFonts w:eastAsia="宋体"/>
      <w:kern w:val="2"/>
      <w:sz w:val="18"/>
      <w:szCs w:val="18"/>
      <w:lang w:val="en-US" w:eastAsia="zh-CN" w:bidi="ar-SA"/>
    </w:rPr>
  </w:style>
  <w:style w:type="character" w:customStyle="1" w:styleId="392">
    <w:name w:val="Char Char41"/>
    <w:qFormat/>
    <w:uiPriority w:val="0"/>
    <w:rPr>
      <w:rFonts w:eastAsia="宋体"/>
      <w:b/>
      <w:sz w:val="24"/>
      <w:lang w:val="en-GB" w:eastAsia="zh-CN" w:bidi="ar-SA"/>
    </w:rPr>
  </w:style>
  <w:style w:type="character" w:customStyle="1" w:styleId="393">
    <w:name w:val="large1"/>
    <w:qFormat/>
    <w:uiPriority w:val="0"/>
    <w:rPr>
      <w:rFonts w:hint="eastAsia" w:ascii="宋体" w:hAnsi="宋体" w:eastAsia="宋体"/>
      <w:sz w:val="21"/>
      <w:szCs w:val="21"/>
    </w:rPr>
  </w:style>
  <w:style w:type="character" w:customStyle="1" w:styleId="394">
    <w:name w:val="正文段 Char"/>
    <w:link w:val="395"/>
    <w:qFormat/>
    <w:uiPriority w:val="0"/>
    <w:rPr>
      <w:sz w:val="24"/>
    </w:rPr>
  </w:style>
  <w:style w:type="paragraph" w:customStyle="1" w:styleId="395">
    <w:name w:val="正文段"/>
    <w:basedOn w:val="1"/>
    <w:link w:val="394"/>
    <w:qFormat/>
    <w:uiPriority w:val="0"/>
    <w:pPr>
      <w:widowControl/>
      <w:snapToGrid w:val="0"/>
      <w:spacing w:after="156" w:afterLines="50"/>
      <w:ind w:firstLine="200" w:firstLineChars="200"/>
    </w:pPr>
    <w:rPr>
      <w:kern w:val="0"/>
      <w:sz w:val="24"/>
      <w:szCs w:val="20"/>
    </w:rPr>
  </w:style>
  <w:style w:type="character" w:customStyle="1" w:styleId="396">
    <w:name w:val="Char Char13"/>
    <w:qFormat/>
    <w:uiPriority w:val="6"/>
    <w:rPr>
      <w:rFonts w:ascii="宋体" w:hAnsi="宋体"/>
      <w:kern w:val="1"/>
      <w:sz w:val="21"/>
      <w:szCs w:val="24"/>
    </w:rPr>
  </w:style>
  <w:style w:type="character" w:customStyle="1" w:styleId="397">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8">
    <w:name w:val="冯广丽 Char"/>
    <w:link w:val="399"/>
    <w:qFormat/>
    <w:uiPriority w:val="0"/>
    <w:rPr>
      <w:rFonts w:ascii="宋体" w:hAnsi="宋体"/>
      <w:kern w:val="2"/>
      <w:sz w:val="24"/>
      <w:szCs w:val="22"/>
    </w:rPr>
  </w:style>
  <w:style w:type="paragraph" w:customStyle="1" w:styleId="399">
    <w:name w:val="冯广丽"/>
    <w:basedOn w:val="1"/>
    <w:link w:val="398"/>
    <w:qFormat/>
    <w:uiPriority w:val="0"/>
    <w:pPr>
      <w:adjustRightInd/>
      <w:spacing w:line="360" w:lineRule="auto"/>
      <w:ind w:firstLine="480" w:firstLineChars="200"/>
    </w:pPr>
    <w:rPr>
      <w:rFonts w:ascii="宋体" w:hAnsi="宋体"/>
      <w:sz w:val="24"/>
      <w:szCs w:val="22"/>
    </w:rPr>
  </w:style>
  <w:style w:type="character" w:customStyle="1" w:styleId="400">
    <w:name w:val="批注文字 字符"/>
    <w:qFormat/>
    <w:uiPriority w:val="0"/>
    <w:rPr>
      <w:rFonts w:ascii="Arial" w:hAnsi="Arial" w:eastAsia="黑体" w:cs="Arial"/>
      <w:snapToGrid w:val="0"/>
      <w:kern w:val="0"/>
      <w:szCs w:val="21"/>
    </w:rPr>
  </w:style>
  <w:style w:type="character" w:customStyle="1" w:styleId="401">
    <w:name w:val="Char Char161"/>
    <w:qFormat/>
    <w:uiPriority w:val="0"/>
    <w:rPr>
      <w:rFonts w:eastAsia="宋体"/>
      <w:b/>
      <w:kern w:val="2"/>
      <w:sz w:val="32"/>
      <w:lang w:val="en-US" w:eastAsia="zh-CN"/>
    </w:rPr>
  </w:style>
  <w:style w:type="character" w:customStyle="1" w:styleId="402">
    <w:name w:val="javascript"/>
    <w:qFormat/>
    <w:uiPriority w:val="0"/>
  </w:style>
  <w:style w:type="character" w:customStyle="1" w:styleId="403">
    <w:name w:val="图名 Char"/>
    <w:qFormat/>
    <w:uiPriority w:val="0"/>
    <w:rPr>
      <w:rFonts w:ascii="Arial" w:hAnsi="Arial" w:eastAsia="黑体"/>
      <w:kern w:val="2"/>
      <w:sz w:val="24"/>
      <w:szCs w:val="24"/>
      <w:lang w:val="en-US" w:eastAsia="zh-CN" w:bidi="ar-SA"/>
    </w:rPr>
  </w:style>
  <w:style w:type="character" w:customStyle="1" w:styleId="404">
    <w:name w:val="Used by Word for text of Help footnotes Char Char"/>
    <w:qFormat/>
    <w:uiPriority w:val="0"/>
    <w:rPr>
      <w:rFonts w:ascii="Times New Roman" w:hAnsi="Times New Roman" w:eastAsia="宋体" w:cs="Times New Roman"/>
      <w:sz w:val="20"/>
      <w:szCs w:val="20"/>
    </w:rPr>
  </w:style>
  <w:style w:type="character" w:customStyle="1" w:styleId="405">
    <w:name w:val="编号，小四 Char"/>
    <w:link w:val="406"/>
    <w:qFormat/>
    <w:uiPriority w:val="0"/>
    <w:rPr>
      <w:rFonts w:ascii="Arial" w:hAnsi="Arial"/>
      <w:sz w:val="24"/>
    </w:rPr>
  </w:style>
  <w:style w:type="paragraph" w:customStyle="1" w:styleId="406">
    <w:name w:val="编号，小四"/>
    <w:basedOn w:val="1"/>
    <w:link w:val="405"/>
    <w:qFormat/>
    <w:uiPriority w:val="0"/>
    <w:pPr>
      <w:tabs>
        <w:tab w:val="left" w:pos="432"/>
      </w:tabs>
      <w:adjustRightInd/>
      <w:spacing w:line="360" w:lineRule="auto"/>
      <w:ind w:left="432" w:hanging="432"/>
    </w:pPr>
    <w:rPr>
      <w:rFonts w:ascii="Arial" w:hAnsi="Arial"/>
      <w:kern w:val="0"/>
      <w:sz w:val="24"/>
      <w:szCs w:val="20"/>
    </w:rPr>
  </w:style>
  <w:style w:type="character" w:customStyle="1" w:styleId="407">
    <w:name w:val="Font Style82"/>
    <w:qFormat/>
    <w:uiPriority w:val="99"/>
    <w:rPr>
      <w:rFonts w:ascii="宋体" w:eastAsia="宋体" w:cs="宋体"/>
      <w:color w:val="000000"/>
      <w:sz w:val="14"/>
      <w:szCs w:val="14"/>
    </w:rPr>
  </w:style>
  <w:style w:type="character" w:customStyle="1" w:styleId="408">
    <w:name w:val="标题 2 Char Char"/>
    <w:qFormat/>
    <w:uiPriority w:val="0"/>
    <w:rPr>
      <w:rFonts w:ascii="楷体_GB2312" w:hAnsi="Arial" w:eastAsia="楷体_GB2312"/>
      <w:b/>
      <w:bCs/>
      <w:kern w:val="2"/>
      <w:sz w:val="24"/>
      <w:szCs w:val="32"/>
      <w:lang w:val="en-US" w:eastAsia="zh-CN" w:bidi="ar-SA"/>
    </w:rPr>
  </w:style>
  <w:style w:type="character" w:customStyle="1" w:styleId="409">
    <w:name w:val="未用 Char"/>
    <w:qFormat/>
    <w:uiPriority w:val="0"/>
    <w:rPr>
      <w:rFonts w:ascii="Arial" w:hAnsi="Arial" w:eastAsia="黑体"/>
      <w:kern w:val="2"/>
      <w:sz w:val="21"/>
      <w:szCs w:val="21"/>
      <w:lang w:val="en-US" w:eastAsia="zh-CN" w:bidi="ar-SA"/>
    </w:rPr>
  </w:style>
  <w:style w:type="character" w:customStyle="1" w:styleId="410">
    <w:name w:val="myp1111"/>
    <w:qFormat/>
    <w:uiPriority w:val="0"/>
    <w:rPr>
      <w:rFonts w:hint="default" w:ascii="ˎ̥" w:hAnsi="ˎ̥"/>
      <w:color w:val="000000"/>
      <w:sz w:val="20"/>
      <w:szCs w:val="20"/>
      <w:u w:val="none"/>
    </w:rPr>
  </w:style>
  <w:style w:type="character" w:customStyle="1" w:styleId="411">
    <w:name w:val="样式 标题 4h4H4Fab-4T5Ref Heading 1rh1Heading sqlsect 1.2.3.... Char"/>
    <w:link w:val="303"/>
    <w:qFormat/>
    <w:uiPriority w:val="0"/>
    <w:rPr>
      <w:rFonts w:ascii="微软雅黑" w:hAnsi="微软雅黑" w:eastAsia="微软雅黑"/>
      <w:b/>
      <w:bCs/>
      <w:kern w:val="2"/>
      <w:sz w:val="24"/>
      <w:szCs w:val="28"/>
    </w:rPr>
  </w:style>
  <w:style w:type="character" w:customStyle="1" w:styleId="412">
    <w:name w:val="h Char Char"/>
    <w:qFormat/>
    <w:uiPriority w:val="0"/>
    <w:rPr>
      <w:rFonts w:eastAsia="宋体"/>
      <w:kern w:val="2"/>
      <w:sz w:val="18"/>
      <w:lang w:val="en-US" w:eastAsia="zh-CN" w:bidi="ar-SA"/>
    </w:rPr>
  </w:style>
  <w:style w:type="character" w:customStyle="1" w:styleId="413">
    <w:name w:val="仿宋正文 Char"/>
    <w:link w:val="414"/>
    <w:qFormat/>
    <w:uiPriority w:val="0"/>
    <w:rPr>
      <w:rFonts w:ascii="仿宋_GB2312" w:eastAsia="仿宋_GB2312"/>
      <w:kern w:val="2"/>
      <w:sz w:val="24"/>
      <w:lang w:val="en-US" w:eastAsia="zh-CN" w:bidi="ar-SA"/>
    </w:rPr>
  </w:style>
  <w:style w:type="paragraph" w:customStyle="1" w:styleId="414">
    <w:name w:val="仿宋正文"/>
    <w:basedOn w:val="1"/>
    <w:link w:val="413"/>
    <w:qFormat/>
    <w:uiPriority w:val="0"/>
    <w:pPr>
      <w:adjustRightInd/>
      <w:spacing w:line="360" w:lineRule="auto"/>
      <w:ind w:firstLine="480" w:firstLineChars="200"/>
    </w:pPr>
    <w:rPr>
      <w:rFonts w:ascii="仿宋_GB2312" w:eastAsia="仿宋_GB2312"/>
      <w:sz w:val="24"/>
      <w:szCs w:val="20"/>
    </w:rPr>
  </w:style>
  <w:style w:type="character" w:customStyle="1" w:styleId="415">
    <w:name w:val="正文首行缩进 Char Char Char Char Char Char"/>
    <w:qFormat/>
    <w:uiPriority w:val="0"/>
    <w:rPr>
      <w:rFonts w:ascii="宋体" w:eastAsia="宋体"/>
      <w:kern w:val="2"/>
      <w:sz w:val="24"/>
      <w:lang w:val="zh-CN" w:bidi="ar-SA"/>
    </w:rPr>
  </w:style>
  <w:style w:type="character" w:customStyle="1" w:styleId="416">
    <w:name w:val="样式 宋体"/>
    <w:qFormat/>
    <w:uiPriority w:val="0"/>
    <w:rPr>
      <w:rFonts w:ascii="宋体" w:hAnsi="宋体"/>
      <w:sz w:val="24"/>
    </w:rPr>
  </w:style>
  <w:style w:type="character" w:customStyle="1" w:styleId="417">
    <w:name w:val="tw4winJump"/>
    <w:qFormat/>
    <w:uiPriority w:val="0"/>
    <w:rPr>
      <w:rFonts w:ascii="Courier New" w:hAnsi="Courier New" w:cs="Courier New"/>
      <w:color w:val="008080"/>
      <w:lang w:val="en-US" w:eastAsia="zh-CN"/>
    </w:rPr>
  </w:style>
  <w:style w:type="character" w:customStyle="1" w:styleId="418">
    <w:name w:val="标题 1 字符"/>
    <w:qFormat/>
    <w:uiPriority w:val="9"/>
    <w:rPr>
      <w:rFonts w:ascii="Arial" w:hAnsi="Arial" w:eastAsia="黑体" w:cs="Arial"/>
      <w:b/>
      <w:bCs/>
      <w:snapToGrid w:val="0"/>
      <w:kern w:val="44"/>
      <w:sz w:val="44"/>
      <w:szCs w:val="44"/>
    </w:rPr>
  </w:style>
  <w:style w:type="character" w:customStyle="1" w:styleId="419">
    <w:name w:val="style36"/>
    <w:basedOn w:val="70"/>
    <w:qFormat/>
    <w:uiPriority w:val="0"/>
    <w:rPr>
      <w:rFonts w:ascii="Arial" w:hAnsi="Arial" w:eastAsia="黑体" w:cs="Arial"/>
      <w:snapToGrid w:val="0"/>
      <w:kern w:val="0"/>
      <w:szCs w:val="21"/>
    </w:rPr>
  </w:style>
  <w:style w:type="character" w:customStyle="1" w:styleId="420">
    <w:name w:val="pt9"/>
    <w:qFormat/>
    <w:uiPriority w:val="0"/>
    <w:rPr>
      <w:rFonts w:ascii="仿宋_GB2312" w:eastAsia="微软雅黑"/>
      <w:b/>
      <w:kern w:val="2"/>
      <w:sz w:val="32"/>
      <w:szCs w:val="32"/>
      <w:lang w:val="en-US" w:eastAsia="zh-CN" w:bidi="ar-SA"/>
    </w:rPr>
  </w:style>
  <w:style w:type="character" w:customStyle="1" w:styleId="421">
    <w:name w:val="DO_NOT_TRANSLATE"/>
    <w:qFormat/>
    <w:uiPriority w:val="0"/>
    <w:rPr>
      <w:rFonts w:ascii="Courier New" w:hAnsi="Courier New" w:cs="Courier New"/>
      <w:color w:val="800000"/>
      <w:lang w:val="en-US" w:eastAsia="zh-CN"/>
    </w:rPr>
  </w:style>
  <w:style w:type="character" w:customStyle="1" w:styleId="422">
    <w:name w:val="标书1 Char1"/>
    <w:qFormat/>
    <w:uiPriority w:val="0"/>
    <w:rPr>
      <w:rFonts w:eastAsia="宋体"/>
      <w:b/>
      <w:bCs/>
      <w:kern w:val="44"/>
      <w:sz w:val="44"/>
      <w:szCs w:val="44"/>
      <w:lang w:val="en-US" w:eastAsia="zh-CN" w:bidi="ar-SA"/>
    </w:rPr>
  </w:style>
  <w:style w:type="character" w:customStyle="1" w:styleId="423">
    <w:name w:val="页脚 字符"/>
    <w:qFormat/>
    <w:uiPriority w:val="99"/>
    <w:rPr>
      <w:kern w:val="2"/>
      <w:sz w:val="18"/>
      <w:szCs w:val="18"/>
    </w:rPr>
  </w:style>
  <w:style w:type="character" w:customStyle="1" w:styleId="424">
    <w:name w:val="正文2 Char"/>
    <w:qFormat/>
    <w:uiPriority w:val="0"/>
    <w:rPr>
      <w:rFonts w:eastAsia="宋体"/>
      <w:kern w:val="2"/>
      <w:sz w:val="24"/>
      <w:lang w:val="en-US" w:eastAsia="zh-CN" w:bidi="ar-SA"/>
    </w:rPr>
  </w:style>
  <w:style w:type="character" w:customStyle="1" w:styleId="425">
    <w:name w:val="Char Char21"/>
    <w:qFormat/>
    <w:uiPriority w:val="6"/>
    <w:rPr>
      <w:rFonts w:ascii="宋体" w:hAnsi="宋体"/>
      <w:kern w:val="1"/>
      <w:sz w:val="24"/>
      <w:szCs w:val="21"/>
      <w:lang w:val="zh-CN"/>
    </w:rPr>
  </w:style>
  <w:style w:type="character" w:customStyle="1" w:styleId="426">
    <w:name w:val="样式 正文缩进 + 首行缩进:  2 字符 Char Char"/>
    <w:link w:val="427"/>
    <w:qFormat/>
    <w:uiPriority w:val="0"/>
    <w:rPr>
      <w:rFonts w:cs="宋体"/>
      <w:kern w:val="2"/>
      <w:sz w:val="24"/>
    </w:rPr>
  </w:style>
  <w:style w:type="paragraph" w:customStyle="1" w:styleId="427">
    <w:name w:val="样式 正文缩进 + 首行缩进:  2 字符"/>
    <w:basedOn w:val="2"/>
    <w:link w:val="426"/>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8">
    <w:name w:val="正文文本 Char1"/>
    <w:link w:val="24"/>
    <w:qFormat/>
    <w:uiPriority w:val="0"/>
    <w:rPr>
      <w:rFonts w:ascii="宋体" w:hAnsi="Arial" w:eastAsia="宋体" w:cs="Arial"/>
      <w:snapToGrid w:val="0"/>
      <w:kern w:val="2"/>
      <w:sz w:val="24"/>
      <w:szCs w:val="21"/>
      <w:lang w:val="zh-CN" w:eastAsia="zh-CN" w:bidi="ar-SA"/>
    </w:rPr>
  </w:style>
  <w:style w:type="character" w:customStyle="1" w:styleId="429">
    <w:name w:val="gray6"/>
    <w:basedOn w:val="70"/>
    <w:qFormat/>
    <w:uiPriority w:val="0"/>
    <w:rPr>
      <w:rFonts w:ascii="Arial" w:hAnsi="Arial" w:eastAsia="黑体" w:cs="Arial"/>
      <w:snapToGrid w:val="0"/>
      <w:kern w:val="0"/>
      <w:szCs w:val="21"/>
    </w:rPr>
  </w:style>
  <w:style w:type="character" w:customStyle="1" w:styleId="430">
    <w:name w:val="hui"/>
    <w:basedOn w:val="70"/>
    <w:qFormat/>
    <w:uiPriority w:val="0"/>
    <w:rPr>
      <w:rFonts w:ascii="Arial" w:hAnsi="Arial" w:eastAsia="黑体" w:cs="Arial"/>
      <w:snapToGrid w:val="0"/>
      <w:kern w:val="0"/>
      <w:szCs w:val="21"/>
    </w:rPr>
  </w:style>
  <w:style w:type="character" w:customStyle="1" w:styleId="431">
    <w:name w:val="哈哈正文 Char Char"/>
    <w:qFormat/>
    <w:uiPriority w:val="0"/>
    <w:rPr>
      <w:rFonts w:ascii="宋体" w:hAnsi="宋体" w:eastAsia="宋体" w:cs="宋体"/>
      <w:kern w:val="2"/>
      <w:sz w:val="24"/>
      <w:lang w:val="en-US" w:eastAsia="zh-CN" w:bidi="ar-SA"/>
    </w:rPr>
  </w:style>
  <w:style w:type="paragraph" w:customStyle="1" w:styleId="432">
    <w:name w:val="样式 正文文本缩进 + 左侧:  2 字符 首行缩进:  2 字符"/>
    <w:basedOn w:val="26"/>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3">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4">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5">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6">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7">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8">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39">
    <w:name w:val="标题4_自定义"/>
    <w:basedOn w:val="6"/>
    <w:qFormat/>
    <w:uiPriority w:val="0"/>
    <w:pPr>
      <w:adjustRightInd/>
      <w:spacing w:before="0" w:after="0" w:line="360" w:lineRule="auto"/>
    </w:pPr>
    <w:rPr>
      <w:rFonts w:ascii="Verdana" w:eastAsia="Verdana"/>
      <w:sz w:val="21"/>
      <w:lang w:val="en-US"/>
    </w:rPr>
  </w:style>
  <w:style w:type="paragraph" w:customStyle="1" w:styleId="440">
    <w:name w:val="正文 内标 序号标"/>
    <w:basedOn w:val="441"/>
    <w:qFormat/>
    <w:uiPriority w:val="0"/>
    <w:pPr>
      <w:tabs>
        <w:tab w:val="left" w:pos="0"/>
      </w:tabs>
      <w:adjustRightInd/>
      <w:spacing w:before="0"/>
      <w:ind w:firstLine="482"/>
    </w:pPr>
    <w:rPr>
      <w:rFonts w:ascii="微软雅黑" w:hAnsi="微软雅黑"/>
      <w:sz w:val="24"/>
      <w:szCs w:val="24"/>
    </w:rPr>
  </w:style>
  <w:style w:type="paragraph" w:customStyle="1" w:styleId="441">
    <w:name w:val="My正文"/>
    <w:basedOn w:val="1"/>
    <w:qFormat/>
    <w:uiPriority w:val="0"/>
    <w:pPr>
      <w:spacing w:before="120" w:line="360" w:lineRule="auto"/>
      <w:ind w:firstLine="567"/>
    </w:pPr>
    <w:rPr>
      <w:rFonts w:ascii="Arial" w:hAnsi="Arial"/>
      <w:sz w:val="20"/>
      <w:szCs w:val="20"/>
    </w:rPr>
  </w:style>
  <w:style w:type="paragraph" w:customStyle="1" w:styleId="44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3">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4">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5">
    <w:name w:val="修订2"/>
    <w:qFormat/>
    <w:uiPriority w:val="0"/>
    <w:rPr>
      <w:rFonts w:ascii="Times New Roman" w:hAnsi="Times New Roman" w:eastAsia="宋体" w:cs="Times New Roman"/>
      <w:kern w:val="2"/>
      <w:sz w:val="21"/>
      <w:lang w:val="en-US" w:eastAsia="zh-CN" w:bidi="ar-SA"/>
    </w:rPr>
  </w:style>
  <w:style w:type="paragraph" w:customStyle="1" w:styleId="446">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7">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8">
    <w:name w:val="文章标题"/>
    <w:next w:val="449"/>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49">
    <w:name w:val="封面公司名"/>
    <w:qFormat/>
    <w:uiPriority w:val="0"/>
    <w:pPr>
      <w:jc w:val="center"/>
    </w:pPr>
    <w:rPr>
      <w:rFonts w:ascii="Arial" w:hAnsi="Arial" w:eastAsia="楷体_GB2312" w:cs="宋体"/>
      <w:bCs/>
      <w:kern w:val="2"/>
      <w:sz w:val="28"/>
      <w:lang w:val="en-US" w:eastAsia="zh-CN" w:bidi="ar-SA"/>
    </w:rPr>
  </w:style>
  <w:style w:type="paragraph" w:customStyle="1" w:styleId="450">
    <w:name w:val="Char1 Char Char Char5"/>
    <w:basedOn w:val="1"/>
    <w:qFormat/>
    <w:uiPriority w:val="0"/>
    <w:pPr>
      <w:adjustRightInd/>
      <w:ind w:firstLine="200" w:firstLineChars="200"/>
    </w:pPr>
    <w:rPr>
      <w:rFonts w:ascii="Tahoma" w:hAnsi="Tahoma"/>
      <w:sz w:val="24"/>
      <w:szCs w:val="20"/>
    </w:rPr>
  </w:style>
  <w:style w:type="paragraph" w:customStyle="1" w:styleId="451">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2">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3">
    <w:name w:val="Char Char Char Char Char Char Char Char"/>
    <w:basedOn w:val="1"/>
    <w:qFormat/>
    <w:uiPriority w:val="0"/>
    <w:pPr>
      <w:tabs>
        <w:tab w:val="left" w:pos="360"/>
      </w:tabs>
    </w:pPr>
    <w:rPr>
      <w:sz w:val="24"/>
      <w:szCs w:val="20"/>
    </w:rPr>
  </w:style>
  <w:style w:type="paragraph" w:customStyle="1" w:styleId="454">
    <w:name w:val="Char Char11 Char Char Char"/>
    <w:basedOn w:val="1"/>
    <w:qFormat/>
    <w:uiPriority w:val="0"/>
    <w:pPr>
      <w:spacing w:line="360" w:lineRule="auto"/>
    </w:pPr>
    <w:rPr>
      <w:szCs w:val="20"/>
    </w:rPr>
  </w:style>
  <w:style w:type="paragraph" w:customStyle="1" w:styleId="455">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6">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7">
    <w:name w:val="样式3"/>
    <w:basedOn w:val="458"/>
    <w:qFormat/>
    <w:uiPriority w:val="0"/>
    <w:pPr>
      <w:tabs>
        <w:tab w:val="left" w:pos="2790"/>
        <w:tab w:val="left" w:pos="4230"/>
      </w:tabs>
      <w:spacing w:before="312" w:beforeLines="100"/>
      <w:jc w:val="left"/>
    </w:pPr>
  </w:style>
  <w:style w:type="paragraph" w:customStyle="1" w:styleId="458">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59">
    <w:name w:val="Char Char1 Char Char1 Char Char1"/>
    <w:basedOn w:val="1"/>
    <w:qFormat/>
    <w:uiPriority w:val="0"/>
    <w:pPr>
      <w:tabs>
        <w:tab w:val="left" w:pos="840"/>
      </w:tabs>
      <w:ind w:left="840" w:hanging="420"/>
    </w:pPr>
    <w:rPr>
      <w:rFonts w:ascii="Tahoma" w:hAnsi="Tahoma"/>
      <w:sz w:val="24"/>
    </w:rPr>
  </w:style>
  <w:style w:type="paragraph" w:customStyle="1" w:styleId="460">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1">
    <w:name w:val="标书标题2"/>
    <w:basedOn w:val="4"/>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2">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3">
    <w:name w:val="正文21"/>
    <w:basedOn w:val="1"/>
    <w:qFormat/>
    <w:uiPriority w:val="0"/>
    <w:pPr>
      <w:adjustRightInd/>
      <w:spacing w:before="156" w:line="360" w:lineRule="auto"/>
      <w:ind w:firstLine="510" w:firstLineChars="200"/>
    </w:pPr>
    <w:rPr>
      <w:sz w:val="24"/>
      <w:szCs w:val="20"/>
    </w:rPr>
  </w:style>
  <w:style w:type="paragraph" w:customStyle="1" w:styleId="464">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5">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6">
    <w:name w:val="Char1"/>
    <w:basedOn w:val="1"/>
    <w:qFormat/>
    <w:uiPriority w:val="0"/>
    <w:rPr>
      <w:rFonts w:ascii="仿宋_GB2312" w:eastAsia="仿宋_GB2312"/>
      <w:b/>
      <w:sz w:val="32"/>
      <w:szCs w:val="32"/>
    </w:rPr>
  </w:style>
  <w:style w:type="paragraph" w:customStyle="1" w:styleId="467">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69">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0">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1">
    <w:name w:val="6级标题"/>
    <w:basedOn w:val="472"/>
    <w:qFormat/>
    <w:uiPriority w:val="0"/>
    <w:pPr>
      <w:keepNext/>
      <w:tabs>
        <w:tab w:val="left" w:pos="360"/>
      </w:tabs>
      <w:spacing w:before="0" w:after="0"/>
      <w:outlineLvl w:val="5"/>
    </w:pPr>
  </w:style>
  <w:style w:type="paragraph" w:customStyle="1" w:styleId="472">
    <w:name w:val="5级标题"/>
    <w:basedOn w:val="473"/>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3">
    <w:name w:val="4级标题"/>
    <w:basedOn w:val="256"/>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4">
    <w:name w:val="样式 正文文本缩进 + 段前: 2 字符"/>
    <w:basedOn w:val="1"/>
    <w:qFormat/>
    <w:uiPriority w:val="0"/>
    <w:pPr>
      <w:adjustRightInd/>
      <w:ind w:left="420" w:leftChars="200"/>
      <w:jc w:val="left"/>
    </w:pPr>
    <w:rPr>
      <w:sz w:val="28"/>
      <w:szCs w:val="20"/>
      <w:lang w:eastAsia="zh-TW"/>
    </w:rPr>
  </w:style>
  <w:style w:type="paragraph" w:customStyle="1" w:styleId="475">
    <w:name w:val="Char2 Char Char"/>
    <w:basedOn w:val="1"/>
    <w:qFormat/>
    <w:uiPriority w:val="0"/>
    <w:pPr>
      <w:adjustRightInd/>
    </w:pPr>
    <w:rPr>
      <w:rFonts w:ascii="Tahoma" w:hAnsi="Tahoma"/>
      <w:sz w:val="24"/>
      <w:szCs w:val="20"/>
    </w:rPr>
  </w:style>
  <w:style w:type="paragraph" w:customStyle="1" w:styleId="476">
    <w:name w:val="_Style 11"/>
    <w:basedOn w:val="1"/>
    <w:qFormat/>
    <w:uiPriority w:val="34"/>
    <w:pPr>
      <w:adjustRightInd/>
      <w:ind w:firstLine="420" w:firstLineChars="200"/>
    </w:pPr>
    <w:rPr>
      <w:rFonts w:eastAsia="仿宋_GB2312"/>
      <w:sz w:val="28"/>
    </w:rPr>
  </w:style>
  <w:style w:type="paragraph" w:customStyle="1" w:styleId="477">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8">
    <w:name w:val="Char Char Char"/>
    <w:basedOn w:val="1"/>
    <w:qFormat/>
    <w:uiPriority w:val="0"/>
    <w:rPr>
      <w:rFonts w:ascii="Tahoma" w:hAnsi="Tahoma"/>
      <w:sz w:val="24"/>
      <w:szCs w:val="20"/>
    </w:rPr>
  </w:style>
  <w:style w:type="paragraph" w:customStyle="1" w:styleId="479">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0">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1">
    <w:name w:val="No Spacing"/>
    <w:basedOn w:val="1"/>
    <w:link w:val="931"/>
    <w:qFormat/>
    <w:uiPriority w:val="99"/>
    <w:rPr>
      <w:szCs w:val="22"/>
    </w:rPr>
  </w:style>
  <w:style w:type="paragraph" w:customStyle="1" w:styleId="482">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3">
    <w:name w:val="Char Char Char Char Char Char Char Char Char Char Char Char1 Char1"/>
    <w:basedOn w:val="1"/>
    <w:qFormat/>
    <w:uiPriority w:val="6"/>
    <w:rPr>
      <w:rFonts w:ascii="Tahoma" w:hAnsi="Tahoma" w:cs="仿宋_GB2312"/>
      <w:sz w:val="24"/>
      <w:szCs w:val="20"/>
    </w:rPr>
  </w:style>
  <w:style w:type="paragraph" w:customStyle="1" w:styleId="484">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5">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6">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7">
    <w:name w:val="MM Topic 2"/>
    <w:basedOn w:val="4"/>
    <w:qFormat/>
    <w:uiPriority w:val="0"/>
    <w:pPr>
      <w:tabs>
        <w:tab w:val="left" w:pos="1260"/>
      </w:tabs>
      <w:ind w:left="1260" w:hanging="420"/>
    </w:pPr>
    <w:rPr>
      <w:rFonts w:ascii="Arial" w:hAnsi="Arial" w:eastAsia="黑体"/>
      <w:lang w:val="en-US"/>
    </w:rPr>
  </w:style>
  <w:style w:type="paragraph" w:customStyle="1" w:styleId="488">
    <w:name w:val="五级无标题条"/>
    <w:basedOn w:val="1"/>
    <w:qFormat/>
    <w:uiPriority w:val="0"/>
    <w:pPr>
      <w:adjustRightInd/>
    </w:pPr>
  </w:style>
  <w:style w:type="paragraph" w:customStyle="1" w:styleId="489">
    <w:name w:val="Char5"/>
    <w:basedOn w:val="1"/>
    <w:qFormat/>
    <w:uiPriority w:val="0"/>
    <w:rPr>
      <w:rFonts w:ascii="仿宋_GB2312" w:eastAsia="仿宋_GB2312"/>
      <w:b/>
      <w:sz w:val="32"/>
      <w:szCs w:val="32"/>
    </w:rPr>
  </w:style>
  <w:style w:type="paragraph" w:customStyle="1" w:styleId="490">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1">
    <w:name w:val="彩色列表 - 强调文字颜色 12"/>
    <w:basedOn w:val="1"/>
    <w:qFormat/>
    <w:uiPriority w:val="0"/>
    <w:pPr>
      <w:adjustRightInd/>
      <w:ind w:firstLine="420" w:firstLineChars="200"/>
    </w:pPr>
    <w:rPr>
      <w:rFonts w:ascii="Calibri" w:hAnsi="Calibri"/>
      <w:szCs w:val="22"/>
    </w:rPr>
  </w:style>
  <w:style w:type="paragraph" w:customStyle="1" w:styleId="492">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3">
    <w:name w:val="Char2"/>
    <w:basedOn w:val="1"/>
    <w:qFormat/>
    <w:uiPriority w:val="0"/>
    <w:rPr>
      <w:rFonts w:ascii="仿宋_GB2312" w:eastAsia="仿宋_GB2312"/>
      <w:b/>
      <w:sz w:val="32"/>
      <w:szCs w:val="32"/>
    </w:rPr>
  </w:style>
  <w:style w:type="paragraph" w:customStyle="1" w:styleId="494">
    <w:name w:val="数字标题3"/>
    <w:basedOn w:val="5"/>
    <w:next w:val="1"/>
    <w:qFormat/>
    <w:uiPriority w:val="0"/>
    <w:pPr>
      <w:spacing w:line="240" w:lineRule="auto"/>
    </w:pPr>
    <w:rPr>
      <w:sz w:val="28"/>
      <w:szCs w:val="28"/>
    </w:rPr>
  </w:style>
  <w:style w:type="paragraph" w:customStyle="1" w:styleId="495">
    <w:name w:val="FA正文"/>
    <w:basedOn w:val="1"/>
    <w:qFormat/>
    <w:uiPriority w:val="0"/>
    <w:pPr>
      <w:spacing w:line="360" w:lineRule="auto"/>
      <w:ind w:firstLine="480" w:firstLineChars="200"/>
    </w:pPr>
    <w:rPr>
      <w:rFonts w:hAnsi="宋体"/>
      <w:sz w:val="24"/>
      <w:szCs w:val="20"/>
    </w:rPr>
  </w:style>
  <w:style w:type="paragraph" w:customStyle="1" w:styleId="496">
    <w:name w:val="MM Topic 5"/>
    <w:basedOn w:val="7"/>
    <w:qFormat/>
    <w:uiPriority w:val="0"/>
    <w:pPr>
      <w:tabs>
        <w:tab w:val="left" w:pos="2520"/>
      </w:tabs>
      <w:adjustRightInd/>
      <w:ind w:left="2520" w:hanging="420"/>
    </w:pPr>
  </w:style>
  <w:style w:type="paragraph" w:customStyle="1" w:styleId="497">
    <w:name w:val="Char Char Char Char Char Char Char Char Char Char1"/>
    <w:basedOn w:val="1"/>
    <w:qFormat/>
    <w:uiPriority w:val="0"/>
    <w:rPr>
      <w:rFonts w:ascii="仿宋_GB2312" w:eastAsia="仿宋_GB2312"/>
      <w:b/>
      <w:sz w:val="32"/>
      <w:szCs w:val="32"/>
    </w:rPr>
  </w:style>
  <w:style w:type="paragraph" w:customStyle="1" w:styleId="498">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9">
    <w:name w:val="修订1"/>
    <w:qFormat/>
    <w:uiPriority w:val="3"/>
    <w:rPr>
      <w:rFonts w:ascii="Times New Roman" w:hAnsi="Times New Roman" w:eastAsia="宋体" w:cs="Times New Roman"/>
      <w:color w:val="000000"/>
      <w:kern w:val="1"/>
      <w:sz w:val="21"/>
      <w:lang w:val="en-US" w:eastAsia="zh-CN" w:bidi="ar-SA"/>
    </w:rPr>
  </w:style>
  <w:style w:type="paragraph" w:customStyle="1" w:styleId="500">
    <w:name w:val="Char2 Char Char Char"/>
    <w:basedOn w:val="1"/>
    <w:qFormat/>
    <w:uiPriority w:val="0"/>
    <w:rPr>
      <w:rFonts w:ascii="仿宋_GB2312" w:eastAsia="仿宋_GB2312"/>
      <w:b/>
      <w:sz w:val="32"/>
      <w:szCs w:val="32"/>
    </w:rPr>
  </w:style>
  <w:style w:type="paragraph" w:customStyle="1" w:styleId="501">
    <w:name w:val="Char2 Char Char Char1"/>
    <w:basedOn w:val="1"/>
    <w:qFormat/>
    <w:uiPriority w:val="6"/>
    <w:rPr>
      <w:rFonts w:ascii="仿宋_GB2312" w:eastAsia="仿宋_GB2312"/>
      <w:b/>
      <w:sz w:val="32"/>
      <w:szCs w:val="32"/>
    </w:rPr>
  </w:style>
  <w:style w:type="paragraph" w:customStyle="1" w:styleId="502">
    <w:name w:val="默认段落样式"/>
    <w:basedOn w:val="129"/>
    <w:qFormat/>
    <w:uiPriority w:val="0"/>
    <w:pPr>
      <w:spacing w:before="0"/>
      <w:ind w:firstLine="480"/>
      <w:outlineLvl w:val="2"/>
    </w:pPr>
    <w:rPr>
      <w:rFonts w:ascii="仿宋_GB2312" w:hAnsi="宋体" w:eastAsia="仿宋_GB2312"/>
      <w:color w:val="000000"/>
      <w:szCs w:val="24"/>
    </w:rPr>
  </w:style>
  <w:style w:type="paragraph" w:customStyle="1" w:styleId="503">
    <w:name w:val="图中文字"/>
    <w:basedOn w:val="1"/>
    <w:qFormat/>
    <w:uiPriority w:val="0"/>
    <w:pPr>
      <w:snapToGrid w:val="0"/>
      <w:spacing w:line="0" w:lineRule="atLeast"/>
      <w:ind w:firstLine="200" w:firstLineChars="200"/>
      <w:jc w:val="center"/>
    </w:pPr>
    <w:rPr>
      <w:sz w:val="24"/>
      <w:szCs w:val="20"/>
    </w:rPr>
  </w:style>
  <w:style w:type="paragraph" w:customStyle="1" w:styleId="504">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5">
    <w:name w:val="MM Topic 3"/>
    <w:basedOn w:val="5"/>
    <w:qFormat/>
    <w:uiPriority w:val="0"/>
    <w:pPr>
      <w:tabs>
        <w:tab w:val="left" w:pos="1680"/>
      </w:tabs>
      <w:adjustRightInd/>
      <w:ind w:left="1680" w:hanging="420"/>
    </w:pPr>
  </w:style>
  <w:style w:type="paragraph" w:customStyle="1" w:styleId="506">
    <w:name w:val="标准小四"/>
    <w:basedOn w:val="1"/>
    <w:qFormat/>
    <w:uiPriority w:val="0"/>
    <w:pPr>
      <w:spacing w:line="360" w:lineRule="auto"/>
      <w:ind w:firstLine="480" w:firstLineChars="200"/>
    </w:pPr>
    <w:rPr>
      <w:rFonts w:ascii="Arial" w:hAnsi="Arial"/>
      <w:sz w:val="24"/>
      <w:szCs w:val="21"/>
    </w:rPr>
  </w:style>
  <w:style w:type="paragraph" w:customStyle="1" w:styleId="507">
    <w:name w:val="样式 标题 2H2h2Underrubrik1prop2l2Chapter Titlesect 1.2DO NO..."/>
    <w:basedOn w:val="4"/>
    <w:qFormat/>
    <w:uiPriority w:val="0"/>
    <w:pPr>
      <w:spacing w:before="120" w:after="120"/>
      <w:ind w:left="425" w:hanging="425"/>
    </w:pPr>
    <w:rPr>
      <w:rFonts w:ascii="微软雅黑" w:hAnsi="微软雅黑" w:eastAsia="微软雅黑" w:cs="宋体"/>
      <w:szCs w:val="20"/>
      <w:lang w:val="en-US"/>
    </w:rPr>
  </w:style>
  <w:style w:type="paragraph" w:customStyle="1" w:styleId="508">
    <w:name w:val="表格（小）"/>
    <w:basedOn w:val="1"/>
    <w:qFormat/>
    <w:uiPriority w:val="0"/>
    <w:pPr>
      <w:adjustRightInd/>
      <w:snapToGrid w:val="0"/>
      <w:spacing w:line="300" w:lineRule="auto"/>
    </w:pPr>
    <w:rPr>
      <w:rFonts w:eastAsia="仿宋"/>
      <w:szCs w:val="21"/>
    </w:rPr>
  </w:style>
  <w:style w:type="paragraph" w:customStyle="1" w:styleId="50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0">
    <w:name w:val="Char2 Char Char1"/>
    <w:basedOn w:val="1"/>
    <w:qFormat/>
    <w:uiPriority w:val="6"/>
    <w:pPr>
      <w:adjustRightInd/>
    </w:pPr>
    <w:rPr>
      <w:rFonts w:ascii="Tahoma" w:hAnsi="Tahoma"/>
      <w:sz w:val="24"/>
      <w:szCs w:val="20"/>
    </w:rPr>
  </w:style>
  <w:style w:type="paragraph" w:customStyle="1" w:styleId="511">
    <w:name w:val="列出段落5"/>
    <w:basedOn w:val="1"/>
    <w:qFormat/>
    <w:uiPriority w:val="0"/>
    <w:pPr>
      <w:spacing w:line="360" w:lineRule="auto"/>
      <w:ind w:firstLine="200" w:firstLineChars="200"/>
    </w:pPr>
    <w:rPr>
      <w:rFonts w:eastAsia="楷体_GB2312" w:cs="Lucida Sans"/>
      <w:sz w:val="24"/>
    </w:rPr>
  </w:style>
  <w:style w:type="paragraph" w:customStyle="1" w:styleId="512">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3">
    <w:name w:val="表格文字"/>
    <w:basedOn w:val="1"/>
    <w:qFormat/>
    <w:uiPriority w:val="99"/>
    <w:pPr>
      <w:adjustRightInd/>
      <w:ind w:firstLine="200" w:firstLineChars="200"/>
    </w:pPr>
    <w:rPr>
      <w:rFonts w:ascii="Arial" w:hAnsi="Arial"/>
      <w:spacing w:val="-5"/>
      <w:kern w:val="0"/>
      <w:sz w:val="24"/>
      <w:szCs w:val="20"/>
    </w:rPr>
  </w:style>
  <w:style w:type="paragraph" w:customStyle="1" w:styleId="514">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5">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6">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7">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8">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9">
    <w:name w:val="_Style 3"/>
    <w:basedOn w:val="1"/>
    <w:qFormat/>
    <w:uiPriority w:val="0"/>
    <w:pPr>
      <w:adjustRightInd/>
      <w:ind w:firstLine="420" w:firstLineChars="200"/>
    </w:pPr>
    <w:rPr>
      <w:rFonts w:eastAsia="仿宋_GB2312"/>
      <w:sz w:val="28"/>
    </w:rPr>
  </w:style>
  <w:style w:type="paragraph" w:customStyle="1" w:styleId="520">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1">
    <w:name w:val="Bulleting First Indent 1"/>
    <w:basedOn w:val="62"/>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2">
    <w:name w:val="左对齐表格文字"/>
    <w:basedOn w:val="1"/>
    <w:qFormat/>
    <w:uiPriority w:val="0"/>
    <w:pPr>
      <w:adjustRightInd/>
      <w:ind w:firstLine="200" w:firstLineChars="200"/>
      <w:jc w:val="right"/>
    </w:pPr>
  </w:style>
  <w:style w:type="paragraph" w:customStyle="1" w:styleId="523">
    <w:name w:val="Char Char11 Char Char Char Char Char Char Char Char Char"/>
    <w:basedOn w:val="1"/>
    <w:qFormat/>
    <w:uiPriority w:val="0"/>
    <w:pPr>
      <w:spacing w:line="360" w:lineRule="auto"/>
    </w:pPr>
    <w:rPr>
      <w:szCs w:val="20"/>
    </w:rPr>
  </w:style>
  <w:style w:type="paragraph" w:customStyle="1" w:styleId="524">
    <w:name w:val="正文1.25"/>
    <w:basedOn w:val="1"/>
    <w:qFormat/>
    <w:uiPriority w:val="0"/>
    <w:pPr>
      <w:adjustRightInd/>
      <w:spacing w:line="300" w:lineRule="auto"/>
      <w:ind w:firstLine="480" w:firstLineChars="200"/>
    </w:pPr>
    <w:rPr>
      <w:sz w:val="24"/>
      <w:szCs w:val="20"/>
    </w:rPr>
  </w:style>
  <w:style w:type="paragraph" w:customStyle="1" w:styleId="525">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6">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7">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8">
    <w:name w:val="Char Char1 Char Char Char1"/>
    <w:basedOn w:val="1"/>
    <w:qFormat/>
    <w:uiPriority w:val="6"/>
    <w:rPr>
      <w:rFonts w:ascii="仿宋_GB2312" w:eastAsia="仿宋_GB2312"/>
      <w:b/>
      <w:sz w:val="32"/>
      <w:szCs w:val="20"/>
    </w:rPr>
  </w:style>
  <w:style w:type="paragraph" w:customStyle="1" w:styleId="529">
    <w:name w:val="列出段落2"/>
    <w:basedOn w:val="1"/>
    <w:qFormat/>
    <w:uiPriority w:val="0"/>
    <w:pPr>
      <w:adjustRightInd/>
      <w:ind w:firstLine="420" w:firstLineChars="200"/>
    </w:pPr>
    <w:rPr>
      <w:rFonts w:ascii="宋体" w:hAnsi="宋体"/>
      <w:sz w:val="24"/>
    </w:rPr>
  </w:style>
  <w:style w:type="paragraph" w:customStyle="1" w:styleId="530">
    <w:name w:val="默认段落字体 Para Char Char Char Char Char Char Char"/>
    <w:basedOn w:val="1"/>
    <w:qFormat/>
    <w:uiPriority w:val="0"/>
    <w:rPr>
      <w:rFonts w:eastAsia="仿宋_GB2312"/>
      <w:sz w:val="28"/>
      <w:szCs w:val="20"/>
    </w:rPr>
  </w:style>
  <w:style w:type="paragraph" w:customStyle="1" w:styleId="531">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2">
    <w:name w:val="样式 标题 4PIM 4H4h4bulletblbbH41H42H43H44H45H46H47H48...1"/>
    <w:basedOn w:val="6"/>
    <w:qFormat/>
    <w:uiPriority w:val="0"/>
    <w:pPr>
      <w:widowControl/>
      <w:jc w:val="left"/>
    </w:pPr>
    <w:rPr>
      <w:rFonts w:cs="宋体"/>
      <w:sz w:val="24"/>
      <w:szCs w:val="20"/>
    </w:rPr>
  </w:style>
  <w:style w:type="paragraph" w:customStyle="1" w:styleId="533">
    <w:name w:val="彩色列表 - 强调文字颜色 11"/>
    <w:basedOn w:val="1"/>
    <w:qFormat/>
    <w:uiPriority w:val="0"/>
    <w:pPr>
      <w:adjustRightInd/>
      <w:ind w:firstLine="420" w:firstLineChars="200"/>
    </w:pPr>
    <w:rPr>
      <w:rFonts w:ascii="Calibri" w:hAnsi="Calibri"/>
      <w:szCs w:val="22"/>
    </w:rPr>
  </w:style>
  <w:style w:type="paragraph" w:customStyle="1" w:styleId="534">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5">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6">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7">
    <w:name w:val="Char Char Char1 Char1"/>
    <w:basedOn w:val="1"/>
    <w:qFormat/>
    <w:uiPriority w:val="6"/>
    <w:rPr>
      <w:szCs w:val="20"/>
    </w:rPr>
  </w:style>
  <w:style w:type="paragraph" w:customStyle="1" w:styleId="538">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9">
    <w:name w:val="样式 标题 2 + 宋体 左侧:  1.76 厘米 首行缩进:  0 厘米"/>
    <w:basedOn w:val="4"/>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0">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1">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2">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3">
    <w:name w:val="CM14"/>
    <w:basedOn w:val="233"/>
    <w:next w:val="233"/>
    <w:qFormat/>
    <w:uiPriority w:val="0"/>
    <w:pPr>
      <w:spacing w:after="68"/>
    </w:pPr>
    <w:rPr>
      <w:rFonts w:ascii="FHLHE E+ Futura Bk" w:eastAsia="FHLHE E+ Futura Bk" w:cs="Times New Roman"/>
      <w:color w:val="auto"/>
    </w:rPr>
  </w:style>
  <w:style w:type="paragraph" w:customStyle="1" w:styleId="544">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5">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6">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7">
    <w:name w:val="正文文字 2"/>
    <w:basedOn w:val="233"/>
    <w:next w:val="233"/>
    <w:qFormat/>
    <w:uiPriority w:val="0"/>
    <w:rPr>
      <w:rFonts w:ascii="宋体" w:eastAsia="宋体" w:cs="Times New Roman"/>
      <w:color w:val="auto"/>
    </w:rPr>
  </w:style>
  <w:style w:type="paragraph" w:customStyle="1" w:styleId="548">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9">
    <w:name w:val="Char Char1 Char"/>
    <w:basedOn w:val="1"/>
    <w:qFormat/>
    <w:uiPriority w:val="0"/>
    <w:rPr>
      <w:rFonts w:ascii="仿宋_GB2312" w:eastAsia="仿宋_GB2312"/>
      <w:b/>
      <w:sz w:val="32"/>
      <w:szCs w:val="32"/>
    </w:rPr>
  </w:style>
  <w:style w:type="paragraph" w:customStyle="1" w:styleId="550">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1">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2">
    <w:name w:val="Char Char111"/>
    <w:basedOn w:val="1"/>
    <w:qFormat/>
    <w:uiPriority w:val="0"/>
    <w:pPr>
      <w:spacing w:line="360" w:lineRule="auto"/>
    </w:pPr>
    <w:rPr>
      <w:szCs w:val="20"/>
    </w:rPr>
  </w:style>
  <w:style w:type="paragraph" w:customStyle="1" w:styleId="553">
    <w:name w:val="Char"/>
    <w:basedOn w:val="1"/>
    <w:qFormat/>
    <w:uiPriority w:val="0"/>
    <w:rPr>
      <w:rFonts w:ascii="仿宋_GB2312" w:eastAsia="仿宋_GB2312"/>
      <w:b/>
      <w:sz w:val="32"/>
      <w:szCs w:val="32"/>
    </w:rPr>
  </w:style>
  <w:style w:type="paragraph" w:customStyle="1" w:styleId="554">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6">
    <w:name w:val="Char Char Char1 Char"/>
    <w:basedOn w:val="1"/>
    <w:qFormat/>
    <w:uiPriority w:val="0"/>
    <w:rPr>
      <w:szCs w:val="20"/>
    </w:rPr>
  </w:style>
  <w:style w:type="paragraph" w:customStyle="1" w:styleId="557">
    <w:name w:val="正文标准"/>
    <w:basedOn w:val="1"/>
    <w:qFormat/>
    <w:uiPriority w:val="0"/>
    <w:pPr>
      <w:adjustRightInd/>
      <w:spacing w:line="360" w:lineRule="auto"/>
      <w:ind w:firstLine="200" w:firstLineChars="200"/>
    </w:pPr>
    <w:rPr>
      <w:rFonts w:ascii="宋体" w:hAnsi="Calibri"/>
      <w:sz w:val="24"/>
    </w:rPr>
  </w:style>
  <w:style w:type="paragraph" w:customStyle="1" w:styleId="558">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9">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0">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1">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2">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3">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4">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5">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6">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7">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9">
    <w:name w:val="标准有序列表（L1）"/>
    <w:basedOn w:val="2"/>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0">
    <w:name w:val="Char Char Char Char Char Char Char Char Char Char"/>
    <w:basedOn w:val="1"/>
    <w:qFormat/>
    <w:uiPriority w:val="0"/>
    <w:rPr>
      <w:rFonts w:ascii="仿宋_GB2312" w:eastAsia="仿宋_GB2312"/>
      <w:b/>
      <w:sz w:val="32"/>
      <w:szCs w:val="32"/>
    </w:rPr>
  </w:style>
  <w:style w:type="paragraph" w:customStyle="1" w:styleId="571">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2">
    <w:name w:val="_正文段落"/>
    <w:basedOn w:val="1"/>
    <w:qFormat/>
    <w:uiPriority w:val="0"/>
    <w:pPr>
      <w:adjustRightInd/>
      <w:ind w:firstLine="560"/>
    </w:pPr>
    <w:rPr>
      <w:rFonts w:ascii="仿宋_GB2312" w:hAnsi="仿宋" w:eastAsia="仿宋_GB2312"/>
      <w:kern w:val="0"/>
      <w:sz w:val="28"/>
      <w:szCs w:val="28"/>
    </w:rPr>
  </w:style>
  <w:style w:type="paragraph" w:customStyle="1" w:styleId="573">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4">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5">
    <w:name w:val="正文（首行缩进）"/>
    <w:basedOn w:val="26"/>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6">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7">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8">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9">
    <w:name w:val="Char Char Char1 Char2"/>
    <w:basedOn w:val="1"/>
    <w:qFormat/>
    <w:uiPriority w:val="0"/>
    <w:rPr>
      <w:szCs w:val="20"/>
    </w:rPr>
  </w:style>
  <w:style w:type="paragraph" w:customStyle="1" w:styleId="580">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1">
    <w:name w:val="默认段落字体 Para Char"/>
    <w:basedOn w:val="1"/>
    <w:qFormat/>
    <w:uiPriority w:val="0"/>
    <w:rPr>
      <w:rFonts w:ascii="Tahoma" w:hAnsi="Tahoma"/>
      <w:sz w:val="24"/>
      <w:szCs w:val="20"/>
    </w:rPr>
  </w:style>
  <w:style w:type="paragraph" w:customStyle="1" w:styleId="582">
    <w:name w:val="标题五"/>
    <w:basedOn w:val="1"/>
    <w:qFormat/>
    <w:uiPriority w:val="0"/>
    <w:pPr>
      <w:adjustRightInd/>
      <w:spacing w:before="156" w:beforeLines="50" w:line="360" w:lineRule="auto"/>
    </w:pPr>
    <w:rPr>
      <w:b/>
      <w:sz w:val="24"/>
    </w:rPr>
  </w:style>
  <w:style w:type="paragraph" w:customStyle="1" w:styleId="583">
    <w:name w:val="Char Char1101"/>
    <w:basedOn w:val="1"/>
    <w:qFormat/>
    <w:uiPriority w:val="0"/>
    <w:pPr>
      <w:spacing w:line="360" w:lineRule="auto"/>
    </w:pPr>
    <w:rPr>
      <w:rFonts w:ascii="Tahoma" w:hAnsi="Tahoma"/>
      <w:sz w:val="24"/>
      <w:szCs w:val="20"/>
    </w:rPr>
  </w:style>
  <w:style w:type="paragraph" w:customStyle="1" w:styleId="584">
    <w:name w:val="Char Char Char Char Char Char Char Char1"/>
    <w:basedOn w:val="1"/>
    <w:qFormat/>
    <w:uiPriority w:val="0"/>
    <w:pPr>
      <w:tabs>
        <w:tab w:val="left" w:pos="360"/>
      </w:tabs>
    </w:pPr>
    <w:rPr>
      <w:sz w:val="24"/>
      <w:szCs w:val="20"/>
    </w:rPr>
  </w:style>
  <w:style w:type="paragraph" w:customStyle="1" w:styleId="585">
    <w:name w:val="Char Char Char 字元 字元"/>
    <w:basedOn w:val="1"/>
    <w:qFormat/>
    <w:uiPriority w:val="0"/>
    <w:pPr>
      <w:adjustRightInd/>
      <w:spacing w:line="360" w:lineRule="auto"/>
      <w:ind w:firstLine="200" w:firstLineChars="200"/>
    </w:pPr>
    <w:rPr>
      <w:szCs w:val="20"/>
    </w:rPr>
  </w:style>
  <w:style w:type="paragraph" w:customStyle="1" w:styleId="586">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7">
    <w:name w:val="Char Char Char Char Char Char Char"/>
    <w:basedOn w:val="1"/>
    <w:qFormat/>
    <w:uiPriority w:val="0"/>
    <w:rPr>
      <w:rFonts w:ascii="仿宋_GB2312" w:eastAsia="仿宋_GB2312"/>
      <w:b/>
      <w:sz w:val="32"/>
      <w:szCs w:val="32"/>
    </w:rPr>
  </w:style>
  <w:style w:type="paragraph" w:customStyle="1" w:styleId="588">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9">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0">
    <w:name w:val="样式 标题 22h2L1 Heading 2H2sect 1.2H21sect 1.21H22sect 1.2..."/>
    <w:basedOn w:val="4"/>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1">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592">
    <w:name w:val="批注框文本 Char Char"/>
    <w:basedOn w:val="1"/>
    <w:qFormat/>
    <w:uiPriority w:val="0"/>
    <w:pPr>
      <w:adjustRightInd/>
    </w:pPr>
    <w:rPr>
      <w:sz w:val="18"/>
      <w:szCs w:val="20"/>
    </w:rPr>
  </w:style>
  <w:style w:type="paragraph" w:customStyle="1" w:styleId="593">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4">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5">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6">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7">
    <w:name w:val="索引 11"/>
    <w:basedOn w:val="1"/>
    <w:next w:val="1"/>
    <w:qFormat/>
    <w:uiPriority w:val="99"/>
    <w:pPr>
      <w:adjustRightInd/>
      <w:spacing w:line="360" w:lineRule="auto"/>
    </w:pPr>
    <w:rPr>
      <w:rFonts w:ascii="仿宋_GB2312" w:eastAsia="仿宋_GB2312"/>
      <w:sz w:val="24"/>
      <w:szCs w:val="20"/>
    </w:rPr>
  </w:style>
  <w:style w:type="paragraph" w:customStyle="1" w:styleId="598">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9">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0">
    <w:name w:val="正文文字缩进项目"/>
    <w:basedOn w:val="26"/>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1">
    <w:name w:val="文档正文"/>
    <w:basedOn w:val="1"/>
    <w:qFormat/>
    <w:uiPriority w:val="0"/>
    <w:pPr>
      <w:spacing w:line="480" w:lineRule="atLeast"/>
      <w:ind w:firstLine="567"/>
      <w:textAlignment w:val="baseline"/>
    </w:pPr>
    <w:rPr>
      <w:kern w:val="0"/>
      <w:sz w:val="24"/>
      <w:szCs w:val="20"/>
    </w:rPr>
  </w:style>
  <w:style w:type="paragraph" w:customStyle="1" w:styleId="602">
    <w:name w:val="正文文字表格居中"/>
    <w:basedOn w:val="1"/>
    <w:next w:val="57"/>
    <w:qFormat/>
    <w:uiPriority w:val="0"/>
    <w:pPr>
      <w:snapToGrid w:val="0"/>
      <w:spacing w:line="360" w:lineRule="auto"/>
    </w:pPr>
    <w:rPr>
      <w:rFonts w:ascii="宋体"/>
      <w:b/>
      <w:sz w:val="24"/>
      <w:szCs w:val="20"/>
    </w:rPr>
  </w:style>
  <w:style w:type="paragraph" w:customStyle="1" w:styleId="603">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4">
    <w:name w:val="小节"/>
    <w:basedOn w:val="5"/>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5">
    <w:name w:val="Plain Text1"/>
    <w:basedOn w:val="1"/>
    <w:qFormat/>
    <w:uiPriority w:val="7"/>
    <w:pPr>
      <w:adjustRightInd/>
    </w:pPr>
    <w:rPr>
      <w:rFonts w:ascii="宋体" w:hAnsi="Courier New"/>
    </w:rPr>
  </w:style>
  <w:style w:type="paragraph" w:customStyle="1" w:styleId="606">
    <w:name w:val="Char3"/>
    <w:basedOn w:val="1"/>
    <w:qFormat/>
    <w:uiPriority w:val="0"/>
    <w:pPr>
      <w:adjustRightInd/>
    </w:pPr>
    <w:rPr>
      <w:rFonts w:ascii="仿宋_GB2312" w:eastAsia="仿宋_GB2312"/>
      <w:b/>
      <w:sz w:val="32"/>
      <w:szCs w:val="32"/>
    </w:rPr>
  </w:style>
  <w:style w:type="paragraph" w:customStyle="1" w:styleId="607">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8">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9">
    <w:name w:val="标题2"/>
    <w:basedOn w:val="4"/>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0">
    <w:name w:val="List Paragraph1"/>
    <w:basedOn w:val="1"/>
    <w:qFormat/>
    <w:uiPriority w:val="0"/>
    <w:pPr>
      <w:spacing w:line="360" w:lineRule="auto"/>
      <w:ind w:firstLine="200" w:firstLineChars="200"/>
    </w:pPr>
    <w:rPr>
      <w:rFonts w:eastAsia="楷体_GB2312" w:cs="Lucida Sans"/>
      <w:sz w:val="24"/>
    </w:rPr>
  </w:style>
  <w:style w:type="paragraph" w:customStyle="1" w:styleId="611">
    <w:name w:val="样式 标题 3标题 3 Char第二层条h33Bold Headbh章标题1小标题level_3PIM 3..."/>
    <w:basedOn w:val="5"/>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2">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3">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4">
    <w:name w:val="Char3 Char Char Char"/>
    <w:basedOn w:val="1"/>
    <w:qFormat/>
    <w:uiPriority w:val="0"/>
    <w:pPr>
      <w:widowControl/>
      <w:adjustRightInd/>
      <w:spacing w:after="160" w:line="240" w:lineRule="exact"/>
      <w:jc w:val="left"/>
    </w:pPr>
    <w:rPr>
      <w:szCs w:val="20"/>
    </w:rPr>
  </w:style>
  <w:style w:type="paragraph" w:customStyle="1" w:styleId="615">
    <w:name w:val="表格标题2"/>
    <w:basedOn w:val="616"/>
    <w:qFormat/>
    <w:uiPriority w:val="0"/>
    <w:rPr>
      <w:b/>
    </w:rPr>
  </w:style>
  <w:style w:type="paragraph" w:customStyle="1" w:styleId="616">
    <w:name w:val="表格内文"/>
    <w:basedOn w:val="1"/>
    <w:qFormat/>
    <w:uiPriority w:val="0"/>
    <w:pPr>
      <w:adjustRightInd/>
      <w:spacing w:line="360" w:lineRule="auto"/>
    </w:pPr>
    <w:rPr>
      <w:rFonts w:ascii="宋体" w:hAnsi="宋体" w:cs="宋体"/>
      <w:color w:val="000000"/>
      <w:szCs w:val="20"/>
    </w:rPr>
  </w:style>
  <w:style w:type="paragraph" w:customStyle="1" w:styleId="617">
    <w:name w:val="Char Char Char Char Char Char Char Char Char Char2"/>
    <w:basedOn w:val="1"/>
    <w:qFormat/>
    <w:uiPriority w:val="0"/>
    <w:rPr>
      <w:rFonts w:ascii="仿宋_GB2312" w:eastAsia="仿宋_GB2312"/>
      <w:b/>
      <w:sz w:val="32"/>
      <w:szCs w:val="32"/>
    </w:rPr>
  </w:style>
  <w:style w:type="paragraph" w:customStyle="1" w:styleId="618">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9">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0">
    <w:name w:val="Char Char11 Char Char Char Char Char Char Char Char Char11"/>
    <w:basedOn w:val="1"/>
    <w:qFormat/>
    <w:uiPriority w:val="0"/>
    <w:pPr>
      <w:spacing w:line="360" w:lineRule="auto"/>
    </w:pPr>
    <w:rPr>
      <w:szCs w:val="20"/>
    </w:rPr>
  </w:style>
  <w:style w:type="paragraph" w:customStyle="1" w:styleId="621">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2">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3">
    <w:name w:val="MM Topic 1"/>
    <w:basedOn w:val="3"/>
    <w:qFormat/>
    <w:uiPriority w:val="0"/>
    <w:pPr>
      <w:tabs>
        <w:tab w:val="left" w:pos="840"/>
      </w:tabs>
      <w:adjustRightInd/>
      <w:ind w:left="840" w:hanging="420"/>
    </w:pPr>
  </w:style>
  <w:style w:type="paragraph" w:customStyle="1" w:styleId="624">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625">
    <w:name w:val="文本正文 Char"/>
    <w:basedOn w:val="1"/>
    <w:qFormat/>
    <w:uiPriority w:val="0"/>
    <w:pPr>
      <w:spacing w:line="360" w:lineRule="auto"/>
      <w:ind w:firstLine="200" w:firstLineChars="200"/>
    </w:pPr>
    <w:rPr>
      <w:kern w:val="0"/>
      <w:sz w:val="24"/>
      <w:szCs w:val="20"/>
    </w:rPr>
  </w:style>
  <w:style w:type="paragraph" w:customStyle="1" w:styleId="626">
    <w:name w:val="表格"/>
    <w:basedOn w:val="1"/>
    <w:qFormat/>
    <w:uiPriority w:val="0"/>
    <w:pPr>
      <w:snapToGrid w:val="0"/>
      <w:ind w:firstLine="42" w:firstLineChars="21"/>
    </w:pPr>
    <w:rPr>
      <w:rFonts w:ascii="宋体" w:hAnsi="宋体"/>
      <w:kern w:val="0"/>
      <w:sz w:val="20"/>
      <w:szCs w:val="20"/>
    </w:rPr>
  </w:style>
  <w:style w:type="paragraph" w:customStyle="1" w:styleId="627">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8">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29">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0">
    <w:name w:val="表格项目符号 2"/>
    <w:basedOn w:val="30"/>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1">
    <w:name w:val="EB_表格"/>
    <w:basedOn w:val="1"/>
    <w:qFormat/>
    <w:uiPriority w:val="0"/>
    <w:pPr>
      <w:adjustRightInd/>
      <w:spacing w:line="300" w:lineRule="auto"/>
      <w:jc w:val="center"/>
    </w:pPr>
  </w:style>
  <w:style w:type="paragraph" w:customStyle="1" w:styleId="632">
    <w:name w:val="_Style 6"/>
    <w:basedOn w:val="1"/>
    <w:qFormat/>
    <w:uiPriority w:val="34"/>
    <w:pPr>
      <w:adjustRightInd/>
      <w:ind w:firstLine="420" w:firstLineChars="200"/>
    </w:pPr>
    <w:rPr>
      <w:rFonts w:eastAsia="仿宋_GB2312"/>
      <w:sz w:val="28"/>
    </w:rPr>
  </w:style>
  <w:style w:type="paragraph" w:customStyle="1" w:styleId="633">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4">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5">
    <w:name w:val="!大节"/>
    <w:basedOn w:val="4"/>
    <w:qFormat/>
    <w:uiPriority w:val="0"/>
    <w:pPr>
      <w:spacing w:before="260" w:after="260" w:line="415" w:lineRule="auto"/>
      <w:ind w:left="420" w:hanging="420"/>
    </w:pPr>
    <w:rPr>
      <w:rFonts w:ascii="Arial" w:hAnsi="Arial" w:eastAsia="微软雅黑"/>
      <w:lang w:val="en-US"/>
    </w:rPr>
  </w:style>
  <w:style w:type="paragraph" w:customStyle="1" w:styleId="636">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7">
    <w:name w:val="正文表标题"/>
    <w:next w:val="638"/>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9">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0">
    <w:name w:val="trademark"/>
    <w:qFormat/>
    <w:uiPriority w:val="0"/>
    <w:pPr>
      <w:spacing w:after="60"/>
    </w:pPr>
    <w:rPr>
      <w:rFonts w:ascii="Futura Bk" w:hAnsi="Futura Bk" w:eastAsia="宋体" w:cs="Times New Roman"/>
      <w:sz w:val="15"/>
      <w:lang w:val="en-US" w:eastAsia="en-US" w:bidi="ar-SA"/>
    </w:rPr>
  </w:style>
  <w:style w:type="paragraph" w:customStyle="1" w:styleId="641">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2">
    <w:name w:val="Char Char1 Char Char Char Char Char Char1"/>
    <w:basedOn w:val="1"/>
    <w:qFormat/>
    <w:uiPriority w:val="0"/>
    <w:rPr>
      <w:rFonts w:ascii="仿宋_GB2312" w:eastAsia="仿宋_GB2312"/>
      <w:b/>
      <w:sz w:val="32"/>
      <w:szCs w:val="20"/>
    </w:rPr>
  </w:style>
  <w:style w:type="paragraph" w:customStyle="1" w:styleId="643">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4">
    <w:name w:val="Char1 Char Char Char1"/>
    <w:basedOn w:val="1"/>
    <w:qFormat/>
    <w:uiPriority w:val="0"/>
    <w:pPr>
      <w:adjustRightInd/>
      <w:ind w:firstLine="200" w:firstLineChars="200"/>
    </w:pPr>
    <w:rPr>
      <w:rFonts w:ascii="Tahoma" w:hAnsi="Tahoma"/>
      <w:sz w:val="24"/>
      <w:szCs w:val="20"/>
    </w:rPr>
  </w:style>
  <w:style w:type="paragraph" w:customStyle="1" w:styleId="645">
    <w:name w:val="a1"/>
    <w:basedOn w:val="1"/>
    <w:qFormat/>
    <w:uiPriority w:val="0"/>
    <w:pPr>
      <w:widowControl/>
      <w:spacing w:line="300" w:lineRule="atLeast"/>
      <w:jc w:val="left"/>
    </w:pPr>
    <w:rPr>
      <w:rFonts w:ascii="宋体" w:hAnsi="宋体"/>
      <w:kern w:val="0"/>
      <w:sz w:val="18"/>
      <w:szCs w:val="20"/>
    </w:rPr>
  </w:style>
  <w:style w:type="paragraph" w:customStyle="1" w:styleId="646">
    <w:name w:val="样式7"/>
    <w:basedOn w:val="647"/>
    <w:next w:val="1"/>
    <w:qFormat/>
    <w:uiPriority w:val="0"/>
    <w:pPr>
      <w:spacing w:after="156" w:afterLines="50"/>
      <w:jc w:val="left"/>
      <w:outlineLvl w:val="3"/>
    </w:pPr>
    <w:rPr>
      <w:sz w:val="24"/>
      <w:szCs w:val="24"/>
    </w:rPr>
  </w:style>
  <w:style w:type="paragraph" w:customStyle="1" w:styleId="647">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8">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49">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0">
    <w:name w:val="样式 样式2 + 左侧:  1 字符 右侧:  1 字符"/>
    <w:basedOn w:val="458"/>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1">
    <w:name w:val="Char2 Char Char2"/>
    <w:basedOn w:val="1"/>
    <w:qFormat/>
    <w:uiPriority w:val="0"/>
    <w:pPr>
      <w:adjustRightInd/>
    </w:pPr>
    <w:rPr>
      <w:rFonts w:ascii="Tahoma" w:hAnsi="Tahoma"/>
      <w:sz w:val="24"/>
      <w:szCs w:val="20"/>
    </w:rPr>
  </w:style>
  <w:style w:type="paragraph" w:customStyle="1" w:styleId="652">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3">
    <w:name w:val="三级条标题"/>
    <w:basedOn w:val="654"/>
    <w:next w:val="638"/>
    <w:qFormat/>
    <w:uiPriority w:val="0"/>
    <w:pPr>
      <w:tabs>
        <w:tab w:val="left" w:pos="1260"/>
        <w:tab w:val="left" w:pos="1680"/>
        <w:tab w:val="left" w:pos="2100"/>
        <w:tab w:val="left" w:pos="2520"/>
      </w:tabs>
      <w:ind w:left="2520"/>
      <w:outlineLvl w:val="4"/>
    </w:pPr>
  </w:style>
  <w:style w:type="paragraph" w:customStyle="1" w:styleId="654">
    <w:name w:val="二级条标题"/>
    <w:basedOn w:val="655"/>
    <w:next w:val="638"/>
    <w:qFormat/>
    <w:uiPriority w:val="0"/>
    <w:pPr>
      <w:tabs>
        <w:tab w:val="left" w:pos="1260"/>
        <w:tab w:val="left" w:pos="1680"/>
        <w:tab w:val="left" w:pos="2100"/>
      </w:tabs>
      <w:ind w:left="0"/>
      <w:outlineLvl w:val="3"/>
    </w:pPr>
  </w:style>
  <w:style w:type="paragraph" w:customStyle="1" w:styleId="655">
    <w:name w:val="一级条标题"/>
    <w:basedOn w:val="656"/>
    <w:next w:val="638"/>
    <w:qFormat/>
    <w:uiPriority w:val="0"/>
    <w:pPr>
      <w:tabs>
        <w:tab w:val="left" w:pos="1260"/>
        <w:tab w:val="left" w:pos="1680"/>
      </w:tabs>
      <w:spacing w:before="0" w:beforeLines="0" w:after="0" w:afterLines="0"/>
      <w:ind w:left="1680"/>
      <w:outlineLvl w:val="2"/>
    </w:pPr>
  </w:style>
  <w:style w:type="paragraph" w:customStyle="1" w:styleId="656">
    <w:name w:val="章标题"/>
    <w:next w:val="638"/>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7">
    <w:name w:val="数字标题2"/>
    <w:basedOn w:val="4"/>
    <w:next w:val="1"/>
    <w:qFormat/>
    <w:uiPriority w:val="0"/>
    <w:pPr>
      <w:tabs>
        <w:tab w:val="left" w:pos="480"/>
      </w:tabs>
      <w:ind w:left="480" w:hanging="480"/>
    </w:pPr>
    <w:rPr>
      <w:rFonts w:ascii="Times New Roman" w:eastAsia="宋体"/>
      <w:i/>
      <w:sz w:val="36"/>
      <w:szCs w:val="36"/>
      <w:lang w:val="en-US"/>
    </w:rPr>
  </w:style>
  <w:style w:type="paragraph" w:customStyle="1" w:styleId="65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59">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0">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1">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2">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3">
    <w:name w:val="正文 项目2"/>
    <w:basedOn w:val="664"/>
    <w:qFormat/>
    <w:uiPriority w:val="0"/>
    <w:pPr>
      <w:tabs>
        <w:tab w:val="left" w:pos="840"/>
      </w:tabs>
      <w:spacing w:after="0"/>
      <w:ind w:left="900"/>
    </w:pPr>
  </w:style>
  <w:style w:type="paragraph" w:customStyle="1" w:styleId="664">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5">
    <w:name w:val="Body Text 2*"/>
    <w:basedOn w:val="1"/>
    <w:qFormat/>
    <w:uiPriority w:val="6"/>
    <w:pPr>
      <w:widowControl/>
      <w:adjustRightInd/>
      <w:ind w:left="720" w:hanging="720"/>
    </w:pPr>
    <w:rPr>
      <w:color w:val="000000"/>
      <w:kern w:val="0"/>
      <w:sz w:val="24"/>
      <w:szCs w:val="20"/>
      <w:lang w:val="en-GB"/>
    </w:rPr>
  </w:style>
  <w:style w:type="paragraph" w:customStyle="1" w:styleId="666">
    <w:name w:val="表1"/>
    <w:basedOn w:val="1"/>
    <w:qFormat/>
    <w:uiPriority w:val="0"/>
    <w:pPr>
      <w:tabs>
        <w:tab w:val="left" w:pos="703"/>
      </w:tabs>
      <w:adjustRightInd/>
      <w:spacing w:line="360" w:lineRule="auto"/>
      <w:ind w:left="703"/>
      <w:jc w:val="center"/>
    </w:pPr>
  </w:style>
  <w:style w:type="paragraph" w:customStyle="1" w:styleId="667">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8">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69">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0">
    <w:name w:val="2级标题"/>
    <w:basedOn w:val="671"/>
    <w:qFormat/>
    <w:uiPriority w:val="0"/>
    <w:pPr>
      <w:jc w:val="left"/>
      <w:outlineLvl w:val="1"/>
    </w:pPr>
    <w:rPr>
      <w:rFonts w:ascii="Times New Roman" w:hAnsi="Times New Roman" w:eastAsia="仿宋"/>
      <w:sz w:val="30"/>
    </w:rPr>
  </w:style>
  <w:style w:type="paragraph" w:customStyle="1" w:styleId="671">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2">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3">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4">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5">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6">
    <w:name w:val="bullet"/>
    <w:basedOn w:val="1"/>
    <w:qFormat/>
    <w:uiPriority w:val="0"/>
    <w:pPr>
      <w:tabs>
        <w:tab w:val="left" w:pos="840"/>
      </w:tabs>
      <w:adjustRightInd/>
      <w:ind w:left="840" w:hanging="420"/>
    </w:pPr>
  </w:style>
  <w:style w:type="paragraph" w:customStyle="1" w:styleId="677">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8">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9">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0">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1">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3">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4">
    <w:name w:val="MM Topic 4"/>
    <w:basedOn w:val="6"/>
    <w:qFormat/>
    <w:uiPriority w:val="0"/>
    <w:pPr>
      <w:tabs>
        <w:tab w:val="left" w:pos="2100"/>
      </w:tabs>
      <w:adjustRightInd/>
      <w:ind w:left="2100" w:hanging="420"/>
    </w:pPr>
    <w:rPr>
      <w:lang w:val="en-US"/>
    </w:rPr>
  </w:style>
  <w:style w:type="paragraph" w:customStyle="1" w:styleId="685">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6">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7">
    <w:name w:val="Char Char11 Char Char Char Char Char Char Char Char Char1"/>
    <w:basedOn w:val="1"/>
    <w:qFormat/>
    <w:uiPriority w:val="6"/>
    <w:pPr>
      <w:spacing w:line="360" w:lineRule="auto"/>
    </w:pPr>
    <w:rPr>
      <w:szCs w:val="20"/>
    </w:rPr>
  </w:style>
  <w:style w:type="paragraph" w:customStyle="1" w:styleId="688">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89">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0">
    <w:name w:val="body text bold"/>
    <w:basedOn w:val="24"/>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1">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2">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3">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4">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5">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7">
    <w:name w:val="单元格居中"/>
    <w:basedOn w:val="1"/>
    <w:qFormat/>
    <w:uiPriority w:val="0"/>
    <w:pPr>
      <w:adjustRightInd/>
      <w:spacing w:line="360" w:lineRule="auto"/>
      <w:jc w:val="center"/>
    </w:pPr>
    <w:rPr>
      <w:sz w:val="24"/>
    </w:rPr>
  </w:style>
  <w:style w:type="paragraph" w:customStyle="1" w:styleId="698">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699">
    <w:name w:val="Char Char Char Char Char Char Char1"/>
    <w:basedOn w:val="1"/>
    <w:qFormat/>
    <w:uiPriority w:val="6"/>
    <w:rPr>
      <w:rFonts w:ascii="仿宋_GB2312" w:eastAsia="仿宋_GB2312"/>
      <w:b/>
      <w:sz w:val="32"/>
      <w:szCs w:val="32"/>
    </w:rPr>
  </w:style>
  <w:style w:type="paragraph" w:customStyle="1" w:styleId="700">
    <w:name w:val="正文缩进1"/>
    <w:basedOn w:val="1"/>
    <w:next w:val="26"/>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1">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2">
    <w:name w:val="Char3 Char Char Char11"/>
    <w:basedOn w:val="1"/>
    <w:qFormat/>
    <w:uiPriority w:val="0"/>
    <w:pPr>
      <w:widowControl/>
      <w:adjustRightInd/>
      <w:spacing w:after="160" w:line="240" w:lineRule="exact"/>
      <w:jc w:val="left"/>
    </w:pPr>
    <w:rPr>
      <w:szCs w:val="20"/>
    </w:rPr>
  </w:style>
  <w:style w:type="paragraph" w:customStyle="1" w:styleId="703">
    <w:name w:val="Char Char1121"/>
    <w:basedOn w:val="1"/>
    <w:qFormat/>
    <w:uiPriority w:val="0"/>
    <w:pPr>
      <w:spacing w:line="360" w:lineRule="auto"/>
    </w:pPr>
    <w:rPr>
      <w:szCs w:val="20"/>
    </w:rPr>
  </w:style>
  <w:style w:type="paragraph" w:customStyle="1" w:styleId="704">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5">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6">
    <w:name w:val="Normal0"/>
    <w:qFormat/>
    <w:uiPriority w:val="0"/>
    <w:rPr>
      <w:rFonts w:ascii="Times New Roman" w:hAnsi="Times New Roman" w:eastAsia="宋体" w:cs="Times New Roman"/>
      <w:lang w:val="en-US" w:eastAsia="en-US" w:bidi="ar-SA"/>
    </w:rPr>
  </w:style>
  <w:style w:type="paragraph" w:customStyle="1" w:styleId="707">
    <w:name w:val="带编号样式"/>
    <w:basedOn w:val="625"/>
    <w:qFormat/>
    <w:uiPriority w:val="0"/>
    <w:pPr>
      <w:tabs>
        <w:tab w:val="left" w:pos="840"/>
      </w:tabs>
      <w:snapToGrid w:val="0"/>
      <w:ind w:left="840" w:hanging="420" w:firstLineChars="0"/>
    </w:pPr>
    <w:rPr>
      <w:rFonts w:ascii="仿宋_GB2312" w:eastAsia="仿宋_GB2312"/>
      <w:color w:val="000000"/>
    </w:rPr>
  </w:style>
  <w:style w:type="paragraph" w:customStyle="1" w:styleId="708">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9">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0">
    <w:name w:val="封面"/>
    <w:basedOn w:val="1"/>
    <w:qFormat/>
    <w:uiPriority w:val="0"/>
    <w:pPr>
      <w:spacing w:line="360" w:lineRule="atLeast"/>
      <w:jc w:val="right"/>
      <w:textAlignment w:val="baseline"/>
    </w:pPr>
    <w:rPr>
      <w:rFonts w:ascii="Symbol" w:hAnsi="Symbol"/>
      <w:kern w:val="0"/>
      <w:szCs w:val="20"/>
    </w:rPr>
  </w:style>
  <w:style w:type="paragraph" w:customStyle="1" w:styleId="711">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2">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3">
    <w:name w:val="默认段落字体 Para Char Char Char1 Char"/>
    <w:basedOn w:val="1"/>
    <w:qFormat/>
    <w:uiPriority w:val="0"/>
    <w:pPr>
      <w:spacing w:line="240" w:lineRule="atLeast"/>
      <w:ind w:left="420" w:firstLine="420"/>
    </w:pPr>
    <w:rPr>
      <w:sz w:val="24"/>
    </w:rPr>
  </w:style>
  <w:style w:type="paragraph" w:customStyle="1" w:styleId="714">
    <w:name w:val="WW-正文文字缩进 2"/>
    <w:basedOn w:val="1"/>
    <w:qFormat/>
    <w:uiPriority w:val="0"/>
    <w:pPr>
      <w:suppressAutoHyphens/>
      <w:adjustRightInd/>
      <w:ind w:firstLine="420"/>
    </w:pPr>
    <w:rPr>
      <w:kern w:val="1"/>
      <w:szCs w:val="20"/>
    </w:rPr>
  </w:style>
  <w:style w:type="paragraph" w:customStyle="1" w:styleId="715">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6">
    <w:name w:val="样式 标题 2 + 四号"/>
    <w:basedOn w:val="4"/>
    <w:qFormat/>
    <w:uiPriority w:val="0"/>
    <w:pPr>
      <w:spacing w:before="120" w:after="120"/>
      <w:ind w:left="0" w:firstLine="0"/>
      <w:jc w:val="both"/>
    </w:pPr>
    <w:rPr>
      <w:rFonts w:ascii="宋体" w:hAnsi="Arial" w:eastAsia="宋体"/>
      <w:sz w:val="28"/>
      <w:lang w:val="en-US"/>
    </w:rPr>
  </w:style>
  <w:style w:type="paragraph" w:customStyle="1" w:styleId="717">
    <w:name w:val="有符号正文"/>
    <w:basedOn w:val="1"/>
    <w:qFormat/>
    <w:uiPriority w:val="0"/>
    <w:pPr>
      <w:adjustRightInd/>
      <w:spacing w:line="400" w:lineRule="exact"/>
      <w:ind w:firstLine="200" w:firstLineChars="200"/>
    </w:pPr>
    <w:rPr>
      <w:rFonts w:ascii="Arial" w:hAnsi="Arial"/>
    </w:rPr>
  </w:style>
  <w:style w:type="paragraph" w:customStyle="1" w:styleId="718">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9">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0">
    <w:name w:val="4"/>
    <w:basedOn w:val="1"/>
    <w:next w:val="38"/>
    <w:qFormat/>
    <w:uiPriority w:val="0"/>
    <w:pPr>
      <w:spacing w:after="120" w:line="480" w:lineRule="auto"/>
      <w:ind w:left="420" w:leftChars="200"/>
    </w:pPr>
    <w:rPr>
      <w:sz w:val="24"/>
      <w:szCs w:val="20"/>
    </w:rPr>
  </w:style>
  <w:style w:type="paragraph" w:customStyle="1" w:styleId="721">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2">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3">
    <w:name w:val="样式 标题 3H3 + 两端对齐"/>
    <w:basedOn w:val="5"/>
    <w:qFormat/>
    <w:uiPriority w:val="0"/>
    <w:pPr>
      <w:keepLines w:val="0"/>
      <w:spacing w:before="0" w:after="0" w:line="240" w:lineRule="auto"/>
      <w:jc w:val="left"/>
    </w:pPr>
    <w:rPr>
      <w:rFonts w:cs="宋体"/>
      <w:sz w:val="21"/>
      <w:szCs w:val="20"/>
    </w:rPr>
  </w:style>
  <w:style w:type="paragraph" w:customStyle="1" w:styleId="724">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5">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6">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7">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8">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9">
    <w:name w:val="Char Char1 Char Char Char"/>
    <w:basedOn w:val="1"/>
    <w:qFormat/>
    <w:uiPriority w:val="0"/>
    <w:rPr>
      <w:rFonts w:ascii="仿宋_GB2312" w:eastAsia="仿宋_GB2312"/>
      <w:b/>
      <w:sz w:val="32"/>
      <w:szCs w:val="20"/>
    </w:rPr>
  </w:style>
  <w:style w:type="paragraph" w:customStyle="1" w:styleId="730">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1">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2">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3">
    <w:name w:val="Char Char1 Char Char Char2"/>
    <w:basedOn w:val="1"/>
    <w:qFormat/>
    <w:uiPriority w:val="0"/>
    <w:rPr>
      <w:rFonts w:ascii="仿宋_GB2312" w:eastAsia="仿宋_GB2312"/>
      <w:b/>
      <w:sz w:val="32"/>
      <w:szCs w:val="32"/>
    </w:rPr>
  </w:style>
  <w:style w:type="paragraph" w:customStyle="1" w:styleId="734">
    <w:name w:val="Char3 Char Char Char1"/>
    <w:basedOn w:val="1"/>
    <w:qFormat/>
    <w:uiPriority w:val="6"/>
    <w:pPr>
      <w:widowControl/>
      <w:adjustRightInd/>
      <w:spacing w:after="160" w:line="240" w:lineRule="exact"/>
      <w:jc w:val="left"/>
    </w:pPr>
    <w:rPr>
      <w:szCs w:val="20"/>
    </w:rPr>
  </w:style>
  <w:style w:type="paragraph" w:customStyle="1" w:styleId="735">
    <w:name w:val="Char1 Char Char Char21"/>
    <w:basedOn w:val="1"/>
    <w:qFormat/>
    <w:uiPriority w:val="0"/>
    <w:rPr>
      <w:rFonts w:ascii="Tahoma" w:hAnsi="Tahoma"/>
      <w:sz w:val="24"/>
      <w:szCs w:val="20"/>
    </w:rPr>
  </w:style>
  <w:style w:type="paragraph" w:customStyle="1" w:styleId="736">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7">
    <w:name w:val="正文（标题三）"/>
    <w:basedOn w:val="1"/>
    <w:qFormat/>
    <w:uiPriority w:val="0"/>
    <w:pPr>
      <w:spacing w:line="360" w:lineRule="auto"/>
      <w:ind w:firstLine="200" w:firstLineChars="200"/>
    </w:pPr>
    <w:rPr>
      <w:sz w:val="24"/>
    </w:rPr>
  </w:style>
  <w:style w:type="paragraph" w:customStyle="1" w:styleId="738">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39">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0">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1">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2">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3">
    <w:name w:val="Char1 Char Char Char4"/>
    <w:basedOn w:val="1"/>
    <w:qFormat/>
    <w:uiPriority w:val="0"/>
    <w:pPr>
      <w:adjustRightInd/>
      <w:ind w:firstLine="200" w:firstLineChars="200"/>
    </w:pPr>
    <w:rPr>
      <w:rFonts w:ascii="Tahoma" w:hAnsi="Tahoma"/>
      <w:sz w:val="24"/>
      <w:szCs w:val="20"/>
    </w:rPr>
  </w:style>
  <w:style w:type="paragraph" w:customStyle="1" w:styleId="744">
    <w:name w:val="_标题2"/>
    <w:basedOn w:val="711"/>
    <w:next w:val="711"/>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5">
    <w:name w:val="样式1 + (中宋体"/>
    <w:basedOn w:val="722"/>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6">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7">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8">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9">
    <w:name w:val="四号　首行缩进"/>
    <w:basedOn w:val="1"/>
    <w:qFormat/>
    <w:uiPriority w:val="0"/>
    <w:pPr>
      <w:adjustRightInd/>
      <w:spacing w:line="360" w:lineRule="auto"/>
    </w:pPr>
    <w:rPr>
      <w:rFonts w:ascii="宋体" w:hAnsi="宋体"/>
      <w:szCs w:val="20"/>
    </w:rPr>
  </w:style>
  <w:style w:type="paragraph" w:customStyle="1" w:styleId="750">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1">
    <w:name w:val="Char Char Char Char Char Char Char Char Char Char Char1 Char"/>
    <w:basedOn w:val="1"/>
    <w:qFormat/>
    <w:uiPriority w:val="0"/>
    <w:pPr>
      <w:adjustRightInd/>
    </w:pPr>
    <w:rPr>
      <w:rFonts w:ascii="Tahoma" w:hAnsi="Tahoma"/>
      <w:sz w:val="24"/>
    </w:rPr>
  </w:style>
  <w:style w:type="paragraph" w:customStyle="1" w:styleId="752">
    <w:name w:val="Char Char Char Char11"/>
    <w:basedOn w:val="1"/>
    <w:qFormat/>
    <w:uiPriority w:val="0"/>
    <w:rPr>
      <w:rFonts w:ascii="Tahoma" w:hAnsi="Tahoma"/>
      <w:sz w:val="24"/>
      <w:szCs w:val="20"/>
    </w:rPr>
  </w:style>
  <w:style w:type="paragraph" w:customStyle="1" w:styleId="753">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4">
    <w:name w:val="Char Char Char Char"/>
    <w:basedOn w:val="1"/>
    <w:qFormat/>
    <w:uiPriority w:val="0"/>
    <w:rPr>
      <w:rFonts w:ascii="Tahoma" w:hAnsi="Tahoma"/>
      <w:sz w:val="24"/>
      <w:szCs w:val="20"/>
    </w:rPr>
  </w:style>
  <w:style w:type="paragraph" w:customStyle="1" w:styleId="755">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6">
    <w:name w:val="Char19"/>
    <w:basedOn w:val="1"/>
    <w:qFormat/>
    <w:uiPriority w:val="0"/>
    <w:pPr>
      <w:adjustRightInd/>
    </w:pPr>
    <w:rPr>
      <w:szCs w:val="20"/>
    </w:rPr>
  </w:style>
  <w:style w:type="paragraph" w:customStyle="1" w:styleId="757">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8">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59">
    <w:name w:val="_Style 5"/>
    <w:basedOn w:val="1"/>
    <w:qFormat/>
    <w:uiPriority w:val="34"/>
    <w:pPr>
      <w:adjustRightInd/>
      <w:ind w:firstLine="420" w:firstLineChars="200"/>
    </w:pPr>
    <w:rPr>
      <w:rFonts w:eastAsia="仿宋_GB2312"/>
      <w:sz w:val="28"/>
    </w:rPr>
  </w:style>
  <w:style w:type="paragraph" w:customStyle="1" w:styleId="760">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1">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2">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3">
    <w:name w:val="标书表格字体格式"/>
    <w:next w:val="757"/>
    <w:qFormat/>
    <w:uiPriority w:val="0"/>
    <w:rPr>
      <w:rFonts w:ascii="Times New Roman" w:hAnsi="Times New Roman" w:eastAsia="宋体" w:cs="Times New Roman"/>
      <w:kern w:val="2"/>
      <w:sz w:val="21"/>
      <w:szCs w:val="24"/>
      <w:lang w:val="en-US" w:eastAsia="zh-CN" w:bidi="ar-SA"/>
    </w:rPr>
  </w:style>
  <w:style w:type="paragraph" w:customStyle="1" w:styleId="764">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5">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6">
    <w:name w:val="修订3"/>
    <w:qFormat/>
    <w:uiPriority w:val="0"/>
    <w:rPr>
      <w:rFonts w:ascii="Times New Roman" w:hAnsi="Times New Roman" w:eastAsia="宋体" w:cs="Times New Roman"/>
      <w:kern w:val="2"/>
      <w:sz w:val="21"/>
      <w:lang w:val="en-US" w:eastAsia="zh-CN" w:bidi="ar-SA"/>
    </w:rPr>
  </w:style>
  <w:style w:type="paragraph" w:customStyle="1" w:styleId="767">
    <w:name w:val="CSS1级正文 Char"/>
    <w:basedOn w:val="24"/>
    <w:qFormat/>
    <w:uiPriority w:val="0"/>
    <w:pPr>
      <w:autoSpaceDE/>
      <w:autoSpaceDN/>
      <w:snapToGrid w:val="0"/>
      <w:ind w:firstLine="480" w:firstLineChars="200"/>
    </w:pPr>
    <w:rPr>
      <w:rFonts w:ascii="Times New Roman"/>
      <w:szCs w:val="24"/>
      <w:lang w:val="en-US"/>
    </w:rPr>
  </w:style>
  <w:style w:type="paragraph" w:customStyle="1" w:styleId="768">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9">
    <w:name w:val="表文字"/>
    <w:qFormat/>
    <w:uiPriority w:val="0"/>
    <w:rPr>
      <w:rFonts w:ascii="宋体" w:hAnsi="Times New Roman" w:eastAsia="宋体" w:cs="Times New Roman"/>
      <w:kern w:val="2"/>
      <w:lang w:val="en-US" w:eastAsia="zh-CN" w:bidi="ar-SA"/>
    </w:rPr>
  </w:style>
  <w:style w:type="paragraph" w:customStyle="1" w:styleId="770">
    <w:name w:val="MM Title"/>
    <w:basedOn w:val="60"/>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1">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2">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3">
    <w:name w:val="Char Char Char Char Char Char Char Char2"/>
    <w:basedOn w:val="1"/>
    <w:qFormat/>
    <w:uiPriority w:val="0"/>
    <w:pPr>
      <w:tabs>
        <w:tab w:val="left" w:pos="360"/>
      </w:tabs>
    </w:pPr>
    <w:rPr>
      <w:sz w:val="24"/>
      <w:szCs w:val="20"/>
    </w:rPr>
  </w:style>
  <w:style w:type="paragraph" w:customStyle="1" w:styleId="774">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5">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6">
    <w:name w:val="中文标题 3"/>
    <w:basedOn w:val="26"/>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7">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8">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9">
    <w:name w:val="正文－恩普"/>
    <w:basedOn w:val="2"/>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0">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1">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2">
    <w:name w:val="p0"/>
    <w:basedOn w:val="1"/>
    <w:qFormat/>
    <w:uiPriority w:val="0"/>
    <w:pPr>
      <w:widowControl/>
      <w:adjustRightInd/>
    </w:pPr>
    <w:rPr>
      <w:kern w:val="0"/>
      <w:szCs w:val="21"/>
    </w:rPr>
  </w:style>
  <w:style w:type="paragraph" w:customStyle="1" w:styleId="783">
    <w:name w:val="Char6"/>
    <w:basedOn w:val="1"/>
    <w:qFormat/>
    <w:uiPriority w:val="0"/>
    <w:rPr>
      <w:rFonts w:ascii="仿宋_GB2312" w:eastAsia="仿宋_GB2312"/>
      <w:b/>
      <w:sz w:val="32"/>
      <w:szCs w:val="32"/>
    </w:rPr>
  </w:style>
  <w:style w:type="paragraph" w:customStyle="1" w:styleId="784">
    <w:name w:val="Char111"/>
    <w:basedOn w:val="1"/>
    <w:qFormat/>
    <w:uiPriority w:val="0"/>
    <w:rPr>
      <w:rFonts w:ascii="仿宋_GB2312" w:eastAsia="仿宋_GB2312"/>
      <w:b/>
      <w:sz w:val="32"/>
      <w:szCs w:val="32"/>
    </w:rPr>
  </w:style>
  <w:style w:type="paragraph" w:customStyle="1" w:styleId="785">
    <w:name w:val="标题3"/>
    <w:basedOn w:val="5"/>
    <w:next w:val="54"/>
    <w:qFormat/>
    <w:uiPriority w:val="0"/>
    <w:pPr>
      <w:tabs>
        <w:tab w:val="clear" w:pos="900"/>
      </w:tabs>
      <w:spacing w:after="0" w:line="360" w:lineRule="auto"/>
    </w:pPr>
    <w:rPr>
      <w:rFonts w:ascii="仿宋" w:hAnsi="仿宋" w:eastAsia="仿宋" w:cs="仿宋"/>
    </w:rPr>
  </w:style>
  <w:style w:type="paragraph" w:customStyle="1" w:styleId="786">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7">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8">
    <w:name w:val="Char1 Char Char Char2"/>
    <w:basedOn w:val="1"/>
    <w:qFormat/>
    <w:uiPriority w:val="0"/>
    <w:pPr>
      <w:adjustRightInd/>
      <w:ind w:firstLine="200" w:firstLineChars="200"/>
    </w:pPr>
    <w:rPr>
      <w:rFonts w:ascii="Tahoma" w:hAnsi="Tahoma"/>
      <w:sz w:val="24"/>
      <w:szCs w:val="20"/>
    </w:rPr>
  </w:style>
  <w:style w:type="paragraph" w:customStyle="1" w:styleId="789">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0">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1">
    <w:name w:val="Char Char Char Char Char Char Char2"/>
    <w:basedOn w:val="1"/>
    <w:qFormat/>
    <w:uiPriority w:val="0"/>
    <w:rPr>
      <w:rFonts w:ascii="仿宋_GB2312" w:eastAsia="仿宋_GB2312"/>
      <w:b/>
      <w:sz w:val="32"/>
      <w:szCs w:val="32"/>
    </w:rPr>
  </w:style>
  <w:style w:type="paragraph" w:customStyle="1" w:styleId="792">
    <w:name w:val="五级条标题"/>
    <w:basedOn w:val="793"/>
    <w:next w:val="638"/>
    <w:qFormat/>
    <w:uiPriority w:val="0"/>
    <w:pPr>
      <w:tabs>
        <w:tab w:val="left" w:pos="1260"/>
        <w:tab w:val="left" w:pos="1680"/>
        <w:tab w:val="left" w:pos="2100"/>
        <w:tab w:val="left" w:pos="2940"/>
        <w:tab w:val="left" w:pos="3360"/>
      </w:tabs>
      <w:ind w:left="3360"/>
      <w:outlineLvl w:val="6"/>
    </w:pPr>
  </w:style>
  <w:style w:type="paragraph" w:customStyle="1" w:styleId="793">
    <w:name w:val="四级条标题"/>
    <w:basedOn w:val="653"/>
    <w:next w:val="638"/>
    <w:qFormat/>
    <w:uiPriority w:val="0"/>
    <w:pPr>
      <w:tabs>
        <w:tab w:val="left" w:pos="2940"/>
        <w:tab w:val="clear" w:pos="2520"/>
      </w:tabs>
      <w:ind w:left="2940"/>
      <w:outlineLvl w:val="5"/>
    </w:pPr>
  </w:style>
  <w:style w:type="paragraph" w:customStyle="1" w:styleId="794">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5">
    <w:name w:val="Char23"/>
    <w:basedOn w:val="1"/>
    <w:qFormat/>
    <w:uiPriority w:val="0"/>
    <w:rPr>
      <w:rFonts w:ascii="仿宋_GB2312" w:eastAsia="仿宋_GB2312"/>
      <w:b/>
      <w:sz w:val="32"/>
      <w:szCs w:val="32"/>
    </w:rPr>
  </w:style>
  <w:style w:type="paragraph" w:customStyle="1" w:styleId="796">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7">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8">
    <w:name w:val="首行缩进"/>
    <w:basedOn w:val="1"/>
    <w:qFormat/>
    <w:uiPriority w:val="0"/>
    <w:pPr>
      <w:spacing w:line="360" w:lineRule="auto"/>
      <w:ind w:firstLine="480" w:firstLineChars="200"/>
    </w:pPr>
    <w:rPr>
      <w:rFonts w:ascii="宋体"/>
      <w:sz w:val="24"/>
      <w:szCs w:val="20"/>
    </w:rPr>
  </w:style>
  <w:style w:type="paragraph" w:customStyle="1" w:styleId="799">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0">
    <w:name w:val="单元格左对齐"/>
    <w:basedOn w:val="1"/>
    <w:qFormat/>
    <w:uiPriority w:val="0"/>
    <w:pPr>
      <w:adjustRightInd/>
      <w:spacing w:line="360" w:lineRule="auto"/>
    </w:pPr>
    <w:rPr>
      <w:sz w:val="24"/>
    </w:rPr>
  </w:style>
  <w:style w:type="paragraph" w:customStyle="1" w:styleId="801">
    <w:name w:val="正文主体"/>
    <w:basedOn w:val="622"/>
    <w:qFormat/>
    <w:uiPriority w:val="0"/>
  </w:style>
  <w:style w:type="paragraph" w:customStyle="1" w:styleId="802">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3">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4">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5">
    <w:name w:val="正文（首行缩进2字符）"/>
    <w:basedOn w:val="1"/>
    <w:qFormat/>
    <w:uiPriority w:val="0"/>
    <w:pPr>
      <w:adjustRightInd/>
      <w:spacing w:line="360" w:lineRule="auto"/>
      <w:ind w:firstLine="480" w:firstLineChars="200"/>
    </w:pPr>
    <w:rPr>
      <w:sz w:val="24"/>
      <w:szCs w:val="20"/>
    </w:rPr>
  </w:style>
  <w:style w:type="paragraph" w:customStyle="1" w:styleId="806">
    <w:name w:val="P1"/>
    <w:basedOn w:val="1"/>
    <w:qFormat/>
    <w:uiPriority w:val="0"/>
    <w:pPr>
      <w:adjustRightInd/>
      <w:spacing w:line="288" w:lineRule="auto"/>
      <w:ind w:firstLine="425" w:firstLineChars="200"/>
    </w:pPr>
  </w:style>
  <w:style w:type="paragraph" w:customStyle="1" w:styleId="807">
    <w:name w:val="列表内容"/>
    <w:basedOn w:val="1"/>
    <w:next w:val="1"/>
    <w:qFormat/>
    <w:uiPriority w:val="0"/>
    <w:pPr>
      <w:widowControl/>
      <w:tabs>
        <w:tab w:val="left" w:pos="840"/>
      </w:tabs>
      <w:ind w:left="840" w:hanging="420"/>
      <w:jc w:val="left"/>
    </w:pPr>
    <w:rPr>
      <w:kern w:val="0"/>
      <w:sz w:val="18"/>
    </w:rPr>
  </w:style>
  <w:style w:type="paragraph" w:customStyle="1" w:styleId="808">
    <w:name w:val="Char Char11 Char Char Char1"/>
    <w:basedOn w:val="1"/>
    <w:qFormat/>
    <w:uiPriority w:val="6"/>
    <w:pPr>
      <w:spacing w:line="360" w:lineRule="auto"/>
    </w:pPr>
    <w:rPr>
      <w:szCs w:val="20"/>
    </w:rPr>
  </w:style>
  <w:style w:type="paragraph" w:customStyle="1" w:styleId="809">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0">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1">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3">
    <w:name w:val="正文文字缩进2字"/>
    <w:basedOn w:val="24"/>
    <w:qFormat/>
    <w:uiPriority w:val="0"/>
    <w:pPr>
      <w:autoSpaceDE/>
      <w:autoSpaceDN/>
      <w:adjustRightInd/>
      <w:spacing w:before="60" w:after="60"/>
      <w:ind w:firstLine="200" w:firstLineChars="200"/>
    </w:pPr>
    <w:rPr>
      <w:rFonts w:ascii="Times New Roman"/>
      <w:szCs w:val="20"/>
      <w:lang w:val="en-US"/>
    </w:rPr>
  </w:style>
  <w:style w:type="paragraph" w:customStyle="1" w:styleId="814">
    <w:name w:val="默认段落字体 Para Char Char Char Char"/>
    <w:basedOn w:val="1"/>
    <w:qFormat/>
    <w:uiPriority w:val="0"/>
    <w:pPr>
      <w:spacing w:line="360" w:lineRule="auto"/>
    </w:pPr>
    <w:rPr>
      <w:szCs w:val="20"/>
    </w:rPr>
  </w:style>
  <w:style w:type="paragraph" w:customStyle="1" w:styleId="815">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6">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7">
    <w:name w:val="Char2 Char Char Char2"/>
    <w:basedOn w:val="1"/>
    <w:qFormat/>
    <w:uiPriority w:val="0"/>
    <w:rPr>
      <w:rFonts w:ascii="仿宋_GB2312" w:eastAsia="仿宋_GB2312"/>
      <w:b/>
      <w:sz w:val="32"/>
      <w:szCs w:val="32"/>
    </w:rPr>
  </w:style>
  <w:style w:type="paragraph" w:customStyle="1" w:styleId="818">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19">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0">
    <w:name w:val="正文 首行缩进:  2 字符 Char"/>
    <w:basedOn w:val="1"/>
    <w:qFormat/>
    <w:uiPriority w:val="0"/>
    <w:pPr>
      <w:adjustRightInd/>
      <w:spacing w:line="360" w:lineRule="auto"/>
      <w:ind w:firstLine="480"/>
    </w:pPr>
    <w:rPr>
      <w:rFonts w:cs="宋体"/>
      <w:sz w:val="24"/>
      <w:szCs w:val="20"/>
    </w:rPr>
  </w:style>
  <w:style w:type="paragraph" w:customStyle="1" w:styleId="821">
    <w:name w:val="Char Char4 Char Char"/>
    <w:basedOn w:val="1"/>
    <w:qFormat/>
    <w:uiPriority w:val="0"/>
    <w:pPr>
      <w:widowControl/>
      <w:adjustRightInd/>
      <w:spacing w:after="160" w:line="240" w:lineRule="exact"/>
      <w:jc w:val="left"/>
    </w:pPr>
  </w:style>
  <w:style w:type="paragraph" w:customStyle="1" w:styleId="822">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3">
    <w:name w:val="Char Char11 Char Char Char2"/>
    <w:basedOn w:val="1"/>
    <w:qFormat/>
    <w:uiPriority w:val="0"/>
    <w:pPr>
      <w:spacing w:line="360" w:lineRule="auto"/>
    </w:pPr>
    <w:rPr>
      <w:szCs w:val="20"/>
    </w:rPr>
  </w:style>
  <w:style w:type="paragraph" w:customStyle="1" w:styleId="824">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5">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6">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8">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29">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0">
    <w:name w:val="Char311"/>
    <w:basedOn w:val="1"/>
    <w:qFormat/>
    <w:uiPriority w:val="0"/>
    <w:pPr>
      <w:adjustRightInd/>
      <w:ind w:firstLine="200" w:firstLineChars="200"/>
    </w:pPr>
    <w:rPr>
      <w:rFonts w:ascii="Tahoma" w:hAnsi="Tahoma"/>
      <w:sz w:val="24"/>
      <w:szCs w:val="20"/>
    </w:rPr>
  </w:style>
  <w:style w:type="paragraph" w:customStyle="1" w:styleId="831">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2">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3">
    <w:name w:val="正文 内标"/>
    <w:basedOn w:val="748"/>
    <w:qFormat/>
    <w:uiPriority w:val="0"/>
    <w:pPr>
      <w:tabs>
        <w:tab w:val="left" w:pos="0"/>
      </w:tabs>
      <w:ind w:left="900" w:firstLine="0" w:firstLineChars="0"/>
    </w:pPr>
  </w:style>
  <w:style w:type="paragraph" w:customStyle="1" w:styleId="834">
    <w:name w:val="Bulleted List"/>
    <w:basedOn w:val="1"/>
    <w:qFormat/>
    <w:uiPriority w:val="0"/>
    <w:pPr>
      <w:tabs>
        <w:tab w:val="left" w:pos="1260"/>
      </w:tabs>
      <w:adjustRightInd/>
      <w:ind w:left="1260" w:hanging="420"/>
    </w:pPr>
  </w:style>
  <w:style w:type="paragraph" w:customStyle="1" w:styleId="835">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836">
    <w:name w:val="样式 左侧:  0.85 厘米"/>
    <w:basedOn w:val="1"/>
    <w:qFormat/>
    <w:uiPriority w:val="2"/>
    <w:pPr>
      <w:adjustRightInd/>
      <w:spacing w:line="360" w:lineRule="auto"/>
    </w:pPr>
    <w:rPr>
      <w:rFonts w:cs="宋体"/>
      <w:sz w:val="24"/>
      <w:szCs w:val="20"/>
    </w:rPr>
  </w:style>
  <w:style w:type="paragraph" w:customStyle="1" w:styleId="837">
    <w:name w:val="Char Char Char Char Char Char Char Char Char Char Char Char1 Char"/>
    <w:basedOn w:val="1"/>
    <w:qFormat/>
    <w:uiPriority w:val="0"/>
    <w:rPr>
      <w:rFonts w:ascii="Tahoma" w:hAnsi="Tahoma" w:cs="仿宋_GB2312"/>
      <w:sz w:val="24"/>
      <w:szCs w:val="20"/>
    </w:rPr>
  </w:style>
  <w:style w:type="paragraph" w:customStyle="1" w:styleId="838">
    <w:name w:val="正文1"/>
    <w:basedOn w:val="33"/>
    <w:qFormat/>
    <w:uiPriority w:val="0"/>
    <w:pPr>
      <w:ind w:left="0" w:leftChars="0" w:firstLine="480" w:firstLineChars="200"/>
    </w:pPr>
    <w:rPr>
      <w:rFonts w:ascii="仿宋_GB2312" w:hAnsi="Courier New" w:eastAsia="仿宋_GB2312"/>
      <w:kern w:val="28"/>
      <w:sz w:val="24"/>
    </w:rPr>
  </w:style>
  <w:style w:type="paragraph" w:customStyle="1" w:styleId="839">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0">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1">
    <w:name w:val="模板普通正文"/>
    <w:basedOn w:val="26"/>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2">
    <w:name w:val="Char Char1 Char Char Char Char Char Char"/>
    <w:basedOn w:val="1"/>
    <w:qFormat/>
    <w:uiPriority w:val="0"/>
    <w:rPr>
      <w:rFonts w:ascii="仿宋_GB2312" w:eastAsia="仿宋_GB2312"/>
      <w:b/>
      <w:sz w:val="32"/>
      <w:szCs w:val="20"/>
    </w:rPr>
  </w:style>
  <w:style w:type="paragraph" w:customStyle="1" w:styleId="843">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4">
    <w:name w:val="Char Char1 Char Char Char Char Char Char2"/>
    <w:basedOn w:val="1"/>
    <w:qFormat/>
    <w:uiPriority w:val="0"/>
    <w:rPr>
      <w:rFonts w:ascii="仿宋_GB2312" w:eastAsia="仿宋_GB2312"/>
      <w:b/>
      <w:sz w:val="32"/>
      <w:szCs w:val="20"/>
    </w:rPr>
  </w:style>
  <w:style w:type="paragraph" w:customStyle="1" w:styleId="845">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6">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7">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9">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0">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1">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2">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3">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4">
    <w:name w:val="Char31"/>
    <w:basedOn w:val="1"/>
    <w:qFormat/>
    <w:uiPriority w:val="0"/>
    <w:pPr>
      <w:adjustRightInd/>
    </w:pPr>
    <w:rPr>
      <w:rFonts w:ascii="仿宋_GB2312" w:eastAsia="仿宋_GB2312"/>
      <w:b/>
      <w:sz w:val="32"/>
      <w:szCs w:val="32"/>
    </w:rPr>
  </w:style>
  <w:style w:type="paragraph" w:customStyle="1" w:styleId="855">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856">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7">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8">
    <w:name w:val="Char Char1"/>
    <w:basedOn w:val="1"/>
    <w:qFormat/>
    <w:uiPriority w:val="0"/>
    <w:pPr>
      <w:widowControl/>
      <w:spacing w:after="160" w:line="240" w:lineRule="exact"/>
      <w:jc w:val="left"/>
    </w:pPr>
    <w:rPr>
      <w:rFonts w:eastAsia="仿宋_GB2312"/>
      <w:sz w:val="28"/>
    </w:rPr>
  </w:style>
  <w:style w:type="paragraph" w:customStyle="1" w:styleId="859">
    <w:name w:val="Char21"/>
    <w:basedOn w:val="1"/>
    <w:qFormat/>
    <w:uiPriority w:val="0"/>
    <w:pPr>
      <w:adjustRightInd/>
      <w:ind w:firstLine="200" w:firstLineChars="200"/>
    </w:pPr>
    <w:rPr>
      <w:rFonts w:ascii="仿宋_GB2312" w:eastAsia="仿宋_GB2312"/>
      <w:b/>
      <w:sz w:val="32"/>
      <w:szCs w:val="32"/>
    </w:rPr>
  </w:style>
  <w:style w:type="paragraph" w:customStyle="1" w:styleId="860">
    <w:name w:val="列表段落1"/>
    <w:basedOn w:val="1"/>
    <w:qFormat/>
    <w:uiPriority w:val="34"/>
    <w:pPr>
      <w:adjustRightInd/>
      <w:ind w:right="238" w:firstLine="420"/>
    </w:pPr>
    <w:rPr>
      <w:rFonts w:ascii="Calibri" w:hAnsi="Calibri"/>
      <w:sz w:val="24"/>
    </w:rPr>
  </w:style>
  <w:style w:type="paragraph" w:customStyle="1" w:styleId="861">
    <w:name w:val="Char Char110"/>
    <w:basedOn w:val="1"/>
    <w:qFormat/>
    <w:uiPriority w:val="6"/>
    <w:pPr>
      <w:spacing w:line="360" w:lineRule="auto"/>
    </w:pPr>
    <w:rPr>
      <w:rFonts w:ascii="Tahoma" w:hAnsi="Tahoma"/>
      <w:sz w:val="24"/>
      <w:szCs w:val="20"/>
    </w:rPr>
  </w:style>
  <w:style w:type="paragraph" w:customStyle="1" w:styleId="862">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4">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5">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6">
    <w:name w:val="Char Char Char Char Char Char Char Char Char Char Char Char1 Char2"/>
    <w:basedOn w:val="1"/>
    <w:qFormat/>
    <w:uiPriority w:val="0"/>
    <w:rPr>
      <w:rFonts w:ascii="Tahoma" w:hAnsi="Tahoma" w:cs="仿宋_GB2312"/>
      <w:sz w:val="24"/>
      <w:szCs w:val="20"/>
    </w:rPr>
  </w:style>
  <w:style w:type="paragraph" w:customStyle="1" w:styleId="867">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8">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9">
    <w:name w:val="样式 列表编号 + 段后: 0.5 行"/>
    <w:basedOn w:val="16"/>
    <w:qFormat/>
    <w:uiPriority w:val="2"/>
    <w:pPr>
      <w:tabs>
        <w:tab w:val="clear" w:pos="390"/>
        <w:tab w:val="clear" w:pos="454"/>
      </w:tabs>
      <w:spacing w:after="0"/>
      <w:ind w:left="840" w:hanging="420"/>
      <w:contextualSpacing/>
    </w:pPr>
    <w:rPr>
      <w:rFonts w:cs="宋体"/>
    </w:rPr>
  </w:style>
  <w:style w:type="paragraph" w:customStyle="1" w:styleId="870">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1">
    <w:name w:val="_Style 12"/>
    <w:basedOn w:val="19"/>
    <w:qFormat/>
    <w:uiPriority w:val="0"/>
    <w:pPr>
      <w:snapToGrid w:val="0"/>
      <w:spacing w:line="360" w:lineRule="auto"/>
    </w:pPr>
  </w:style>
  <w:style w:type="paragraph" w:customStyle="1" w:styleId="872">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3">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4">
    <w:name w:val="_Style 94"/>
    <w:basedOn w:val="1"/>
    <w:next w:val="256"/>
    <w:qFormat/>
    <w:uiPriority w:val="34"/>
    <w:pPr>
      <w:adjustRightInd/>
      <w:spacing w:line="360" w:lineRule="auto"/>
      <w:ind w:firstLine="200" w:firstLineChars="200"/>
    </w:pPr>
    <w:rPr>
      <w:rFonts w:ascii="Calibri" w:hAnsi="Calibri"/>
      <w:sz w:val="28"/>
      <w:szCs w:val="20"/>
    </w:rPr>
  </w:style>
  <w:style w:type="paragraph" w:customStyle="1" w:styleId="875">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6">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7">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8">
    <w:name w:val="3级标题"/>
    <w:basedOn w:val="670"/>
    <w:qFormat/>
    <w:uiPriority w:val="0"/>
    <w:pPr>
      <w:outlineLvl w:val="2"/>
    </w:pPr>
  </w:style>
  <w:style w:type="paragraph" w:customStyle="1" w:styleId="879">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0">
    <w:name w:val="Char1 Char Char Char3"/>
    <w:basedOn w:val="1"/>
    <w:qFormat/>
    <w:uiPriority w:val="0"/>
    <w:pPr>
      <w:adjustRightInd/>
      <w:ind w:firstLine="200" w:firstLineChars="200"/>
    </w:pPr>
    <w:rPr>
      <w:rFonts w:ascii="Tahoma" w:hAnsi="Tahoma"/>
      <w:sz w:val="24"/>
      <w:szCs w:val="20"/>
    </w:rPr>
  </w:style>
  <w:style w:type="paragraph" w:customStyle="1" w:styleId="881">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2">
    <w:name w:val="MM Empty"/>
    <w:basedOn w:val="1"/>
    <w:qFormat/>
    <w:uiPriority w:val="0"/>
    <w:pPr>
      <w:adjustRightInd/>
    </w:pPr>
  </w:style>
  <w:style w:type="paragraph" w:customStyle="1" w:styleId="883">
    <w:name w:val="Char24"/>
    <w:basedOn w:val="1"/>
    <w:qFormat/>
    <w:uiPriority w:val="0"/>
    <w:rPr>
      <w:rFonts w:ascii="仿宋_GB2312" w:eastAsia="仿宋_GB2312"/>
      <w:b/>
      <w:sz w:val="32"/>
      <w:szCs w:val="32"/>
    </w:rPr>
  </w:style>
  <w:style w:type="paragraph" w:customStyle="1" w:styleId="884">
    <w:name w:val="正文箭头"/>
    <w:basedOn w:val="536"/>
    <w:qFormat/>
    <w:uiPriority w:val="0"/>
  </w:style>
  <w:style w:type="paragraph" w:customStyle="1" w:styleId="885">
    <w:name w:val="U_编号2"/>
    <w:basedOn w:val="1"/>
    <w:qFormat/>
    <w:uiPriority w:val="0"/>
    <w:pPr>
      <w:tabs>
        <w:tab w:val="left" w:pos="785"/>
      </w:tabs>
      <w:adjustRightInd/>
      <w:spacing w:beforeLines="10" w:afterLines="10" w:line="300" w:lineRule="auto"/>
    </w:pPr>
    <w:rPr>
      <w:sz w:val="24"/>
    </w:rPr>
  </w:style>
  <w:style w:type="paragraph" w:customStyle="1" w:styleId="886">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8">
    <w:name w:val="标书标题3"/>
    <w:basedOn w:val="5"/>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9">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0">
    <w:name w:val="_Style 1"/>
    <w:basedOn w:val="1"/>
    <w:qFormat/>
    <w:uiPriority w:val="34"/>
    <w:pPr>
      <w:adjustRightInd/>
      <w:ind w:firstLine="420" w:firstLineChars="200"/>
    </w:pPr>
    <w:rPr>
      <w:rFonts w:eastAsia="仿宋_GB2312"/>
      <w:sz w:val="28"/>
    </w:rPr>
  </w:style>
  <w:style w:type="paragraph" w:customStyle="1" w:styleId="891">
    <w:name w:val="表格 内容"/>
    <w:basedOn w:val="727"/>
    <w:qFormat/>
    <w:uiPriority w:val="0"/>
    <w:rPr>
      <w:b w:val="0"/>
      <w:sz w:val="20"/>
    </w:rPr>
  </w:style>
  <w:style w:type="paragraph" w:customStyle="1" w:styleId="892">
    <w:name w:val="正文首行缩进1"/>
    <w:basedOn w:val="24"/>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4">
    <w:name w:val="数字标题5"/>
    <w:basedOn w:val="7"/>
    <w:next w:val="1"/>
    <w:qFormat/>
    <w:uiPriority w:val="0"/>
    <w:pPr>
      <w:tabs>
        <w:tab w:val="left" w:pos="1080"/>
      </w:tabs>
      <w:ind w:left="1080" w:hanging="1080"/>
    </w:pPr>
  </w:style>
  <w:style w:type="paragraph" w:customStyle="1" w:styleId="895">
    <w:name w:val="数字标题1"/>
    <w:basedOn w:val="3"/>
    <w:next w:val="1"/>
    <w:qFormat/>
    <w:uiPriority w:val="0"/>
    <w:pPr>
      <w:tabs>
        <w:tab w:val="left" w:pos="480"/>
      </w:tabs>
      <w:ind w:left="480" w:hanging="480"/>
    </w:pPr>
  </w:style>
  <w:style w:type="paragraph" w:customStyle="1" w:styleId="896">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7">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8">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9">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0">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1">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2">
    <w:name w:val="0"/>
    <w:basedOn w:val="1"/>
    <w:qFormat/>
    <w:uiPriority w:val="0"/>
    <w:pPr>
      <w:widowControl/>
    </w:pPr>
    <w:rPr>
      <w:kern w:val="0"/>
      <w:sz w:val="24"/>
      <w:szCs w:val="20"/>
    </w:rPr>
  </w:style>
  <w:style w:type="paragraph" w:customStyle="1" w:styleId="903">
    <w:name w:val="Char Char113"/>
    <w:basedOn w:val="1"/>
    <w:qFormat/>
    <w:uiPriority w:val="0"/>
    <w:pPr>
      <w:widowControl/>
      <w:spacing w:after="160" w:line="240" w:lineRule="exact"/>
      <w:jc w:val="left"/>
    </w:pPr>
    <w:rPr>
      <w:rFonts w:eastAsia="仿宋_GB2312"/>
      <w:sz w:val="28"/>
    </w:rPr>
  </w:style>
  <w:style w:type="paragraph" w:customStyle="1" w:styleId="904">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5">
    <w:name w:val="_Style 8"/>
    <w:basedOn w:val="1"/>
    <w:qFormat/>
    <w:uiPriority w:val="34"/>
    <w:pPr>
      <w:adjustRightInd/>
      <w:ind w:firstLine="420" w:firstLineChars="200"/>
    </w:pPr>
    <w:rPr>
      <w:rFonts w:eastAsia="仿宋_GB2312"/>
      <w:sz w:val="28"/>
    </w:rPr>
  </w:style>
  <w:style w:type="paragraph" w:customStyle="1" w:styleId="906">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7">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9">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0">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1">
    <w:name w:val="Char Char112"/>
    <w:basedOn w:val="1"/>
    <w:qFormat/>
    <w:uiPriority w:val="6"/>
    <w:pPr>
      <w:widowControl/>
      <w:spacing w:after="160" w:line="240" w:lineRule="exact"/>
      <w:jc w:val="left"/>
    </w:pPr>
    <w:rPr>
      <w:rFonts w:eastAsia="仿宋_GB2312"/>
      <w:sz w:val="28"/>
    </w:rPr>
  </w:style>
  <w:style w:type="paragraph" w:customStyle="1" w:styleId="912">
    <w:name w:val="正文 图"/>
    <w:basedOn w:val="441"/>
    <w:qFormat/>
    <w:uiPriority w:val="0"/>
    <w:pPr>
      <w:adjustRightInd/>
      <w:spacing w:before="0"/>
      <w:ind w:firstLine="0"/>
      <w:jc w:val="center"/>
    </w:pPr>
    <w:rPr>
      <w:rFonts w:ascii="微软雅黑" w:hAnsi="微软雅黑"/>
    </w:rPr>
  </w:style>
  <w:style w:type="paragraph" w:customStyle="1" w:styleId="913">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5">
    <w:name w:val="Thf"/>
    <w:basedOn w:val="560"/>
    <w:qFormat/>
    <w:uiPriority w:val="0"/>
    <w:pPr>
      <w:ind w:left="0"/>
    </w:pPr>
  </w:style>
  <w:style w:type="paragraph" w:customStyle="1" w:styleId="916">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7">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8">
    <w:name w:val="注释"/>
    <w:basedOn w:val="1"/>
    <w:qFormat/>
    <w:uiPriority w:val="0"/>
    <w:pPr>
      <w:adjustRightInd/>
      <w:spacing w:line="360" w:lineRule="auto"/>
      <w:ind w:firstLine="480"/>
    </w:pPr>
    <w:rPr>
      <w:sz w:val="24"/>
    </w:rPr>
  </w:style>
  <w:style w:type="table" w:customStyle="1" w:styleId="919">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5">
    <w:name w:val="列出段落111"/>
    <w:basedOn w:val="1"/>
    <w:qFormat/>
    <w:uiPriority w:val="34"/>
    <w:pPr>
      <w:ind w:firstLine="420" w:firstLineChars="200"/>
    </w:pPr>
  </w:style>
  <w:style w:type="character" w:customStyle="1" w:styleId="926">
    <w:name w:val="交叉引用"/>
    <w:qFormat/>
    <w:uiPriority w:val="1"/>
    <w:rPr>
      <w:rFonts w:ascii="Arial" w:hAnsi="Arial" w:eastAsia="黑体"/>
      <w:snapToGrid w:val="0"/>
      <w:color w:val="0000FF"/>
      <w:kern w:val="0"/>
      <w:sz w:val="20"/>
      <w:szCs w:val="21"/>
      <w:u w:val="single"/>
      <w:lang w:val="en-US" w:eastAsia="zh-CN"/>
    </w:rPr>
  </w:style>
  <w:style w:type="character" w:customStyle="1" w:styleId="927">
    <w:name w:val="正文缩进 字符1"/>
    <w:qFormat/>
    <w:uiPriority w:val="0"/>
    <w:rPr>
      <w:rFonts w:ascii="宋体" w:eastAsia="宋体"/>
      <w:snapToGrid w:val="0"/>
      <w:color w:val="000000"/>
      <w:kern w:val="28"/>
      <w:sz w:val="28"/>
      <w:lang w:val="en-US" w:eastAsia="zh-CN" w:bidi="ar-SA"/>
    </w:rPr>
  </w:style>
  <w:style w:type="character" w:customStyle="1" w:styleId="928">
    <w:name w:val="页脚 字符1"/>
    <w:qFormat/>
    <w:locked/>
    <w:uiPriority w:val="99"/>
    <w:rPr>
      <w:kern w:val="2"/>
      <w:sz w:val="18"/>
      <w:szCs w:val="18"/>
    </w:rPr>
  </w:style>
  <w:style w:type="character" w:customStyle="1" w:styleId="929">
    <w:name w:val="页眉 字符1"/>
    <w:qFormat/>
    <w:uiPriority w:val="99"/>
    <w:rPr>
      <w:kern w:val="2"/>
      <w:sz w:val="18"/>
      <w:szCs w:val="18"/>
    </w:rPr>
  </w:style>
  <w:style w:type="character" w:customStyle="1" w:styleId="930">
    <w:name w:val="尾注文本 Char"/>
    <w:link w:val="39"/>
    <w:qFormat/>
    <w:uiPriority w:val="0"/>
    <w:rPr>
      <w:kern w:val="2"/>
      <w:sz w:val="21"/>
      <w:szCs w:val="24"/>
      <w:lang w:val="zh-CN"/>
    </w:rPr>
  </w:style>
  <w:style w:type="character" w:customStyle="1" w:styleId="931">
    <w:name w:val="无间隔 Char"/>
    <w:link w:val="481"/>
    <w:qFormat/>
    <w:uiPriority w:val="99"/>
    <w:rPr>
      <w:kern w:val="2"/>
      <w:sz w:val="21"/>
      <w:szCs w:val="22"/>
    </w:rPr>
  </w:style>
  <w:style w:type="character" w:customStyle="1" w:styleId="932">
    <w:name w:val="标准文本 Char Char"/>
    <w:link w:val="933"/>
    <w:qFormat/>
    <w:uiPriority w:val="0"/>
    <w:rPr>
      <w:rFonts w:cs="宋体"/>
      <w:kern w:val="2"/>
      <w:sz w:val="24"/>
    </w:rPr>
  </w:style>
  <w:style w:type="paragraph" w:customStyle="1" w:styleId="933">
    <w:name w:val="标准文本"/>
    <w:basedOn w:val="1"/>
    <w:link w:val="932"/>
    <w:qFormat/>
    <w:uiPriority w:val="0"/>
    <w:pPr>
      <w:adjustRightInd/>
      <w:spacing w:line="360" w:lineRule="auto"/>
      <w:ind w:firstLine="480" w:firstLineChars="200"/>
    </w:pPr>
    <w:rPr>
      <w:rFonts w:cs="宋体"/>
      <w:sz w:val="24"/>
      <w:szCs w:val="20"/>
    </w:rPr>
  </w:style>
  <w:style w:type="character" w:customStyle="1" w:styleId="934">
    <w:name w:val="Char Char213"/>
    <w:qFormat/>
    <w:uiPriority w:val="0"/>
    <w:rPr>
      <w:rFonts w:eastAsia="Century Gothic"/>
      <w:b/>
      <w:bCs/>
      <w:kern w:val="44"/>
      <w:sz w:val="32"/>
      <w:szCs w:val="44"/>
      <w:lang w:val="en-US" w:eastAsia="zh-CN" w:bidi="ar-SA"/>
    </w:rPr>
  </w:style>
  <w:style w:type="character" w:customStyle="1" w:styleId="935">
    <w:name w:val="apple-style-span"/>
    <w:qFormat/>
    <w:uiPriority w:val="0"/>
    <w:rPr>
      <w:rFonts w:ascii="Arial" w:hAnsi="Arial" w:eastAsia="黑体" w:cs="Arial"/>
      <w:snapToGrid w:val="0"/>
      <w:kern w:val="0"/>
      <w:szCs w:val="21"/>
    </w:rPr>
  </w:style>
  <w:style w:type="character" w:customStyle="1" w:styleId="936">
    <w:name w:val="15"/>
    <w:qFormat/>
    <w:uiPriority w:val="0"/>
    <w:rPr>
      <w:rFonts w:hint="default" w:ascii="Calibri" w:hAnsi="Calibri"/>
      <w:color w:val="0000FF"/>
      <w:u w:val="single"/>
    </w:rPr>
  </w:style>
  <w:style w:type="character" w:customStyle="1" w:styleId="937">
    <w:name w:val="16"/>
    <w:qFormat/>
    <w:uiPriority w:val="0"/>
    <w:rPr>
      <w:rFonts w:hint="eastAsia" w:ascii="宋体" w:hAnsi="宋体" w:eastAsia="宋体"/>
      <w:color w:val="000000"/>
      <w:sz w:val="20"/>
      <w:szCs w:val="20"/>
    </w:rPr>
  </w:style>
  <w:style w:type="character" w:customStyle="1" w:styleId="938">
    <w:name w:val="edui-unclickable"/>
    <w:qFormat/>
    <w:uiPriority w:val="0"/>
    <w:rPr>
      <w:color w:val="808080"/>
    </w:rPr>
  </w:style>
  <w:style w:type="character" w:customStyle="1" w:styleId="939">
    <w:name w:val="tpc_content1"/>
    <w:qFormat/>
    <w:uiPriority w:val="0"/>
    <w:rPr>
      <w:sz w:val="20"/>
      <w:szCs w:val="20"/>
    </w:rPr>
  </w:style>
  <w:style w:type="character" w:customStyle="1" w:styleId="940">
    <w:name w:val="正文文本缩进 字符"/>
    <w:qFormat/>
    <w:uiPriority w:val="0"/>
    <w:rPr>
      <w:rFonts w:ascii="Century Gothic" w:hAnsi="Century Gothic" w:eastAsia="Century Gothic"/>
      <w:kern w:val="2"/>
      <w:sz w:val="24"/>
      <w:lang w:val="en-US" w:eastAsia="zh-CN" w:bidi="ar-SA"/>
    </w:rPr>
  </w:style>
  <w:style w:type="character" w:customStyle="1" w:styleId="941">
    <w:name w:val="正文文本 2 字符"/>
    <w:qFormat/>
    <w:uiPriority w:val="0"/>
    <w:rPr>
      <w:rFonts w:ascii="Arial" w:hAnsi="Arial" w:eastAsia="宋体"/>
      <w:kern w:val="2"/>
      <w:sz w:val="24"/>
      <w:szCs w:val="24"/>
      <w:lang w:val="en-US" w:eastAsia="zh-CN" w:bidi="ar-SA"/>
    </w:rPr>
  </w:style>
  <w:style w:type="character" w:customStyle="1" w:styleId="942">
    <w:name w:val="edui-clickable2"/>
    <w:qFormat/>
    <w:uiPriority w:val="0"/>
    <w:rPr>
      <w:color w:val="0000FF"/>
      <w:u w:val="single"/>
    </w:rPr>
  </w:style>
  <w:style w:type="character" w:customStyle="1" w:styleId="943">
    <w:name w:val="style1"/>
    <w:qFormat/>
    <w:uiPriority w:val="0"/>
    <w:rPr>
      <w:rFonts w:ascii="Arial" w:hAnsi="Arial" w:eastAsia="黑体" w:cs="Arial"/>
      <w:snapToGrid w:val="0"/>
      <w:kern w:val="0"/>
      <w:szCs w:val="21"/>
    </w:rPr>
  </w:style>
  <w:style w:type="character" w:customStyle="1" w:styleId="944">
    <w:name w:val="zbggtop11 style5"/>
    <w:qFormat/>
    <w:uiPriority w:val="0"/>
    <w:rPr>
      <w:rFonts w:ascii="Arial" w:hAnsi="Arial" w:eastAsia="黑体" w:cs="Arial"/>
      <w:snapToGrid w:val="0"/>
      <w:kern w:val="0"/>
      <w:szCs w:val="21"/>
    </w:rPr>
  </w:style>
  <w:style w:type="character" w:customStyle="1" w:styleId="945">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6">
    <w:name w:val="bulletintext1"/>
    <w:qFormat/>
    <w:uiPriority w:val="0"/>
    <w:rPr>
      <w:color w:val="000000"/>
      <w:sz w:val="18"/>
    </w:rPr>
  </w:style>
  <w:style w:type="paragraph" w:customStyle="1" w:styleId="947">
    <w:name w:val="_Style 947"/>
    <w:basedOn w:val="1"/>
    <w:next w:val="256"/>
    <w:qFormat/>
    <w:uiPriority w:val="34"/>
    <w:pPr>
      <w:adjustRightInd/>
      <w:ind w:firstLine="420" w:firstLineChars="200"/>
    </w:pPr>
  </w:style>
  <w:style w:type="paragraph" w:customStyle="1" w:styleId="948">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9">
    <w:name w:val="纯文本2"/>
    <w:basedOn w:val="1"/>
    <w:qFormat/>
    <w:uiPriority w:val="0"/>
    <w:pPr>
      <w:adjustRightInd/>
      <w:snapToGrid w:val="0"/>
      <w:jc w:val="left"/>
    </w:pPr>
    <w:rPr>
      <w:rFonts w:ascii="Century Gothic" w:hAnsi="楷体_GB2312" w:eastAsia="Century Gothic"/>
      <w:szCs w:val="20"/>
    </w:rPr>
  </w:style>
  <w:style w:type="paragraph" w:customStyle="1" w:styleId="950">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1">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2">
    <w:name w:val="节"/>
    <w:basedOn w:val="4"/>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3">
    <w:name w:val="Blockquote"/>
    <w:basedOn w:val="1"/>
    <w:qFormat/>
    <w:uiPriority w:val="0"/>
    <w:pPr>
      <w:autoSpaceDE w:val="0"/>
      <w:autoSpaceDN w:val="0"/>
      <w:spacing w:before="100" w:after="100"/>
      <w:ind w:left="360" w:right="360"/>
      <w:jc w:val="left"/>
    </w:pPr>
    <w:rPr>
      <w:kern w:val="0"/>
      <w:sz w:val="24"/>
      <w:szCs w:val="20"/>
    </w:rPr>
  </w:style>
  <w:style w:type="paragraph" w:customStyle="1" w:styleId="954">
    <w:name w:val="p1"/>
    <w:basedOn w:val="1"/>
    <w:qFormat/>
    <w:uiPriority w:val="0"/>
    <w:pPr>
      <w:widowControl/>
      <w:adjustRightInd/>
      <w:jc w:val="left"/>
    </w:pPr>
    <w:rPr>
      <w:rFonts w:ascii=".PingFang SC" w:eastAsia=".PingFang SC"/>
      <w:color w:val="454545"/>
      <w:kern w:val="0"/>
      <w:sz w:val="18"/>
      <w:szCs w:val="18"/>
    </w:rPr>
  </w:style>
  <w:style w:type="paragraph" w:customStyle="1" w:styleId="955">
    <w:name w:val="Table Paragraph"/>
    <w:basedOn w:val="1"/>
    <w:qFormat/>
    <w:uiPriority w:val="0"/>
    <w:pPr>
      <w:adjustRightInd/>
      <w:jc w:val="left"/>
    </w:pPr>
    <w:rPr>
      <w:rFonts w:ascii="Calibri" w:hAnsi="Calibri"/>
      <w:kern w:val="0"/>
      <w:sz w:val="22"/>
      <w:szCs w:val="22"/>
      <w:lang w:eastAsia="en-US"/>
    </w:rPr>
  </w:style>
  <w:style w:type="paragraph" w:customStyle="1" w:styleId="95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7">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8">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9">
    <w:name w:val="ksfind_class_select1"/>
    <w:basedOn w:val="70"/>
    <w:qFormat/>
    <w:uiPriority w:val="0"/>
    <w:rPr>
      <w:color w:val="000000"/>
      <w:shd w:val="clear" w:color="auto" w:fill="EFD200"/>
    </w:rPr>
  </w:style>
  <w:style w:type="character" w:customStyle="1" w:styleId="960">
    <w:name w:val="font71"/>
    <w:qFormat/>
    <w:uiPriority w:val="0"/>
    <w:rPr>
      <w:rFonts w:hint="eastAsia" w:ascii="宋体" w:hAnsi="宋体" w:eastAsia="宋体" w:cs="宋体"/>
      <w:color w:val="000000"/>
      <w:sz w:val="22"/>
      <w:szCs w:val="22"/>
      <w:u w:val="none"/>
    </w:rPr>
  </w:style>
  <w:style w:type="character" w:customStyle="1" w:styleId="961">
    <w:name w:val="font91"/>
    <w:qFormat/>
    <w:uiPriority w:val="0"/>
    <w:rPr>
      <w:rFonts w:hint="eastAsia" w:ascii="仿宋" w:hAnsi="仿宋" w:eastAsia="仿宋" w:cs="仿宋"/>
      <w:color w:val="000000"/>
      <w:sz w:val="22"/>
      <w:szCs w:val="22"/>
      <w:u w:val="none"/>
    </w:rPr>
  </w:style>
  <w:style w:type="paragraph" w:customStyle="1" w:styleId="962">
    <w:name w:val="修订4"/>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theme" Target="theme/theme1.xml"/><Relationship Id="rId32" Type="http://schemas.openxmlformats.org/officeDocument/2006/relationships/footer" Target="footer16.xml"/><Relationship Id="rId31" Type="http://schemas.openxmlformats.org/officeDocument/2006/relationships/footer" Target="foot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header" Target="header13.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5C0F1E-588E-4294-BC6B-557906210F64}">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147</Pages>
  <Words>16823</Words>
  <Characters>18424</Characters>
  <Lines>704</Lines>
  <Paragraphs>198</Paragraphs>
  <TotalTime>1</TotalTime>
  <ScaleCrop>false</ScaleCrop>
  <LinksUpToDate>false</LinksUpToDate>
  <CharactersWithSpaces>18791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2021-07-30T08:22:00Z</dcterms:created>
  <dc:creator>北海市政府采购中心</dc:creator>
  <cp:lastModifiedBy>WPS_1526954301</cp:lastModifiedBy>
  <cp:lastPrinted>2026-05-29T07:09:00Z</cp:lastPrinted>
  <dcterms:modified xsi:type="dcterms:W3CDTF">2026-05-29T08:45:19Z</dcterms:modified>
  <dc:title>北海市政府采购中心</dc:title>
  <cp:revision>506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86BBCA169018484F9F49BB5ABEC5C768_13</vt:lpwstr>
  </property>
  <property fmtid="{D5CDD505-2E9C-101B-9397-08002B2CF9AE}" pid="5" name="KSOTemplateDocerSaveRecord">
    <vt:lpwstr>eyJoZGlkIjoiNmI4NjNjMzYzNDdlYmMzMDAxYjYwOTgwNGI5MjE1NjEiLCJ1c2VySWQiOiIzNzI1ODIwNjgifQ==</vt:lpwstr>
  </property>
</Properties>
</file>