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286AE">
      <w:pPr>
        <w:spacing w:line="360" w:lineRule="auto"/>
        <w:jc w:val="center"/>
        <w:rPr>
          <w:rFonts w:ascii="宋体" w:hAnsi="宋体" w:cs="宋体"/>
          <w:b/>
          <w:color w:val="auto"/>
          <w:sz w:val="24"/>
          <w:highlight w:val="none"/>
        </w:rPr>
      </w:pPr>
    </w:p>
    <w:p w14:paraId="1C2F0FC6">
      <w:pPr>
        <w:spacing w:line="360" w:lineRule="auto"/>
        <w:jc w:val="center"/>
        <w:rPr>
          <w:rFonts w:ascii="宋体" w:hAnsi="宋体" w:cs="宋体"/>
          <w:b/>
          <w:color w:val="auto"/>
          <w:sz w:val="24"/>
          <w:highlight w:val="none"/>
        </w:rPr>
      </w:pPr>
    </w:p>
    <w:p w14:paraId="3A6C3F2D">
      <w:pPr>
        <w:adjustRightInd/>
        <w:spacing w:line="360" w:lineRule="auto"/>
        <w:jc w:val="center"/>
        <w:rPr>
          <w:rFonts w:ascii="宋体" w:hAnsi="宋体" w:cs="宋体"/>
          <w:b/>
          <w:color w:val="auto"/>
          <w:sz w:val="44"/>
          <w:szCs w:val="44"/>
          <w:highlight w:val="none"/>
        </w:rPr>
      </w:pPr>
    </w:p>
    <w:p w14:paraId="2579DCD6">
      <w:pPr>
        <w:spacing w:line="360" w:lineRule="auto"/>
        <w:jc w:val="center"/>
        <w:rPr>
          <w:rFonts w:ascii="宋体" w:hAnsi="宋体" w:cs="宋体"/>
          <w:b/>
          <w:color w:val="auto"/>
          <w:sz w:val="44"/>
          <w:szCs w:val="44"/>
          <w:highlight w:val="none"/>
        </w:rPr>
      </w:pPr>
    </w:p>
    <w:p w14:paraId="7B9E5E06">
      <w:pPr>
        <w:adjustRightInd/>
        <w:spacing w:line="360" w:lineRule="auto"/>
        <w:jc w:val="center"/>
        <w:rPr>
          <w:rFonts w:ascii="宋体" w:hAnsi="宋体" w:cs="宋体"/>
          <w:b/>
          <w:color w:val="auto"/>
          <w:sz w:val="48"/>
          <w:szCs w:val="48"/>
          <w:highlight w:val="none"/>
        </w:rPr>
      </w:pPr>
    </w:p>
    <w:p w14:paraId="439BDBF2">
      <w:pPr>
        <w:adjustRightInd/>
        <w:spacing w:line="360" w:lineRule="auto"/>
        <w:jc w:val="center"/>
        <w:rPr>
          <w:rFonts w:hint="eastAsia" w:ascii="宋体" w:hAnsi="宋体" w:eastAsia="宋体" w:cs="宋体"/>
          <w:color w:val="auto"/>
          <w:sz w:val="48"/>
          <w:szCs w:val="48"/>
          <w:highlight w:val="none"/>
          <w:lang w:eastAsia="zh-CN"/>
        </w:rPr>
      </w:pPr>
      <w:bookmarkStart w:id="0" w:name="OLE_LINK15"/>
      <w:bookmarkStart w:id="1" w:name="OLE_LINK16"/>
      <w:r>
        <w:rPr>
          <w:rFonts w:hint="eastAsia" w:ascii="宋体" w:hAnsi="宋体" w:cs="宋体"/>
          <w:color w:val="auto"/>
          <w:sz w:val="48"/>
          <w:szCs w:val="48"/>
          <w:highlight w:val="none"/>
          <w:lang w:eastAsia="zh-CN"/>
        </w:rPr>
        <w:t>2026-2028年市直教育系统安保服务项目</w:t>
      </w:r>
    </w:p>
    <w:bookmarkEnd w:id="0"/>
    <w:bookmarkEnd w:id="1"/>
    <w:p w14:paraId="40B21AEF">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0BDB412A">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0D7F5FE9">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color w:val="auto"/>
          <w:highlight w:val="none"/>
        </w:rPr>
        <w:t xml:space="preserve"> </w:t>
      </w:r>
      <w:r>
        <w:rPr>
          <w:rFonts w:hint="eastAsia" w:ascii="宋体" w:hAnsi="宋体" w:cs="宋体"/>
          <w:color w:val="auto"/>
          <w:sz w:val="30"/>
          <w:szCs w:val="30"/>
          <w:highlight w:val="none"/>
          <w:lang w:eastAsia="zh-CN"/>
        </w:rPr>
        <w:t>BHZC2026-G3-990120-CGZX</w:t>
      </w:r>
    </w:p>
    <w:p w14:paraId="79F91C4A">
      <w:pPr>
        <w:adjustRightInd/>
        <w:spacing w:line="360" w:lineRule="auto"/>
        <w:rPr>
          <w:rFonts w:ascii="宋体" w:hAnsi="宋体" w:cs="宋体"/>
          <w:color w:val="auto"/>
          <w:sz w:val="28"/>
          <w:szCs w:val="20"/>
          <w:highlight w:val="none"/>
        </w:rPr>
      </w:pPr>
    </w:p>
    <w:p w14:paraId="4C67CFF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0141A2B">
      <w:pPr>
        <w:spacing w:line="360" w:lineRule="auto"/>
        <w:jc w:val="center"/>
        <w:rPr>
          <w:rFonts w:ascii="宋体" w:hAnsi="宋体" w:cs="宋体"/>
          <w:b/>
          <w:color w:val="auto"/>
          <w:sz w:val="44"/>
          <w:szCs w:val="44"/>
          <w:highlight w:val="none"/>
        </w:rPr>
      </w:pPr>
    </w:p>
    <w:p w14:paraId="1D6ACC37">
      <w:pPr>
        <w:spacing w:line="360" w:lineRule="auto"/>
        <w:jc w:val="center"/>
        <w:rPr>
          <w:rFonts w:ascii="宋体" w:hAnsi="宋体" w:cs="宋体"/>
          <w:color w:val="auto"/>
          <w:sz w:val="24"/>
          <w:highlight w:val="none"/>
        </w:rPr>
      </w:pPr>
    </w:p>
    <w:p w14:paraId="5A2A61C8">
      <w:pPr>
        <w:spacing w:line="360" w:lineRule="auto"/>
        <w:jc w:val="center"/>
        <w:rPr>
          <w:rFonts w:ascii="宋体" w:hAnsi="宋体" w:cs="宋体"/>
          <w:color w:val="auto"/>
          <w:sz w:val="24"/>
          <w:highlight w:val="none"/>
        </w:rPr>
      </w:pPr>
    </w:p>
    <w:p w14:paraId="1DD60F82">
      <w:pPr>
        <w:spacing w:line="360" w:lineRule="auto"/>
        <w:rPr>
          <w:rFonts w:ascii="宋体" w:hAnsi="宋体" w:cs="宋体"/>
          <w:color w:val="auto"/>
          <w:sz w:val="32"/>
          <w:szCs w:val="32"/>
          <w:highlight w:val="none"/>
        </w:rPr>
      </w:pPr>
    </w:p>
    <w:p w14:paraId="3D498FB2">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北海市教育局   </w:t>
      </w:r>
    </w:p>
    <w:p w14:paraId="3B755FA9">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北海市政府采购中心        </w:t>
      </w:r>
    </w:p>
    <w:p w14:paraId="6A4DFD6A">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二〇二六年 月 日</w:t>
      </w:r>
    </w:p>
    <w:p w14:paraId="531207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2" w:name="_Hlt67893495"/>
      <w:bookmarkEnd w:id="2"/>
    </w:p>
    <w:p w14:paraId="1279DDF0">
      <w:pPr>
        <w:pStyle w:val="635"/>
        <w:outlineLvl w:val="9"/>
        <w:rPr>
          <w:color w:val="auto"/>
          <w:highlight w:val="none"/>
        </w:rPr>
      </w:pPr>
    </w:p>
    <w:p w14:paraId="05673119">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2A0A4809">
      <w:pPr>
        <w:spacing w:line="360" w:lineRule="auto"/>
        <w:rPr>
          <w:rFonts w:ascii="宋体" w:hAnsi="宋体" w:cs="宋体"/>
          <w:color w:val="auto"/>
          <w:sz w:val="32"/>
          <w:szCs w:val="32"/>
          <w:highlight w:val="none"/>
        </w:rPr>
      </w:pPr>
    </w:p>
    <w:p w14:paraId="2CB25A5C">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bookmarkStart w:id="3" w:name="_Hlt91233176"/>
      <w:bookmarkEnd w:id="3"/>
      <w:bookmarkStart w:id="4" w:name="_Toc91899869"/>
      <w:r>
        <w:rPr>
          <w:rFonts w:cs="宋体" w:asciiTheme="minorEastAsia" w:hAnsiTheme="minorEastAsia" w:eastAsiaTheme="minorEastAsia"/>
          <w:color w:val="auto"/>
          <w:sz w:val="32"/>
          <w:szCs w:val="32"/>
          <w:highlight w:val="none"/>
        </w:rPr>
        <w:fldChar w:fldCharType="begin"/>
      </w:r>
      <w:r>
        <w:rPr>
          <w:rFonts w:cs="宋体" w:asciiTheme="minorEastAsia" w:hAnsiTheme="minorEastAsia" w:eastAsiaTheme="minorEastAsia"/>
          <w:color w:val="auto"/>
          <w:sz w:val="32"/>
          <w:szCs w:val="32"/>
          <w:highlight w:val="none"/>
        </w:rPr>
        <w:instrText xml:space="preserve"> TOC \o "1-1" \h \z \u </w:instrText>
      </w:r>
      <w:r>
        <w:rPr>
          <w:rFonts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"_Toc176368902" </w:instrText>
      </w:r>
      <w:r>
        <w:rPr>
          <w:color w:val="auto"/>
          <w:highlight w:val="none"/>
        </w:rPr>
        <w:fldChar w:fldCharType="separate"/>
      </w:r>
      <w:r>
        <w:rPr>
          <w:rStyle w:val="78"/>
          <w:rFonts w:hint="eastAsia" w:cs="宋体" w:asciiTheme="minorEastAsia" w:hAnsiTheme="minorEastAsia" w:eastAsiaTheme="minorEastAsia"/>
          <w:color w:val="auto"/>
          <w:sz w:val="32"/>
          <w:szCs w:val="32"/>
          <w:highlight w:val="none"/>
        </w:rPr>
        <w:t>第一部分</w:t>
      </w:r>
      <w:r>
        <w:rPr>
          <w:rStyle w:val="78"/>
          <w:rFonts w:cs="宋体" w:asciiTheme="minorEastAsia" w:hAnsiTheme="minorEastAsia" w:eastAsiaTheme="minorEastAsia"/>
          <w:color w:val="auto"/>
          <w:sz w:val="32"/>
          <w:szCs w:val="32"/>
          <w:highlight w:val="none"/>
        </w:rPr>
        <w:t xml:space="preserve"> </w:t>
      </w:r>
      <w:r>
        <w:rPr>
          <w:rStyle w:val="78"/>
          <w:rFonts w:hint="eastAsia" w:cs="宋体" w:asciiTheme="minorEastAsia" w:hAnsiTheme="minorEastAsia" w:eastAsiaTheme="minorEastAsia"/>
          <w:color w:val="auto"/>
          <w:sz w:val="32"/>
          <w:szCs w:val="32"/>
          <w:highlight w:val="none"/>
        </w:rPr>
        <w:t>招标公告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6D2677F5">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"_Toc176368903" </w:instrText>
      </w:r>
      <w:r>
        <w:rPr>
          <w:color w:val="auto"/>
          <w:highlight w:val="none"/>
        </w:rPr>
        <w:fldChar w:fldCharType="separate"/>
      </w:r>
      <w:r>
        <w:rPr>
          <w:rStyle w:val="78"/>
          <w:rFonts w:hint="eastAsia" w:cs="宋体" w:asciiTheme="minorEastAsia" w:hAnsiTheme="minorEastAsia" w:eastAsiaTheme="minorEastAsia"/>
          <w:color w:val="auto"/>
          <w:sz w:val="32"/>
          <w:szCs w:val="32"/>
          <w:highlight w:val="none"/>
        </w:rPr>
        <w:t>第二部分</w:t>
      </w:r>
      <w:r>
        <w:rPr>
          <w:rStyle w:val="78"/>
          <w:rFonts w:cs="宋体" w:asciiTheme="minorEastAsia" w:hAnsiTheme="minorEastAsia" w:eastAsiaTheme="minorEastAsia"/>
          <w:color w:val="auto"/>
          <w:sz w:val="32"/>
          <w:szCs w:val="32"/>
          <w:highlight w:val="none"/>
        </w:rPr>
        <w:t xml:space="preserve"> </w:t>
      </w:r>
      <w:r>
        <w:rPr>
          <w:rStyle w:val="78"/>
          <w:rFonts w:hint="eastAsia" w:cs="宋体" w:asciiTheme="minorEastAsia" w:hAnsiTheme="minorEastAsia" w:eastAsiaTheme="minorEastAsia"/>
          <w:color w:val="auto"/>
          <w:sz w:val="32"/>
          <w:szCs w:val="32"/>
          <w:highlight w:val="none"/>
        </w:rPr>
        <w:t>投标人须知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274E6791">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"_Toc176368904" </w:instrText>
      </w:r>
      <w:r>
        <w:rPr>
          <w:color w:val="auto"/>
          <w:highlight w:val="none"/>
        </w:rPr>
        <w:fldChar w:fldCharType="separate"/>
      </w:r>
      <w:r>
        <w:rPr>
          <w:rStyle w:val="78"/>
          <w:rFonts w:hint="eastAsia" w:cs="宋体" w:asciiTheme="minorEastAsia" w:hAnsiTheme="minorEastAsia" w:eastAsiaTheme="minorEastAsia"/>
          <w:color w:val="auto"/>
          <w:sz w:val="32"/>
          <w:szCs w:val="32"/>
          <w:highlight w:val="none"/>
        </w:rPr>
        <w:t>第三部分</w:t>
      </w:r>
      <w:r>
        <w:rPr>
          <w:rStyle w:val="78"/>
          <w:rFonts w:cs="宋体" w:asciiTheme="minorEastAsia" w:hAnsiTheme="minorEastAsia" w:eastAsiaTheme="minorEastAsia"/>
          <w:color w:val="auto"/>
          <w:sz w:val="32"/>
          <w:szCs w:val="32"/>
          <w:highlight w:val="none"/>
        </w:rPr>
        <w:t xml:space="preserve"> </w:t>
      </w:r>
      <w:r>
        <w:rPr>
          <w:rStyle w:val="78"/>
          <w:rFonts w:hint="eastAsia" w:cs="宋体"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27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34EB49B4">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"_Toc176368905" </w:instrText>
      </w:r>
      <w:r>
        <w:rPr>
          <w:color w:val="auto"/>
          <w:highlight w:val="none"/>
        </w:rPr>
        <w:fldChar w:fldCharType="separate"/>
      </w:r>
      <w:r>
        <w:rPr>
          <w:rStyle w:val="78"/>
          <w:rFonts w:hint="eastAsia" w:cs="宋体" w:asciiTheme="minorEastAsia" w:hAnsiTheme="minorEastAsia" w:eastAsiaTheme="minorEastAsia"/>
          <w:color w:val="auto"/>
          <w:sz w:val="32"/>
          <w:szCs w:val="32"/>
          <w:highlight w:val="none"/>
        </w:rPr>
        <w:t>第四部分</w:t>
      </w:r>
      <w:r>
        <w:rPr>
          <w:rStyle w:val="78"/>
          <w:rFonts w:cs="宋体" w:asciiTheme="minorEastAsia" w:hAnsiTheme="minorEastAsia" w:eastAsiaTheme="minorEastAsia"/>
          <w:color w:val="auto"/>
          <w:sz w:val="32"/>
          <w:szCs w:val="32"/>
          <w:highlight w:val="none"/>
        </w:rPr>
        <w:t xml:space="preserve"> </w:t>
      </w:r>
      <w:r>
        <w:rPr>
          <w:rStyle w:val="78"/>
          <w:rFonts w:hint="eastAsia" w:cs="宋体" w:asciiTheme="minorEastAsia" w:hAnsiTheme="minorEastAsia" w:eastAsiaTheme="minorEastAsia"/>
          <w:color w:val="auto"/>
          <w:sz w:val="32"/>
          <w:szCs w:val="32"/>
          <w:highlight w:val="none"/>
        </w:rPr>
        <w:t>评标办法</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99</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48C6D91E">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"_Toc176368906" </w:instrText>
      </w:r>
      <w:r>
        <w:rPr>
          <w:color w:val="auto"/>
          <w:highlight w:val="none"/>
        </w:rPr>
        <w:fldChar w:fldCharType="separate"/>
      </w:r>
      <w:r>
        <w:rPr>
          <w:rStyle w:val="78"/>
          <w:rFonts w:hint="eastAsia" w:cs="宋体" w:asciiTheme="minorEastAsia" w:hAnsiTheme="minorEastAsia" w:eastAsiaTheme="minorEastAsia"/>
          <w:color w:val="auto"/>
          <w:sz w:val="32"/>
          <w:szCs w:val="32"/>
          <w:highlight w:val="none"/>
        </w:rPr>
        <w:t>第五部分</w:t>
      </w:r>
      <w:r>
        <w:rPr>
          <w:rStyle w:val="78"/>
          <w:rFonts w:cs="宋体" w:asciiTheme="minorEastAsia" w:hAnsiTheme="minorEastAsia" w:eastAsiaTheme="minorEastAsia"/>
          <w:color w:val="auto"/>
          <w:sz w:val="32"/>
          <w:szCs w:val="32"/>
          <w:highlight w:val="none"/>
        </w:rPr>
        <w:t xml:space="preserve"> </w:t>
      </w:r>
      <w:r>
        <w:rPr>
          <w:rStyle w:val="78"/>
          <w:rFonts w:hint="eastAsia" w:cs="宋体"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0FDC4EB3">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"_Toc176368907" </w:instrText>
      </w:r>
      <w:r>
        <w:rPr>
          <w:color w:val="auto"/>
          <w:highlight w:val="none"/>
        </w:rPr>
        <w:fldChar w:fldCharType="separate"/>
      </w:r>
      <w:r>
        <w:rPr>
          <w:rStyle w:val="78"/>
          <w:rFonts w:hint="eastAsia" w:cs="宋体" w:asciiTheme="minorEastAsia" w:hAnsiTheme="minorEastAsia" w:eastAsiaTheme="minorEastAsia"/>
          <w:color w:val="auto"/>
          <w:sz w:val="32"/>
          <w:szCs w:val="32"/>
          <w:highlight w:val="none"/>
        </w:rPr>
        <w:t>第六部分</w:t>
      </w:r>
      <w:r>
        <w:rPr>
          <w:rStyle w:val="78"/>
          <w:rFonts w:cs="宋体" w:asciiTheme="minorEastAsia" w:hAnsiTheme="minorEastAsia" w:eastAsiaTheme="minorEastAsia"/>
          <w:color w:val="auto"/>
          <w:sz w:val="32"/>
          <w:szCs w:val="32"/>
          <w:highlight w:val="none"/>
        </w:rPr>
        <w:t xml:space="preserve"> </w:t>
      </w:r>
      <w:r>
        <w:rPr>
          <w:rStyle w:val="78"/>
          <w:rFonts w:hint="eastAsia" w:cs="宋体"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_Toc176368907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00ABEA71">
      <w:pPr>
        <w:spacing w:line="360" w:lineRule="auto"/>
        <w:ind w:firstLine="732" w:firstLineChars="229"/>
        <w:rPr>
          <w:rFonts w:ascii="宋体" w:hAnsi="宋体" w:cs="宋体"/>
          <w:color w:val="auto"/>
          <w:sz w:val="24"/>
          <w:highlight w:val="none"/>
        </w:rPr>
      </w:pPr>
      <w:r>
        <w:rPr>
          <w:rFonts w:cs="宋体" w:asciiTheme="minorEastAsia" w:hAnsiTheme="minorEastAsia" w:eastAsiaTheme="minorEastAsia"/>
          <w:color w:val="auto"/>
          <w:sz w:val="32"/>
          <w:szCs w:val="32"/>
          <w:highlight w:val="none"/>
        </w:rPr>
        <w:fldChar w:fldCharType="end"/>
      </w:r>
    </w:p>
    <w:p w14:paraId="6CB4225A">
      <w:pPr>
        <w:spacing w:line="360" w:lineRule="auto"/>
        <w:ind w:firstLine="549" w:firstLineChars="229"/>
        <w:rPr>
          <w:rFonts w:ascii="宋体" w:hAnsi="宋体" w:cs="宋体"/>
          <w:color w:val="auto"/>
          <w:sz w:val="24"/>
          <w:highlight w:val="none"/>
        </w:rPr>
      </w:pPr>
    </w:p>
    <w:p w14:paraId="16CD8D8D">
      <w:pPr>
        <w:spacing w:line="360" w:lineRule="auto"/>
        <w:ind w:firstLine="549" w:firstLineChars="229"/>
        <w:rPr>
          <w:rFonts w:ascii="宋体" w:hAnsi="宋体" w:cs="宋体"/>
          <w:color w:val="auto"/>
          <w:sz w:val="24"/>
          <w:highlight w:val="none"/>
        </w:rPr>
      </w:pPr>
    </w:p>
    <w:p w14:paraId="4CD657DB">
      <w:pPr>
        <w:spacing w:line="360" w:lineRule="auto"/>
        <w:ind w:firstLine="549" w:firstLineChars="229"/>
        <w:rPr>
          <w:rFonts w:ascii="宋体" w:hAnsi="宋体" w:cs="宋体"/>
          <w:color w:val="auto"/>
          <w:sz w:val="24"/>
          <w:highlight w:val="none"/>
        </w:rPr>
      </w:pPr>
    </w:p>
    <w:p w14:paraId="7B714D71">
      <w:pPr>
        <w:spacing w:line="360" w:lineRule="auto"/>
        <w:ind w:firstLine="549" w:firstLineChars="229"/>
        <w:rPr>
          <w:rFonts w:ascii="宋体" w:hAnsi="宋体" w:cs="宋体"/>
          <w:color w:val="auto"/>
          <w:sz w:val="24"/>
          <w:highlight w:val="none"/>
        </w:rPr>
      </w:pPr>
    </w:p>
    <w:p w14:paraId="0768132B">
      <w:pPr>
        <w:spacing w:line="360" w:lineRule="auto"/>
        <w:ind w:firstLine="549" w:firstLineChars="229"/>
        <w:rPr>
          <w:rFonts w:ascii="宋体" w:hAnsi="宋体" w:cs="宋体"/>
          <w:color w:val="auto"/>
          <w:sz w:val="24"/>
          <w:highlight w:val="none"/>
        </w:rPr>
      </w:pPr>
    </w:p>
    <w:p w14:paraId="7BBAF33D">
      <w:pPr>
        <w:spacing w:line="360" w:lineRule="auto"/>
        <w:ind w:firstLine="549" w:firstLineChars="229"/>
        <w:rPr>
          <w:rFonts w:ascii="宋体" w:hAnsi="宋体" w:cs="宋体"/>
          <w:color w:val="auto"/>
          <w:sz w:val="24"/>
          <w:highlight w:val="none"/>
        </w:rPr>
      </w:pPr>
    </w:p>
    <w:p w14:paraId="463AAD60">
      <w:pPr>
        <w:spacing w:line="360" w:lineRule="auto"/>
        <w:ind w:firstLine="549" w:firstLineChars="229"/>
        <w:rPr>
          <w:rFonts w:ascii="宋体" w:hAnsi="宋体" w:cs="宋体"/>
          <w:color w:val="auto"/>
          <w:sz w:val="24"/>
          <w:highlight w:val="none"/>
        </w:rPr>
      </w:pPr>
    </w:p>
    <w:p w14:paraId="1AEF8B6E">
      <w:pPr>
        <w:spacing w:line="360" w:lineRule="auto"/>
        <w:ind w:firstLine="549" w:firstLineChars="229"/>
        <w:rPr>
          <w:rFonts w:ascii="宋体" w:hAnsi="宋体" w:cs="宋体"/>
          <w:color w:val="auto"/>
          <w:sz w:val="24"/>
          <w:highlight w:val="none"/>
        </w:rPr>
      </w:pPr>
    </w:p>
    <w:p w14:paraId="7945154E">
      <w:pPr>
        <w:spacing w:line="360" w:lineRule="auto"/>
        <w:ind w:firstLine="549" w:firstLineChars="229"/>
        <w:rPr>
          <w:rFonts w:ascii="宋体" w:hAnsi="宋体" w:cs="宋体"/>
          <w:color w:val="auto"/>
          <w:sz w:val="24"/>
          <w:highlight w:val="none"/>
        </w:rPr>
      </w:pPr>
    </w:p>
    <w:p w14:paraId="14B90542">
      <w:pPr>
        <w:spacing w:line="360" w:lineRule="auto"/>
        <w:ind w:firstLine="549" w:firstLineChars="229"/>
        <w:rPr>
          <w:rFonts w:ascii="宋体" w:hAnsi="宋体" w:cs="宋体"/>
          <w:color w:val="auto"/>
          <w:sz w:val="24"/>
          <w:highlight w:val="none"/>
        </w:rPr>
      </w:pPr>
    </w:p>
    <w:p w14:paraId="271670FD">
      <w:pPr>
        <w:spacing w:line="360" w:lineRule="auto"/>
        <w:ind w:firstLine="549" w:firstLineChars="229"/>
        <w:rPr>
          <w:rFonts w:ascii="宋体" w:hAnsi="宋体" w:cs="宋体"/>
          <w:color w:val="auto"/>
          <w:sz w:val="24"/>
          <w:highlight w:val="none"/>
        </w:rPr>
      </w:pPr>
    </w:p>
    <w:p w14:paraId="02A9EB09">
      <w:pPr>
        <w:spacing w:line="360" w:lineRule="auto"/>
        <w:ind w:firstLine="549" w:firstLineChars="229"/>
        <w:rPr>
          <w:rFonts w:ascii="宋体" w:hAnsi="宋体" w:cs="宋体"/>
          <w:color w:val="auto"/>
          <w:sz w:val="24"/>
          <w:highlight w:val="none"/>
        </w:rPr>
      </w:pPr>
    </w:p>
    <w:p w14:paraId="4D019E85">
      <w:pPr>
        <w:spacing w:line="360" w:lineRule="auto"/>
        <w:rPr>
          <w:rFonts w:ascii="宋体" w:hAnsi="宋体" w:cs="宋体"/>
          <w:color w:val="auto"/>
          <w:sz w:val="24"/>
          <w:highlight w:val="none"/>
        </w:rPr>
      </w:pPr>
    </w:p>
    <w:p w14:paraId="14C106C8">
      <w:pPr>
        <w:adjustRightInd/>
        <w:spacing w:line="360" w:lineRule="auto"/>
        <w:jc w:val="center"/>
        <w:outlineLvl w:val="0"/>
        <w:rPr>
          <w:rFonts w:ascii="宋体" w:hAnsi="宋体" w:cs="宋体"/>
          <w:b/>
          <w:color w:val="auto"/>
          <w:sz w:val="36"/>
          <w:szCs w:val="20"/>
          <w:highlight w:val="none"/>
        </w:rPr>
      </w:pPr>
      <w:bookmarkStart w:id="5" w:name="第一部分"/>
      <w:r>
        <w:rPr>
          <w:rFonts w:hint="eastAsia" w:ascii="宋体" w:hAnsi="宋体" w:cs="宋体"/>
          <w:b/>
          <w:color w:val="auto"/>
          <w:sz w:val="36"/>
          <w:szCs w:val="36"/>
          <w:highlight w:val="none"/>
        </w:rPr>
        <w:br w:type="page"/>
      </w:r>
      <w:bookmarkEnd w:id="4"/>
      <w:bookmarkEnd w:id="5"/>
      <w:bookmarkStart w:id="6" w:name="_Hlt74729822"/>
      <w:bookmarkEnd w:id="6"/>
      <w:bookmarkStart w:id="7" w:name="_Hlt74649545"/>
      <w:bookmarkEnd w:id="7"/>
      <w:bookmarkStart w:id="8" w:name="_Hlt74707423"/>
      <w:bookmarkEnd w:id="8"/>
      <w:bookmarkStart w:id="9" w:name="_Hlt74728647"/>
      <w:bookmarkEnd w:id="9"/>
      <w:bookmarkStart w:id="10" w:name="_Toc176368902"/>
      <w:bookmarkStart w:id="11" w:name="第二部分"/>
      <w:bookmarkStart w:id="12" w:name="_Toc91899870"/>
      <w:bookmarkStart w:id="13" w:name="_Toc91899871"/>
      <w:r>
        <w:rPr>
          <w:rFonts w:hint="eastAsia" w:ascii="宋体" w:hAnsi="宋体" w:cs="宋体"/>
          <w:b/>
          <w:color w:val="auto"/>
          <w:sz w:val="36"/>
          <w:szCs w:val="20"/>
          <w:highlight w:val="none"/>
        </w:rPr>
        <w:t>第一部分 招标公告</w:t>
      </w:r>
      <w:bookmarkEnd w:id="10"/>
    </w:p>
    <w:p w14:paraId="41E8890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1170668D">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2026-2028年市直教育系统安保服务项目</w:t>
      </w:r>
      <w:r>
        <w:rPr>
          <w:rFonts w:hint="eastAsia" w:ascii="宋体" w:hAnsi="宋体" w:cs="宋体"/>
          <w:color w:val="auto"/>
          <w:sz w:val="24"/>
          <w:highlight w:val="none"/>
        </w:rPr>
        <w:t>招标项目的潜在投标人应在广西政府采购云平台（https://www.gcy.zfcg.gxzf.gov.cn/）获取（下载）招标文件，并于202 年 月 日 点 分</w:t>
      </w:r>
      <w:r>
        <w:rPr>
          <w:rFonts w:hint="eastAsia" w:ascii="宋体" w:hAnsi="宋体" w:cs="宋体"/>
          <w:bCs/>
          <w:color w:val="auto"/>
          <w:sz w:val="24"/>
          <w:highlight w:val="none"/>
        </w:rPr>
        <w:t>00秒（北京时间）前</w:t>
      </w:r>
      <w:r>
        <w:rPr>
          <w:rFonts w:hint="eastAsia" w:ascii="宋体" w:hAnsi="宋体" w:cs="宋体"/>
          <w:color w:val="auto"/>
          <w:sz w:val="24"/>
          <w:highlight w:val="none"/>
        </w:rPr>
        <w:t>递交（上传）投标文件。</w:t>
      </w:r>
    </w:p>
    <w:p w14:paraId="4BE5B57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33C6B223">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BHZC2026-G3-990120-CGZX</w:t>
      </w:r>
    </w:p>
    <w:p w14:paraId="50F3A42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r>
        <w:rPr>
          <w:rFonts w:hint="eastAsia" w:ascii="宋体" w:hAnsi="宋体" w:cs="宋体"/>
          <w:color w:val="auto"/>
          <w:sz w:val="24"/>
          <w:highlight w:val="none"/>
          <w:lang w:eastAsia="zh-CN"/>
        </w:rPr>
        <w:t>2026-2028年市直教育系统安保服务项目</w:t>
      </w:r>
    </w:p>
    <w:p w14:paraId="57FBE6D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预算金额（元）：</w:t>
      </w:r>
    </w:p>
    <w:p w14:paraId="0B27CAD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采购需求： </w:t>
      </w:r>
    </w:p>
    <w:p w14:paraId="3B8D213B">
      <w:pPr>
        <w:snapToGrid w:val="0"/>
        <w:spacing w:line="360" w:lineRule="auto"/>
        <w:ind w:firstLine="480" w:firstLineChars="200"/>
        <w:rPr>
          <w:rFonts w:ascii="宋体" w:hAnsi="宋体" w:cs="宋体"/>
          <w:color w:val="auto"/>
          <w:sz w:val="24"/>
          <w:highlight w:val="none"/>
        </w:rPr>
      </w:pPr>
    </w:p>
    <w:p w14:paraId="70DC193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标项一</w:t>
      </w:r>
    </w:p>
    <w:p w14:paraId="7D9D72E9">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标项名称: </w:t>
      </w:r>
      <w:bookmarkStart w:id="14" w:name="OLE_LINK31"/>
      <w:bookmarkStart w:id="15" w:name="OLE_LINK32"/>
      <w:r>
        <w:rPr>
          <w:rFonts w:hint="eastAsia" w:ascii="宋体" w:hAnsi="宋体" w:cs="宋体"/>
          <w:color w:val="auto"/>
          <w:sz w:val="24"/>
          <w:highlight w:val="none"/>
        </w:rPr>
        <w:t>安保服务</w:t>
      </w:r>
      <w:bookmarkEnd w:id="14"/>
      <w:bookmarkEnd w:id="15"/>
      <w:r>
        <w:rPr>
          <w:rFonts w:hint="eastAsia" w:ascii="宋体" w:hAnsi="宋体" w:cs="宋体"/>
          <w:color w:val="auto"/>
          <w:sz w:val="24"/>
          <w:highlight w:val="none"/>
          <w:lang w:val="en-US" w:eastAsia="zh-CN"/>
        </w:rPr>
        <w:t>1</w:t>
      </w:r>
    </w:p>
    <w:p w14:paraId="06B4A6F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数量: </w:t>
      </w:r>
      <w:r>
        <w:rPr>
          <w:rFonts w:hint="eastAsia" w:ascii="宋体" w:hAnsi="宋体" w:cs="宋体"/>
          <w:color w:val="auto"/>
          <w:sz w:val="24"/>
          <w:highlight w:val="none"/>
          <w:lang w:val="en-US" w:eastAsia="zh-CN"/>
        </w:rPr>
        <w:t>1项</w:t>
      </w:r>
    </w:p>
    <w:p w14:paraId="0447FA5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预算金额（元）: </w:t>
      </w:r>
      <w:r>
        <w:rPr>
          <w:rFonts w:ascii="宋体" w:hAnsi="宋体" w:cs="宋体"/>
          <w:color w:val="auto"/>
          <w:sz w:val="24"/>
          <w:highlight w:val="none"/>
        </w:rPr>
        <w:t>7340400</w:t>
      </w:r>
    </w:p>
    <w:p w14:paraId="67AC72C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简要规格描述或项目基本概况介绍、用途：部分学校安保服务。详见招标文件。</w:t>
      </w:r>
    </w:p>
    <w:p w14:paraId="7B3CA1E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最高限价（如有）：/</w:t>
      </w:r>
    </w:p>
    <w:p w14:paraId="139D24E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合同履约期限：自合同签订之日并开始履行之日起2年。</w:t>
      </w:r>
    </w:p>
    <w:p w14:paraId="2055AA7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14:paraId="26ECB7D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w:t>
      </w:r>
    </w:p>
    <w:p w14:paraId="369EDF91">
      <w:pPr>
        <w:snapToGrid w:val="0"/>
        <w:spacing w:line="360" w:lineRule="auto"/>
        <w:ind w:firstLine="480" w:firstLineChars="200"/>
        <w:rPr>
          <w:rFonts w:ascii="宋体" w:hAnsi="宋体" w:cs="宋体"/>
          <w:color w:val="auto"/>
          <w:sz w:val="24"/>
          <w:highlight w:val="none"/>
        </w:rPr>
      </w:pPr>
    </w:p>
    <w:p w14:paraId="330302E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标项二</w:t>
      </w:r>
    </w:p>
    <w:p w14:paraId="2B5AF9B0">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标项名称: </w:t>
      </w:r>
      <w:bookmarkStart w:id="16" w:name="OLE_LINK33"/>
      <w:r>
        <w:rPr>
          <w:rFonts w:hint="eastAsia" w:ascii="宋体" w:hAnsi="宋体" w:cs="宋体"/>
          <w:color w:val="auto"/>
          <w:sz w:val="24"/>
          <w:highlight w:val="none"/>
        </w:rPr>
        <w:t>安保服务</w:t>
      </w:r>
      <w:r>
        <w:rPr>
          <w:rFonts w:hint="eastAsia" w:ascii="宋体" w:hAnsi="宋体" w:cs="宋体"/>
          <w:color w:val="auto"/>
          <w:sz w:val="24"/>
          <w:highlight w:val="none"/>
          <w:lang w:val="en-US" w:eastAsia="zh-CN"/>
        </w:rPr>
        <w:t>2</w:t>
      </w:r>
    </w:p>
    <w:bookmarkEnd w:id="16"/>
    <w:p w14:paraId="3D4C9DB4">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数量: </w:t>
      </w:r>
      <w:r>
        <w:rPr>
          <w:rFonts w:hint="eastAsia" w:ascii="宋体" w:hAnsi="宋体" w:cs="宋体"/>
          <w:color w:val="auto"/>
          <w:sz w:val="24"/>
          <w:highlight w:val="none"/>
          <w:lang w:val="en-US" w:eastAsia="zh-CN"/>
        </w:rPr>
        <w:t>1项</w:t>
      </w:r>
    </w:p>
    <w:p w14:paraId="1DFAEF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预算金额（元）: 6339400</w:t>
      </w:r>
    </w:p>
    <w:p w14:paraId="35AACF9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简要规格描述或项目基本概况介绍、用途：部分学校安保服务。详见招标文件。</w:t>
      </w:r>
    </w:p>
    <w:p w14:paraId="4E48BB8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最高限价（如有）：/</w:t>
      </w:r>
    </w:p>
    <w:p w14:paraId="4E9FD92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合同履约期限：自合同签订之日并开始履行之日起2年。</w:t>
      </w:r>
    </w:p>
    <w:p w14:paraId="7811C4C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14:paraId="0163BA6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w:t>
      </w:r>
    </w:p>
    <w:p w14:paraId="03892424">
      <w:pPr>
        <w:snapToGrid w:val="0"/>
        <w:spacing w:line="360" w:lineRule="auto"/>
        <w:ind w:firstLine="480" w:firstLineChars="200"/>
        <w:rPr>
          <w:rFonts w:ascii="宋体" w:hAnsi="宋体" w:cs="宋体"/>
          <w:color w:val="auto"/>
          <w:sz w:val="24"/>
          <w:highlight w:val="none"/>
        </w:rPr>
      </w:pPr>
    </w:p>
    <w:p w14:paraId="0E7D1F0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标项三</w:t>
      </w:r>
    </w:p>
    <w:p w14:paraId="2D803090">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标项名称: </w:t>
      </w:r>
      <w:bookmarkStart w:id="17" w:name="OLE_LINK38"/>
      <w:bookmarkStart w:id="18" w:name="OLE_LINK39"/>
      <w:bookmarkStart w:id="19" w:name="OLE_LINK40"/>
      <w:bookmarkStart w:id="20" w:name="OLE_LINK35"/>
      <w:bookmarkStart w:id="21" w:name="OLE_LINK34"/>
      <w:r>
        <w:rPr>
          <w:rFonts w:hint="eastAsia" w:ascii="宋体" w:hAnsi="宋体" w:cs="宋体"/>
          <w:color w:val="auto"/>
          <w:sz w:val="24"/>
          <w:highlight w:val="none"/>
        </w:rPr>
        <w:t>安保服务</w:t>
      </w:r>
      <w:bookmarkEnd w:id="17"/>
      <w:bookmarkEnd w:id="18"/>
      <w:bookmarkEnd w:id="19"/>
      <w:r>
        <w:rPr>
          <w:rFonts w:hint="eastAsia" w:ascii="宋体" w:hAnsi="宋体" w:cs="宋体"/>
          <w:color w:val="auto"/>
          <w:sz w:val="24"/>
          <w:highlight w:val="none"/>
          <w:lang w:val="en-US" w:eastAsia="zh-CN"/>
        </w:rPr>
        <w:t>3</w:t>
      </w:r>
    </w:p>
    <w:bookmarkEnd w:id="20"/>
    <w:bookmarkEnd w:id="21"/>
    <w:p w14:paraId="6186EE9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数量: </w:t>
      </w:r>
      <w:r>
        <w:rPr>
          <w:rFonts w:hint="eastAsia" w:ascii="宋体" w:hAnsi="宋体" w:cs="宋体"/>
          <w:color w:val="auto"/>
          <w:sz w:val="24"/>
          <w:highlight w:val="none"/>
          <w:lang w:val="en-US" w:eastAsia="zh-CN"/>
        </w:rPr>
        <w:t>1项</w:t>
      </w:r>
    </w:p>
    <w:p w14:paraId="188327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预算金额（元）: 5359500</w:t>
      </w:r>
    </w:p>
    <w:p w14:paraId="2D5EBDC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简要规格描述或项目基本概况介绍、用途：部分学校安保服务。详见招标文件。</w:t>
      </w:r>
    </w:p>
    <w:p w14:paraId="44DBF11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最高限价（如有）：/</w:t>
      </w:r>
    </w:p>
    <w:p w14:paraId="43C839F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合同履约期限：自合同签订之日并开始履行之日起2年。</w:t>
      </w:r>
    </w:p>
    <w:p w14:paraId="62AA290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14:paraId="791DF03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w:t>
      </w:r>
    </w:p>
    <w:p w14:paraId="1466F4E6">
      <w:pPr>
        <w:snapToGrid w:val="0"/>
        <w:spacing w:line="360" w:lineRule="auto"/>
        <w:ind w:firstLine="480" w:firstLineChars="200"/>
        <w:rPr>
          <w:rFonts w:ascii="宋体" w:hAnsi="宋体" w:cs="宋体"/>
          <w:color w:val="auto"/>
          <w:sz w:val="24"/>
          <w:highlight w:val="none"/>
        </w:rPr>
      </w:pPr>
    </w:p>
    <w:p w14:paraId="24B3332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标项四</w:t>
      </w:r>
    </w:p>
    <w:p w14:paraId="47945DB4">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标项名称: </w:t>
      </w:r>
      <w:bookmarkStart w:id="22" w:name="OLE_LINK36"/>
      <w:bookmarkStart w:id="23" w:name="OLE_LINK37"/>
      <w:r>
        <w:rPr>
          <w:rFonts w:hint="eastAsia" w:ascii="宋体" w:hAnsi="宋体" w:cs="宋体"/>
          <w:color w:val="auto"/>
          <w:sz w:val="24"/>
          <w:highlight w:val="none"/>
        </w:rPr>
        <w:t>安保服务</w:t>
      </w:r>
      <w:bookmarkEnd w:id="22"/>
      <w:bookmarkEnd w:id="23"/>
      <w:r>
        <w:rPr>
          <w:rFonts w:hint="eastAsia" w:ascii="宋体" w:hAnsi="宋体" w:cs="宋体"/>
          <w:color w:val="auto"/>
          <w:sz w:val="24"/>
          <w:highlight w:val="none"/>
          <w:lang w:val="en-US" w:eastAsia="zh-CN"/>
        </w:rPr>
        <w:t>4</w:t>
      </w:r>
    </w:p>
    <w:p w14:paraId="6A01D3C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数量: </w:t>
      </w:r>
      <w:r>
        <w:rPr>
          <w:rFonts w:hint="eastAsia" w:ascii="宋体" w:hAnsi="宋体" w:cs="宋体"/>
          <w:color w:val="auto"/>
          <w:sz w:val="24"/>
          <w:highlight w:val="none"/>
          <w:lang w:val="en-US" w:eastAsia="zh-CN"/>
        </w:rPr>
        <w:t>1项</w:t>
      </w:r>
    </w:p>
    <w:p w14:paraId="0ABEFF2D">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预算金额（元）: </w:t>
      </w:r>
      <w:r>
        <w:rPr>
          <w:rFonts w:hint="eastAsia" w:ascii="宋体" w:hAnsi="宋体" w:cs="宋体"/>
          <w:color w:val="auto"/>
          <w:sz w:val="24"/>
          <w:highlight w:val="none"/>
          <w:lang w:val="en-US" w:eastAsia="zh-CN"/>
        </w:rPr>
        <w:t>4117100</w:t>
      </w:r>
    </w:p>
    <w:p w14:paraId="0DBE684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简要规格描述或项目基本概况介绍、用途：部分学校安保服务。详见招标文件。</w:t>
      </w:r>
    </w:p>
    <w:p w14:paraId="3BE1BE2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最高限价（如有）：/</w:t>
      </w:r>
    </w:p>
    <w:p w14:paraId="0F2B318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合同履约期限：自合同签订之日并开始履行之日起2年。</w:t>
      </w:r>
    </w:p>
    <w:p w14:paraId="453970C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14:paraId="02B404D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w:t>
      </w:r>
    </w:p>
    <w:p w14:paraId="4BE5A045">
      <w:pPr>
        <w:snapToGrid w:val="0"/>
        <w:spacing w:line="360" w:lineRule="auto"/>
        <w:ind w:firstLine="480" w:firstLineChars="200"/>
        <w:rPr>
          <w:rFonts w:ascii="宋体" w:hAnsi="宋体" w:cs="宋体"/>
          <w:color w:val="auto"/>
          <w:sz w:val="24"/>
          <w:highlight w:val="none"/>
        </w:rPr>
      </w:pPr>
    </w:p>
    <w:p w14:paraId="1355E6AB">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28AD390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3E41995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2.落实政府采购政策需满足的资格要求：标项一、二、三、四均专门面向中小企业采购，监狱企业、残疾人福利性单位视同小型和微型企业。</w:t>
      </w:r>
    </w:p>
    <w:p w14:paraId="4C6167A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3.本项目的特定资格要求：标项一、二、三、四投标供应商均须具备有效的保安服务许可证。</w:t>
      </w:r>
    </w:p>
    <w:p w14:paraId="057B342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5CEC1D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 年 月 日</w:t>
      </w:r>
      <w:r>
        <w:rPr>
          <w:rFonts w:hint="eastAsia" w:ascii="宋体" w:hAnsi="宋体" w:cs="宋体"/>
          <w:color w:val="auto"/>
          <w:sz w:val="24"/>
          <w:highlight w:val="none"/>
        </w:rPr>
        <w:t>至</w:t>
      </w:r>
      <w:r>
        <w:rPr>
          <w:rFonts w:hint="eastAsia" w:ascii="宋体" w:hAnsi="宋体" w:cs="宋体"/>
          <w:color w:val="auto"/>
          <w:sz w:val="24"/>
          <w:highlight w:val="none"/>
          <w:u w:val="single"/>
        </w:rPr>
        <w:t>202 年 月 日</w:t>
      </w:r>
      <w:r>
        <w:rPr>
          <w:rFonts w:hint="eastAsia" w:ascii="宋体" w:hAnsi="宋体" w:cs="宋体"/>
          <w:color w:val="auto"/>
          <w:sz w:val="24"/>
          <w:highlight w:val="none"/>
        </w:rPr>
        <w:t>，每天上午00:00至12:00 ，下午12:00至23:59（北京时间，法定节假日除外）</w:t>
      </w:r>
    </w:p>
    <w:p w14:paraId="4C248D2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75CE1BE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14:paraId="32793A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rPr>
        <w:tab/>
      </w:r>
    </w:p>
    <w:p w14:paraId="28F7D7F9">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D3398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 xml:space="preserve"> 202 年 月 日 点 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445F46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14:paraId="137B260E">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 年 月 日 点 分00秒</w:t>
      </w:r>
      <w:r>
        <w:rPr>
          <w:rFonts w:hint="eastAsia" w:ascii="宋体" w:hAnsi="宋体" w:cs="宋体"/>
          <w:bCs/>
          <w:color w:val="auto"/>
          <w:sz w:val="24"/>
          <w:highlight w:val="none"/>
          <w:u w:val="single"/>
        </w:rPr>
        <w:t xml:space="preserve">  </w:t>
      </w:r>
    </w:p>
    <w:p w14:paraId="1D7A57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14:paraId="63010165">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08B97F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0698B85D">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1AD8D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1.投标保证金：无。</w:t>
      </w:r>
    </w:p>
    <w:p w14:paraId="532257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2.本项目需要落实的政府采购政策：（1）支持中小企业发展：专门面向中小企业采购。（</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）支持监狱企业、残疾人福利性单位发展：监狱企业、残疾人福利性单位视同小型和微型企业。（</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）平等对待内外资企业和符合条件的破产重整企业。</w:t>
      </w:r>
    </w:p>
    <w:p w14:paraId="237AB747">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64F77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4.网上公告媒体查询：中国政府采购网、广西政府采购网、北海市政府采购监管网、北海市人民政府网-北海市政府采购中心网站、全国公共资源交易平台（广西•北海）。</w:t>
      </w:r>
    </w:p>
    <w:p w14:paraId="2CBBDF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776DA5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E56BB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7.本项目采用（跨省）远程异地评标。</w:t>
      </w:r>
    </w:p>
    <w:p w14:paraId="309E2887">
      <w:pPr>
        <w:pStyle w:val="6"/>
        <w:keepNext w:val="0"/>
        <w:keepLines w:val="0"/>
        <w:pageBreakBefore w:val="0"/>
        <w:widowControl/>
        <w:kinsoku/>
        <w:wordWrap/>
        <w:overflowPunct/>
        <w:topLinePunct w:val="0"/>
        <w:autoSpaceDE/>
        <w:autoSpaceDN/>
        <w:bidi w:val="0"/>
        <w:adjustRightInd w:val="0"/>
        <w:snapToGrid w:val="0"/>
        <w:ind w:left="0" w:leftChars="0" w:firstLine="480" w:firstLineChars="200"/>
        <w:textAlignment w:val="auto"/>
        <w:rPr>
          <w:rFonts w:hint="default" w:eastAsia="宋体"/>
          <w:color w:val="auto"/>
          <w:highlight w:val="none"/>
          <w:lang w:val="en-US" w:eastAsia="zh-CN"/>
        </w:rPr>
      </w:pPr>
      <w:r>
        <w:rPr>
          <w:rFonts w:hint="eastAsia" w:hAnsi="宋体" w:cs="宋体"/>
          <w:color w:val="auto"/>
          <w:sz w:val="24"/>
          <w:highlight w:val="none"/>
          <w:lang w:val="en-US" w:eastAsia="zh-CN"/>
        </w:rPr>
        <w:t>8.本项目划分为1、2、3、4四个分标，实行兼投不兼中，供应商可以同时参与多个分标投标，但只能中标一个分标。评标委员会严格按照1→2→3→4的顺序依次开展评审；若某供应商在前序分标被确定为第一中标候选人，该供应商不再进入后续所有分标的详细评审及中标候选人推荐环节，在后续所有分标评审中，评标委员会直接对其作符合性审查否决处理，后续分标从剩余有效投标人（不得少于3家）中正常评审。</w:t>
      </w:r>
    </w:p>
    <w:p w14:paraId="34A33D09">
      <w:pPr>
        <w:pStyle w:val="6"/>
        <w:rPr>
          <w:color w:val="auto"/>
          <w:highlight w:val="none"/>
        </w:rPr>
      </w:pPr>
    </w:p>
    <w:p w14:paraId="77F7B06B">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08903F36">
      <w:pPr>
        <w:adjustRightInd/>
        <w:spacing w:line="3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14:paraId="12C6884F">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名    称：北海市教育局</w:t>
      </w:r>
    </w:p>
    <w:p w14:paraId="64BF1D0E">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址：北海市海城区广东南路117号</w:t>
      </w:r>
    </w:p>
    <w:p w14:paraId="6C5819CA">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项目联系人：刘小玲</w:t>
      </w:r>
      <w:r>
        <w:rPr>
          <w:rFonts w:hint="eastAsia" w:ascii="宋体" w:hAnsi="宋体" w:cs="宋体"/>
          <w:color w:val="auto"/>
          <w:sz w:val="24"/>
          <w:highlight w:val="none"/>
        </w:rPr>
        <w:tab/>
      </w:r>
    </w:p>
    <w:p w14:paraId="7C2C414D">
      <w:pPr>
        <w:tabs>
          <w:tab w:val="left" w:pos="4153"/>
        </w:tabs>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项目联系方式：0779-3200981</w:t>
      </w:r>
      <w:r>
        <w:rPr>
          <w:rFonts w:hint="eastAsia" w:ascii="宋体" w:hAnsi="宋体" w:cs="宋体"/>
          <w:color w:val="auto"/>
          <w:sz w:val="24"/>
          <w:highlight w:val="none"/>
        </w:rPr>
        <w:tab/>
      </w:r>
    </w:p>
    <w:p w14:paraId="2C25BB80">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2.采购代理机构信息            </w:t>
      </w:r>
      <w:bookmarkStart w:id="429" w:name="_GoBack"/>
      <w:bookmarkEnd w:id="429"/>
    </w:p>
    <w:p w14:paraId="1B066E56">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名    称：北海市政府采购中心             </w:t>
      </w:r>
    </w:p>
    <w:p w14:paraId="25AA2E52">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地    址：北海市海城区陈文村北路7号市直机关第三办公区2号楼一层           </w:t>
      </w:r>
    </w:p>
    <w:p w14:paraId="7A755254">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费工、</w:t>
      </w:r>
      <w:r>
        <w:rPr>
          <w:rFonts w:hint="eastAsia" w:ascii="宋体" w:hAnsi="宋体" w:cs="宋体"/>
          <w:color w:val="auto"/>
          <w:sz w:val="24"/>
          <w:highlight w:val="none"/>
        </w:rPr>
        <w:t>洪</w:t>
      </w:r>
      <w:r>
        <w:rPr>
          <w:rFonts w:hint="eastAsia" w:ascii="宋体" w:hAnsi="宋体" w:cs="宋体"/>
          <w:color w:val="auto"/>
          <w:sz w:val="24"/>
          <w:highlight w:val="none"/>
          <w:lang w:eastAsia="zh-CN"/>
        </w:rPr>
        <w:t>工</w:t>
      </w:r>
      <w:r>
        <w:rPr>
          <w:rFonts w:hint="eastAsia" w:ascii="宋体" w:hAnsi="宋体" w:cs="宋体"/>
          <w:color w:val="auto"/>
          <w:sz w:val="24"/>
          <w:highlight w:val="none"/>
        </w:rPr>
        <w:t xml:space="preserve">           </w:t>
      </w:r>
    </w:p>
    <w:p w14:paraId="2DE821A3">
      <w:pPr>
        <w:spacing w:line="360" w:lineRule="auto"/>
        <w:rPr>
          <w:rFonts w:ascii="宋体" w:hAnsi="宋体" w:cs="宋体"/>
          <w:color w:val="auto"/>
          <w:sz w:val="24"/>
          <w:highlight w:val="none"/>
        </w:rPr>
      </w:pPr>
      <w:r>
        <w:rPr>
          <w:rFonts w:hint="eastAsia" w:ascii="宋体" w:hAnsi="宋体" w:cs="宋体"/>
          <w:color w:val="auto"/>
          <w:sz w:val="24"/>
          <w:highlight w:val="none"/>
        </w:rPr>
        <w:t>项目联系方式(询问)：0779-3056122</w:t>
      </w:r>
    </w:p>
    <w:p w14:paraId="35110C5B">
      <w:pPr>
        <w:spacing w:line="360" w:lineRule="auto"/>
        <w:rPr>
          <w:color w:val="auto"/>
          <w:highlight w:val="none"/>
        </w:rPr>
      </w:pPr>
    </w:p>
    <w:p w14:paraId="0EEC68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41BE9234">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1A09494E">
      <w:pPr>
        <w:adjustRightInd/>
        <w:spacing w:line="360" w:lineRule="auto"/>
        <w:jc w:val="center"/>
        <w:outlineLvl w:val="0"/>
        <w:rPr>
          <w:rFonts w:ascii="宋体" w:hAnsi="宋体" w:cs="宋体"/>
          <w:b/>
          <w:color w:val="auto"/>
          <w:sz w:val="36"/>
          <w:szCs w:val="20"/>
          <w:highlight w:val="none"/>
        </w:rPr>
      </w:pPr>
      <w:bookmarkStart w:id="24" w:name="_Toc176368903"/>
      <w:r>
        <w:rPr>
          <w:rFonts w:hint="eastAsia" w:ascii="宋体" w:hAnsi="宋体" w:cs="宋体"/>
          <w:b/>
          <w:color w:val="auto"/>
          <w:sz w:val="36"/>
          <w:szCs w:val="20"/>
          <w:highlight w:val="none"/>
        </w:rPr>
        <w:t>第二部分</w:t>
      </w:r>
      <w:bookmarkEnd w:id="11"/>
      <w:r>
        <w:rPr>
          <w:rFonts w:hint="eastAsia" w:ascii="宋体" w:hAnsi="宋体" w:cs="宋体"/>
          <w:b/>
          <w:color w:val="auto"/>
          <w:sz w:val="36"/>
          <w:szCs w:val="20"/>
          <w:highlight w:val="none"/>
        </w:rPr>
        <w:t xml:space="preserve"> 投标人须知</w:t>
      </w:r>
      <w:bookmarkEnd w:id="12"/>
      <w:bookmarkEnd w:id="24"/>
    </w:p>
    <w:p w14:paraId="4ABE7321">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6851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42D7B16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0559DE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7AB2D78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37492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1AAB9B5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9DD12C3">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4325B5FA">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0797D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61ABD0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5BC0BE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41B33C9">
            <w:pPr>
              <w:snapToGrid w:val="0"/>
              <w:spacing w:line="360" w:lineRule="auto"/>
              <w:rPr>
                <w:rFonts w:ascii="宋体" w:hAnsi="宋体" w:cs="宋体"/>
                <w:color w:val="auto"/>
                <w:kern w:val="0"/>
                <w:sz w:val="24"/>
                <w:highlight w:val="none"/>
              </w:rPr>
            </w:pPr>
            <w:bookmarkStart w:id="25" w:name="OLE_LINK51"/>
            <w:bookmarkStart w:id="26" w:name="OLE_LINK50"/>
            <w:r>
              <w:rPr>
                <w:rFonts w:hint="eastAsia" w:ascii="宋体" w:hAnsi="宋体" w:cs="宋体"/>
                <w:color w:val="auto"/>
                <w:kern w:val="0"/>
                <w:sz w:val="24"/>
                <w:highlight w:val="none"/>
              </w:rPr>
              <w:t>标项1标的：</w:t>
            </w:r>
            <w:bookmarkEnd w:id="25"/>
            <w:bookmarkEnd w:id="26"/>
            <w:r>
              <w:rPr>
                <w:rFonts w:hint="eastAsia" w:ascii="宋体" w:hAnsi="宋体" w:cs="宋体"/>
                <w:color w:val="auto"/>
                <w:kern w:val="0"/>
                <w:sz w:val="24"/>
                <w:highlight w:val="none"/>
                <w:u w:val="single"/>
              </w:rPr>
              <w:t>安保服务</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bookmarkStart w:id="27" w:name="OLE_LINK53"/>
            <w:bookmarkStart w:id="28" w:name="OLE_LINK52"/>
            <w:r>
              <w:rPr>
                <w:rFonts w:hint="eastAsia" w:ascii="宋体" w:hAnsi="宋体" w:cs="宋体"/>
                <w:color w:val="auto"/>
                <w:kern w:val="0"/>
                <w:sz w:val="24"/>
                <w:highlight w:val="none"/>
              </w:rPr>
              <w:t xml:space="preserve">属于  </w:t>
            </w:r>
            <w:r>
              <w:rPr>
                <w:rFonts w:hint="eastAsia" w:ascii="宋体" w:hAnsi="宋体" w:cs="宋体"/>
                <w:color w:val="auto"/>
                <w:kern w:val="0"/>
                <w:sz w:val="24"/>
                <w:highlight w:val="none"/>
                <w:u w:val="single"/>
              </w:rPr>
              <w:t xml:space="preserve">租赁和商务服务业 </w:t>
            </w:r>
            <w:r>
              <w:rPr>
                <w:rFonts w:hint="eastAsia" w:ascii="宋体" w:hAnsi="宋体" w:cs="宋体"/>
                <w:color w:val="auto"/>
                <w:kern w:val="0"/>
                <w:sz w:val="24"/>
                <w:highlight w:val="none"/>
              </w:rPr>
              <w:t xml:space="preserve"> 行业；</w:t>
            </w:r>
            <w:bookmarkEnd w:id="27"/>
            <w:bookmarkEnd w:id="28"/>
            <w:r>
              <w:rPr>
                <w:rFonts w:hint="eastAsia" w:ascii="宋体" w:hAnsi="宋体" w:cs="宋体"/>
                <w:color w:val="auto"/>
                <w:kern w:val="0"/>
                <w:sz w:val="24"/>
                <w:highlight w:val="none"/>
              </w:rPr>
              <w:t>标项2标的：</w:t>
            </w:r>
            <w:r>
              <w:rPr>
                <w:rFonts w:hint="eastAsia" w:ascii="宋体" w:hAnsi="宋体" w:cs="宋体"/>
                <w:color w:val="auto"/>
                <w:kern w:val="0"/>
                <w:sz w:val="24"/>
                <w:highlight w:val="none"/>
                <w:u w:val="single"/>
              </w:rPr>
              <w:t>安保服务</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rPr>
              <w:t xml:space="preserve">，属于 </w:t>
            </w:r>
            <w:r>
              <w:rPr>
                <w:rFonts w:hint="eastAsia" w:ascii="宋体" w:hAnsi="宋体" w:cs="宋体"/>
                <w:color w:val="auto"/>
                <w:kern w:val="0"/>
                <w:sz w:val="24"/>
                <w:highlight w:val="none"/>
                <w:u w:val="single"/>
              </w:rPr>
              <w:t xml:space="preserve"> 租赁和商务服务业</w:t>
            </w:r>
            <w:r>
              <w:rPr>
                <w:rFonts w:hint="eastAsia" w:ascii="宋体" w:hAnsi="宋体" w:cs="宋体"/>
                <w:color w:val="auto"/>
                <w:kern w:val="0"/>
                <w:sz w:val="24"/>
                <w:highlight w:val="none"/>
              </w:rPr>
              <w:t xml:space="preserve">  行业；标项3标的：</w:t>
            </w:r>
            <w:r>
              <w:rPr>
                <w:rFonts w:hint="eastAsia" w:ascii="宋体" w:hAnsi="宋体" w:cs="宋体"/>
                <w:color w:val="auto"/>
                <w:kern w:val="0"/>
                <w:sz w:val="24"/>
                <w:highlight w:val="none"/>
                <w:u w:val="single"/>
              </w:rPr>
              <w:t>安保服务</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rPr>
              <w:t>，</w:t>
            </w:r>
            <w:bookmarkStart w:id="29" w:name="OLE_LINK54"/>
            <w:bookmarkStart w:id="30" w:name="OLE_LINK55"/>
            <w:r>
              <w:rPr>
                <w:rFonts w:hint="eastAsia" w:ascii="宋体" w:hAnsi="宋体" w:cs="宋体"/>
                <w:color w:val="auto"/>
                <w:kern w:val="0"/>
                <w:sz w:val="24"/>
                <w:highlight w:val="none"/>
              </w:rPr>
              <w:t>属</w:t>
            </w:r>
            <w:bookmarkStart w:id="31" w:name="OLE_LINK57"/>
            <w:bookmarkStart w:id="32" w:name="OLE_LINK56"/>
            <w:r>
              <w:rPr>
                <w:rFonts w:hint="eastAsia" w:ascii="宋体" w:hAnsi="宋体" w:cs="宋体"/>
                <w:color w:val="auto"/>
                <w:kern w:val="0"/>
                <w:sz w:val="24"/>
                <w:highlight w:val="none"/>
              </w:rPr>
              <w:t xml:space="preserve">于  </w:t>
            </w:r>
            <w:r>
              <w:rPr>
                <w:rFonts w:hint="eastAsia" w:ascii="宋体" w:hAnsi="宋体" w:cs="宋体"/>
                <w:color w:val="auto"/>
                <w:kern w:val="0"/>
                <w:sz w:val="24"/>
                <w:highlight w:val="none"/>
                <w:u w:val="single"/>
              </w:rPr>
              <w:t xml:space="preserve">租赁和商务服务业 </w:t>
            </w:r>
            <w:r>
              <w:rPr>
                <w:rFonts w:hint="eastAsia" w:ascii="宋体" w:hAnsi="宋体" w:cs="宋体"/>
                <w:color w:val="auto"/>
                <w:kern w:val="0"/>
                <w:sz w:val="24"/>
                <w:highlight w:val="none"/>
              </w:rPr>
              <w:t>行业</w:t>
            </w:r>
            <w:bookmarkEnd w:id="31"/>
            <w:bookmarkEnd w:id="32"/>
            <w:r>
              <w:rPr>
                <w:rFonts w:hint="eastAsia" w:ascii="宋体" w:hAnsi="宋体" w:cs="宋体"/>
                <w:color w:val="auto"/>
                <w:kern w:val="0"/>
                <w:sz w:val="24"/>
                <w:highlight w:val="none"/>
              </w:rPr>
              <w:t>；</w:t>
            </w:r>
            <w:bookmarkEnd w:id="29"/>
            <w:bookmarkEnd w:id="30"/>
            <w:r>
              <w:rPr>
                <w:rFonts w:hint="eastAsia" w:ascii="宋体" w:hAnsi="宋体" w:cs="宋体"/>
                <w:color w:val="auto"/>
                <w:kern w:val="0"/>
                <w:sz w:val="24"/>
                <w:highlight w:val="none"/>
              </w:rPr>
              <w:t>标项4标的：</w:t>
            </w:r>
            <w:r>
              <w:rPr>
                <w:rFonts w:hint="eastAsia" w:ascii="宋体" w:hAnsi="宋体" w:cs="宋体"/>
                <w:color w:val="auto"/>
                <w:kern w:val="0"/>
                <w:sz w:val="24"/>
                <w:highlight w:val="none"/>
                <w:u w:val="single"/>
              </w:rPr>
              <w:t>安保服务</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rPr>
              <w:t xml:space="preserve">，属于 </w:t>
            </w:r>
            <w:r>
              <w:rPr>
                <w:rFonts w:hint="eastAsia" w:ascii="宋体" w:hAnsi="宋体" w:cs="宋体"/>
                <w:color w:val="auto"/>
                <w:kern w:val="0"/>
                <w:sz w:val="24"/>
                <w:highlight w:val="none"/>
                <w:u w:val="single"/>
              </w:rPr>
              <w:t xml:space="preserve"> 租赁和商务服务业</w:t>
            </w:r>
            <w:r>
              <w:rPr>
                <w:rFonts w:hint="eastAsia" w:ascii="宋体" w:hAnsi="宋体" w:cs="宋体"/>
                <w:color w:val="auto"/>
                <w:kern w:val="0"/>
                <w:sz w:val="24"/>
                <w:highlight w:val="none"/>
              </w:rPr>
              <w:t xml:space="preserve"> 行业。</w:t>
            </w:r>
          </w:p>
        </w:tc>
      </w:tr>
      <w:tr w14:paraId="4F848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C4D514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DE740A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7F22AA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14ADF300">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37001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8A2E50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1E790D0">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1B5403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C561143">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48D42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FEACBE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D4923F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29F95FA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E5387D7">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741A7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447C4B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842AF9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89981D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5278A19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469B9A5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663BF9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AC1C8BB">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17F0391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3A92AE5">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357676D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27ADB696">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4A547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04EA8C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EE02861">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BD3B3E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5B96D42">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6B37946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7D5ACBF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08DF940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14:paraId="33F325B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3B18512F">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14:paraId="57C51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6531556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9A6E45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60C3B3A">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B9822DB">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67B61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0409D415">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0038927D">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9AB334C">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4DA0F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BE3E5B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D0FE12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2491C4C">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0A67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0C0D0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12FF46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5A677AE">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14:paraId="5526546A">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投标报价出现下列情形的，投标无效：</w:t>
            </w:r>
          </w:p>
          <w:p w14:paraId="683DF943">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投标文件出现不是唯一的、有选择性投标报价的；</w:t>
            </w:r>
          </w:p>
          <w:p w14:paraId="602009D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投标报价超过招标文件中规定的预算金额或者最高限价的;</w:t>
            </w:r>
          </w:p>
          <w:p w14:paraId="7EFB932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投标报价属于招标文件规定的政府采购异常低价情形之一，且投标人不能提供书面说明、证明材料，或者提供的书面说明、证明材料不能证明其报价合理性的</w:t>
            </w:r>
            <w:r>
              <w:rPr>
                <w:rFonts w:hint="eastAsia" w:ascii="宋体" w:hAnsi="宋体" w:cs="宋体"/>
                <w:color w:val="auto"/>
                <w:sz w:val="24"/>
                <w:szCs w:val="21"/>
                <w:highlight w:val="none"/>
              </w:rPr>
              <w:t>;</w:t>
            </w:r>
          </w:p>
          <w:p w14:paraId="5E81C9D0">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64AE0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1A3CE52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1991A8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4EBEF20D">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5169CC47">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14:paraId="2505D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F9ADC7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3052902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45F2AE1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13F331F4">
            <w:pPr>
              <w:pStyle w:val="34"/>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采购人、采购代理机构不强制或变相强制投标人提交备份投标文件。</w:t>
            </w:r>
          </w:p>
        </w:tc>
      </w:tr>
      <w:tr w14:paraId="6AB4A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01C017C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5A0CED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4D959BE">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175AD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5CFAF2BC">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6A87F9B3">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67706A6">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2358173D">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72398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17D49AB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EA5F1A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2AB13395">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14:paraId="36F1F2CE">
      <w:pPr>
        <w:snapToGrid w:val="0"/>
        <w:spacing w:line="360" w:lineRule="auto"/>
        <w:jc w:val="center"/>
        <w:rPr>
          <w:rFonts w:ascii="宋体" w:hAnsi="宋体" w:cs="宋体"/>
          <w:b/>
          <w:color w:val="auto"/>
          <w:sz w:val="32"/>
          <w:szCs w:val="20"/>
          <w:highlight w:val="none"/>
        </w:rPr>
      </w:pPr>
    </w:p>
    <w:bookmarkEnd w:id="13"/>
    <w:p w14:paraId="0467E9AB">
      <w:pPr>
        <w:adjustRightInd/>
        <w:spacing w:line="360" w:lineRule="auto"/>
        <w:ind w:firstLine="3845" w:firstLineChars="1197"/>
        <w:outlineLvl w:val="1"/>
        <w:rPr>
          <w:rFonts w:ascii="宋体" w:hAnsi="宋体" w:cs="宋体"/>
          <w:b/>
          <w:color w:val="auto"/>
          <w:sz w:val="32"/>
          <w:szCs w:val="20"/>
          <w:highlight w:val="none"/>
        </w:rPr>
      </w:pPr>
      <w:bookmarkStart w:id="33" w:name="第三部分"/>
      <w:bookmarkStart w:id="34" w:name="_Toc164416483"/>
      <w:r>
        <w:rPr>
          <w:rFonts w:hint="eastAsia" w:ascii="宋体" w:hAnsi="宋体" w:cs="宋体"/>
          <w:b/>
          <w:color w:val="auto"/>
          <w:sz w:val="32"/>
          <w:szCs w:val="20"/>
          <w:highlight w:val="none"/>
        </w:rPr>
        <w:t>一、总则</w:t>
      </w:r>
    </w:p>
    <w:p w14:paraId="305A1057">
      <w:pPr>
        <w:snapToGrid w:val="0"/>
        <w:spacing w:line="360" w:lineRule="auto"/>
        <w:ind w:firstLine="361" w:firstLineChars="150"/>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3BEED0DF">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01A13F4E">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2.定义</w:t>
      </w:r>
    </w:p>
    <w:p w14:paraId="563BD8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6D3D25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70DB77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3548FD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683032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16AA4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685FED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18758C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7A055302">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5A96A03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3AE38719">
      <w:pPr>
        <w:spacing w:line="360" w:lineRule="auto"/>
        <w:ind w:firstLine="480" w:firstLineChars="200"/>
        <w:rPr>
          <w:rFonts w:ascii="宋体" w:hAnsi="宋体" w:cs="宋体"/>
          <w:color w:val="auto"/>
          <w:sz w:val="24"/>
          <w:highlight w:val="none"/>
        </w:rPr>
      </w:pPr>
      <w:bookmarkStart w:id="35" w:name="OLE_LINK3"/>
      <w:bookmarkStart w:id="36" w:name="OLE_LINK4"/>
      <w:r>
        <w:rPr>
          <w:rFonts w:hint="eastAsia" w:ascii="宋体" w:hAnsi="宋体" w:cs="宋体"/>
          <w:color w:val="auto"/>
          <w:sz w:val="24"/>
          <w:highlight w:val="none"/>
        </w:rPr>
        <w:t>3.2 实施本国产品标准及相关政策</w:t>
      </w:r>
    </w:p>
    <w:p w14:paraId="3CC8A7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 本国产品应当符合以下条件：（一）在中国境内生产；（二）在中国境内生产的组件成本占比达到规定比例；（三）特定产品的关键组件、关键工序符合相关要求。</w:t>
      </w:r>
    </w:p>
    <w:p w14:paraId="3B5C0B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6F3D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3F2C9D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29FF55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供应商应提供的证明文件：供应商拟享受该政策的，应当对其提供的产品出具《关于符合本国产品标准的声明函》（样式见附件8）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2BA0C0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9）。</w:t>
      </w:r>
    </w:p>
    <w:p w14:paraId="633EAD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41158A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3.2.6中标供应商提供的《声明函》或有关证明文件应当随成交结果同时公告。其他未尽事宜按照《国务院办公厅关于在政府采购中实施本国产品标准及相关政策的通知》（国办发〔2025〕34号）执行。</w:t>
      </w:r>
    </w:p>
    <w:bookmarkEnd w:id="35"/>
    <w:bookmarkEnd w:id="36"/>
    <w:p w14:paraId="188B4A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支持绿色发展</w:t>
      </w:r>
    </w:p>
    <w:p w14:paraId="76D75B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23A65D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 纳入政府采购管理的修缮、装修类项目采购建材的，鼓励采购单位将绿色建材性能、指标等作为实质性条件纳入采购文件和合同，具体性能指标要求参考相关绿色建材政府采购需求标准。</w:t>
      </w:r>
    </w:p>
    <w:p w14:paraId="210428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37"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4C4281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 鼓励供应商在参加政府采购过程中开展绿色设计、选择绿色材料、打造绿色制造工艺、开展绿色运输、做好废弃产品回收处理，实现产品全周期的绿色环保。鼓励采购单位对其提高预付款比例、免收履约保证金。</w:t>
      </w:r>
      <w:bookmarkEnd w:id="37"/>
    </w:p>
    <w:p w14:paraId="0F4B5A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3.4支持中小企业发展</w:t>
      </w:r>
    </w:p>
    <w:p w14:paraId="74F7D8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3.4.1中小企业，是指在中华人民共和国境内依法设立，依据国务院批准的中小企业划分标准确定的中型企业、小型企业和微型企业，但与大企业的负责人为同一人，或者与大企业存在直接控股、管理关系的除外。</w:t>
      </w:r>
    </w:p>
    <w:p w14:paraId="414F68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DB114F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3</w:t>
      </w:r>
      <w:r>
        <w:rPr>
          <w:rFonts w:ascii="宋体" w:hAnsi="宋体" w:cs="宋体"/>
          <w:bCs/>
          <w:color w:val="auto"/>
          <w:sz w:val="24"/>
          <w:highlight w:val="none"/>
        </w:rPr>
        <w:t>.</w:t>
      </w:r>
      <w:r>
        <w:rPr>
          <w:rFonts w:hint="eastAsia" w:ascii="宋体" w:hAnsi="宋体" w:cs="宋体"/>
          <w:bCs/>
          <w:color w:val="auto"/>
          <w:sz w:val="24"/>
          <w:highlight w:val="none"/>
        </w:rPr>
        <w:t>4</w:t>
      </w:r>
      <w:r>
        <w:rPr>
          <w:rFonts w:ascii="宋体" w:hAnsi="宋体" w:cs="宋体"/>
          <w:bCs/>
          <w:color w:val="auto"/>
          <w:sz w:val="24"/>
          <w:highlight w:val="none"/>
        </w:rPr>
        <w:t>.2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51A377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F830C89">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3.4.3对于未预留份额专门面向中小企业采购的政府采购项目，以及预留份额政府采购项目中的非预留部分标项，对小型和微型企业的投标报价给予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38" w:name="_Hlk101132181"/>
      <w:r>
        <w:rPr>
          <w:rFonts w:hint="eastAsia" w:ascii="宋体" w:hAnsi="宋体" w:cs="宋体"/>
          <w:color w:val="auto"/>
          <w:sz w:val="24"/>
          <w:highlight w:val="none"/>
        </w:rPr>
        <w:t>联合协议或者分包意向协议约定小微企业的合同份额占到合同总金额30%以上的</w:t>
      </w:r>
      <w:bookmarkEnd w:id="38"/>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55F53E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3.4.4符合《关于促进残疾人就业政府采购政策的通知》（财库〔2017〕141号）规定的条件并提供《残疾人福利性单位声明函》（附件1）的残疾人福利性单位视同小型、微型企业；</w:t>
      </w:r>
    </w:p>
    <w:p w14:paraId="5B695A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3.4.5符合《关于政府采购支持监狱企业发展有关问题的通知》（财库[2014]68号）规定的监狱企业并提供由省级以上监狱管理局、戒毒管理局（含新疆生产建设兵团）出具的属于监狱企业证明文件的，视同为小型、微型企业。</w:t>
      </w:r>
    </w:p>
    <w:p w14:paraId="27A3F8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D7BAA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3.4.7中小企业享受扶持政策获得政府采购合同的，小微企业不得将合同分包给大中型企业，中型企业不得将合同分包给大型企业。</w:t>
      </w:r>
    </w:p>
    <w:p w14:paraId="5897EE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平等对待内外资企业</w:t>
      </w:r>
    </w:p>
    <w:p w14:paraId="3EE3191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2E8A822">
      <w:pPr>
        <w:pStyle w:val="84"/>
        <w:rPr>
          <w:bCs/>
          <w:color w:val="auto"/>
          <w:highlight w:val="none"/>
        </w:rPr>
      </w:pPr>
      <w:r>
        <w:rPr>
          <w:rFonts w:hint="eastAsia"/>
          <w:color w:val="auto"/>
          <w:highlight w:val="none"/>
        </w:rPr>
        <w:t>3.</w:t>
      </w:r>
      <w:r>
        <w:rPr>
          <w:rFonts w:hint="eastAsia"/>
          <w:color w:val="auto"/>
          <w:highlight w:val="none"/>
          <w:lang w:val="en-US" w:eastAsia="zh-CN"/>
        </w:rPr>
        <w:t>6</w:t>
      </w:r>
      <w:r>
        <w:rPr>
          <w:rFonts w:hint="eastAsia"/>
          <w:color w:val="auto"/>
          <w:highlight w:val="none"/>
        </w:rPr>
        <w:t>平等对待符合条件的破产重整企业</w:t>
      </w:r>
    </w:p>
    <w:p w14:paraId="51996C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31D8ACA4">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14:paraId="77FF3FB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14:paraId="119EE60B">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5875C632">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询问联系部门：北海市政府采购中心采购二科，联系电话：0779-3056122，地址：北海市海城区陈文村北路7号市直机关第三办公区2号楼一层。</w:t>
      </w:r>
    </w:p>
    <w:p w14:paraId="074723CE">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14:paraId="34A36512">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投诉联系部门：北海市财政局，联系电话：</w:t>
      </w:r>
      <w:r>
        <w:rPr>
          <w:rFonts w:asciiTheme="minorEastAsia" w:hAnsiTheme="minorEastAsia" w:eastAsiaTheme="minorEastAsia"/>
          <w:color w:val="auto"/>
          <w:sz w:val="24"/>
          <w:highlight w:val="none"/>
          <w:lang w:val="zh-CN"/>
        </w:rPr>
        <w:t>0779-3063975</w:t>
      </w:r>
      <w:r>
        <w:rPr>
          <w:rFonts w:hint="eastAsia" w:asciiTheme="minorEastAsia" w:hAnsiTheme="minorEastAsia" w:eastAsiaTheme="minorEastAsia"/>
          <w:color w:val="auto"/>
          <w:sz w:val="24"/>
          <w:highlight w:val="none"/>
          <w:lang w:val="zh-CN"/>
        </w:rPr>
        <w:t>，地址：北海市海城区北部湾西路19号。</w:t>
      </w:r>
    </w:p>
    <w:p w14:paraId="7A74553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24E2B28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0958473">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74EAAAE4">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02734A2">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FB390C4">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4E3D30A8">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7777AFBA">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22961F76">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60400B5A">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51784BDE">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0647DCAD">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27C092F9">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7C1A18EE">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9C56C61">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6FA16B73">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14:paraId="71885309">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076D2E3F">
      <w:pPr>
        <w:pStyle w:val="8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F6A946F">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14:paraId="37D77031">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701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79E95DE9">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7A440782">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3906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3F03CE66">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1EF2D74">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6C897FF">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EF1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6A2005">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428F98AC">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04A9E7F">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59B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532C3742">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EF098C9">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223EF6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07BE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4DAA66B">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1F42371">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DF5CA17">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0DF5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5D29A081">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3CCD668E">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1CF22C9">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6D6E0CF4">
      <w:pPr>
        <w:pStyle w:val="88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采购人或代理机构或应当协助质疑答复责任主体及时答复</w:t>
      </w:r>
      <w:r>
        <w:rPr>
          <w:rFonts w:hint="eastAsia"/>
          <w:color w:val="auto"/>
          <w:highlight w:val="none"/>
        </w:rPr>
        <w:t>供应商的书面质疑。</w:t>
      </w:r>
    </w:p>
    <w:p w14:paraId="703E2C0C">
      <w:pPr>
        <w:pStyle w:val="8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14:paraId="7ECEDB58">
      <w:pPr>
        <w:pStyle w:val="887"/>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4A6446B0">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35657DB6">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73EB259E">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50E5B34B">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4.4.4以联合体形式参加政府采购活动的，其投诉应当由组成联合体的所有供应商共同提出。</w:t>
      </w:r>
    </w:p>
    <w:p w14:paraId="5E2ECC01">
      <w:pPr>
        <w:pStyle w:val="887"/>
        <w:shd w:val="clear" w:color="auto" w:fill="FFFFFF"/>
        <w:snapToGrid w:val="0"/>
        <w:spacing w:after="240" w:afterAutospacing="0" w:line="360" w:lineRule="auto"/>
        <w:ind w:firstLine="400"/>
        <w:contextualSpacing/>
        <w:rPr>
          <w:color w:val="auto"/>
          <w:highlight w:val="none"/>
        </w:rPr>
      </w:pPr>
    </w:p>
    <w:p w14:paraId="41EB95C0">
      <w:pPr>
        <w:pStyle w:val="130"/>
        <w:snapToGrid w:val="0"/>
        <w:spacing w:before="0"/>
        <w:ind w:firstLine="360"/>
        <w:rPr>
          <w:rFonts w:ascii="宋体" w:hAnsi="宋体" w:cs="宋体"/>
          <w:color w:val="auto"/>
          <w:sz w:val="18"/>
          <w:szCs w:val="18"/>
          <w:highlight w:val="none"/>
        </w:rPr>
      </w:pPr>
    </w:p>
    <w:p w14:paraId="3E75CEDC">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3752EC10">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573CE5EC">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7B01C195">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17B334AD">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28FB4CA2">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3007245C">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713AAF57">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33666878">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4B0609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5852BE0B">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370CAD4">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6500B5C7">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955971D">
      <w:pPr>
        <w:pStyle w:val="25"/>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2F8B86EB">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4A958110">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6E593ED5">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1D73F3EC">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3FE1D012">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28785DE">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17B8B2F3">
      <w:pPr>
        <w:pStyle w:val="34"/>
        <w:spacing w:line="360" w:lineRule="auto"/>
        <w:ind w:firstLine="480" w:firstLineChars="200"/>
        <w:rPr>
          <w:rFonts w:hint="eastAsia" w:hAnsi="宋体" w:cs="宋体"/>
          <w:color w:val="auto"/>
          <w:sz w:val="24"/>
          <w:highlight w:val="none"/>
          <w:lang w:eastAsia="zh-CN"/>
        </w:rPr>
      </w:pPr>
      <w:r>
        <w:rPr>
          <w:rFonts w:hint="eastAsia" w:hAnsi="宋体" w:cs="宋体"/>
          <w:color w:val="auto"/>
          <w:sz w:val="24"/>
          <w:highlight w:val="none"/>
          <w:lang w:eastAsia="zh-CN"/>
        </w:rPr>
        <w:t>本项目不收取。</w:t>
      </w:r>
    </w:p>
    <w:p w14:paraId="00A32E38">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1586BCAA">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24D9AB40">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14:paraId="299B2234">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80A81A3">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11.1.1符合参加政府采购活动应当具备的一般条件的承诺函；</w:t>
      </w:r>
    </w:p>
    <w:p w14:paraId="132B84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3126A568">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lang w:eastAsia="zh-CN"/>
        </w:rPr>
        <w:t>：</w:t>
      </w:r>
      <w:r>
        <w:rPr>
          <w:rFonts w:hint="eastAsia" w:cs="宋体" w:asciiTheme="minorEastAsia" w:hAnsiTheme="minorEastAsia" w:eastAsiaTheme="minorEastAsia"/>
          <w:snapToGrid w:val="0"/>
          <w:color w:val="auto"/>
          <w:kern w:val="28"/>
          <w:sz w:val="24"/>
          <w:highlight w:val="none"/>
          <w:lang w:eastAsia="zh-CN"/>
        </w:rPr>
        <w:t>专门面向中小企业采购，供应商须提供《中小企业声明函》</w:t>
      </w:r>
      <w:r>
        <w:rPr>
          <w:rFonts w:hint="eastAsia" w:ascii="宋体" w:hAnsi="宋体" w:cs="宋体"/>
          <w:color w:val="auto"/>
          <w:sz w:val="24"/>
          <w:highlight w:val="none"/>
        </w:rPr>
        <w:t>；</w:t>
      </w:r>
    </w:p>
    <w:p w14:paraId="3907107A">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w:t>
      </w:r>
      <w:r>
        <w:rPr>
          <w:rFonts w:hint="eastAsia" w:ascii="宋体" w:hAnsi="宋体" w:cs="宋体"/>
          <w:snapToGrid w:val="0"/>
          <w:color w:val="auto"/>
          <w:kern w:val="28"/>
          <w:sz w:val="24"/>
          <w:szCs w:val="20"/>
          <w:highlight w:val="none"/>
          <w:lang w:eastAsia="zh-CN"/>
        </w:rPr>
        <w:t>按招标公告要求</w:t>
      </w:r>
      <w:r>
        <w:rPr>
          <w:rFonts w:hint="eastAsia" w:ascii="宋体" w:hAnsi="宋体" w:cs="宋体"/>
          <w:snapToGrid w:val="0"/>
          <w:color w:val="auto"/>
          <w:kern w:val="28"/>
          <w:sz w:val="24"/>
          <w:szCs w:val="20"/>
          <w:highlight w:val="none"/>
        </w:rPr>
        <w:t>)</w:t>
      </w:r>
      <w:r>
        <w:rPr>
          <w:rFonts w:hint="eastAsia" w:ascii="宋体" w:hAnsi="宋体" w:cs="宋体"/>
          <w:color w:val="auto"/>
          <w:sz w:val="24"/>
          <w:highlight w:val="none"/>
        </w:rPr>
        <w:t>。</w:t>
      </w:r>
    </w:p>
    <w:p w14:paraId="38A204D4">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2D81B6E3">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40DF034A">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11.2.2授权委托书或法定代表人（单位负责人、自然人本人）身份证明；</w:t>
      </w:r>
    </w:p>
    <w:p w14:paraId="73DA0AA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86514B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433AB7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90DD8D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038033F">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171B7E9">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26F64F19">
      <w:pPr>
        <w:pStyle w:val="84"/>
        <w:rPr>
          <w:color w:val="auto"/>
          <w:highlight w:val="none"/>
        </w:rPr>
      </w:pPr>
      <w:r>
        <w:rPr>
          <w:rFonts w:hint="eastAsia" w:cs="宋体"/>
          <w:b/>
          <w:color w:val="auto"/>
          <w:szCs w:val="24"/>
          <w:highlight w:val="none"/>
        </w:rPr>
        <w:t>▲</w:t>
      </w:r>
      <w:r>
        <w:rPr>
          <w:rFonts w:hint="eastAsia"/>
          <w:color w:val="auto"/>
          <w:highlight w:val="none"/>
        </w:rPr>
        <w:t>11.2.9承诺函；</w:t>
      </w:r>
    </w:p>
    <w:p w14:paraId="38AE660A">
      <w:pPr>
        <w:pStyle w:val="84"/>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14:paraId="1B522BC7">
      <w:pPr>
        <w:pStyle w:val="84"/>
        <w:rPr>
          <w:color w:val="auto"/>
          <w:highlight w:val="none"/>
        </w:rPr>
      </w:pPr>
      <w:r>
        <w:rPr>
          <w:rFonts w:hint="eastAsia" w:cs="宋体"/>
          <w:b/>
          <w:color w:val="auto"/>
          <w:szCs w:val="24"/>
          <w:highlight w:val="none"/>
        </w:rPr>
        <w:t>▲</w:t>
      </w:r>
      <w:r>
        <w:rPr>
          <w:rFonts w:hint="eastAsia"/>
          <w:color w:val="auto"/>
          <w:highlight w:val="none"/>
        </w:rPr>
        <w:t>11.2.11组织实施方案。可以是本项目详细工作实施组织方案，包括(但不限于)以下内容：组织机构、工作时间进度表、工作程序和步骤、管理和协调方法、关键步骤的思路和要点；</w:t>
      </w:r>
    </w:p>
    <w:p w14:paraId="73390A8E">
      <w:pPr>
        <w:pStyle w:val="84"/>
        <w:rPr>
          <w:color w:val="auto"/>
          <w:highlight w:val="none"/>
        </w:rPr>
      </w:pPr>
      <w:r>
        <w:rPr>
          <w:rFonts w:hint="eastAsia"/>
          <w:color w:val="auto"/>
          <w:highlight w:val="none"/>
        </w:rPr>
        <w:t>11.2.12售后服务方案</w:t>
      </w:r>
      <w:r>
        <w:rPr>
          <w:rFonts w:hint="eastAsia" w:cs="宋体"/>
          <w:snapToGrid w:val="0"/>
          <w:color w:val="auto"/>
          <w:kern w:val="28"/>
          <w:highlight w:val="none"/>
        </w:rPr>
        <w:t>（如果有)</w:t>
      </w:r>
      <w:r>
        <w:rPr>
          <w:rFonts w:hint="eastAsia"/>
          <w:color w:val="auto"/>
          <w:highlight w:val="none"/>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32F9AED0">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14:paraId="0EB1BB39">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14:paraId="6705F5AB">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11.3.2中小企业声明函 ；</w:t>
      </w:r>
    </w:p>
    <w:p w14:paraId="6FF3DE8F">
      <w:pPr>
        <w:snapToGrid w:val="0"/>
        <w:spacing w:line="360" w:lineRule="auto"/>
        <w:ind w:firstLine="480" w:firstLineChars="200"/>
        <w:rPr>
          <w:rFonts w:ascii="宋体" w:hAnsi="宋体" w:cs="宋体"/>
          <w:color w:val="auto"/>
          <w:sz w:val="24"/>
          <w:highlight w:val="none"/>
        </w:rPr>
      </w:pPr>
      <w:bookmarkStart w:id="39" w:name="OLE_LINK5"/>
      <w:bookmarkStart w:id="40" w:name="OLE_LINK6"/>
      <w:r>
        <w:rPr>
          <w:rFonts w:hint="eastAsia" w:ascii="宋体" w:hAnsi="宋体" w:cs="宋体"/>
          <w:color w:val="auto"/>
          <w:sz w:val="24"/>
          <w:highlight w:val="none"/>
        </w:rPr>
        <w:t>11.3.3关于符合本国产品标准的声明函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 xml:space="preserve"> ；</w:t>
      </w:r>
    </w:p>
    <w:p w14:paraId="724517E4">
      <w:pPr>
        <w:snapToGrid w:val="0"/>
        <w:spacing w:line="360" w:lineRule="auto"/>
        <w:ind w:firstLine="480" w:firstLineChars="200"/>
        <w:rPr>
          <w:color w:val="auto"/>
          <w:highlight w:val="none"/>
        </w:rPr>
      </w:pPr>
      <w:r>
        <w:rPr>
          <w:rFonts w:hint="eastAsia" w:ascii="宋体" w:hAnsi="宋体" w:cs="宋体"/>
          <w:color w:val="auto"/>
          <w:sz w:val="24"/>
          <w:highlight w:val="none"/>
        </w:rPr>
        <w:t>11.3.4关于符合本国产品标准的产品成本之和占所提供的全部产品成本之和的比例达到80%以上的声明函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bookmarkEnd w:id="39"/>
    <w:bookmarkEnd w:id="40"/>
    <w:p w14:paraId="35B04717">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A01AD21">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0F70408A">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213F0CC1">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C11B4E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781B246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6B1F2286">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CB5714C">
      <w:pPr>
        <w:pStyle w:val="130"/>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77A30541">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418CB91C">
      <w:pPr>
        <w:pStyle w:val="130"/>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737080E9">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6F7A8566">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FAE06D5">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1B22AB2A">
      <w:pPr>
        <w:pStyle w:val="13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30C74FC5">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6C4FFCA8">
      <w:pPr>
        <w:pStyle w:val="34"/>
        <w:spacing w:line="360" w:lineRule="auto"/>
        <w:ind w:firstLine="477" w:firstLineChars="199"/>
        <w:rPr>
          <w:rFonts w:hAnsi="宋体" w:cs="宋体"/>
          <w:b/>
          <w:color w:val="auto"/>
          <w:sz w:val="24"/>
          <w:szCs w:val="24"/>
          <w:highlight w:val="none"/>
        </w:rPr>
      </w:pPr>
      <w:r>
        <w:rPr>
          <w:rFonts w:hint="eastAsia" w:hAnsi="宋体" w:cs="宋体"/>
          <w:color w:val="auto"/>
          <w:sz w:val="24"/>
          <w:szCs w:val="24"/>
          <w:highlight w:val="none"/>
        </w:rPr>
        <w:t xml:space="preserve"> </w:t>
      </w:r>
      <w:r>
        <w:rPr>
          <w:rFonts w:hint="eastAsia" w:ascii="宋体" w:hAnsi="宋体" w:cs="宋体"/>
          <w:color w:val="auto"/>
          <w:sz w:val="24"/>
          <w:highlight w:val="none"/>
        </w:rPr>
        <w:t>本项目不提交。</w:t>
      </w:r>
    </w:p>
    <w:p w14:paraId="607756E8">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79D8BDDF">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2273FBA8">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3A67C4EA">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7131619A">
      <w:pPr>
        <w:pStyle w:val="130"/>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2269E7C9">
      <w:pPr>
        <w:pStyle w:val="130"/>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14:paraId="4BED0DC6">
      <w:pPr>
        <w:pStyle w:val="130"/>
        <w:spacing w:before="0"/>
        <w:ind w:firstLine="643"/>
        <w:rPr>
          <w:rFonts w:ascii="宋体" w:hAnsi="宋体" w:cs="宋体"/>
          <w:b/>
          <w:color w:val="auto"/>
          <w:sz w:val="32"/>
          <w:highlight w:val="none"/>
        </w:rPr>
      </w:pPr>
    </w:p>
    <w:p w14:paraId="7FECAFBA">
      <w:pPr>
        <w:pStyle w:val="130"/>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6C4A46B5">
      <w:pPr>
        <w:pStyle w:val="555"/>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4749C194">
      <w:pPr>
        <w:pStyle w:val="555"/>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60829B87">
      <w:pPr>
        <w:pStyle w:val="555"/>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7DDA1C6F">
      <w:pPr>
        <w:pStyle w:val="555"/>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460A0455">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649BECE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1FE0BBD3">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698365E">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04CB7EA0">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7F1B71EB">
      <w:pPr>
        <w:pStyle w:val="13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322D97DB">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20.1信用信息查询渠道及截止时间：采购人或采购代理机构将在资格审查时通过“信用中国”网站(www.creditchina.gov.cn)、中国政府采购网(www.ccgp.gov.cn)渠道查询投标人接受资格时的信用记录。</w:t>
      </w:r>
    </w:p>
    <w:p w14:paraId="68811440">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097D41FE">
      <w:pPr>
        <w:pStyle w:val="13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5B8B55C">
      <w:pPr>
        <w:pStyle w:val="130"/>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5276A89">
      <w:pPr>
        <w:pStyle w:val="130"/>
        <w:spacing w:before="0"/>
        <w:ind w:firstLine="0" w:firstLineChars="0"/>
        <w:rPr>
          <w:rFonts w:ascii="宋体" w:hAnsi="宋体" w:cs="宋体"/>
          <w:color w:val="auto"/>
          <w:kern w:val="0"/>
          <w:szCs w:val="24"/>
          <w:highlight w:val="none"/>
        </w:rPr>
      </w:pPr>
    </w:p>
    <w:p w14:paraId="740368D6">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66AFC717">
      <w:pPr>
        <w:spacing w:line="360" w:lineRule="auto"/>
        <w:rPr>
          <w:rFonts w:ascii="宋体" w:hAnsi="宋体" w:cs="宋体"/>
          <w:b/>
          <w:color w:val="auto"/>
          <w:sz w:val="24"/>
          <w:highlight w:val="none"/>
        </w:rPr>
      </w:pPr>
      <w:bookmarkStart w:id="41" w:name="_Toc91899903"/>
      <w:r>
        <w:rPr>
          <w:rFonts w:hint="eastAsia" w:ascii="宋体" w:hAnsi="宋体" w:cs="宋体"/>
          <w:b/>
          <w:color w:val="auto"/>
          <w:sz w:val="24"/>
          <w:highlight w:val="none"/>
        </w:rPr>
        <w:t>21.评标</w:t>
      </w:r>
    </w:p>
    <w:p w14:paraId="427826BD">
      <w:pPr>
        <w:pStyle w:val="84"/>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7CC05966">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14:paraId="7A2E476D">
      <w:pPr>
        <w:spacing w:line="360" w:lineRule="auto"/>
        <w:rPr>
          <w:rFonts w:ascii="宋体" w:hAnsi="宋体" w:cs="宋体"/>
          <w:b/>
          <w:color w:val="auto"/>
          <w:sz w:val="24"/>
          <w:highlight w:val="none"/>
        </w:rPr>
      </w:pPr>
    </w:p>
    <w:p w14:paraId="4D4E1380">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07CE7D30">
      <w:pPr>
        <w:pStyle w:val="26"/>
        <w:spacing w:line="360" w:lineRule="auto"/>
        <w:ind w:left="479" w:hanging="479" w:hangingChars="199"/>
        <w:rPr>
          <w:rFonts w:cs="宋体"/>
          <w:b/>
          <w:color w:val="auto"/>
          <w:highlight w:val="none"/>
        </w:rPr>
      </w:pPr>
      <w:r>
        <w:rPr>
          <w:rFonts w:hint="eastAsia" w:cs="宋体"/>
          <w:b/>
          <w:color w:val="auto"/>
          <w:highlight w:val="none"/>
        </w:rPr>
        <w:t>22. 确定中标供应商</w:t>
      </w:r>
    </w:p>
    <w:p w14:paraId="44A4DF1D">
      <w:pPr>
        <w:pStyle w:val="130"/>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23E3EFC0">
      <w:pPr>
        <w:pStyle w:val="13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CFD499C">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10AEC8DC">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63253F2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7410B451">
      <w:pPr>
        <w:snapToGrid w:val="0"/>
        <w:spacing w:line="360" w:lineRule="auto"/>
        <w:ind w:left="120" w:leftChars="57" w:firstLine="482" w:firstLineChars="150"/>
        <w:jc w:val="center"/>
        <w:rPr>
          <w:rFonts w:ascii="宋体" w:hAnsi="宋体" w:cs="宋体"/>
          <w:b/>
          <w:color w:val="auto"/>
          <w:sz w:val="32"/>
          <w:highlight w:val="none"/>
        </w:rPr>
      </w:pPr>
    </w:p>
    <w:p w14:paraId="76E29F76">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6F57058E">
      <w:pPr>
        <w:pStyle w:val="2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0CF3C04E">
      <w:pPr>
        <w:pStyle w:val="26"/>
        <w:spacing w:line="360" w:lineRule="auto"/>
        <w:ind w:left="479" w:hanging="479" w:hangingChars="199"/>
        <w:rPr>
          <w:rFonts w:cs="宋体"/>
          <w:b/>
          <w:color w:val="auto"/>
          <w:highlight w:val="none"/>
        </w:rPr>
      </w:pPr>
      <w:r>
        <w:rPr>
          <w:rFonts w:hint="eastAsia" w:cs="宋体"/>
          <w:b/>
          <w:color w:val="auto"/>
          <w:highlight w:val="none"/>
        </w:rPr>
        <w:t>25. 合同的签订</w:t>
      </w:r>
    </w:p>
    <w:p w14:paraId="0CE5527A">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6A3D67C">
      <w:pPr>
        <w:pStyle w:val="130"/>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DC93835">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34C4C71A">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14:paraId="741BC11E">
      <w:pPr>
        <w:pStyle w:val="130"/>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4F23CC1F">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14:paraId="5004A057">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18750EBC">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60201BC2">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4A8D9B7">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3F39042B">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14:paraId="676D984B">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73F62DB4">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39BA9306">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4EAA4B3E">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6F2861E">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14:paraId="0AC8AF2E">
      <w:pPr>
        <w:pStyle w:val="84"/>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8"/>
          <w:rFonts w:ascii="宋体" w:hAnsi="宋体" w:eastAsia="宋体" w:cs="Times New Roman"/>
          <w:snapToGrid/>
          <w:color w:val="auto"/>
          <w:sz w:val="24"/>
          <w:szCs w:val="20"/>
          <w:highlight w:val="none"/>
        </w:rPr>
        <w:t>https://jinrong.gcy.zfcg.gxzf.gov.cn/finance/loan/gx</w:t>
      </w:r>
      <w:r>
        <w:rPr>
          <w:rStyle w:val="78"/>
          <w:rFonts w:ascii="宋体" w:hAnsi="宋体" w:eastAsia="宋体" w:cs="Times New Roman"/>
          <w:snapToGrid/>
          <w:color w:val="auto"/>
          <w:sz w:val="24"/>
          <w:szCs w:val="20"/>
          <w:highlight w:val="none"/>
        </w:rPr>
        <w:fldChar w:fldCharType="end"/>
      </w:r>
      <w:r>
        <w:rPr>
          <w:rFonts w:hint="eastAsia"/>
          <w:color w:val="auto"/>
          <w:highlight w:val="none"/>
        </w:rPr>
        <w:t>）</w:t>
      </w:r>
    </w:p>
    <w:p w14:paraId="0C608916">
      <w:pPr>
        <w:pStyle w:val="84"/>
        <w:rPr>
          <w:color w:val="auto"/>
          <w:highlight w:val="none"/>
        </w:rPr>
      </w:pPr>
      <w:r>
        <w:rPr>
          <w:rFonts w:hint="eastAsia"/>
          <w:color w:val="auto"/>
          <w:highlight w:val="none"/>
        </w:rPr>
        <w:t>2.合作银行咨询办理</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A00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CB76333">
            <w:pPr>
              <w:pStyle w:val="84"/>
              <w:ind w:firstLine="0"/>
              <w:jc w:val="center"/>
              <w:rPr>
                <w:color w:val="auto"/>
                <w:highlight w:val="none"/>
              </w:rPr>
            </w:pPr>
            <w:r>
              <w:rPr>
                <w:rFonts w:hint="eastAsia"/>
                <w:color w:val="auto"/>
                <w:highlight w:val="none"/>
              </w:rPr>
              <w:t>银行名称</w:t>
            </w:r>
          </w:p>
        </w:tc>
        <w:tc>
          <w:tcPr>
            <w:tcW w:w="1134" w:type="dxa"/>
            <w:vAlign w:val="center"/>
          </w:tcPr>
          <w:p w14:paraId="1A34B5A2">
            <w:pPr>
              <w:pStyle w:val="84"/>
              <w:ind w:firstLine="0"/>
              <w:jc w:val="center"/>
              <w:rPr>
                <w:color w:val="auto"/>
                <w:highlight w:val="none"/>
              </w:rPr>
            </w:pPr>
            <w:r>
              <w:rPr>
                <w:rFonts w:hint="eastAsia"/>
                <w:color w:val="auto"/>
                <w:highlight w:val="none"/>
              </w:rPr>
              <w:t>联系电话</w:t>
            </w:r>
          </w:p>
        </w:tc>
        <w:tc>
          <w:tcPr>
            <w:tcW w:w="1701" w:type="dxa"/>
            <w:vAlign w:val="center"/>
          </w:tcPr>
          <w:p w14:paraId="4A4D44AE">
            <w:pPr>
              <w:pStyle w:val="84"/>
              <w:ind w:firstLine="0"/>
              <w:jc w:val="center"/>
              <w:rPr>
                <w:color w:val="auto"/>
                <w:highlight w:val="none"/>
              </w:rPr>
            </w:pPr>
            <w:r>
              <w:rPr>
                <w:rFonts w:hint="eastAsia"/>
                <w:color w:val="auto"/>
                <w:highlight w:val="none"/>
              </w:rPr>
              <w:t>最高授信金额</w:t>
            </w:r>
          </w:p>
        </w:tc>
        <w:tc>
          <w:tcPr>
            <w:tcW w:w="993" w:type="dxa"/>
            <w:vAlign w:val="center"/>
          </w:tcPr>
          <w:p w14:paraId="078DD513">
            <w:pPr>
              <w:pStyle w:val="84"/>
              <w:ind w:firstLine="0"/>
              <w:jc w:val="center"/>
              <w:rPr>
                <w:color w:val="auto"/>
                <w:highlight w:val="none"/>
              </w:rPr>
            </w:pPr>
            <w:r>
              <w:rPr>
                <w:rFonts w:hint="eastAsia"/>
                <w:color w:val="auto"/>
                <w:highlight w:val="none"/>
              </w:rPr>
              <w:t>最长授信期限</w:t>
            </w:r>
          </w:p>
        </w:tc>
        <w:tc>
          <w:tcPr>
            <w:tcW w:w="850" w:type="dxa"/>
            <w:vAlign w:val="center"/>
          </w:tcPr>
          <w:p w14:paraId="3503A1B8">
            <w:pPr>
              <w:pStyle w:val="84"/>
              <w:ind w:firstLine="0"/>
              <w:jc w:val="center"/>
              <w:rPr>
                <w:color w:val="auto"/>
                <w:highlight w:val="none"/>
              </w:rPr>
            </w:pPr>
            <w:r>
              <w:rPr>
                <w:rFonts w:hint="eastAsia"/>
                <w:color w:val="auto"/>
                <w:highlight w:val="none"/>
              </w:rPr>
              <w:t>最低利率</w:t>
            </w:r>
          </w:p>
        </w:tc>
        <w:tc>
          <w:tcPr>
            <w:tcW w:w="3366" w:type="dxa"/>
            <w:vAlign w:val="center"/>
          </w:tcPr>
          <w:p w14:paraId="2DEC1733">
            <w:pPr>
              <w:pStyle w:val="84"/>
              <w:ind w:firstLine="0"/>
              <w:jc w:val="center"/>
              <w:rPr>
                <w:color w:val="auto"/>
                <w:highlight w:val="none"/>
              </w:rPr>
            </w:pPr>
            <w:r>
              <w:rPr>
                <w:rFonts w:hint="eastAsia"/>
                <w:color w:val="auto"/>
                <w:highlight w:val="none"/>
              </w:rPr>
              <w:t>流程简介</w:t>
            </w:r>
          </w:p>
        </w:tc>
      </w:tr>
      <w:tr w14:paraId="1E59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08711B1">
            <w:pPr>
              <w:pStyle w:val="84"/>
              <w:ind w:firstLine="0"/>
              <w:jc w:val="center"/>
              <w:rPr>
                <w:color w:val="auto"/>
                <w:highlight w:val="none"/>
              </w:rPr>
            </w:pPr>
            <w:r>
              <w:rPr>
                <w:rFonts w:hint="eastAsia"/>
                <w:color w:val="auto"/>
                <w:highlight w:val="none"/>
              </w:rPr>
              <w:t>建设银行</w:t>
            </w:r>
          </w:p>
        </w:tc>
        <w:tc>
          <w:tcPr>
            <w:tcW w:w="1134" w:type="dxa"/>
            <w:vAlign w:val="center"/>
          </w:tcPr>
          <w:p w14:paraId="335EC78C">
            <w:pPr>
              <w:pStyle w:val="84"/>
              <w:ind w:firstLine="0"/>
              <w:jc w:val="center"/>
              <w:rPr>
                <w:color w:val="auto"/>
                <w:highlight w:val="none"/>
              </w:rPr>
            </w:pPr>
            <w:r>
              <w:rPr>
                <w:rFonts w:hint="eastAsia"/>
                <w:color w:val="auto"/>
                <w:highlight w:val="none"/>
              </w:rPr>
              <w:t>13077729988</w:t>
            </w:r>
          </w:p>
        </w:tc>
        <w:tc>
          <w:tcPr>
            <w:tcW w:w="1701" w:type="dxa"/>
            <w:vAlign w:val="center"/>
          </w:tcPr>
          <w:p w14:paraId="6A6530AC">
            <w:pPr>
              <w:pStyle w:val="84"/>
              <w:ind w:firstLine="0"/>
              <w:rPr>
                <w:color w:val="auto"/>
                <w:highlight w:val="none"/>
              </w:rPr>
            </w:pPr>
            <w:r>
              <w:rPr>
                <w:rFonts w:hint="eastAsia"/>
                <w:color w:val="auto"/>
                <w:highlight w:val="none"/>
              </w:rPr>
              <w:t>最高3千万</w:t>
            </w:r>
          </w:p>
        </w:tc>
        <w:tc>
          <w:tcPr>
            <w:tcW w:w="993" w:type="dxa"/>
            <w:vAlign w:val="center"/>
          </w:tcPr>
          <w:p w14:paraId="2E6E7FD6">
            <w:pPr>
              <w:pStyle w:val="84"/>
              <w:ind w:firstLine="0"/>
              <w:jc w:val="center"/>
              <w:rPr>
                <w:color w:val="auto"/>
                <w:highlight w:val="none"/>
              </w:rPr>
            </w:pPr>
            <w:r>
              <w:rPr>
                <w:rFonts w:hint="eastAsia"/>
                <w:color w:val="auto"/>
                <w:highlight w:val="none"/>
              </w:rPr>
              <w:t>1年</w:t>
            </w:r>
          </w:p>
        </w:tc>
        <w:tc>
          <w:tcPr>
            <w:tcW w:w="850" w:type="dxa"/>
            <w:vAlign w:val="center"/>
          </w:tcPr>
          <w:p w14:paraId="5B3D434D">
            <w:pPr>
              <w:pStyle w:val="84"/>
              <w:ind w:firstLine="0"/>
              <w:jc w:val="center"/>
              <w:rPr>
                <w:color w:val="auto"/>
                <w:highlight w:val="none"/>
              </w:rPr>
            </w:pPr>
            <w:r>
              <w:rPr>
                <w:rFonts w:hint="eastAsia"/>
                <w:color w:val="auto"/>
                <w:highlight w:val="none"/>
              </w:rPr>
              <w:t>4%</w:t>
            </w:r>
          </w:p>
        </w:tc>
        <w:tc>
          <w:tcPr>
            <w:tcW w:w="3366" w:type="dxa"/>
            <w:vAlign w:val="center"/>
          </w:tcPr>
          <w:p w14:paraId="24C71035">
            <w:pPr>
              <w:pStyle w:val="84"/>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35A4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3A24ADD">
            <w:pPr>
              <w:pStyle w:val="84"/>
              <w:ind w:firstLine="0"/>
              <w:jc w:val="center"/>
              <w:rPr>
                <w:color w:val="auto"/>
                <w:highlight w:val="none"/>
              </w:rPr>
            </w:pPr>
            <w:r>
              <w:rPr>
                <w:rFonts w:hint="eastAsia"/>
                <w:color w:val="auto"/>
                <w:highlight w:val="none"/>
              </w:rPr>
              <w:t>中国银行</w:t>
            </w:r>
          </w:p>
        </w:tc>
        <w:tc>
          <w:tcPr>
            <w:tcW w:w="1134" w:type="dxa"/>
            <w:vAlign w:val="center"/>
          </w:tcPr>
          <w:p w14:paraId="519792B3">
            <w:pPr>
              <w:pStyle w:val="84"/>
              <w:ind w:firstLine="0"/>
              <w:jc w:val="center"/>
              <w:rPr>
                <w:color w:val="auto"/>
                <w:highlight w:val="none"/>
              </w:rPr>
            </w:pPr>
            <w:r>
              <w:rPr>
                <w:rFonts w:hint="eastAsia"/>
                <w:color w:val="auto"/>
                <w:highlight w:val="none"/>
              </w:rPr>
              <w:t>0779-3997084</w:t>
            </w:r>
          </w:p>
        </w:tc>
        <w:tc>
          <w:tcPr>
            <w:tcW w:w="1701" w:type="dxa"/>
            <w:vAlign w:val="center"/>
          </w:tcPr>
          <w:p w14:paraId="687CB427">
            <w:pPr>
              <w:pStyle w:val="84"/>
              <w:ind w:firstLine="0"/>
              <w:rPr>
                <w:color w:val="auto"/>
                <w:highlight w:val="none"/>
              </w:rPr>
            </w:pPr>
            <w:r>
              <w:rPr>
                <w:rFonts w:hint="eastAsia"/>
                <w:color w:val="auto"/>
                <w:highlight w:val="none"/>
              </w:rPr>
              <w:t>最高1千万</w:t>
            </w:r>
          </w:p>
        </w:tc>
        <w:tc>
          <w:tcPr>
            <w:tcW w:w="993" w:type="dxa"/>
            <w:vAlign w:val="center"/>
          </w:tcPr>
          <w:p w14:paraId="50217E67">
            <w:pPr>
              <w:pStyle w:val="84"/>
              <w:ind w:firstLine="0"/>
              <w:jc w:val="center"/>
              <w:rPr>
                <w:color w:val="auto"/>
                <w:highlight w:val="none"/>
              </w:rPr>
            </w:pPr>
            <w:r>
              <w:rPr>
                <w:rFonts w:hint="eastAsia"/>
                <w:color w:val="auto"/>
                <w:highlight w:val="none"/>
              </w:rPr>
              <w:t>3年</w:t>
            </w:r>
          </w:p>
        </w:tc>
        <w:tc>
          <w:tcPr>
            <w:tcW w:w="850" w:type="dxa"/>
            <w:vAlign w:val="center"/>
          </w:tcPr>
          <w:p w14:paraId="16388090">
            <w:pPr>
              <w:pStyle w:val="84"/>
              <w:ind w:firstLine="0"/>
              <w:jc w:val="center"/>
              <w:rPr>
                <w:color w:val="auto"/>
                <w:highlight w:val="none"/>
              </w:rPr>
            </w:pPr>
            <w:r>
              <w:rPr>
                <w:rFonts w:hint="eastAsia"/>
                <w:color w:val="auto"/>
                <w:highlight w:val="none"/>
              </w:rPr>
              <w:t>1.93%</w:t>
            </w:r>
          </w:p>
        </w:tc>
        <w:tc>
          <w:tcPr>
            <w:tcW w:w="3366" w:type="dxa"/>
            <w:vAlign w:val="center"/>
          </w:tcPr>
          <w:p w14:paraId="43F8E054">
            <w:pPr>
              <w:pStyle w:val="84"/>
              <w:ind w:firstLine="0"/>
              <w:rPr>
                <w:color w:val="auto"/>
                <w:highlight w:val="none"/>
              </w:rPr>
            </w:pPr>
            <w:r>
              <w:rPr>
                <w:rFonts w:hint="eastAsia"/>
                <w:color w:val="auto"/>
                <w:highlight w:val="none"/>
              </w:rPr>
              <w:t>在银行开户，线上申请，上传所需材料，等待审批，审批通过后可直接在手机银行提款。</w:t>
            </w:r>
          </w:p>
        </w:tc>
      </w:tr>
      <w:tr w14:paraId="67E7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581DE1">
            <w:pPr>
              <w:pStyle w:val="84"/>
              <w:ind w:firstLine="0"/>
              <w:jc w:val="center"/>
              <w:rPr>
                <w:color w:val="auto"/>
                <w:highlight w:val="none"/>
              </w:rPr>
            </w:pPr>
            <w:r>
              <w:rPr>
                <w:rFonts w:hint="eastAsia"/>
                <w:color w:val="auto"/>
                <w:highlight w:val="none"/>
              </w:rPr>
              <w:t>兴业银行</w:t>
            </w:r>
          </w:p>
        </w:tc>
        <w:tc>
          <w:tcPr>
            <w:tcW w:w="1134" w:type="dxa"/>
            <w:vAlign w:val="center"/>
          </w:tcPr>
          <w:p w14:paraId="507318EA">
            <w:pPr>
              <w:pStyle w:val="84"/>
              <w:ind w:firstLine="0"/>
              <w:jc w:val="center"/>
              <w:rPr>
                <w:color w:val="auto"/>
                <w:highlight w:val="none"/>
              </w:rPr>
            </w:pPr>
            <w:r>
              <w:rPr>
                <w:rFonts w:hint="eastAsia"/>
                <w:color w:val="auto"/>
                <w:highlight w:val="none"/>
              </w:rPr>
              <w:t>0779-3158330</w:t>
            </w:r>
          </w:p>
        </w:tc>
        <w:tc>
          <w:tcPr>
            <w:tcW w:w="1701" w:type="dxa"/>
            <w:vAlign w:val="center"/>
          </w:tcPr>
          <w:p w14:paraId="6C4F29D9">
            <w:pPr>
              <w:pStyle w:val="84"/>
              <w:ind w:firstLine="0"/>
              <w:rPr>
                <w:color w:val="auto"/>
                <w:highlight w:val="none"/>
              </w:rPr>
            </w:pPr>
            <w:r>
              <w:rPr>
                <w:rFonts w:hint="eastAsia"/>
                <w:color w:val="auto"/>
                <w:highlight w:val="none"/>
              </w:rPr>
              <w:t>最高1千万（单笔提款金额达合同金额70%）</w:t>
            </w:r>
          </w:p>
        </w:tc>
        <w:tc>
          <w:tcPr>
            <w:tcW w:w="993" w:type="dxa"/>
            <w:vAlign w:val="center"/>
          </w:tcPr>
          <w:p w14:paraId="03EECF90">
            <w:pPr>
              <w:pStyle w:val="84"/>
              <w:ind w:firstLine="0"/>
              <w:jc w:val="center"/>
              <w:rPr>
                <w:color w:val="auto"/>
                <w:highlight w:val="none"/>
              </w:rPr>
            </w:pPr>
            <w:r>
              <w:rPr>
                <w:rFonts w:hint="eastAsia"/>
                <w:color w:val="auto"/>
                <w:highlight w:val="none"/>
              </w:rPr>
              <w:t>1年</w:t>
            </w:r>
          </w:p>
        </w:tc>
        <w:tc>
          <w:tcPr>
            <w:tcW w:w="850" w:type="dxa"/>
            <w:vAlign w:val="center"/>
          </w:tcPr>
          <w:p w14:paraId="55CBF0D0">
            <w:pPr>
              <w:pStyle w:val="84"/>
              <w:ind w:firstLine="0"/>
              <w:jc w:val="center"/>
              <w:rPr>
                <w:color w:val="auto"/>
                <w:highlight w:val="none"/>
              </w:rPr>
            </w:pPr>
            <w:r>
              <w:rPr>
                <w:rFonts w:hint="eastAsia"/>
                <w:color w:val="auto"/>
                <w:highlight w:val="none"/>
              </w:rPr>
              <w:t>3.70%</w:t>
            </w:r>
          </w:p>
        </w:tc>
        <w:tc>
          <w:tcPr>
            <w:tcW w:w="3366" w:type="dxa"/>
            <w:vAlign w:val="center"/>
          </w:tcPr>
          <w:p w14:paraId="4BD7DAA8">
            <w:pPr>
              <w:pStyle w:val="84"/>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5EB3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09A6864">
            <w:pPr>
              <w:pStyle w:val="84"/>
              <w:ind w:firstLine="0"/>
              <w:jc w:val="center"/>
              <w:rPr>
                <w:color w:val="auto"/>
                <w:highlight w:val="none"/>
              </w:rPr>
            </w:pPr>
            <w:r>
              <w:rPr>
                <w:rFonts w:hint="eastAsia"/>
                <w:color w:val="auto"/>
                <w:highlight w:val="none"/>
              </w:rPr>
              <w:t>工商银行</w:t>
            </w:r>
          </w:p>
        </w:tc>
        <w:tc>
          <w:tcPr>
            <w:tcW w:w="1134" w:type="dxa"/>
            <w:vAlign w:val="center"/>
          </w:tcPr>
          <w:p w14:paraId="19BA52F9">
            <w:pPr>
              <w:pStyle w:val="84"/>
              <w:ind w:firstLine="0"/>
              <w:jc w:val="center"/>
              <w:rPr>
                <w:color w:val="auto"/>
                <w:highlight w:val="none"/>
              </w:rPr>
            </w:pPr>
            <w:r>
              <w:rPr>
                <w:rFonts w:hint="eastAsia"/>
                <w:color w:val="auto"/>
                <w:highlight w:val="none"/>
              </w:rPr>
              <w:t>0779-3050645</w:t>
            </w:r>
          </w:p>
        </w:tc>
        <w:tc>
          <w:tcPr>
            <w:tcW w:w="1701" w:type="dxa"/>
            <w:vAlign w:val="center"/>
          </w:tcPr>
          <w:p w14:paraId="6216F6FE">
            <w:pPr>
              <w:pStyle w:val="84"/>
              <w:ind w:firstLine="0"/>
              <w:rPr>
                <w:color w:val="auto"/>
                <w:highlight w:val="none"/>
              </w:rPr>
            </w:pPr>
            <w:r>
              <w:rPr>
                <w:rFonts w:hint="eastAsia"/>
                <w:color w:val="auto"/>
                <w:highlight w:val="none"/>
              </w:rPr>
              <w:t>最高1千万且不超过合同金额70%</w:t>
            </w:r>
          </w:p>
        </w:tc>
        <w:tc>
          <w:tcPr>
            <w:tcW w:w="993" w:type="dxa"/>
            <w:vAlign w:val="center"/>
          </w:tcPr>
          <w:p w14:paraId="09A314C4">
            <w:pPr>
              <w:pStyle w:val="84"/>
              <w:ind w:firstLine="0"/>
              <w:jc w:val="center"/>
              <w:rPr>
                <w:color w:val="auto"/>
                <w:highlight w:val="none"/>
              </w:rPr>
            </w:pPr>
            <w:r>
              <w:rPr>
                <w:rFonts w:hint="eastAsia"/>
                <w:color w:val="auto"/>
                <w:highlight w:val="none"/>
              </w:rPr>
              <w:t>货物类1年</w:t>
            </w:r>
          </w:p>
          <w:p w14:paraId="4E96C373">
            <w:pPr>
              <w:pStyle w:val="84"/>
              <w:ind w:firstLine="0"/>
              <w:jc w:val="center"/>
              <w:rPr>
                <w:color w:val="auto"/>
                <w:highlight w:val="none"/>
              </w:rPr>
            </w:pPr>
            <w:r>
              <w:rPr>
                <w:rFonts w:hint="eastAsia"/>
                <w:color w:val="auto"/>
                <w:highlight w:val="none"/>
              </w:rPr>
              <w:t>服务类3年</w:t>
            </w:r>
          </w:p>
          <w:p w14:paraId="679FDE03">
            <w:pPr>
              <w:pStyle w:val="84"/>
              <w:ind w:firstLine="0"/>
              <w:jc w:val="center"/>
              <w:rPr>
                <w:color w:val="auto"/>
                <w:highlight w:val="none"/>
              </w:rPr>
            </w:pPr>
            <w:r>
              <w:rPr>
                <w:rFonts w:hint="eastAsia"/>
                <w:color w:val="auto"/>
                <w:highlight w:val="none"/>
              </w:rPr>
              <w:t>工程类5年</w:t>
            </w:r>
          </w:p>
        </w:tc>
        <w:tc>
          <w:tcPr>
            <w:tcW w:w="850" w:type="dxa"/>
            <w:vAlign w:val="center"/>
          </w:tcPr>
          <w:p w14:paraId="351E8B4E">
            <w:pPr>
              <w:pStyle w:val="84"/>
              <w:ind w:firstLine="0"/>
              <w:jc w:val="center"/>
              <w:rPr>
                <w:color w:val="auto"/>
                <w:highlight w:val="none"/>
              </w:rPr>
            </w:pPr>
            <w:r>
              <w:rPr>
                <w:rFonts w:hint="eastAsia"/>
                <w:color w:val="auto"/>
                <w:highlight w:val="none"/>
              </w:rPr>
              <w:t>3.45%</w:t>
            </w:r>
          </w:p>
        </w:tc>
        <w:tc>
          <w:tcPr>
            <w:tcW w:w="3366" w:type="dxa"/>
            <w:vAlign w:val="center"/>
          </w:tcPr>
          <w:p w14:paraId="4FC9E3CA">
            <w:pPr>
              <w:pStyle w:val="84"/>
              <w:ind w:firstLine="0"/>
              <w:rPr>
                <w:color w:val="auto"/>
                <w:highlight w:val="none"/>
              </w:rPr>
            </w:pPr>
            <w:r>
              <w:rPr>
                <w:rFonts w:hint="eastAsia"/>
                <w:color w:val="auto"/>
                <w:highlight w:val="none"/>
              </w:rPr>
              <w:t>为中征系统白名单企业，提供相关要求材料，内部审批后放款自主借还。</w:t>
            </w:r>
          </w:p>
        </w:tc>
      </w:tr>
      <w:tr w14:paraId="63D4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AD2082">
            <w:pPr>
              <w:pStyle w:val="84"/>
              <w:ind w:firstLine="0"/>
              <w:jc w:val="center"/>
              <w:rPr>
                <w:color w:val="auto"/>
                <w:highlight w:val="none"/>
              </w:rPr>
            </w:pPr>
            <w:r>
              <w:rPr>
                <w:rFonts w:hint="eastAsia"/>
                <w:color w:val="auto"/>
                <w:highlight w:val="none"/>
              </w:rPr>
              <w:t>国民村镇银行</w:t>
            </w:r>
          </w:p>
        </w:tc>
        <w:tc>
          <w:tcPr>
            <w:tcW w:w="1134" w:type="dxa"/>
            <w:vAlign w:val="center"/>
          </w:tcPr>
          <w:p w14:paraId="75E7689F">
            <w:pPr>
              <w:pStyle w:val="84"/>
              <w:ind w:firstLine="0"/>
              <w:jc w:val="center"/>
              <w:rPr>
                <w:color w:val="auto"/>
                <w:highlight w:val="none"/>
              </w:rPr>
            </w:pPr>
            <w:r>
              <w:rPr>
                <w:rFonts w:hint="eastAsia"/>
                <w:color w:val="auto"/>
                <w:highlight w:val="none"/>
              </w:rPr>
              <w:t>0779-2668801</w:t>
            </w:r>
          </w:p>
        </w:tc>
        <w:tc>
          <w:tcPr>
            <w:tcW w:w="1701" w:type="dxa"/>
            <w:vAlign w:val="center"/>
          </w:tcPr>
          <w:p w14:paraId="2A5ABC38">
            <w:pPr>
              <w:pStyle w:val="84"/>
              <w:ind w:firstLine="0"/>
              <w:rPr>
                <w:color w:val="auto"/>
                <w:highlight w:val="none"/>
              </w:rPr>
            </w:pPr>
            <w:r>
              <w:rPr>
                <w:rFonts w:hint="eastAsia"/>
                <w:color w:val="auto"/>
                <w:highlight w:val="none"/>
              </w:rPr>
              <w:t>最高500万</w:t>
            </w:r>
          </w:p>
        </w:tc>
        <w:tc>
          <w:tcPr>
            <w:tcW w:w="993" w:type="dxa"/>
            <w:vAlign w:val="center"/>
          </w:tcPr>
          <w:p w14:paraId="78F2C158">
            <w:pPr>
              <w:pStyle w:val="84"/>
              <w:ind w:firstLine="0"/>
              <w:jc w:val="center"/>
              <w:rPr>
                <w:color w:val="auto"/>
                <w:highlight w:val="none"/>
              </w:rPr>
            </w:pPr>
            <w:r>
              <w:rPr>
                <w:rFonts w:hint="eastAsia"/>
                <w:color w:val="auto"/>
                <w:highlight w:val="none"/>
              </w:rPr>
              <w:t>5年</w:t>
            </w:r>
          </w:p>
        </w:tc>
        <w:tc>
          <w:tcPr>
            <w:tcW w:w="850" w:type="dxa"/>
            <w:vAlign w:val="center"/>
          </w:tcPr>
          <w:p w14:paraId="772937DD">
            <w:pPr>
              <w:pStyle w:val="84"/>
              <w:ind w:firstLine="0"/>
              <w:jc w:val="center"/>
              <w:rPr>
                <w:color w:val="auto"/>
                <w:highlight w:val="none"/>
              </w:rPr>
            </w:pPr>
            <w:r>
              <w:rPr>
                <w:rFonts w:hint="eastAsia"/>
                <w:color w:val="auto"/>
                <w:highlight w:val="none"/>
              </w:rPr>
              <w:t>2.80%</w:t>
            </w:r>
          </w:p>
        </w:tc>
        <w:tc>
          <w:tcPr>
            <w:tcW w:w="3366" w:type="dxa"/>
            <w:vAlign w:val="center"/>
          </w:tcPr>
          <w:p w14:paraId="509BD716">
            <w:pPr>
              <w:pStyle w:val="84"/>
              <w:ind w:firstLine="0"/>
              <w:rPr>
                <w:color w:val="auto"/>
                <w:highlight w:val="none"/>
              </w:rPr>
            </w:pPr>
            <w:r>
              <w:rPr>
                <w:rFonts w:hint="eastAsia"/>
                <w:color w:val="auto"/>
                <w:highlight w:val="none"/>
              </w:rPr>
              <w:t>银行开户，线下申请并提供材料，信用良好企业最快1天获批即可提款</w:t>
            </w:r>
          </w:p>
        </w:tc>
      </w:tr>
      <w:tr w14:paraId="7B75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6A1BB9">
            <w:pPr>
              <w:pStyle w:val="84"/>
              <w:ind w:firstLine="0"/>
              <w:jc w:val="center"/>
              <w:rPr>
                <w:color w:val="auto"/>
                <w:highlight w:val="none"/>
              </w:rPr>
            </w:pPr>
            <w:r>
              <w:rPr>
                <w:rFonts w:hint="eastAsia"/>
                <w:color w:val="auto"/>
                <w:highlight w:val="none"/>
              </w:rPr>
              <w:t>桂林银行</w:t>
            </w:r>
          </w:p>
        </w:tc>
        <w:tc>
          <w:tcPr>
            <w:tcW w:w="1134" w:type="dxa"/>
            <w:vAlign w:val="center"/>
          </w:tcPr>
          <w:p w14:paraId="4D67FD4F">
            <w:pPr>
              <w:pStyle w:val="84"/>
              <w:ind w:firstLine="0"/>
              <w:jc w:val="center"/>
              <w:rPr>
                <w:color w:val="auto"/>
                <w:highlight w:val="none"/>
              </w:rPr>
            </w:pPr>
            <w:r>
              <w:rPr>
                <w:rFonts w:hint="eastAsia"/>
                <w:color w:val="auto"/>
                <w:highlight w:val="none"/>
              </w:rPr>
              <w:t>18577993959</w:t>
            </w:r>
          </w:p>
        </w:tc>
        <w:tc>
          <w:tcPr>
            <w:tcW w:w="1701" w:type="dxa"/>
            <w:vAlign w:val="center"/>
          </w:tcPr>
          <w:p w14:paraId="55D50C5F">
            <w:pPr>
              <w:pStyle w:val="84"/>
              <w:ind w:firstLine="0"/>
              <w:rPr>
                <w:color w:val="auto"/>
                <w:highlight w:val="none"/>
              </w:rPr>
            </w:pPr>
            <w:r>
              <w:rPr>
                <w:rFonts w:hint="eastAsia"/>
                <w:color w:val="auto"/>
                <w:highlight w:val="none"/>
              </w:rPr>
              <w:t>最高1千万</w:t>
            </w:r>
          </w:p>
        </w:tc>
        <w:tc>
          <w:tcPr>
            <w:tcW w:w="993" w:type="dxa"/>
            <w:vAlign w:val="center"/>
          </w:tcPr>
          <w:p w14:paraId="53280991">
            <w:pPr>
              <w:pStyle w:val="84"/>
              <w:ind w:firstLine="0"/>
              <w:jc w:val="center"/>
              <w:rPr>
                <w:color w:val="auto"/>
                <w:highlight w:val="none"/>
              </w:rPr>
            </w:pPr>
            <w:r>
              <w:rPr>
                <w:rFonts w:hint="eastAsia"/>
                <w:color w:val="auto"/>
                <w:highlight w:val="none"/>
              </w:rPr>
              <w:t>1年</w:t>
            </w:r>
          </w:p>
        </w:tc>
        <w:tc>
          <w:tcPr>
            <w:tcW w:w="850" w:type="dxa"/>
            <w:vAlign w:val="center"/>
          </w:tcPr>
          <w:p w14:paraId="624F64A3">
            <w:pPr>
              <w:pStyle w:val="84"/>
              <w:ind w:firstLine="0"/>
              <w:jc w:val="center"/>
              <w:rPr>
                <w:color w:val="auto"/>
                <w:highlight w:val="none"/>
              </w:rPr>
            </w:pPr>
            <w:r>
              <w:rPr>
                <w:rFonts w:hint="eastAsia"/>
                <w:color w:val="auto"/>
                <w:highlight w:val="none"/>
              </w:rPr>
              <w:t>3.45%</w:t>
            </w:r>
          </w:p>
        </w:tc>
        <w:tc>
          <w:tcPr>
            <w:tcW w:w="3366" w:type="dxa"/>
            <w:vAlign w:val="center"/>
          </w:tcPr>
          <w:p w14:paraId="0C8BA47A">
            <w:pPr>
              <w:pStyle w:val="84"/>
              <w:ind w:firstLine="0"/>
              <w:rPr>
                <w:color w:val="auto"/>
                <w:highlight w:val="none"/>
              </w:rPr>
            </w:pPr>
            <w:r>
              <w:rPr>
                <w:rFonts w:hint="eastAsia"/>
                <w:color w:val="auto"/>
                <w:highlight w:val="none"/>
              </w:rPr>
              <w:t>线下申请，材料齐全最快1周内即可放款。</w:t>
            </w:r>
          </w:p>
        </w:tc>
      </w:tr>
      <w:tr w14:paraId="1F6C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EE2DDEC">
            <w:pPr>
              <w:pStyle w:val="84"/>
              <w:ind w:firstLine="0"/>
              <w:jc w:val="center"/>
              <w:rPr>
                <w:color w:val="auto"/>
                <w:highlight w:val="none"/>
              </w:rPr>
            </w:pPr>
            <w:r>
              <w:rPr>
                <w:rFonts w:hint="eastAsia"/>
                <w:color w:val="auto"/>
                <w:highlight w:val="none"/>
              </w:rPr>
              <w:t>中小微商务服务公司</w:t>
            </w:r>
          </w:p>
        </w:tc>
        <w:tc>
          <w:tcPr>
            <w:tcW w:w="1134" w:type="dxa"/>
            <w:vAlign w:val="center"/>
          </w:tcPr>
          <w:p w14:paraId="4403D97D">
            <w:pPr>
              <w:pStyle w:val="84"/>
              <w:ind w:firstLine="0"/>
              <w:jc w:val="center"/>
              <w:rPr>
                <w:color w:val="auto"/>
                <w:highlight w:val="none"/>
              </w:rPr>
            </w:pPr>
            <w:r>
              <w:rPr>
                <w:rFonts w:hint="eastAsia"/>
                <w:color w:val="auto"/>
                <w:highlight w:val="none"/>
              </w:rPr>
              <w:t>19907799988</w:t>
            </w:r>
          </w:p>
        </w:tc>
        <w:tc>
          <w:tcPr>
            <w:tcW w:w="1701" w:type="dxa"/>
            <w:vAlign w:val="center"/>
          </w:tcPr>
          <w:p w14:paraId="4AE63042">
            <w:pPr>
              <w:pStyle w:val="84"/>
              <w:ind w:firstLine="0"/>
              <w:rPr>
                <w:color w:val="auto"/>
                <w:highlight w:val="none"/>
              </w:rPr>
            </w:pPr>
          </w:p>
        </w:tc>
        <w:tc>
          <w:tcPr>
            <w:tcW w:w="993" w:type="dxa"/>
            <w:vAlign w:val="center"/>
          </w:tcPr>
          <w:p w14:paraId="31242C95">
            <w:pPr>
              <w:pStyle w:val="84"/>
              <w:ind w:firstLine="0"/>
              <w:jc w:val="center"/>
              <w:rPr>
                <w:color w:val="auto"/>
                <w:highlight w:val="none"/>
              </w:rPr>
            </w:pPr>
          </w:p>
        </w:tc>
        <w:tc>
          <w:tcPr>
            <w:tcW w:w="850" w:type="dxa"/>
            <w:vAlign w:val="center"/>
          </w:tcPr>
          <w:p w14:paraId="7FD77C81">
            <w:pPr>
              <w:pStyle w:val="84"/>
              <w:ind w:firstLine="0"/>
              <w:jc w:val="center"/>
              <w:rPr>
                <w:color w:val="auto"/>
                <w:highlight w:val="none"/>
              </w:rPr>
            </w:pPr>
          </w:p>
        </w:tc>
        <w:tc>
          <w:tcPr>
            <w:tcW w:w="3366" w:type="dxa"/>
            <w:vAlign w:val="center"/>
          </w:tcPr>
          <w:p w14:paraId="448B20BB">
            <w:pPr>
              <w:pStyle w:val="84"/>
              <w:ind w:firstLine="0"/>
              <w:rPr>
                <w:color w:val="auto"/>
                <w:highlight w:val="none"/>
              </w:rPr>
            </w:pPr>
            <w:r>
              <w:rPr>
                <w:rFonts w:hint="eastAsia"/>
                <w:color w:val="auto"/>
                <w:highlight w:val="none"/>
              </w:rPr>
              <w:t>具体业务可电话咨询。</w:t>
            </w:r>
          </w:p>
        </w:tc>
      </w:tr>
    </w:tbl>
    <w:p w14:paraId="25CE9619">
      <w:pPr>
        <w:pStyle w:val="84"/>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05C68C2A">
      <w:pPr>
        <w:pStyle w:val="26"/>
        <w:spacing w:line="360" w:lineRule="auto"/>
        <w:ind w:left="479" w:hanging="479" w:hangingChars="199"/>
        <w:rPr>
          <w:rFonts w:cs="宋体"/>
          <w:b/>
          <w:color w:val="auto"/>
          <w:highlight w:val="none"/>
        </w:rPr>
      </w:pPr>
      <w:r>
        <w:rPr>
          <w:rFonts w:hint="eastAsia" w:cs="宋体"/>
          <w:b/>
          <w:color w:val="auto"/>
          <w:highlight w:val="none"/>
        </w:rPr>
        <w:t>26. 履约保证金</w:t>
      </w:r>
    </w:p>
    <w:p w14:paraId="1257A4EC">
      <w:pPr>
        <w:pStyle w:val="34"/>
        <w:spacing w:line="360" w:lineRule="auto"/>
        <w:ind w:firstLine="472" w:firstLineChars="196"/>
        <w:rPr>
          <w:color w:val="auto"/>
          <w:highlight w:val="none"/>
        </w:rPr>
      </w:pPr>
      <w:r>
        <w:rPr>
          <w:rFonts w:hint="eastAsia" w:hAnsi="宋体" w:cs="宋体"/>
          <w:b/>
          <w:color w:val="auto"/>
          <w:kern w:val="28"/>
          <w:sz w:val="24"/>
          <w:szCs w:val="24"/>
          <w:highlight w:val="none"/>
        </w:rPr>
        <w:t>本项目不收取履约保证金。</w:t>
      </w:r>
    </w:p>
    <w:p w14:paraId="7539730E">
      <w:pPr>
        <w:pStyle w:val="26"/>
        <w:spacing w:line="360" w:lineRule="auto"/>
        <w:ind w:left="479" w:hanging="479" w:hangingChars="199"/>
        <w:rPr>
          <w:rFonts w:cs="宋体"/>
          <w:b/>
          <w:color w:val="auto"/>
          <w:highlight w:val="none"/>
        </w:rPr>
      </w:pPr>
      <w:r>
        <w:rPr>
          <w:rFonts w:cs="宋体"/>
          <w:b/>
          <w:color w:val="auto"/>
          <w:highlight w:val="none"/>
        </w:rPr>
        <w:t>27.预付款</w:t>
      </w:r>
    </w:p>
    <w:p w14:paraId="70B8CB59">
      <w:pPr>
        <w:pStyle w:val="34"/>
        <w:spacing w:line="360" w:lineRule="auto"/>
        <w:ind w:firstLine="472" w:firstLineChars="196"/>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详见第三部分 采购需求。</w:t>
      </w:r>
    </w:p>
    <w:p w14:paraId="6489D16C">
      <w:pPr>
        <w:adjustRightInd/>
        <w:spacing w:line="360" w:lineRule="auto"/>
        <w:ind w:firstLine="480" w:firstLineChars="200"/>
        <w:rPr>
          <w:color w:val="auto"/>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219C609D">
      <w:pPr>
        <w:rPr>
          <w:color w:val="auto"/>
          <w:highlight w:val="none"/>
        </w:rPr>
      </w:pPr>
    </w:p>
    <w:p w14:paraId="21E2BAD5">
      <w:pPr>
        <w:snapToGrid w:val="0"/>
        <w:spacing w:line="360" w:lineRule="auto"/>
        <w:ind w:firstLine="3357" w:firstLineChars="1045"/>
        <w:rPr>
          <w:rFonts w:ascii="宋体" w:hAnsi="宋体" w:cs="宋体"/>
          <w:b/>
          <w:color w:val="auto"/>
          <w:sz w:val="32"/>
          <w:highlight w:val="none"/>
        </w:rPr>
      </w:pPr>
    </w:p>
    <w:p w14:paraId="36CFA6B2">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21D44E0C">
      <w:pPr>
        <w:pStyle w:val="130"/>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25D06B66">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2CECDBBF">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0F1D06CA">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1C792612">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733121A1">
      <w:pPr>
        <w:pStyle w:val="130"/>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5D81715B">
      <w:pPr>
        <w:pStyle w:val="130"/>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04B628E2">
      <w:pPr>
        <w:tabs>
          <w:tab w:val="left" w:pos="0"/>
        </w:tabs>
        <w:spacing w:line="360" w:lineRule="auto"/>
        <w:ind w:firstLine="480"/>
        <w:rPr>
          <w:rFonts w:ascii="宋体" w:hAnsi="宋体" w:cs="宋体"/>
          <w:color w:val="auto"/>
          <w:sz w:val="24"/>
          <w:highlight w:val="none"/>
        </w:rPr>
      </w:pPr>
    </w:p>
    <w:p w14:paraId="2CA2115D">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78FA488A">
      <w:pPr>
        <w:pStyle w:val="26"/>
        <w:spacing w:line="360" w:lineRule="auto"/>
        <w:ind w:firstLine="0" w:firstLineChars="0"/>
        <w:rPr>
          <w:rFonts w:cs="宋体"/>
          <w:b/>
          <w:color w:val="auto"/>
          <w:highlight w:val="none"/>
        </w:rPr>
      </w:pPr>
      <w:r>
        <w:rPr>
          <w:rFonts w:hint="eastAsia" w:cs="宋体"/>
          <w:b/>
          <w:color w:val="auto"/>
          <w:highlight w:val="none"/>
        </w:rPr>
        <w:t>30.验收</w:t>
      </w:r>
    </w:p>
    <w:p w14:paraId="027CDA35">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1B4D6B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268E270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2B94A1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BC80468">
      <w:pPr>
        <w:tabs>
          <w:tab w:val="left" w:pos="0"/>
        </w:tabs>
        <w:spacing w:line="360" w:lineRule="auto"/>
        <w:ind w:firstLine="480"/>
        <w:rPr>
          <w:rFonts w:ascii="宋体" w:hAnsi="宋体" w:cs="宋体"/>
          <w:color w:val="auto"/>
          <w:kern w:val="0"/>
          <w:sz w:val="24"/>
          <w:highlight w:val="none"/>
        </w:rPr>
      </w:pPr>
    </w:p>
    <w:bookmarkEnd w:id="33"/>
    <w:bookmarkEnd w:id="34"/>
    <w:bookmarkEnd w:id="41"/>
    <w:p w14:paraId="007ABCAB">
      <w:pPr>
        <w:snapToGrid w:val="0"/>
        <w:spacing w:line="360" w:lineRule="auto"/>
        <w:ind w:firstLine="723" w:firstLineChars="200"/>
        <w:rPr>
          <w:rFonts w:ascii="宋体" w:hAnsi="宋体" w:cs="宋体"/>
          <w:b/>
          <w:color w:val="auto"/>
          <w:sz w:val="36"/>
          <w:szCs w:val="36"/>
          <w:highlight w:val="none"/>
        </w:rPr>
      </w:pPr>
      <w:bookmarkStart w:id="42" w:name="_Toc176368904"/>
      <w:bookmarkStart w:id="43" w:name="第四部分"/>
      <w:r>
        <w:rPr>
          <w:rFonts w:ascii="宋体" w:hAnsi="宋体" w:cs="宋体"/>
          <w:b/>
          <w:color w:val="auto"/>
          <w:sz w:val="36"/>
          <w:szCs w:val="36"/>
          <w:highlight w:val="none"/>
        </w:rPr>
        <w:br w:type="page"/>
      </w:r>
    </w:p>
    <w:p w14:paraId="18B58641">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第三部分 采购需求</w:t>
      </w:r>
      <w:bookmarkEnd w:id="42"/>
    </w:p>
    <w:p w14:paraId="08022F04">
      <w:pPr>
        <w:pBdr>
          <w:bottom w:val="single" w:color="auto" w:sz="6" w:space="1"/>
        </w:pBdr>
        <w:tabs>
          <w:tab w:val="center" w:pos="4153"/>
          <w:tab w:val="right" w:pos="8306"/>
        </w:tabs>
        <w:adjustRightInd/>
        <w:snapToGrid w:val="0"/>
        <w:jc w:val="center"/>
        <w:rPr>
          <w:color w:val="auto"/>
          <w:sz w:val="18"/>
          <w:szCs w:val="18"/>
          <w:highlight w:val="none"/>
        </w:rPr>
      </w:pPr>
    </w:p>
    <w:p w14:paraId="60A193CB">
      <w:pPr>
        <w:pStyle w:val="2"/>
        <w:spacing w:line="440" w:lineRule="exact"/>
        <w:ind w:firstLine="402"/>
        <w:outlineLvl w:val="1"/>
        <w:rPr>
          <w:rFonts w:hint="eastAsia" w:eastAsia="宋体"/>
          <w:color w:val="auto"/>
          <w:highlight w:val="none"/>
          <w:lang w:val="zh-CN" w:eastAsia="zh-CN"/>
        </w:rPr>
      </w:pPr>
      <w:r>
        <w:rPr>
          <w:rFonts w:hint="eastAsia" w:ascii="宋体" w:hAnsi="宋体" w:cs="宋体"/>
          <w:b/>
          <w:color w:val="auto"/>
          <w:sz w:val="21"/>
          <w:szCs w:val="21"/>
          <w:highlight w:val="none"/>
        </w:rPr>
        <w:t>标项一：安保服务</w:t>
      </w:r>
      <w:r>
        <w:rPr>
          <w:rFonts w:hint="eastAsia" w:ascii="宋体" w:hAnsi="宋体" w:cs="宋体"/>
          <w:b/>
          <w:color w:val="auto"/>
          <w:sz w:val="21"/>
          <w:szCs w:val="21"/>
          <w:highlight w:val="none"/>
          <w:lang w:val="en-US" w:eastAsia="zh-CN"/>
        </w:rPr>
        <w:t>1</w:t>
      </w:r>
    </w:p>
    <w:p w14:paraId="39B9153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14:paraId="31992D7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1.本项目的政府采购预算控制价为人民币</w:t>
      </w:r>
      <w:r>
        <w:rPr>
          <w:rFonts w:ascii="宋体" w:hAnsi="宋体" w:cs="宋体"/>
          <w:color w:val="auto"/>
          <w:szCs w:val="21"/>
          <w:highlight w:val="none"/>
        </w:rPr>
        <w:t>7340400</w:t>
      </w:r>
      <w:r>
        <w:rPr>
          <w:rFonts w:hint="eastAsia" w:ascii="宋体" w:hAnsi="宋体" w:cs="宋体"/>
          <w:color w:val="auto"/>
          <w:szCs w:val="21"/>
          <w:highlight w:val="none"/>
        </w:rPr>
        <w:t>元，高于预算控制价的报价将视为无效投标。</w:t>
      </w:r>
    </w:p>
    <w:p w14:paraId="599A5C2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采购需求中标注“★”的内容必须满足或者优于，否则投标无效。</w:t>
      </w:r>
    </w:p>
    <w:p w14:paraId="59BC8CF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3.根据《关于印发中小企业划型标准规定的通知》（工信部联企业</w:t>
      </w:r>
      <w:r>
        <w:rPr>
          <w:rFonts w:hint="eastAsia" w:ascii="宋体" w:hAnsi="宋体" w:cs="Book Antiqua"/>
          <w:color w:val="auto"/>
          <w:szCs w:val="21"/>
          <w:highlight w:val="none"/>
        </w:rPr>
        <w:t>〔2011〕</w:t>
      </w:r>
      <w:r>
        <w:rPr>
          <w:rFonts w:hint="eastAsia" w:ascii="宋体" w:hAnsi="宋体" w:cs="宋体"/>
          <w:color w:val="auto"/>
          <w:szCs w:val="21"/>
          <w:highlight w:val="none"/>
        </w:rPr>
        <w:t>300号）规定的划分标准，本项目采购所有标的对应的中小企业划分标准所属行业为：</w:t>
      </w:r>
      <w:r>
        <w:rPr>
          <w:rFonts w:hint="eastAsia" w:ascii="宋体" w:hAnsi="宋体" w:cs="Book Antiqua"/>
          <w:b/>
          <w:color w:val="auto"/>
          <w:szCs w:val="21"/>
          <w:highlight w:val="none"/>
        </w:rPr>
        <w:t>租赁和商务服务业</w:t>
      </w:r>
      <w:r>
        <w:rPr>
          <w:rFonts w:hint="eastAsia" w:ascii="宋体" w:hAnsi="宋体" w:cs="宋体"/>
          <w:color w:val="auto"/>
          <w:szCs w:val="21"/>
          <w:highlight w:val="none"/>
        </w:rPr>
        <w:t>。</w:t>
      </w:r>
    </w:p>
    <w:p w14:paraId="039B3558">
      <w:pPr>
        <w:spacing w:line="44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rPr>
        <w:t>（1）技术要求</w:t>
      </w:r>
    </w:p>
    <w:tbl>
      <w:tblPr>
        <w:tblStyle w:val="6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874"/>
        <w:gridCol w:w="7307"/>
      </w:tblGrid>
      <w:tr w14:paraId="1804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shd w:val="clear" w:color="auto" w:fill="auto"/>
            <w:vAlign w:val="center"/>
          </w:tcPr>
          <w:p w14:paraId="16FBA610">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51" w:type="pct"/>
            <w:shd w:val="clear" w:color="auto" w:fill="auto"/>
            <w:vAlign w:val="center"/>
          </w:tcPr>
          <w:p w14:paraId="32F1EE64">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3707" w:type="pct"/>
            <w:shd w:val="clear" w:color="auto" w:fill="auto"/>
            <w:vAlign w:val="center"/>
          </w:tcPr>
          <w:p w14:paraId="0E1B6A8B">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w:t>
            </w:r>
          </w:p>
        </w:tc>
      </w:tr>
      <w:tr w14:paraId="7580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shd w:val="clear" w:color="auto" w:fill="auto"/>
            <w:vAlign w:val="center"/>
          </w:tcPr>
          <w:p w14:paraId="44C257E8">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51" w:type="pct"/>
            <w:shd w:val="clear" w:color="auto" w:fill="auto"/>
            <w:vAlign w:val="center"/>
          </w:tcPr>
          <w:p w14:paraId="7A55087F">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北海市机关幼儿园（北海市涠洲岛幼儿园）安保服务</w:t>
            </w:r>
          </w:p>
        </w:tc>
        <w:tc>
          <w:tcPr>
            <w:tcW w:w="3707" w:type="pct"/>
            <w:vMerge w:val="restart"/>
            <w:shd w:val="clear" w:color="auto" w:fill="auto"/>
            <w:vAlign w:val="center"/>
          </w:tcPr>
          <w:p w14:paraId="025DEDB7">
            <w:pPr>
              <w:adjustRightInd/>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一、服务范围和内容</w:t>
            </w:r>
          </w:p>
          <w:p w14:paraId="479C4F0A">
            <w:pPr>
              <w:adjustRightInd/>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（一）服务范围</w:t>
            </w:r>
          </w:p>
          <w:p w14:paraId="2421FFDE">
            <w:pPr>
              <w:adjustRightInd/>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为派驻学校校园全域提供安保服务，负责校园门卫管理和校园防火、防盗、治安巡逻等，落实校园安全管理。</w:t>
            </w:r>
          </w:p>
          <w:p w14:paraId="3A11A7FE">
            <w:pPr>
              <w:adjustRightInd/>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（二）服务内容</w:t>
            </w:r>
          </w:p>
          <w:p w14:paraId="12C2404C">
            <w:pPr>
              <w:adjustRightInd/>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负责校园门卫管理和校园防火、防盗、治安巡逻等一切校园安全管理，保护学校师生人身和财产安全，维护校园秩序，维护校园稳定，以及校园周边可能影响学校安全、可能对在校学生、教职员工产生安全隐患的区域，同时对发生在服务区域内的刑事案件、治安案件、治安火灾事故第一时间采取制止和组织扑救措施，并及时报告服务学校领导和报警，同时采取措施保护现场。</w:t>
            </w:r>
          </w:p>
          <w:p w14:paraId="48D2F080">
            <w:pPr>
              <w:adjustRightInd/>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二、服务要求</w:t>
            </w:r>
          </w:p>
          <w:p w14:paraId="02F7A9F3">
            <w:pPr>
              <w:adjustRightInd/>
              <w:spacing w:line="500" w:lineRule="exac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（一）总体服务要求</w:t>
            </w:r>
          </w:p>
          <w:p w14:paraId="1A5D7BBD">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1．各派驻学校服务用工人数不少于该校区所需人数（详见本标段附表：人员需求表），保安必须持保安证上岗。</w:t>
            </w:r>
          </w:p>
          <w:p w14:paraId="66E69098">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必须为所有上岗人员购买社会保险及人身意外保险。</w:t>
            </w:r>
          </w:p>
          <w:p w14:paraId="2AFA9BA6">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3．上岗人员在工作期间发生员工工伤及意外伤害事故以及涉及用工方面的劳务纠纷和劳动事故全部由</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承担责任。</w:t>
            </w:r>
          </w:p>
          <w:p w14:paraId="573CBDF9">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4．服务费涵盖基本工资、社会保险、物业管理费、税费等费用。</w:t>
            </w:r>
          </w:p>
          <w:p w14:paraId="08E021C7">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必须每月按时足额发放员工工资，不得以任何理由拖欠员工工资，确保及时足额支付。</w:t>
            </w:r>
          </w:p>
          <w:p w14:paraId="6CC9FF71">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需有安保管理方案，质量管理、档案管理等制度。</w:t>
            </w:r>
          </w:p>
          <w:p w14:paraId="0EE84E7E">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7．管理服务人员统一着装，行为规范，服务主动热情。</w:t>
            </w:r>
          </w:p>
          <w:p w14:paraId="33C6714C">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每季度接受采购人服务质量考核，考核由采购人或派驻校方采取日常巡查、随机抽查、专项检查相结合的方式进行。服务费以考核得分等级支付，支付比例如下：得分≥90分：支付当季应付服务费的100%；80分≤得分&lt;90分：支付当季应付服务费的95%；70分≤得分&lt;80分：支付当季应付服务费的90%；得分&lt;70分：付当季应付服务费的85%。得分低于70分或连续两季度低于80分，采购人或派驻校方有权发出警告，要求限期整改，未能完成整改的采购人有权终止合同。</w:t>
            </w:r>
          </w:p>
          <w:p w14:paraId="4AABFF25">
            <w:pPr>
              <w:adjustRightInd/>
              <w:spacing w:line="500" w:lineRule="exac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（二）具体工作要求</w:t>
            </w:r>
          </w:p>
          <w:p w14:paraId="3C9E8489">
            <w:pPr>
              <w:adjustRightInd/>
              <w:spacing w:line="500" w:lineRule="exact"/>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1．岗位时间安排</w:t>
            </w:r>
          </w:p>
          <w:p w14:paraId="65FA685C">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（1）安保人员：每天24小时四班三运转</w:t>
            </w:r>
            <w:r>
              <w:rPr>
                <w:rFonts w:hint="eastAsia" w:ascii="宋体" w:hAnsi="宋体" w:eastAsia="宋体" w:cs="宋体"/>
                <w:b/>
                <w:bCs/>
                <w:color w:val="auto"/>
                <w:sz w:val="24"/>
                <w:szCs w:val="20"/>
                <w:highlight w:val="none"/>
              </w:rPr>
              <w:t>（如所服务单位有特殊要求，具体安排由相关单位自行安排）</w:t>
            </w:r>
            <w:r>
              <w:rPr>
                <w:rFonts w:hint="eastAsia" w:ascii="宋体" w:hAnsi="宋体" w:eastAsia="宋体" w:cs="宋体"/>
                <w:color w:val="auto"/>
                <w:sz w:val="24"/>
                <w:szCs w:val="20"/>
                <w:highlight w:val="none"/>
              </w:rPr>
              <w:t>。</w:t>
            </w:r>
          </w:p>
          <w:p w14:paraId="52A1DE5A">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必须按各个岗位不同时段的人员数量和岗位要求，配备保安力量，并保证实际到岗。</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在组织、安排保安工作时，应符合国家相关法规，维护保安人员的正当权益。</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对其用工行为承担一切法律责任。</w:t>
            </w:r>
          </w:p>
          <w:p w14:paraId="4E690CEC">
            <w:pPr>
              <w:adjustRightInd/>
              <w:spacing w:line="500" w:lineRule="exact"/>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 安保服务主要内容</w:t>
            </w:r>
          </w:p>
          <w:p w14:paraId="65C45441">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依照学校规定与管理要求，结合学校安全保卫工作实际情况，制订切实可行的安全保卫工作整体方案，开展专业化安保业务，具体服务工作内容如下：</w:t>
            </w:r>
          </w:p>
          <w:p w14:paraId="3DFAF286">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（1）24小时全面负责校区（包括所有建筑物、公共场所）的治安防范工作。作为专业服务企业，</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应能够结合校园的具体情况制定和完善安全防范方案、管理方案，并有能力组织实施；</w:t>
            </w:r>
            <w:r>
              <w:rPr>
                <w:rFonts w:hint="eastAsia" w:ascii="宋体" w:hAnsi="宋体" w:cs="宋体"/>
                <w:color w:val="auto"/>
                <w:sz w:val="24"/>
                <w:szCs w:val="20"/>
                <w:highlight w:val="none"/>
                <w:lang w:eastAsia="zh-CN"/>
              </w:rPr>
              <w:t>供应商</w:t>
            </w:r>
            <w:r>
              <w:rPr>
                <w:rFonts w:hint="eastAsia" w:ascii="宋体" w:hAnsi="宋体" w:eastAsia="宋体" w:cs="宋体"/>
                <w:color w:val="auto"/>
                <w:sz w:val="24"/>
                <w:szCs w:val="20"/>
                <w:highlight w:val="none"/>
              </w:rPr>
              <w:t>必须按要求合理配置安保岗位和安保人员，明确岗位职责，抓好队伍管理和建设，采取人防、物防、技防措施，维护好校园治安秩序，全方位确保校园安全有序的教学科研、管理和学习生活环境。</w:t>
            </w:r>
          </w:p>
          <w:p w14:paraId="3B1FB0C1">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（2）全面负责门卫管理，对校区日常开放的门岗实行门卫管理，负责对外来机动车辆、外来人员、出入校园物品进行检查登记等门卫值勤工作。</w:t>
            </w:r>
          </w:p>
          <w:p w14:paraId="0A0D002F">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（3）全面负责校区内安全重点部位的防破坏、防事故、防盗、防外来人员私自进入等守护守卫工作。</w:t>
            </w:r>
          </w:p>
          <w:p w14:paraId="0B93C6B3">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（4）全面负责校区的治安巡逻，及时发现各类安全隐患，制止校园不文明举止，发现和制止校园暴力事件，随时准备提供紧急救助。</w:t>
            </w:r>
          </w:p>
          <w:p w14:paraId="55E716C1">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严格执行学校安全保卫制度、消防规章制度，负责做好学校安全、保卫、消防等工作。校园公共部位安全隐患检查、排除；定时巡检测试消防监控等设施设备，填写记录，发现问题时，应准确判断，及时上报。</w:t>
            </w:r>
          </w:p>
          <w:p w14:paraId="626E38E2">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（6）在保卫科的组织领导下，协同做好校园内部治安综合治理工作，负责做好校园交通管理工作，做好校区内的综合治理工作。</w:t>
            </w:r>
          </w:p>
          <w:p w14:paraId="6B1B745F">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（7）协助做好学校重大活动安全保卫工作；负责学校各种大型活动的治安、交通秩序维护和消防等安全工作。遇到学校重大活动、临时性活动或突发性事件时，随时增添人员并听从学校统一安排和调遣。</w:t>
            </w:r>
          </w:p>
          <w:p w14:paraId="3349C8C5">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（8）配合保卫科执行各项管理制度，维护校园内教学、交通、生活秩序，执行率100%；接受保卫科的监督检查、考核及业务指导。</w:t>
            </w:r>
          </w:p>
          <w:p w14:paraId="7ADF721D">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安全监控值班：认真填写值班记录，要熟悉消防报警及监控录相设备的基本功能，做到会操作使用、会排除一般故障，具有相关技能与水平；服从学校综治部门管理，及时报告情况，做好各种突发事件的预防和处理工作。</w:t>
            </w:r>
          </w:p>
          <w:p w14:paraId="1F82F03D">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szCs w:val="20"/>
                <w:highlight w:val="none"/>
              </w:rPr>
              <w:t>其它属于保安服务范围内的工作以及学校临时交办的任务。</w:t>
            </w:r>
          </w:p>
          <w:p w14:paraId="3644FB00">
            <w:pPr>
              <w:adjustRightInd/>
              <w:spacing w:line="500" w:lineRule="exact"/>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3. 服务工作质量目标要求</w:t>
            </w:r>
          </w:p>
          <w:p w14:paraId="76F2D87A">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（1）依照行业标准，根据学校管理规定与服务要求，制订切实可行的校园保安服务整体方案和应急预案，突发事件反应迅速，预案处置有力。</w:t>
            </w:r>
          </w:p>
          <w:p w14:paraId="56B7B79A">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（2）依法办事，文明执勤，严格管理，保障学校财产和师生人身权益不受侵害，维护正常的教学、科研、生活秩序。</w:t>
            </w:r>
          </w:p>
          <w:p w14:paraId="23FDEFE3">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（3）全年无责任事故和责任案件发生，师生有安全感，对校园保安服务满意率达85%以上。</w:t>
            </w:r>
          </w:p>
          <w:p w14:paraId="2C586B87">
            <w:pPr>
              <w:adjustRightInd/>
              <w:spacing w:line="500" w:lineRule="exact"/>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4. 服务工作标准</w:t>
            </w:r>
          </w:p>
          <w:p w14:paraId="6B6B9A32">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（1）自行配备门卫值勤、安全巡逻所需的器材、通讯设备和交通工具等。</w:t>
            </w:r>
          </w:p>
          <w:p w14:paraId="2C0A1A43">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派驻学校的保安人员应持有保安员证，消防设施操作员应持有《消防设施操作员》证书。按治安管理要求，派驻学校的保安人员应持身份证、正规医院健康证明、无犯罪记录证明到学校保卫科填写“保安员备案表”，如有人员变动应及时到保卫科登记备案。值班、巡逻人员值班表每月提前报送保卫科。</w:t>
            </w:r>
          </w:p>
          <w:p w14:paraId="3C1DAF23">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（3）负责校区的门卫工作，按照学校的制度及其他有关规定，认真管理好进出校园的人员、车辆和物资等。</w:t>
            </w:r>
          </w:p>
          <w:p w14:paraId="4862EC5B">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（4）学校遇有重大活动或全校性的考试需要增配、抽调人员协助时，应无偿按照校方要求执行，工作时应统一服装及标志。</w:t>
            </w:r>
          </w:p>
          <w:p w14:paraId="3E4AC846">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（5）坚持文明执勤、文明上岗。上岗人员要仪表整洁卫生，站岗姿势要端正规范，指挥车辆动作要准确、标准，执勤语言要文明。</w:t>
            </w:r>
          </w:p>
          <w:p w14:paraId="4C711898">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（6）积极主动协调处理校内治安，消防等方面的突发事件，迅速排除各种险情，及时制止违法犯罪行为，及时向保卫科报告各类案件、事故及其他重大问题和重要情况，做好校园110接处警工作。</w:t>
            </w:r>
          </w:p>
          <w:p w14:paraId="6A18F851">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要建立文明值班室。值班场所做到整洁、卫生、有序，负责门前三包：“包安全、包卫生、包秩序”；上岗人员做到“六不”：不擅离岗位，不打瞌睡，不闲聊嬉闹，不打牌下棋，不聚众喝酒，不干私活会客。</w:t>
            </w:r>
          </w:p>
          <w:p w14:paraId="4644DD6C">
            <w:pPr>
              <w:adjustRightInd/>
              <w:spacing w:line="500" w:lineRule="exact"/>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5. 队伍建设与管理要求</w:t>
            </w:r>
          </w:p>
          <w:p w14:paraId="72A5E2A8">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（1）供应商必须持有保安服务许可资质证书，相应岗位人员应持有对应资格证书。</w:t>
            </w:r>
          </w:p>
          <w:p w14:paraId="57BF0A20">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（2）从学校安全实际出发，经常性开展在岗人员业务培训和紧急预案演练。</w:t>
            </w:r>
          </w:p>
          <w:p w14:paraId="3187E408">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（3）内部管理体制健全，设管理人员1名，全面负责日常保安队伍规范化管理，对保安人员的日常思想、工作、生活进行管理和领导，处理好保安队伍内部事务。</w:t>
            </w:r>
          </w:p>
          <w:p w14:paraId="7A528A5F">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（4）保持保安队伍的稳定，严格控制保安人员轮换岗比例，如有必要需更换保安人员的，应提前告知保卫科，确保服务质量不因人员变动而受影响。</w:t>
            </w:r>
          </w:p>
          <w:p w14:paraId="608DEA60">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（5）保安人员应聘、录用、离职等管理档案规范，手续齐全，相应资料必须报保卫科备案，禁止离职人员和 “问题保安”、“黑保安”进入校园。</w:t>
            </w:r>
          </w:p>
          <w:p w14:paraId="55B4AC38">
            <w:pPr>
              <w:adjustRightInd/>
              <w:spacing w:line="500" w:lineRule="exact"/>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6. 人员素质要求</w:t>
            </w:r>
          </w:p>
          <w:p w14:paraId="6EB6D0D7">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（1）派驻学校的保安人员应知法、懂法、守法、依法办事，必须严格遵守保安从业规范，模范遵守校园安全管理规定。</w:t>
            </w:r>
          </w:p>
          <w:p w14:paraId="7AA65A4E">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（2）管理人员应具备高中以上学历，有较高的政治思想素养和业务水平，有较强的组织协调能力，受过专门的保安业务培训。</w:t>
            </w:r>
          </w:p>
          <w:p w14:paraId="4D1C4F20">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派驻学校的保安人员应具备的个人素质条件：原则上为男性，具有初中及以上文化程度，退伍军人为佳，年龄在35至55周岁之间，身体健康，视力正常，无传染病、心血管疾病及精神等不能控制自己行为能力的疾病病史，体貌端正，无犯罪记录，曾受过刑事及治安处罚的人员不得录用派驻。</w:t>
            </w:r>
          </w:p>
          <w:p w14:paraId="16E299B2">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（4）派驻学校的保安人员有高度的责任感和吃苦耐劳的精神，应受过岗前专业培训，熟知学校的管理规定，恪尽职守，善于发现各类问题，具备一定的管理经验和处理突发事件能力。</w:t>
            </w:r>
          </w:p>
          <w:p w14:paraId="5BDAFEF0">
            <w:pPr>
              <w:adjustRightInd/>
              <w:spacing w:line="500" w:lineRule="exact"/>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7. 工作衔接要求</w:t>
            </w:r>
          </w:p>
          <w:p w14:paraId="7637E34E">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（1）根据行业服务标准与学校规定要求，独立运作，落实校园安全保卫整体方案，并结合校园实际在实践中不断完善。</w:t>
            </w:r>
          </w:p>
          <w:p w14:paraId="38BD6F10">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（2）在校园现有保安人员自愿前提下，采购人同意接收现有保安，并与之签订用工合同，规范管理，保持平稳过渡。</w:t>
            </w:r>
          </w:p>
          <w:p w14:paraId="483CECAD">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（3）管理人员须与保卫科保持必要的工作交流，每星期一次向保卫科口头汇报所承担的保安工作开展情况及信息反馈，重大情况须及时报告。</w:t>
            </w:r>
          </w:p>
          <w:p w14:paraId="62969A06">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（4）做好详细的执勤记录，原始台帐保存完好，以备学校核查。</w:t>
            </w:r>
          </w:p>
          <w:p w14:paraId="3EDAFFC7">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（5）协同学校治安协防组织，形成群防群治体系。</w:t>
            </w:r>
          </w:p>
          <w:p w14:paraId="0328925B">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（6）与宿管员协作，内外联动，开展一体化安全防范。</w:t>
            </w:r>
          </w:p>
          <w:p w14:paraId="6DB99EA6">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（7）与当地派出所、综治办加强合作与交流。</w:t>
            </w:r>
          </w:p>
          <w:p w14:paraId="4FCAC6AE">
            <w:pPr>
              <w:adjustRightInd/>
              <w:spacing w:line="500" w:lineRule="exact"/>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8. 岗位工作职责要求</w:t>
            </w:r>
          </w:p>
          <w:p w14:paraId="714CD438">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管理人员：代表公司全面负责保安队伍的日常管理事务，严格队伍纪律管理，奖优罚劣；承担保安违规违纪连带责任；实行人性化管理，关心队员的思想动态，充分调动队员积极性，努力保证队伍稳定；传达落实学校的服务要求与管理规定，组织实施并不断完善校园安全保卫整体方案；结合学校发展实际情况，适时做出岗位调整，完善各岗位职责；定期向保卫处汇报工作开展情况及治安信息，重大情况随时报告；配合学校处理校区内违规事件；组织开展保安业务培训和预案演练，制定校园内重大活动的安全保卫方案；建立健全录用保安人员档案资料。负责安排保安的日常工作，督促检查在岗人员履行岗位职责情况，纠正队员违规违纪行为，日常管理不流于形式，形成良好风气，妥善保管好学校提供的设备器材，严格交接班制度。</w:t>
            </w:r>
          </w:p>
          <w:p w14:paraId="76198551">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 门卫管理：严格人员、车辆、物资进出管理；按时立岗，礼貌待人，树立良好的窗口形象；对来访人员实行验证登记制度，禁止闲杂人员混入校园；对携物出门实行出门证验审制度，防止财物流失；对外单位车辆实行换证入校制度；维护责任区域秩序，与各岗位互通信息；值班室无闲杂人员滞留，保持内外环境整洁卫生和门前三包；完成学校交办的其他事项。</w:t>
            </w:r>
          </w:p>
          <w:p w14:paraId="64858D38">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机动巡逻：发现和排除各种不安全因素，及时处置各种违法犯罪行为；听从队长的工作安排与指挥调度，善于发现、分析处理各种事故隐患和突发事件；根据不同情况，灵活执行巡逻方案；加强对重点区域、要害部位的安全巡查，巡更踩点不流于形式，并与监控室保持联动；协助各岗位开展校园秩序维护和交通秩序管理工作；协助宿管物业及责任部门开展安全防范并如实记录汇报巡逻记录。通过门卫卡口管理、区域守护与机动巡逻，形成校园安全防范网络；保障校区内正常的学习、生活、教学、科研、工作秩序；禁止小商、小贩、盲流人员进入校园；禁止在校园内乱设摊点；加强校园内部交通秩序管理，通过主动干预提示，控制车辆速度，禁止无牌照车辆进入校园，保障大门及校内道路畅通，无交通事故发生，无车辆乱停乱放现象；按校方规定对悬挂横幅进行管理，及时清理校园内乱贴物，发现反动标语、非法和不良宣传物等及时报告保卫科。</w:t>
            </w:r>
          </w:p>
          <w:p w14:paraId="6421DB51">
            <w:pPr>
              <w:adjustRightInd/>
              <w:spacing w:line="500" w:lineRule="exact"/>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9. 安保人员行为规范要求</w:t>
            </w:r>
          </w:p>
          <w:p w14:paraId="4523ACDC">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（1）职业道德要求 </w:t>
            </w:r>
          </w:p>
          <w:p w14:paraId="3DAB0E7A">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① 敬业爱岗：勤奋敬业，积极肯干，热爱本职岗位，乐于为本职工作奉献。</w:t>
            </w:r>
          </w:p>
          <w:p w14:paraId="5656967E">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② 遵守纪律：认真遵守国家政策、法规、法令，遵守公司规章制度和劳动纪律。</w:t>
            </w:r>
          </w:p>
          <w:p w14:paraId="4FC08D38">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③ 认真学习：努力学习科学文化知识，不断提高业务技术水平，努力提高服务质量。</w:t>
            </w:r>
          </w:p>
          <w:p w14:paraId="2707B492">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④ 公私分明：爱护公物，不谋私利，自觉地维护公司的利益和声誉。</w:t>
            </w:r>
          </w:p>
          <w:p w14:paraId="478FF4A8">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⑤ 勤俭节约：具有良好的节约意识，勤俭节约。</w:t>
            </w:r>
          </w:p>
          <w:p w14:paraId="6C28561A">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⑥ 团结合作：严于律己，宽以待人，正确处理好个人与集体、同事的关系，具有良好的协作精神，易与他人相处。</w:t>
            </w:r>
          </w:p>
          <w:p w14:paraId="04C8695A">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⑦ 严守秘密：未经批准，不向外界传播或提供有关学校的任何资料。</w:t>
            </w:r>
          </w:p>
          <w:p w14:paraId="1D20636A">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（2）服务意识要求  </w:t>
            </w:r>
          </w:p>
          <w:p w14:paraId="50813594">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① 文明礼貌：做到语言规范，谈吐文雅，衣冠整洁，举止端庄。</w:t>
            </w:r>
          </w:p>
          <w:p w14:paraId="5A423BCB">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② 主动热情：以真诚的笑容，主动热情地为师生服务，主动了解师生的需要，努力为师生排忧解难。</w:t>
            </w:r>
          </w:p>
          <w:p w14:paraId="286A5B53">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③ 耐心周到：员工在对师生的服务中要耐心周到，问多不厌，事多不烦，虚心听取师生意见，耐心解答师生问题，服务体贴入微，有求必应，面面俱到，尽善尽美。</w:t>
            </w:r>
          </w:p>
          <w:p w14:paraId="41D07FAB">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（3）仪容仪表要求 </w:t>
            </w:r>
          </w:p>
          <w:p w14:paraId="2DF7D7BD">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① 所有安保人员，在值班过程中，保持衣冠整洁，按规定要求着装（包括：着制服、扎腰带，戴钢盔等），将工作卡端正地佩戴在左胸前。 </w:t>
            </w:r>
          </w:p>
          <w:p w14:paraId="27E37BA8">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② 工作场所不得穿短裤、背心、拖鞋。 </w:t>
            </w:r>
          </w:p>
          <w:p w14:paraId="251AE3F1">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③ 男员工头发不盖耳朵、不遮衣领，每天剃须，保持指甲清洁，不留长指甲，扣好衣扣裤扣，紧束领带（大箭头垂到皮带扣处为准），衬衣下摆放进裤内。</w:t>
            </w:r>
          </w:p>
          <w:p w14:paraId="6F66B298">
            <w:pPr>
              <w:adjustRightInd/>
              <w:spacing w:line="50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④ 女员工头发不过肩，不做怪异发型，不留长指甲，不染指甲，不浓妆艳抹，不穿黑色或带花丝袜</w:t>
            </w:r>
          </w:p>
        </w:tc>
      </w:tr>
      <w:tr w14:paraId="681D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shd w:val="clear" w:color="auto" w:fill="auto"/>
            <w:vAlign w:val="center"/>
          </w:tcPr>
          <w:p w14:paraId="12117916">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51" w:type="pct"/>
            <w:shd w:val="clear" w:color="auto" w:fill="auto"/>
            <w:vAlign w:val="center"/>
          </w:tcPr>
          <w:p w14:paraId="11771937">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北海市政府机关幼儿园安保服务</w:t>
            </w:r>
          </w:p>
        </w:tc>
        <w:tc>
          <w:tcPr>
            <w:tcW w:w="3707" w:type="pct"/>
            <w:vMerge w:val="continue"/>
            <w:vAlign w:val="center"/>
          </w:tcPr>
          <w:p w14:paraId="1CDF02EB">
            <w:pPr>
              <w:adjustRightInd/>
              <w:spacing w:line="500" w:lineRule="exact"/>
              <w:ind w:firstLine="480" w:firstLineChars="200"/>
              <w:rPr>
                <w:rFonts w:hint="eastAsia" w:ascii="宋体" w:hAnsi="宋体" w:eastAsia="宋体" w:cs="宋体"/>
                <w:color w:val="auto"/>
                <w:sz w:val="24"/>
                <w:szCs w:val="20"/>
                <w:highlight w:val="none"/>
              </w:rPr>
            </w:pPr>
          </w:p>
        </w:tc>
      </w:tr>
      <w:tr w14:paraId="26C0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shd w:val="clear" w:color="auto" w:fill="auto"/>
            <w:vAlign w:val="center"/>
          </w:tcPr>
          <w:p w14:paraId="30BC5156">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51" w:type="pct"/>
            <w:shd w:val="clear" w:color="auto" w:fill="auto"/>
            <w:vAlign w:val="center"/>
          </w:tcPr>
          <w:p w14:paraId="11C3A20D">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北海市第七幼儿园安保服务</w:t>
            </w:r>
          </w:p>
        </w:tc>
        <w:tc>
          <w:tcPr>
            <w:tcW w:w="3707" w:type="pct"/>
            <w:vMerge w:val="continue"/>
            <w:vAlign w:val="center"/>
          </w:tcPr>
          <w:p w14:paraId="3931CFF0">
            <w:pPr>
              <w:adjustRightInd/>
              <w:spacing w:line="500" w:lineRule="exact"/>
              <w:ind w:firstLine="480" w:firstLineChars="200"/>
              <w:rPr>
                <w:rFonts w:hint="eastAsia" w:ascii="宋体" w:hAnsi="宋体" w:eastAsia="宋体" w:cs="宋体"/>
                <w:color w:val="auto"/>
                <w:sz w:val="24"/>
                <w:szCs w:val="20"/>
                <w:highlight w:val="none"/>
              </w:rPr>
            </w:pPr>
          </w:p>
        </w:tc>
      </w:tr>
      <w:tr w14:paraId="6F3E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shd w:val="clear" w:color="auto" w:fill="auto"/>
            <w:vAlign w:val="center"/>
          </w:tcPr>
          <w:p w14:paraId="5EB6A601">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951" w:type="pct"/>
            <w:shd w:val="clear" w:color="auto" w:fill="auto"/>
            <w:vAlign w:val="center"/>
          </w:tcPr>
          <w:p w14:paraId="7559BE9E">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北海市北海中学安保服务</w:t>
            </w:r>
          </w:p>
        </w:tc>
        <w:tc>
          <w:tcPr>
            <w:tcW w:w="3707" w:type="pct"/>
            <w:vMerge w:val="continue"/>
            <w:vAlign w:val="center"/>
          </w:tcPr>
          <w:p w14:paraId="7A7F001C">
            <w:pPr>
              <w:adjustRightInd/>
              <w:spacing w:line="500" w:lineRule="exact"/>
              <w:ind w:firstLine="480" w:firstLineChars="200"/>
              <w:rPr>
                <w:rFonts w:hint="eastAsia" w:ascii="宋体" w:hAnsi="宋体" w:eastAsia="宋体" w:cs="宋体"/>
                <w:color w:val="auto"/>
                <w:sz w:val="24"/>
                <w:szCs w:val="20"/>
                <w:highlight w:val="none"/>
              </w:rPr>
            </w:pPr>
          </w:p>
        </w:tc>
      </w:tr>
      <w:tr w14:paraId="1A2B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shd w:val="clear" w:color="auto" w:fill="auto"/>
            <w:vAlign w:val="center"/>
          </w:tcPr>
          <w:p w14:paraId="676571B4">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951" w:type="pct"/>
            <w:shd w:val="clear" w:color="auto" w:fill="auto"/>
            <w:vAlign w:val="center"/>
          </w:tcPr>
          <w:p w14:paraId="35B49981">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北海市第十二中学安保服务</w:t>
            </w:r>
          </w:p>
        </w:tc>
        <w:tc>
          <w:tcPr>
            <w:tcW w:w="3707" w:type="pct"/>
            <w:vMerge w:val="continue"/>
            <w:vAlign w:val="center"/>
          </w:tcPr>
          <w:p w14:paraId="3B2FE1DA">
            <w:pPr>
              <w:adjustRightInd/>
              <w:spacing w:line="500" w:lineRule="exact"/>
              <w:ind w:firstLine="480" w:firstLineChars="200"/>
              <w:rPr>
                <w:rFonts w:hint="eastAsia" w:ascii="宋体" w:hAnsi="宋体" w:eastAsia="宋体" w:cs="宋体"/>
                <w:color w:val="auto"/>
                <w:sz w:val="24"/>
                <w:szCs w:val="20"/>
                <w:highlight w:val="none"/>
              </w:rPr>
            </w:pPr>
          </w:p>
        </w:tc>
      </w:tr>
      <w:tr w14:paraId="79BF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shd w:val="clear" w:color="auto" w:fill="auto"/>
            <w:vAlign w:val="center"/>
          </w:tcPr>
          <w:p w14:paraId="5EC913F4">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951" w:type="pct"/>
            <w:shd w:val="clear" w:color="auto" w:fill="auto"/>
            <w:vAlign w:val="center"/>
          </w:tcPr>
          <w:p w14:paraId="65B83186">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北海市第十三中学安保服务</w:t>
            </w:r>
          </w:p>
        </w:tc>
        <w:tc>
          <w:tcPr>
            <w:tcW w:w="3707" w:type="pct"/>
            <w:vMerge w:val="continue"/>
            <w:vAlign w:val="center"/>
          </w:tcPr>
          <w:p w14:paraId="326DECF5">
            <w:pPr>
              <w:adjustRightInd/>
              <w:spacing w:line="500" w:lineRule="exact"/>
              <w:ind w:firstLine="480" w:firstLineChars="200"/>
              <w:rPr>
                <w:rFonts w:hint="eastAsia" w:ascii="宋体" w:hAnsi="宋体" w:eastAsia="宋体" w:cs="宋体"/>
                <w:color w:val="auto"/>
                <w:sz w:val="24"/>
                <w:szCs w:val="20"/>
                <w:highlight w:val="none"/>
              </w:rPr>
            </w:pPr>
          </w:p>
        </w:tc>
      </w:tr>
      <w:tr w14:paraId="3133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shd w:val="clear" w:color="auto" w:fill="auto"/>
            <w:vAlign w:val="center"/>
          </w:tcPr>
          <w:p w14:paraId="7F252460">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951" w:type="pct"/>
            <w:shd w:val="clear" w:color="auto" w:fill="auto"/>
            <w:vAlign w:val="center"/>
          </w:tcPr>
          <w:p w14:paraId="1F8FC7A3">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北海市外国语实验学校安保服务</w:t>
            </w:r>
          </w:p>
        </w:tc>
        <w:tc>
          <w:tcPr>
            <w:tcW w:w="3707" w:type="pct"/>
            <w:vMerge w:val="continue"/>
            <w:vAlign w:val="center"/>
          </w:tcPr>
          <w:p w14:paraId="3BD45812">
            <w:pPr>
              <w:adjustRightInd/>
              <w:spacing w:line="500" w:lineRule="exact"/>
              <w:ind w:firstLine="480" w:firstLineChars="200"/>
              <w:rPr>
                <w:rFonts w:hint="eastAsia" w:ascii="宋体" w:hAnsi="宋体" w:eastAsia="宋体" w:cs="宋体"/>
                <w:color w:val="auto"/>
                <w:sz w:val="24"/>
                <w:szCs w:val="20"/>
                <w:highlight w:val="none"/>
              </w:rPr>
            </w:pPr>
          </w:p>
        </w:tc>
      </w:tr>
      <w:tr w14:paraId="3327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shd w:val="clear" w:color="auto" w:fill="auto"/>
            <w:vAlign w:val="center"/>
          </w:tcPr>
          <w:p w14:paraId="6994F9E0">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951" w:type="pct"/>
            <w:shd w:val="clear" w:color="auto" w:fill="auto"/>
            <w:vAlign w:val="center"/>
          </w:tcPr>
          <w:p w14:paraId="51E110A4">
            <w:pPr>
              <w:wordWrap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北海市卫生学校安保服务</w:t>
            </w:r>
          </w:p>
        </w:tc>
        <w:tc>
          <w:tcPr>
            <w:tcW w:w="3707" w:type="pct"/>
            <w:shd w:val="clear" w:color="auto" w:fill="auto"/>
            <w:vAlign w:val="center"/>
          </w:tcPr>
          <w:p w14:paraId="50E31AC4">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一、服务范围和内容</w:t>
            </w:r>
          </w:p>
          <w:p w14:paraId="7D82B822">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w:t>
            </w:r>
          </w:p>
          <w:p w14:paraId="3EFB6A74">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为派驻学校校园全域提供安保服务，负责校园门卫管理和校园防火、防盗、治安巡逻等，落实校园安全管理。</w:t>
            </w:r>
          </w:p>
          <w:p w14:paraId="4177B32D">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380D713E">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校园门卫管理和校园防火、防盗、治安巡逻等一切校园安全管理，保护学校师生人身和财产安全，维护校园秩序，维护校园稳定，以及校园周边可能影响学校安全、可能对在校学生、教职员工产生安全隐患的区域，同时对发生在服务区域内的刑事案件、治安案件、治安火灾事故第一时间采取制止和组织扑救措施，并及时报告服务学校领导和报警，同时采取措施保护现场。</w:t>
            </w:r>
          </w:p>
          <w:p w14:paraId="5C26C3F8">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0B08CA3E">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（一）总体服务要求</w:t>
            </w:r>
          </w:p>
          <w:p w14:paraId="58DEFB9F">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1．服务用工人数不少于20人，保安必须持保安证上岗。</w:t>
            </w:r>
          </w:p>
          <w:p w14:paraId="186AB9D4">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必须为所有上岗人员购买社会保险及人身意外保险。</w:t>
            </w:r>
          </w:p>
          <w:p w14:paraId="52DEC4A2">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3．上岗人员在工作期间发生员工工伤及意外伤害事故以及涉及用工方面的劳务纠纷和劳动事故全部由</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承担责任。</w:t>
            </w:r>
          </w:p>
          <w:p w14:paraId="49F01E72">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4．服务费涵盖基本工资、社会保险、物业管理费、税费等费用。</w:t>
            </w:r>
          </w:p>
          <w:p w14:paraId="33D390D7">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必须每月按时足额发放员工工资，不得以任何理由拖欠员工工资，确保及时足额支付。</w:t>
            </w:r>
          </w:p>
          <w:p w14:paraId="7D3B8D1C">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需有安保管理方案，质量管理、档案管理等制度。</w:t>
            </w:r>
          </w:p>
          <w:p w14:paraId="52E7E4B6">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7．管理服务人员统一着装，行为规范，服务主动热情。</w:t>
            </w:r>
          </w:p>
          <w:p w14:paraId="23D5630C">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每季度接受采购人服务质量考核，考核由采购人或派驻校方采取日常巡查、随机抽查、专项检查相结合的方式进行。服务费以考核得分等级支付，支付比例如下：得分≥90分：支付当季应付服务费的100%；80分≤得分&lt;90分：支付当季应付服务费的95%；70分≤得分&lt;80分：支付当季应付服务费的90%；得分&lt;70分：付当季应付服务费的85%。得分低于70分或连续两季度低于80分，采购人或派驻校方有权发出警告，要求限期整改，未能完成整改的采购人有权终止合同。</w:t>
            </w:r>
          </w:p>
          <w:p w14:paraId="07E7215B">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（二）具体工作要求</w:t>
            </w:r>
          </w:p>
          <w:p w14:paraId="2577089F">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1．岗位配置及时间安排</w:t>
            </w:r>
          </w:p>
          <w:p w14:paraId="7E82DBCA">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（1）岗位设置</w:t>
            </w:r>
          </w:p>
          <w:p w14:paraId="0450A80F">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① 保安员数量：队长1人，保安员19人；</w:t>
            </w:r>
          </w:p>
          <w:p w14:paraId="0644EBF5">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② 学校大门24小时值班岗，至少4人在岗，为双通道（22点至次日6点关闭入口，改为单通道）；</w:t>
            </w:r>
          </w:p>
          <w:p w14:paraId="632BA64A">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③ 监控室24小时值班岗，为单人岗；</w:t>
            </w:r>
          </w:p>
          <w:p w14:paraId="33620AD9">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③ 校区24小时巡逻岗，至少2人在岗；巡逻岗承担校园部分楼宇开关门任务</w:t>
            </w:r>
          </w:p>
          <w:p w14:paraId="5BB71C33">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2"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注：如所服务单位有特殊要求，具体安排由相关单位自行安排。</w:t>
            </w:r>
          </w:p>
          <w:p w14:paraId="050B3EC5">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（2）岗位时间安排</w:t>
            </w:r>
          </w:p>
          <w:p w14:paraId="00DDE93C">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（1）安保人员：每天24小时四班三运转。</w:t>
            </w:r>
          </w:p>
          <w:p w14:paraId="3D896033">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必须按各个岗位不同时段的人员数量和岗位要求，配备保安力量，并保证实际到岗。</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在组织、安排保安工作时，应符合国家相关法规，维护保安人员的正当权益。</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对其用工行为承担一切法律责任。</w:t>
            </w:r>
          </w:p>
          <w:p w14:paraId="593A24CF">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 安保服务主要内容</w:t>
            </w:r>
          </w:p>
          <w:p w14:paraId="699CAE89">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依照学校规定与管理要求，结合学校安全保卫工作实际情况，制订切实可行的安全保卫工作整体方案，开展专业化安保业务，具体服务工作内容如下：</w:t>
            </w:r>
          </w:p>
          <w:p w14:paraId="5F54B11C">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（1）24小时全面负责校区（包括所有建筑物、公共场所）的治安防范工作。作为专业服务企业，</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应能够结合校园的具体情况制定和完善安全防范方案、管理方案，并有能力组织实施；</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必须按要求合理配置安保岗位和安保人员，明确岗位职责，抓好队伍管理和建设，采取人防、物防、技防措施，维护好校园治安秩序，全方位确保校园安全有序的教学科研、管理和学习生活环境。</w:t>
            </w:r>
          </w:p>
          <w:p w14:paraId="0A502036">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（2）全面负责门卫管理，对校区日常开放的门岗实行门卫管理，负责对外来机动车辆、外来人员、出入校园物品进行检查登记等门卫值勤工作。</w:t>
            </w:r>
          </w:p>
          <w:p w14:paraId="25063040">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（3）全面负责校区内安全重点部位的防破坏、防事故、防盗、防外来人员私自进入等守护守卫工作。</w:t>
            </w:r>
          </w:p>
          <w:p w14:paraId="6394CDF6">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（4）全面负责校区的治安巡逻，及时发现各类安全隐患，制止校园不文明举止，发现和制止校园暴力事件，随时准备提供紧急救助。</w:t>
            </w:r>
          </w:p>
          <w:p w14:paraId="2B9FAB9D">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严格执行学校安全保卫制度、消防规章制度，负责做好学校安全、保卫、消防等工作。校园公共部位安全隐患检查、排除；定时巡检测试消防监控等设施设备，填写记录，发现问题时，应准确判断，及时上报。</w:t>
            </w:r>
          </w:p>
          <w:p w14:paraId="18E807B1">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（6）在保卫科的组织领导下，协同做好校园内部治安综合治理工作，负责做好校园交通管理工作，做好校区内的综合治理工作。</w:t>
            </w:r>
          </w:p>
          <w:p w14:paraId="096B532D">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（7）协助做好学校重大活动安全保卫工作；负责学校各种大型活动的治安、交通秩序维护和消防等安全工作。遇到学校重大活动、临时性活动或突发性事件时，随时增添人员并听从学校统一安排和调遣。</w:t>
            </w:r>
          </w:p>
          <w:p w14:paraId="055100F8">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（8）配合保卫科执行各项管理制度，维护校园内教学、交通、生活秩序，执行率100%；接受保卫科的监督检查、考核及业务指导。</w:t>
            </w:r>
          </w:p>
          <w:p w14:paraId="722799DF">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安全监控值班：认真填写值班记录，要熟悉消防报警及监控录相设备的基本功能，做到会操作使用、会排除一般故障，具有相关技能与水平；服从学校综治部门管理，及时报告情况，做好各种突发事件的预防和处理工作。</w:t>
            </w:r>
          </w:p>
          <w:p w14:paraId="7C7FF1D8">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highlight w:val="none"/>
                <w:lang w:val="en-US" w:eastAsia="zh-CN"/>
              </w:rPr>
              <w:t>其它属于保安服务范围内的工作以及学校临时交办的任务。</w:t>
            </w:r>
          </w:p>
          <w:p w14:paraId="5933D022">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 服务工作质量目标要求</w:t>
            </w:r>
          </w:p>
          <w:p w14:paraId="05C29296">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（1）依照行业标准，根据学校管理规定与服务要求，制订切实可行的校园保安服务整体方案和应急预案，突发事件反应迅速，预案处置有力。</w:t>
            </w:r>
          </w:p>
          <w:p w14:paraId="5A871579">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（2）依法办事，文明执勤，严格管理，保障学校财产和师生人身权益不受侵害，维护正常的教学、科研、生活秩序。</w:t>
            </w:r>
          </w:p>
          <w:p w14:paraId="2DF4026A">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（3）全年无责任事故和责任案件发生，师生有安全感，对校园保安服务满意率达85%以上。</w:t>
            </w:r>
          </w:p>
          <w:p w14:paraId="356FF7D7">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 服务工作标准</w:t>
            </w:r>
          </w:p>
          <w:p w14:paraId="675B2D0C">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（1）自行配备门卫值勤、安全巡逻所需的器材、通讯设备和交通工具等。</w:t>
            </w:r>
          </w:p>
          <w:p w14:paraId="74D7D327">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派驻学校的保安人员应持有保安员证，按治安管理要求，派驻学校的保安人员应持身份证、正规医院健康证明、无犯罪记录证明到学校保卫科填写“保安员备案表”，如有人员变动应及时到保卫科登记备案。值班、巡逻人员值班表每月提前报送保卫科。</w:t>
            </w:r>
          </w:p>
          <w:p w14:paraId="59419B3C">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（3）负责校区的门卫工作，按照学校的制度及其他有关规定，认真管理好进出校园的人员、车辆和物资等。</w:t>
            </w:r>
          </w:p>
          <w:p w14:paraId="2EE09573">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（4）学校遇有重大活动或全校性的考试需要增配、抽调人员协助时，应无偿按照校方要求执行，工作时应统一服装及标志。</w:t>
            </w:r>
          </w:p>
          <w:p w14:paraId="25FC1FC3">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（5）坚持文明执勤、文明上岗。上岗人员要仪表整洁卫生，站岗姿势要端正规范，指挥车辆动作要准确、标准，执勤语言要文明。</w:t>
            </w:r>
          </w:p>
          <w:p w14:paraId="0F4EC4B5">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（6）积极主动协调处理校内治安，消防等方面的突发事件，迅速排除各种险情，及时制止违法犯罪行为，及时向保卫科报告各类案件、事故及其他重大问题和重要情况，做好校园110接处警工作。</w:t>
            </w:r>
          </w:p>
          <w:p w14:paraId="432BB36C">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要建立文明值班室。值班场所做到整洁、卫生、有序，负责门前三包：“包安全、包卫生、包秩序”；上岗人员做到“六不”：不擅离岗位，不打瞌睡，不闲聊嬉闹，不打牌下棋，不聚众喝酒，不干私活会客。</w:t>
            </w:r>
          </w:p>
          <w:p w14:paraId="281A0934">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 队伍建设与管理要求</w:t>
            </w:r>
          </w:p>
          <w:p w14:paraId="38C83AE8">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（1）供应商必须持有保安服务许可资质证书，相应岗位人员应持有对应资格证书。</w:t>
            </w:r>
          </w:p>
          <w:p w14:paraId="6D97F792">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（2）从学校安全实际出发，经常性开展在岗人员业务培训和紧急预案演练。</w:t>
            </w:r>
          </w:p>
          <w:p w14:paraId="6F8FF878">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（3）内部管理体制健全，设管理人员1名，全面负责日常保安队伍规范化管理，对保安人员的日常思想、工作、生活进行管理和领导，处理好保安队伍内部事务。</w:t>
            </w:r>
          </w:p>
          <w:p w14:paraId="32D2AE99">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（4）保持保安队伍的稳定，严格控制保安人员轮换岗比例，如有必要需更换保安人员的，应提前告知保卫科，确保服务质量不因人员变动而受影响。</w:t>
            </w:r>
          </w:p>
          <w:p w14:paraId="56823635">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（5）保安人员应聘、录用、离职等管理档案规范，手续齐全，相应资料必须报保卫科备案，禁止离职人员和 “问题保安”、“黑保安”进入校园。</w:t>
            </w:r>
          </w:p>
          <w:p w14:paraId="734C928D">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 人员素质要求</w:t>
            </w:r>
          </w:p>
          <w:p w14:paraId="45F15562">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（1）派驻学校的保安人员应知法、懂法、守法、依法办事，必须严格遵守保安从业规范，模范遵守校园安全管理规定。</w:t>
            </w:r>
          </w:p>
          <w:p w14:paraId="20AC233E">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（2）管理人员应具备高中以上学历，有较高的政治思想素养和业务水平，有较强的组织协调能力，受过专门的保安业务培训。</w:t>
            </w:r>
          </w:p>
          <w:p w14:paraId="2BA6CC71">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派驻学校的保安人员应具备的个人素质条件：原则上为男性，具有初中及以上文化程度，退伍军人为佳，年龄在35至55周岁之间，身体健康，视力正常，无传染病、心血管疾病及精神等不能控制自己行为能力的疾病病史，体貌端正，无被刑事处罚、劳动教养、收容教育、强制隔离戒毒或者被开除公职、开除军籍等不良记录，无犯罪记录，曾受过刑事及治安处罚的人员不得录用派驻。</w:t>
            </w:r>
          </w:p>
          <w:p w14:paraId="0469A426">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（4）派驻学校的保安人员有高度的责任感和吃苦耐劳的精神，应受过岗前专业培训，熟知学校的管理规定，恪尽职守，善于发现各类问题，具备一定的管理经验和处理突发事件能力。</w:t>
            </w:r>
          </w:p>
          <w:p w14:paraId="17140E7A">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7. 工作衔接要求</w:t>
            </w:r>
          </w:p>
          <w:p w14:paraId="7EDEA758">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（1）根据行业服务标准与学校规定要求，独立运作，落实校园安全保卫整体方案，并结合校园实际在实践中不断完善。</w:t>
            </w:r>
          </w:p>
          <w:p w14:paraId="51A775A3">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（2）在校园现有保安人员自愿前提下，采购人同意接收现有保安，并与之签订用工合同，规范管理，保持平稳过渡。</w:t>
            </w:r>
          </w:p>
          <w:p w14:paraId="3CFA7E10">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（3）管理人员须与保卫科保持必要的工作交流，每星期一次向保卫科口头汇报所承担的保安工作开展情况及信息反馈，重大情况须及时报告。</w:t>
            </w:r>
          </w:p>
          <w:p w14:paraId="714A72C8">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（4）做好详细的执勤记录，原始台帐保存完好，以备学校核查。</w:t>
            </w:r>
          </w:p>
          <w:p w14:paraId="0C884FEF">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（5）协同学校治安协防组织，形成群防群治体系。</w:t>
            </w:r>
          </w:p>
          <w:p w14:paraId="19E40E77">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（6）与宿管员协作，内外联动，开展一体化安全防范。</w:t>
            </w:r>
          </w:p>
          <w:p w14:paraId="68FFF78C">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（7）与当地派出所、综治办加强合作与交流。</w:t>
            </w:r>
          </w:p>
          <w:p w14:paraId="3AA7D818">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 岗位工作职责要求</w:t>
            </w:r>
          </w:p>
          <w:p w14:paraId="348015FE">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理人员：代表公司全面负责保安队伍的日常管理事务，严格队伍纪律管理，奖优罚劣；承担保安违规违纪连带责任；实行人性化管理，关心队员的思想动态，充分调动队员积极性，努力保证队伍稳定；传达落实学校的服务要求与管理规定，组织实施并不断完善校园安全保卫整体方案；结合学校发展实际情况，适时做出岗位调整，完善各岗位职责；定期向保卫处汇报工作开展情况及治安信息，重大情况随时报告；配合学校处理校区内违规事件；组织开展保安业务培训和预案演练，制定校园内重大活动的安全保卫方案；建立健全录用保安人员档案资料。负责安排保安的日常工作，督促检查在岗人员履行岗位职责情况，纠正队员违规违纪行为，日常管理不流于形式，形成良好风气，妥善保管好学校提供的设备器材，严格交接班制度。</w:t>
            </w:r>
          </w:p>
          <w:p w14:paraId="0737194B">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门卫管理：严格人员、车辆、物资进出管理；按时立岗，礼貌待人，树立良好的窗口形象；对来访人员实行验证登记制度，禁止闲杂人员混入校园；对携物出门实行出门证验审制度，防止财物流失；对外单位车辆实行换证入校制度；维护责任区域秩序，与各岗位互通信息；值班室无闲杂人员滞留，保持内外环境整洁卫生和门前三包；完成学校交办的其他事项。</w:t>
            </w:r>
          </w:p>
          <w:p w14:paraId="5F9986FF">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机动巡逻：发现和排除各种不安全因素，及时处置各种违法犯罪行为；听从队长的工作安排与指挥调度，善于发现、分析处理各种事故隐患和突发事件；根据不同情况，灵活执行巡逻方案；加强对重点区域、要害部位的安全巡查，巡更踩点不流于形式，并与监控室保持联动；协助各岗位开展校园秩序维护和交通秩序管理工作；协助宿管物业及责任部门开展安全防范并如实记录汇报巡逻记录。通过门卫卡口管理、区域守护与机动巡逻，形成校园安全防范网络；保障校区内正常的学习、生活、教学、科研、工作秩序；禁止小商、小贩、盲流人员进入校园；禁止在校园内乱设摊点；加强校园内部交通秩序管理，通过主动干预提示，控制车辆速度，禁止无牌照车辆进入校园，保障大门及校内道路畅通，无交通事故发生，无车辆乱停乱放现象；按校方规定对悬挂横幅进行管理，及时清理校园内乱贴物，发现反动标语、非法和不良宣传物等及时报告保卫科。</w:t>
            </w:r>
          </w:p>
          <w:p w14:paraId="689FC170">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9. 安保人员行为规范要求</w:t>
            </w:r>
          </w:p>
          <w:p w14:paraId="06662233">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（1）职业道德要求 </w:t>
            </w:r>
          </w:p>
          <w:p w14:paraId="40A5187B">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 敬业爱岗：勤奋敬业，积极肯干，热爱本职岗位，乐于为本职工作奉献。</w:t>
            </w:r>
          </w:p>
          <w:p w14:paraId="4EE408FE">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 遵守纪律：认真遵守国家政策、法规、法令，遵守公司规章制度和劳动纪律。</w:t>
            </w:r>
          </w:p>
          <w:p w14:paraId="62867F7D">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认真学习：努力学习科学文化知识，不断提高业务技术水平，努力提高服务质量。</w:t>
            </w:r>
          </w:p>
          <w:p w14:paraId="304AFCB1">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 公私分明：爱护公物，不谋私利，自觉地维护公司的利益和声誉。</w:t>
            </w:r>
          </w:p>
          <w:p w14:paraId="1ED15C1D">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 勤俭节约：具有良好的节约意识，勤俭节约。</w:t>
            </w:r>
          </w:p>
          <w:p w14:paraId="5334B2A2">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⑥ 团结合作：严于律己，宽以待人，正确处理好个人与集体、同事的关系，具有良好的协作精神，易与他人相处。</w:t>
            </w:r>
          </w:p>
          <w:p w14:paraId="0F8379F3">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⑦ 严守秘密：未经批准，不向外界传播或提供有关学校的任何资料。</w:t>
            </w:r>
          </w:p>
          <w:p w14:paraId="7E06F372">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（2）服务意识要求  </w:t>
            </w:r>
          </w:p>
          <w:p w14:paraId="68D03228">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 文明礼貌：做到语言规范，谈吐文雅，衣冠整洁，举止端庄。</w:t>
            </w:r>
          </w:p>
          <w:p w14:paraId="46EAE03C">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 主动热情：以真诚的笑容，主动热情地为师生服务，主动了解师生的需要，努力为师生排忧解难。</w:t>
            </w:r>
          </w:p>
          <w:p w14:paraId="07D5482B">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耐心周到：员工在对师生的服务中要耐心周到，问多不厌，事多不烦，虚心听取师生意见，耐心解答师生问题，服务体贴入微，有求必应，面面俱到，尽善尽美。</w:t>
            </w:r>
          </w:p>
          <w:p w14:paraId="0667856C">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（3）仪容仪表要求 </w:t>
            </w:r>
          </w:p>
          <w:p w14:paraId="01D4A2CD">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① 所有安保人员，在值班过程中，保持衣冠整洁，按规定要求着装（包括：着制服、扎腰带，戴钢盔等），将工作卡端正地佩戴在左胸前。 </w:t>
            </w:r>
          </w:p>
          <w:p w14:paraId="0EB1E226">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② 工作场所不得穿短裤、背心、拖鞋。 </w:t>
            </w:r>
          </w:p>
          <w:p w14:paraId="048891B7">
            <w:pPr>
              <w:pStyle w:val="25"/>
              <w:keepNext w:val="0"/>
              <w:keepLines w:val="0"/>
              <w:pageBreakBefore w:val="0"/>
              <w:widowControl w:val="0"/>
              <w:kinsoku/>
              <w:overflowPunct/>
              <w:topLinePunct w:val="0"/>
              <w:autoSpaceDE/>
              <w:autoSpaceDN/>
              <w:bidi w:val="0"/>
              <w:snapToGrid/>
              <w:spacing w:line="500" w:lineRule="exact"/>
              <w:ind w:left="0" w:leftChars="0" w:right="-48" w:rightChars="-23"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男员工头发不盖耳朵、不遮衣领，每天剃须，保持指甲清洁，不留长指甲，扣好衣扣裤扣，紧束领带（大箭头垂到皮带扣处为准），衬衣下摆放进裤内。</w:t>
            </w:r>
          </w:p>
          <w:p w14:paraId="09D98906">
            <w:pPr>
              <w:adjustRightInd/>
              <w:spacing w:line="500" w:lineRule="exact"/>
              <w:ind w:right="-48" w:rightChars="-23" w:firstLine="420" w:firstLineChars="200"/>
              <w:rPr>
                <w:rFonts w:hint="eastAsia" w:ascii="宋体" w:hAnsi="宋体" w:eastAsia="宋体" w:cs="宋体"/>
                <w:color w:val="auto"/>
                <w:sz w:val="24"/>
                <w:szCs w:val="20"/>
                <w:highlight w:val="none"/>
              </w:rPr>
            </w:pPr>
            <w:r>
              <w:rPr>
                <w:rFonts w:hint="eastAsia" w:ascii="宋体" w:hAnsi="宋体" w:eastAsia="宋体" w:cs="宋体"/>
                <w:color w:val="auto"/>
                <w:highlight w:val="none"/>
                <w:lang w:val="en-US" w:eastAsia="zh-CN"/>
              </w:rPr>
              <w:t>④ 女员工头发不过肩，不做怪异发型，不留长指甲，不染指甲，不浓妆艳抹，不穿黑色或带花丝袜</w:t>
            </w:r>
          </w:p>
        </w:tc>
      </w:tr>
    </w:tbl>
    <w:p w14:paraId="3750901E">
      <w:pPr>
        <w:pStyle w:val="84"/>
        <w:rPr>
          <w:rFonts w:hint="eastAsia"/>
          <w:color w:val="auto"/>
          <w:highlight w:val="none"/>
        </w:rPr>
      </w:pPr>
    </w:p>
    <w:p w14:paraId="1E5C2F33">
      <w:pPr>
        <w:bidi w:val="0"/>
        <w:ind w:left="0" w:leftChars="0" w:firstLine="0" w:firstLineChars="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附表：</w:t>
      </w:r>
    </w:p>
    <w:p w14:paraId="7983F857">
      <w:pPr>
        <w:bidi w:val="0"/>
        <w:ind w:left="0" w:leftChars="0" w:firstLine="0" w:firstLineChars="0"/>
        <w:jc w:val="cente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人员需求表</w:t>
      </w:r>
    </w:p>
    <w:tbl>
      <w:tblPr>
        <w:tblStyle w:val="6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3205"/>
        <w:gridCol w:w="1748"/>
        <w:gridCol w:w="1273"/>
        <w:gridCol w:w="1427"/>
        <w:gridCol w:w="1427"/>
      </w:tblGrid>
      <w:tr w14:paraId="1550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vAlign w:val="center"/>
          </w:tcPr>
          <w:p w14:paraId="076A8C4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序号</w:t>
            </w:r>
          </w:p>
        </w:tc>
        <w:tc>
          <w:tcPr>
            <w:tcW w:w="1626" w:type="pct"/>
            <w:vAlign w:val="center"/>
          </w:tcPr>
          <w:p w14:paraId="563AA9C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学校</w:t>
            </w:r>
          </w:p>
        </w:tc>
        <w:tc>
          <w:tcPr>
            <w:tcW w:w="887" w:type="pct"/>
            <w:vAlign w:val="center"/>
          </w:tcPr>
          <w:p w14:paraId="2DA6DBD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人员类别</w:t>
            </w:r>
          </w:p>
        </w:tc>
        <w:tc>
          <w:tcPr>
            <w:tcW w:w="646" w:type="pct"/>
            <w:vAlign w:val="center"/>
          </w:tcPr>
          <w:p w14:paraId="04F8949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配备人数</w:t>
            </w:r>
          </w:p>
        </w:tc>
        <w:tc>
          <w:tcPr>
            <w:tcW w:w="724" w:type="pct"/>
            <w:vAlign w:val="center"/>
          </w:tcPr>
          <w:p w14:paraId="09580C6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投标最高限价</w:t>
            </w:r>
          </w:p>
          <w:p w14:paraId="48C06BF3">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（万元）</w:t>
            </w:r>
          </w:p>
        </w:tc>
        <w:tc>
          <w:tcPr>
            <w:tcW w:w="724" w:type="pct"/>
            <w:vAlign w:val="center"/>
          </w:tcPr>
          <w:p w14:paraId="046A49A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备注</w:t>
            </w:r>
          </w:p>
        </w:tc>
      </w:tr>
      <w:tr w14:paraId="64DF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vMerge w:val="restart"/>
            <w:vAlign w:val="center"/>
          </w:tcPr>
          <w:p w14:paraId="0E3B46D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626" w:type="pct"/>
            <w:vMerge w:val="restart"/>
            <w:vAlign w:val="center"/>
          </w:tcPr>
          <w:p w14:paraId="69FF9A9E">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北海市机关幼儿园（北海市涠洲岛幼儿园）</w:t>
            </w:r>
          </w:p>
        </w:tc>
        <w:tc>
          <w:tcPr>
            <w:tcW w:w="887" w:type="pct"/>
            <w:vAlign w:val="center"/>
          </w:tcPr>
          <w:p w14:paraId="4966B24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646" w:type="pct"/>
            <w:vAlign w:val="center"/>
          </w:tcPr>
          <w:p w14:paraId="320A71D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w:t>
            </w:r>
          </w:p>
        </w:tc>
        <w:tc>
          <w:tcPr>
            <w:tcW w:w="724" w:type="pct"/>
            <w:vMerge w:val="restart"/>
            <w:vAlign w:val="center"/>
          </w:tcPr>
          <w:p w14:paraId="45B56A7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94.74</w:t>
            </w:r>
          </w:p>
        </w:tc>
        <w:tc>
          <w:tcPr>
            <w:tcW w:w="724" w:type="pct"/>
            <w:vMerge w:val="restart"/>
            <w:vAlign w:val="center"/>
          </w:tcPr>
          <w:p w14:paraId="16623DC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6AA4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vMerge w:val="continue"/>
            <w:vAlign w:val="center"/>
          </w:tcPr>
          <w:p w14:paraId="0BF28D2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626" w:type="pct"/>
            <w:vMerge w:val="continue"/>
            <w:vAlign w:val="center"/>
          </w:tcPr>
          <w:p w14:paraId="775C2A0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887" w:type="pct"/>
            <w:vAlign w:val="center"/>
          </w:tcPr>
          <w:p w14:paraId="491F516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保安兼消防设施操作员</w:t>
            </w:r>
          </w:p>
        </w:tc>
        <w:tc>
          <w:tcPr>
            <w:tcW w:w="646" w:type="pct"/>
            <w:vAlign w:val="center"/>
          </w:tcPr>
          <w:p w14:paraId="2FCCC2B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724" w:type="pct"/>
            <w:vMerge w:val="continue"/>
            <w:vAlign w:val="center"/>
          </w:tcPr>
          <w:p w14:paraId="5C0BE3C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724" w:type="pct"/>
            <w:vMerge w:val="continue"/>
            <w:vAlign w:val="center"/>
          </w:tcPr>
          <w:p w14:paraId="6425DCE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1E3E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91" w:type="pct"/>
            <w:vMerge w:val="restart"/>
            <w:vAlign w:val="center"/>
          </w:tcPr>
          <w:p w14:paraId="7333C06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1626" w:type="pct"/>
            <w:vMerge w:val="restart"/>
            <w:vAlign w:val="center"/>
          </w:tcPr>
          <w:p w14:paraId="09AF1A2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北海市政府机关幼儿园</w:t>
            </w:r>
          </w:p>
        </w:tc>
        <w:tc>
          <w:tcPr>
            <w:tcW w:w="887" w:type="pct"/>
            <w:shd w:val="clear" w:color="auto" w:fill="auto"/>
            <w:vAlign w:val="center"/>
          </w:tcPr>
          <w:p w14:paraId="2F66D8D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保安</w:t>
            </w:r>
          </w:p>
        </w:tc>
        <w:tc>
          <w:tcPr>
            <w:tcW w:w="646" w:type="pct"/>
            <w:vAlign w:val="center"/>
          </w:tcPr>
          <w:p w14:paraId="6CE35AD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724" w:type="pct"/>
            <w:vMerge w:val="restart"/>
            <w:vAlign w:val="center"/>
          </w:tcPr>
          <w:p w14:paraId="362E0DD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49.46</w:t>
            </w:r>
          </w:p>
        </w:tc>
        <w:tc>
          <w:tcPr>
            <w:tcW w:w="724" w:type="pct"/>
            <w:vMerge w:val="restart"/>
            <w:vAlign w:val="center"/>
          </w:tcPr>
          <w:p w14:paraId="30AF7A2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259F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1" w:type="pct"/>
            <w:vMerge w:val="continue"/>
            <w:vAlign w:val="center"/>
          </w:tcPr>
          <w:p w14:paraId="152D7BB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626" w:type="pct"/>
            <w:vMerge w:val="continue"/>
            <w:vAlign w:val="center"/>
          </w:tcPr>
          <w:p w14:paraId="4B9D705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c>
          <w:tcPr>
            <w:tcW w:w="887" w:type="pct"/>
            <w:shd w:val="clear" w:color="auto" w:fill="auto"/>
            <w:vAlign w:val="center"/>
          </w:tcPr>
          <w:p w14:paraId="359A0ED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保安兼消防设施操作员</w:t>
            </w:r>
          </w:p>
        </w:tc>
        <w:tc>
          <w:tcPr>
            <w:tcW w:w="646" w:type="pct"/>
            <w:vAlign w:val="center"/>
          </w:tcPr>
          <w:p w14:paraId="34A6DA1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724" w:type="pct"/>
            <w:vMerge w:val="continue"/>
            <w:vAlign w:val="center"/>
          </w:tcPr>
          <w:p w14:paraId="13975D8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724" w:type="pct"/>
            <w:vMerge w:val="continue"/>
            <w:vAlign w:val="center"/>
          </w:tcPr>
          <w:p w14:paraId="48E13C1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4E1A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vAlign w:val="center"/>
          </w:tcPr>
          <w:p w14:paraId="36BB1C1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1626" w:type="pct"/>
            <w:vAlign w:val="center"/>
          </w:tcPr>
          <w:p w14:paraId="1A33789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北海市第七幼儿园</w:t>
            </w:r>
          </w:p>
        </w:tc>
        <w:tc>
          <w:tcPr>
            <w:tcW w:w="887" w:type="pct"/>
            <w:vAlign w:val="center"/>
          </w:tcPr>
          <w:p w14:paraId="10CAB0D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646" w:type="pct"/>
            <w:vAlign w:val="center"/>
          </w:tcPr>
          <w:p w14:paraId="69AB52E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724" w:type="pct"/>
            <w:vAlign w:val="center"/>
          </w:tcPr>
          <w:p w14:paraId="088D501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val="0"/>
                <w:bCs/>
                <w:color w:val="auto"/>
                <w:sz w:val="21"/>
                <w:szCs w:val="21"/>
                <w:highlight w:val="none"/>
                <w:lang w:val="en-US" w:eastAsia="zh-CN"/>
              </w:rPr>
              <w:t>45.28</w:t>
            </w:r>
          </w:p>
        </w:tc>
        <w:tc>
          <w:tcPr>
            <w:tcW w:w="724" w:type="pct"/>
            <w:vAlign w:val="center"/>
          </w:tcPr>
          <w:p w14:paraId="0070D7A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115E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vAlign w:val="center"/>
          </w:tcPr>
          <w:p w14:paraId="15F08E9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w:t>
            </w:r>
          </w:p>
        </w:tc>
        <w:tc>
          <w:tcPr>
            <w:tcW w:w="1626" w:type="pct"/>
            <w:vAlign w:val="center"/>
          </w:tcPr>
          <w:p w14:paraId="6FBDDDD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北海市北海中学</w:t>
            </w:r>
          </w:p>
        </w:tc>
        <w:tc>
          <w:tcPr>
            <w:tcW w:w="887" w:type="pct"/>
            <w:vAlign w:val="center"/>
          </w:tcPr>
          <w:p w14:paraId="2D48EFC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646" w:type="pct"/>
            <w:vAlign w:val="center"/>
          </w:tcPr>
          <w:p w14:paraId="2425EE9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19</w:t>
            </w:r>
          </w:p>
        </w:tc>
        <w:tc>
          <w:tcPr>
            <w:tcW w:w="724" w:type="pct"/>
            <w:vAlign w:val="center"/>
          </w:tcPr>
          <w:p w14:paraId="65A8A1F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val="0"/>
                <w:bCs/>
                <w:color w:val="auto"/>
                <w:sz w:val="21"/>
                <w:szCs w:val="21"/>
                <w:highlight w:val="none"/>
                <w:lang w:val="en-US" w:eastAsia="zh-CN"/>
              </w:rPr>
              <w:t>172.07</w:t>
            </w:r>
          </w:p>
        </w:tc>
        <w:tc>
          <w:tcPr>
            <w:tcW w:w="724" w:type="pct"/>
            <w:vAlign w:val="center"/>
          </w:tcPr>
          <w:p w14:paraId="071B061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54B9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vAlign w:val="center"/>
          </w:tcPr>
          <w:p w14:paraId="36E5890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1626" w:type="pct"/>
            <w:vAlign w:val="center"/>
          </w:tcPr>
          <w:p w14:paraId="39B3A03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北海市第十二中学</w:t>
            </w:r>
          </w:p>
        </w:tc>
        <w:tc>
          <w:tcPr>
            <w:tcW w:w="887" w:type="pct"/>
            <w:vAlign w:val="center"/>
          </w:tcPr>
          <w:p w14:paraId="094FF4D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646" w:type="pct"/>
            <w:vAlign w:val="center"/>
          </w:tcPr>
          <w:p w14:paraId="7082883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724" w:type="pct"/>
            <w:vAlign w:val="center"/>
          </w:tcPr>
          <w:p w14:paraId="0074829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val="0"/>
                <w:bCs/>
                <w:color w:val="auto"/>
                <w:sz w:val="21"/>
                <w:szCs w:val="21"/>
                <w:highlight w:val="none"/>
                <w:lang w:val="en-US" w:eastAsia="zh-CN"/>
              </w:rPr>
              <w:t>54.34</w:t>
            </w:r>
          </w:p>
        </w:tc>
        <w:tc>
          <w:tcPr>
            <w:tcW w:w="724" w:type="pct"/>
            <w:vAlign w:val="center"/>
          </w:tcPr>
          <w:p w14:paraId="6054B22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6163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vAlign w:val="center"/>
          </w:tcPr>
          <w:p w14:paraId="61F2054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1626" w:type="pct"/>
            <w:vAlign w:val="center"/>
          </w:tcPr>
          <w:p w14:paraId="710DC05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北海市第十三中学</w:t>
            </w:r>
          </w:p>
        </w:tc>
        <w:tc>
          <w:tcPr>
            <w:tcW w:w="887" w:type="pct"/>
            <w:vAlign w:val="center"/>
          </w:tcPr>
          <w:p w14:paraId="7D21D2C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646" w:type="pct"/>
            <w:vAlign w:val="center"/>
          </w:tcPr>
          <w:p w14:paraId="74E0F70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9</w:t>
            </w:r>
          </w:p>
        </w:tc>
        <w:tc>
          <w:tcPr>
            <w:tcW w:w="724" w:type="pct"/>
            <w:vAlign w:val="center"/>
          </w:tcPr>
          <w:p w14:paraId="5C303F9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val="0"/>
                <w:bCs/>
                <w:color w:val="auto"/>
                <w:sz w:val="21"/>
                <w:szCs w:val="21"/>
                <w:highlight w:val="none"/>
                <w:lang w:val="en-US" w:eastAsia="zh-CN"/>
              </w:rPr>
              <w:t>81.51</w:t>
            </w:r>
          </w:p>
        </w:tc>
        <w:tc>
          <w:tcPr>
            <w:tcW w:w="724" w:type="pct"/>
            <w:vAlign w:val="center"/>
          </w:tcPr>
          <w:p w14:paraId="100E83EE">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6E96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vAlign w:val="center"/>
          </w:tcPr>
          <w:p w14:paraId="36076B0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w:t>
            </w:r>
          </w:p>
        </w:tc>
        <w:tc>
          <w:tcPr>
            <w:tcW w:w="1626" w:type="pct"/>
            <w:vAlign w:val="center"/>
          </w:tcPr>
          <w:p w14:paraId="3E838B6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北海市外国语实验学校</w:t>
            </w:r>
          </w:p>
        </w:tc>
        <w:tc>
          <w:tcPr>
            <w:tcW w:w="887" w:type="pct"/>
            <w:vAlign w:val="center"/>
          </w:tcPr>
          <w:p w14:paraId="7587BCD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646" w:type="pct"/>
            <w:vAlign w:val="center"/>
          </w:tcPr>
          <w:p w14:paraId="50C1F5A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12</w:t>
            </w:r>
          </w:p>
        </w:tc>
        <w:tc>
          <w:tcPr>
            <w:tcW w:w="724" w:type="pct"/>
            <w:vAlign w:val="center"/>
          </w:tcPr>
          <w:p w14:paraId="5D3F525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val="0"/>
                <w:bCs/>
                <w:color w:val="auto"/>
                <w:sz w:val="21"/>
                <w:szCs w:val="21"/>
                <w:highlight w:val="none"/>
                <w:lang w:val="en-US" w:eastAsia="zh-CN"/>
              </w:rPr>
              <w:t>108.68</w:t>
            </w:r>
          </w:p>
        </w:tc>
        <w:tc>
          <w:tcPr>
            <w:tcW w:w="724" w:type="pct"/>
            <w:vAlign w:val="center"/>
          </w:tcPr>
          <w:p w14:paraId="44C5631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2A0E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1" w:type="pct"/>
            <w:vAlign w:val="center"/>
          </w:tcPr>
          <w:p w14:paraId="10FB0A5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w:t>
            </w:r>
          </w:p>
        </w:tc>
        <w:tc>
          <w:tcPr>
            <w:tcW w:w="1626" w:type="pct"/>
            <w:vAlign w:val="center"/>
          </w:tcPr>
          <w:p w14:paraId="0CC910E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北海市卫生学校</w:t>
            </w:r>
          </w:p>
        </w:tc>
        <w:tc>
          <w:tcPr>
            <w:tcW w:w="887" w:type="pct"/>
            <w:vAlign w:val="center"/>
          </w:tcPr>
          <w:p w14:paraId="1E0ACDC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646" w:type="pct"/>
            <w:vAlign w:val="center"/>
          </w:tcPr>
          <w:p w14:paraId="1D68988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20</w:t>
            </w:r>
          </w:p>
        </w:tc>
        <w:tc>
          <w:tcPr>
            <w:tcW w:w="724" w:type="pct"/>
            <w:vAlign w:val="center"/>
          </w:tcPr>
          <w:p w14:paraId="333B126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val="0"/>
                <w:bCs/>
                <w:color w:val="auto"/>
                <w:sz w:val="21"/>
                <w:szCs w:val="21"/>
                <w:highlight w:val="none"/>
                <w:lang w:val="en-US" w:eastAsia="zh-CN"/>
              </w:rPr>
              <w:t>127.96</w:t>
            </w:r>
          </w:p>
        </w:tc>
        <w:tc>
          <w:tcPr>
            <w:tcW w:w="724" w:type="pct"/>
            <w:vAlign w:val="center"/>
          </w:tcPr>
          <w:p w14:paraId="3F5C13A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2027年1月5日实施</w:t>
            </w:r>
          </w:p>
        </w:tc>
      </w:tr>
    </w:tbl>
    <w:p w14:paraId="289AAD0D">
      <w:pPr>
        <w:pStyle w:val="84"/>
        <w:rPr>
          <w:color w:val="auto"/>
          <w:highlight w:val="none"/>
        </w:rPr>
      </w:pPr>
    </w:p>
    <w:p w14:paraId="38EDF126">
      <w:pPr>
        <w:spacing w:line="440" w:lineRule="exact"/>
        <w:ind w:firstLine="420" w:firstLineChars="200"/>
        <w:jc w:val="left"/>
        <w:rPr>
          <w:rFonts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rPr>
        <w:t>（2）商务要求</w:t>
      </w:r>
    </w:p>
    <w:tbl>
      <w:tblPr>
        <w:tblStyle w:val="64"/>
        <w:tblW w:w="99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9"/>
        <w:gridCol w:w="7684"/>
      </w:tblGrid>
      <w:tr w14:paraId="5BADB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714912F6">
            <w:pPr>
              <w:spacing w:line="520" w:lineRule="exact"/>
              <w:jc w:val="center"/>
              <w:rPr>
                <w:color w:val="auto"/>
                <w:sz w:val="24"/>
                <w:highlight w:val="none"/>
              </w:rPr>
            </w:pPr>
            <w:r>
              <w:rPr>
                <w:rFonts w:hint="eastAsia"/>
                <w:color w:val="auto"/>
                <w:sz w:val="24"/>
                <w:highlight w:val="none"/>
              </w:rPr>
              <w:t>投标报价要求</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0C05F573">
            <w:pPr>
              <w:spacing w:line="520" w:lineRule="exact"/>
              <w:ind w:firstLine="480"/>
              <w:rPr>
                <w:color w:val="auto"/>
                <w:sz w:val="24"/>
                <w:highlight w:val="none"/>
              </w:rPr>
            </w:pPr>
            <w:r>
              <w:rPr>
                <w:rFonts w:hint="eastAsia"/>
                <w:color w:val="auto"/>
                <w:sz w:val="24"/>
                <w:highlight w:val="none"/>
              </w:rPr>
              <w:t>1.</w:t>
            </w:r>
            <w:r>
              <w:rPr>
                <w:color w:val="auto"/>
                <w:sz w:val="24"/>
                <w:highlight w:val="none"/>
              </w:rPr>
              <w:t>投标报价包含人员工资、培训、服装、奖金、五险、其他必要的保险等营业成本以及利润、物业管理服务中所发生的各项税收等费用。</w:t>
            </w:r>
          </w:p>
          <w:p w14:paraId="36874A6C">
            <w:pPr>
              <w:spacing w:line="520" w:lineRule="exact"/>
              <w:ind w:firstLine="480"/>
              <w:rPr>
                <w:color w:val="auto"/>
                <w:sz w:val="24"/>
                <w:highlight w:val="none"/>
              </w:rPr>
            </w:pPr>
            <w:r>
              <w:rPr>
                <w:rFonts w:hint="eastAsia"/>
                <w:color w:val="auto"/>
                <w:sz w:val="24"/>
                <w:highlight w:val="none"/>
                <w:lang w:val="en-US" w:eastAsia="zh-CN"/>
              </w:rPr>
              <w:t>2</w:t>
            </w:r>
            <w:r>
              <w:rPr>
                <w:color w:val="auto"/>
                <w:sz w:val="24"/>
                <w:highlight w:val="none"/>
              </w:rPr>
              <w:t>.供应商报价须列明各服务单位（各学校）的投入服务人数及报价</w:t>
            </w:r>
            <w:r>
              <w:rPr>
                <w:rFonts w:hint="eastAsia"/>
                <w:color w:val="auto"/>
                <w:sz w:val="24"/>
                <w:highlight w:val="none"/>
              </w:rPr>
              <w:t>。各学校的报价不得超过该</w:t>
            </w:r>
            <w:r>
              <w:rPr>
                <w:color w:val="auto"/>
                <w:sz w:val="24"/>
                <w:highlight w:val="none"/>
              </w:rPr>
              <w:t>服务单位</w:t>
            </w:r>
            <w:r>
              <w:rPr>
                <w:rFonts w:hint="eastAsia"/>
                <w:color w:val="auto"/>
                <w:sz w:val="24"/>
                <w:highlight w:val="none"/>
              </w:rPr>
              <w:t>的投标最高限价。</w:t>
            </w:r>
          </w:p>
        </w:tc>
      </w:tr>
      <w:tr w14:paraId="21BFE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28534869">
            <w:pPr>
              <w:spacing w:line="520" w:lineRule="exact"/>
              <w:jc w:val="center"/>
              <w:rPr>
                <w:color w:val="auto"/>
                <w:sz w:val="24"/>
                <w:highlight w:val="none"/>
              </w:rPr>
            </w:pPr>
            <w:r>
              <w:rPr>
                <w:color w:val="auto"/>
                <w:sz w:val="24"/>
                <w:highlight w:val="none"/>
              </w:rPr>
              <w:t>合同签订</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089C64EA">
            <w:pPr>
              <w:spacing w:line="520" w:lineRule="exact"/>
              <w:ind w:firstLine="480"/>
              <w:rPr>
                <w:color w:val="auto"/>
                <w:sz w:val="24"/>
                <w:highlight w:val="none"/>
              </w:rPr>
            </w:pPr>
            <w:r>
              <w:rPr>
                <w:color w:val="auto"/>
                <w:sz w:val="24"/>
                <w:highlight w:val="none"/>
              </w:rPr>
              <w:t>按照政府采购有关规定，由市教育局、服务单位与成交供应商公司三方签订合同，在合同中明确各自的权利、义务及责任，切实履行协议内容。中标人须接受采购人和服务单位（各学校）的共同管理</w:t>
            </w:r>
            <w:r>
              <w:rPr>
                <w:rFonts w:hint="eastAsia"/>
                <w:color w:val="auto"/>
                <w:sz w:val="24"/>
                <w:highlight w:val="none"/>
              </w:rPr>
              <w:t>。</w:t>
            </w:r>
          </w:p>
        </w:tc>
      </w:tr>
      <w:tr w14:paraId="49D46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0B3B35AA">
            <w:pPr>
              <w:spacing w:line="520" w:lineRule="exact"/>
              <w:jc w:val="center"/>
              <w:rPr>
                <w:color w:val="auto"/>
                <w:sz w:val="24"/>
                <w:highlight w:val="none"/>
              </w:rPr>
            </w:pPr>
            <w:r>
              <w:rPr>
                <w:color w:val="auto"/>
                <w:sz w:val="24"/>
                <w:highlight w:val="none"/>
              </w:rPr>
              <w:t>服务期限及地点</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00D4E618">
            <w:pPr>
              <w:spacing w:line="520" w:lineRule="exact"/>
              <w:ind w:firstLine="480"/>
              <w:rPr>
                <w:color w:val="auto"/>
                <w:sz w:val="24"/>
                <w:highlight w:val="none"/>
              </w:rPr>
            </w:pPr>
            <w:r>
              <w:rPr>
                <w:color w:val="auto"/>
                <w:sz w:val="24"/>
                <w:highlight w:val="none"/>
              </w:rPr>
              <w:t xml:space="preserve">1.服务的时间：自签订合同完成并开始履行之日起2年（其中：北海市卫生学校自2027 年1 月5 日至2028 年6 月30 日，总服务期限一年五个月二十七天）。 </w:t>
            </w:r>
          </w:p>
          <w:p w14:paraId="2EA73AA2">
            <w:pPr>
              <w:spacing w:line="520" w:lineRule="exact"/>
              <w:ind w:firstLine="480"/>
              <w:rPr>
                <w:color w:val="auto"/>
                <w:sz w:val="24"/>
                <w:highlight w:val="none"/>
              </w:rPr>
            </w:pPr>
            <w:r>
              <w:rPr>
                <w:color w:val="auto"/>
                <w:sz w:val="24"/>
                <w:highlight w:val="none"/>
              </w:rPr>
              <w:t>2.服务的地点：北海市机关幼儿园（北海市涠洲岛幼儿园）、北海市政府机关幼儿园、北海市第七幼儿园、北海市北海中学、北海市第十二中学、北海市第十三中学、北海市外国语实验学校、北海市卫生学校。</w:t>
            </w:r>
          </w:p>
        </w:tc>
      </w:tr>
      <w:tr w14:paraId="27A8A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103EB2A3">
            <w:pPr>
              <w:spacing w:line="520" w:lineRule="exact"/>
              <w:jc w:val="center"/>
              <w:rPr>
                <w:color w:val="auto"/>
                <w:sz w:val="24"/>
                <w:highlight w:val="none"/>
              </w:rPr>
            </w:pPr>
            <w:r>
              <w:rPr>
                <w:color w:val="auto"/>
                <w:sz w:val="24"/>
                <w:highlight w:val="none"/>
              </w:rPr>
              <w:t>服务要求</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7DFEBDB4">
            <w:pPr>
              <w:spacing w:line="520" w:lineRule="exact"/>
              <w:ind w:firstLine="480"/>
              <w:rPr>
                <w:color w:val="auto"/>
                <w:sz w:val="24"/>
                <w:highlight w:val="none"/>
              </w:rPr>
            </w:pPr>
            <w:r>
              <w:rPr>
                <w:color w:val="auto"/>
                <w:sz w:val="24"/>
                <w:highlight w:val="none"/>
              </w:rPr>
              <w:t>1.中标人按照所服务单位划定的工作范围、工作内容及管理目标成立相关机构，制定相应工作流程、工作制度、监督考核办法，合理安排人员，科学管理，严格要求，达标运行。接受市教育局、所服务单位及相关职能部门的监督、检查、指导，发现问题及时沟通、整改，保证规范运行。</w:t>
            </w:r>
          </w:p>
          <w:p w14:paraId="768963B8">
            <w:pPr>
              <w:spacing w:line="520" w:lineRule="exact"/>
              <w:ind w:firstLine="480"/>
              <w:rPr>
                <w:color w:val="auto"/>
                <w:sz w:val="24"/>
                <w:highlight w:val="none"/>
              </w:rPr>
            </w:pPr>
            <w:r>
              <w:rPr>
                <w:color w:val="auto"/>
                <w:sz w:val="24"/>
                <w:highlight w:val="none"/>
              </w:rPr>
              <w:t>2.中标人须为聘用员工购买基本社会保险，对员工的疾病和人身安全负责，采购人不承担责任。</w:t>
            </w:r>
          </w:p>
          <w:p w14:paraId="692CEB02">
            <w:pPr>
              <w:spacing w:line="520" w:lineRule="exact"/>
              <w:ind w:firstLine="480"/>
              <w:rPr>
                <w:color w:val="auto"/>
                <w:sz w:val="24"/>
                <w:highlight w:val="none"/>
              </w:rPr>
            </w:pPr>
            <w:r>
              <w:rPr>
                <w:color w:val="auto"/>
                <w:sz w:val="24"/>
                <w:highlight w:val="none"/>
              </w:rPr>
              <w:t>3.每季度接受所服务单位质量考核（按照招标文件、投标文件及合同条款标准进行考核），未达标准的从当季度应付款中扣除10‰服务费。连续两季度达不到标准且未及时整改的，所服务单位向采购人书面报告，且采购人有权终止合同。</w:t>
            </w:r>
          </w:p>
          <w:p w14:paraId="20A92F7A">
            <w:pPr>
              <w:spacing w:line="520" w:lineRule="exact"/>
              <w:ind w:firstLine="480"/>
              <w:rPr>
                <w:color w:val="auto"/>
                <w:sz w:val="24"/>
                <w:highlight w:val="none"/>
              </w:rPr>
            </w:pPr>
            <w:r>
              <w:rPr>
                <w:color w:val="auto"/>
                <w:sz w:val="24"/>
                <w:highlight w:val="none"/>
              </w:rPr>
              <w:t>4.中标人须全部接收原负责所服务单位有意愿继续留下工作的服务人员，确保他们的工资待遇不低于北海市最低工资加社保。</w:t>
            </w:r>
          </w:p>
          <w:p w14:paraId="0A2DB3D6">
            <w:pPr>
              <w:spacing w:line="520" w:lineRule="exact"/>
              <w:ind w:firstLine="480"/>
              <w:rPr>
                <w:color w:val="auto"/>
                <w:sz w:val="24"/>
                <w:highlight w:val="none"/>
              </w:rPr>
            </w:pPr>
            <w:r>
              <w:rPr>
                <w:color w:val="auto"/>
                <w:sz w:val="24"/>
                <w:highlight w:val="none"/>
              </w:rPr>
              <w:t>5.中标人的服务工作人员必须经过上岗前培训，符合国家有关劳动用工的法律法规。上班时必须佩戴工卡、穿统一制服。</w:t>
            </w:r>
          </w:p>
          <w:p w14:paraId="32D4718D">
            <w:pPr>
              <w:spacing w:line="520" w:lineRule="exact"/>
              <w:ind w:firstLine="480"/>
              <w:rPr>
                <w:color w:val="auto"/>
                <w:sz w:val="24"/>
                <w:highlight w:val="none"/>
              </w:rPr>
            </w:pPr>
            <w:r>
              <w:rPr>
                <w:color w:val="auto"/>
                <w:sz w:val="24"/>
                <w:highlight w:val="none"/>
              </w:rPr>
              <w:t>6.管理范围内发生的人身伤害、物品被盗、人为损坏设备设施，属中标人及其工作人员管理不善原因造成的，由中标人负责赔偿。</w:t>
            </w:r>
          </w:p>
          <w:p w14:paraId="7847DE60">
            <w:pPr>
              <w:spacing w:line="520" w:lineRule="exact"/>
              <w:ind w:firstLine="480"/>
              <w:rPr>
                <w:color w:val="auto"/>
                <w:sz w:val="24"/>
                <w:highlight w:val="none"/>
              </w:rPr>
            </w:pPr>
            <w:r>
              <w:rPr>
                <w:color w:val="auto"/>
                <w:sz w:val="24"/>
                <w:highlight w:val="none"/>
              </w:rPr>
              <w:t>7.中标人工作人员应固定保持在90%以上，凡更换人员必须向所服务单位申请，经所服务单位和教育局同意后方可更换，并做好交接班工作，若因交接班衔接不好，致使所服务单位工作受到影响者，按考核制度处罚。</w:t>
            </w:r>
          </w:p>
          <w:p w14:paraId="57C6CD9C">
            <w:pPr>
              <w:spacing w:line="520" w:lineRule="exact"/>
              <w:ind w:firstLine="480"/>
              <w:rPr>
                <w:color w:val="auto"/>
                <w:sz w:val="24"/>
                <w:highlight w:val="none"/>
              </w:rPr>
            </w:pPr>
            <w:r>
              <w:rPr>
                <w:color w:val="auto"/>
                <w:sz w:val="24"/>
                <w:highlight w:val="none"/>
              </w:rPr>
              <w:t>8.中标人在提供管理服务时必须做好各项安全防范措施，中标人所有工作人员在合约期间如发生任何人身意外（生病、伤亡事故）、事故、触犯法律法规（包括劳动用工制度、发生劳资纠纷、所服务单位的规章制度等）、或损坏学校的设施和物品，由中标人负责处理并承担经济和责任。</w:t>
            </w:r>
          </w:p>
          <w:p w14:paraId="43406429">
            <w:pPr>
              <w:spacing w:line="520" w:lineRule="exact"/>
              <w:ind w:firstLine="480"/>
              <w:rPr>
                <w:color w:val="auto"/>
                <w:sz w:val="24"/>
                <w:highlight w:val="none"/>
              </w:rPr>
            </w:pPr>
            <w:r>
              <w:rPr>
                <w:color w:val="auto"/>
                <w:sz w:val="24"/>
                <w:highlight w:val="none"/>
              </w:rPr>
              <w:t>9.若中标人违约，未能达到招标文件中约定的管理目标，所服务单位有权要求中标人在规定时间内进行整改；如中标人未能按时整改，所服务单位有权向教育局申请与中标人解除合同，中标人须承担违约责任；造成所服务单位和教育局经济损失的，按造成的实际损失予以赔偿。</w:t>
            </w:r>
          </w:p>
          <w:p w14:paraId="066169F8">
            <w:pPr>
              <w:spacing w:line="520" w:lineRule="exact"/>
              <w:ind w:firstLine="480"/>
              <w:rPr>
                <w:color w:val="auto"/>
                <w:sz w:val="24"/>
                <w:highlight w:val="none"/>
              </w:rPr>
            </w:pPr>
            <w:r>
              <w:rPr>
                <w:color w:val="auto"/>
                <w:sz w:val="24"/>
                <w:highlight w:val="none"/>
              </w:rPr>
              <w:t>10.若中标人擅自转包、分包，或以任何形式与第三方进行合作的属违约，一经查实，中标人应向所服务单位及教育局承担违约责任，所服务单位和教育局有权解除合同。</w:t>
            </w:r>
          </w:p>
          <w:p w14:paraId="7312FE67">
            <w:pPr>
              <w:spacing w:line="520" w:lineRule="exact"/>
              <w:ind w:firstLine="480"/>
              <w:rPr>
                <w:color w:val="auto"/>
                <w:sz w:val="24"/>
                <w:highlight w:val="none"/>
              </w:rPr>
            </w:pPr>
            <w:r>
              <w:rPr>
                <w:color w:val="auto"/>
                <w:sz w:val="24"/>
                <w:highlight w:val="none"/>
              </w:rPr>
              <w:t>11.中标人若违背本招标文件中确定的义务，必须承担违约责任。</w:t>
            </w:r>
          </w:p>
          <w:p w14:paraId="6198A880">
            <w:pPr>
              <w:spacing w:line="520" w:lineRule="exact"/>
              <w:ind w:firstLine="480"/>
              <w:rPr>
                <w:color w:val="auto"/>
                <w:sz w:val="24"/>
                <w:highlight w:val="none"/>
              </w:rPr>
            </w:pPr>
            <w:r>
              <w:rPr>
                <w:color w:val="auto"/>
                <w:sz w:val="24"/>
                <w:highlight w:val="none"/>
              </w:rPr>
              <w:t>12.中标人及其工作人员在所服务单位交由中标人管理和服务的工作区域内违法犯罪属实，中标人应赔偿并承担相应的法律责任，并不得再使用有关员工。</w:t>
            </w:r>
          </w:p>
          <w:p w14:paraId="3C06133F">
            <w:pPr>
              <w:spacing w:line="520" w:lineRule="exact"/>
              <w:ind w:firstLine="480"/>
              <w:rPr>
                <w:color w:val="auto"/>
                <w:sz w:val="24"/>
                <w:highlight w:val="none"/>
              </w:rPr>
            </w:pPr>
            <w:r>
              <w:rPr>
                <w:color w:val="auto"/>
                <w:sz w:val="24"/>
                <w:highlight w:val="none"/>
              </w:rPr>
              <w:t>13.服务人员要求：</w:t>
            </w:r>
          </w:p>
          <w:p w14:paraId="1332EA29">
            <w:pPr>
              <w:spacing w:line="520" w:lineRule="exact"/>
              <w:ind w:firstLine="480"/>
              <w:rPr>
                <w:color w:val="auto"/>
                <w:sz w:val="24"/>
                <w:highlight w:val="none"/>
              </w:rPr>
            </w:pPr>
            <w:r>
              <w:rPr>
                <w:color w:val="auto"/>
                <w:sz w:val="24"/>
                <w:highlight w:val="none"/>
              </w:rPr>
              <w:t>（1）用工人数不少于各服务单位要求的人数。</w:t>
            </w:r>
          </w:p>
          <w:p w14:paraId="2208940A">
            <w:pPr>
              <w:spacing w:line="520" w:lineRule="exact"/>
              <w:ind w:firstLine="480"/>
              <w:rPr>
                <w:color w:val="auto"/>
                <w:sz w:val="24"/>
                <w:highlight w:val="none"/>
              </w:rPr>
            </w:pPr>
            <w:r>
              <w:rPr>
                <w:color w:val="auto"/>
                <w:sz w:val="24"/>
                <w:highlight w:val="none"/>
              </w:rPr>
              <w:t>（2）上岗人员必须经过岗前培训。</w:t>
            </w:r>
          </w:p>
          <w:p w14:paraId="7EBA855D">
            <w:pPr>
              <w:spacing w:line="520" w:lineRule="exact"/>
              <w:ind w:firstLine="480"/>
              <w:rPr>
                <w:color w:val="auto"/>
                <w:sz w:val="24"/>
                <w:highlight w:val="none"/>
              </w:rPr>
            </w:pPr>
            <w:r>
              <w:rPr>
                <w:color w:val="auto"/>
                <w:sz w:val="24"/>
                <w:highlight w:val="none"/>
              </w:rPr>
              <w:t>（3）上岗人员的服装及所有的福利由</w:t>
            </w:r>
            <w:r>
              <w:rPr>
                <w:rFonts w:hint="eastAsia"/>
                <w:color w:val="auto"/>
                <w:sz w:val="24"/>
                <w:highlight w:val="none"/>
                <w:lang w:eastAsia="zh-CN"/>
              </w:rPr>
              <w:t>供应商</w:t>
            </w:r>
            <w:r>
              <w:rPr>
                <w:color w:val="auto"/>
                <w:sz w:val="24"/>
                <w:highlight w:val="none"/>
              </w:rPr>
              <w:t>承担。</w:t>
            </w:r>
          </w:p>
          <w:p w14:paraId="3714D76D">
            <w:pPr>
              <w:spacing w:line="520" w:lineRule="exact"/>
              <w:ind w:firstLine="480"/>
              <w:rPr>
                <w:color w:val="auto"/>
                <w:sz w:val="24"/>
                <w:highlight w:val="none"/>
              </w:rPr>
            </w:pPr>
            <w:r>
              <w:rPr>
                <w:color w:val="auto"/>
                <w:sz w:val="24"/>
                <w:highlight w:val="none"/>
              </w:rPr>
              <w:t>（4）对于不服从安排的服务人员，</w:t>
            </w:r>
            <w:r>
              <w:rPr>
                <w:rFonts w:hint="eastAsia"/>
                <w:color w:val="auto"/>
                <w:sz w:val="24"/>
                <w:highlight w:val="none"/>
                <w:lang w:eastAsia="zh-CN"/>
              </w:rPr>
              <w:t>供应商</w:t>
            </w:r>
            <w:r>
              <w:rPr>
                <w:color w:val="auto"/>
                <w:sz w:val="24"/>
                <w:highlight w:val="none"/>
              </w:rPr>
              <w:t>需向所服务单位及教育局进行书面申请，并在采购人同意后的2个工作日内替换新的服务人员。</w:t>
            </w:r>
          </w:p>
        </w:tc>
      </w:tr>
      <w:tr w14:paraId="0856A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27AC2A22">
            <w:pPr>
              <w:spacing w:line="520" w:lineRule="exact"/>
              <w:jc w:val="center"/>
              <w:rPr>
                <w:color w:val="auto"/>
                <w:sz w:val="24"/>
                <w:highlight w:val="none"/>
              </w:rPr>
            </w:pPr>
            <w:r>
              <w:rPr>
                <w:color w:val="auto"/>
                <w:sz w:val="24"/>
                <w:highlight w:val="none"/>
              </w:rPr>
              <w:t>考核要求</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06FA28C5">
            <w:pPr>
              <w:spacing w:line="520" w:lineRule="exact"/>
              <w:ind w:firstLine="480"/>
              <w:rPr>
                <w:color w:val="auto"/>
                <w:sz w:val="24"/>
                <w:highlight w:val="none"/>
              </w:rPr>
            </w:pPr>
            <w:r>
              <w:rPr>
                <w:color w:val="auto"/>
                <w:sz w:val="24"/>
                <w:highlight w:val="none"/>
              </w:rPr>
              <w:t>1.对当班工作人员要严加管理，发生空岗、缺岗、脱岗、睡岗、上岗前喝酒（以人为记录和电子记录为准）等行为的，每次处罚100元，严重行为即时更换并处理。</w:t>
            </w:r>
          </w:p>
          <w:p w14:paraId="0AA9B00F">
            <w:pPr>
              <w:spacing w:line="520" w:lineRule="exact"/>
              <w:ind w:firstLine="480"/>
              <w:rPr>
                <w:color w:val="auto"/>
                <w:sz w:val="24"/>
                <w:highlight w:val="none"/>
              </w:rPr>
            </w:pPr>
            <w:r>
              <w:rPr>
                <w:color w:val="auto"/>
                <w:sz w:val="24"/>
                <w:highlight w:val="none"/>
              </w:rPr>
              <w:t>2.发生不法分子对所服务单位的干扰，特别是暴恐和盗窃事件不及时妥善处理（阻止、制止、控制）的，每次处罚</w:t>
            </w:r>
            <w:r>
              <w:rPr>
                <w:rFonts w:hint="eastAsia"/>
                <w:color w:val="auto"/>
                <w:sz w:val="24"/>
                <w:highlight w:val="none"/>
                <w:lang w:eastAsia="zh-CN"/>
              </w:rPr>
              <w:t>供应商</w:t>
            </w:r>
            <w:r>
              <w:rPr>
                <w:color w:val="auto"/>
                <w:sz w:val="24"/>
                <w:highlight w:val="none"/>
              </w:rPr>
              <w:t>1000—3000元。</w:t>
            </w:r>
          </w:p>
          <w:p w14:paraId="5EF18856">
            <w:pPr>
              <w:spacing w:line="520" w:lineRule="exact"/>
              <w:ind w:firstLine="480"/>
              <w:rPr>
                <w:color w:val="auto"/>
                <w:sz w:val="24"/>
                <w:highlight w:val="none"/>
              </w:rPr>
            </w:pPr>
            <w:r>
              <w:rPr>
                <w:color w:val="auto"/>
                <w:sz w:val="24"/>
                <w:highlight w:val="none"/>
              </w:rPr>
              <w:t>3.当班人员责任心不强，服务不到位导致公共设施被盗、被破坏的，</w:t>
            </w:r>
            <w:r>
              <w:rPr>
                <w:rFonts w:hint="eastAsia"/>
                <w:color w:val="auto"/>
                <w:sz w:val="24"/>
                <w:highlight w:val="none"/>
                <w:lang w:eastAsia="zh-CN"/>
              </w:rPr>
              <w:t>供应商</w:t>
            </w:r>
            <w:r>
              <w:rPr>
                <w:color w:val="auto"/>
                <w:sz w:val="24"/>
                <w:highlight w:val="none"/>
              </w:rPr>
              <w:t>及当班人员应共同承担相应的法律及经济损失赔偿责任，责任的界定由所服务单位确定或由公安司法部门裁定。</w:t>
            </w:r>
          </w:p>
          <w:p w14:paraId="38871BFC">
            <w:pPr>
              <w:spacing w:line="520" w:lineRule="exact"/>
              <w:ind w:firstLine="480"/>
              <w:rPr>
                <w:color w:val="auto"/>
                <w:sz w:val="24"/>
                <w:highlight w:val="none"/>
              </w:rPr>
            </w:pPr>
            <w:r>
              <w:rPr>
                <w:color w:val="auto"/>
                <w:sz w:val="24"/>
                <w:highlight w:val="none"/>
              </w:rPr>
              <w:t>4.当班人员须着规定制服上班，不穿制服上班的，每人每次扣100元。</w:t>
            </w:r>
          </w:p>
          <w:p w14:paraId="5D1B7A7A">
            <w:pPr>
              <w:spacing w:line="520" w:lineRule="exact"/>
              <w:ind w:firstLine="480"/>
              <w:rPr>
                <w:color w:val="auto"/>
                <w:sz w:val="24"/>
                <w:highlight w:val="none"/>
              </w:rPr>
            </w:pPr>
            <w:r>
              <w:rPr>
                <w:color w:val="auto"/>
                <w:sz w:val="24"/>
                <w:highlight w:val="none"/>
              </w:rPr>
              <w:t>5.在所服务单位所属范围内开展工作，做到不迟到，不早退。有交接班的岗位须提前10分钟到达交接地点，并认真做好交接班工作，检查所配装备是否完好有效，并填报《值班交接记录表》。上班迟到、早退达到10分钟的每人每次扣50元，迟到、早退超过30分钟的算旷工。</w:t>
            </w:r>
          </w:p>
          <w:p w14:paraId="692FB966">
            <w:pPr>
              <w:spacing w:line="520" w:lineRule="exact"/>
              <w:ind w:firstLine="480"/>
              <w:rPr>
                <w:color w:val="auto"/>
                <w:sz w:val="24"/>
                <w:highlight w:val="none"/>
              </w:rPr>
            </w:pPr>
            <w:r>
              <w:rPr>
                <w:color w:val="auto"/>
                <w:sz w:val="24"/>
                <w:highlight w:val="none"/>
              </w:rPr>
              <w:t>6.不开展交接班工作的，每人每次50元。因交接班工作盘点财物不到位造成损失的由交接班双方共同承担。</w:t>
            </w:r>
          </w:p>
          <w:p w14:paraId="03A434AB">
            <w:pPr>
              <w:spacing w:line="520" w:lineRule="exact"/>
              <w:ind w:firstLine="480"/>
              <w:rPr>
                <w:color w:val="auto"/>
                <w:sz w:val="24"/>
                <w:highlight w:val="none"/>
              </w:rPr>
            </w:pPr>
            <w:r>
              <w:rPr>
                <w:color w:val="auto"/>
                <w:sz w:val="24"/>
                <w:highlight w:val="none"/>
              </w:rPr>
              <w:t>7.详细考核标准详见本章节附件：安保管理服务考核标准。</w:t>
            </w:r>
          </w:p>
        </w:tc>
      </w:tr>
      <w:tr w14:paraId="281B1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31171B76">
            <w:pPr>
              <w:spacing w:line="520" w:lineRule="exact"/>
              <w:jc w:val="center"/>
              <w:rPr>
                <w:color w:val="auto"/>
                <w:sz w:val="24"/>
                <w:highlight w:val="none"/>
              </w:rPr>
            </w:pPr>
            <w:r>
              <w:rPr>
                <w:color w:val="auto"/>
                <w:sz w:val="24"/>
                <w:highlight w:val="none"/>
              </w:rPr>
              <w:t>服务监管</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7466FC6F">
            <w:pPr>
              <w:spacing w:line="520" w:lineRule="exact"/>
              <w:ind w:firstLine="480"/>
              <w:rPr>
                <w:color w:val="auto"/>
                <w:sz w:val="24"/>
                <w:highlight w:val="none"/>
              </w:rPr>
            </w:pPr>
            <w:r>
              <w:rPr>
                <w:color w:val="auto"/>
                <w:sz w:val="24"/>
                <w:highlight w:val="none"/>
              </w:rPr>
              <w:t>（1）供应商自行负责对派出的工作人员进行政治思想、职业道德、业务技术、劳动纪律的教育和培训。</w:t>
            </w:r>
          </w:p>
          <w:p w14:paraId="733F0731">
            <w:pPr>
              <w:spacing w:line="520" w:lineRule="exact"/>
              <w:ind w:firstLine="480"/>
              <w:rPr>
                <w:color w:val="auto"/>
                <w:sz w:val="24"/>
                <w:highlight w:val="none"/>
              </w:rPr>
            </w:pPr>
            <w:r>
              <w:rPr>
                <w:color w:val="auto"/>
                <w:sz w:val="24"/>
                <w:highlight w:val="none"/>
              </w:rPr>
              <w:t>（2）供应商选派的工作人员须经过岗前专业培训，上岗后继续对工作人员进行必要的教育和训练，保证工作人员的素质满足所服务单位工作的要求；保留工作人员的身份证复印件、个人简历等资料，并保证所提供资料的真实性，供应商不得随意减少或更换所派出的服务人员。</w:t>
            </w:r>
          </w:p>
          <w:p w14:paraId="0F940476">
            <w:pPr>
              <w:spacing w:line="520" w:lineRule="exact"/>
              <w:ind w:firstLine="480"/>
              <w:rPr>
                <w:color w:val="auto"/>
                <w:sz w:val="24"/>
                <w:highlight w:val="none"/>
              </w:rPr>
            </w:pPr>
            <w:r>
              <w:rPr>
                <w:color w:val="auto"/>
                <w:sz w:val="24"/>
                <w:highlight w:val="none"/>
              </w:rPr>
              <w:t>（3）供应商负责按时支付工作人员的工资和福利费用，提供工作人员的执勤被服、工具等基本条件。</w:t>
            </w:r>
          </w:p>
          <w:p w14:paraId="3CE6EB38">
            <w:pPr>
              <w:spacing w:line="520" w:lineRule="exact"/>
              <w:ind w:firstLine="480"/>
              <w:rPr>
                <w:color w:val="auto"/>
                <w:sz w:val="24"/>
                <w:highlight w:val="none"/>
              </w:rPr>
            </w:pPr>
            <w:r>
              <w:rPr>
                <w:color w:val="auto"/>
                <w:sz w:val="24"/>
                <w:highlight w:val="none"/>
              </w:rPr>
              <w:t>（4）所服务单位有权对工作人员的工作进行检查、督促、评价，对不称职的工作人员提出批评及教育，屡教不改者，有权要求更换工作人员，并将实际情况以书面形式向供应商提出撤换的要求，供应商在接到撤换要求书后三个工作日内做出更换。</w:t>
            </w:r>
          </w:p>
          <w:p w14:paraId="554D0154">
            <w:pPr>
              <w:spacing w:line="520" w:lineRule="exact"/>
              <w:ind w:firstLine="480"/>
              <w:rPr>
                <w:color w:val="auto"/>
                <w:sz w:val="24"/>
                <w:highlight w:val="none"/>
              </w:rPr>
            </w:pPr>
            <w:r>
              <w:rPr>
                <w:color w:val="auto"/>
                <w:sz w:val="24"/>
                <w:highlight w:val="none"/>
              </w:rPr>
              <w:t>（5）所服务单位对供应商拟派的工作人员的一切行为所产生的后果不承担任何责任，供应商须自行就问题进行解决处理。</w:t>
            </w:r>
          </w:p>
          <w:p w14:paraId="16A09D5C">
            <w:pPr>
              <w:spacing w:line="520" w:lineRule="exact"/>
              <w:ind w:firstLine="480"/>
              <w:rPr>
                <w:color w:val="auto"/>
                <w:sz w:val="24"/>
                <w:highlight w:val="none"/>
              </w:rPr>
            </w:pPr>
            <w:r>
              <w:rPr>
                <w:color w:val="auto"/>
                <w:sz w:val="24"/>
                <w:highlight w:val="none"/>
              </w:rPr>
              <w:t>（6）供应商若发现工作期间的影藏因素存在的安全隐患可向所服务单位提出改进意见，并和所服务单位进行协商处理。</w:t>
            </w:r>
          </w:p>
          <w:p w14:paraId="14E73E55">
            <w:pPr>
              <w:spacing w:line="520" w:lineRule="exact"/>
              <w:ind w:firstLine="480"/>
              <w:rPr>
                <w:color w:val="auto"/>
                <w:sz w:val="24"/>
                <w:highlight w:val="none"/>
              </w:rPr>
            </w:pPr>
            <w:r>
              <w:rPr>
                <w:color w:val="auto"/>
                <w:sz w:val="24"/>
                <w:highlight w:val="none"/>
              </w:rPr>
              <w:t>（7）所服务单位有权对供应商的工作进行考核，发现供应商不按照合同约定开展工作，对工作人员管理不规范、不严格，培训及安全措施不能达到所服务单位要求，第一次予以警告，第二次予以处罚，对连续三次不达标也不整改者（以书面通知为准），采购人有权解除合同。</w:t>
            </w:r>
          </w:p>
          <w:p w14:paraId="09C4493E">
            <w:pPr>
              <w:spacing w:line="520" w:lineRule="exact"/>
              <w:ind w:firstLine="480"/>
              <w:rPr>
                <w:color w:val="auto"/>
                <w:sz w:val="24"/>
                <w:highlight w:val="none"/>
              </w:rPr>
            </w:pPr>
            <w:r>
              <w:rPr>
                <w:color w:val="auto"/>
                <w:sz w:val="24"/>
                <w:highlight w:val="none"/>
              </w:rPr>
              <w:t>（8）服务期满后，须把服务期间涉及的所有档案移交给所服务单位，并在十个工作日内和新接替工作的安保公司进行工作交接，若出现不可抗力因素导致无法在规定时间内进行交接，供应商须书面告知所服务单位。</w:t>
            </w:r>
          </w:p>
        </w:tc>
      </w:tr>
      <w:tr w14:paraId="51F87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4433CA4D">
            <w:pPr>
              <w:spacing w:line="520" w:lineRule="exact"/>
              <w:ind w:firstLine="480"/>
              <w:rPr>
                <w:color w:val="auto"/>
                <w:sz w:val="24"/>
                <w:highlight w:val="none"/>
              </w:rPr>
            </w:pPr>
            <w:r>
              <w:rPr>
                <w:color w:val="auto"/>
                <w:sz w:val="24"/>
                <w:highlight w:val="none"/>
              </w:rPr>
              <w:t>服务质量要求</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5D2ACCDA">
            <w:pPr>
              <w:spacing w:line="520" w:lineRule="exact"/>
              <w:ind w:firstLine="480"/>
              <w:rPr>
                <w:color w:val="auto"/>
                <w:sz w:val="24"/>
                <w:highlight w:val="none"/>
              </w:rPr>
            </w:pPr>
            <w:r>
              <w:rPr>
                <w:rFonts w:hint="eastAsia"/>
                <w:color w:val="auto"/>
                <w:sz w:val="24"/>
                <w:highlight w:val="none"/>
                <w:lang w:eastAsia="zh-CN"/>
              </w:rPr>
              <w:t>供应商</w:t>
            </w:r>
            <w:r>
              <w:rPr>
                <w:color w:val="auto"/>
                <w:sz w:val="24"/>
                <w:highlight w:val="none"/>
              </w:rPr>
              <w:t>每月接受采购人或校方单位质量考核，未达标准从承包价中扣除。满意率至少在85％以上</w:t>
            </w:r>
            <w:r>
              <w:rPr>
                <w:b/>
                <w:bCs/>
                <w:color w:val="auto"/>
                <w:sz w:val="24"/>
                <w:highlight w:val="none"/>
              </w:rPr>
              <w:t>（各服务学校另有要求的该学校要求为准）</w:t>
            </w:r>
            <w:r>
              <w:rPr>
                <w:color w:val="auto"/>
                <w:sz w:val="24"/>
                <w:highlight w:val="none"/>
              </w:rPr>
              <w:t>、合同履约率达98%以上、上岗培训合格率达100%、合理投诉解决率达100%，连续两个月达不到，采购人可以终止合同。</w:t>
            </w:r>
          </w:p>
        </w:tc>
      </w:tr>
      <w:tr w14:paraId="45E63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155B8CD5">
            <w:pPr>
              <w:spacing w:line="520" w:lineRule="exact"/>
              <w:jc w:val="center"/>
              <w:rPr>
                <w:color w:val="auto"/>
                <w:sz w:val="24"/>
                <w:highlight w:val="none"/>
              </w:rPr>
            </w:pPr>
            <w:r>
              <w:rPr>
                <w:color w:val="auto"/>
                <w:sz w:val="24"/>
                <w:highlight w:val="none"/>
              </w:rPr>
              <w:t>保密要求</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71D3452E">
            <w:pPr>
              <w:spacing w:line="520" w:lineRule="exact"/>
              <w:ind w:firstLine="480"/>
              <w:rPr>
                <w:color w:val="auto"/>
                <w:sz w:val="24"/>
                <w:highlight w:val="none"/>
              </w:rPr>
            </w:pPr>
            <w:r>
              <w:rPr>
                <w:rFonts w:hint="eastAsia"/>
                <w:color w:val="auto"/>
                <w:sz w:val="24"/>
                <w:highlight w:val="none"/>
                <w:lang w:eastAsia="zh-CN"/>
              </w:rPr>
              <w:t>供应商</w:t>
            </w:r>
            <w:r>
              <w:rPr>
                <w:color w:val="auto"/>
                <w:sz w:val="24"/>
                <w:highlight w:val="none"/>
              </w:rPr>
              <w:t>不得以任何形式向第三方透露本项目服务时的任何内容。如有泄密，需承担相应的法律责任。</w:t>
            </w:r>
          </w:p>
        </w:tc>
      </w:tr>
      <w:tr w14:paraId="5D398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30666A4E">
            <w:pPr>
              <w:spacing w:line="520" w:lineRule="exact"/>
              <w:jc w:val="center"/>
              <w:rPr>
                <w:color w:val="auto"/>
                <w:sz w:val="24"/>
                <w:highlight w:val="none"/>
              </w:rPr>
            </w:pPr>
            <w:r>
              <w:rPr>
                <w:color w:val="auto"/>
                <w:sz w:val="24"/>
                <w:highlight w:val="none"/>
              </w:rPr>
              <w:t>违约责任</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10ADEB4D">
            <w:pPr>
              <w:spacing w:line="520" w:lineRule="exact"/>
              <w:ind w:firstLine="480"/>
              <w:rPr>
                <w:color w:val="auto"/>
                <w:sz w:val="24"/>
                <w:highlight w:val="none"/>
              </w:rPr>
            </w:pPr>
            <w:r>
              <w:rPr>
                <w:color w:val="auto"/>
                <w:sz w:val="24"/>
                <w:highlight w:val="none"/>
              </w:rPr>
              <w:t>1. 若</w:t>
            </w:r>
            <w:r>
              <w:rPr>
                <w:rFonts w:hint="eastAsia"/>
                <w:color w:val="auto"/>
                <w:sz w:val="24"/>
                <w:highlight w:val="none"/>
                <w:lang w:eastAsia="zh-CN"/>
              </w:rPr>
              <w:t>供应商</w:t>
            </w:r>
            <w:r>
              <w:rPr>
                <w:color w:val="auto"/>
                <w:sz w:val="24"/>
                <w:highlight w:val="none"/>
              </w:rPr>
              <w:t>所提供服务成果，无法达到本项目招标文件要求以及投标文件所承诺的内容的，所服务单位和教育局有权要求</w:t>
            </w:r>
            <w:r>
              <w:rPr>
                <w:rFonts w:hint="eastAsia"/>
                <w:color w:val="auto"/>
                <w:sz w:val="24"/>
                <w:highlight w:val="none"/>
                <w:lang w:eastAsia="zh-CN"/>
              </w:rPr>
              <w:t>供应商</w:t>
            </w:r>
            <w:r>
              <w:rPr>
                <w:color w:val="auto"/>
                <w:sz w:val="24"/>
                <w:highlight w:val="none"/>
              </w:rPr>
              <w:t>作出整改。如整改完毕仍达不到上述要求的，所服务单位和教育局有权拒绝支付款项，且</w:t>
            </w:r>
            <w:r>
              <w:rPr>
                <w:rFonts w:hint="eastAsia"/>
                <w:color w:val="auto"/>
                <w:sz w:val="24"/>
                <w:highlight w:val="none"/>
                <w:lang w:eastAsia="zh-CN"/>
              </w:rPr>
              <w:t>供应商</w:t>
            </w:r>
            <w:r>
              <w:rPr>
                <w:color w:val="auto"/>
                <w:sz w:val="24"/>
                <w:highlight w:val="none"/>
              </w:rPr>
              <w:t>应向所服务单位和教育局支付中标总金额的5%作为违约金并赔偿所服务单位和教育局的一切损失。</w:t>
            </w:r>
          </w:p>
          <w:p w14:paraId="7ECD3A3F">
            <w:pPr>
              <w:spacing w:line="520" w:lineRule="exact"/>
              <w:ind w:firstLine="480"/>
              <w:rPr>
                <w:color w:val="auto"/>
                <w:sz w:val="24"/>
                <w:highlight w:val="none"/>
              </w:rPr>
            </w:pPr>
            <w:r>
              <w:rPr>
                <w:color w:val="auto"/>
                <w:sz w:val="24"/>
                <w:highlight w:val="none"/>
              </w:rPr>
              <w:t>2. 违约责任的赔偿不意味违约方整个合同责任的解除，未经所服务单位和教育局同意，</w:t>
            </w:r>
            <w:r>
              <w:rPr>
                <w:rFonts w:hint="eastAsia"/>
                <w:color w:val="auto"/>
                <w:sz w:val="24"/>
                <w:highlight w:val="none"/>
                <w:lang w:eastAsia="zh-CN"/>
              </w:rPr>
              <w:t>供应商</w:t>
            </w:r>
            <w:r>
              <w:rPr>
                <w:color w:val="auto"/>
                <w:sz w:val="24"/>
                <w:highlight w:val="none"/>
              </w:rPr>
              <w:t>不得以任何理由推迟、降低、减少有关合同条款履行的承诺。</w:t>
            </w:r>
          </w:p>
          <w:p w14:paraId="0FDFEFA5">
            <w:pPr>
              <w:spacing w:line="520" w:lineRule="exact"/>
              <w:ind w:firstLine="480"/>
              <w:rPr>
                <w:color w:val="auto"/>
                <w:sz w:val="24"/>
                <w:highlight w:val="none"/>
              </w:rPr>
            </w:pPr>
            <w:r>
              <w:rPr>
                <w:color w:val="auto"/>
                <w:sz w:val="24"/>
                <w:highlight w:val="none"/>
              </w:rPr>
              <w:t>3. 其它违约行为按成交总金额5%收取违约金并赔偿其他经济损失。</w:t>
            </w:r>
          </w:p>
        </w:tc>
      </w:tr>
      <w:tr w14:paraId="02B32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7112101B">
            <w:pPr>
              <w:spacing w:line="520" w:lineRule="exact"/>
              <w:jc w:val="center"/>
              <w:rPr>
                <w:color w:val="auto"/>
                <w:sz w:val="24"/>
                <w:highlight w:val="none"/>
              </w:rPr>
            </w:pPr>
            <w:r>
              <w:rPr>
                <w:color w:val="auto"/>
                <w:sz w:val="24"/>
                <w:highlight w:val="none"/>
              </w:rPr>
              <w:t>付款条件</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3C68698A">
            <w:pPr>
              <w:spacing w:line="520" w:lineRule="exact"/>
              <w:ind w:firstLine="560"/>
              <w:rPr>
                <w:color w:val="auto"/>
                <w:sz w:val="24"/>
                <w:highlight w:val="none"/>
              </w:rPr>
            </w:pPr>
            <w:r>
              <w:rPr>
                <w:rFonts w:hint="eastAsia"/>
                <w:color w:val="auto"/>
                <w:sz w:val="24"/>
                <w:highlight w:val="none"/>
              </w:rPr>
              <w:t>自合同签订后且中标单位服务人员进场（进场时间以各服务单位具体要求为准）、财政资金到位后，预付合同总金额的10%;剩余款项按季度平均支付，每季度第一个月支付上季度服务费。</w:t>
            </w:r>
          </w:p>
          <w:p w14:paraId="37937076">
            <w:pPr>
              <w:spacing w:line="520" w:lineRule="exact"/>
              <w:ind w:firstLine="480"/>
              <w:rPr>
                <w:color w:val="auto"/>
                <w:sz w:val="24"/>
                <w:highlight w:val="none"/>
              </w:rPr>
            </w:pPr>
            <w:r>
              <w:rPr>
                <w:color w:val="auto"/>
                <w:sz w:val="24"/>
                <w:highlight w:val="none"/>
              </w:rPr>
              <w:t>采购人根据每季度考核结果结算支付。三方在签订合同时可就服务质量及检查标准制定奖罚细则，在支付服务费用时采购人（甲方）、服务单位（丙方）有权根据奖罚细则增减服务费用的支付或终止合同。每次请款供应商（乙方）先交请款申请函，后根据要求开具发票，再根据实际情况、考核情况付款。</w:t>
            </w:r>
          </w:p>
        </w:tc>
      </w:tr>
      <w:tr w14:paraId="2D021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14:paraId="7D346ED1">
            <w:pPr>
              <w:spacing w:line="520" w:lineRule="exact"/>
              <w:jc w:val="center"/>
              <w:rPr>
                <w:rFonts w:hint="eastAsia" w:eastAsia="宋体"/>
                <w:color w:val="auto"/>
                <w:sz w:val="24"/>
                <w:highlight w:val="none"/>
                <w:lang w:eastAsia="zh-CN"/>
              </w:rPr>
            </w:pPr>
            <w:r>
              <w:rPr>
                <w:rFonts w:hint="eastAsia"/>
                <w:color w:val="auto"/>
                <w:sz w:val="24"/>
                <w:highlight w:val="none"/>
                <w:lang w:eastAsia="zh-CN"/>
              </w:rPr>
              <w:t>其他要求</w:t>
            </w:r>
          </w:p>
        </w:tc>
        <w:tc>
          <w:tcPr>
            <w:tcW w:w="7684" w:type="dxa"/>
            <w:tcBorders>
              <w:top w:val="single" w:color="auto" w:sz="4" w:space="0"/>
              <w:left w:val="single" w:color="auto" w:sz="4" w:space="0"/>
              <w:bottom w:val="single" w:color="auto" w:sz="4" w:space="0"/>
              <w:right w:val="single" w:color="auto" w:sz="4" w:space="0"/>
            </w:tcBorders>
            <w:shd w:val="clear" w:color="auto" w:fill="auto"/>
            <w:vAlign w:val="center"/>
          </w:tcPr>
          <w:p w14:paraId="2A3C1254">
            <w:pPr>
              <w:spacing w:line="520" w:lineRule="exact"/>
              <w:ind w:firstLine="480"/>
              <w:rPr>
                <w:rFonts w:hint="eastAsia" w:eastAsia="宋体"/>
                <w:color w:val="auto"/>
                <w:sz w:val="24"/>
                <w:highlight w:val="none"/>
                <w:lang w:eastAsia="zh-CN"/>
              </w:rPr>
            </w:pPr>
            <w:r>
              <w:rPr>
                <w:rFonts w:hint="eastAsia"/>
                <w:color w:val="auto"/>
                <w:sz w:val="24"/>
                <w:highlight w:val="none"/>
                <w:lang w:eastAsia="zh-CN"/>
              </w:rPr>
              <w:t>为了保证履约质量和支持中小企业发展，本标项与其他标项兼投不兼中。</w:t>
            </w:r>
          </w:p>
        </w:tc>
      </w:tr>
    </w:tbl>
    <w:p w14:paraId="4AEDD051">
      <w:pPr>
        <w:snapToGrid w:val="0"/>
        <w:spacing w:before="156" w:beforeLines="50" w:after="156" w:afterLines="50" w:line="600" w:lineRule="exact"/>
        <w:ind w:left="238"/>
        <w:jc w:val="center"/>
        <w:rPr>
          <w:rFonts w:ascii="宋体" w:hAnsi="宋体" w:cs="宋体"/>
          <w:b/>
          <w:bCs/>
          <w:color w:val="auto"/>
          <w:szCs w:val="21"/>
          <w:highlight w:val="none"/>
        </w:rPr>
      </w:pPr>
      <w:r>
        <w:rPr>
          <w:rFonts w:ascii="宋体" w:hAnsi="宋体" w:cs="宋体"/>
          <w:b/>
          <w:bCs/>
          <w:color w:val="auto"/>
          <w:szCs w:val="21"/>
          <w:highlight w:val="none"/>
        </w:rPr>
        <w:br w:type="page"/>
      </w:r>
    </w:p>
    <w:p w14:paraId="691A4389">
      <w:pPr>
        <w:pStyle w:val="2"/>
        <w:spacing w:line="440" w:lineRule="exact"/>
        <w:ind w:firstLine="402"/>
        <w:outlineLvl w:val="1"/>
        <w:rPr>
          <w:rFonts w:hint="eastAsia" w:eastAsia="宋体"/>
          <w:color w:val="auto"/>
          <w:highlight w:val="none"/>
          <w:lang w:val="zh-CN" w:eastAsia="zh-CN"/>
        </w:rPr>
      </w:pPr>
      <w:r>
        <w:rPr>
          <w:rFonts w:hint="eastAsia" w:ascii="宋体" w:hAnsi="宋体" w:cs="宋体"/>
          <w:b/>
          <w:color w:val="auto"/>
          <w:sz w:val="21"/>
          <w:szCs w:val="21"/>
          <w:highlight w:val="none"/>
        </w:rPr>
        <w:t>标项二：安保服务</w:t>
      </w:r>
      <w:r>
        <w:rPr>
          <w:rFonts w:hint="eastAsia" w:ascii="宋体" w:hAnsi="宋体" w:cs="宋体"/>
          <w:b/>
          <w:color w:val="auto"/>
          <w:sz w:val="21"/>
          <w:szCs w:val="21"/>
          <w:highlight w:val="none"/>
          <w:lang w:val="en-US" w:eastAsia="zh-CN"/>
        </w:rPr>
        <w:t>2</w:t>
      </w:r>
    </w:p>
    <w:p w14:paraId="464C7BF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14:paraId="4CBBAF8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1.本项目的政府采购预算控制价为人民币</w:t>
      </w:r>
      <w:r>
        <w:rPr>
          <w:rFonts w:ascii="宋体" w:hAnsi="宋体" w:cs="宋体"/>
          <w:color w:val="auto"/>
          <w:szCs w:val="21"/>
          <w:highlight w:val="none"/>
        </w:rPr>
        <w:t>6339400</w:t>
      </w:r>
      <w:r>
        <w:rPr>
          <w:rFonts w:hint="eastAsia" w:ascii="宋体" w:hAnsi="宋体" w:cs="宋体"/>
          <w:color w:val="auto"/>
          <w:szCs w:val="21"/>
          <w:highlight w:val="none"/>
        </w:rPr>
        <w:t>元，高于预算控制价的报价将视为无效投标。</w:t>
      </w:r>
    </w:p>
    <w:p w14:paraId="086C586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采购需求中标注“★”的内容必须满足或者优于，否则投标无效。</w:t>
      </w:r>
    </w:p>
    <w:p w14:paraId="4025F24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3.根据《关于印发中小企业划型标准规定的通知》（工信部联企业</w:t>
      </w:r>
      <w:r>
        <w:rPr>
          <w:rFonts w:hint="eastAsia" w:ascii="宋体" w:hAnsi="宋体" w:cs="Book Antiqua"/>
          <w:color w:val="auto"/>
          <w:szCs w:val="21"/>
          <w:highlight w:val="none"/>
        </w:rPr>
        <w:t>〔2011〕</w:t>
      </w:r>
      <w:r>
        <w:rPr>
          <w:rFonts w:hint="eastAsia" w:ascii="宋体" w:hAnsi="宋体" w:cs="宋体"/>
          <w:color w:val="auto"/>
          <w:szCs w:val="21"/>
          <w:highlight w:val="none"/>
        </w:rPr>
        <w:t>300号）规定的划分标准，本项目采购所有标的对应的中小企业划分标准所属行业为：</w:t>
      </w:r>
      <w:r>
        <w:rPr>
          <w:rFonts w:hint="eastAsia" w:ascii="宋体" w:hAnsi="宋体" w:cs="Book Antiqua"/>
          <w:b/>
          <w:color w:val="auto"/>
          <w:szCs w:val="21"/>
          <w:highlight w:val="none"/>
        </w:rPr>
        <w:t>租赁和商务服务业</w:t>
      </w:r>
      <w:r>
        <w:rPr>
          <w:rFonts w:hint="eastAsia" w:ascii="宋体" w:hAnsi="宋体" w:cs="宋体"/>
          <w:color w:val="auto"/>
          <w:szCs w:val="21"/>
          <w:highlight w:val="none"/>
        </w:rPr>
        <w:t>。</w:t>
      </w:r>
    </w:p>
    <w:p w14:paraId="44D9AF8E">
      <w:pPr>
        <w:spacing w:line="44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rPr>
        <w:t>（1）技术要求</w:t>
      </w:r>
    </w:p>
    <w:tbl>
      <w:tblPr>
        <w:tblStyle w:val="6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225"/>
        <w:gridCol w:w="6938"/>
      </w:tblGrid>
      <w:tr w14:paraId="7B67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400E5DDD">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29" w:type="pct"/>
            <w:shd w:val="clear" w:color="auto" w:fill="auto"/>
            <w:vAlign w:val="center"/>
          </w:tcPr>
          <w:p w14:paraId="5E335D0F">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3520" w:type="pct"/>
            <w:shd w:val="clear" w:color="auto" w:fill="auto"/>
            <w:vAlign w:val="center"/>
          </w:tcPr>
          <w:p w14:paraId="1521C3AE">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服务需求</w:t>
            </w:r>
          </w:p>
        </w:tc>
      </w:tr>
      <w:tr w14:paraId="1088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245159F0">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29" w:type="pct"/>
            <w:shd w:val="clear" w:color="auto" w:fill="auto"/>
            <w:vAlign w:val="center"/>
          </w:tcPr>
          <w:p w14:paraId="4CFE6DC9">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北海市第一幼儿园</w:t>
            </w:r>
            <w:r>
              <w:rPr>
                <w:rFonts w:hint="eastAsia" w:ascii="宋体" w:hAnsi="宋体" w:eastAsia="宋体" w:cs="宋体"/>
                <w:color w:val="auto"/>
                <w:sz w:val="24"/>
                <w:szCs w:val="24"/>
                <w:highlight w:val="none"/>
              </w:rPr>
              <w:t>安保服务</w:t>
            </w:r>
          </w:p>
        </w:tc>
        <w:tc>
          <w:tcPr>
            <w:tcW w:w="3520" w:type="pct"/>
            <w:vMerge w:val="restart"/>
            <w:shd w:val="clear" w:color="auto" w:fill="auto"/>
            <w:vAlign w:val="center"/>
          </w:tcPr>
          <w:p w14:paraId="13D1204B">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一、服务范围和内容</w:t>
            </w:r>
          </w:p>
          <w:p w14:paraId="0678AFA5">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w:t>
            </w:r>
          </w:p>
          <w:p w14:paraId="4EE8AA3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为派驻学校校园全域提供安保服务，负责校园门卫管理和校园防火、防盗、治安巡逻等，落实校园安全管理。</w:t>
            </w:r>
          </w:p>
          <w:p w14:paraId="69754993">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692A7A6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校园门卫管理和校园防火、防盗、治安巡逻等一切校园安全管理，保护学校师生人身和财产安全，维护校园秩序，维护校园稳定，以及校园周边可能影响学校安全、可能对在校学生、教职员工产生安全隐患的区域，同时对发生在服务区域内的刑事案件、治安案件、治安火灾事故第一时间采取制止和组织扑救措施，并及时报告服务学校领导和报警，同时采取措施保护现场。</w:t>
            </w:r>
          </w:p>
          <w:p w14:paraId="4D38FE3C">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7D673987">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（一）总体服务要求</w:t>
            </w:r>
          </w:p>
          <w:p w14:paraId="278F94B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1．各派驻学校服务用工人数不少于该校区所需人数（详见本标段附表：人员需求表），保安必须持保安证上岗。</w:t>
            </w:r>
          </w:p>
          <w:p w14:paraId="5C9A9F8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必须为所有上岗人员购买社会保险及人身意外保险。</w:t>
            </w:r>
          </w:p>
          <w:p w14:paraId="391C73D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3．上岗人员在工作期间发生员工工伤及意外伤害事故以及涉及用工方面的劳务纠纷和劳动事故全部由</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承担责任。</w:t>
            </w:r>
          </w:p>
          <w:p w14:paraId="47AEF2C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4．服务费涵盖基本工资、社会保险、物业管理费、税费等费用。</w:t>
            </w:r>
          </w:p>
          <w:p w14:paraId="7908938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必须每月按时足额发放员工工资，不得以任何理由拖欠员工工资，确保及时足额支付。</w:t>
            </w:r>
          </w:p>
          <w:p w14:paraId="24D5E0D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需有安保管理方案，质量管理、档案管理等制度。</w:t>
            </w:r>
          </w:p>
          <w:p w14:paraId="68674CC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7．管理服务人员统一着装，行为规范，服务主动热情。</w:t>
            </w:r>
          </w:p>
          <w:p w14:paraId="683ABF3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每季度接受采购人服务质量考核，考核由采购人或派驻校方采取日常巡查、随机抽查、专项检查相结合的方式进行。服务费以考核得分等级支付，支付比例如下：得分≥90分：支付当季应付服务费的100%；80分≤得分&lt;90分：支付当季应付服务费的95%；70分≤得分&lt;80分：支付当季应付服务费的90%；得分&lt;70分：付当季应付服务费的85%。得分低于70分或连续两季度低于80分，采购人或派驻校方有权发出警告，要求限期整改，未能完成整改的采购人有权终止合同。</w:t>
            </w:r>
          </w:p>
          <w:p w14:paraId="14B24592">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（二）具体工作要求</w:t>
            </w:r>
          </w:p>
          <w:p w14:paraId="0525D83D">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1．岗位时间安排</w:t>
            </w:r>
          </w:p>
          <w:p w14:paraId="4593AB7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（1）安保人员：每天24小时四班三运转</w:t>
            </w:r>
            <w:r>
              <w:rPr>
                <w:rFonts w:hint="eastAsia" w:ascii="宋体" w:hAnsi="宋体" w:eastAsia="宋体" w:cs="宋体"/>
                <w:b/>
                <w:bCs/>
                <w:color w:val="auto"/>
                <w:highlight w:val="none"/>
                <w:lang w:val="en-US" w:eastAsia="zh-CN"/>
              </w:rPr>
              <w:t>（如所服务单位有特殊要求，具体安排由相关单位自行安排）</w:t>
            </w:r>
            <w:r>
              <w:rPr>
                <w:rFonts w:hint="eastAsia" w:ascii="宋体" w:hAnsi="宋体" w:eastAsia="宋体" w:cs="宋体"/>
                <w:color w:val="auto"/>
                <w:highlight w:val="none"/>
                <w:lang w:val="en-US" w:eastAsia="zh-CN"/>
              </w:rPr>
              <w:t>。</w:t>
            </w:r>
          </w:p>
          <w:p w14:paraId="7C27B44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必须按各个岗位不同时段的人员数量和岗位要求，配备保安力量，并保证实际到岗。</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在组织、安排保安工作时，应符合国家相关法规，维护保安人员的正当权益。</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对其用工行为承担一切法律责任。</w:t>
            </w:r>
          </w:p>
          <w:p w14:paraId="19510A6B">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 安保服务主要内容</w:t>
            </w:r>
          </w:p>
          <w:p w14:paraId="2EB4DA0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依照学校规定与管理要求，结合学校安全保卫工作实际情况，制订切实可行的安全保卫工作整体方案，开展专业化安保业务，具体服务工作内容如下：</w:t>
            </w:r>
          </w:p>
          <w:p w14:paraId="09DC217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（1）24小时全面负责校区（包括所有建筑物、公共场所）的治安防范工作。作为专业服务企业，</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应能够结合校园的具体情况制定和完善安全防范方案、管理方案，并有能力组织实施；</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必须按要求合理配置安保岗位和安保人员，明确岗位职责，抓好队伍管理和建设，采取人防、物防、技防措施，维护好校园治安秩序，全方位确保校园安全有序的教学科研、管理和学习生活环境。</w:t>
            </w:r>
          </w:p>
          <w:p w14:paraId="6F3C02A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（2）全面负责门卫管理，对校区日常开放的门岗实行门卫管理，负责对外来机动车辆、外来人员、出入校园物品进行检查登记等门卫值勤工作。</w:t>
            </w:r>
          </w:p>
          <w:p w14:paraId="2FD5BE2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（3）全面负责校区内安全重点部位的防破坏、防事故、防盗、防外来人员私自进入等守护守卫工作。</w:t>
            </w:r>
          </w:p>
          <w:p w14:paraId="753A4B3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（4）全面负责校区的治安巡逻，及时发现各类安全隐患，制止校园不文明举止，发现和制止校园暴力事件，随时准备提供紧急救助。</w:t>
            </w:r>
          </w:p>
          <w:p w14:paraId="7B17365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严格执行学校安全保卫制度、消防规章制度，负责做好学校安全、保卫、消防等工作。校园公共部位安全隐患检查、排除；定时巡检测试消防监控等设施设备，填写记录，发现问题时，应准确判断，及时上报。</w:t>
            </w:r>
          </w:p>
          <w:p w14:paraId="4317CE9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（6）在保卫科的组织领导下，协同做好校园内部治安综合治理工作，负责做好校园交通管理工作，做好校区内的综合治理工作。</w:t>
            </w:r>
          </w:p>
          <w:p w14:paraId="513A3F2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（7）协助做好学校重大活动安全保卫工作；负责学校各种大型活动的治安、交通秩序维护和消防等安全工作。遇到学校重大活动、临时性活动或突发性事件时，随时增添人员并听从学校统一安排和调遣。</w:t>
            </w:r>
          </w:p>
          <w:p w14:paraId="4945341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（8）配合保卫科执行各项管理制度，维护校园内教学、交通、生活秩序，执行率100%；接受保卫科的监督检查、考核及业务指导。</w:t>
            </w:r>
          </w:p>
          <w:p w14:paraId="25DA52E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安全监控值班：认真填写值班记录，要熟悉消防报警及监控录相设备的基本功能，做到会操作使用、会排除一般故障，具有相关技能与水平；服从学校综治部门管理，及时报告情况，做好各种突发事件的预防和处理工作。</w:t>
            </w:r>
          </w:p>
          <w:p w14:paraId="26B6B9A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highlight w:val="none"/>
                <w:lang w:val="en-US" w:eastAsia="zh-CN"/>
              </w:rPr>
              <w:t>其它属于保安服务范围内的工作以及学校临时交办的任务。</w:t>
            </w:r>
          </w:p>
          <w:p w14:paraId="482B15BD">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 服务工作质量目标要求</w:t>
            </w:r>
          </w:p>
          <w:p w14:paraId="7697A2C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（1）依照行业标准，根据学校管理规定与服务要求，制订切实可行的校园保安服务整体方案和应急预案，突发事件反应迅速，预案处置有力。</w:t>
            </w:r>
          </w:p>
          <w:p w14:paraId="7847125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（2）依法办事，文明执勤，严格管理，保障学校财产和师生人身权益不受侵害，维护正常的教学、科研、生活秩序。</w:t>
            </w:r>
          </w:p>
          <w:p w14:paraId="37C4E60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（3）全年无责任事故和责任案件发生，师生有安全感，对校园保安服务满意率达85%以上。</w:t>
            </w:r>
          </w:p>
          <w:p w14:paraId="55FFFB09">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 服务工作标准</w:t>
            </w:r>
          </w:p>
          <w:p w14:paraId="127425C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（1）自行配备门卫值勤、安全巡逻所需的器材、通讯设备和交通工具等。</w:t>
            </w:r>
          </w:p>
          <w:p w14:paraId="5D2C551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派驻学校的保安人员应持有保安员证。按治安管理要求，派驻学校的保安人员应持身份证、正规医院健康证明、无犯罪记录证明到学校保卫科填写“保安员备案表”，如有人员变动应及时到保卫科登记备案。值班、巡逻人员值班表每月提前报送保卫科。</w:t>
            </w:r>
          </w:p>
          <w:p w14:paraId="6986696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（3）负责校区的门卫工作，按照学校的制度及其他有关规定，认真管理好进出校园的人员、车辆和物资等。</w:t>
            </w:r>
          </w:p>
          <w:p w14:paraId="4F28F30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（4）学校遇有重大活动或全校性的考试需要增配、抽调人员协助时，应无偿按照校方要求执行，工作时应统一服装及标志。</w:t>
            </w:r>
          </w:p>
          <w:p w14:paraId="5BEA6F4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（5）坚持文明执勤、文明上岗。上岗人员要仪表整洁卫生，站岗姿势要端正规范，指挥车辆动作要准确、标准，执勤语言要文明。</w:t>
            </w:r>
          </w:p>
          <w:p w14:paraId="68F92D8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（6）积极主动协调处理校内治安，消防等方面的突发事件，迅速排除各种险情，及时制止违法犯罪行为，及时向保卫科报告各类案件、事故及其他重大问题和重要情况，做好校园110接处警工作。</w:t>
            </w:r>
          </w:p>
          <w:p w14:paraId="46EB87E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要建立文明值班室。值班场所做到整洁、卫生、有序，负责门前三包：“包安全、包卫生、包秩序”；上岗人员做到“六不”：不擅离岗位，不打瞌睡，不闲聊嬉闹，不打牌下棋，不聚众喝酒，不干私活会客。</w:t>
            </w:r>
          </w:p>
          <w:p w14:paraId="26E10991">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 队伍建设与管理要求</w:t>
            </w:r>
          </w:p>
          <w:p w14:paraId="6FCC396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（1）供应商必须持有保安服务许可资质证书，相应岗位人员应持有对应资格证书。</w:t>
            </w:r>
          </w:p>
          <w:p w14:paraId="351C576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（2）从学校安全实际出发，经常性开展在岗人员业务培训和紧急预案演练。</w:t>
            </w:r>
          </w:p>
          <w:p w14:paraId="1701EAA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（3）内部管理体制健全，设管理人员1名，全面负责日常保安队伍规范化管理，对保安人员的日常思想、工作、生活进行管理和领导，处理好保安队伍内部事务。</w:t>
            </w:r>
          </w:p>
          <w:p w14:paraId="0BC2894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（4）保持保安队伍的稳定，严格控制保安人员轮换岗比例，如有必要需更换保安人员的，应提前告知保卫科，确保服务质量不因人员变动而受影响。</w:t>
            </w:r>
          </w:p>
          <w:p w14:paraId="6183EA7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（5）保安人员应聘、录用、离职等管理档案规范，手续齐全，相应资料必须报保卫科备案，禁止离职人员和 “问题保安”、“黑保安”进入校园。</w:t>
            </w:r>
          </w:p>
          <w:p w14:paraId="07008E64">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 人员素质要求</w:t>
            </w:r>
          </w:p>
          <w:p w14:paraId="0329C38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（1）派驻学校的保安人员应知法、懂法、守法、依法办事，必须严格遵守保安从业规范，模范遵守校园安全管理规定。</w:t>
            </w:r>
          </w:p>
          <w:p w14:paraId="008132C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（2）管理人员应具备高中以上学历，有较高的政治思想素养和业务水平，有较强的组织协调能力，受过专门的保安业务培训。</w:t>
            </w:r>
          </w:p>
          <w:p w14:paraId="60038F1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派驻学校的保安人员应具备的个人素质条件：原则上为男性，具有初中及以上文化程度，退伍军人为佳，年龄在35至55周岁之间，身体健康，视力正常，无传染病、心血管疾病及精神等不能控制自己行为能力的疾病病史，体貌端正，无被刑事处罚、劳动教养、收容教育、强制隔离戒毒或者被开除公职、开除军籍等不良记录，无犯罪记录，曾受过刑事及治安处罚的人员不得录用派驻。</w:t>
            </w:r>
          </w:p>
          <w:p w14:paraId="4518456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（4）派驻学校的保安人员有高度的责任感和吃苦耐劳的精神，应受过岗前专业培训，熟知学校的管理规定，恪尽职守，善于发现各类问题，具备一定的管理经验和处理突发事件能力。</w:t>
            </w:r>
          </w:p>
          <w:p w14:paraId="132047AA">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7. 工作衔接要求</w:t>
            </w:r>
          </w:p>
          <w:p w14:paraId="39CBE99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（1）根据行业服务标准与学校规定要求，独立运作，落实校园安全保卫整体方案，并结合校园实际在实践中不断完善。</w:t>
            </w:r>
          </w:p>
          <w:p w14:paraId="5C83A10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（2）在校园现有保安人员自愿前提下，采购人同意接收现有保安，并与之签订用工合同，规范管理，保持平稳过渡。</w:t>
            </w:r>
          </w:p>
          <w:p w14:paraId="3DC35CF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（3）管理人员须与保卫科保持必要的工作交流，每星期一次向保卫科口头汇报所承担的保安工作开展情况及信息反馈，重大情况须及时报告。</w:t>
            </w:r>
          </w:p>
          <w:p w14:paraId="6555A6F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（4）做好详细的执勤记录，原始台帐保存完好，以备学校核查。</w:t>
            </w:r>
          </w:p>
          <w:p w14:paraId="1D83D9B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（5）协同学校治安协防组织，形成群防群治体系。</w:t>
            </w:r>
          </w:p>
          <w:p w14:paraId="4C53C6F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（6）与宿管员协作，内外联动，开展一体化安全防范。</w:t>
            </w:r>
          </w:p>
          <w:p w14:paraId="669DD59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（7）与当地派出所、综治办加强合作与交流。</w:t>
            </w:r>
          </w:p>
          <w:p w14:paraId="75866C70">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 岗位工作职责要求</w:t>
            </w:r>
          </w:p>
          <w:p w14:paraId="2C2260E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理人员：代表公司全面负责保安队伍的日常管理事务，严格队伍纪律管理，奖优罚劣；承担保安违规违纪连带责任；实行人性化管理，关心队员的思想动态，充分调动队员积极性，努力保证队伍稳定；传达落实学校的服务要求与管理规定，组织实施并不断完善校园安全保卫整体方案；结合学校发展实际情况，适时做出岗位调整，完善各岗位职责；定期向保卫处汇报工作开展情况及治安信息，重大情况随时报告；配合学校处理校区内违规事件；组织开展保安业务培训和预案演练，制定校园内重大活动的安全保卫方案；建立健全录用保安人员档案资料。负责安排保安的日常工作，督促检查在岗人员履行岗位职责情况，纠正队员违规违纪行为，日常管理不流于形式，形成良好风气，妥善保管好学校提供的设备器材，严格交接班制度。</w:t>
            </w:r>
          </w:p>
          <w:p w14:paraId="78CC640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门卫管理：严格人员、车辆、物资进出管理；按时立岗，礼貌待人，树立良好的窗口形象；对来访人员实行验证登记制度，禁止闲杂人员混入校园；对携物出门实行出门证验审制度，防止财物流失；对外单位车辆实行换证入校制度；维护责任区域秩序，与各岗位互通信息；值班室无闲杂人员滞留，保持内外环境整洁卫生和门前三包；完成学校交办的其他事项。</w:t>
            </w:r>
          </w:p>
          <w:p w14:paraId="03745FC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机动巡逻：发现和排除各种不安全因素，及时处置各种违法犯罪行为；听从队长的工作安排与指挥调度，善于发现、分析处理各种事故隐患和突发事件；根据不同情况，灵活执行巡逻方案；加强对重点区域、要害部位的安全巡查，巡更踩点不流于形式，并与监控室保持联动；协助各岗位开展校园秩序维护和交通秩序管理工作；协助宿管物业及责任部门开展安全防范并如实记录汇报巡逻记录。通过门卫卡口管理、区域守护与机动巡逻，形成校园安全防范网络；保障校区内正常的学习、生活、教学、科研、工作秩序；禁止小商、小贩、盲流人员进入校园；禁止在校园内乱设摊点；加强校园内部交通秩序管理，通过主动干预提示，控制车辆速度，禁止无牌照车辆进入校园，保障大门及校内道路畅通，无交通事故发生，无车辆乱停乱放现象；按校方规定对悬挂横幅进行管理，及时清理校园内乱贴物，发现反动标语、非法和不良宣传物等及时报告保卫科。</w:t>
            </w:r>
          </w:p>
          <w:p w14:paraId="36CE2457">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9. 安保人员行为规范要求</w:t>
            </w:r>
          </w:p>
          <w:p w14:paraId="57ACA2F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（1）职业道德要求 </w:t>
            </w:r>
          </w:p>
          <w:p w14:paraId="2CA9043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 敬业爱岗：勤奋敬业，积极肯干，热爱本职岗位，乐于为本职工作奉献。</w:t>
            </w:r>
          </w:p>
          <w:p w14:paraId="07E9B5A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 遵守纪律：认真遵守国家政策、法规、法令，遵守公司规章制度和劳动纪律。</w:t>
            </w:r>
          </w:p>
          <w:p w14:paraId="53F6079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认真学习：努力学习科学文化知识，不断提高业务技术水平，努力提高服务质量。</w:t>
            </w:r>
          </w:p>
          <w:p w14:paraId="24F8DFC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 公私分明：爱护公物，不谋私利，自觉地维护公司的利益和声誉。</w:t>
            </w:r>
          </w:p>
          <w:p w14:paraId="72F6A2E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 勤俭节约：具有良好的节约意识，勤俭节约。</w:t>
            </w:r>
          </w:p>
          <w:p w14:paraId="7695B60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⑥ 团结合作：严于律己，宽以待人，正确处理好个人与集体、同事的关系，具有良好的协作精神，易与他人相处。</w:t>
            </w:r>
          </w:p>
          <w:p w14:paraId="617C71F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⑦ 严守秘密：未经批准，不向外界传播或提供有关学校的任何资料。</w:t>
            </w:r>
          </w:p>
          <w:p w14:paraId="72DE32D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（2）服务意识要求  </w:t>
            </w:r>
          </w:p>
          <w:p w14:paraId="087BEA7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 文明礼貌：做到语言规范，谈吐文雅，衣冠整洁，举止端庄。</w:t>
            </w:r>
          </w:p>
          <w:p w14:paraId="33A33BF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 主动热情：以真诚的笑容，主动热情地为师生服务，主动了解师生的需要，努力为师生排忧解难。</w:t>
            </w:r>
          </w:p>
          <w:p w14:paraId="690E6FB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耐心周到：员工在对师生的服务中要耐心周到，问多不厌，事多不烦，虚心听取师生意见，耐心解答师生问题，服务体贴入微，有求必应，面面俱到，尽善尽美。</w:t>
            </w:r>
          </w:p>
          <w:p w14:paraId="27012BB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（3）仪容仪表要求 </w:t>
            </w:r>
          </w:p>
          <w:p w14:paraId="4C01AA4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① 所有安保人员，在值班过程中，保持衣冠整洁，按规定要求着装（包括：着制服、扎腰带，戴钢盔等），将工作卡端正地佩戴在左胸前。 </w:t>
            </w:r>
          </w:p>
          <w:p w14:paraId="779CDC4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② 工作场所不得穿短裤、背心、拖鞋。 </w:t>
            </w:r>
          </w:p>
          <w:p w14:paraId="4E7979C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男员工头发不盖耳朵、不遮衣领，每天剃须，保持指甲清洁，不留长指甲，扣好衣扣裤扣，紧束领带（大箭头垂到皮带扣处为准），衬衣下摆放进裤内。</w:t>
            </w:r>
          </w:p>
          <w:p w14:paraId="7E47770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highlight w:val="none"/>
                <w:lang w:val="en-US" w:eastAsia="zh-CN"/>
              </w:rPr>
              <w:t>④ 女员工头发不过肩，不做怪异发型，不留长指甲，不染指甲，不浓妆艳抹，不穿黑色或带花丝袜。</w:t>
            </w:r>
          </w:p>
        </w:tc>
      </w:tr>
      <w:tr w14:paraId="256E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42367D51">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29" w:type="pct"/>
            <w:shd w:val="clear" w:color="auto" w:fill="auto"/>
            <w:vAlign w:val="center"/>
          </w:tcPr>
          <w:p w14:paraId="268D80C9">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北海市第二幼儿园</w:t>
            </w:r>
            <w:r>
              <w:rPr>
                <w:rFonts w:hint="eastAsia" w:ascii="宋体" w:hAnsi="宋体" w:eastAsia="宋体" w:cs="宋体"/>
                <w:color w:val="auto"/>
                <w:sz w:val="24"/>
                <w:szCs w:val="24"/>
                <w:highlight w:val="none"/>
              </w:rPr>
              <w:t>安保服务</w:t>
            </w:r>
          </w:p>
        </w:tc>
        <w:tc>
          <w:tcPr>
            <w:tcW w:w="3520" w:type="pct"/>
            <w:vMerge w:val="continue"/>
            <w:shd w:val="clear" w:color="auto" w:fill="auto"/>
            <w:vAlign w:val="center"/>
          </w:tcPr>
          <w:p w14:paraId="65BD6EE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p>
        </w:tc>
      </w:tr>
      <w:tr w14:paraId="707B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061370E7">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29" w:type="pct"/>
            <w:shd w:val="clear" w:color="auto" w:fill="auto"/>
            <w:vAlign w:val="center"/>
          </w:tcPr>
          <w:p w14:paraId="0F31AA8F">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北海市第三幼儿园</w:t>
            </w:r>
            <w:r>
              <w:rPr>
                <w:rFonts w:hint="eastAsia" w:ascii="宋体" w:hAnsi="宋体" w:eastAsia="宋体" w:cs="宋体"/>
                <w:color w:val="auto"/>
                <w:sz w:val="24"/>
                <w:szCs w:val="24"/>
                <w:highlight w:val="none"/>
              </w:rPr>
              <w:t>安保服务</w:t>
            </w:r>
          </w:p>
        </w:tc>
        <w:tc>
          <w:tcPr>
            <w:tcW w:w="3520" w:type="pct"/>
            <w:vMerge w:val="continue"/>
            <w:shd w:val="clear" w:color="auto" w:fill="auto"/>
            <w:vAlign w:val="center"/>
          </w:tcPr>
          <w:p w14:paraId="3F656CC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p>
        </w:tc>
      </w:tr>
      <w:tr w14:paraId="3164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78076F54">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29" w:type="pct"/>
            <w:shd w:val="clear" w:color="auto" w:fill="auto"/>
            <w:vAlign w:val="center"/>
          </w:tcPr>
          <w:p w14:paraId="5B38FD54">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北海市第一中学</w:t>
            </w:r>
            <w:r>
              <w:rPr>
                <w:rFonts w:hint="eastAsia" w:ascii="宋体" w:hAnsi="宋体" w:eastAsia="宋体" w:cs="宋体"/>
                <w:color w:val="auto"/>
                <w:sz w:val="24"/>
                <w:szCs w:val="24"/>
                <w:highlight w:val="none"/>
              </w:rPr>
              <w:t>安保服务</w:t>
            </w:r>
          </w:p>
        </w:tc>
        <w:tc>
          <w:tcPr>
            <w:tcW w:w="3520" w:type="pct"/>
            <w:vMerge w:val="continue"/>
            <w:shd w:val="clear" w:color="auto" w:fill="auto"/>
            <w:vAlign w:val="center"/>
          </w:tcPr>
          <w:p w14:paraId="3F27E19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p>
        </w:tc>
      </w:tr>
      <w:tr w14:paraId="20FE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64A67365">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129" w:type="pct"/>
            <w:shd w:val="clear" w:color="auto" w:fill="auto"/>
            <w:vAlign w:val="center"/>
          </w:tcPr>
          <w:p w14:paraId="64F67B8C">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北海市第三中学</w:t>
            </w:r>
            <w:r>
              <w:rPr>
                <w:rFonts w:hint="eastAsia" w:ascii="宋体" w:hAnsi="宋体" w:eastAsia="宋体" w:cs="宋体"/>
                <w:color w:val="auto"/>
                <w:sz w:val="24"/>
                <w:szCs w:val="24"/>
                <w:highlight w:val="none"/>
              </w:rPr>
              <w:t>安保服务</w:t>
            </w:r>
          </w:p>
        </w:tc>
        <w:tc>
          <w:tcPr>
            <w:tcW w:w="3520" w:type="pct"/>
            <w:vMerge w:val="continue"/>
            <w:shd w:val="clear" w:color="auto" w:fill="auto"/>
            <w:vAlign w:val="center"/>
          </w:tcPr>
          <w:p w14:paraId="49EF614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p>
        </w:tc>
      </w:tr>
      <w:tr w14:paraId="3B40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33A062A2">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129" w:type="pct"/>
            <w:shd w:val="clear" w:color="auto" w:fill="auto"/>
            <w:vAlign w:val="center"/>
          </w:tcPr>
          <w:p w14:paraId="2F56756A">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北海市第五中学</w:t>
            </w:r>
            <w:r>
              <w:rPr>
                <w:rFonts w:hint="eastAsia" w:ascii="宋体" w:hAnsi="宋体" w:eastAsia="宋体" w:cs="宋体"/>
                <w:color w:val="auto"/>
                <w:sz w:val="24"/>
                <w:szCs w:val="24"/>
                <w:highlight w:val="none"/>
              </w:rPr>
              <w:t>安保服务</w:t>
            </w:r>
          </w:p>
        </w:tc>
        <w:tc>
          <w:tcPr>
            <w:tcW w:w="3520" w:type="pct"/>
            <w:vMerge w:val="continue"/>
            <w:shd w:val="clear" w:color="auto" w:fill="auto"/>
            <w:vAlign w:val="center"/>
          </w:tcPr>
          <w:p w14:paraId="2E79285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p>
        </w:tc>
      </w:tr>
      <w:tr w14:paraId="2518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429324A7">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129" w:type="pct"/>
            <w:shd w:val="clear" w:color="auto" w:fill="auto"/>
            <w:vAlign w:val="center"/>
          </w:tcPr>
          <w:p w14:paraId="62E2F70B">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北海市第八中学</w:t>
            </w:r>
            <w:r>
              <w:rPr>
                <w:rFonts w:hint="eastAsia" w:ascii="宋体" w:hAnsi="宋体" w:eastAsia="宋体" w:cs="宋体"/>
                <w:color w:val="auto"/>
                <w:sz w:val="24"/>
                <w:szCs w:val="24"/>
                <w:highlight w:val="none"/>
              </w:rPr>
              <w:t>安保服务</w:t>
            </w:r>
          </w:p>
        </w:tc>
        <w:tc>
          <w:tcPr>
            <w:tcW w:w="3520" w:type="pct"/>
            <w:vMerge w:val="continue"/>
            <w:shd w:val="clear" w:color="auto" w:fill="auto"/>
            <w:vAlign w:val="center"/>
          </w:tcPr>
          <w:p w14:paraId="467A239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p>
        </w:tc>
      </w:tr>
      <w:tr w14:paraId="6086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63A3FB13">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129" w:type="pct"/>
            <w:shd w:val="clear" w:color="auto" w:fill="auto"/>
            <w:vAlign w:val="center"/>
          </w:tcPr>
          <w:p w14:paraId="0D849500">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北海市第九中学</w:t>
            </w:r>
            <w:r>
              <w:rPr>
                <w:rFonts w:hint="eastAsia" w:ascii="宋体" w:hAnsi="宋体" w:eastAsia="宋体" w:cs="宋体"/>
                <w:color w:val="auto"/>
                <w:sz w:val="24"/>
                <w:szCs w:val="24"/>
                <w:highlight w:val="none"/>
              </w:rPr>
              <w:t>安保服务</w:t>
            </w:r>
          </w:p>
        </w:tc>
        <w:tc>
          <w:tcPr>
            <w:tcW w:w="3520" w:type="pct"/>
            <w:vMerge w:val="continue"/>
            <w:shd w:val="clear" w:color="auto" w:fill="auto"/>
            <w:vAlign w:val="center"/>
          </w:tcPr>
          <w:p w14:paraId="11FAC4C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p>
        </w:tc>
      </w:tr>
      <w:tr w14:paraId="6E16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350" w:type="pct"/>
            <w:shd w:val="clear" w:color="auto" w:fill="auto"/>
            <w:vAlign w:val="center"/>
          </w:tcPr>
          <w:p w14:paraId="0807D122">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129" w:type="pct"/>
            <w:shd w:val="clear" w:color="auto" w:fill="auto"/>
            <w:vAlign w:val="center"/>
          </w:tcPr>
          <w:p w14:paraId="3465DCEE">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北海市实验学校</w:t>
            </w:r>
            <w:r>
              <w:rPr>
                <w:rFonts w:hint="eastAsia" w:ascii="宋体" w:hAnsi="宋体" w:eastAsia="宋体" w:cs="宋体"/>
                <w:color w:val="auto"/>
                <w:sz w:val="24"/>
                <w:szCs w:val="24"/>
                <w:highlight w:val="none"/>
              </w:rPr>
              <w:t>安保服务</w:t>
            </w:r>
          </w:p>
        </w:tc>
        <w:tc>
          <w:tcPr>
            <w:tcW w:w="3520" w:type="pct"/>
            <w:vMerge w:val="continue"/>
            <w:shd w:val="clear" w:color="auto" w:fill="auto"/>
            <w:vAlign w:val="center"/>
          </w:tcPr>
          <w:p w14:paraId="40BF050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p>
        </w:tc>
      </w:tr>
    </w:tbl>
    <w:p w14:paraId="619E82D4">
      <w:pPr>
        <w:bidi w:val="0"/>
        <w:rPr>
          <w:rFonts w:hint="default" w:ascii="Times New Roman" w:hAnsi="Times New Roman" w:cs="Times New Roman"/>
          <w:b/>
          <w:bCs/>
          <w:color w:val="auto"/>
          <w:highlight w:val="none"/>
          <w:lang w:val="en-US" w:eastAsia="zh-CN"/>
        </w:rPr>
      </w:pPr>
    </w:p>
    <w:p w14:paraId="77CD5A69">
      <w:pPr>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附表：</w:t>
      </w:r>
    </w:p>
    <w:p w14:paraId="0375C775">
      <w:pPr>
        <w:bidi w:val="0"/>
        <w:ind w:left="0" w:leftChars="0" w:firstLine="0" w:firstLineChars="0"/>
        <w:jc w:val="center"/>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lang w:val="en-US" w:eastAsia="zh-CN"/>
        </w:rPr>
        <w:t>人员需求表</w:t>
      </w:r>
    </w:p>
    <w:tbl>
      <w:tblPr>
        <w:tblStyle w:val="65"/>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510"/>
        <w:gridCol w:w="1685"/>
        <w:gridCol w:w="1336"/>
        <w:gridCol w:w="1909"/>
        <w:gridCol w:w="1423"/>
      </w:tblGrid>
      <w:tr w14:paraId="0389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Align w:val="center"/>
          </w:tcPr>
          <w:p w14:paraId="57D8C4FE">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序号</w:t>
            </w:r>
          </w:p>
        </w:tc>
        <w:tc>
          <w:tcPr>
            <w:tcW w:w="2510" w:type="dxa"/>
            <w:vAlign w:val="center"/>
          </w:tcPr>
          <w:p w14:paraId="1A0F515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学校</w:t>
            </w:r>
          </w:p>
        </w:tc>
        <w:tc>
          <w:tcPr>
            <w:tcW w:w="1685" w:type="dxa"/>
            <w:vAlign w:val="center"/>
          </w:tcPr>
          <w:p w14:paraId="1FB0E5D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人员类别</w:t>
            </w:r>
          </w:p>
        </w:tc>
        <w:tc>
          <w:tcPr>
            <w:tcW w:w="1336" w:type="dxa"/>
            <w:vAlign w:val="center"/>
          </w:tcPr>
          <w:p w14:paraId="3930946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配备人数</w:t>
            </w:r>
          </w:p>
        </w:tc>
        <w:tc>
          <w:tcPr>
            <w:tcW w:w="1909" w:type="dxa"/>
            <w:vAlign w:val="center"/>
          </w:tcPr>
          <w:p w14:paraId="6512988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投标最高限价</w:t>
            </w:r>
          </w:p>
          <w:p w14:paraId="07073AC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（万元）</w:t>
            </w:r>
          </w:p>
        </w:tc>
        <w:tc>
          <w:tcPr>
            <w:tcW w:w="1423" w:type="dxa"/>
            <w:vAlign w:val="center"/>
          </w:tcPr>
          <w:p w14:paraId="56FC186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备注</w:t>
            </w:r>
          </w:p>
        </w:tc>
      </w:tr>
      <w:tr w14:paraId="3079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Align w:val="center"/>
          </w:tcPr>
          <w:p w14:paraId="2E13B42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2510" w:type="dxa"/>
            <w:vAlign w:val="center"/>
          </w:tcPr>
          <w:p w14:paraId="64D0AB7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北海市第一幼儿园</w:t>
            </w:r>
          </w:p>
        </w:tc>
        <w:tc>
          <w:tcPr>
            <w:tcW w:w="1685" w:type="dxa"/>
            <w:vAlign w:val="center"/>
          </w:tcPr>
          <w:p w14:paraId="456B767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336" w:type="dxa"/>
            <w:vAlign w:val="center"/>
          </w:tcPr>
          <w:p w14:paraId="218D0E1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1909" w:type="dxa"/>
            <w:vAlign w:val="center"/>
          </w:tcPr>
          <w:p w14:paraId="049557F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54.34</w:t>
            </w:r>
          </w:p>
        </w:tc>
        <w:tc>
          <w:tcPr>
            <w:tcW w:w="1423" w:type="dxa"/>
            <w:vAlign w:val="center"/>
          </w:tcPr>
          <w:p w14:paraId="3F8295B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704E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Align w:val="center"/>
          </w:tcPr>
          <w:p w14:paraId="140F0AB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2510" w:type="dxa"/>
            <w:vAlign w:val="center"/>
          </w:tcPr>
          <w:p w14:paraId="1EE3A40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北海市第二幼儿园</w:t>
            </w:r>
          </w:p>
        </w:tc>
        <w:tc>
          <w:tcPr>
            <w:tcW w:w="1685" w:type="dxa"/>
            <w:shd w:val="clear" w:color="auto" w:fill="auto"/>
            <w:vAlign w:val="center"/>
          </w:tcPr>
          <w:p w14:paraId="6EBED57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保安</w:t>
            </w:r>
          </w:p>
        </w:tc>
        <w:tc>
          <w:tcPr>
            <w:tcW w:w="1336" w:type="dxa"/>
            <w:vAlign w:val="center"/>
          </w:tcPr>
          <w:p w14:paraId="323EA18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1909" w:type="dxa"/>
            <w:vAlign w:val="center"/>
          </w:tcPr>
          <w:p w14:paraId="799DB06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45.28</w:t>
            </w:r>
          </w:p>
        </w:tc>
        <w:tc>
          <w:tcPr>
            <w:tcW w:w="1423" w:type="dxa"/>
            <w:vAlign w:val="center"/>
          </w:tcPr>
          <w:p w14:paraId="1BB7337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476C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Align w:val="center"/>
          </w:tcPr>
          <w:p w14:paraId="21CC430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2510" w:type="dxa"/>
            <w:vAlign w:val="center"/>
          </w:tcPr>
          <w:p w14:paraId="3AF7748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北海市第三幼儿园</w:t>
            </w:r>
          </w:p>
        </w:tc>
        <w:tc>
          <w:tcPr>
            <w:tcW w:w="1685" w:type="dxa"/>
            <w:vAlign w:val="center"/>
          </w:tcPr>
          <w:p w14:paraId="2B6467D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336" w:type="dxa"/>
            <w:vAlign w:val="center"/>
          </w:tcPr>
          <w:p w14:paraId="3ADFD72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1909" w:type="dxa"/>
            <w:vAlign w:val="center"/>
          </w:tcPr>
          <w:p w14:paraId="38D112D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45.28</w:t>
            </w:r>
          </w:p>
        </w:tc>
        <w:tc>
          <w:tcPr>
            <w:tcW w:w="1423" w:type="dxa"/>
            <w:vAlign w:val="center"/>
          </w:tcPr>
          <w:p w14:paraId="293E8C6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70BC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Align w:val="center"/>
          </w:tcPr>
          <w:p w14:paraId="7FD07263">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w:t>
            </w:r>
          </w:p>
        </w:tc>
        <w:tc>
          <w:tcPr>
            <w:tcW w:w="2510" w:type="dxa"/>
            <w:vAlign w:val="center"/>
          </w:tcPr>
          <w:p w14:paraId="6779933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北海市第一中学</w:t>
            </w:r>
          </w:p>
        </w:tc>
        <w:tc>
          <w:tcPr>
            <w:tcW w:w="1685" w:type="dxa"/>
            <w:vAlign w:val="center"/>
          </w:tcPr>
          <w:p w14:paraId="31E0F7F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336" w:type="dxa"/>
            <w:vAlign w:val="center"/>
          </w:tcPr>
          <w:p w14:paraId="5AD2FEE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14</w:t>
            </w:r>
          </w:p>
        </w:tc>
        <w:tc>
          <w:tcPr>
            <w:tcW w:w="1909" w:type="dxa"/>
            <w:vAlign w:val="center"/>
          </w:tcPr>
          <w:p w14:paraId="7C0218F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126.79</w:t>
            </w:r>
          </w:p>
        </w:tc>
        <w:tc>
          <w:tcPr>
            <w:tcW w:w="1423" w:type="dxa"/>
            <w:vAlign w:val="center"/>
          </w:tcPr>
          <w:p w14:paraId="2DAF79B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2AC6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Align w:val="center"/>
          </w:tcPr>
          <w:p w14:paraId="49B695D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2510" w:type="dxa"/>
            <w:vAlign w:val="center"/>
          </w:tcPr>
          <w:p w14:paraId="02D6BF2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北海市第三中学</w:t>
            </w:r>
          </w:p>
        </w:tc>
        <w:tc>
          <w:tcPr>
            <w:tcW w:w="1685" w:type="dxa"/>
            <w:vAlign w:val="center"/>
          </w:tcPr>
          <w:p w14:paraId="20311AE3">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336" w:type="dxa"/>
            <w:vAlign w:val="center"/>
          </w:tcPr>
          <w:p w14:paraId="2F0C10E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1909" w:type="dxa"/>
            <w:vAlign w:val="center"/>
          </w:tcPr>
          <w:p w14:paraId="480F0A7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54.34</w:t>
            </w:r>
          </w:p>
        </w:tc>
        <w:tc>
          <w:tcPr>
            <w:tcW w:w="1423" w:type="dxa"/>
            <w:vAlign w:val="center"/>
          </w:tcPr>
          <w:p w14:paraId="05B7315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7BD8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Align w:val="center"/>
          </w:tcPr>
          <w:p w14:paraId="00ACA27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2510" w:type="dxa"/>
            <w:vAlign w:val="center"/>
          </w:tcPr>
          <w:p w14:paraId="2288F3B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北海市第五中学</w:t>
            </w:r>
          </w:p>
        </w:tc>
        <w:tc>
          <w:tcPr>
            <w:tcW w:w="1685" w:type="dxa"/>
            <w:vAlign w:val="center"/>
          </w:tcPr>
          <w:p w14:paraId="7C807E1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336" w:type="dxa"/>
            <w:vAlign w:val="center"/>
          </w:tcPr>
          <w:p w14:paraId="4D8E3D8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10</w:t>
            </w:r>
          </w:p>
        </w:tc>
        <w:tc>
          <w:tcPr>
            <w:tcW w:w="1909" w:type="dxa"/>
            <w:vAlign w:val="center"/>
          </w:tcPr>
          <w:p w14:paraId="2CDC779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90.56</w:t>
            </w:r>
          </w:p>
        </w:tc>
        <w:tc>
          <w:tcPr>
            <w:tcW w:w="1423" w:type="dxa"/>
            <w:vAlign w:val="center"/>
          </w:tcPr>
          <w:p w14:paraId="571ADC9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74D8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Align w:val="center"/>
          </w:tcPr>
          <w:p w14:paraId="120ABA3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w:t>
            </w:r>
          </w:p>
        </w:tc>
        <w:tc>
          <w:tcPr>
            <w:tcW w:w="2510" w:type="dxa"/>
            <w:vAlign w:val="center"/>
          </w:tcPr>
          <w:p w14:paraId="3DE657F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北海市第八中学</w:t>
            </w:r>
          </w:p>
        </w:tc>
        <w:tc>
          <w:tcPr>
            <w:tcW w:w="1685" w:type="dxa"/>
            <w:vAlign w:val="center"/>
          </w:tcPr>
          <w:p w14:paraId="0807AD9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336" w:type="dxa"/>
            <w:vAlign w:val="center"/>
          </w:tcPr>
          <w:p w14:paraId="5F5BE50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1909" w:type="dxa"/>
            <w:vAlign w:val="center"/>
          </w:tcPr>
          <w:p w14:paraId="726FDF5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54.34</w:t>
            </w:r>
          </w:p>
        </w:tc>
        <w:tc>
          <w:tcPr>
            <w:tcW w:w="1423" w:type="dxa"/>
            <w:vAlign w:val="center"/>
          </w:tcPr>
          <w:p w14:paraId="2E34083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3D3C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Align w:val="center"/>
          </w:tcPr>
          <w:p w14:paraId="784F080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w:t>
            </w:r>
          </w:p>
        </w:tc>
        <w:tc>
          <w:tcPr>
            <w:tcW w:w="2510" w:type="dxa"/>
            <w:vAlign w:val="center"/>
          </w:tcPr>
          <w:p w14:paraId="4C2A598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北海市第九中学</w:t>
            </w:r>
          </w:p>
        </w:tc>
        <w:tc>
          <w:tcPr>
            <w:tcW w:w="1685" w:type="dxa"/>
            <w:vAlign w:val="center"/>
          </w:tcPr>
          <w:p w14:paraId="1996397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336" w:type="dxa"/>
            <w:vAlign w:val="center"/>
          </w:tcPr>
          <w:p w14:paraId="36CC918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w:t>
            </w:r>
          </w:p>
        </w:tc>
        <w:tc>
          <w:tcPr>
            <w:tcW w:w="1909" w:type="dxa"/>
            <w:vAlign w:val="center"/>
          </w:tcPr>
          <w:p w14:paraId="31E422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72.45</w:t>
            </w:r>
          </w:p>
        </w:tc>
        <w:tc>
          <w:tcPr>
            <w:tcW w:w="1423" w:type="dxa"/>
            <w:vAlign w:val="center"/>
          </w:tcPr>
          <w:p w14:paraId="0762196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2F1A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vAlign w:val="center"/>
          </w:tcPr>
          <w:p w14:paraId="4F6BB3B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9</w:t>
            </w:r>
          </w:p>
        </w:tc>
        <w:tc>
          <w:tcPr>
            <w:tcW w:w="2510" w:type="dxa"/>
            <w:vAlign w:val="center"/>
          </w:tcPr>
          <w:p w14:paraId="0AD6E28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北海市实验学校</w:t>
            </w:r>
          </w:p>
        </w:tc>
        <w:tc>
          <w:tcPr>
            <w:tcW w:w="1685" w:type="dxa"/>
            <w:vAlign w:val="center"/>
          </w:tcPr>
          <w:p w14:paraId="3179A46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336" w:type="dxa"/>
            <w:vAlign w:val="center"/>
          </w:tcPr>
          <w:p w14:paraId="420384A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10</w:t>
            </w:r>
          </w:p>
        </w:tc>
        <w:tc>
          <w:tcPr>
            <w:tcW w:w="1909" w:type="dxa"/>
            <w:vAlign w:val="center"/>
          </w:tcPr>
          <w:p w14:paraId="1758904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90.56</w:t>
            </w:r>
          </w:p>
        </w:tc>
        <w:tc>
          <w:tcPr>
            <w:tcW w:w="1423" w:type="dxa"/>
            <w:vAlign w:val="center"/>
          </w:tcPr>
          <w:p w14:paraId="3E47B34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bl>
    <w:p w14:paraId="3E81BDE4">
      <w:pPr>
        <w:rPr>
          <w:color w:val="auto"/>
          <w:highlight w:val="none"/>
        </w:rPr>
      </w:pPr>
    </w:p>
    <w:p w14:paraId="619D3FBE">
      <w:pPr>
        <w:spacing w:line="44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w:t>
      </w:r>
      <w:r>
        <w:rPr>
          <w:rFonts w:hint="eastAsia" w:ascii="宋体" w:hAnsi="宋体" w:cs="宋体"/>
          <w:b/>
          <w:color w:val="auto"/>
          <w:szCs w:val="21"/>
          <w:highlight w:val="none"/>
        </w:rPr>
        <w:t>（2）商务要求</w:t>
      </w:r>
    </w:p>
    <w:tbl>
      <w:tblPr>
        <w:tblStyle w:val="64"/>
        <w:tblpPr w:leftFromText="180" w:rightFromText="180" w:vertAnchor="text" w:horzAnchor="page" w:tblpX="1365" w:tblpY="441"/>
        <w:tblOverlap w:val="never"/>
        <w:tblW w:w="993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9"/>
        <w:gridCol w:w="7684"/>
      </w:tblGrid>
      <w:tr w14:paraId="6D195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455627">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投标报价要求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A3F75B">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1.投标报价包含人员工资、培训、服装、奖金、五险、其他必要的保险等营业成本以及利润、物业管理服务中所发生的各项税收等费用。</w:t>
            </w:r>
          </w:p>
          <w:p w14:paraId="1B1D6190">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2.供应商报价须列明各服务单位（各学校）的投入服务人数及报价。各学校的报价不得超过该服务单位的投标最高限价。</w:t>
            </w:r>
          </w:p>
        </w:tc>
      </w:tr>
      <w:tr w14:paraId="31FB6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26C1F">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合同签订</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79D23E">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按照政府采购有关规定，由市教育局、服务单位与成交供应商公司三方签订合同，在合同中明确各自的权利、义务及责任，切实履行协议内容。中标人须接受采购人和服务单位（各学校）的共同管理。</w:t>
            </w:r>
          </w:p>
        </w:tc>
      </w:tr>
      <w:tr w14:paraId="6B7D5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8475D1">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服务期限及地点</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445B8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1.服务的时间：自签订合同完成并开始履行之日起2年。 </w:t>
            </w:r>
          </w:p>
          <w:p w14:paraId="1D9A7C84">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2.服务的地点：北海市第一幼儿园、北海市第二幼儿园、北海市第三幼儿园、北海市第一中学、北海市第三中学、北海市第五中学、北海市第八中学、北海市第九中学、北海市实验学校。</w:t>
            </w:r>
          </w:p>
        </w:tc>
      </w:tr>
      <w:tr w14:paraId="215DB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DAC1E8">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71438D">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按照所服务单位划定的工作范围、工作内容及管理目标成立相关机构，制定相应工作流程、工作制度、监督考核办法，合理安排人员，科学管理，严格要求，达标运行。接受市教育局、所服务单位及相关职能部门的监督、检查、指导，发现问题及时沟通、整改，保证规范运行。</w:t>
            </w:r>
          </w:p>
          <w:p w14:paraId="7444FFD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2.中标人须为聘用员工购买基本社会保险，对员工的疾病和人身安全负责，采购人不承担责任。</w:t>
            </w:r>
          </w:p>
          <w:p w14:paraId="378DC9E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季度接受所服务单位质量考核（按照招标文件、投标文件及合同条款标准进行考核），未达标准的从当季度应付款中扣除10‰服务费。连续两季度达不到标准且未及时整改的，所服务单位向采购人书面报告，且采购人有权终止合同。</w:t>
            </w:r>
          </w:p>
          <w:p w14:paraId="6765DE5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4.中标人须全部接收原负责所服务单位有意愿继续留下工作的服务人员，确保他们的工资待遇不低于北海市最低工资加社保。</w:t>
            </w:r>
          </w:p>
          <w:p w14:paraId="1F2124C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5.中标人的服务工作人员必须经过上岗前培训，符合国家有关劳动用工的法律法规。上班时必须佩戴工卡、穿统一制服。</w:t>
            </w:r>
          </w:p>
          <w:p w14:paraId="0A1D8FF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6.管理范围内发生的人身伤害、物品被盗、人为损坏设备设施，属中标人及其工作人员管理不善原因造成的，由中标人负责赔偿。</w:t>
            </w:r>
          </w:p>
          <w:p w14:paraId="1128683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人工作人员应固定保持在90%以上，凡更换人员必须向所服务单位申请，经所服务单位和教育局同意后方可更换，并做好交接班工作，若因交接班衔接不好，致使所服务单位工作受到影响者，按考核制度处罚。</w:t>
            </w:r>
          </w:p>
          <w:p w14:paraId="5347D47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人在提供管理服务时必须做好各项安全防范措施，中标人所有工作人员在合约期间如发生任何人身意外（生病、伤亡事故）、事故、触犯法律法规（包括劳动用工制度、发生劳资纠纷、所服务单位的规章制度等）、或损坏学校的设施和物品，由中标人负责处理并承担经济和责任。</w:t>
            </w:r>
          </w:p>
          <w:p w14:paraId="232B208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若中标人违约，未能达到招标文件中约定的管理目标，所服务单位有权要求中标人在规定时间内进行整改；如中标人未能按时整改，所服务单位有权向教育局申请与中标人解除合同，中标人须承担违约责任；造成所服务单位和教育局经济损失的，按造成的实际损失予以赔偿。</w:t>
            </w:r>
          </w:p>
          <w:p w14:paraId="0688068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10.若中标人擅自转包、分包，或以任何形式与第三方进行合作的属违约，一经查实，中标人应向所服务单位及教育局承担违约责任，所服务单位和教育局有权解除合同。</w:t>
            </w:r>
          </w:p>
          <w:p w14:paraId="6F361D7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11.中标人若违背本招标文件中确定的义务，必须承担违约责任。</w:t>
            </w:r>
          </w:p>
          <w:p w14:paraId="461B705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12.中标人及其工作人员在所服务单位交由中标人管理和服务的工作区域内违法犯罪属实，中标人应赔偿并承担相应的法律责任，并不得再使用有关员工。</w:t>
            </w:r>
          </w:p>
          <w:p w14:paraId="75CD7D0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13.服务人员要求：</w:t>
            </w:r>
          </w:p>
          <w:p w14:paraId="197DCF3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（1）用工人数不少于各服务单位要求的人数。</w:t>
            </w:r>
          </w:p>
          <w:p w14:paraId="6556DB2D">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（2）上岗人员必须经过岗前培训。</w:t>
            </w:r>
          </w:p>
          <w:p w14:paraId="6197810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（3）上岗人员的服装及所有的福利由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w:t>
            </w:r>
          </w:p>
          <w:p w14:paraId="6688AFB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（4）对于不服从安排的服务人员，</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需向所服务单位及教育局进行书面申请，并在采购人同意后的2个工作日内替换新的服务人员。</w:t>
            </w:r>
          </w:p>
        </w:tc>
      </w:tr>
      <w:tr w14:paraId="09370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15999">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E795F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1.对当班工作人员要严加管理，发生空岗、缺岗、脱岗、睡岗、上岗前喝酒（以人为记录和电子记录为准）等行为的，每次处罚100元，严重行为即时更换并处理。</w:t>
            </w:r>
          </w:p>
          <w:p w14:paraId="09783C8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2.发生不法分子对所服务单位的干扰，特别是暴恐和盗窃事件不及时妥善处理（阻止、制止、控制）的，每次处罚</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1000—3000元。</w:t>
            </w:r>
          </w:p>
          <w:p w14:paraId="2BC1648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3.当班人员责任心不强，服务不到位导致公共设施被盗、被破坏的，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及当班人员应共同承担相应的法律及经济损失赔偿责任，责任的界定由所服务单位确定或由公安司法部门裁定。</w:t>
            </w:r>
          </w:p>
          <w:p w14:paraId="2B7F298D">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4.当班人员须着规定制服上班，不穿制服上班的，每人每次扣100元。</w:t>
            </w:r>
          </w:p>
          <w:p w14:paraId="1DEE331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所服务单位所属范围内开展工作，做到不迟到，不早退。有交接班的岗位须提前10分钟到达交接地点，并认真做好交接班工作，检查所配装备是否完好有效，并填报《值班交接记录表》。上班迟到、早退达到10分钟的每人每次扣50元，迟到、早退超过30分钟的算旷工。</w:t>
            </w:r>
          </w:p>
          <w:p w14:paraId="1826B2E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6.不开展交接班工作的，每人每次50元。因交接班工作盘点财物不到位造成损失的由交接班双方共同承担。</w:t>
            </w:r>
          </w:p>
          <w:p w14:paraId="3FD0FBE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7.详细考核标准详见本章节附件：安保管理服务考核标准。</w:t>
            </w:r>
          </w:p>
        </w:tc>
      </w:tr>
      <w:tr w14:paraId="033C4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2AA1D7">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服务监管</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4B181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（1）供应商自行负责对派出的工作人员进行政治思想、职业道德、业务技术、劳动纪律的教育和培训。</w:t>
            </w:r>
          </w:p>
          <w:p w14:paraId="151E598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选派的工作人员须经过岗前专业培训，上岗后继续对工作人员进行必要的教育和训练，保证工作人员的素质满足所服务单位工作的要求；保留工作人员的身份证复印件、个人简历等资料，并保证所提供资料的真实性，供应商不得随意减少或更换所派出的服务人员。</w:t>
            </w:r>
          </w:p>
          <w:p w14:paraId="548809A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（3）供应商负责按时支付工作人员的工资和福利费用，提供工作人员的执勤被服、工具等基本条件。</w:t>
            </w:r>
          </w:p>
          <w:p w14:paraId="21F2089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服务单位有权对工作人员的工作进行检查、督促、评价，对不称职的工作人员提出批评及教育，屡教不改者，有权要求更换工作人员，并将实际情况以书面形式向供应商提出撤换的要求，供应商在接到撤换要求书后三个工作日内做出更换。</w:t>
            </w:r>
          </w:p>
          <w:p w14:paraId="5C3E505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（5）所服务单位对供应商拟派的工作人员的一切行为所产生的后果不承担任何责任，供应商须自行就问题进行解决处理。</w:t>
            </w:r>
          </w:p>
          <w:p w14:paraId="744B560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（6）供应商若发现工作期间的影藏因素存在的安全隐患可向所服务单位提出改进意见，并和所服务单位进行协商处理。</w:t>
            </w:r>
          </w:p>
          <w:p w14:paraId="7BDD50A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所服务单位有权对供应商的工作进行考核，发现供应商不按照合同约定开展工作，对工作人员管理不规范、不严格，培训及安全措施不能达到所服务单位要求，第一次予以警告，第二次予以处罚，对连续三次不达标也不整改者（以书面通知为准），采购人有权解除合同。</w:t>
            </w:r>
          </w:p>
          <w:p w14:paraId="08B453F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服务期满后，须把服务期间涉及的所有档案移交给所服务单位，并在十个工作日内和新接替工作的安保公司进行工作交接，若出现不可抗力因素导致无法在规定时间内进行交接，供应商须书面告知所服务单位。</w:t>
            </w:r>
          </w:p>
        </w:tc>
      </w:tr>
      <w:tr w14:paraId="10B52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1E347D">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服务质量要求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BDC41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每月接受采购人或校方单位质量考核，未达标准从承包价中扣除。满意率至少在85％以上</w:t>
            </w:r>
            <w:r>
              <w:rPr>
                <w:rFonts w:hint="eastAsia" w:ascii="宋体" w:hAnsi="宋体" w:eastAsia="宋体" w:cs="宋体"/>
                <w:b/>
                <w:bCs/>
                <w:color w:val="auto"/>
                <w:sz w:val="24"/>
                <w:szCs w:val="24"/>
                <w:highlight w:val="none"/>
                <w:lang w:val="en-US" w:eastAsia="zh-CN"/>
              </w:rPr>
              <w:t>（各服务学校另有要求的该学校要求为准）</w:t>
            </w:r>
            <w:r>
              <w:rPr>
                <w:rFonts w:hint="eastAsia" w:ascii="宋体" w:hAnsi="宋体" w:eastAsia="宋体" w:cs="宋体"/>
                <w:color w:val="auto"/>
                <w:sz w:val="24"/>
                <w:szCs w:val="24"/>
                <w:highlight w:val="none"/>
                <w:lang w:val="en-US" w:eastAsia="zh-CN"/>
              </w:rPr>
              <w:t>、合同履约率达98%以上、上岗培训合格率达100%、合理投诉解决率达100%，连续两个月达不到，采购人可以终止合同。</w:t>
            </w:r>
          </w:p>
        </w:tc>
      </w:tr>
      <w:tr w14:paraId="226DA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31D8BF">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C4CB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不得以任何形式向第三方透露本项目服务时的任何内容。如有泄密，需承担相应的法律责任。</w:t>
            </w:r>
          </w:p>
        </w:tc>
      </w:tr>
      <w:tr w14:paraId="5172F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EA9355">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违约责任</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87878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所提供服务成果，无法达到本项目招标文件要求以及投标文件所承诺的内容的，所服务单位和教育局有权要求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作出整改。如整改完毕仍达不到上述要求的，所服务单位和教育局有权拒绝支付款项，且</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应向所服务单位和教育局支付中标总金额的5%作为违约金并赔偿所服务单位和教育局的一切损失。</w:t>
            </w:r>
          </w:p>
          <w:p w14:paraId="06E8206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违约责任的赔偿不意味违约方整个合同责任的解除，未经所服务单位和教育局同意，</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不得以任何理由推迟、降低、减少有关合同条款履行的承诺。</w:t>
            </w:r>
          </w:p>
          <w:p w14:paraId="21DF6BD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其它违约行为按成交总金额5%收取违约金并赔偿其他经济损失。</w:t>
            </w:r>
          </w:p>
        </w:tc>
      </w:tr>
      <w:tr w14:paraId="5ED72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CDE1B4">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付款条件</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C29D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自合同签订后且中标单位服务人员进场（进场时间以各服务单位具体要求为准）、财政资金到位后，预付合同总金额的10%;剩余款项按季度平均支付，每季度第一个月支付上季度服务费。</w:t>
            </w:r>
          </w:p>
          <w:p w14:paraId="444AB69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每季度考核结果结算支付。三方在签订合同时可就服务质量及检查标准制定奖罚细则，在支付服务费用时采购人（甲方）、服务单位（丙方）有权根据奖罚细则增减服务费用的支付或终止合同。每次请款供应商（乙方）先交请款申请函，后根据要求开具发票，再根据实际情况、考核情况付款。</w:t>
            </w:r>
          </w:p>
        </w:tc>
      </w:tr>
      <w:tr w14:paraId="77D95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56C5F9">
            <w:pPr>
              <w:spacing w:line="520" w:lineRule="exact"/>
              <w:jc w:val="center"/>
              <w:rPr>
                <w:rFonts w:hint="eastAsia" w:ascii="宋体" w:hAnsi="宋体" w:eastAsia="宋体" w:cs="宋体"/>
                <w:color w:val="auto"/>
                <w:sz w:val="24"/>
                <w:szCs w:val="24"/>
                <w:highlight w:val="none"/>
                <w:lang w:val="en-US" w:eastAsia="zh-CN"/>
              </w:rPr>
            </w:pPr>
            <w:r>
              <w:rPr>
                <w:rFonts w:hint="eastAsia"/>
                <w:color w:val="auto"/>
                <w:sz w:val="24"/>
                <w:highlight w:val="none"/>
                <w:lang w:eastAsia="zh-CN"/>
              </w:rPr>
              <w:t>其他要求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F46AC5">
            <w:pPr>
              <w:spacing w:line="520" w:lineRule="exact"/>
              <w:ind w:firstLine="480" w:firstLineChars="0"/>
              <w:rPr>
                <w:rFonts w:hint="eastAsia" w:ascii="宋体" w:hAnsi="宋体" w:eastAsia="宋体" w:cs="宋体"/>
                <w:color w:val="auto"/>
                <w:sz w:val="24"/>
                <w:szCs w:val="24"/>
                <w:highlight w:val="none"/>
                <w:lang w:val="en-US" w:eastAsia="zh-CN"/>
              </w:rPr>
            </w:pPr>
            <w:r>
              <w:rPr>
                <w:rFonts w:hint="eastAsia"/>
                <w:color w:val="auto"/>
                <w:sz w:val="24"/>
                <w:highlight w:val="none"/>
                <w:lang w:eastAsia="zh-CN"/>
              </w:rPr>
              <w:t>为了保证履约质量和支持中小企业发展，本标项与其他标项兼投不兼中。</w:t>
            </w:r>
          </w:p>
        </w:tc>
      </w:tr>
    </w:tbl>
    <w:p w14:paraId="206F5464">
      <w:pPr>
        <w:spacing w:line="440" w:lineRule="exact"/>
        <w:ind w:firstLine="560" w:firstLineChars="200"/>
        <w:jc w:val="left"/>
        <w:rPr>
          <w:rFonts w:ascii="黑体" w:hAnsi="黑体" w:eastAsia="黑体" w:cs="宋体"/>
          <w:color w:val="auto"/>
          <w:sz w:val="28"/>
          <w:szCs w:val="28"/>
          <w:highlight w:val="none"/>
        </w:rPr>
      </w:pPr>
      <w:r>
        <w:rPr>
          <w:rFonts w:ascii="黑体" w:hAnsi="黑体" w:eastAsia="黑体" w:cs="宋体"/>
          <w:color w:val="auto"/>
          <w:sz w:val="28"/>
          <w:szCs w:val="28"/>
          <w:highlight w:val="none"/>
        </w:rPr>
        <w:br w:type="page"/>
      </w:r>
    </w:p>
    <w:p w14:paraId="31EA7C22">
      <w:pPr>
        <w:pStyle w:val="2"/>
        <w:spacing w:line="440" w:lineRule="exact"/>
        <w:ind w:firstLine="402"/>
        <w:outlineLvl w:val="1"/>
        <w:rPr>
          <w:rFonts w:hint="eastAsia" w:eastAsia="宋体"/>
          <w:color w:val="auto"/>
          <w:highlight w:val="none"/>
          <w:lang w:val="zh-CN" w:eastAsia="zh-CN"/>
        </w:rPr>
      </w:pPr>
      <w:r>
        <w:rPr>
          <w:rFonts w:hint="eastAsia" w:ascii="宋体" w:hAnsi="宋体" w:cs="宋体"/>
          <w:b/>
          <w:color w:val="auto"/>
          <w:sz w:val="21"/>
          <w:szCs w:val="21"/>
          <w:highlight w:val="none"/>
        </w:rPr>
        <w:t>标项三：安保服务</w:t>
      </w:r>
      <w:r>
        <w:rPr>
          <w:rFonts w:hint="eastAsia" w:ascii="宋体" w:hAnsi="宋体" w:cs="宋体"/>
          <w:b/>
          <w:color w:val="auto"/>
          <w:sz w:val="21"/>
          <w:szCs w:val="21"/>
          <w:highlight w:val="none"/>
          <w:lang w:val="en-US" w:eastAsia="zh-CN"/>
        </w:rPr>
        <w:t>3</w:t>
      </w:r>
    </w:p>
    <w:p w14:paraId="3AD4D4E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14:paraId="586134C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1.本项目的政府采购预算控制价为人民币</w:t>
      </w:r>
      <w:r>
        <w:rPr>
          <w:rFonts w:ascii="宋体" w:hAnsi="宋体" w:cs="宋体"/>
          <w:color w:val="auto"/>
          <w:szCs w:val="21"/>
          <w:highlight w:val="none"/>
        </w:rPr>
        <w:t>5359500</w:t>
      </w:r>
      <w:r>
        <w:rPr>
          <w:rFonts w:hint="eastAsia" w:ascii="宋体" w:hAnsi="宋体" w:cs="宋体"/>
          <w:color w:val="auto"/>
          <w:szCs w:val="21"/>
          <w:highlight w:val="none"/>
        </w:rPr>
        <w:t>元，高于预算控制价的报价将视为无效投标。</w:t>
      </w:r>
    </w:p>
    <w:p w14:paraId="22885FF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采购需求中标注“★”的内容必须满足或者优于，否则投标无效。</w:t>
      </w:r>
    </w:p>
    <w:p w14:paraId="0A63AE8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3.根据《关于印发中小企业划型标准规定的通知》（工信部联企业</w:t>
      </w:r>
      <w:r>
        <w:rPr>
          <w:rFonts w:hint="eastAsia" w:ascii="宋体" w:hAnsi="宋体" w:cs="Book Antiqua"/>
          <w:color w:val="auto"/>
          <w:szCs w:val="21"/>
          <w:highlight w:val="none"/>
        </w:rPr>
        <w:t>〔2011〕</w:t>
      </w:r>
      <w:r>
        <w:rPr>
          <w:rFonts w:hint="eastAsia" w:ascii="宋体" w:hAnsi="宋体" w:cs="宋体"/>
          <w:color w:val="auto"/>
          <w:szCs w:val="21"/>
          <w:highlight w:val="none"/>
        </w:rPr>
        <w:t>300号）规定的划分标准，本项目采购所有标的对应的中小企业划分标准所属行业为：</w:t>
      </w:r>
      <w:bookmarkStart w:id="44" w:name="OLE_LINK49"/>
      <w:r>
        <w:rPr>
          <w:rFonts w:hint="eastAsia" w:ascii="宋体" w:hAnsi="宋体" w:cs="Book Antiqua"/>
          <w:b/>
          <w:color w:val="auto"/>
          <w:szCs w:val="21"/>
          <w:highlight w:val="none"/>
        </w:rPr>
        <w:t>租赁和商务服务业</w:t>
      </w:r>
      <w:r>
        <w:rPr>
          <w:rFonts w:hint="eastAsia" w:ascii="宋体" w:hAnsi="宋体" w:cs="宋体"/>
          <w:color w:val="auto"/>
          <w:szCs w:val="21"/>
          <w:highlight w:val="none"/>
        </w:rPr>
        <w:t>。</w:t>
      </w:r>
      <w:bookmarkEnd w:id="44"/>
    </w:p>
    <w:p w14:paraId="46428610">
      <w:pPr>
        <w:spacing w:line="44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rPr>
        <w:t>（1）技术要求</w:t>
      </w:r>
    </w:p>
    <w:tbl>
      <w:tblPr>
        <w:tblStyle w:val="6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225"/>
        <w:gridCol w:w="6938"/>
      </w:tblGrid>
      <w:tr w14:paraId="57A4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2FB3D3AD">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29" w:type="pct"/>
            <w:shd w:val="clear" w:color="auto" w:fill="auto"/>
            <w:vAlign w:val="center"/>
          </w:tcPr>
          <w:p w14:paraId="15CE373C">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3520" w:type="pct"/>
            <w:shd w:val="clear" w:color="auto" w:fill="auto"/>
            <w:vAlign w:val="center"/>
          </w:tcPr>
          <w:p w14:paraId="431A4398">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服务需求</w:t>
            </w:r>
          </w:p>
        </w:tc>
      </w:tr>
      <w:tr w14:paraId="6B27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47B59839">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29" w:type="pct"/>
            <w:shd w:val="clear" w:color="auto" w:fill="auto"/>
            <w:vAlign w:val="center"/>
          </w:tcPr>
          <w:p w14:paraId="68D50AB7">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北海市第六幼儿园</w:t>
            </w:r>
            <w:r>
              <w:rPr>
                <w:rFonts w:hint="eastAsia" w:ascii="宋体" w:hAnsi="宋体" w:eastAsia="宋体" w:cs="宋体"/>
                <w:color w:val="auto"/>
                <w:sz w:val="24"/>
                <w:szCs w:val="24"/>
                <w:highlight w:val="none"/>
                <w:lang w:eastAsia="zh-CN"/>
              </w:rPr>
              <w:t>安保服务</w:t>
            </w:r>
          </w:p>
        </w:tc>
        <w:tc>
          <w:tcPr>
            <w:tcW w:w="3520" w:type="pct"/>
            <w:vMerge w:val="restart"/>
            <w:shd w:val="clear" w:color="auto" w:fill="auto"/>
            <w:vAlign w:val="center"/>
          </w:tcPr>
          <w:p w14:paraId="57AD99C6">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一、服务范围和内容</w:t>
            </w:r>
          </w:p>
          <w:p w14:paraId="7FCA5DC9">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w:t>
            </w:r>
          </w:p>
          <w:p w14:paraId="1ABF750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为派驻学校校园全域提供安保服务，负责校园门卫管理和校园防火、防盗、治安巡逻等，落实校园安全管理。</w:t>
            </w:r>
          </w:p>
          <w:p w14:paraId="4D039A11">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14ED90F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校园门卫管理和校园防火、防盗、治安巡逻等一切校园安全管理，保护学校师生人身和财产安全，维护校园秩序，维护校园稳定，以及校园周边可能影响学校安全、可能对在校学生、教职员工产生安全隐患的区域，同时对发生在服务区域内的刑事案件、治安案件、治安火灾事故第一时间采取制止和组织扑救措施，并及时报告服务学校领导和报警，同时采取措施保护现场。</w:t>
            </w:r>
          </w:p>
          <w:p w14:paraId="7EF68E2B">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2B981E94">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（一）总体服务要求</w:t>
            </w:r>
          </w:p>
          <w:p w14:paraId="482AB82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1．各派驻学校服务用工人数不少于该校区所需人数（详见本标段附表：人员需求表），保安必须持保安证上岗。</w:t>
            </w:r>
          </w:p>
          <w:p w14:paraId="50C02D9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必须为所有上岗人员购买社会保险及人身意外保险。</w:t>
            </w:r>
          </w:p>
          <w:p w14:paraId="1B1347E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3．上岗人员在工作期间发生员工工伤及意外伤害事故以及涉及用工方面的劳务纠纷和劳动事故全部由</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承担责任。</w:t>
            </w:r>
          </w:p>
          <w:p w14:paraId="07588F8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4．服务费涵盖基本工资、社会保险、物业管理费、税费等费用。</w:t>
            </w:r>
          </w:p>
          <w:p w14:paraId="5608DA9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必须每月按时足额发放员工工资，不得以任何理由拖欠员工工资，确保及时足额支付。</w:t>
            </w:r>
          </w:p>
          <w:p w14:paraId="26D7EF8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需有安保管理方案，质量管理、档案管理等制度。</w:t>
            </w:r>
          </w:p>
          <w:p w14:paraId="3A0C141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7．管理服务人员统一着装，行为规范，服务主动热情。</w:t>
            </w:r>
          </w:p>
          <w:p w14:paraId="40BF667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每季度接受采购人服务质量考核，考核由采购人或派驻校方采取日常巡查、随机抽查、专项检查相结合的方式进行。服务费以考核得分等级支付，支付比例如下：得分≥90分：支付当季应付服务费的100%；80分≤得分&lt;90分：支付当季应付服务费的95%；70分≤得分&lt;80分：支付当季应付服务费的90%；得分&lt;70分：付当季应付服务费的85%。得分低于70分或连续两季度低于80分，采购人或派驻校方有权发出警告，要求限期整改，未能完成整改的采购人有权终止合同。</w:t>
            </w:r>
          </w:p>
          <w:p w14:paraId="5251082C">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（二）具体工作要求</w:t>
            </w:r>
          </w:p>
          <w:p w14:paraId="174F908E">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1．岗位时间安排</w:t>
            </w:r>
          </w:p>
          <w:p w14:paraId="2916556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（1）安保人员：每天24小时四班三运转</w:t>
            </w:r>
            <w:r>
              <w:rPr>
                <w:rFonts w:hint="eastAsia" w:ascii="宋体" w:hAnsi="宋体" w:eastAsia="宋体" w:cs="宋体"/>
                <w:b/>
                <w:bCs/>
                <w:color w:val="auto"/>
                <w:highlight w:val="none"/>
                <w:lang w:val="en-US" w:eastAsia="zh-CN"/>
              </w:rPr>
              <w:t>（如所服务单位有特殊要求，具体安排由相关单位自行安排）。</w:t>
            </w:r>
          </w:p>
          <w:p w14:paraId="23E58CC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必须按各个岗位不同时段的人员数量和岗位要求，配备保安力量，并保证实际到岗。</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在组织、安排保安工作时，应符合国家相关法规，维护保安人员的正当权益。</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对其用工行为承担一切法律责任。</w:t>
            </w:r>
          </w:p>
          <w:p w14:paraId="5B4192CF">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 安保服务主要内容</w:t>
            </w:r>
          </w:p>
          <w:p w14:paraId="35F1F33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依照学校规定与管理要求，结合学校安全保卫工作实际情况，制订切实可行的安全保卫工作整体方案，开展专业化安保业务，具体服务工作内容如下：</w:t>
            </w:r>
          </w:p>
          <w:p w14:paraId="7AB58E9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（1）24小时全面负责校区（包括所有建筑物、公共场所）的治安防范工作。作为专业服务企业，</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应能够结合校园的具体情况制定和完善安全防范方案、管理方案，并有能力组织实施；</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必须按要求合理配置安保岗位和安保人员，明确岗位职责，抓好队伍管理和建设，采取人防、物防、技防措施，维护好校园治安秩序，全方位确保校园安全有序的教学科研、管理和学习生活环境。</w:t>
            </w:r>
          </w:p>
          <w:p w14:paraId="4A5C926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（2）全面负责门卫管理，对校区日常开放的门岗实行门卫管理，负责对外来机动车辆、外来人员、出入校园物品进行检查登记等门卫值勤工作。</w:t>
            </w:r>
          </w:p>
          <w:p w14:paraId="7FB063B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（3）全面负责校区内安全重点部位的防破坏、防事故、防盗、防外来人员私自进入等守护守卫工作。</w:t>
            </w:r>
          </w:p>
          <w:p w14:paraId="6B015B1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（4）全面负责校区的治安巡逻，及时发现各类安全隐患，制止校园不文明举止，发现和制止校园暴力事件，随时准备提供紧急救助。</w:t>
            </w:r>
          </w:p>
          <w:p w14:paraId="56694B0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严格执行学校安全保卫制度、消防规章制度，负责做好学校安全、保卫、消防等工作。校园公共部位安全隐患检查、排除；定时巡检测试消防监控等设施设备，填写记录，发现问题时，应准确判断，及时上报。</w:t>
            </w:r>
          </w:p>
          <w:p w14:paraId="3904357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（6）在保卫科的组织领导下，协同做好校园内部治安综合治理工作，负责做好校园交通管理工作，做好校区内的综合治理工作。</w:t>
            </w:r>
          </w:p>
          <w:p w14:paraId="2140809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（7）协助做好学校重大活动安全保卫工作；负责学校各种大型活动的治安、交通秩序维护和消防等安全工作。遇到学校重大活动、临时性活动或突发性事件时，随时增添人员并听从学校统一安排和调遣。</w:t>
            </w:r>
          </w:p>
          <w:p w14:paraId="215D509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（8）配合保卫科执行各项管理制度，维护校园内教学、交通、生活秩序，执行率100%；接受保卫科的监督检查、考核及业务指导。</w:t>
            </w:r>
          </w:p>
          <w:p w14:paraId="37AE285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安全监控值班：认真填写值班记录，要熟悉消防报警及监控录相设备的基本功能，做到会操作使用、会排除一般故障，具有相关技能与水平；服从学校综治部门管理，及时报告情况，做好各种突发事件的预防和处理工作。</w:t>
            </w:r>
          </w:p>
          <w:p w14:paraId="2B2EE7E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highlight w:val="none"/>
                <w:lang w:val="en-US" w:eastAsia="zh-CN"/>
              </w:rPr>
              <w:t>其它属于保安服务范围内的工作以及学校临时交办的任务。</w:t>
            </w:r>
          </w:p>
          <w:p w14:paraId="669FE0CA">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 服务工作质量目标要求</w:t>
            </w:r>
          </w:p>
          <w:p w14:paraId="1FADA6B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（1）依照行业标准，根据学校管理规定与服务要求，制订切实可行的校园保安服务整体方案和应急预案，突发事件反应迅速，预案处置有力。</w:t>
            </w:r>
          </w:p>
          <w:p w14:paraId="6D09ED9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（2）依法办事，文明执勤，严格管理，保障学校财产和师生人身权益不受侵害，维护正常的教学、科研、生活秩序。</w:t>
            </w:r>
          </w:p>
          <w:p w14:paraId="14D0F9C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（3）全年无责任事故和责任案件发生，师生有安全感，对校园保安服务满意率达85%以上。</w:t>
            </w:r>
          </w:p>
          <w:p w14:paraId="3EBD463A">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 服务工作标准</w:t>
            </w:r>
          </w:p>
          <w:p w14:paraId="766E428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（1）自行配备门卫值勤、安全巡逻所需的器材、通讯设备和交通工具等。</w:t>
            </w:r>
          </w:p>
          <w:p w14:paraId="2EA0459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派驻学校的保安人员应持有保安员证。按治安管理要求，派驻学校的保安人员应持身份证、正规医院健康证明、无犯罪记录证明到学校保卫科填写“保安员备案表”，如有人员变动应及时到保卫科登记备案。值班、巡逻人员值班表每月提前报送保卫科。</w:t>
            </w:r>
          </w:p>
          <w:p w14:paraId="09E4691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（3）负责校区的门卫工作，按照学校的制度及其他有关规定，认真管理好进出校园的人员、车辆和物资等。</w:t>
            </w:r>
          </w:p>
          <w:p w14:paraId="4C3E758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（4）学校遇有重大活动或全校性的考试需要增配、抽调人员协助时，应无偿按照校方要求执行，工作时应统一服装及标志。</w:t>
            </w:r>
          </w:p>
          <w:p w14:paraId="361B427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（5）坚持文明执勤、文明上岗。上岗人员要仪表整洁卫生，站岗姿势要端正规范，指挥车辆动作要准确、标准，执勤语言要文明。</w:t>
            </w:r>
          </w:p>
          <w:p w14:paraId="1AB378C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（6）积极主动协调处理校内治安，消防等方面的突发事件，迅速排除各种险情，及时制止违法犯罪行为，及时向保卫科报告各类案件、事故及其他重大问题和重要情况，做好校园110接处警工作。</w:t>
            </w:r>
          </w:p>
          <w:p w14:paraId="0A34B2D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要建立文明值班室。值班场所做到整洁、卫生、有序，负责门前三包：“包安全、包卫生、包秩序”；上岗人员做到“六不”：不擅离岗位，不打瞌睡，不闲聊嬉闹，不打牌下棋，不聚众喝酒，不干私活会客。</w:t>
            </w:r>
          </w:p>
          <w:p w14:paraId="5E3A5E64">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 队伍建设与管理要求</w:t>
            </w:r>
          </w:p>
          <w:p w14:paraId="37B1073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（1）供应商必须持有保安服务许可资质证书，相应岗位人员应持有对应资格证书。</w:t>
            </w:r>
          </w:p>
          <w:p w14:paraId="0E94CE1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（2）从学校安全实际出发，经常性开展在岗人员业务培训和紧急预案演练。</w:t>
            </w:r>
          </w:p>
          <w:p w14:paraId="285E65F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（3）内部管理体制健全，设管理人员1名，全面负责日常保安队伍规范化管理，对保安人员的日常思想、工作、生活进行管理和领导，处理好保安队伍内部事务。</w:t>
            </w:r>
          </w:p>
          <w:p w14:paraId="205741D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（4）保持保安队伍的稳定，严格控制保安人员轮换岗比例，如有必要需更换保安人员的，应提前告知保卫科，确保服务质量不因人员变动而受影响。</w:t>
            </w:r>
          </w:p>
          <w:p w14:paraId="7DB24B1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（5）保安人员应聘、录用、离职等管理档案规范，手续齐全，相应资料必须报保卫科备案，禁止离职人员和 “问题保安”、“黑保安”进入校园。</w:t>
            </w:r>
          </w:p>
          <w:p w14:paraId="6FF32F96">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 人员素质要求</w:t>
            </w:r>
          </w:p>
          <w:p w14:paraId="2081DB4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（1）派驻学校的保安人员应知法、懂法、守法、依法办事，必须严格遵守保安从业规范，模范遵守校园安全管理规定。</w:t>
            </w:r>
          </w:p>
          <w:p w14:paraId="4728AA2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（2）管理人员应具备高中以上学历，有较高的政治思想素养和业务水平，有较强的组织协调能力，受过专门的保安业务培训。</w:t>
            </w:r>
          </w:p>
          <w:p w14:paraId="4416398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派驻学校的保安人员应具备的个人素质条件：原则上为男性，具有初中及以上文化程度，退伍军人为佳，年龄在35至55周岁之间，身体健康，视力正常，无传染病、心血管疾病及精神等不能控制自己行为能力的疾病病史，体貌端正，无被刑事处罚、劳动教养、收容教育、强制隔离戒毒或者被开除公职、开除军籍等不良记录，无犯罪记录，曾受过刑事及治安处罚的人员不得录用派驻。</w:t>
            </w:r>
          </w:p>
          <w:p w14:paraId="64C8D65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（4）派驻学校的保安人员有高度的责任感和吃苦耐劳的精神，应受过岗前专业培训，熟知学校的管理规定，恪尽职守，善于发现各类问题，具备一定的管理经验和处理突发事件能力。</w:t>
            </w:r>
          </w:p>
          <w:p w14:paraId="31092770">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7. 工作衔接要求</w:t>
            </w:r>
          </w:p>
          <w:p w14:paraId="545908C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（1）根据行业服务标准与学校规定要求，独立运作，落实校园安全保卫整体方案，并结合校园实际在实践中不断完善。</w:t>
            </w:r>
          </w:p>
          <w:p w14:paraId="1EE6362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（2）在校园现有保安人员自愿前提下，采购人同意接收现有保安，并与之签订用工合同，规范管理，保持平稳过渡。</w:t>
            </w:r>
          </w:p>
          <w:p w14:paraId="3FE4613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（3）管理人员须与保卫科保持必要的工作交流，每星期一次向保卫科口头汇报所承担的保安工作开展情况及信息反馈，重大情况须及时报告。</w:t>
            </w:r>
          </w:p>
          <w:p w14:paraId="684B5BF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（4）做好详细的执勤记录，原始台帐保存完好，以备学校核查。</w:t>
            </w:r>
          </w:p>
          <w:p w14:paraId="129A14A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（5）协同学校治安协防组织，形成群防群治体系。</w:t>
            </w:r>
          </w:p>
          <w:p w14:paraId="200EF8E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（6）与宿管员协作，内外联动，开展一体化安全防范。</w:t>
            </w:r>
          </w:p>
          <w:p w14:paraId="194B878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（7）与当地派出所、综治办加强合作与交流。</w:t>
            </w:r>
          </w:p>
          <w:p w14:paraId="613D2F7B">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 岗位工作职责要求</w:t>
            </w:r>
          </w:p>
          <w:p w14:paraId="68696A2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理人员：代表公司全面负责保安队伍的日常管理事务，严格队伍纪律管理，奖优罚劣；承担保安违规违纪连带责任；实行人性化管理，关心队员的思想动态，充分调动队员积极性，努力保证队伍稳定；传达落实学校的服务要求与管理规定，组织实施并不断完善校园安全保卫整体方案；结合学校发展实际情况，适时做出岗位调整，完善各岗位职责；定期向保卫处汇报工作开展情况及治安信息，重大情况随时报告；配合学校处理校区内违规事件；组织开展保安业务培训和预案演练，制定校园内重大活动的安全保卫方案；建立健全录用保安人员档案资料。负责安排保安的日常工作，督促检查在岗人员履行岗位职责情况，纠正队员违规违纪行为，日常管理不流于形式，形成良好风气，妥善保管好学校提供的设备器材，严格交接班制度。</w:t>
            </w:r>
          </w:p>
          <w:p w14:paraId="1685778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门卫管理：严格人员、车辆、物资进出管理；按时立岗，礼貌待人，树立良好的窗口形象；对来访人员实行验证登记制度，禁止闲杂人员混入校园；对携物出门实行出门证验审制度，防止财物流失；对外单位车辆实行换证入校制度；维护责任区域秩序，与各岗位互通信息；值班室无闲杂人员滞留，保持内外环境整洁卫生和门前三包；完成学校交办的其他事项。</w:t>
            </w:r>
          </w:p>
          <w:p w14:paraId="17C14BB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机动巡逻：发现和排除各种不安全因素，及时处置各种违法犯罪行为；听从队长的工作安排与指挥调度，善于发现、分析处理各种事故隐患和突发事件；根据不同情况，灵活执行巡逻方案；加强对重点区域、要害部位的安全巡查，巡更踩点不流于形式，并与监控室保持联动；协助各岗位开展校园秩序维护和交通秩序管理工作；协助宿管物业及责任部门开展安全防范并如实记录汇报巡逻记录。通过门卫卡口管理、区域守护与机动巡逻，形成校园安全防范网络；保障校区内正常的学习、生活、教学、科研、工作秩序；禁止小商、小贩、盲流人员进入校园；禁止在校园内乱设摊点；加强校园内部交通秩序管理，通过主动干预提示，控制车辆速度，禁止无牌照车辆进入校园，保障大门及校内道路畅通，无交通事故发生，无车辆乱停乱放现象；按校方规定对悬挂横幅进行管理，及时清理校园内乱贴物，发现反动标语、非法和不良宣传物等及时报告保卫科。</w:t>
            </w:r>
          </w:p>
          <w:p w14:paraId="22066A0B">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9. 安保人员行为规范要求</w:t>
            </w:r>
          </w:p>
          <w:p w14:paraId="77A7329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（1）职业道德要求 </w:t>
            </w:r>
          </w:p>
          <w:p w14:paraId="7B583A2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 敬业爱岗：勤奋敬业，积极肯干，热爱本职岗位，乐于为本职工作奉献。</w:t>
            </w:r>
          </w:p>
          <w:p w14:paraId="468393D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 遵守纪律：认真遵守国家政策、法规、法令，遵守公司规章制度和劳动纪律。</w:t>
            </w:r>
          </w:p>
          <w:p w14:paraId="2BACEF1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认真学习：努力学习科学文化知识，不断提高业务技术水平，努力提高服务质量。</w:t>
            </w:r>
          </w:p>
          <w:p w14:paraId="63D7C59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 公私分明：爱护公物，不谋私利，自觉地维护公司的利益和声誉。</w:t>
            </w:r>
          </w:p>
          <w:p w14:paraId="16D029D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 勤俭节约：具有良好的节约意识，勤俭节约。</w:t>
            </w:r>
          </w:p>
          <w:p w14:paraId="1BF84B5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⑥ 团结合作：严于律己，宽以待人，正确处理好个人与集体、同事的关系，具有良好的协作精神，易与他人相处。</w:t>
            </w:r>
          </w:p>
          <w:p w14:paraId="77BA0F8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⑦ 严守秘密：未经批准，不向外界传播或提供有关学校的任何资料。</w:t>
            </w:r>
          </w:p>
          <w:p w14:paraId="58D494A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（2）服务意识要求  </w:t>
            </w:r>
          </w:p>
          <w:p w14:paraId="58337D3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 文明礼貌：做到语言规范，谈吐文雅，衣冠整洁，举止端庄。</w:t>
            </w:r>
          </w:p>
          <w:p w14:paraId="5520602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 主动热情：以真诚的笑容，主动热情地为师生服务，主动了解师生的需要，努力为师生排忧解难。</w:t>
            </w:r>
          </w:p>
          <w:p w14:paraId="3D36D8E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耐心周到：员工在对师生的服务中要耐心周到，问多不厌，事多不烦，虚心听取师生意见，耐心解答师生问题，服务体贴入微，有求必应，面面俱到，尽善尽美。</w:t>
            </w:r>
          </w:p>
          <w:p w14:paraId="22CAB3C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（3）仪容仪表要求 </w:t>
            </w:r>
          </w:p>
          <w:p w14:paraId="7335178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① 所有安保人员，在值班过程中，保持衣冠整洁，按规定要求着装（包括：着制服、扎腰带，戴钢盔等），将工作卡端正地佩戴在左胸前。 </w:t>
            </w:r>
          </w:p>
          <w:p w14:paraId="657DC8F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② 工作场所不得穿短裤、背心、拖鞋。 </w:t>
            </w:r>
          </w:p>
          <w:p w14:paraId="4F47A77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男员工头发不盖耳朵、不遮衣领，每天剃须，保持指甲清洁，不留长指甲，扣好衣扣裤扣，紧束领带（大箭头垂到皮带扣处为准），衬衣下摆放进裤内。</w:t>
            </w:r>
          </w:p>
          <w:p w14:paraId="3F8CD6C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highlight w:val="none"/>
                <w:lang w:val="en-US" w:eastAsia="zh-CN"/>
              </w:rPr>
              <w:t>④ 女员工头发不过肩，不做怪异发型，不留长指甲，不染指甲，不浓妆艳抹，不穿黑色或带花丝袜</w:t>
            </w:r>
          </w:p>
        </w:tc>
      </w:tr>
      <w:tr w14:paraId="1A2C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090A0EE0">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29" w:type="pct"/>
            <w:shd w:val="clear" w:color="auto" w:fill="auto"/>
            <w:vAlign w:val="center"/>
          </w:tcPr>
          <w:p w14:paraId="686523F9">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北海市第二中学</w:t>
            </w:r>
            <w:r>
              <w:rPr>
                <w:rFonts w:hint="eastAsia" w:ascii="宋体" w:hAnsi="宋体" w:eastAsia="宋体" w:cs="宋体"/>
                <w:color w:val="auto"/>
                <w:sz w:val="24"/>
                <w:szCs w:val="24"/>
                <w:highlight w:val="none"/>
                <w:lang w:eastAsia="zh-CN"/>
              </w:rPr>
              <w:t>安保服务</w:t>
            </w:r>
          </w:p>
        </w:tc>
        <w:tc>
          <w:tcPr>
            <w:tcW w:w="3520" w:type="pct"/>
            <w:vMerge w:val="continue"/>
            <w:shd w:val="clear" w:color="auto" w:fill="auto"/>
            <w:vAlign w:val="center"/>
          </w:tcPr>
          <w:p w14:paraId="2CCD3941">
            <w:pPr>
              <w:pStyle w:val="63"/>
              <w:widowControl w:val="0"/>
              <w:rPr>
                <w:rFonts w:hint="eastAsia" w:ascii="宋体" w:hAnsi="宋体" w:eastAsia="宋体" w:cs="宋体"/>
                <w:color w:val="auto"/>
                <w:highlight w:val="none"/>
                <w:lang w:val="en-US" w:eastAsia="zh-CN"/>
              </w:rPr>
            </w:pPr>
          </w:p>
        </w:tc>
      </w:tr>
      <w:tr w14:paraId="4CEC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51BED3F6">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29" w:type="pct"/>
            <w:shd w:val="clear" w:color="auto" w:fill="auto"/>
            <w:vAlign w:val="center"/>
          </w:tcPr>
          <w:p w14:paraId="4F3369DE">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北海市第六中学</w:t>
            </w:r>
            <w:r>
              <w:rPr>
                <w:rFonts w:hint="eastAsia" w:ascii="宋体" w:hAnsi="宋体" w:eastAsia="宋体" w:cs="宋体"/>
                <w:color w:val="auto"/>
                <w:sz w:val="24"/>
                <w:szCs w:val="24"/>
                <w:highlight w:val="none"/>
                <w:lang w:eastAsia="zh-CN"/>
              </w:rPr>
              <w:t>安保服务</w:t>
            </w:r>
          </w:p>
        </w:tc>
        <w:tc>
          <w:tcPr>
            <w:tcW w:w="3520" w:type="pct"/>
            <w:vMerge w:val="continue"/>
            <w:shd w:val="clear" w:color="auto" w:fill="auto"/>
            <w:vAlign w:val="center"/>
          </w:tcPr>
          <w:p w14:paraId="318DC070">
            <w:pPr>
              <w:pStyle w:val="63"/>
              <w:widowControl w:val="0"/>
              <w:rPr>
                <w:rFonts w:hint="eastAsia" w:ascii="宋体" w:hAnsi="宋体" w:eastAsia="宋体" w:cs="宋体"/>
                <w:color w:val="auto"/>
                <w:highlight w:val="none"/>
                <w:lang w:val="en-US" w:eastAsia="zh-CN"/>
              </w:rPr>
            </w:pPr>
          </w:p>
        </w:tc>
      </w:tr>
      <w:tr w14:paraId="5E2E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31619046">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29" w:type="pct"/>
            <w:shd w:val="clear" w:color="auto" w:fill="auto"/>
            <w:vAlign w:val="center"/>
          </w:tcPr>
          <w:p w14:paraId="686FE0D8">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北海市第十一中学</w:t>
            </w:r>
            <w:r>
              <w:rPr>
                <w:rFonts w:hint="eastAsia" w:ascii="宋体" w:hAnsi="宋体" w:eastAsia="宋体" w:cs="宋体"/>
                <w:color w:val="auto"/>
                <w:sz w:val="24"/>
                <w:szCs w:val="24"/>
                <w:highlight w:val="none"/>
                <w:lang w:eastAsia="zh-CN"/>
              </w:rPr>
              <w:t>安保服务</w:t>
            </w:r>
          </w:p>
        </w:tc>
        <w:tc>
          <w:tcPr>
            <w:tcW w:w="3520" w:type="pct"/>
            <w:vMerge w:val="continue"/>
            <w:shd w:val="clear" w:color="auto" w:fill="auto"/>
            <w:vAlign w:val="center"/>
          </w:tcPr>
          <w:p w14:paraId="7AE8374D">
            <w:pPr>
              <w:pStyle w:val="63"/>
              <w:widowControl w:val="0"/>
              <w:rPr>
                <w:rFonts w:hint="eastAsia" w:ascii="宋体" w:hAnsi="宋体" w:eastAsia="宋体" w:cs="宋体"/>
                <w:color w:val="auto"/>
                <w:highlight w:val="none"/>
                <w:lang w:val="en-US" w:eastAsia="zh-CN"/>
              </w:rPr>
            </w:pPr>
          </w:p>
        </w:tc>
      </w:tr>
      <w:tr w14:paraId="7619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49A93AC5">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129" w:type="pct"/>
            <w:shd w:val="clear" w:color="auto" w:fill="auto"/>
            <w:vAlign w:val="center"/>
          </w:tcPr>
          <w:p w14:paraId="15A1F243">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北海市第二实验学校</w:t>
            </w:r>
            <w:r>
              <w:rPr>
                <w:rFonts w:hint="eastAsia" w:ascii="宋体" w:hAnsi="宋体" w:eastAsia="宋体" w:cs="宋体"/>
                <w:color w:val="auto"/>
                <w:sz w:val="24"/>
                <w:szCs w:val="24"/>
                <w:highlight w:val="none"/>
                <w:lang w:eastAsia="zh-CN"/>
              </w:rPr>
              <w:t>安保服务</w:t>
            </w:r>
          </w:p>
        </w:tc>
        <w:tc>
          <w:tcPr>
            <w:tcW w:w="3520" w:type="pct"/>
            <w:vMerge w:val="continue"/>
            <w:shd w:val="clear" w:color="auto" w:fill="auto"/>
            <w:vAlign w:val="center"/>
          </w:tcPr>
          <w:p w14:paraId="48A89840">
            <w:pPr>
              <w:pStyle w:val="63"/>
              <w:widowControl w:val="0"/>
              <w:rPr>
                <w:rFonts w:hint="eastAsia" w:ascii="宋体" w:hAnsi="宋体" w:eastAsia="宋体" w:cs="宋体"/>
                <w:color w:val="auto"/>
                <w:highlight w:val="none"/>
                <w:lang w:val="en-US" w:eastAsia="zh-CN"/>
              </w:rPr>
            </w:pPr>
          </w:p>
        </w:tc>
      </w:tr>
      <w:tr w14:paraId="0C15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00C1C34D">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129" w:type="pct"/>
            <w:shd w:val="clear" w:color="auto" w:fill="auto"/>
            <w:vAlign w:val="center"/>
          </w:tcPr>
          <w:p w14:paraId="56FA85DE">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北海市特殊教育学校</w:t>
            </w:r>
            <w:r>
              <w:rPr>
                <w:rFonts w:hint="eastAsia" w:ascii="宋体" w:hAnsi="宋体" w:eastAsia="宋体" w:cs="宋体"/>
                <w:color w:val="auto"/>
                <w:sz w:val="24"/>
                <w:szCs w:val="24"/>
                <w:highlight w:val="none"/>
                <w:lang w:eastAsia="zh-CN"/>
              </w:rPr>
              <w:t>安保服务</w:t>
            </w:r>
          </w:p>
        </w:tc>
        <w:tc>
          <w:tcPr>
            <w:tcW w:w="3520" w:type="pct"/>
            <w:vMerge w:val="continue"/>
            <w:shd w:val="clear" w:color="auto" w:fill="auto"/>
            <w:vAlign w:val="center"/>
          </w:tcPr>
          <w:p w14:paraId="38699597">
            <w:pPr>
              <w:pStyle w:val="63"/>
              <w:widowControl w:val="0"/>
              <w:rPr>
                <w:rFonts w:hint="eastAsia" w:ascii="宋体" w:hAnsi="宋体" w:eastAsia="宋体" w:cs="宋体"/>
                <w:color w:val="auto"/>
                <w:highlight w:val="none"/>
                <w:lang w:val="en-US" w:eastAsia="zh-CN"/>
              </w:rPr>
            </w:pPr>
          </w:p>
        </w:tc>
      </w:tr>
      <w:tr w14:paraId="4C45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44C4D2C3">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129" w:type="pct"/>
            <w:shd w:val="clear" w:color="auto" w:fill="auto"/>
            <w:vAlign w:val="center"/>
          </w:tcPr>
          <w:p w14:paraId="2E82A66A">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北海市中等职业技术学校</w:t>
            </w:r>
            <w:r>
              <w:rPr>
                <w:rFonts w:hint="eastAsia" w:ascii="宋体" w:hAnsi="宋体" w:eastAsia="宋体" w:cs="宋体"/>
                <w:color w:val="auto"/>
                <w:sz w:val="24"/>
                <w:szCs w:val="24"/>
                <w:highlight w:val="none"/>
                <w:lang w:eastAsia="zh-CN"/>
              </w:rPr>
              <w:t>安保服务</w:t>
            </w:r>
          </w:p>
        </w:tc>
        <w:tc>
          <w:tcPr>
            <w:tcW w:w="3520" w:type="pct"/>
            <w:shd w:val="clear" w:color="auto" w:fill="auto"/>
            <w:vAlign w:val="center"/>
          </w:tcPr>
          <w:p w14:paraId="2EF5DB59">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一、服务范围和内容</w:t>
            </w:r>
          </w:p>
          <w:p w14:paraId="51A48E5B">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w:t>
            </w:r>
          </w:p>
          <w:p w14:paraId="274CFF2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为派驻学校校园全域提供安保服务，负责校园门卫管理和校园防火、防盗、治安巡逻等，落实校园安全管理。</w:t>
            </w:r>
          </w:p>
          <w:p w14:paraId="61229AC9">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363359B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校园门卫管理和校园防火、防盗、治安巡逻等一切校园安全管理，保护学校师生人身和财产安全，维护校园秩序，维护校园稳定，以及校园周边可能影响学校安全、可能对在校学生、教职员工产生安全隐患的区域，同时对发生在服务区域内的刑事案件、治安案件、治安火灾事故第一时间采取制止和组织扑救措施，并及时报告服务学校领导和报警，同时采取措施保护现场。</w:t>
            </w:r>
          </w:p>
          <w:p w14:paraId="1D5A0D53">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0DBB6198">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（一）岗位要求及时间安排</w:t>
            </w:r>
          </w:p>
          <w:p w14:paraId="7D1C153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拟配备的相应岗位人员应持有对应资格证书。</w:t>
            </w:r>
          </w:p>
          <w:p w14:paraId="793873C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安保人员：每天24小时四班三运转。</w:t>
            </w:r>
          </w:p>
          <w:p w14:paraId="66AEA3C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 </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必须按各个岗位不同时段的人员数量和岗位要求，配备保安力量，并保证实际到岗。</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在组织、安排保安工作时，应符合国家相关法规，维护保安人员的正当权益。</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对其用工行为承担一切法律责任。</w:t>
            </w:r>
          </w:p>
          <w:p w14:paraId="08479ED8">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（二）安保管理服务主要内容及要求</w:t>
            </w:r>
          </w:p>
          <w:p w14:paraId="6169311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24小时全面负责校区（包括所有建筑物、公共场所）的治安防范工作。作为专业服务企业，安保公司应能够结合校园的具体情况制定和完善安全防范方案、管理方案，并有能力组织实施；安保公司必须按要求合理配置安保岗位和安保人员，明确岗位职责，抓好队伍管理和建设，采取人防、物防、技防措施，维护好校园治安秩序，全方位确保校园安全有序的教学科研、管理和学习生活环境。</w:t>
            </w:r>
          </w:p>
          <w:p w14:paraId="534FD37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对学校进行不间断的安全巡查，落实有关夜间巡查要求；对值班、巡逻中发现问题及时报告，妥善解决。根据学校安排，服从学校人员调配，做好各项活动的安全保卫工作。</w:t>
            </w:r>
          </w:p>
          <w:p w14:paraId="0119311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对发生在校区内的治安刑事案件及其他扰乱校园教学、科研、生活秩序的事件，应制定应急预案并能作出快速反应。并能采取恰当、有效的措施进行处置，防止事态进一步扩大，必要时及时报警，同时报告学校，事后协助公安机关及学校调查处置各种安全事件。对于发生在校园内的一般违纪事件，应视情况予以制止，并报告学校综治部门。</w:t>
            </w:r>
          </w:p>
          <w:p w14:paraId="2D0D023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积极配合学校、公安、城管等部门加强校园周边治安巡防，排查和制止各种涉及校园安全的安全隐患和事件。负责门前“三包”，劝阻乱摆乱卖流动摊贩，制止在校区大门划线管理区域内停泊车辆，疏导校区人流，维护学校校区大门区域的秩序。对校区大门及校园周边存在的各种扰乱社会秩序、侵害师生员工的行为，应及时报警处置。对各种企图冲击校区大门的暴恐行为及破坏行为，应及时采取有效措施制止并及时报警。</w:t>
            </w:r>
          </w:p>
          <w:p w14:paraId="4546394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负责校园内消防安全管理工作，积极配合学校开展消防安全宣传和教育工作，积极开展消防演练提高灭火及人员疏散等处置能力。每月定期对学校所有场所（包括校园内外实训基地）的消防设施、灭火器材、消防安全标志、应急灯等进行检查维护；每日对重点部位和场所进行巡查，确保疏散通道和安全出口畅通，对发现的消防安全隐患应及时整改并上报学校，对违反消防管理规定的行为应及时制止。校园发生火灾时，安保公司应及时组织力量进行灭火及人员疏散等处置，并及时报警和报告学校综治及后勤部门。事后，应配合公安和学校维护火灾现场和开展调查。认真配合学校做好消防台账建设工作。每月应将各种消防检查、消防隐患整改等资料，上报学校备案。</w:t>
            </w:r>
          </w:p>
          <w:p w14:paraId="69FED08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负责使用和管理学校现有的视频监控等安全技术防范系统，充分利用和发挥技防系统的作用，做好学校的安全保卫工作。爱护和维护系统设备，不能违反操作规程和其他规定，使用和操作系统设备，注意保持监控室和设施设备卫生，注意做好设施设备非技术性的保洁工作，确保系统正常运行。</w:t>
            </w:r>
          </w:p>
          <w:p w14:paraId="13A7A36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 负责学校各种大型活动的治安、交通秩序维护和消防等安全工作。遇到学校重大活动、临时性活动或突发性事件时，随时增添人员并听从学校统一安排和调遣。</w:t>
            </w:r>
          </w:p>
          <w:p w14:paraId="4DC3DFD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 加强安全保卫队伍的建设，严把人员聘用审核关，确保聘用的保安人员无违法犯罪行为；应通过开展培训，提高保安队伍的业务水平，通过加强管理，确保在岗人员能认真履行职责，无睡岗、离岗、串岗聊天及打牌、看书、玩手机，或出现与工作无关的事情的现象。安保公司工作人员不得与师生员工发生辱骂、冲突，特别不能发生殴打行为（经司法界定的属正当防卫除外），否则由当事人承担一切由此引起的法律及经济责任。如发生殴打学生的行为影响到学校形象的，安保公司除需要承担相应的法律责任及经济处罚外，学校有权终止与安保公司签订的协议书。</w:t>
            </w:r>
          </w:p>
          <w:p w14:paraId="69F8EDC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 着装要求</w:t>
            </w:r>
          </w:p>
          <w:p w14:paraId="0F3D83C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（1）所有安保人员，在值班过程中，一定要按要求着装（着制服，扎腰带，戴钢盔）。</w:t>
            </w:r>
          </w:p>
          <w:p w14:paraId="557B44E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（2）值班时，一定佩带防暴装备。</w:t>
            </w:r>
          </w:p>
          <w:p w14:paraId="200F58C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（3）值班时，不是随身携带的防暴装备，一定要将其摆在便于使用的位置，以便于发生突发事件时使用。</w:t>
            </w:r>
          </w:p>
          <w:p w14:paraId="76A0227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 其他</w:t>
            </w:r>
          </w:p>
          <w:p w14:paraId="740EA3A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全监控值班：认真填写值班记录，要熟悉消防报警及监控录相设备的基本功能，做到会操作使用、会排除一般故障，具有相关技能与水平；服从学校综治部门管理，及时报告情况，做好各种突发事件的预防和处理工作。</w:t>
            </w:r>
          </w:p>
          <w:p w14:paraId="7595CB23">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（三）安保人员行为规范要求</w:t>
            </w:r>
          </w:p>
          <w:p w14:paraId="70B6546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 职业道德要求 </w:t>
            </w:r>
          </w:p>
          <w:p w14:paraId="5C0EB4A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（1）敬业爱岗：勤奋敬业，积极肯干，热爱本职岗位，乐于为本职工作奉献。</w:t>
            </w:r>
          </w:p>
          <w:p w14:paraId="02321CB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（2）遵守纪律：认真遵守国家政策、法规、法令，遵守公司规章制度和劳动纪律。</w:t>
            </w:r>
          </w:p>
          <w:p w14:paraId="0C5F565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（3）认真学习：努力学习科学文化知识，不断提高业务技术水平，努力提高服务质量。</w:t>
            </w:r>
          </w:p>
          <w:p w14:paraId="479CF2E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（4）公私分明：爱护公物，不谋私利，自觉地维护公司的利益和声誉。</w:t>
            </w:r>
          </w:p>
          <w:p w14:paraId="5D62368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（5）勤俭节约：具有良好的节约意识，勤俭节约。</w:t>
            </w:r>
          </w:p>
          <w:p w14:paraId="341926B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（6）团结合作：严于律己，宽以待人，正确处理好个人与集体、同事的关系，具有良好的协作精神，易与他人相处。</w:t>
            </w:r>
          </w:p>
          <w:p w14:paraId="07BD96B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（7）严守秘密：未经批准，不向外界传播或提供有关学校的任何资料。</w:t>
            </w:r>
          </w:p>
          <w:p w14:paraId="252B1E13">
            <w:pPr>
              <w:pStyle w:val="25"/>
              <w:keepNext w:val="0"/>
              <w:keepLines w:val="0"/>
              <w:pageBreakBefore w:val="0"/>
              <w:widowControl w:val="0"/>
              <w:numPr>
                <w:ilvl w:val="0"/>
                <w:numId w:val="0"/>
              </w:numPr>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4"/>
                <w:highlight w:val="none"/>
                <w:lang w:val="en-US" w:eastAsia="zh-CN" w:bidi="ar-SA"/>
              </w:rPr>
              <w:t>2.</w:t>
            </w:r>
            <w:r>
              <w:rPr>
                <w:rFonts w:hint="eastAsia" w:ascii="宋体" w:hAnsi="宋体" w:eastAsia="宋体" w:cs="宋体"/>
                <w:color w:val="auto"/>
                <w:highlight w:val="none"/>
                <w:lang w:val="en-US" w:eastAsia="zh-CN"/>
              </w:rPr>
              <w:t xml:space="preserve">服务意识要求  </w:t>
            </w:r>
          </w:p>
          <w:p w14:paraId="249B9A1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（1）文明礼貌：做到语言规范，谈吐文雅，衣冠整洁，举止端庄。</w:t>
            </w:r>
          </w:p>
          <w:p w14:paraId="617FFAA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（2）主动热情：以真诚的笑容，主动热情地为师生服务，主动了解师生的需要，努力为师生排忧解难。</w:t>
            </w:r>
          </w:p>
          <w:p w14:paraId="3962DB7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（3）耐心周到：员工在对师生的服务中要耐心周到，问多不厌，事多不烦，虚心听取师生意见，耐心解答师生问题，服务体贴入微，有求必应，面面俱到，尽善尽美。</w:t>
            </w:r>
          </w:p>
          <w:p w14:paraId="543FA5D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 仪容仪表要求 </w:t>
            </w:r>
          </w:p>
          <w:p w14:paraId="2D71157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（1）所有安保人员，在值班过程中，保持衣冠整洁，按规定要求着装（包括：着制服、扎腰带，戴钢盔等），将工作卡端正地佩戴在左胸前。 </w:t>
            </w:r>
          </w:p>
          <w:p w14:paraId="7E710EA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（2）工作场所不得穿短裤、背心、拖鞋。 </w:t>
            </w:r>
          </w:p>
          <w:p w14:paraId="49AA1B8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（3）男员工头发不盖耳朵、不遮衣领，每天剃须，保持指甲清洁，不留长指甲，扣好衣扣裤扣，紧束领带（大箭头垂到皮带扣处为准），衬衣下摆放进裤内。</w:t>
            </w:r>
          </w:p>
          <w:p w14:paraId="6057394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（4）女员工头发不过肩，不做怪异发型，不留长指甲，不染指甲，不浓妆艳抹，不穿黑色或带花丝袜。</w:t>
            </w:r>
          </w:p>
          <w:p w14:paraId="6A262D98">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三、安保服务期内承担发生经济损失责任赔偿细则</w:t>
            </w:r>
          </w:p>
          <w:p w14:paraId="2BEED113">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（一）为规范管理，明确界定赔偿责任，特制定本细则</w:t>
            </w:r>
          </w:p>
          <w:p w14:paraId="1ED4828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赔偿应遵循的原则：根据责任大小实行“责任赔偿”。</w:t>
            </w:r>
          </w:p>
          <w:p w14:paraId="6F7D6C9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赔偿责任的确定，一般由校方后勤管理部门依据执法部门裁定进行确认，由</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根据确认结果实施赔偿。</w:t>
            </w:r>
          </w:p>
          <w:p w14:paraId="4802461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被损失物品价值的确定。按市场价格和使用折旧情况综合确定，即按实际价值确定。</w:t>
            </w:r>
          </w:p>
          <w:p w14:paraId="455DD6A6">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（二）关于教职工宿舍被盗损失的赔偿</w:t>
            </w:r>
          </w:p>
          <w:p w14:paraId="13B6191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赔偿的前提条件</w:t>
            </w:r>
          </w:p>
          <w:p w14:paraId="48634CE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（1）撬门、撬窗入室被盗；</w:t>
            </w:r>
          </w:p>
          <w:p w14:paraId="0AB23F5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（2）家中无人在时，门窗关好、房门锁好；</w:t>
            </w:r>
          </w:p>
          <w:p w14:paraId="419923F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（3）金银、珠宝等贵重首饰应存放于保险柜；</w:t>
            </w:r>
          </w:p>
          <w:p w14:paraId="6A337C0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（4）被盗物品有正式的购物发票。</w:t>
            </w:r>
          </w:p>
          <w:p w14:paraId="797C70A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赔偿的范围</w:t>
            </w:r>
          </w:p>
          <w:p w14:paraId="6DCB43B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（1）现金和现金等价物；</w:t>
            </w:r>
          </w:p>
          <w:p w14:paraId="7674D9D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（2）金银、珠宝等首饰；</w:t>
            </w:r>
          </w:p>
          <w:p w14:paraId="3C65FA2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（3）电脑、冰箱、电视机等大件电器物品；</w:t>
            </w:r>
          </w:p>
          <w:p w14:paraId="1459EF7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（4）其他经认定应予赔偿的物品。</w:t>
            </w:r>
          </w:p>
          <w:p w14:paraId="3647DBE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损失价值的确认</w:t>
            </w:r>
          </w:p>
          <w:p w14:paraId="325D832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（1）现金：由中标人责任导致损失的，损失在2000元人民币之内（含2000元）的，</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按100%赔偿；超过2000元人民币的，按2000元确认赔偿；</w:t>
            </w:r>
          </w:p>
          <w:p w14:paraId="50E1C67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（2）金银、珠宝等首饰按原购价（凭购买发票）计算确认；</w:t>
            </w:r>
          </w:p>
          <w:p w14:paraId="4BBD26E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（3）其他物品按原购价（凭购买发票）扣除折旧（采用年限法）后的折余价值计算确认。</w:t>
            </w:r>
          </w:p>
          <w:p w14:paraId="733FD2DB">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（三）关于车辆（汽车、摩托车、电动助力车等）被盗损失的赔偿</w:t>
            </w:r>
          </w:p>
          <w:p w14:paraId="13DEE01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赔偿的前提条件</w:t>
            </w:r>
          </w:p>
          <w:p w14:paraId="1D89300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（1）必须停放在学校指定停放点；</w:t>
            </w:r>
          </w:p>
          <w:p w14:paraId="28A0EAA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（2）停放车辆离开时必须锁好，摩托车、电动助力车应加挂防盗锁，小汽车应关好门窗；</w:t>
            </w:r>
          </w:p>
          <w:p w14:paraId="4908FA8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（3）停放车辆离开时应取走车钥匙；</w:t>
            </w:r>
          </w:p>
          <w:p w14:paraId="29B5A38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（4）有正式发票；</w:t>
            </w:r>
          </w:p>
          <w:p w14:paraId="52716C3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（5）机动车主应有行驶证、出入牌等证件。</w:t>
            </w:r>
          </w:p>
          <w:p w14:paraId="17F6E21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赔偿的范围</w:t>
            </w:r>
          </w:p>
          <w:p w14:paraId="7DB48F0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（1）学校公车；</w:t>
            </w:r>
          </w:p>
          <w:p w14:paraId="6987749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（2）教职员工私车；</w:t>
            </w:r>
          </w:p>
          <w:p w14:paraId="75069FE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（3）外来办事或上课停放在指定停车场及经认定应予赔偿的公、私车。</w:t>
            </w:r>
          </w:p>
          <w:p w14:paraId="2CFDD0B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损失的认定和赔偿比例</w:t>
            </w:r>
          </w:p>
          <w:p w14:paraId="0747BFB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按车辆原购价（汽车含车辆购置附加费）扣除折旧（采用年限法）后的折余价值计算确认。</w:t>
            </w:r>
          </w:p>
          <w:p w14:paraId="76492FD6">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（四）关于办公楼、教学楼和实验室（楼）等场所内公共财产被盗损失的赔偿。</w:t>
            </w:r>
          </w:p>
          <w:p w14:paraId="7369837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赔偿的前提条件</w:t>
            </w:r>
          </w:p>
          <w:p w14:paraId="15E6CE1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（1）安装有基本的防盗设施；</w:t>
            </w:r>
          </w:p>
          <w:p w14:paraId="385747C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（2）人员离开后应关好门窗；</w:t>
            </w:r>
          </w:p>
          <w:p w14:paraId="180B64E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（3）有正式的购物发票。</w:t>
            </w:r>
          </w:p>
          <w:p w14:paraId="5EDDBC6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赔偿的范围</w:t>
            </w:r>
          </w:p>
          <w:p w14:paraId="43601DB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（1）电脑、打印机、复印机、多媒体设备、传真机等公共财产；</w:t>
            </w:r>
          </w:p>
          <w:p w14:paraId="329073A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（2）其他认定应予赔偿的办公用品等公共财产；</w:t>
            </w:r>
          </w:p>
          <w:p w14:paraId="44F77A7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损失价值的确认</w:t>
            </w:r>
          </w:p>
          <w:p w14:paraId="362D634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按公共财产的原购价扣除折旧（采用年限法）后的折余价值计算确认。</w:t>
            </w:r>
          </w:p>
          <w:p w14:paraId="0B947D86">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（五）关于学生公寓楼被盗损失的赔偿</w:t>
            </w:r>
          </w:p>
          <w:p w14:paraId="182B8B3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学生公寓如发生外人撬门（锁、窗）入室盗窃案件，报公安部门（或校方后勤、保卫部门）现场核定后，</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全部损失的100%给予赔偿；</w:t>
            </w:r>
          </w:p>
          <w:p w14:paraId="274E5B8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学生公寓发生的因本人安全防范意识差（如出门不关门窗、不锁门、钥匙乱放、财物保管不善等），造成的财物丢失，不在赔偿之列。</w:t>
            </w:r>
          </w:p>
          <w:p w14:paraId="2038C63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学生凡有贵重物品的，需要在</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的物业部门进行登记，没有进行登记的贵重物品被盗和损失的，不在赔偿之列。手机、银行卡、饭卡等随身携带，若造成丢失不在赔偿范围之列，不便于携带的大件贵重物品如电脑等，若没有进行登记备案的必须要有同公寓学生及辅导员的证明，并提供购物发票，否则也不在赔偿之列。</w:t>
            </w:r>
          </w:p>
          <w:p w14:paraId="6073384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学生现金被盗数额超过500元，则不在赔偿之列。</w:t>
            </w:r>
          </w:p>
          <w:p w14:paraId="6C9F1E46">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四、其他要求</w:t>
            </w:r>
          </w:p>
          <w:p w14:paraId="3A69B53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安保公司按照学校划定的工作范围、工作内容及管理目标成立相关机构，制定相应工作流程、工作制度、监督考核办法，合理安排人员，科学管理，严格要求，达标运行。学校分管领导、职能部门负责监督、检查、指导，发现问题及时沟通、整改，规范运行。</w:t>
            </w:r>
          </w:p>
          <w:p w14:paraId="69F5076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安保公司开展管理服务所需的工具及设备由安保公司自行配置，费用由安保公司负责。</w:t>
            </w:r>
          </w:p>
          <w:p w14:paraId="1C535F8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学生放假期间，安保公司根据工作量安排留守工作人员，保持学校的安保工作正常运行，管理目标不变。</w:t>
            </w:r>
          </w:p>
          <w:p w14:paraId="5031A15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安保公司根据有关法规和安保服务合同对该安保项目实行统一管理，综合服务，自主经营，自负盈亏。</w:t>
            </w:r>
          </w:p>
          <w:p w14:paraId="2F72687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highlight w:val="none"/>
                <w:lang w:val="en-US" w:eastAsia="zh-CN"/>
              </w:rPr>
              <w:t>5. 安保公司聘用员工必须符合法律、政策的有关要求，在工作期间发生员工工伤及意外伤害事故和员工的疾病和人身安全由</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负责，工作人员的劳资、各项保险费用均由安保公司自理，发生的劳资纠纷由安保公司负</w:t>
            </w:r>
            <w:r>
              <w:rPr>
                <w:rFonts w:hint="eastAsia" w:ascii="宋体" w:hAnsi="宋体" w:eastAsia="宋体" w:cs="宋体"/>
                <w:color w:val="auto"/>
                <w:sz w:val="24"/>
                <w:szCs w:val="20"/>
                <w:highlight w:val="none"/>
              </w:rPr>
              <w:t>责。</w:t>
            </w:r>
          </w:p>
          <w:p w14:paraId="3567021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安保公司必须接受学校职能部门的监督。学校提供安保管理办公用房，不提供员工住宿用房。</w:t>
            </w:r>
          </w:p>
          <w:p w14:paraId="10F7B31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 服务要求：</w:t>
            </w:r>
          </w:p>
          <w:p w14:paraId="32D6EA5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①供应商中标后必须用原已在岗人员。</w:t>
            </w:r>
          </w:p>
          <w:p w14:paraId="1729E0C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②服务时间自合同签订之日起服务用工人数不少于16人。</w:t>
            </w:r>
          </w:p>
          <w:p w14:paraId="1534231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③安保人员统一着装，为规范，服务主动热情。</w:t>
            </w:r>
          </w:p>
          <w:p w14:paraId="5BFBCCA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④要有相关制度及应急预案。</w:t>
            </w:r>
          </w:p>
          <w:p w14:paraId="7737C38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⑤上岗人员必须经过岗前培训。</w:t>
            </w:r>
          </w:p>
          <w:p w14:paraId="3773E17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 6 \* GB3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⑥</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上岗人员必须提供健康证。</w:t>
            </w:r>
          </w:p>
          <w:p w14:paraId="33FA455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 7 \* GB3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⑦</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上岗人员的服装、安保器械及所有的福利由中标公司承担。</w:t>
            </w:r>
          </w:p>
          <w:p w14:paraId="0682B08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⑧不听从学校正常工作安排及管理者，公司必须马上换人。</w:t>
            </w:r>
          </w:p>
          <w:p w14:paraId="4C354640">
            <w:pPr>
              <w:pStyle w:val="25"/>
              <w:keepNext w:val="0"/>
              <w:keepLines w:val="0"/>
              <w:pageBreakBefore w:val="0"/>
              <w:widowControl w:val="0"/>
              <w:numPr>
                <w:ilvl w:val="0"/>
                <w:numId w:val="1"/>
              </w:numPr>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安保人员年龄须在50岁以下。</w:t>
            </w:r>
          </w:p>
          <w:p w14:paraId="0EAF2B17">
            <w:pPr>
              <w:pStyle w:val="25"/>
              <w:keepNext w:val="0"/>
              <w:keepLines w:val="0"/>
              <w:pageBreakBefore w:val="0"/>
              <w:widowControl w:val="0"/>
              <w:numPr>
                <w:ilvl w:val="0"/>
                <w:numId w:val="1"/>
              </w:numPr>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消防安全管理员须持有相关证书。</w:t>
            </w:r>
          </w:p>
          <w:p w14:paraId="74D8C8DD">
            <w:pPr>
              <w:pStyle w:val="25"/>
              <w:keepNext w:val="0"/>
              <w:keepLines w:val="0"/>
              <w:pageBreakBefore w:val="0"/>
              <w:widowControl w:val="0"/>
              <w:numPr>
                <w:ilvl w:val="0"/>
                <w:numId w:val="1"/>
              </w:numPr>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惩罚条款：</w:t>
            </w:r>
          </w:p>
          <w:p w14:paraId="081B97B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如有下列现象之一又未造成大损失的，第一次从应付公司费用中扣50元；第二次扣100元；第三次扣200元，且公司立即换人。</w:t>
            </w:r>
          </w:p>
          <w:p w14:paraId="0D42D25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①空岗或缺岗；</w:t>
            </w:r>
          </w:p>
          <w:p w14:paraId="2B4260A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②迟到或早退；</w:t>
            </w:r>
          </w:p>
          <w:p w14:paraId="6CB0626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③不按要求着装；</w:t>
            </w:r>
          </w:p>
          <w:p w14:paraId="2C13492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④不按要求佩戴安保器械；</w:t>
            </w:r>
          </w:p>
          <w:p w14:paraId="165948D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⑤没有按要求履行好“门前三包”职责。</w:t>
            </w:r>
          </w:p>
          <w:p w14:paraId="2FDF7E0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 6 \* GB3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⑥</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双方约定的其他内容</w:t>
            </w:r>
          </w:p>
        </w:tc>
      </w:tr>
    </w:tbl>
    <w:p w14:paraId="7097379F">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附表：</w:t>
      </w:r>
    </w:p>
    <w:p w14:paraId="0D82186D">
      <w:pPr>
        <w:bidi w:val="0"/>
        <w:ind w:left="0" w:leftChars="0" w:firstLine="0" w:firstLineChars="0"/>
        <w:jc w:val="center"/>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人员需求表</w:t>
      </w:r>
    </w:p>
    <w:tbl>
      <w:tblPr>
        <w:tblStyle w:val="6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836"/>
        <w:gridCol w:w="2002"/>
        <w:gridCol w:w="1069"/>
        <w:gridCol w:w="1810"/>
        <w:gridCol w:w="1256"/>
      </w:tblGrid>
      <w:tr w14:paraId="0B66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47" w:type="dxa"/>
            <w:vAlign w:val="center"/>
          </w:tcPr>
          <w:p w14:paraId="20532BA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序号</w:t>
            </w:r>
          </w:p>
        </w:tc>
        <w:tc>
          <w:tcPr>
            <w:tcW w:w="2836" w:type="dxa"/>
            <w:vAlign w:val="center"/>
          </w:tcPr>
          <w:p w14:paraId="6AF89F0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学校</w:t>
            </w:r>
          </w:p>
        </w:tc>
        <w:tc>
          <w:tcPr>
            <w:tcW w:w="2002" w:type="dxa"/>
            <w:vAlign w:val="center"/>
          </w:tcPr>
          <w:p w14:paraId="02B1F86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人员类别</w:t>
            </w:r>
          </w:p>
        </w:tc>
        <w:tc>
          <w:tcPr>
            <w:tcW w:w="1069" w:type="dxa"/>
            <w:vAlign w:val="center"/>
          </w:tcPr>
          <w:p w14:paraId="15BE1C6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配备人数</w:t>
            </w:r>
          </w:p>
        </w:tc>
        <w:tc>
          <w:tcPr>
            <w:tcW w:w="1810" w:type="dxa"/>
            <w:vAlign w:val="center"/>
          </w:tcPr>
          <w:p w14:paraId="115D2F8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投标最高限价</w:t>
            </w:r>
          </w:p>
          <w:p w14:paraId="6456BC1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（万元）</w:t>
            </w:r>
          </w:p>
        </w:tc>
        <w:tc>
          <w:tcPr>
            <w:tcW w:w="1256" w:type="dxa"/>
            <w:vAlign w:val="center"/>
          </w:tcPr>
          <w:p w14:paraId="646C8BD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备注</w:t>
            </w:r>
          </w:p>
        </w:tc>
      </w:tr>
      <w:tr w14:paraId="6E3C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7" w:type="dxa"/>
            <w:vAlign w:val="center"/>
          </w:tcPr>
          <w:p w14:paraId="56B7A63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2836" w:type="dxa"/>
            <w:vAlign w:val="center"/>
          </w:tcPr>
          <w:p w14:paraId="4233134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北海市第六幼儿园</w:t>
            </w:r>
          </w:p>
        </w:tc>
        <w:tc>
          <w:tcPr>
            <w:tcW w:w="2002" w:type="dxa"/>
            <w:vAlign w:val="center"/>
          </w:tcPr>
          <w:p w14:paraId="2945114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069" w:type="dxa"/>
            <w:vAlign w:val="center"/>
          </w:tcPr>
          <w:p w14:paraId="590E70A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1810" w:type="dxa"/>
            <w:vAlign w:val="center"/>
          </w:tcPr>
          <w:p w14:paraId="2D49FCE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45.28</w:t>
            </w:r>
          </w:p>
        </w:tc>
        <w:tc>
          <w:tcPr>
            <w:tcW w:w="1256" w:type="dxa"/>
            <w:vAlign w:val="center"/>
          </w:tcPr>
          <w:p w14:paraId="0DA78B5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5F43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7" w:type="dxa"/>
            <w:vAlign w:val="center"/>
          </w:tcPr>
          <w:p w14:paraId="752B6CC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2836" w:type="dxa"/>
            <w:vAlign w:val="center"/>
          </w:tcPr>
          <w:p w14:paraId="710E2513">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北海市第二中学</w:t>
            </w:r>
          </w:p>
        </w:tc>
        <w:tc>
          <w:tcPr>
            <w:tcW w:w="2002" w:type="dxa"/>
            <w:shd w:val="clear" w:color="auto" w:fill="auto"/>
            <w:vAlign w:val="center"/>
          </w:tcPr>
          <w:p w14:paraId="57F029D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保安</w:t>
            </w:r>
          </w:p>
        </w:tc>
        <w:tc>
          <w:tcPr>
            <w:tcW w:w="1069" w:type="dxa"/>
            <w:vAlign w:val="center"/>
          </w:tcPr>
          <w:p w14:paraId="0ADDBBC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11</w:t>
            </w:r>
          </w:p>
        </w:tc>
        <w:tc>
          <w:tcPr>
            <w:tcW w:w="1810" w:type="dxa"/>
            <w:vAlign w:val="center"/>
          </w:tcPr>
          <w:p w14:paraId="0511E52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99.62</w:t>
            </w:r>
          </w:p>
        </w:tc>
        <w:tc>
          <w:tcPr>
            <w:tcW w:w="1256" w:type="dxa"/>
            <w:vAlign w:val="center"/>
          </w:tcPr>
          <w:p w14:paraId="2CFF219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3B73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7" w:type="dxa"/>
            <w:vAlign w:val="center"/>
          </w:tcPr>
          <w:p w14:paraId="2632389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2836" w:type="dxa"/>
            <w:vAlign w:val="center"/>
          </w:tcPr>
          <w:p w14:paraId="586828C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北海市第六中学</w:t>
            </w:r>
          </w:p>
        </w:tc>
        <w:tc>
          <w:tcPr>
            <w:tcW w:w="2002" w:type="dxa"/>
            <w:vAlign w:val="center"/>
          </w:tcPr>
          <w:p w14:paraId="544C236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069" w:type="dxa"/>
            <w:vAlign w:val="center"/>
          </w:tcPr>
          <w:p w14:paraId="547BC5D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1810" w:type="dxa"/>
            <w:vAlign w:val="center"/>
          </w:tcPr>
          <w:p w14:paraId="6796D40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54.34</w:t>
            </w:r>
          </w:p>
        </w:tc>
        <w:tc>
          <w:tcPr>
            <w:tcW w:w="1256" w:type="dxa"/>
            <w:vAlign w:val="center"/>
          </w:tcPr>
          <w:p w14:paraId="57F073E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7772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7" w:type="dxa"/>
            <w:vAlign w:val="center"/>
          </w:tcPr>
          <w:p w14:paraId="766B161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w:t>
            </w:r>
          </w:p>
        </w:tc>
        <w:tc>
          <w:tcPr>
            <w:tcW w:w="2836" w:type="dxa"/>
            <w:vAlign w:val="center"/>
          </w:tcPr>
          <w:p w14:paraId="5746B2F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北海市第十一中学</w:t>
            </w:r>
          </w:p>
        </w:tc>
        <w:tc>
          <w:tcPr>
            <w:tcW w:w="2002" w:type="dxa"/>
            <w:vAlign w:val="center"/>
          </w:tcPr>
          <w:p w14:paraId="0996E1CE">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069" w:type="dxa"/>
            <w:vAlign w:val="center"/>
          </w:tcPr>
          <w:p w14:paraId="32585A8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w:t>
            </w:r>
          </w:p>
        </w:tc>
        <w:tc>
          <w:tcPr>
            <w:tcW w:w="1810" w:type="dxa"/>
            <w:vAlign w:val="center"/>
          </w:tcPr>
          <w:p w14:paraId="62148D7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63.39</w:t>
            </w:r>
          </w:p>
        </w:tc>
        <w:tc>
          <w:tcPr>
            <w:tcW w:w="1256" w:type="dxa"/>
            <w:vAlign w:val="center"/>
          </w:tcPr>
          <w:p w14:paraId="30CEFF1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42A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7" w:type="dxa"/>
            <w:vAlign w:val="center"/>
          </w:tcPr>
          <w:p w14:paraId="33E807FE">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2836" w:type="dxa"/>
            <w:vAlign w:val="center"/>
          </w:tcPr>
          <w:p w14:paraId="47A1CFDE">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北海市第二实验学校</w:t>
            </w:r>
          </w:p>
        </w:tc>
        <w:tc>
          <w:tcPr>
            <w:tcW w:w="2002" w:type="dxa"/>
            <w:vAlign w:val="center"/>
          </w:tcPr>
          <w:p w14:paraId="1B4EBA1E">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069" w:type="dxa"/>
            <w:vAlign w:val="center"/>
          </w:tcPr>
          <w:p w14:paraId="3A44DC9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9</w:t>
            </w:r>
          </w:p>
        </w:tc>
        <w:tc>
          <w:tcPr>
            <w:tcW w:w="1810" w:type="dxa"/>
            <w:vAlign w:val="center"/>
          </w:tcPr>
          <w:p w14:paraId="4F17548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81.51</w:t>
            </w:r>
          </w:p>
        </w:tc>
        <w:tc>
          <w:tcPr>
            <w:tcW w:w="1256" w:type="dxa"/>
            <w:vAlign w:val="center"/>
          </w:tcPr>
          <w:p w14:paraId="70D603C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0045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7" w:type="dxa"/>
            <w:vAlign w:val="center"/>
          </w:tcPr>
          <w:p w14:paraId="7D852A3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2836" w:type="dxa"/>
            <w:vAlign w:val="center"/>
          </w:tcPr>
          <w:p w14:paraId="26AD7C2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北海市特殊教育学校</w:t>
            </w:r>
          </w:p>
        </w:tc>
        <w:tc>
          <w:tcPr>
            <w:tcW w:w="2002" w:type="dxa"/>
            <w:vAlign w:val="center"/>
          </w:tcPr>
          <w:p w14:paraId="1A30D51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069" w:type="dxa"/>
            <w:vAlign w:val="center"/>
          </w:tcPr>
          <w:p w14:paraId="625DDDA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1810" w:type="dxa"/>
            <w:vAlign w:val="center"/>
          </w:tcPr>
          <w:p w14:paraId="5EC6125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45.28</w:t>
            </w:r>
          </w:p>
        </w:tc>
        <w:tc>
          <w:tcPr>
            <w:tcW w:w="1256" w:type="dxa"/>
            <w:vAlign w:val="center"/>
          </w:tcPr>
          <w:p w14:paraId="22E934A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21DC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7" w:type="dxa"/>
            <w:vMerge w:val="restart"/>
            <w:vAlign w:val="center"/>
          </w:tcPr>
          <w:p w14:paraId="05E4872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w:t>
            </w:r>
          </w:p>
        </w:tc>
        <w:tc>
          <w:tcPr>
            <w:tcW w:w="2836" w:type="dxa"/>
            <w:vMerge w:val="restart"/>
            <w:vAlign w:val="center"/>
          </w:tcPr>
          <w:p w14:paraId="63F6491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北海市中等职业技术学校</w:t>
            </w:r>
          </w:p>
        </w:tc>
        <w:tc>
          <w:tcPr>
            <w:tcW w:w="2002" w:type="dxa"/>
            <w:vAlign w:val="center"/>
          </w:tcPr>
          <w:p w14:paraId="3D27C1C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069" w:type="dxa"/>
            <w:vAlign w:val="center"/>
          </w:tcPr>
          <w:p w14:paraId="755823D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16</w:t>
            </w:r>
          </w:p>
        </w:tc>
        <w:tc>
          <w:tcPr>
            <w:tcW w:w="1810" w:type="dxa"/>
            <w:vMerge w:val="restart"/>
            <w:vAlign w:val="center"/>
          </w:tcPr>
          <w:p w14:paraId="1E0167B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146.53</w:t>
            </w:r>
          </w:p>
        </w:tc>
        <w:tc>
          <w:tcPr>
            <w:tcW w:w="1256" w:type="dxa"/>
            <w:vMerge w:val="restart"/>
            <w:vAlign w:val="center"/>
          </w:tcPr>
          <w:p w14:paraId="4A1B6B9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3D39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7" w:type="dxa"/>
            <w:vMerge w:val="continue"/>
            <w:vAlign w:val="center"/>
          </w:tcPr>
          <w:p w14:paraId="7319B7E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836" w:type="dxa"/>
            <w:vMerge w:val="continue"/>
            <w:vAlign w:val="center"/>
          </w:tcPr>
          <w:p w14:paraId="31E0D34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002" w:type="dxa"/>
            <w:vAlign w:val="center"/>
          </w:tcPr>
          <w:p w14:paraId="1B79E36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安保主管</w:t>
            </w:r>
          </w:p>
        </w:tc>
        <w:tc>
          <w:tcPr>
            <w:tcW w:w="1069" w:type="dxa"/>
            <w:vAlign w:val="center"/>
          </w:tcPr>
          <w:p w14:paraId="581425E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810" w:type="dxa"/>
            <w:vMerge w:val="continue"/>
            <w:vAlign w:val="center"/>
          </w:tcPr>
          <w:p w14:paraId="15DC145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256" w:type="dxa"/>
            <w:vMerge w:val="continue"/>
            <w:vAlign w:val="center"/>
          </w:tcPr>
          <w:p w14:paraId="4CD737B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1D2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7" w:type="dxa"/>
            <w:vMerge w:val="continue"/>
            <w:vAlign w:val="center"/>
          </w:tcPr>
          <w:p w14:paraId="1DBB2F7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836" w:type="dxa"/>
            <w:vMerge w:val="continue"/>
            <w:vAlign w:val="center"/>
          </w:tcPr>
          <w:p w14:paraId="4A39333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002" w:type="dxa"/>
            <w:vAlign w:val="center"/>
          </w:tcPr>
          <w:p w14:paraId="31E1D83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消防安全员</w:t>
            </w:r>
          </w:p>
        </w:tc>
        <w:tc>
          <w:tcPr>
            <w:tcW w:w="1069" w:type="dxa"/>
            <w:vAlign w:val="center"/>
          </w:tcPr>
          <w:p w14:paraId="47709903">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810" w:type="dxa"/>
            <w:vMerge w:val="continue"/>
            <w:vAlign w:val="center"/>
          </w:tcPr>
          <w:p w14:paraId="66403E12">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256" w:type="dxa"/>
            <w:vMerge w:val="continue"/>
            <w:vAlign w:val="center"/>
          </w:tcPr>
          <w:p w14:paraId="13D65AF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bl>
    <w:p w14:paraId="2CCC50EB">
      <w:pPr>
        <w:pStyle w:val="2"/>
        <w:rPr>
          <w:rFonts w:hint="default"/>
          <w:highlight w:val="none"/>
          <w:lang w:eastAsia="zh-CN"/>
        </w:rPr>
      </w:pPr>
    </w:p>
    <w:p w14:paraId="3CEB4261">
      <w:pPr>
        <w:spacing w:line="440" w:lineRule="exact"/>
        <w:ind w:firstLine="420" w:firstLineChars="200"/>
        <w:jc w:val="left"/>
        <w:rPr>
          <w:rFonts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rPr>
        <w:t>（2）商务要求</w:t>
      </w:r>
    </w:p>
    <w:tbl>
      <w:tblPr>
        <w:tblStyle w:val="64"/>
        <w:tblpPr w:leftFromText="180" w:rightFromText="180" w:vertAnchor="text" w:horzAnchor="page" w:tblpX="1395" w:tblpY="434"/>
        <w:tblOverlap w:val="never"/>
        <w:tblW w:w="993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9"/>
        <w:gridCol w:w="7684"/>
      </w:tblGrid>
      <w:tr w14:paraId="25950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E0AB86">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投标报价要求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8899BA">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1.投标报价包含人员工资、培训、服装、奖金、五险、其他必要的保险等营业成本以及利润、物业管理服务中所发生的各项税收等费用。</w:t>
            </w:r>
          </w:p>
          <w:p w14:paraId="1BD0CAED">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.供应商报价须列明各服务单位（各学校）的投入服务人数及报价。各学校的报价不得超过该服务单位的投标最高限价。</w:t>
            </w:r>
          </w:p>
        </w:tc>
      </w:tr>
      <w:tr w14:paraId="7D23C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75703A">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合同签订</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B0AC9">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按照政府采购有关规定，由市教育局、服务单位与成交供应商公司三方签订合同，在合同中明确各自的权利、义务及责任，切实履行协议内容。中标人须接受采购人和服务单位（各学校）的共同管理。</w:t>
            </w:r>
          </w:p>
        </w:tc>
      </w:tr>
      <w:tr w14:paraId="01EAA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B5E69F">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服务期限及地点</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912E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1.服务的时间：自签订合同完成并开始履行之日起2年（其中：北海市中等职业技术学校自2026年7月1日-2028年6月30日）。</w:t>
            </w:r>
          </w:p>
          <w:p w14:paraId="2CE67B2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2.服务的地点：北海市第六幼儿园、北海市第二中学、北海市第六中学、北海市第十一中学、北海市第二实验学校、北海市特殊教育学校、北海市中等职业技术学校。</w:t>
            </w:r>
          </w:p>
        </w:tc>
      </w:tr>
      <w:tr w14:paraId="41DA5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C8D960">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C8FB6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按照所服务单位划定的工作范围、工作内容及管理目标成立相关机构，制定相应工作流程、工作制度、监督考核办法，合理安排人员，科学管理，严格要求，达标运行。接受市教育局、所服务单位及相关职能部门的监督、检查、指导，发现问题及时沟通、整改，保证规范运行。</w:t>
            </w:r>
          </w:p>
          <w:p w14:paraId="7B82074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2.中标人须为聘用员工购买基本社会保险，对员工的疾病和人身安全负责，采购人不承担责任。</w:t>
            </w:r>
          </w:p>
          <w:p w14:paraId="11A7F85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季度接受所服务单位质量考核（按照招标文件、投标文件及合同条款标准进行考核），未达标准的从当季度应付款中扣除10‰服务费。连续两季度达不到标准且未及时整改的，所服务单位向采购人书面报告，且采购人有权终止合同。</w:t>
            </w:r>
          </w:p>
          <w:p w14:paraId="6B15866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4.中标人须全部接收原负责所服务单位有意愿继续留下工作的服务人员，确保他们的工资待遇不低于北海市最低工资加社保。</w:t>
            </w:r>
          </w:p>
          <w:p w14:paraId="5AE1929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5.中标人的服务工作人员必须经过上岗前培训，符合国家有关劳动用工的法律法规。上班时必须佩戴工卡、穿统一制服。</w:t>
            </w:r>
          </w:p>
          <w:p w14:paraId="2AA98A9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6.管理范围内发生的人身伤害、物品被盗、人为损坏设备设施，属中标人及其工作人员管理不善原因造成的，由中标人负责赔偿。</w:t>
            </w:r>
          </w:p>
          <w:p w14:paraId="208F5DE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人工作人员应固定保持在90%以上，凡更换人员必须向所服务单位申请，经所服务单位和教育局同意后方可更换，并做好交接班工作，若因交接班衔接不好，致使所服务单位工作受到影响者，按考核制度处罚。</w:t>
            </w:r>
          </w:p>
          <w:p w14:paraId="27C1829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人在提供管理服务时必须做好各项安全防范措施，中标人所有工作人员在合约期间如发生任何人身意外（生病、伤亡事故）、事故、触犯法律法规（包括劳动用工制度、发生劳资纠纷、所服务单位的规章制度等）、或损坏学校的设施和物品，由中标人负责处理并承担经济和责任。</w:t>
            </w:r>
          </w:p>
          <w:p w14:paraId="4B7A634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若中标人违约，未能达到招标文件中约定的管理目标，所服务单位有权要求中标人在规定时间内进行整改；如中标人未能按时整改，所服务单位有权向教育局申请与中标人解除合同，中标人须承担违约责任；造成所服务单位和教育局经济损失的，按造成的实际损失予以赔偿。</w:t>
            </w:r>
          </w:p>
          <w:p w14:paraId="7243E19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10.若中标人擅自转包、分包，或以任何形式与第三方进行合作的属违约，一经查实，中标人应向所服务单位及教育局承担违约责任，所服务单位和教育局有权解除合同。</w:t>
            </w:r>
          </w:p>
          <w:p w14:paraId="6E944D5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11.中标人若违背本招标文件中确定的义务，必须承担违约责任。</w:t>
            </w:r>
          </w:p>
          <w:p w14:paraId="212433F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12.中标人及其工作人员在所服务单位交由中标人管理和服务的工作区域内违法犯罪属实，中标人应赔偿并承担相应的法律责任，并不得再使用有关员工。</w:t>
            </w:r>
          </w:p>
          <w:p w14:paraId="636097A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13.服务人员要求：</w:t>
            </w:r>
          </w:p>
          <w:p w14:paraId="2FAB748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（1）用工人数不少于各服务单位要求的人数。</w:t>
            </w:r>
          </w:p>
          <w:p w14:paraId="433270BD">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（2）上岗人员必须经过岗前培训。</w:t>
            </w:r>
          </w:p>
          <w:p w14:paraId="744677E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（3）上岗人员的服装及所有的福利由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w:t>
            </w:r>
          </w:p>
          <w:p w14:paraId="4DD3B50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（4）对于不服从安排的服务人员，</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需向所服务单位及教育局进行书面申请，并在采购人同意后的2个工作日内替换新的服务人员。</w:t>
            </w:r>
          </w:p>
        </w:tc>
      </w:tr>
      <w:tr w14:paraId="2CD4B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C86941">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292F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1.对当班工作人员要严加管理，发生空岗、缺岗、脱岗、睡岗、上岗前喝酒（以人为记录和电子记录为准）等行为的，每次处罚100元，严重行为即时更换并处理。</w:t>
            </w:r>
          </w:p>
          <w:p w14:paraId="3D32DF0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2.发生不法分子对所服务单位的干扰，特别是暴恐和盗窃事件不及时妥善处理（阻止、制止、控制）的，每次处罚</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1000—3000元。</w:t>
            </w:r>
          </w:p>
          <w:p w14:paraId="7EC8672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3.当班人员责任心不强，服务不到位导致公共设施被盗、被破坏的，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及当班人员应共同承担相应的法律及经济损失赔偿责任，责任的界定由所服务单位确定或由公安司法部门裁定。</w:t>
            </w:r>
          </w:p>
          <w:p w14:paraId="4316F6C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4.当班人员须着规定制服上班，不穿制服上班的，每人每次扣100元。</w:t>
            </w:r>
          </w:p>
          <w:p w14:paraId="34F7168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所服务单位所属范围内开展工作，做到不迟到，不早退。有交接班的岗位须提前10分钟到达交接地点，并认真做好交接班工作，检查所配装备是否完好有效，并填报《值班交接记录表》。上班迟到、早退达到10分钟的每人每次扣50元，迟到、早退超过30分钟的算旷工。</w:t>
            </w:r>
          </w:p>
          <w:p w14:paraId="720D032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6.不开展交接班工作的，每人每次50元。因交接班工作盘点财物不到位造成损失的由交接班双方共同承担。</w:t>
            </w:r>
          </w:p>
          <w:p w14:paraId="45F8B91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7.详细考核标准详见本章节附件：安保管理服务考核标准。</w:t>
            </w:r>
          </w:p>
        </w:tc>
      </w:tr>
      <w:tr w14:paraId="27514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9035F">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服务监管</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98E77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（1）供应商自行负责对派出的工作人员进行政治思想、职业道德、业务技术、劳动纪律的教育和培训。</w:t>
            </w:r>
          </w:p>
          <w:p w14:paraId="5EFA8D9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选派的工作人员须经过岗前专业培训，上岗后继续对工作人员进行必要的教育和训练，保证工作人员的素质满足所服务单位工作的要求；保留工作人员的身份证复印件、个人简历等资料，并保证所提供资料的真实性，供应商不得随意减少或更换所派出的服务人员。</w:t>
            </w:r>
          </w:p>
          <w:p w14:paraId="1D41EDB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（3）供应商负责按时支付工作人员的工资和福利费用，提供工作人员的执勤被服、工具等基本条件。</w:t>
            </w:r>
          </w:p>
          <w:p w14:paraId="39D5090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服务单位有权对工作人员的工作进行检查、督促、评价，对不称职的工作人员提出批评及教育，屡教不改者，有权要求更换工作人员，并将实际情况以书面形式向供应商提出撤换的要求，供应商在接到撤换要求书后三个工作日内做出更换。</w:t>
            </w:r>
          </w:p>
          <w:p w14:paraId="713EA5C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（5）所服务单位对供应商拟派的工作人员的一切行为所产生的后果不承担任何责任，供应商须自行就问题进行解决处理。</w:t>
            </w:r>
          </w:p>
          <w:p w14:paraId="167519E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（6）供应商若发现工作期间的影藏因素存在的安全隐患可向所服务单位提出改进意见，并和所服务单位进行协商处理。</w:t>
            </w:r>
          </w:p>
          <w:p w14:paraId="708E9AA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所服务单位有权对供应商的工作进行考核，发现供应商不按照合同约定开展工作，对工作人员管理不规范、不严格，培训及安全措施不能达到所服务单位要求，第一次予以警告，第二次予以处罚，对连续三次不达标也不整改者（以书面通知为准），采购人有权解除合同。</w:t>
            </w:r>
          </w:p>
          <w:p w14:paraId="57409749">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服务期满后，须把服务期间涉及的所有档案移交给所服务单位，并在十个工作日内和新接替工作的安保公司进行工作交接，若出现不可抗力因素导致无法在规定时间内进行交接，供应商须书面告知所服务单位。</w:t>
            </w:r>
          </w:p>
        </w:tc>
      </w:tr>
      <w:tr w14:paraId="71788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D29D0">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服务质量要求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B42C8">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每月接受采购人或校方单位质量考核，未达标准从承包价中扣除。满意率至少在85％以上</w:t>
            </w:r>
            <w:r>
              <w:rPr>
                <w:rFonts w:hint="eastAsia" w:ascii="宋体" w:hAnsi="宋体" w:eastAsia="宋体" w:cs="宋体"/>
                <w:b/>
                <w:bCs/>
                <w:color w:val="auto"/>
                <w:sz w:val="24"/>
                <w:szCs w:val="24"/>
                <w:highlight w:val="none"/>
                <w:lang w:val="en-US" w:eastAsia="zh-CN"/>
              </w:rPr>
              <w:t>（各服务学校另有要求的该学校要求为准）</w:t>
            </w:r>
            <w:r>
              <w:rPr>
                <w:rFonts w:hint="eastAsia" w:ascii="宋体" w:hAnsi="宋体" w:eastAsia="宋体" w:cs="宋体"/>
                <w:color w:val="auto"/>
                <w:sz w:val="24"/>
                <w:szCs w:val="24"/>
                <w:highlight w:val="none"/>
                <w:lang w:val="en-US" w:eastAsia="zh-CN"/>
              </w:rPr>
              <w:t>、合同履约率达98%以上、上岗培训合格率达100%、合理投诉解决率达100%，连续两个月达不到，采购人可以终止合同。</w:t>
            </w:r>
          </w:p>
        </w:tc>
      </w:tr>
      <w:tr w14:paraId="0BAC7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99979A">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8D959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不得以任何形式向第三方透露本项目服务时的任何内容。如有泄密，需承担相应的法律责任。</w:t>
            </w:r>
          </w:p>
        </w:tc>
      </w:tr>
      <w:tr w14:paraId="66174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82352">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违约责任</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9A0F5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所提供服务成果，无法达到本项目招标文件要求以及投标文件所承诺的内容的，所服务单位和教育局有权要求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作出整改。如整改完毕仍达不到上述要求的，所服务单位和教育局有权拒绝支付款项，且</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应向所服务单位和教育局支付中标总金额的5%作为违约金并赔偿所服务单位和教育局的一切损失。</w:t>
            </w:r>
          </w:p>
          <w:p w14:paraId="06BB781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违约责任的赔偿不意味违约方整个合同责任的解除，未经所服务单位和教育局同意，</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不得以任何理由推迟、降低、减少有关合同条款履行的承诺。</w:t>
            </w:r>
          </w:p>
          <w:p w14:paraId="313908ED">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其它违约行为按成交总金额5%收取违约金并赔偿其他经济损失。</w:t>
            </w:r>
          </w:p>
        </w:tc>
      </w:tr>
      <w:tr w14:paraId="7109E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4AB58">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付款条件</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A408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自合同签订后且中标单位服务人员进场（进场时间以各服务单位具体要求为准）、财政资金到位后，预付合同总金额的10%;剩余款项按季度平均支付，每季度第一个月支付上季度服务费。</w:t>
            </w:r>
          </w:p>
          <w:p w14:paraId="2267D5D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每季度考核结果结算支付。三方在签订合同时可就服务质量及检查标准制定奖罚细则，在支付服务费用时采购人（甲方）、服务单位（丙方）有权根据奖罚细则增减服务费用的支付或终止合同。每次请款供应商（乙方）先交请款申请函，后根据要求开具发票，再根据实际情况、考核情况付款。</w:t>
            </w:r>
          </w:p>
        </w:tc>
      </w:tr>
      <w:tr w14:paraId="36FAF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E2DCE8">
            <w:pPr>
              <w:spacing w:line="520" w:lineRule="exact"/>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其他要求</w:t>
            </w:r>
          </w:p>
        </w:tc>
        <w:tc>
          <w:tcPr>
            <w:tcW w:w="7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97A74">
            <w:pPr>
              <w:spacing w:line="520" w:lineRule="exact"/>
              <w:ind w:firstLine="480" w:firstLineChars="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为了保证履约质量和支持中小企业发展，本标项与其他标项兼投不兼中。</w:t>
            </w:r>
          </w:p>
        </w:tc>
      </w:tr>
    </w:tbl>
    <w:p w14:paraId="4865A7BD">
      <w:pPr>
        <w:pStyle w:val="2"/>
        <w:spacing w:line="440" w:lineRule="exact"/>
        <w:ind w:firstLine="462"/>
        <w:outlineLvl w:val="1"/>
        <w:rPr>
          <w:rFonts w:hint="eastAsia" w:eastAsia="宋体"/>
          <w:color w:val="auto"/>
          <w:highlight w:val="none"/>
          <w:lang w:val="zh-CN" w:eastAsia="zh-CN"/>
        </w:rPr>
      </w:pPr>
      <w:r>
        <w:rPr>
          <w:rFonts w:ascii="宋体" w:hAnsi="宋体" w:cs="宋体"/>
          <w:b/>
          <w:bCs/>
          <w:color w:val="auto"/>
          <w:szCs w:val="21"/>
          <w:highlight w:val="none"/>
        </w:rPr>
        <w:br w:type="page"/>
      </w:r>
      <w:r>
        <w:rPr>
          <w:rFonts w:hint="eastAsia" w:ascii="宋体" w:hAnsi="宋体" w:cs="宋体"/>
          <w:b/>
          <w:color w:val="auto"/>
          <w:sz w:val="21"/>
          <w:szCs w:val="21"/>
          <w:highlight w:val="none"/>
        </w:rPr>
        <w:t>标项四：安保服务</w:t>
      </w:r>
      <w:r>
        <w:rPr>
          <w:rFonts w:hint="eastAsia" w:ascii="宋体" w:hAnsi="宋体" w:cs="宋体"/>
          <w:b/>
          <w:color w:val="auto"/>
          <w:sz w:val="21"/>
          <w:szCs w:val="21"/>
          <w:highlight w:val="none"/>
          <w:lang w:val="en-US" w:eastAsia="zh-CN"/>
        </w:rPr>
        <w:t>4</w:t>
      </w:r>
    </w:p>
    <w:p w14:paraId="57DFC46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14:paraId="5631353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1.本项目的政府采购预算控制价为人民币</w:t>
      </w:r>
      <w:r>
        <w:rPr>
          <w:rFonts w:hint="eastAsia" w:ascii="宋体" w:hAnsi="宋体" w:cs="宋体"/>
          <w:color w:val="auto"/>
          <w:szCs w:val="21"/>
          <w:highlight w:val="none"/>
          <w:lang w:eastAsia="zh-CN"/>
        </w:rPr>
        <w:t>4117100</w:t>
      </w:r>
      <w:r>
        <w:rPr>
          <w:rFonts w:hint="eastAsia" w:ascii="宋体" w:hAnsi="宋体" w:cs="宋体"/>
          <w:color w:val="auto"/>
          <w:szCs w:val="21"/>
          <w:highlight w:val="none"/>
        </w:rPr>
        <w:t>元，高于预算控制价的报价将视为无效投标。</w:t>
      </w:r>
    </w:p>
    <w:p w14:paraId="16E8A29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采购需求中标注“★”的内容必须满足或者优于，否则投标无效。</w:t>
      </w:r>
    </w:p>
    <w:p w14:paraId="2693430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3.根据《关于印发中小企业划型标准规定的通知》（工信部联企业</w:t>
      </w:r>
      <w:r>
        <w:rPr>
          <w:rFonts w:hint="eastAsia" w:ascii="宋体" w:hAnsi="宋体" w:cs="Book Antiqua"/>
          <w:color w:val="auto"/>
          <w:szCs w:val="21"/>
          <w:highlight w:val="none"/>
        </w:rPr>
        <w:t>〔2011〕</w:t>
      </w:r>
      <w:r>
        <w:rPr>
          <w:rFonts w:hint="eastAsia" w:ascii="宋体" w:hAnsi="宋体" w:cs="宋体"/>
          <w:color w:val="auto"/>
          <w:szCs w:val="21"/>
          <w:highlight w:val="none"/>
        </w:rPr>
        <w:t>300号）规定的划分标准，本项目采购所有标的对应的中小企业划分标准所属行业为：</w:t>
      </w:r>
      <w:r>
        <w:rPr>
          <w:rFonts w:hint="eastAsia" w:ascii="宋体" w:hAnsi="宋体" w:cs="Book Antiqua"/>
          <w:b/>
          <w:color w:val="auto"/>
          <w:szCs w:val="21"/>
          <w:highlight w:val="none"/>
        </w:rPr>
        <w:t>租赁和商务服务业</w:t>
      </w:r>
      <w:r>
        <w:rPr>
          <w:rFonts w:hint="eastAsia" w:ascii="宋体" w:hAnsi="宋体" w:cs="宋体"/>
          <w:color w:val="auto"/>
          <w:szCs w:val="21"/>
          <w:highlight w:val="none"/>
        </w:rPr>
        <w:t>。</w:t>
      </w:r>
    </w:p>
    <w:p w14:paraId="418227FB">
      <w:pPr>
        <w:spacing w:line="44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rPr>
        <w:t>（1）技术要求</w:t>
      </w:r>
    </w:p>
    <w:tbl>
      <w:tblPr>
        <w:tblStyle w:val="6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225"/>
        <w:gridCol w:w="6938"/>
      </w:tblGrid>
      <w:tr w14:paraId="1F7A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35574750">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29" w:type="pct"/>
            <w:shd w:val="clear" w:color="auto" w:fill="auto"/>
            <w:vAlign w:val="center"/>
          </w:tcPr>
          <w:p w14:paraId="42CBC4D0">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3520" w:type="pct"/>
            <w:shd w:val="clear" w:color="auto" w:fill="auto"/>
            <w:vAlign w:val="center"/>
          </w:tcPr>
          <w:p w14:paraId="4F648C2F">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服务需求</w:t>
            </w:r>
          </w:p>
        </w:tc>
      </w:tr>
      <w:tr w14:paraId="0EF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69CE13E7">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29" w:type="pct"/>
            <w:shd w:val="clear" w:color="auto" w:fill="auto"/>
            <w:vAlign w:val="center"/>
          </w:tcPr>
          <w:p w14:paraId="6BF19529">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北海市第五幼儿园安保服务</w:t>
            </w:r>
          </w:p>
        </w:tc>
        <w:tc>
          <w:tcPr>
            <w:tcW w:w="3520" w:type="pct"/>
            <w:vMerge w:val="restart"/>
            <w:shd w:val="clear" w:color="auto" w:fill="auto"/>
            <w:vAlign w:val="center"/>
          </w:tcPr>
          <w:p w14:paraId="6D3F5AFC">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一、服务范围和内容</w:t>
            </w:r>
          </w:p>
          <w:p w14:paraId="11912767">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w:t>
            </w:r>
          </w:p>
          <w:p w14:paraId="6407C70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为派驻学校校园全域提供安保服务，负责校园门卫管理和校园防火、防盗、治安巡逻等，落实校园安全管理。</w:t>
            </w:r>
          </w:p>
          <w:p w14:paraId="03E9924D">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1B67AF0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校园门卫管理和校园防火、防盗、治安巡逻等一切校园安全管理，保护学校师生人身和财产安全，维护校园秩序，维护校园稳定，以及校园周边可能影响学校安全、可能对在校学生、教职员工产生安全隐患的区域，同时对发生在服务区域内的刑事案件、治安案件、治安火灾事故第一时间采取制止和组织扑救措施，并及时报告服务学校领导和报警，同时采取措施保护现场。</w:t>
            </w:r>
          </w:p>
          <w:p w14:paraId="06A4F349">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568DC092">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（一）总体服务要求</w:t>
            </w:r>
          </w:p>
          <w:p w14:paraId="50887D0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1．各派驻学校服务用工人数不少于该校区所需人数（详见本标段附表：人员需求表），保安必须持保安证上岗。</w:t>
            </w:r>
          </w:p>
          <w:p w14:paraId="3827F7A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必须为所有上岗人员购买社会保险及人身意外保险。</w:t>
            </w:r>
          </w:p>
          <w:p w14:paraId="5D964E1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3．上岗人员在工作期间发生员工工伤及意外伤害事故以及涉及用工方面的劳务纠纷和劳动事故全部由</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承担责任。</w:t>
            </w:r>
          </w:p>
          <w:p w14:paraId="670E880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4．服务费涵盖基本工资、社会保险、物业管理费、税费等费用。</w:t>
            </w:r>
          </w:p>
          <w:p w14:paraId="2334F7A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必须每月按时足额发放员工工资，不得以任何理由拖欠员工工资，确保及时足额支付。</w:t>
            </w:r>
          </w:p>
          <w:p w14:paraId="4425438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需有安保管理方案，质量管理、档案管理等制度。</w:t>
            </w:r>
          </w:p>
          <w:p w14:paraId="2B23291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7．管理服务人员统一着装，行为规范，服务主动热情。</w:t>
            </w:r>
          </w:p>
          <w:p w14:paraId="674F036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每季度接受采购人服务质量考核，考核由采购人或派驻校方采取日常巡查、随机抽查、专项检查相结合的方式进行。服务费以考核得分等级支付，支付比例如下：得分≥90分：支付当季应付服务费的100%；80分≤得分&lt;90分：支付当季应付服务费的95%；70分≤得分&lt;80分：支付当季应付服务费的90%；得分&lt;70分：付当季应付服务费的85%。得分低于70分或连续两季度低于80分，采购人或派驻校方有权发出警告，要求限期整改，未能完成整改的采购人有权终止合同。</w:t>
            </w:r>
          </w:p>
          <w:p w14:paraId="1263F7DD">
            <w:pPr>
              <w:pStyle w:val="25"/>
              <w:keepNext w:val="0"/>
              <w:keepLines w:val="0"/>
              <w:pageBreakBefore w:val="0"/>
              <w:widowControl w:val="0"/>
              <w:kinsoku/>
              <w:overflowPunct/>
              <w:topLinePunct w:val="0"/>
              <w:autoSpaceDE/>
              <w:autoSpaceDN/>
              <w:bidi w:val="0"/>
              <w:snapToGrid/>
              <w:spacing w:line="50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（二）具体工作要求</w:t>
            </w:r>
          </w:p>
          <w:p w14:paraId="20224FDF">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1．岗位时间安排</w:t>
            </w:r>
          </w:p>
          <w:p w14:paraId="2491AE6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（1）安保人员：每天24小时四班三运转</w:t>
            </w:r>
            <w:r>
              <w:rPr>
                <w:rFonts w:hint="eastAsia" w:ascii="宋体" w:hAnsi="宋体" w:eastAsia="宋体" w:cs="宋体"/>
                <w:b/>
                <w:bCs/>
                <w:color w:val="auto"/>
                <w:highlight w:val="none"/>
                <w:lang w:val="en-US" w:eastAsia="zh-CN"/>
              </w:rPr>
              <w:t>（如所服务单位有特殊要求，具体安排由相关单位自行安排）。</w:t>
            </w:r>
          </w:p>
          <w:p w14:paraId="471F257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必须按各个岗位不同时段的人员数量和岗位要求，配备保安力量，并保证实际到岗。</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在组织、安排保安工作时，应符合国家相关法规，维护保安人员的正当权益。</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对其用工行为承担一切法律责任。</w:t>
            </w:r>
          </w:p>
          <w:p w14:paraId="1B40B43B">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 安保服务主要内容</w:t>
            </w:r>
          </w:p>
          <w:p w14:paraId="2777FFD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依照学校规定与管理要求，结合学校安全保卫工作实际情况，制订切实可行的安全保卫工作整体方案，开展专业化安保业务，具体服务工作内容如下：</w:t>
            </w:r>
          </w:p>
          <w:p w14:paraId="06D82AA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（1）24小时全面负责校区（包括所有建筑物、公共场所）的治安防范工作。作为专业服务企业，</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应能够结合校园的具体情况制定和完善安全防范方案、管理方案，并有能力组织实施；</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必须按要求合理配置安保岗位和安保人员，明确岗位职责，抓好队伍管理和建设，采取人防、物防、技防措施，维护好校园治安秩序，全方位确保校园安全有序的教学科研、管理和学习生活环境。</w:t>
            </w:r>
          </w:p>
          <w:p w14:paraId="070876D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（2）全面负责门卫管理，对校区日常开放的门岗实行门卫管理，负责对外来机动车辆、外来人员、出入校园物品进行检查登记等门卫值勤工作。</w:t>
            </w:r>
          </w:p>
          <w:p w14:paraId="486564D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（3）全面负责校区内安全重点部位的防破坏、防事故、防盗、防外来人员私自进入等守护守卫工作。</w:t>
            </w:r>
          </w:p>
          <w:p w14:paraId="0259847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（4）全面负责校区的治安巡逻，及时发现各类安全隐患，制止校园不文明举止，发现和制止校园暴力事件，随时准备提供紧急救助。</w:t>
            </w:r>
          </w:p>
          <w:p w14:paraId="64E2F68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严格执行学校安全保卫制度、消防规章制度，负责做好学校安全、保卫、消防等工作。校园公共部位安全隐患检查、排除；定时巡检测试消防监控等设施设备，填写记录，发现问题时，应准确判断，及时上报。</w:t>
            </w:r>
          </w:p>
          <w:p w14:paraId="01AF868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（6）在保卫科的组织领导下，协同做好校园内部治安综合治理工作，负责做好校园交通管理工作，做好校区内的综合治理工作。</w:t>
            </w:r>
          </w:p>
          <w:p w14:paraId="7F9E958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（7）协助做好学校重大活动安全保卫工作；负责学校各种大型活动的治安、交通秩序维护和消防等安全工作。遇到学校重大活动、临时性活动或突发性事件时，随时增添人员并听从学校统一安排和调遣。</w:t>
            </w:r>
          </w:p>
          <w:p w14:paraId="4622731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（8）配合保卫科执行各项管理制度，维护校园内教学、交通、生活秩序，执行率100%；接受保卫科的监督检查、考核及业务指导。</w:t>
            </w:r>
          </w:p>
          <w:p w14:paraId="747D9A8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安全监控值班：认真填写值班记录，要熟悉消防报警及监控录相设备的基本功能，做到会操作使用、会排除一般故障，具有相关技能与水平；服从学校综治部门管理，及时报告情况，做好各种突发事件的预防和处理工作。</w:t>
            </w:r>
          </w:p>
          <w:p w14:paraId="35DC619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highlight w:val="none"/>
                <w:lang w:val="en-US" w:eastAsia="zh-CN"/>
              </w:rPr>
              <w:t>其它属于保安服务范围内的工作以及学校临时交办的任务。</w:t>
            </w:r>
          </w:p>
          <w:p w14:paraId="6855AEAE">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 服务工作质量目标要求</w:t>
            </w:r>
          </w:p>
          <w:p w14:paraId="440CFA4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（1）依照行业标准，根据学校管理规定与服务要求，制订切实可行的校园保安服务整体方案和应急预案，突发事件反应迅速，预案处置有力。</w:t>
            </w:r>
          </w:p>
          <w:p w14:paraId="6B297C0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（2）依法办事，文明执勤，严格管理，保障学校财产和师生人身权益不受侵害，维护正常的教学、科研、生活秩序。</w:t>
            </w:r>
          </w:p>
          <w:p w14:paraId="246D39E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（3）全年无责任事故和责任案件发生，师生有安全感，对校园保安服务满意率达85%以上。</w:t>
            </w:r>
          </w:p>
          <w:p w14:paraId="0C4645A2">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 服务工作标准</w:t>
            </w:r>
          </w:p>
          <w:p w14:paraId="29DC865F">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（1）自行配备门卫值勤、安全巡逻所需的器材、通讯设备和交通工具等。</w:t>
            </w:r>
          </w:p>
          <w:p w14:paraId="16760D8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派驻学校的保安人员应持有保安员证，消防设施操作员应持有《消防设施操作员》证书。按治安管理要求，派驻学校的保安人员应持身份证、正规医院健康证明、无犯罪记录证明到学校保卫科填写“保安员备案表”，如有人员变动应及时到保卫科登记备案。值班、巡逻人员值班表每月提前报送保卫科。</w:t>
            </w:r>
          </w:p>
          <w:p w14:paraId="66F3734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（3）负责校区的门卫工作，按照学校的制度及其他有关规定，认真管理好进出校园的人员、车辆和物资等。</w:t>
            </w:r>
          </w:p>
          <w:p w14:paraId="350DA6F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（4）学校遇有重大活动或全校性的考试需要增配、抽调人员协助时，应无偿按照校方要求执行，工作时应统一服装及标志。</w:t>
            </w:r>
          </w:p>
          <w:p w14:paraId="29ECDE7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（5）坚持文明执勤、文明上岗。上岗人员要仪表整洁卫生，站岗姿势要端正规范，指挥车辆动作要准确、标准，执勤语言要文明。</w:t>
            </w:r>
          </w:p>
          <w:p w14:paraId="35208AE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（6）积极主动协调处理校内治安，消防等方面的突发事件，迅速排除各种险情，及时制止违法犯罪行为，及时向保卫科报告各类案件、事故及其他重大问题和重要情况，做好校园110接处警工作。</w:t>
            </w:r>
          </w:p>
          <w:p w14:paraId="0376529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要建立文明值班室。值班场所做到整洁、卫生、有序，负责门前三包：“包安全、包卫生、包秩序”；上岗人员做到“六不”：不擅离岗位，不打瞌睡，不闲聊嬉闹，不打牌下棋，不聚众喝酒，不干私活会客。</w:t>
            </w:r>
          </w:p>
          <w:p w14:paraId="671A9795">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 队伍建设与管理要求</w:t>
            </w:r>
          </w:p>
          <w:p w14:paraId="2168F77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（1）供应商必须持有保安服务许可资质证书，相应岗位人员应持有对应资格证书。</w:t>
            </w:r>
          </w:p>
          <w:p w14:paraId="33E6DC0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（2）从学校安全实际出发，经常性开展在岗人员业务培训和紧急预案演练。</w:t>
            </w:r>
          </w:p>
          <w:p w14:paraId="03160C9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（3）内部管理体制健全，设管理人员1名，全面负责日常保安队伍规范化管理，对保安人员的日常思想、工作、生活进行管理和领导，处理好保安队伍内部事务。</w:t>
            </w:r>
          </w:p>
          <w:p w14:paraId="3A3BF60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（4）保持保安队伍的稳定，严格控制保安人员轮换岗比例，如有必要需更换保安人员的，应提前告知保卫科，确保服务质量不因人员变动而受影响。</w:t>
            </w:r>
          </w:p>
          <w:p w14:paraId="6444DE5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（5）保安人员应聘、录用、离职等管理档案规范，手续齐全，相应资料必须报保卫科备案，禁止离职人员和 “问题保安”、“黑保安”进入校园。</w:t>
            </w:r>
          </w:p>
          <w:p w14:paraId="43CA3E80">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6. 人员素质要求</w:t>
            </w:r>
          </w:p>
          <w:p w14:paraId="78C7C7A6">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（1）派驻学校的保安人员应知法、懂法、守法、依法办事，必须严格遵守保安从业规范，模范遵守校园安全管理规定。</w:t>
            </w:r>
          </w:p>
          <w:p w14:paraId="5209C80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（2）管理人员应具备高中以上学历，有较高的政治思想素养和业务水平，有较强的组织协调能力，受过专门的保安业务培训。</w:t>
            </w:r>
          </w:p>
          <w:p w14:paraId="3B01C06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派驻学校的保安人员应具备的个人素质条件：原则上为男性，具有初中及以上文化程度，退伍军人为佳，年龄在35至55周岁之间，身体健康，视力正常，无传染病、心血管疾病及精神等不能控制自己行为能力的疾病病史，体貌端正，无被刑事处罚、劳动教养、收容教育、强制隔离戒毒或者被开除公职、开除军籍等不良记录，无犯罪记录，曾受过刑事及治安处罚的人员不得录用派驻。</w:t>
            </w:r>
          </w:p>
          <w:p w14:paraId="61B2B7F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（4）派驻学校的保安人员有高度的责任感和吃苦耐劳的精神，应受过岗前专业培训，熟知学校的管理规定，恪尽职守，善于发现各类问题，具备一定的管理经验和处理突发事件能力。</w:t>
            </w:r>
          </w:p>
          <w:p w14:paraId="5B64A895">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7. 工作衔接要求</w:t>
            </w:r>
          </w:p>
          <w:p w14:paraId="7D36649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（1）根据行业服务标准与学校规定要求，独立运作，落实校园安全保卫整体方案，并结合校园实际在实践中不断完善。</w:t>
            </w:r>
          </w:p>
          <w:p w14:paraId="156D0CFE">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（2）在校园现有保安人员自愿前提下，采购人同意接收现有保安，并与之签订用工合同，规范管理，保持平稳过渡。</w:t>
            </w:r>
          </w:p>
          <w:p w14:paraId="34863A7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（3）管理人员须与保卫科保持必要的工作交流，每星期一次向保卫科口头汇报所承担的保安工作开展情况及信息反馈，重大情况须及时报告。</w:t>
            </w:r>
          </w:p>
          <w:p w14:paraId="2AA0D82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（4）做好详细的执勤记录，原始台帐保存完好，以备学校核查。</w:t>
            </w:r>
          </w:p>
          <w:p w14:paraId="704AC32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（5）协同学校治安协防组织，形成群防群治体系。</w:t>
            </w:r>
          </w:p>
          <w:p w14:paraId="5BC2F29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（6）与宿管员协作，内外联动，开展一体化安全防范。</w:t>
            </w:r>
          </w:p>
          <w:p w14:paraId="61685E0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（7）与当地派出所、综治办加强合作与交流。</w:t>
            </w:r>
          </w:p>
          <w:p w14:paraId="0B13B563">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 岗位工作职责要求</w:t>
            </w:r>
          </w:p>
          <w:p w14:paraId="0FF27AB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管理人员：代表公司全面负责保安队伍的日常管理事务，严格队伍纪律管理，奖优罚劣；承担保安违规违纪连带责任；实行人性化管理，关心队员的思想动态，充分调动队员积极性，努力保证队伍稳定；传达落实学校的服务要求与管理规定，组织实施并不断完善校园安全保卫整体方案；结合学校发展实际情况，适时做出岗位调整，完善各岗位职责；定期向保卫处汇报工作开展情况及治安信息，重大情况随时报告；配合学校处理校区内违规事件；组织开展保安业务培训和预案演练，制定校园内重大活动的安全保卫方案；建立健全录用保安人员档案资料。负责安排保安的日常工作，督促检查在岗人员履行岗位职责情况，纠正队员违规违纪行为，日常管理不流于形式，形成良好风气，妥善保管好学校提供的设备器材，严格交接班制度。</w:t>
            </w:r>
          </w:p>
          <w:p w14:paraId="4C28FD7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门卫管理：严格人员、车辆、物资进出管理；按时立岗，礼貌待人，树立良好的窗口形象；对来访人员实行验证登记制度，禁止闲杂人员混入校园；对携物出门实行出门证验审制度，防止财物流失；对外单位车辆实行换证入校制度；维护责任区域秩序，与各岗位互通信息；值班室无闲杂人员滞留，保持内外环境整洁卫生和门前三包；完成学校交办的其他事项。</w:t>
            </w:r>
          </w:p>
          <w:p w14:paraId="0903FBA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机动巡逻：发现和排除各种不安全因素，及时处置各种违法犯罪行为；听从队长的工作安排与指挥调度，善于发现、分析处理各种事故隐患和突发事件；根据不同情况，灵活执行巡逻方案；加强对重点区域、要害部位的安全巡查，巡更踩点不流于形式，并与监控室保持联动；协助各岗位开展校园秩序维护和交通秩序管理工作；协助宿管物业及责任部门开展安全防范并如实记录汇报巡逻记录。通过门卫卡口管理、区域守护与机动巡逻，形成校园安全防范网络；保障校区内正常的学习、生活、教学、科研、工作秩序；禁止小商、小贩、盲流人员进入校园；禁止在校园内乱设摊点；加强校园内部交通秩序管理，通过主动干预提示，控制车辆速度，禁止无牌照车辆进入校园，保障大门及校内道路畅通，无交通事故发生，无车辆乱停乱放现象；按校方规定对悬挂横幅进行管理，及时清理校园内乱贴物，发现反动标语、非法和不良宣传物等及时报告保卫科。</w:t>
            </w:r>
          </w:p>
          <w:p w14:paraId="6D8F0F66">
            <w:pPr>
              <w:pStyle w:val="25"/>
              <w:keepNext w:val="0"/>
              <w:keepLines w:val="0"/>
              <w:pageBreakBefore w:val="0"/>
              <w:widowControl w:val="0"/>
              <w:kinsoku/>
              <w:overflowPunct/>
              <w:topLinePunct w:val="0"/>
              <w:autoSpaceDE/>
              <w:autoSpaceDN/>
              <w:bidi w:val="0"/>
              <w:snapToGrid/>
              <w:spacing w:line="500" w:lineRule="exact"/>
              <w:ind w:left="0" w:leftChars="0" w:firstLine="48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9. 安保人员行为规范要求</w:t>
            </w:r>
          </w:p>
          <w:p w14:paraId="480B750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（1）职业道德要求 </w:t>
            </w:r>
          </w:p>
          <w:p w14:paraId="7C61F3F2">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 敬业爱岗：勤奋敬业，积极肯干，热爱本职岗位，乐于为本职工作奉献。</w:t>
            </w:r>
          </w:p>
          <w:p w14:paraId="52D5364D">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 遵守纪律：认真遵守国家政策、法规、法令，遵守公司规章制度和劳动纪律。</w:t>
            </w:r>
          </w:p>
          <w:p w14:paraId="1C040264">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认真学习：努力学习科学文化知识，不断提高业务技术水平，努力提高服务质量。</w:t>
            </w:r>
          </w:p>
          <w:p w14:paraId="4CA9501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 公私分明：爱护公物，不谋私利，自觉地维护公司的利益和声誉。</w:t>
            </w:r>
          </w:p>
          <w:p w14:paraId="27E5B90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⑤ 勤俭节约：具有良好的节约意识，勤俭节约。</w:t>
            </w:r>
          </w:p>
          <w:p w14:paraId="1ABCCE3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⑥ 团结合作：严于律己，宽以待人，正确处理好个人与集体、同事的关系，具有良好的协作精神，易与他人相处。</w:t>
            </w:r>
          </w:p>
          <w:p w14:paraId="0D7DDAAC">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⑦ 严守秘密：未经批准，不向外界传播或提供有关学校的任何资料。</w:t>
            </w:r>
          </w:p>
          <w:p w14:paraId="2242F76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（2）服务意识要求  </w:t>
            </w:r>
          </w:p>
          <w:p w14:paraId="233E780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 文明礼貌：做到语言规范，谈吐文雅，衣冠整洁，举止端庄。</w:t>
            </w:r>
          </w:p>
          <w:p w14:paraId="1C07FE5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 主动热情：以真诚的笑容，主动热情地为师生服务，主动了解师生的需要，努力为师生排忧解难。</w:t>
            </w:r>
          </w:p>
          <w:p w14:paraId="61C02FD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耐心周到：员工在对师生的服务中要耐心周到，问多不厌，事多不烦，虚心听取师生意见，耐心解答师生问题，服务体贴入微，有求必应，面面俱到，尽善尽美。</w:t>
            </w:r>
          </w:p>
          <w:p w14:paraId="232BEE5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（3）仪容仪表要求 </w:t>
            </w:r>
          </w:p>
          <w:p w14:paraId="45341028">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① 所有安保人员，在值班过程中，保持衣冠整洁，按规定要求着装（包括：着制服、扎腰带，戴钢盔等），将工作卡端正地佩戴在左胸前。 </w:t>
            </w:r>
          </w:p>
          <w:p w14:paraId="72610B3A">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② 工作场所不得穿短裤、背心、拖鞋。 </w:t>
            </w:r>
          </w:p>
          <w:p w14:paraId="235FB2E1">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 男员工头发不盖耳朵、不遮衣领，每天剃须，保持指甲清洁，不留长指甲，扣好衣扣裤扣，紧束领带（大箭头垂到皮带扣处为准），衬衣下摆放进裤内。</w:t>
            </w:r>
          </w:p>
          <w:p w14:paraId="370DDBC3">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highlight w:val="none"/>
                <w:lang w:val="en-US" w:eastAsia="zh-CN"/>
              </w:rPr>
              <w:t>④ 女员工头发不过肩，不做怪异发型，不留长指甲，不染指甲，不浓妆艳抹，不穿黑色或带花丝袜</w:t>
            </w:r>
          </w:p>
        </w:tc>
      </w:tr>
      <w:tr w14:paraId="264D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52DD6E32">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29" w:type="pct"/>
            <w:shd w:val="clear" w:color="auto" w:fill="auto"/>
            <w:vAlign w:val="center"/>
          </w:tcPr>
          <w:p w14:paraId="6EDE56C3">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北海市第七中学安保服务</w:t>
            </w:r>
          </w:p>
        </w:tc>
        <w:tc>
          <w:tcPr>
            <w:tcW w:w="3520" w:type="pct"/>
            <w:vMerge w:val="continue"/>
            <w:shd w:val="clear" w:color="auto" w:fill="auto"/>
            <w:vAlign w:val="center"/>
          </w:tcPr>
          <w:p w14:paraId="745523DB">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highlight w:val="none"/>
                <w:lang w:val="en-US" w:eastAsia="zh-CN" w:bidi="ar-SA"/>
              </w:rPr>
            </w:pPr>
          </w:p>
        </w:tc>
      </w:tr>
      <w:tr w14:paraId="340A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3583FBD4">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29" w:type="pct"/>
            <w:shd w:val="clear" w:color="auto" w:fill="auto"/>
            <w:vAlign w:val="center"/>
          </w:tcPr>
          <w:p w14:paraId="312724D2">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北海市第十中学安保服务</w:t>
            </w:r>
          </w:p>
        </w:tc>
        <w:tc>
          <w:tcPr>
            <w:tcW w:w="3520" w:type="pct"/>
            <w:vMerge w:val="continue"/>
            <w:shd w:val="clear" w:color="auto" w:fill="auto"/>
            <w:vAlign w:val="center"/>
          </w:tcPr>
          <w:p w14:paraId="1853FF39">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highlight w:val="none"/>
                <w:lang w:val="en-US" w:eastAsia="zh-CN" w:bidi="ar-SA"/>
              </w:rPr>
            </w:pPr>
          </w:p>
        </w:tc>
      </w:tr>
      <w:tr w14:paraId="5232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59978F61">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29" w:type="pct"/>
            <w:shd w:val="clear" w:color="auto" w:fill="auto"/>
            <w:vAlign w:val="center"/>
          </w:tcPr>
          <w:p w14:paraId="320E0281">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北海市第二十六中学安保服务</w:t>
            </w:r>
          </w:p>
        </w:tc>
        <w:tc>
          <w:tcPr>
            <w:tcW w:w="3520" w:type="pct"/>
            <w:vMerge w:val="continue"/>
            <w:shd w:val="clear" w:color="auto" w:fill="auto"/>
            <w:vAlign w:val="center"/>
          </w:tcPr>
          <w:p w14:paraId="49C88350">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highlight w:val="none"/>
                <w:lang w:val="en-US" w:eastAsia="zh-CN" w:bidi="ar-SA"/>
              </w:rPr>
            </w:pPr>
          </w:p>
        </w:tc>
      </w:tr>
      <w:tr w14:paraId="3EE3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5E2F1525">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129" w:type="pct"/>
            <w:shd w:val="clear" w:color="auto" w:fill="auto"/>
            <w:vAlign w:val="center"/>
          </w:tcPr>
          <w:p w14:paraId="228DF678">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北京市第八中学北海实验学校安保服务</w:t>
            </w:r>
          </w:p>
        </w:tc>
        <w:tc>
          <w:tcPr>
            <w:tcW w:w="3520" w:type="pct"/>
            <w:vMerge w:val="continue"/>
            <w:shd w:val="clear" w:color="auto" w:fill="auto"/>
            <w:vAlign w:val="center"/>
          </w:tcPr>
          <w:p w14:paraId="67D49645">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highlight w:val="none"/>
                <w:lang w:val="en-US" w:eastAsia="zh-CN" w:bidi="ar-SA"/>
              </w:rPr>
            </w:pPr>
          </w:p>
        </w:tc>
      </w:tr>
      <w:tr w14:paraId="59B2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4B1DA8DB">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129" w:type="pct"/>
            <w:shd w:val="clear" w:color="auto" w:fill="auto"/>
            <w:vAlign w:val="center"/>
          </w:tcPr>
          <w:p w14:paraId="148C3B07">
            <w:pPr>
              <w:keepNext w:val="0"/>
              <w:keepLines w:val="0"/>
              <w:pageBreakBefore w:val="0"/>
              <w:widowControl w:val="0"/>
              <w:kinsoku/>
              <w:wordWrap w:val="0"/>
              <w:overflowPunct/>
              <w:topLinePunct w:val="0"/>
              <w:autoSpaceDE/>
              <w:autoSpaceDN/>
              <w:bidi w:val="0"/>
              <w:adjustRightInd w:val="0"/>
              <w:snapToGrid/>
              <w:spacing w:line="520" w:lineRule="exact"/>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北京师范大学北海实验中学安保服务</w:t>
            </w:r>
          </w:p>
        </w:tc>
        <w:tc>
          <w:tcPr>
            <w:tcW w:w="3520" w:type="pct"/>
            <w:vMerge w:val="continue"/>
            <w:shd w:val="clear" w:color="auto" w:fill="auto"/>
            <w:vAlign w:val="center"/>
          </w:tcPr>
          <w:p w14:paraId="287651C7">
            <w:pPr>
              <w:pStyle w:val="25"/>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highlight w:val="none"/>
                <w:lang w:val="en-US" w:eastAsia="zh-CN" w:bidi="ar-SA"/>
              </w:rPr>
            </w:pPr>
          </w:p>
        </w:tc>
      </w:tr>
    </w:tbl>
    <w:p w14:paraId="31A9450C">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附表：</w:t>
      </w:r>
    </w:p>
    <w:p w14:paraId="5EAA4F47">
      <w:pPr>
        <w:bidi w:val="0"/>
        <w:ind w:left="0" w:lef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b/>
          <w:bCs/>
          <w:color w:val="auto"/>
          <w:highlight w:val="none"/>
          <w:lang w:val="en-US" w:eastAsia="zh-CN"/>
        </w:rPr>
        <w:t>人员需求表</w:t>
      </w:r>
    </w:p>
    <w:tbl>
      <w:tblPr>
        <w:tblStyle w:val="65"/>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3016"/>
        <w:gridCol w:w="1482"/>
        <w:gridCol w:w="1455"/>
        <w:gridCol w:w="1831"/>
        <w:gridCol w:w="1078"/>
      </w:tblGrid>
      <w:tr w14:paraId="150D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9" w:type="dxa"/>
            <w:vAlign w:val="center"/>
          </w:tcPr>
          <w:p w14:paraId="446D3169">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序号</w:t>
            </w:r>
          </w:p>
        </w:tc>
        <w:tc>
          <w:tcPr>
            <w:tcW w:w="3016" w:type="dxa"/>
            <w:vAlign w:val="center"/>
          </w:tcPr>
          <w:p w14:paraId="2905B76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学校</w:t>
            </w:r>
          </w:p>
        </w:tc>
        <w:tc>
          <w:tcPr>
            <w:tcW w:w="1482" w:type="dxa"/>
            <w:vAlign w:val="center"/>
          </w:tcPr>
          <w:p w14:paraId="7C95CFE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人员类别</w:t>
            </w:r>
          </w:p>
        </w:tc>
        <w:tc>
          <w:tcPr>
            <w:tcW w:w="1455" w:type="dxa"/>
            <w:vAlign w:val="center"/>
          </w:tcPr>
          <w:p w14:paraId="0270702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配备人数</w:t>
            </w:r>
          </w:p>
        </w:tc>
        <w:tc>
          <w:tcPr>
            <w:tcW w:w="1831" w:type="dxa"/>
            <w:vAlign w:val="center"/>
          </w:tcPr>
          <w:p w14:paraId="3177C3B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投标最高限价</w:t>
            </w:r>
          </w:p>
          <w:p w14:paraId="5AF1EA7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（万元）</w:t>
            </w:r>
          </w:p>
        </w:tc>
        <w:tc>
          <w:tcPr>
            <w:tcW w:w="1078" w:type="dxa"/>
            <w:vAlign w:val="center"/>
          </w:tcPr>
          <w:p w14:paraId="55DCF70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备注</w:t>
            </w:r>
          </w:p>
        </w:tc>
      </w:tr>
      <w:tr w14:paraId="29FF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Align w:val="center"/>
          </w:tcPr>
          <w:p w14:paraId="589F91D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3016" w:type="dxa"/>
            <w:vAlign w:val="center"/>
          </w:tcPr>
          <w:p w14:paraId="1FE4C03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北海市第五幼儿园</w:t>
            </w:r>
          </w:p>
        </w:tc>
        <w:tc>
          <w:tcPr>
            <w:tcW w:w="1482" w:type="dxa"/>
            <w:vAlign w:val="center"/>
          </w:tcPr>
          <w:p w14:paraId="3750556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455" w:type="dxa"/>
            <w:vAlign w:val="center"/>
          </w:tcPr>
          <w:p w14:paraId="4C235E3E">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1831" w:type="dxa"/>
            <w:vAlign w:val="center"/>
          </w:tcPr>
          <w:p w14:paraId="06E6B56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45.28</w:t>
            </w:r>
          </w:p>
        </w:tc>
        <w:tc>
          <w:tcPr>
            <w:tcW w:w="1078" w:type="dxa"/>
            <w:vAlign w:val="center"/>
          </w:tcPr>
          <w:p w14:paraId="4A158D6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474F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Align w:val="center"/>
          </w:tcPr>
          <w:p w14:paraId="1D1C553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3016" w:type="dxa"/>
            <w:vAlign w:val="center"/>
          </w:tcPr>
          <w:p w14:paraId="6E022430">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北海市第七中学</w:t>
            </w:r>
          </w:p>
        </w:tc>
        <w:tc>
          <w:tcPr>
            <w:tcW w:w="1482" w:type="dxa"/>
            <w:shd w:val="clear" w:color="auto" w:fill="auto"/>
            <w:vAlign w:val="center"/>
          </w:tcPr>
          <w:p w14:paraId="2FA59C5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保安</w:t>
            </w:r>
          </w:p>
        </w:tc>
        <w:tc>
          <w:tcPr>
            <w:tcW w:w="1455" w:type="dxa"/>
            <w:vAlign w:val="center"/>
          </w:tcPr>
          <w:p w14:paraId="27824333">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11</w:t>
            </w:r>
          </w:p>
        </w:tc>
        <w:tc>
          <w:tcPr>
            <w:tcW w:w="1831" w:type="dxa"/>
            <w:vAlign w:val="center"/>
          </w:tcPr>
          <w:p w14:paraId="0E1C357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99.62</w:t>
            </w:r>
          </w:p>
        </w:tc>
        <w:tc>
          <w:tcPr>
            <w:tcW w:w="1078" w:type="dxa"/>
            <w:vAlign w:val="center"/>
          </w:tcPr>
          <w:p w14:paraId="68825483">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20FC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Align w:val="center"/>
          </w:tcPr>
          <w:p w14:paraId="3D0FB6D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3016" w:type="dxa"/>
            <w:vAlign w:val="center"/>
          </w:tcPr>
          <w:p w14:paraId="2EA3059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北海市第十中学</w:t>
            </w:r>
          </w:p>
        </w:tc>
        <w:tc>
          <w:tcPr>
            <w:tcW w:w="1482" w:type="dxa"/>
            <w:vAlign w:val="center"/>
          </w:tcPr>
          <w:p w14:paraId="6CAF65D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455" w:type="dxa"/>
            <w:vAlign w:val="center"/>
          </w:tcPr>
          <w:p w14:paraId="1AA2E20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1831" w:type="dxa"/>
            <w:vAlign w:val="center"/>
          </w:tcPr>
          <w:p w14:paraId="74E029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45.28</w:t>
            </w:r>
          </w:p>
        </w:tc>
        <w:tc>
          <w:tcPr>
            <w:tcW w:w="1078" w:type="dxa"/>
            <w:vAlign w:val="center"/>
          </w:tcPr>
          <w:p w14:paraId="4EDF049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0254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Align w:val="center"/>
          </w:tcPr>
          <w:p w14:paraId="41D35428">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w:t>
            </w:r>
          </w:p>
        </w:tc>
        <w:tc>
          <w:tcPr>
            <w:tcW w:w="3016" w:type="dxa"/>
            <w:vAlign w:val="center"/>
          </w:tcPr>
          <w:p w14:paraId="26511AF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北海市第二十六中学</w:t>
            </w:r>
          </w:p>
        </w:tc>
        <w:tc>
          <w:tcPr>
            <w:tcW w:w="1482" w:type="dxa"/>
            <w:vAlign w:val="center"/>
          </w:tcPr>
          <w:p w14:paraId="45975C5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455" w:type="dxa"/>
            <w:vAlign w:val="center"/>
          </w:tcPr>
          <w:p w14:paraId="33E22D5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1831" w:type="dxa"/>
            <w:vAlign w:val="center"/>
          </w:tcPr>
          <w:p w14:paraId="29EA8B8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54.34</w:t>
            </w:r>
          </w:p>
        </w:tc>
        <w:tc>
          <w:tcPr>
            <w:tcW w:w="1078" w:type="dxa"/>
            <w:vAlign w:val="center"/>
          </w:tcPr>
          <w:p w14:paraId="0B8C762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6826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Align w:val="center"/>
          </w:tcPr>
          <w:p w14:paraId="6BA75B8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w:t>
            </w:r>
          </w:p>
        </w:tc>
        <w:tc>
          <w:tcPr>
            <w:tcW w:w="3016" w:type="dxa"/>
            <w:vAlign w:val="center"/>
          </w:tcPr>
          <w:p w14:paraId="12582576">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北京市第八中学北海实验学校</w:t>
            </w:r>
          </w:p>
        </w:tc>
        <w:tc>
          <w:tcPr>
            <w:tcW w:w="1482" w:type="dxa"/>
            <w:vAlign w:val="center"/>
          </w:tcPr>
          <w:p w14:paraId="108D010C">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455" w:type="dxa"/>
            <w:vAlign w:val="center"/>
          </w:tcPr>
          <w:p w14:paraId="654C3C9E">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9</w:t>
            </w:r>
          </w:p>
        </w:tc>
        <w:tc>
          <w:tcPr>
            <w:tcW w:w="1831" w:type="dxa"/>
            <w:vAlign w:val="center"/>
          </w:tcPr>
          <w:p w14:paraId="7643A6A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81.51</w:t>
            </w:r>
          </w:p>
        </w:tc>
        <w:tc>
          <w:tcPr>
            <w:tcW w:w="1078" w:type="dxa"/>
            <w:vAlign w:val="center"/>
          </w:tcPr>
          <w:p w14:paraId="32758443">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6571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restart"/>
            <w:vAlign w:val="center"/>
          </w:tcPr>
          <w:p w14:paraId="7B51D3A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3016" w:type="dxa"/>
            <w:vMerge w:val="restart"/>
            <w:vAlign w:val="center"/>
          </w:tcPr>
          <w:p w14:paraId="095C2774">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北京师范大学北海实验中学</w:t>
            </w:r>
          </w:p>
        </w:tc>
        <w:tc>
          <w:tcPr>
            <w:tcW w:w="1482" w:type="dxa"/>
            <w:vAlign w:val="center"/>
          </w:tcPr>
          <w:p w14:paraId="2153C213">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w:t>
            </w:r>
          </w:p>
        </w:tc>
        <w:tc>
          <w:tcPr>
            <w:tcW w:w="1455" w:type="dxa"/>
            <w:vAlign w:val="center"/>
          </w:tcPr>
          <w:p w14:paraId="7009DC33">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w:t>
            </w:r>
          </w:p>
        </w:tc>
        <w:tc>
          <w:tcPr>
            <w:tcW w:w="1831" w:type="dxa"/>
            <w:vMerge w:val="restart"/>
            <w:vAlign w:val="center"/>
          </w:tcPr>
          <w:p w14:paraId="140D142B">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85.68</w:t>
            </w:r>
          </w:p>
        </w:tc>
        <w:tc>
          <w:tcPr>
            <w:tcW w:w="1078" w:type="dxa"/>
            <w:vMerge w:val="restart"/>
            <w:vAlign w:val="center"/>
          </w:tcPr>
          <w:p w14:paraId="1997025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4AC6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9" w:type="dxa"/>
            <w:vMerge w:val="continue"/>
            <w:vAlign w:val="center"/>
          </w:tcPr>
          <w:p w14:paraId="02F98C67">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3016" w:type="dxa"/>
            <w:vMerge w:val="continue"/>
            <w:vAlign w:val="center"/>
          </w:tcPr>
          <w:p w14:paraId="5C3E98EF">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482" w:type="dxa"/>
            <w:vAlign w:val="center"/>
          </w:tcPr>
          <w:p w14:paraId="7E032D8A">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保安兼消防设施操作员</w:t>
            </w:r>
          </w:p>
        </w:tc>
        <w:tc>
          <w:tcPr>
            <w:tcW w:w="1455" w:type="dxa"/>
            <w:vAlign w:val="center"/>
          </w:tcPr>
          <w:p w14:paraId="56B4EA81">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1831" w:type="dxa"/>
            <w:vMerge w:val="continue"/>
            <w:vAlign w:val="center"/>
          </w:tcPr>
          <w:p w14:paraId="0D553615">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078" w:type="dxa"/>
            <w:vMerge w:val="continue"/>
            <w:vAlign w:val="center"/>
          </w:tcPr>
          <w:p w14:paraId="4BAA465D">
            <w:pPr>
              <w:pStyle w:val="25"/>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bl>
    <w:p w14:paraId="38BF1D55">
      <w:pPr>
        <w:rPr>
          <w:color w:val="auto"/>
          <w:highlight w:val="none"/>
        </w:rPr>
      </w:pPr>
    </w:p>
    <w:p w14:paraId="1B84481F">
      <w:pPr>
        <w:spacing w:line="440" w:lineRule="exact"/>
        <w:ind w:firstLine="420" w:firstLineChars="200"/>
        <w:jc w:val="left"/>
        <w:rPr>
          <w:rFonts w:ascii="宋体" w:hAnsi="宋体" w:cs="宋体"/>
          <w:b/>
          <w:color w:val="auto"/>
          <w:szCs w:val="21"/>
          <w:highlight w:val="none"/>
        </w:rPr>
      </w:pPr>
      <w:r>
        <w:rPr>
          <w:rFonts w:hint="eastAsia" w:ascii="宋体" w:hAnsi="宋体" w:cs="宋体"/>
          <w:bCs/>
          <w:color w:val="auto"/>
          <w:szCs w:val="21"/>
          <w:highlight w:val="none"/>
        </w:rPr>
        <w:t>★</w:t>
      </w:r>
      <w:r>
        <w:rPr>
          <w:rFonts w:hint="eastAsia" w:ascii="宋体" w:hAnsi="宋体" w:cs="宋体"/>
          <w:b/>
          <w:color w:val="auto"/>
          <w:szCs w:val="21"/>
          <w:highlight w:val="none"/>
        </w:rPr>
        <w:t>（2）商务要求</w:t>
      </w:r>
    </w:p>
    <w:p w14:paraId="10C37AAA">
      <w:pPr>
        <w:adjustRightInd/>
        <w:spacing w:before="25" w:after="25"/>
        <w:jc w:val="left"/>
        <w:rPr>
          <w:rFonts w:hint="eastAsia" w:ascii="宋体" w:hAnsi="宋体" w:cs="宋体"/>
          <w:bCs/>
          <w:color w:val="auto"/>
          <w:spacing w:val="10"/>
          <w:kern w:val="0"/>
          <w:sz w:val="24"/>
          <w:highlight w:val="none"/>
        </w:rPr>
      </w:pPr>
    </w:p>
    <w:tbl>
      <w:tblPr>
        <w:tblStyle w:val="64"/>
        <w:tblW w:w="97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9"/>
        <w:gridCol w:w="7534"/>
      </w:tblGrid>
      <w:tr w14:paraId="2EC83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4986F">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投标报价要求</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4D01A2">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1.投标报价包含人员工资、培训、服装、奖金、五险、其他必要的保险等营业成本以及利润、物业管理服务中所发生的各项税收等费用。</w:t>
            </w:r>
          </w:p>
          <w:p w14:paraId="26D59744">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2.供应商报价须列明各服务单位（各学校）的投入服务人数及报价。各学校的报价不得超过该服务单位的投标最高限价。</w:t>
            </w:r>
          </w:p>
        </w:tc>
      </w:tr>
      <w:tr w14:paraId="08F1E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DB85D">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合同签订</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9C54D">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按照政府采购有关规定，由市教育局、服务单位与成交供应商公司三方签订合同，在合同中明确各自的权利、义务及责任，切实履行协议内容。中标人须接受采购人和服务单位（各学校）的共同管理。</w:t>
            </w:r>
          </w:p>
        </w:tc>
      </w:tr>
      <w:tr w14:paraId="2CD65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58873B">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服务期限及地点</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B396B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1.服务的时间：自签订合同完成并开始履行之日起2年。 </w:t>
            </w:r>
          </w:p>
          <w:p w14:paraId="5675D58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2.服务的地点：五幼儿园、北海市第七中学、北海市第十中学、北海市第二十六中学、北京市第八中学北海实验学校、北京师范大学北海实验中学。</w:t>
            </w:r>
          </w:p>
        </w:tc>
      </w:tr>
      <w:tr w14:paraId="5A5FE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4C58EC">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9B93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按照所服务单位划定的工作范围、工作内容及管理目标成立相关机构，制定相应工作流程、工作制度、监督考核办法，合理安排人员，科学管理，严格要求，达标运行。接受市教育局、所服务单位及相关职能部门的监督、检查、指导，发现问题及时沟通、整改，保证规范运行。</w:t>
            </w:r>
          </w:p>
          <w:p w14:paraId="1E50C97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2.中标人须为聘用员工购买基本社会保险，对员工的疾病和人身安全负责，采购人不承担责任。</w:t>
            </w:r>
          </w:p>
          <w:p w14:paraId="5A291E1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季度接受所服务单位质量考核（按照招标文件、投标文件及合同条款标准进行考核），未达标准的从当季度应付款中扣除10‰服务费。连续两季度达不到标准且未及时整改的，所服务单位向采购人书面报告，且采购人有权终止合同。</w:t>
            </w:r>
          </w:p>
          <w:p w14:paraId="71D0835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4.中标人须全部接收原负责所服务单位有意愿继续留下工作的服务人员，确保他们的工资待遇不低于北海市最低工资加社保。</w:t>
            </w:r>
          </w:p>
          <w:p w14:paraId="30302E0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5.中标人的服务工作人员必须经过上岗前培训，符合国家有关劳动用工的法律法规。上班时必须佩戴工卡、穿统一制服。</w:t>
            </w:r>
          </w:p>
          <w:p w14:paraId="2403064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6.管理范围内发生的人身伤害、物品被盗、人为损坏设备设施，属中标人及其工作人员管理不善原因造成的，由中标人负责赔偿。</w:t>
            </w:r>
          </w:p>
          <w:p w14:paraId="50F1400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人工作人员应固定保持在90%以上，凡更换人员必须向所服务单位申请，经所服务单位和教育局同意后方可更换，并做好交接班工作，若因交接班衔接不好，致使所服务单位工作受到影响者，按考核制度处罚。</w:t>
            </w:r>
          </w:p>
          <w:p w14:paraId="71174A2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人在提供管理服务时必须做好各项安全防范措施，中标人所有工作人员在合约期间如发生任何人身意外（生病、伤亡事故）、事故、触犯法律法规（包括劳动用工制度、发生劳资纠纷、所服务单位的规章制度等）、或损坏学校的设施和物品，由中标人负责处理并承担经济和责任。</w:t>
            </w:r>
          </w:p>
          <w:p w14:paraId="0DFC890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若中标人违约，未能达到招标文件中约定的管理目标，所服务单位有权要求中标人在规定时间内进行整改；如中标人未能按时整改，所服务单位有权向教育局申请与中标人解除合同，中标人须承担违约责任；造成所服务单位和教育局经济损失的，按造成的实际损失予以赔偿。</w:t>
            </w:r>
          </w:p>
          <w:p w14:paraId="4F87F9A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10.若中标人擅自转包、分包，或以任何形式与第三方进行合作的属违约，一经查实，中标人应向所服务单位及教育局承担违约责任，所服务单位和教育局有权解除合同。</w:t>
            </w:r>
          </w:p>
          <w:p w14:paraId="0B113C8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11.中标人若违背本招标文件中确定的义务，必须承担违约责任。</w:t>
            </w:r>
          </w:p>
          <w:p w14:paraId="743501A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12.中标人及其工作人员在所服务单位交由中标人管理和服务的工作区域内违法犯罪属实，中标人应赔偿并承担相应的法律责任，并不得再使用有关员工。</w:t>
            </w:r>
          </w:p>
          <w:p w14:paraId="1026D30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13.服务人员要求：</w:t>
            </w:r>
          </w:p>
          <w:p w14:paraId="01822F5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（1）用工人数不少于各服务单位要求的人数。</w:t>
            </w:r>
          </w:p>
          <w:p w14:paraId="644D6D2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（2）上岗人员必须经过岗前培训。</w:t>
            </w:r>
          </w:p>
          <w:p w14:paraId="265A149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（3）上岗人员的服装及所有的福利由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w:t>
            </w:r>
          </w:p>
          <w:p w14:paraId="56F1C7C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（4）对于不服从安排的服务人员，</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需向所服务单位及教育局进行书面申请，并在采购人同意后的2个工作日内替换新的服务人员。</w:t>
            </w:r>
          </w:p>
        </w:tc>
      </w:tr>
      <w:tr w14:paraId="34CAE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4732A8">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考核要求</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D21EA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对当班工作人员要严加管理，发生空岗、缺岗、脱岗、睡岗、上岗前喝酒（以人为记录和电子记录为准）等行为的，每次处罚100元，严重行为即时更换并处理。</w:t>
            </w:r>
          </w:p>
          <w:p w14:paraId="72C2D2E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发生不法分子对所服务单位的干扰，特别是暴恐和盗窃事件不及时妥善处理（阻止、制止、控制）的，每次处罚</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1000—3000元。</w:t>
            </w:r>
          </w:p>
          <w:p w14:paraId="0B552D5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当班人员责任心不强，服务不到位导致公共设施被盗、被破坏的，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及当班人员应共同承担相应的法律及经济损失赔偿责任，责任的界定由所服务单位确定或由公安司法部门裁定。</w:t>
            </w:r>
          </w:p>
          <w:p w14:paraId="6973A97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当班人员须着规定制服上班，不穿制服上班的，每人每次扣100元。</w:t>
            </w:r>
          </w:p>
          <w:p w14:paraId="0AEE849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在所服务单位所属范围内开展工作，做到不迟到，不早退。有交接班的岗位须提前10分钟到达交接地点，并认真做好交接班工作，检查所配装备是否完好有效，并填报《值班交接记录表》。上班迟到、早退达到10分钟的每人每次扣50元，迟到、早退超过30分钟的算旷工。</w:t>
            </w:r>
          </w:p>
          <w:p w14:paraId="4FF64F0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不开展交接班工作的，每人每次50元。因交接班工作盘点财物不到位造成损失的由交接班双方共同承担。</w:t>
            </w:r>
          </w:p>
          <w:p w14:paraId="4019D46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详细考核标准详见本章节附件：安保管理服务考核标准。</w:t>
            </w:r>
          </w:p>
        </w:tc>
      </w:tr>
      <w:tr w14:paraId="41062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6FA94D">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服务监管</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FCB81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（1）供应商自行负责对派出的工作人员进行政治思想、职业道德、业务技术、劳动纪律的教育和培训。</w:t>
            </w:r>
          </w:p>
          <w:p w14:paraId="483ABD3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选派的工作人员须经过岗前专业培训，上岗后继续对工作人员进行必要的教育和训练，保证工作人员的素质满足所服务单位工作的要求；保留工作人员的身份证复印件、个人简历等资料，并保证所提供资料的真实性，供应商不得随意减少或更换所派出的服务人员。</w:t>
            </w:r>
          </w:p>
          <w:p w14:paraId="27E0F4D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（3）供应商负责按时支付工作人员的工资和福利费用，提供工作人员的执勤被服、工具等基本条件。</w:t>
            </w:r>
          </w:p>
          <w:p w14:paraId="2D8B036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服务单位有权对工作人员的工作进行检查、督促、评价，对不称职的工作人员提出批评及教育，屡教不改者，有权要求更换工作人员，并将实际情况以书面形式向供应商提出撤换的要求，供应商在接到撤换要求书后三个工作日内做出更换。</w:t>
            </w:r>
          </w:p>
          <w:p w14:paraId="1F4C86C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（5）所服务单位对供应商拟派的工作人员的一切行为所产生的后果不承担任何责任，供应商须自行就问题进行解决处理。</w:t>
            </w:r>
          </w:p>
          <w:p w14:paraId="78CF885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（6）供应商若发现工作期间的影藏因素存在的安全隐患可向所服务单位提出改进意见，并和所服务单位进行协商处理。</w:t>
            </w:r>
          </w:p>
          <w:p w14:paraId="4B89789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所服务单位有权对供应商的工作进行考核，发现供应商不按照合同约定开展工作，对工作人员管理不规范、不严格，培训及安全措施不能达到所服务单位要求，第一次予以警告，第二次予以处罚，对连续三次不达标也不整改者（以书面通知为准），采购人有权解除合同。</w:t>
            </w:r>
          </w:p>
          <w:p w14:paraId="50E2BEA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服务期满后，须把服务期间涉及的所有档案移交给所服务单位，并在十个工作日内和新接替工作的安保公司进行工作交接，若出现不可抗力因素导致无法在规定时间内进行交接，供应商须书面告知所服务单位。</w:t>
            </w:r>
          </w:p>
        </w:tc>
      </w:tr>
      <w:tr w14:paraId="3B488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D56BA">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服务质量要求</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03D3C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每月接受采购人或校方单位质量考核，未达标准从承包价中扣除。满意率至少在85％以上</w:t>
            </w:r>
            <w:r>
              <w:rPr>
                <w:rFonts w:hint="eastAsia" w:ascii="宋体" w:hAnsi="宋体" w:eastAsia="宋体" w:cs="宋体"/>
                <w:b/>
                <w:bCs/>
                <w:color w:val="auto"/>
                <w:sz w:val="24"/>
                <w:szCs w:val="24"/>
                <w:highlight w:val="none"/>
                <w:lang w:val="en-US" w:eastAsia="zh-CN"/>
              </w:rPr>
              <w:t>（各服务学校另有要求的该学校要求为准）</w:t>
            </w:r>
            <w:r>
              <w:rPr>
                <w:rFonts w:hint="eastAsia" w:ascii="宋体" w:hAnsi="宋体" w:eastAsia="宋体" w:cs="宋体"/>
                <w:color w:val="auto"/>
                <w:sz w:val="24"/>
                <w:szCs w:val="24"/>
                <w:highlight w:val="none"/>
                <w:lang w:val="en-US" w:eastAsia="zh-CN"/>
              </w:rPr>
              <w:t>、合同履约率达98%以上、上岗培训合格率达100%、合理投诉解决率达100%，连续两个月达不到，采购人可以终止合同。</w:t>
            </w:r>
          </w:p>
        </w:tc>
      </w:tr>
      <w:tr w14:paraId="761C5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1572B8">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保密要求</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D701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不得以任何形式向第三方透露本项目服务时的任何内容。如有泄密，需承担相应的法律责任。</w:t>
            </w:r>
          </w:p>
        </w:tc>
      </w:tr>
      <w:tr w14:paraId="4864F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7FC567">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违约责任</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D874C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所提供服务成果，无法达到本项目招标文件要求以及投标文件所承诺的内容的，所服务单位和教育局有权要求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作出整改。如整改完毕仍达不到上述要求的，所服务单位和教育局有权拒绝支付款项，且</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应向所服务单位和教育局支付中标总金额的5%作为违约金并赔偿所服务单位和教育局的一切损失。</w:t>
            </w:r>
          </w:p>
          <w:p w14:paraId="79FAB54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违约责任的赔偿不意味违约方整个合同责任的解除，未经所服务单位和教育局同意，</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不得以任何理由推迟、降低、减少有关合同条款履行的承诺。</w:t>
            </w:r>
          </w:p>
          <w:p w14:paraId="01E9936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其它违约行为按成交总金额5%收取违约金并赔偿其他经济损失。</w:t>
            </w:r>
          </w:p>
        </w:tc>
      </w:tr>
      <w:tr w14:paraId="324E3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29C6F">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付款条件</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BFA26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自合同签订后且中标单位服务人员进场（进场时间以各服务单位具体要求为准）、财政资金到位后，预付合同总金额的10%;剩余款项按季度平均支付，每季度第一个月支付上季度服务费。</w:t>
            </w:r>
          </w:p>
          <w:p w14:paraId="17C80A0B">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每季度考核结果结算支付。三方在签订合同时可就服务质量及检查标准制定奖罚细则，在支付服务费用时采购人（甲方）、服务单位（丙方）有权根据奖罚细则增减服务费用的支付或终止合同。每次请款供应商（乙方）先交请款申请函，后根据要求开具发票，再根据实际情况、考核情况付款。</w:t>
            </w:r>
          </w:p>
        </w:tc>
      </w:tr>
      <w:tr w14:paraId="5C541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CB6EFE">
            <w:pPr>
              <w:spacing w:line="520" w:lineRule="exact"/>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其他要求</w:t>
            </w:r>
          </w:p>
        </w:tc>
        <w:tc>
          <w:tcPr>
            <w:tcW w:w="75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3491E">
            <w:pPr>
              <w:spacing w:line="520" w:lineRule="exact"/>
              <w:ind w:firstLine="480" w:firstLineChars="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为了保证履约质量和支持中小企业发展，本标项与其他标项兼投不兼中。</w:t>
            </w:r>
          </w:p>
        </w:tc>
      </w:tr>
    </w:tbl>
    <w:p w14:paraId="28D6A124">
      <w:pPr>
        <w:pStyle w:val="4"/>
        <w:rPr>
          <w:color w:val="auto"/>
          <w:highlight w:val="none"/>
          <w:lang w:val="en-US"/>
        </w:rPr>
      </w:pPr>
    </w:p>
    <w:p w14:paraId="31A3C6C6">
      <w:pPr>
        <w:pStyle w:val="2"/>
        <w:ind w:left="0" w:leftChars="0" w:firstLine="0" w:firstLineChars="0"/>
        <w:rPr>
          <w:color w:val="auto"/>
          <w:highlight w:val="none"/>
          <w:lang w:val="en-US"/>
        </w:rPr>
      </w:pPr>
    </w:p>
    <w:p w14:paraId="0E61C41D">
      <w:pPr>
        <w:spacing w:line="440" w:lineRule="exact"/>
        <w:jc w:val="left"/>
        <w:outlineLvl w:val="1"/>
        <w:rPr>
          <w:rFonts w:ascii="黑体" w:hAnsi="黑体" w:eastAsia="黑体" w:cs="宋体"/>
          <w:b/>
          <w:bCs/>
          <w:color w:val="auto"/>
          <w:sz w:val="28"/>
          <w:szCs w:val="28"/>
          <w:highlight w:val="none"/>
        </w:rPr>
      </w:pPr>
      <w:r>
        <w:rPr>
          <w:rFonts w:hint="eastAsia" w:ascii="新宋体" w:hAnsi="新宋体" w:eastAsia="新宋体"/>
          <w:b/>
          <w:bCs/>
          <w:color w:val="auto"/>
          <w:sz w:val="30"/>
          <w:szCs w:val="30"/>
          <w:highlight w:val="none"/>
        </w:rPr>
        <w:t>附件</w:t>
      </w:r>
      <w:r>
        <w:rPr>
          <w:rFonts w:hint="eastAsia" w:ascii="黑体" w:hAnsi="黑体" w:eastAsia="黑体" w:cs="宋体"/>
          <w:b/>
          <w:bCs/>
          <w:color w:val="auto"/>
          <w:sz w:val="28"/>
          <w:szCs w:val="28"/>
          <w:highlight w:val="none"/>
        </w:rPr>
        <w:t>：安保管理服务考核标准</w:t>
      </w:r>
    </w:p>
    <w:p w14:paraId="7C56246D">
      <w:pPr>
        <w:spacing w:line="440" w:lineRule="exact"/>
        <w:ind w:firstLine="602" w:firstLineChars="200"/>
        <w:jc w:val="center"/>
        <w:rPr>
          <w:rFonts w:ascii="新宋体" w:hAnsi="新宋体" w:eastAsia="新宋体"/>
          <w:color w:val="auto"/>
          <w:sz w:val="24"/>
          <w:highlight w:val="none"/>
        </w:rPr>
      </w:pPr>
      <w:r>
        <w:rPr>
          <w:rFonts w:hint="eastAsia" w:ascii="新宋体" w:hAnsi="新宋体" w:eastAsia="新宋体"/>
          <w:b/>
          <w:bCs/>
          <w:color w:val="auto"/>
          <w:sz w:val="30"/>
          <w:szCs w:val="30"/>
          <w:highlight w:val="none"/>
        </w:rPr>
        <w:t>安保管理服务考核标准</w:t>
      </w:r>
    </w:p>
    <w:tbl>
      <w:tblPr>
        <w:tblStyle w:val="64"/>
        <w:tblW w:w="9780" w:type="dxa"/>
        <w:jc w:val="center"/>
        <w:tblLayout w:type="fixed"/>
        <w:tblCellMar>
          <w:top w:w="0" w:type="dxa"/>
          <w:left w:w="108" w:type="dxa"/>
          <w:bottom w:w="0" w:type="dxa"/>
          <w:right w:w="108" w:type="dxa"/>
        </w:tblCellMar>
      </w:tblPr>
      <w:tblGrid>
        <w:gridCol w:w="752"/>
        <w:gridCol w:w="1091"/>
        <w:gridCol w:w="3228"/>
        <w:gridCol w:w="1920"/>
        <w:gridCol w:w="1028"/>
        <w:gridCol w:w="886"/>
        <w:gridCol w:w="875"/>
      </w:tblGrid>
      <w:tr w14:paraId="72C1EB9F">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6E84E71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序号</w:t>
            </w:r>
          </w:p>
        </w:tc>
        <w:tc>
          <w:tcPr>
            <w:tcW w:w="1091" w:type="dxa"/>
            <w:tcBorders>
              <w:top w:val="single" w:color="000000" w:sz="4" w:space="0"/>
              <w:left w:val="nil"/>
              <w:bottom w:val="single" w:color="000000" w:sz="4" w:space="0"/>
              <w:right w:val="single" w:color="000000" w:sz="4" w:space="0"/>
            </w:tcBorders>
            <w:vAlign w:val="center"/>
          </w:tcPr>
          <w:p w14:paraId="37FC456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岗位</w:t>
            </w:r>
          </w:p>
        </w:tc>
        <w:tc>
          <w:tcPr>
            <w:tcW w:w="6176" w:type="dxa"/>
            <w:gridSpan w:val="3"/>
            <w:tcBorders>
              <w:top w:val="single" w:color="000000" w:sz="4" w:space="0"/>
              <w:left w:val="nil"/>
              <w:bottom w:val="single" w:color="000000" w:sz="4" w:space="0"/>
              <w:right w:val="single" w:color="000000" w:sz="4" w:space="0"/>
            </w:tcBorders>
            <w:vAlign w:val="center"/>
          </w:tcPr>
          <w:p w14:paraId="390F062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考核内容</w:t>
            </w:r>
          </w:p>
        </w:tc>
        <w:tc>
          <w:tcPr>
            <w:tcW w:w="886" w:type="dxa"/>
            <w:tcBorders>
              <w:top w:val="single" w:color="000000" w:sz="4" w:space="0"/>
              <w:left w:val="nil"/>
              <w:bottom w:val="single" w:color="000000" w:sz="4" w:space="0"/>
              <w:right w:val="single" w:color="000000" w:sz="4" w:space="0"/>
            </w:tcBorders>
            <w:vAlign w:val="center"/>
          </w:tcPr>
          <w:p w14:paraId="05868AB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分值</w:t>
            </w:r>
          </w:p>
        </w:tc>
        <w:tc>
          <w:tcPr>
            <w:tcW w:w="875" w:type="dxa"/>
            <w:tcBorders>
              <w:top w:val="single" w:color="000000" w:sz="4" w:space="0"/>
              <w:left w:val="nil"/>
              <w:bottom w:val="single" w:color="000000" w:sz="4" w:space="0"/>
              <w:right w:val="single" w:color="000000" w:sz="4" w:space="0"/>
            </w:tcBorders>
            <w:vAlign w:val="center"/>
          </w:tcPr>
          <w:p w14:paraId="3C14BAD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得分</w:t>
            </w:r>
          </w:p>
        </w:tc>
      </w:tr>
      <w:tr w14:paraId="0BE322E4">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0B1BE70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091" w:type="dxa"/>
            <w:vMerge w:val="restart"/>
            <w:tcBorders>
              <w:top w:val="single" w:color="000000" w:sz="4" w:space="0"/>
              <w:left w:val="nil"/>
              <w:bottom w:val="single" w:color="000000" w:sz="4" w:space="0"/>
              <w:right w:val="single" w:color="000000" w:sz="4" w:space="0"/>
            </w:tcBorders>
            <w:vAlign w:val="center"/>
          </w:tcPr>
          <w:p w14:paraId="05E2FD02">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安保人员</w:t>
            </w:r>
          </w:p>
          <w:p w14:paraId="0408BAD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5450AD0C">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上岗人员配备达学校规定（含人员数量和年龄），整个队伍保持稳定</w:t>
            </w:r>
          </w:p>
        </w:tc>
        <w:tc>
          <w:tcPr>
            <w:tcW w:w="886" w:type="dxa"/>
            <w:tcBorders>
              <w:top w:val="single" w:color="000000" w:sz="4" w:space="0"/>
              <w:left w:val="nil"/>
              <w:bottom w:val="single" w:color="000000" w:sz="4" w:space="0"/>
              <w:right w:val="single" w:color="000000" w:sz="4" w:space="0"/>
            </w:tcBorders>
            <w:vAlign w:val="center"/>
          </w:tcPr>
          <w:p w14:paraId="2364775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6563D8D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29B42CBE">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12A684A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0B98BA84">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7F066619">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聘用的工作人员是否符合劳动部门有关用工规定，并持有上岗证</w:t>
            </w:r>
          </w:p>
        </w:tc>
        <w:tc>
          <w:tcPr>
            <w:tcW w:w="886" w:type="dxa"/>
            <w:tcBorders>
              <w:top w:val="single" w:color="000000" w:sz="4" w:space="0"/>
              <w:left w:val="nil"/>
              <w:bottom w:val="single" w:color="000000" w:sz="4" w:space="0"/>
              <w:right w:val="single" w:color="000000" w:sz="4" w:space="0"/>
            </w:tcBorders>
            <w:vAlign w:val="center"/>
          </w:tcPr>
          <w:p w14:paraId="619890E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34967EE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146B1D65">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021AF2B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16EE5EA8">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2516D988">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上岗时佩戴工卡、穿统一制服</w:t>
            </w:r>
          </w:p>
        </w:tc>
        <w:tc>
          <w:tcPr>
            <w:tcW w:w="886" w:type="dxa"/>
            <w:tcBorders>
              <w:top w:val="single" w:color="000000" w:sz="4" w:space="0"/>
              <w:left w:val="nil"/>
              <w:bottom w:val="single" w:color="000000" w:sz="4" w:space="0"/>
              <w:right w:val="single" w:color="000000" w:sz="4" w:space="0"/>
            </w:tcBorders>
            <w:vAlign w:val="center"/>
          </w:tcPr>
          <w:p w14:paraId="157B33C2">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4BF0506C">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1D68699D">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6EB0B18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2F521258">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35A4963F">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注意个人修养，严格服从学校管理，执行公务要维护学校利益和形象</w:t>
            </w:r>
          </w:p>
        </w:tc>
        <w:tc>
          <w:tcPr>
            <w:tcW w:w="886" w:type="dxa"/>
            <w:tcBorders>
              <w:top w:val="single" w:color="000000" w:sz="4" w:space="0"/>
              <w:left w:val="nil"/>
              <w:bottom w:val="single" w:color="000000" w:sz="4" w:space="0"/>
              <w:right w:val="single" w:color="000000" w:sz="4" w:space="0"/>
            </w:tcBorders>
            <w:vAlign w:val="center"/>
          </w:tcPr>
          <w:p w14:paraId="4853F8B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6A6B799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69125C09">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606C6FF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65F03588">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63052DC1">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消防安全管理、巡逻保安、门卫管理等制度建设情况</w:t>
            </w:r>
          </w:p>
        </w:tc>
        <w:tc>
          <w:tcPr>
            <w:tcW w:w="886" w:type="dxa"/>
            <w:tcBorders>
              <w:top w:val="single" w:color="000000" w:sz="4" w:space="0"/>
              <w:left w:val="nil"/>
              <w:bottom w:val="single" w:color="000000" w:sz="4" w:space="0"/>
              <w:right w:val="single" w:color="000000" w:sz="4" w:space="0"/>
            </w:tcBorders>
            <w:vAlign w:val="center"/>
          </w:tcPr>
          <w:p w14:paraId="405F5CA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7D556E0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7537B2A6">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2C5FA45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6B364BBE">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316B007F">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岗位职责是否明确</w:t>
            </w:r>
          </w:p>
        </w:tc>
        <w:tc>
          <w:tcPr>
            <w:tcW w:w="886" w:type="dxa"/>
            <w:tcBorders>
              <w:top w:val="single" w:color="000000" w:sz="4" w:space="0"/>
              <w:left w:val="nil"/>
              <w:bottom w:val="single" w:color="000000" w:sz="4" w:space="0"/>
              <w:right w:val="single" w:color="000000" w:sz="4" w:space="0"/>
            </w:tcBorders>
            <w:vAlign w:val="center"/>
          </w:tcPr>
          <w:p w14:paraId="2D5D027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422AFBD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45F567DF">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7A0DBFE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7AF7C2FF">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71A47C4C">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保安员交接班制度、考勤制度、公共管理巡逻制度是否建立，实行记录情况</w:t>
            </w:r>
          </w:p>
        </w:tc>
        <w:tc>
          <w:tcPr>
            <w:tcW w:w="886" w:type="dxa"/>
            <w:tcBorders>
              <w:top w:val="single" w:color="000000" w:sz="4" w:space="0"/>
              <w:left w:val="nil"/>
              <w:bottom w:val="single" w:color="000000" w:sz="4" w:space="0"/>
              <w:right w:val="single" w:color="000000" w:sz="4" w:space="0"/>
            </w:tcBorders>
            <w:vAlign w:val="center"/>
          </w:tcPr>
          <w:p w14:paraId="1692A20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2D0C460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0313C705">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0BA7921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8</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08D3B155">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67B39CC9">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在承包区域的各项服务，其工作时间满足学校的要求，包括公众假期，做到无论有什么理由，都不可以停止服务；是否做到全天二十四小时服务</w:t>
            </w:r>
          </w:p>
        </w:tc>
        <w:tc>
          <w:tcPr>
            <w:tcW w:w="886" w:type="dxa"/>
            <w:tcBorders>
              <w:top w:val="single" w:color="000000" w:sz="4" w:space="0"/>
              <w:left w:val="nil"/>
              <w:bottom w:val="single" w:color="000000" w:sz="4" w:space="0"/>
              <w:right w:val="single" w:color="000000" w:sz="4" w:space="0"/>
            </w:tcBorders>
            <w:vAlign w:val="center"/>
          </w:tcPr>
          <w:p w14:paraId="21ACA8A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6DCDF09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64B70FA9">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3F300893">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9</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4EC96CB2">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5D9768F5">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在承包期内保证区域内的设施、设备良好的运营状况和环境状况及后勤部门提供设备、设施、工具的完好性（正常折旧除外），有维修及时上报学校</w:t>
            </w:r>
          </w:p>
        </w:tc>
        <w:tc>
          <w:tcPr>
            <w:tcW w:w="886" w:type="dxa"/>
            <w:tcBorders>
              <w:top w:val="single" w:color="000000" w:sz="4" w:space="0"/>
              <w:left w:val="nil"/>
              <w:bottom w:val="single" w:color="000000" w:sz="4" w:space="0"/>
              <w:right w:val="single" w:color="000000" w:sz="4" w:space="0"/>
            </w:tcBorders>
            <w:vAlign w:val="center"/>
          </w:tcPr>
          <w:p w14:paraId="41B9ECE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7D8E723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22B6436D">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69C44E3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10</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1267A57C">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60833D3E">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工作人员不准索取小费或物品等；在承包区域住宿不准从事非法活动；不准安装任何可能造成电缆负载过大的电器设备；未获书面同意，不准在承包区域存放易燃物   品或气味浓烈的液体，抽烟等</w:t>
            </w:r>
          </w:p>
        </w:tc>
        <w:tc>
          <w:tcPr>
            <w:tcW w:w="886" w:type="dxa"/>
            <w:tcBorders>
              <w:top w:val="single" w:color="000000" w:sz="4" w:space="0"/>
              <w:left w:val="nil"/>
              <w:bottom w:val="single" w:color="000000" w:sz="4" w:space="0"/>
              <w:right w:val="single" w:color="000000" w:sz="4" w:space="0"/>
            </w:tcBorders>
            <w:vAlign w:val="center"/>
          </w:tcPr>
          <w:p w14:paraId="2B84F6A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6A7B8ED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30C227E3">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5001940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11</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20CB9B31">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64A5B838">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对发现问题没有及时处理或没有及时上报情况</w:t>
            </w:r>
          </w:p>
        </w:tc>
        <w:tc>
          <w:tcPr>
            <w:tcW w:w="886" w:type="dxa"/>
            <w:tcBorders>
              <w:top w:val="single" w:color="000000" w:sz="4" w:space="0"/>
              <w:left w:val="nil"/>
              <w:bottom w:val="single" w:color="000000" w:sz="4" w:space="0"/>
              <w:right w:val="single" w:color="000000" w:sz="4" w:space="0"/>
            </w:tcBorders>
            <w:vAlign w:val="center"/>
          </w:tcPr>
          <w:p w14:paraId="059F8C43">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49745E3C">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50F424DD">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2366D3E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12</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0E1FD642">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1005A229">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遇突发事件或安全检查时，有配合有关部门执行任务，并指定专职人员协助工作，直至完成好任务</w:t>
            </w:r>
          </w:p>
        </w:tc>
        <w:tc>
          <w:tcPr>
            <w:tcW w:w="886" w:type="dxa"/>
            <w:tcBorders>
              <w:top w:val="single" w:color="000000" w:sz="4" w:space="0"/>
              <w:left w:val="nil"/>
              <w:bottom w:val="single" w:color="000000" w:sz="4" w:space="0"/>
              <w:right w:val="single" w:color="000000" w:sz="4" w:space="0"/>
            </w:tcBorders>
            <w:vAlign w:val="center"/>
          </w:tcPr>
          <w:p w14:paraId="48A75B0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2092E56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274F49F7">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7D662DF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13</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479A8A62">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13462294">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对上级交办的临时性任务，及时完成，值班期间从事与上班无关的事情</w:t>
            </w:r>
          </w:p>
        </w:tc>
        <w:tc>
          <w:tcPr>
            <w:tcW w:w="886" w:type="dxa"/>
            <w:tcBorders>
              <w:top w:val="single" w:color="000000" w:sz="4" w:space="0"/>
              <w:left w:val="nil"/>
              <w:bottom w:val="single" w:color="000000" w:sz="4" w:space="0"/>
              <w:right w:val="single" w:color="000000" w:sz="4" w:space="0"/>
            </w:tcBorders>
            <w:vAlign w:val="center"/>
          </w:tcPr>
          <w:p w14:paraId="459AB45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134D64F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35FD5D6C">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auto" w:sz="4" w:space="0"/>
              <w:right w:val="single" w:color="000000" w:sz="4" w:space="0"/>
            </w:tcBorders>
            <w:vAlign w:val="center"/>
          </w:tcPr>
          <w:p w14:paraId="70ED7C9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14</w:t>
            </w:r>
          </w:p>
        </w:tc>
        <w:tc>
          <w:tcPr>
            <w:tcW w:w="1091" w:type="dxa"/>
            <w:vMerge w:val="continue"/>
            <w:tcBorders>
              <w:top w:val="single" w:color="000000" w:sz="4" w:space="0"/>
              <w:left w:val="single" w:color="000000" w:sz="4" w:space="0"/>
              <w:bottom w:val="single" w:color="auto" w:sz="4" w:space="0"/>
              <w:right w:val="single" w:color="000000" w:sz="4" w:space="0"/>
            </w:tcBorders>
            <w:vAlign w:val="center"/>
          </w:tcPr>
          <w:p w14:paraId="4C775C31">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1D042D31">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管理层是否以身作则，管理人员对队员的工作是否经常性认真检查和指导，在遵守保安制度外并能否遵守学校的有关规定</w:t>
            </w:r>
          </w:p>
        </w:tc>
        <w:tc>
          <w:tcPr>
            <w:tcW w:w="886" w:type="dxa"/>
            <w:tcBorders>
              <w:top w:val="single" w:color="000000" w:sz="4" w:space="0"/>
              <w:left w:val="nil"/>
              <w:bottom w:val="single" w:color="000000" w:sz="4" w:space="0"/>
              <w:right w:val="single" w:color="000000" w:sz="4" w:space="0"/>
            </w:tcBorders>
            <w:vAlign w:val="center"/>
          </w:tcPr>
          <w:p w14:paraId="5C6B3BE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76ECDB9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24A6EF43">
        <w:tblPrEx>
          <w:tblCellMar>
            <w:top w:w="0" w:type="dxa"/>
            <w:left w:w="108" w:type="dxa"/>
            <w:bottom w:w="0" w:type="dxa"/>
            <w:right w:w="108" w:type="dxa"/>
          </w:tblCellMar>
        </w:tblPrEx>
        <w:trPr>
          <w:trHeight w:val="285" w:hRule="atLeast"/>
          <w:jc w:val="center"/>
        </w:trPr>
        <w:tc>
          <w:tcPr>
            <w:tcW w:w="752" w:type="dxa"/>
            <w:tcBorders>
              <w:top w:val="single" w:color="auto" w:sz="4" w:space="0"/>
              <w:left w:val="single" w:color="000000" w:sz="4" w:space="0"/>
              <w:bottom w:val="single" w:color="auto" w:sz="4" w:space="0"/>
              <w:right w:val="single" w:color="000000" w:sz="4" w:space="0"/>
            </w:tcBorders>
            <w:vAlign w:val="center"/>
          </w:tcPr>
          <w:p w14:paraId="39E1CF1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15</w:t>
            </w:r>
          </w:p>
        </w:tc>
        <w:tc>
          <w:tcPr>
            <w:tcW w:w="1091" w:type="dxa"/>
            <w:vMerge w:val="continue"/>
            <w:tcBorders>
              <w:top w:val="single" w:color="auto" w:sz="4" w:space="0"/>
              <w:left w:val="single" w:color="000000" w:sz="4" w:space="0"/>
              <w:bottom w:val="single" w:color="auto" w:sz="4" w:space="0"/>
              <w:right w:val="single" w:color="000000" w:sz="4" w:space="0"/>
            </w:tcBorders>
            <w:vAlign w:val="center"/>
          </w:tcPr>
          <w:p w14:paraId="6A7A751D">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70592620">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保证学校的工作生活秩序正常</w:t>
            </w:r>
          </w:p>
        </w:tc>
        <w:tc>
          <w:tcPr>
            <w:tcW w:w="886" w:type="dxa"/>
            <w:tcBorders>
              <w:top w:val="single" w:color="000000" w:sz="4" w:space="0"/>
              <w:left w:val="nil"/>
              <w:bottom w:val="single" w:color="000000" w:sz="4" w:space="0"/>
              <w:right w:val="single" w:color="000000" w:sz="4" w:space="0"/>
            </w:tcBorders>
            <w:vAlign w:val="center"/>
          </w:tcPr>
          <w:p w14:paraId="72B6D6D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76429FF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131B3381">
        <w:tblPrEx>
          <w:tblCellMar>
            <w:top w:w="0" w:type="dxa"/>
            <w:left w:w="108" w:type="dxa"/>
            <w:bottom w:w="0" w:type="dxa"/>
            <w:right w:w="108" w:type="dxa"/>
          </w:tblCellMar>
        </w:tblPrEx>
        <w:trPr>
          <w:trHeight w:val="285" w:hRule="atLeast"/>
          <w:jc w:val="center"/>
        </w:trPr>
        <w:tc>
          <w:tcPr>
            <w:tcW w:w="752" w:type="dxa"/>
            <w:tcBorders>
              <w:top w:val="single" w:color="auto" w:sz="4" w:space="0"/>
              <w:left w:val="single" w:color="000000" w:sz="4" w:space="0"/>
              <w:bottom w:val="single" w:color="000000" w:sz="4" w:space="0"/>
              <w:right w:val="single" w:color="000000" w:sz="4" w:space="0"/>
            </w:tcBorders>
            <w:vAlign w:val="center"/>
          </w:tcPr>
          <w:p w14:paraId="587370FC">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16</w:t>
            </w:r>
          </w:p>
        </w:tc>
        <w:tc>
          <w:tcPr>
            <w:tcW w:w="1091" w:type="dxa"/>
            <w:vMerge w:val="continue"/>
            <w:tcBorders>
              <w:top w:val="single" w:color="auto" w:sz="4" w:space="0"/>
              <w:left w:val="single" w:color="000000" w:sz="4" w:space="0"/>
              <w:bottom w:val="single" w:color="000000" w:sz="4" w:space="0"/>
              <w:right w:val="single" w:color="000000" w:sz="4" w:space="0"/>
            </w:tcBorders>
            <w:vAlign w:val="center"/>
          </w:tcPr>
          <w:p w14:paraId="60BCB314">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35488A3E">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安全保卫工作有序</w:t>
            </w:r>
          </w:p>
        </w:tc>
        <w:tc>
          <w:tcPr>
            <w:tcW w:w="886" w:type="dxa"/>
            <w:tcBorders>
              <w:top w:val="single" w:color="000000" w:sz="4" w:space="0"/>
              <w:left w:val="nil"/>
              <w:bottom w:val="single" w:color="000000" w:sz="4" w:space="0"/>
              <w:right w:val="single" w:color="000000" w:sz="4" w:space="0"/>
            </w:tcBorders>
            <w:vAlign w:val="center"/>
          </w:tcPr>
          <w:p w14:paraId="594ADBF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6A734BD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36E8CBAA">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27D7A4B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17</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3369BE5C">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4F560DEE">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消防处理是否及时</w:t>
            </w:r>
          </w:p>
        </w:tc>
        <w:tc>
          <w:tcPr>
            <w:tcW w:w="886" w:type="dxa"/>
            <w:tcBorders>
              <w:top w:val="single" w:color="000000" w:sz="4" w:space="0"/>
              <w:left w:val="nil"/>
              <w:bottom w:val="single" w:color="000000" w:sz="4" w:space="0"/>
              <w:right w:val="single" w:color="000000" w:sz="4" w:space="0"/>
            </w:tcBorders>
            <w:vAlign w:val="center"/>
          </w:tcPr>
          <w:p w14:paraId="10E74FE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1A6DAAD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51945FDD">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3162236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18</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6EE66E4E">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6E6545FA">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维持停车秩序（含周边路段）</w:t>
            </w:r>
          </w:p>
        </w:tc>
        <w:tc>
          <w:tcPr>
            <w:tcW w:w="886" w:type="dxa"/>
            <w:tcBorders>
              <w:top w:val="single" w:color="000000" w:sz="4" w:space="0"/>
              <w:left w:val="nil"/>
              <w:bottom w:val="single" w:color="000000" w:sz="4" w:space="0"/>
              <w:right w:val="single" w:color="000000" w:sz="4" w:space="0"/>
            </w:tcBorders>
            <w:vAlign w:val="center"/>
          </w:tcPr>
          <w:p w14:paraId="086A1CE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0B5EFE4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5073135C">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63A87C72">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19</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48C396BF">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65C32182">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严格执行外来人员会客登记制度</w:t>
            </w:r>
          </w:p>
        </w:tc>
        <w:tc>
          <w:tcPr>
            <w:tcW w:w="886" w:type="dxa"/>
            <w:tcBorders>
              <w:top w:val="single" w:color="000000" w:sz="4" w:space="0"/>
              <w:left w:val="nil"/>
              <w:bottom w:val="single" w:color="000000" w:sz="4" w:space="0"/>
              <w:right w:val="single" w:color="000000" w:sz="4" w:space="0"/>
            </w:tcBorders>
            <w:vAlign w:val="center"/>
          </w:tcPr>
          <w:p w14:paraId="236BAAD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7D1F708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795DDA07">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14:paraId="02F6CDDC">
            <w:pPr>
              <w:spacing w:line="480" w:lineRule="auto"/>
              <w:ind w:left="0" w:leftChars="0" w:firstLine="0" w:firstLineChars="0"/>
              <w:jc w:val="center"/>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20</w:t>
            </w: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3184F10C">
            <w:pPr>
              <w:widowControl/>
              <w:jc w:val="center"/>
              <w:rPr>
                <w:rFonts w:hint="default" w:ascii="Times New Roman" w:hAnsi="Times New Roman" w:eastAsia="仿宋_GB2312" w:cs="Times New Roman"/>
                <w:b/>
                <w:bCs/>
                <w:color w:val="auto"/>
                <w:sz w:val="24"/>
                <w:szCs w:val="24"/>
                <w:highlight w:val="none"/>
              </w:rPr>
            </w:pPr>
          </w:p>
        </w:tc>
        <w:tc>
          <w:tcPr>
            <w:tcW w:w="6176" w:type="dxa"/>
            <w:gridSpan w:val="3"/>
            <w:tcBorders>
              <w:top w:val="single" w:color="000000" w:sz="4" w:space="0"/>
              <w:left w:val="nil"/>
              <w:bottom w:val="single" w:color="000000" w:sz="4" w:space="0"/>
              <w:right w:val="single" w:color="000000" w:sz="4" w:space="0"/>
            </w:tcBorders>
            <w:vAlign w:val="center"/>
          </w:tcPr>
          <w:p w14:paraId="3134949E">
            <w:pPr>
              <w:spacing w:line="400" w:lineRule="exact"/>
              <w:jc w:val="left"/>
              <w:rPr>
                <w:rFonts w:hint="default" w:ascii="Times New Roman" w:hAnsi="Times New Roman" w:eastAsia="仿宋_GB2312" w:cs="Times New Roman"/>
                <w:color w:val="auto"/>
                <w:sz w:val="24"/>
                <w:szCs w:val="24"/>
                <w:highlight w:val="none"/>
                <w:lang w:bidi="th-TH"/>
              </w:rPr>
            </w:pPr>
            <w:r>
              <w:rPr>
                <w:rFonts w:hint="default" w:ascii="Times New Roman" w:hAnsi="Times New Roman" w:eastAsia="仿宋_GB2312" w:cs="Times New Roman"/>
                <w:color w:val="auto"/>
                <w:sz w:val="24"/>
                <w:szCs w:val="24"/>
                <w:highlight w:val="none"/>
              </w:rPr>
              <w:t>严格检查货物、车辆进出学校</w:t>
            </w:r>
          </w:p>
        </w:tc>
        <w:tc>
          <w:tcPr>
            <w:tcW w:w="886" w:type="dxa"/>
            <w:tcBorders>
              <w:top w:val="single" w:color="000000" w:sz="4" w:space="0"/>
              <w:left w:val="nil"/>
              <w:bottom w:val="single" w:color="000000" w:sz="4" w:space="0"/>
              <w:right w:val="single" w:color="000000" w:sz="4" w:space="0"/>
            </w:tcBorders>
            <w:vAlign w:val="center"/>
          </w:tcPr>
          <w:p w14:paraId="794E99B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875" w:type="dxa"/>
            <w:tcBorders>
              <w:top w:val="single" w:color="000000" w:sz="4" w:space="0"/>
              <w:left w:val="nil"/>
              <w:bottom w:val="single" w:color="000000" w:sz="4" w:space="0"/>
              <w:right w:val="single" w:color="000000" w:sz="4" w:space="0"/>
            </w:tcBorders>
            <w:vAlign w:val="center"/>
          </w:tcPr>
          <w:p w14:paraId="0D966B1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7CF4C3AD">
        <w:tblPrEx>
          <w:tblCellMar>
            <w:top w:w="0" w:type="dxa"/>
            <w:left w:w="108" w:type="dxa"/>
            <w:bottom w:w="0" w:type="dxa"/>
            <w:right w:w="108" w:type="dxa"/>
          </w:tblCellMar>
        </w:tblPrEx>
        <w:trPr>
          <w:trHeight w:val="865" w:hRule="atLeast"/>
          <w:jc w:val="center"/>
        </w:trPr>
        <w:tc>
          <w:tcPr>
            <w:tcW w:w="1843" w:type="dxa"/>
            <w:gridSpan w:val="2"/>
            <w:tcBorders>
              <w:top w:val="single" w:color="auto" w:sz="4" w:space="0"/>
              <w:left w:val="single" w:color="auto" w:sz="4" w:space="0"/>
              <w:bottom w:val="single" w:color="auto" w:sz="4" w:space="0"/>
              <w:right w:val="single" w:color="auto" w:sz="4" w:space="0"/>
            </w:tcBorders>
            <w:vAlign w:val="center"/>
          </w:tcPr>
          <w:p w14:paraId="3B3E2BF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分值合计</w:t>
            </w:r>
          </w:p>
        </w:tc>
        <w:tc>
          <w:tcPr>
            <w:tcW w:w="3228" w:type="dxa"/>
            <w:tcBorders>
              <w:top w:val="single" w:color="auto" w:sz="4" w:space="0"/>
              <w:left w:val="single" w:color="auto" w:sz="4" w:space="0"/>
              <w:bottom w:val="single" w:color="auto" w:sz="4" w:space="0"/>
              <w:right w:val="single" w:color="auto" w:sz="4" w:space="0"/>
            </w:tcBorders>
            <w:vAlign w:val="center"/>
          </w:tcPr>
          <w:p w14:paraId="4297859B">
            <w:pPr>
              <w:spacing w:line="400" w:lineRule="exact"/>
              <w:jc w:val="left"/>
              <w:rPr>
                <w:rFonts w:hint="default" w:ascii="Times New Roman" w:hAnsi="Times New Roman" w:eastAsia="仿宋_GB2312" w:cs="Times New Roman"/>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3D56387C">
            <w:pPr>
              <w:spacing w:line="480" w:lineRule="auto"/>
              <w:jc w:val="center"/>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sz w:val="24"/>
                <w:szCs w:val="24"/>
                <w:highlight w:val="none"/>
              </w:rPr>
              <w:t>评定等级</w:t>
            </w:r>
          </w:p>
        </w:tc>
        <w:tc>
          <w:tcPr>
            <w:tcW w:w="2789" w:type="dxa"/>
            <w:gridSpan w:val="3"/>
            <w:tcBorders>
              <w:top w:val="single" w:color="auto" w:sz="4" w:space="0"/>
              <w:left w:val="single" w:color="auto" w:sz="4" w:space="0"/>
              <w:bottom w:val="single" w:color="auto" w:sz="4" w:space="0"/>
              <w:right w:val="single" w:color="auto" w:sz="4" w:space="0"/>
            </w:tcBorders>
            <w:vAlign w:val="center"/>
          </w:tcPr>
          <w:p w14:paraId="211E00C8">
            <w:pPr>
              <w:spacing w:line="480" w:lineRule="auto"/>
              <w:jc w:val="center"/>
              <w:rPr>
                <w:rFonts w:hint="default" w:ascii="Times New Roman" w:hAnsi="Times New Roman" w:eastAsia="仿宋_GB2312" w:cs="Times New Roman"/>
                <w:color w:val="auto"/>
                <w:sz w:val="24"/>
                <w:szCs w:val="24"/>
                <w:highlight w:val="none"/>
              </w:rPr>
            </w:pPr>
          </w:p>
        </w:tc>
      </w:tr>
      <w:tr w14:paraId="3C7BD78F">
        <w:tblPrEx>
          <w:tblCellMar>
            <w:top w:w="0" w:type="dxa"/>
            <w:left w:w="108" w:type="dxa"/>
            <w:bottom w:w="0" w:type="dxa"/>
            <w:right w:w="108" w:type="dxa"/>
          </w:tblCellMar>
        </w:tblPrEx>
        <w:trPr>
          <w:trHeight w:val="743" w:hRule="atLeast"/>
          <w:jc w:val="center"/>
        </w:trPr>
        <w:tc>
          <w:tcPr>
            <w:tcW w:w="9780" w:type="dxa"/>
            <w:gridSpan w:val="7"/>
            <w:tcBorders>
              <w:top w:val="single" w:color="auto" w:sz="4" w:space="0"/>
              <w:left w:val="single" w:color="auto" w:sz="4" w:space="0"/>
              <w:bottom w:val="single" w:color="auto" w:sz="4" w:space="0"/>
              <w:right w:val="single" w:color="auto" w:sz="4" w:space="0"/>
            </w:tcBorders>
            <w:vAlign w:val="center"/>
          </w:tcPr>
          <w:p w14:paraId="1A8528D9">
            <w:pPr>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所服务单位按季度对成交供应商进行考核，根据考核内容进行打分并评定等级：优秀（100分～95分）、良好（94分～86分）、合格（85分～80分）、不合格（79分及以下），未达标准（评定等级为不合格）的从当季度应付款中扣除10‰服务费。连续两季度达不到标准且未及时整改的，所服务单位将书面通知教育局，教育局有权终止合同。</w:t>
            </w:r>
          </w:p>
        </w:tc>
      </w:tr>
    </w:tbl>
    <w:p w14:paraId="54A8E827">
      <w:pPr>
        <w:rPr>
          <w:color w:val="auto"/>
          <w:highlight w:val="none"/>
        </w:rPr>
      </w:pPr>
    </w:p>
    <w:p w14:paraId="4E28EDFE">
      <w:pPr>
        <w:pStyle w:val="2"/>
        <w:ind w:left="0" w:leftChars="0" w:firstLine="0" w:firstLineChars="0"/>
        <w:rPr>
          <w:color w:val="auto"/>
          <w:highlight w:val="none"/>
          <w:lang w:val="en-US"/>
        </w:rPr>
        <w:sectPr>
          <w:headerReference r:id="rId4" w:type="first"/>
          <w:footerReference r:id="rId7" w:type="first"/>
          <w:headerReference r:id="rId3" w:type="default"/>
          <w:footerReference r:id="rId5" w:type="default"/>
          <w:footerReference r:id="rId6" w:type="even"/>
          <w:pgSz w:w="11906" w:h="16838"/>
          <w:pgMar w:top="1247" w:right="849" w:bottom="1247" w:left="1418" w:header="851" w:footer="992" w:gutter="0"/>
          <w:cols w:space="720" w:num="1"/>
          <w:titlePg/>
          <w:docGrid w:type="lines" w:linePitch="312" w:charSpace="0"/>
        </w:sectPr>
      </w:pPr>
    </w:p>
    <w:p w14:paraId="644A448A">
      <w:pPr>
        <w:spacing w:line="360" w:lineRule="auto"/>
        <w:jc w:val="center"/>
        <w:outlineLvl w:val="0"/>
        <w:rPr>
          <w:rFonts w:ascii="宋体" w:hAnsi="宋体" w:cs="宋体"/>
          <w:b/>
          <w:color w:val="auto"/>
          <w:sz w:val="36"/>
          <w:szCs w:val="36"/>
          <w:highlight w:val="none"/>
        </w:rPr>
      </w:pPr>
      <w:bookmarkStart w:id="45" w:name="_Toc176368905"/>
      <w:r>
        <w:rPr>
          <w:rFonts w:hint="eastAsia" w:ascii="宋体" w:hAnsi="宋体" w:cs="宋体"/>
          <w:b/>
          <w:color w:val="auto"/>
          <w:sz w:val="36"/>
          <w:szCs w:val="36"/>
          <w:highlight w:val="none"/>
        </w:rPr>
        <w:t>第四部分</w:t>
      </w:r>
      <w:bookmarkStart w:id="46" w:name="_Toc184308062"/>
      <w:bookmarkEnd w:id="46"/>
      <w:bookmarkStart w:id="47" w:name="_Toc184308087"/>
      <w:bookmarkEnd w:id="47"/>
      <w:bookmarkStart w:id="48" w:name="_Toc184314467"/>
      <w:bookmarkEnd w:id="48"/>
      <w:bookmarkStart w:id="49" w:name="_Toc184308075"/>
      <w:bookmarkEnd w:id="49"/>
      <w:bookmarkStart w:id="50" w:name="_Toc184313308"/>
      <w:bookmarkEnd w:id="50"/>
      <w:bookmarkStart w:id="51" w:name="_Toc184314432"/>
      <w:bookmarkEnd w:id="51"/>
      <w:bookmarkStart w:id="52" w:name="_Toc184308059"/>
      <w:bookmarkEnd w:id="52"/>
      <w:bookmarkStart w:id="53" w:name="_Toc184308067"/>
      <w:bookmarkEnd w:id="53"/>
      <w:bookmarkStart w:id="54" w:name="_Toc184310342"/>
      <w:bookmarkEnd w:id="54"/>
      <w:bookmarkStart w:id="55" w:name="_Toc184308089"/>
      <w:bookmarkEnd w:id="55"/>
      <w:bookmarkStart w:id="56" w:name="_Toc184310326"/>
      <w:bookmarkEnd w:id="56"/>
      <w:bookmarkStart w:id="57" w:name="_Toc184310328"/>
      <w:bookmarkEnd w:id="57"/>
      <w:bookmarkStart w:id="58" w:name="_Toc184308042"/>
      <w:bookmarkEnd w:id="58"/>
      <w:bookmarkStart w:id="59" w:name="_Toc184308044"/>
      <w:bookmarkEnd w:id="59"/>
      <w:bookmarkStart w:id="60" w:name="_Toc184313267"/>
      <w:bookmarkEnd w:id="60"/>
      <w:bookmarkStart w:id="61" w:name="_Toc184310274"/>
      <w:bookmarkEnd w:id="61"/>
      <w:bookmarkStart w:id="62" w:name="_Toc184308041"/>
      <w:bookmarkEnd w:id="62"/>
      <w:bookmarkStart w:id="63" w:name="_Toc184314480"/>
      <w:bookmarkEnd w:id="63"/>
      <w:bookmarkStart w:id="64" w:name="_Toc184308084"/>
      <w:bookmarkEnd w:id="64"/>
      <w:bookmarkStart w:id="65" w:name="_Toc184308071"/>
      <w:bookmarkEnd w:id="65"/>
      <w:bookmarkStart w:id="66" w:name="_Toc184313242"/>
      <w:bookmarkEnd w:id="66"/>
      <w:bookmarkStart w:id="67" w:name="_Toc184310335"/>
      <w:bookmarkEnd w:id="67"/>
      <w:bookmarkStart w:id="68" w:name="_Toc184313256"/>
      <w:bookmarkEnd w:id="68"/>
      <w:bookmarkStart w:id="69" w:name="_Toc184312109"/>
      <w:bookmarkEnd w:id="69"/>
      <w:bookmarkStart w:id="70" w:name="_Toc184310316"/>
      <w:bookmarkEnd w:id="70"/>
      <w:bookmarkStart w:id="71" w:name="_Toc184310333"/>
      <w:bookmarkEnd w:id="71"/>
      <w:bookmarkStart w:id="72" w:name="_Toc184310325"/>
      <w:bookmarkEnd w:id="72"/>
      <w:bookmarkStart w:id="73" w:name="_Toc184312128"/>
      <w:bookmarkEnd w:id="73"/>
      <w:bookmarkStart w:id="74" w:name="_Toc184310315"/>
      <w:bookmarkEnd w:id="74"/>
      <w:bookmarkStart w:id="75" w:name="_Toc184308040"/>
      <w:bookmarkEnd w:id="75"/>
      <w:bookmarkStart w:id="76" w:name="_Toc184312116"/>
      <w:bookmarkEnd w:id="76"/>
      <w:bookmarkStart w:id="77" w:name="_Toc184313285"/>
      <w:bookmarkEnd w:id="77"/>
      <w:bookmarkStart w:id="78" w:name="_Toc184313253"/>
      <w:bookmarkEnd w:id="78"/>
      <w:bookmarkStart w:id="79" w:name="_Toc184313281"/>
      <w:bookmarkEnd w:id="79"/>
      <w:bookmarkStart w:id="80" w:name="_Toc184310337"/>
      <w:bookmarkEnd w:id="80"/>
      <w:bookmarkStart w:id="81" w:name="_Toc184313248"/>
      <w:bookmarkEnd w:id="81"/>
      <w:bookmarkStart w:id="82" w:name="_Toc184313288"/>
      <w:bookmarkEnd w:id="82"/>
      <w:bookmarkStart w:id="83" w:name="_Toc184308070"/>
      <w:bookmarkEnd w:id="83"/>
      <w:bookmarkStart w:id="84" w:name="_Toc184312137"/>
      <w:bookmarkEnd w:id="84"/>
      <w:bookmarkStart w:id="85" w:name="_Toc184313249"/>
      <w:bookmarkEnd w:id="85"/>
      <w:bookmarkStart w:id="86" w:name="_Toc184310288"/>
      <w:bookmarkEnd w:id="86"/>
      <w:bookmarkStart w:id="87" w:name="_Toc184312113"/>
      <w:bookmarkEnd w:id="87"/>
      <w:bookmarkStart w:id="88" w:name="_Toc184308088"/>
      <w:bookmarkEnd w:id="88"/>
      <w:bookmarkStart w:id="89" w:name="_Toc184314453"/>
      <w:bookmarkEnd w:id="89"/>
      <w:bookmarkStart w:id="90" w:name="_Toc184310308"/>
      <w:bookmarkEnd w:id="90"/>
      <w:bookmarkStart w:id="91" w:name="_Toc184312139"/>
      <w:bookmarkEnd w:id="91"/>
      <w:bookmarkStart w:id="92" w:name="_Toc184312123"/>
      <w:bookmarkEnd w:id="92"/>
      <w:bookmarkStart w:id="93" w:name="_Toc184312098"/>
      <w:bookmarkEnd w:id="93"/>
      <w:bookmarkStart w:id="94" w:name="_Toc184313298"/>
      <w:bookmarkEnd w:id="94"/>
      <w:bookmarkStart w:id="95" w:name="_Toc184312085"/>
      <w:bookmarkEnd w:id="95"/>
      <w:bookmarkStart w:id="96" w:name="_Toc184310297"/>
      <w:bookmarkEnd w:id="96"/>
      <w:bookmarkStart w:id="97" w:name="_Toc184312106"/>
      <w:bookmarkEnd w:id="97"/>
      <w:bookmarkStart w:id="98" w:name="_Toc184314449"/>
      <w:bookmarkEnd w:id="98"/>
      <w:bookmarkStart w:id="99" w:name="_Toc184310289"/>
      <w:bookmarkEnd w:id="99"/>
      <w:bookmarkStart w:id="100" w:name="_Toc184310317"/>
      <w:bookmarkEnd w:id="100"/>
      <w:bookmarkStart w:id="101" w:name="_Toc184314482"/>
      <w:bookmarkEnd w:id="101"/>
      <w:bookmarkStart w:id="102" w:name="_Toc184313301"/>
      <w:bookmarkEnd w:id="102"/>
      <w:bookmarkStart w:id="103" w:name="_Toc184314462"/>
      <w:bookmarkEnd w:id="103"/>
      <w:bookmarkStart w:id="104" w:name="_Toc184308083"/>
      <w:bookmarkEnd w:id="104"/>
      <w:bookmarkStart w:id="105" w:name="_Toc184314417"/>
      <w:bookmarkEnd w:id="105"/>
      <w:bookmarkStart w:id="106" w:name="_Toc184310277"/>
      <w:bookmarkEnd w:id="106"/>
      <w:bookmarkStart w:id="107" w:name="_Toc184313259"/>
      <w:bookmarkEnd w:id="107"/>
      <w:bookmarkStart w:id="108" w:name="_Toc184314447"/>
      <w:bookmarkEnd w:id="108"/>
      <w:bookmarkStart w:id="109" w:name="_Toc184308096"/>
      <w:bookmarkEnd w:id="109"/>
      <w:bookmarkStart w:id="110" w:name="_Toc184310344"/>
      <w:bookmarkEnd w:id="110"/>
      <w:bookmarkStart w:id="111" w:name="_Toc184308091"/>
      <w:bookmarkEnd w:id="111"/>
      <w:bookmarkStart w:id="112" w:name="_Toc184308066"/>
      <w:bookmarkEnd w:id="112"/>
      <w:bookmarkStart w:id="113" w:name="_Toc184314431"/>
      <w:bookmarkEnd w:id="113"/>
      <w:bookmarkStart w:id="114" w:name="_Toc184312081"/>
      <w:bookmarkEnd w:id="114"/>
      <w:bookmarkStart w:id="115" w:name="_Toc184313262"/>
      <w:bookmarkEnd w:id="115"/>
      <w:bookmarkStart w:id="116" w:name="_Toc184313264"/>
      <w:bookmarkEnd w:id="116"/>
      <w:bookmarkStart w:id="117" w:name="_Toc184314479"/>
      <w:bookmarkEnd w:id="117"/>
      <w:bookmarkStart w:id="118" w:name="_Toc184312097"/>
      <w:bookmarkEnd w:id="118"/>
      <w:bookmarkStart w:id="119" w:name="_Toc184313294"/>
      <w:bookmarkEnd w:id="119"/>
      <w:bookmarkStart w:id="120" w:name="_Toc184313260"/>
      <w:bookmarkEnd w:id="120"/>
      <w:bookmarkStart w:id="121" w:name="_Toc184313245"/>
      <w:bookmarkEnd w:id="121"/>
      <w:bookmarkStart w:id="122" w:name="_Toc184310318"/>
      <w:bookmarkEnd w:id="122"/>
      <w:bookmarkStart w:id="123" w:name="_Toc184308106"/>
      <w:bookmarkEnd w:id="123"/>
      <w:bookmarkStart w:id="124" w:name="_Toc184312079"/>
      <w:bookmarkEnd w:id="124"/>
      <w:bookmarkStart w:id="125" w:name="_Toc184313265"/>
      <w:bookmarkEnd w:id="125"/>
      <w:bookmarkStart w:id="126" w:name="_Toc184313254"/>
      <w:bookmarkEnd w:id="126"/>
      <w:bookmarkStart w:id="127" w:name="_Toc184314465"/>
      <w:bookmarkEnd w:id="127"/>
      <w:bookmarkStart w:id="128" w:name="_Toc184313238"/>
      <w:bookmarkEnd w:id="128"/>
      <w:bookmarkStart w:id="129" w:name="_Toc184308086"/>
      <w:bookmarkEnd w:id="129"/>
      <w:bookmarkStart w:id="130" w:name="_Toc184312092"/>
      <w:bookmarkEnd w:id="130"/>
      <w:bookmarkStart w:id="131" w:name="_Toc184312102"/>
      <w:bookmarkEnd w:id="131"/>
      <w:bookmarkStart w:id="132" w:name="_Toc184313274"/>
      <w:bookmarkEnd w:id="132"/>
      <w:bookmarkStart w:id="133" w:name="_Toc184308090"/>
      <w:bookmarkEnd w:id="133"/>
      <w:bookmarkStart w:id="134" w:name="_Toc184308043"/>
      <w:bookmarkEnd w:id="134"/>
      <w:bookmarkStart w:id="135" w:name="_Toc184312073"/>
      <w:bookmarkEnd w:id="135"/>
      <w:bookmarkStart w:id="136" w:name="_Toc184308048"/>
      <w:bookmarkEnd w:id="136"/>
      <w:bookmarkStart w:id="137" w:name="_Toc184314439"/>
      <w:bookmarkEnd w:id="137"/>
      <w:bookmarkStart w:id="138" w:name="_Toc184313241"/>
      <w:bookmarkEnd w:id="138"/>
      <w:bookmarkStart w:id="139" w:name="_Toc184314477"/>
      <w:bookmarkEnd w:id="139"/>
      <w:bookmarkStart w:id="140" w:name="_Toc184312074"/>
      <w:bookmarkEnd w:id="140"/>
      <w:bookmarkStart w:id="141" w:name="_Toc184312068"/>
      <w:bookmarkEnd w:id="141"/>
      <w:bookmarkStart w:id="142" w:name="_Toc184314457"/>
      <w:bookmarkEnd w:id="142"/>
      <w:bookmarkStart w:id="143" w:name="_Toc184310299"/>
      <w:bookmarkEnd w:id="143"/>
      <w:bookmarkStart w:id="144" w:name="_Toc184312087"/>
      <w:bookmarkEnd w:id="144"/>
      <w:bookmarkStart w:id="145" w:name="_Toc184313266"/>
      <w:bookmarkEnd w:id="145"/>
      <w:bookmarkStart w:id="146" w:name="_Toc184312072"/>
      <w:bookmarkEnd w:id="146"/>
      <w:bookmarkStart w:id="147" w:name="_Toc184314470"/>
      <w:bookmarkEnd w:id="147"/>
      <w:bookmarkStart w:id="148" w:name="_Toc184310286"/>
      <w:bookmarkEnd w:id="148"/>
      <w:bookmarkStart w:id="149" w:name="_Toc184308055"/>
      <w:bookmarkEnd w:id="149"/>
      <w:bookmarkStart w:id="150" w:name="_Toc184313287"/>
      <w:bookmarkEnd w:id="150"/>
      <w:bookmarkStart w:id="151" w:name="_Toc184308102"/>
      <w:bookmarkEnd w:id="151"/>
      <w:bookmarkStart w:id="152" w:name="_Toc184308054"/>
      <w:bookmarkEnd w:id="152"/>
      <w:bookmarkStart w:id="153" w:name="_Toc184314422"/>
      <w:bookmarkEnd w:id="153"/>
      <w:bookmarkStart w:id="154" w:name="_Toc184313303"/>
      <w:bookmarkEnd w:id="154"/>
      <w:bookmarkStart w:id="155" w:name="_Toc184312105"/>
      <w:bookmarkEnd w:id="155"/>
      <w:bookmarkStart w:id="156" w:name="_Toc184312096"/>
      <w:bookmarkEnd w:id="156"/>
      <w:bookmarkStart w:id="157" w:name="_Toc184310292"/>
      <w:bookmarkEnd w:id="157"/>
      <w:bookmarkStart w:id="158" w:name="_Toc184310300"/>
      <w:bookmarkEnd w:id="158"/>
      <w:bookmarkStart w:id="159" w:name="_Toc184312110"/>
      <w:bookmarkEnd w:id="159"/>
      <w:bookmarkStart w:id="160" w:name="_Toc184308097"/>
      <w:bookmarkEnd w:id="160"/>
      <w:bookmarkStart w:id="161" w:name="_Toc184310278"/>
      <w:bookmarkEnd w:id="161"/>
      <w:bookmarkStart w:id="162" w:name="_Toc184312107"/>
      <w:bookmarkEnd w:id="162"/>
      <w:bookmarkStart w:id="163" w:name="_Toc184308045"/>
      <w:bookmarkEnd w:id="163"/>
      <w:bookmarkStart w:id="164" w:name="_Toc184310281"/>
      <w:bookmarkEnd w:id="164"/>
      <w:bookmarkStart w:id="165" w:name="_Toc184312101"/>
      <w:bookmarkEnd w:id="165"/>
      <w:bookmarkStart w:id="166" w:name="_Toc184312076"/>
      <w:bookmarkEnd w:id="166"/>
      <w:bookmarkStart w:id="167" w:name="_Toc184313289"/>
      <w:bookmarkEnd w:id="167"/>
      <w:bookmarkStart w:id="168" w:name="_Toc184313297"/>
      <w:bookmarkEnd w:id="168"/>
      <w:bookmarkStart w:id="169" w:name="_Toc184308082"/>
      <w:bookmarkEnd w:id="169"/>
      <w:bookmarkStart w:id="170" w:name="_Toc184312135"/>
      <w:bookmarkEnd w:id="170"/>
      <w:bookmarkStart w:id="171" w:name="_Toc184312089"/>
      <w:bookmarkEnd w:id="171"/>
      <w:bookmarkStart w:id="172" w:name="_Toc184310301"/>
      <w:bookmarkEnd w:id="172"/>
      <w:bookmarkStart w:id="173" w:name="_Toc184313300"/>
      <w:bookmarkEnd w:id="173"/>
      <w:bookmarkStart w:id="174" w:name="_Toc184312070"/>
      <w:bookmarkEnd w:id="174"/>
      <w:bookmarkStart w:id="175" w:name="_Toc184313239"/>
      <w:bookmarkEnd w:id="175"/>
      <w:bookmarkStart w:id="176" w:name="_Toc184312100"/>
      <w:bookmarkEnd w:id="176"/>
      <w:bookmarkStart w:id="177" w:name="_Toc184308051"/>
      <w:bookmarkEnd w:id="177"/>
      <w:bookmarkStart w:id="178" w:name="_Toc184312115"/>
      <w:bookmarkEnd w:id="178"/>
      <w:bookmarkStart w:id="179" w:name="_Toc184313276"/>
      <w:bookmarkEnd w:id="179"/>
      <w:bookmarkStart w:id="180" w:name="_Toc184312083"/>
      <w:bookmarkEnd w:id="180"/>
      <w:bookmarkStart w:id="181" w:name="_Toc184308093"/>
      <w:bookmarkEnd w:id="181"/>
      <w:bookmarkStart w:id="182" w:name="_Toc184310331"/>
      <w:bookmarkEnd w:id="182"/>
      <w:bookmarkStart w:id="183" w:name="_Toc184310343"/>
      <w:bookmarkEnd w:id="183"/>
      <w:bookmarkStart w:id="184" w:name="_Toc184314448"/>
      <w:bookmarkEnd w:id="184"/>
      <w:bookmarkStart w:id="185" w:name="_Toc184310290"/>
      <w:bookmarkEnd w:id="185"/>
      <w:bookmarkStart w:id="186" w:name="_Toc184314425"/>
      <w:bookmarkEnd w:id="186"/>
      <w:bookmarkStart w:id="187" w:name="_Toc184308064"/>
      <w:bookmarkEnd w:id="187"/>
      <w:bookmarkStart w:id="188" w:name="_Toc184314473"/>
      <w:bookmarkEnd w:id="188"/>
      <w:bookmarkStart w:id="189" w:name="_Toc184308094"/>
      <w:bookmarkEnd w:id="189"/>
      <w:bookmarkStart w:id="190" w:name="_Toc184308065"/>
      <w:bookmarkEnd w:id="190"/>
      <w:bookmarkStart w:id="191" w:name="_Toc184310341"/>
      <w:bookmarkEnd w:id="191"/>
      <w:bookmarkStart w:id="192" w:name="_Toc184312127"/>
      <w:bookmarkEnd w:id="192"/>
      <w:bookmarkStart w:id="193" w:name="_Toc184312071"/>
      <w:bookmarkEnd w:id="193"/>
      <w:bookmarkStart w:id="194" w:name="_Toc184312111"/>
      <w:bookmarkEnd w:id="194"/>
      <w:bookmarkStart w:id="195" w:name="_Toc184310276"/>
      <w:bookmarkEnd w:id="195"/>
      <w:bookmarkStart w:id="196" w:name="_Toc184308103"/>
      <w:bookmarkEnd w:id="196"/>
      <w:bookmarkStart w:id="197" w:name="_Toc184313299"/>
      <w:bookmarkEnd w:id="197"/>
      <w:bookmarkStart w:id="198" w:name="_Toc184314463"/>
      <w:bookmarkEnd w:id="198"/>
      <w:bookmarkStart w:id="199" w:name="_Toc184314459"/>
      <w:bookmarkEnd w:id="199"/>
      <w:bookmarkStart w:id="200" w:name="_Toc184308037"/>
      <w:bookmarkEnd w:id="200"/>
      <w:bookmarkStart w:id="201" w:name="_Toc184314458"/>
      <w:bookmarkEnd w:id="201"/>
      <w:bookmarkStart w:id="202" w:name="_Toc184314466"/>
      <w:bookmarkEnd w:id="202"/>
      <w:bookmarkStart w:id="203" w:name="_Toc184310275"/>
      <w:bookmarkEnd w:id="203"/>
      <w:bookmarkStart w:id="204" w:name="_Toc184313243"/>
      <w:bookmarkEnd w:id="204"/>
      <w:bookmarkStart w:id="205" w:name="_Toc184314474"/>
      <w:bookmarkEnd w:id="205"/>
      <w:bookmarkStart w:id="206" w:name="_Toc184310279"/>
      <w:bookmarkEnd w:id="206"/>
      <w:bookmarkStart w:id="207" w:name="_Toc184313257"/>
      <w:bookmarkEnd w:id="207"/>
      <w:bookmarkStart w:id="208" w:name="_Toc184313272"/>
      <w:bookmarkEnd w:id="208"/>
      <w:bookmarkStart w:id="209" w:name="_Toc184310291"/>
      <w:bookmarkEnd w:id="209"/>
      <w:bookmarkStart w:id="210" w:name="_Toc184308105"/>
      <w:bookmarkEnd w:id="210"/>
      <w:bookmarkStart w:id="211" w:name="_Toc184312120"/>
      <w:bookmarkEnd w:id="211"/>
      <w:bookmarkStart w:id="212" w:name="_Toc184312108"/>
      <w:bookmarkEnd w:id="212"/>
      <w:bookmarkStart w:id="213" w:name="_Toc184310311"/>
      <w:bookmarkEnd w:id="213"/>
      <w:bookmarkStart w:id="214" w:name="_Toc184308038"/>
      <w:bookmarkEnd w:id="214"/>
      <w:bookmarkStart w:id="215" w:name="_Toc184314442"/>
      <w:bookmarkEnd w:id="215"/>
      <w:bookmarkStart w:id="216" w:name="_Toc184313304"/>
      <w:bookmarkEnd w:id="216"/>
      <w:bookmarkStart w:id="217" w:name="_Toc184313270"/>
      <w:bookmarkEnd w:id="217"/>
      <w:bookmarkStart w:id="218" w:name="_Toc184314468"/>
      <w:bookmarkEnd w:id="218"/>
      <w:bookmarkStart w:id="219" w:name="_Toc184308057"/>
      <w:bookmarkEnd w:id="219"/>
      <w:bookmarkStart w:id="220" w:name="_Toc184308056"/>
      <w:bookmarkEnd w:id="220"/>
      <w:bookmarkStart w:id="221" w:name="_Toc184310322"/>
      <w:bookmarkEnd w:id="221"/>
      <w:bookmarkStart w:id="222" w:name="_Toc184310303"/>
      <w:bookmarkEnd w:id="222"/>
      <w:bookmarkStart w:id="223" w:name="_Toc184314438"/>
      <w:bookmarkEnd w:id="223"/>
      <w:bookmarkStart w:id="224" w:name="_Toc184308061"/>
      <w:bookmarkEnd w:id="224"/>
      <w:bookmarkStart w:id="225" w:name="_Toc184312069"/>
      <w:bookmarkEnd w:id="225"/>
      <w:bookmarkStart w:id="226" w:name="_Toc184310339"/>
      <w:bookmarkEnd w:id="226"/>
      <w:bookmarkStart w:id="227" w:name="_Toc184314441"/>
      <w:bookmarkEnd w:id="227"/>
      <w:bookmarkStart w:id="228" w:name="_Toc184312125"/>
      <w:bookmarkEnd w:id="228"/>
      <w:bookmarkStart w:id="229" w:name="_Toc184308058"/>
      <w:bookmarkEnd w:id="229"/>
      <w:bookmarkStart w:id="230" w:name="_Toc184312122"/>
      <w:bookmarkEnd w:id="230"/>
      <w:bookmarkStart w:id="231" w:name="_Toc184314443"/>
      <w:bookmarkEnd w:id="231"/>
      <w:bookmarkStart w:id="232" w:name="_Toc184312121"/>
      <w:bookmarkEnd w:id="232"/>
      <w:bookmarkStart w:id="233" w:name="_Toc184312082"/>
      <w:bookmarkEnd w:id="233"/>
      <w:bookmarkStart w:id="234" w:name="_Toc184310321"/>
      <w:bookmarkEnd w:id="234"/>
      <w:bookmarkStart w:id="235" w:name="_Toc184314436"/>
      <w:bookmarkEnd w:id="235"/>
      <w:bookmarkStart w:id="236" w:name="_Toc184312133"/>
      <w:bookmarkEnd w:id="236"/>
      <w:bookmarkStart w:id="237" w:name="_Toc184310309"/>
      <w:bookmarkEnd w:id="237"/>
      <w:bookmarkStart w:id="238" w:name="_Toc184314481"/>
      <w:bookmarkEnd w:id="238"/>
      <w:bookmarkStart w:id="239" w:name="_Toc184314412"/>
      <w:bookmarkEnd w:id="239"/>
      <w:bookmarkStart w:id="240" w:name="_Toc184310330"/>
      <w:bookmarkEnd w:id="240"/>
      <w:bookmarkStart w:id="241" w:name="_Toc184313251"/>
      <w:bookmarkEnd w:id="241"/>
      <w:bookmarkStart w:id="242" w:name="_Toc184310294"/>
      <w:bookmarkEnd w:id="242"/>
      <w:bookmarkStart w:id="243" w:name="_Toc184308069"/>
      <w:bookmarkEnd w:id="243"/>
      <w:bookmarkStart w:id="244" w:name="_Toc184312084"/>
      <w:bookmarkEnd w:id="244"/>
      <w:bookmarkStart w:id="245" w:name="_Toc184314461"/>
      <w:bookmarkEnd w:id="245"/>
      <w:bookmarkStart w:id="246" w:name="_Toc184314420"/>
      <w:bookmarkEnd w:id="246"/>
      <w:bookmarkStart w:id="247" w:name="_Toc184310287"/>
      <w:bookmarkEnd w:id="247"/>
      <w:bookmarkStart w:id="248" w:name="_Toc184308092"/>
      <w:bookmarkEnd w:id="248"/>
      <w:bookmarkStart w:id="249" w:name="_Toc184310307"/>
      <w:bookmarkEnd w:id="249"/>
      <w:bookmarkStart w:id="250" w:name="_Toc184308107"/>
      <w:bookmarkEnd w:id="250"/>
      <w:bookmarkStart w:id="251" w:name="_Toc184312118"/>
      <w:bookmarkEnd w:id="251"/>
      <w:bookmarkStart w:id="252" w:name="_Toc184313261"/>
      <w:bookmarkEnd w:id="252"/>
      <w:bookmarkStart w:id="253" w:name="_Toc184314440"/>
      <w:bookmarkEnd w:id="253"/>
      <w:bookmarkStart w:id="254" w:name="_Toc184313273"/>
      <w:bookmarkEnd w:id="254"/>
      <w:bookmarkStart w:id="255" w:name="_Toc184314419"/>
      <w:bookmarkEnd w:id="255"/>
      <w:bookmarkStart w:id="256" w:name="_Toc184314416"/>
      <w:bookmarkEnd w:id="256"/>
      <w:bookmarkStart w:id="257" w:name="_Toc184308081"/>
      <w:bookmarkEnd w:id="257"/>
      <w:bookmarkStart w:id="258" w:name="_Toc184313279"/>
      <w:bookmarkEnd w:id="258"/>
      <w:bookmarkStart w:id="259" w:name="_Toc184312095"/>
      <w:bookmarkEnd w:id="259"/>
      <w:bookmarkStart w:id="260" w:name="_Toc184314433"/>
      <w:bookmarkEnd w:id="260"/>
      <w:bookmarkStart w:id="261" w:name="_Toc184312114"/>
      <w:bookmarkEnd w:id="261"/>
      <w:bookmarkStart w:id="262" w:name="_Toc184314434"/>
      <w:bookmarkEnd w:id="262"/>
      <w:bookmarkStart w:id="263" w:name="_Toc184312077"/>
      <w:bookmarkEnd w:id="263"/>
      <w:bookmarkStart w:id="264" w:name="_Toc184314446"/>
      <w:bookmarkEnd w:id="264"/>
      <w:bookmarkStart w:id="265" w:name="_Toc184314428"/>
      <w:bookmarkEnd w:id="265"/>
      <w:bookmarkStart w:id="266" w:name="_Toc184308099"/>
      <w:bookmarkEnd w:id="266"/>
      <w:bookmarkStart w:id="267" w:name="_Toc184308074"/>
      <w:bookmarkEnd w:id="267"/>
      <w:bookmarkStart w:id="268" w:name="_Toc184314469"/>
      <w:bookmarkEnd w:id="268"/>
      <w:bookmarkStart w:id="269" w:name="_Toc184308078"/>
      <w:bookmarkEnd w:id="269"/>
      <w:bookmarkStart w:id="270" w:name="_Toc184313263"/>
      <w:bookmarkEnd w:id="270"/>
      <w:bookmarkStart w:id="271" w:name="_Toc184310336"/>
      <w:bookmarkEnd w:id="271"/>
      <w:bookmarkStart w:id="272" w:name="_Toc184313293"/>
      <w:bookmarkEnd w:id="272"/>
      <w:bookmarkStart w:id="273" w:name="_Toc184310283"/>
      <w:bookmarkEnd w:id="273"/>
      <w:bookmarkStart w:id="274" w:name="_Toc184313280"/>
      <w:bookmarkEnd w:id="274"/>
      <w:bookmarkStart w:id="275" w:name="_Toc184312067"/>
      <w:bookmarkEnd w:id="275"/>
      <w:bookmarkStart w:id="276" w:name="_Toc184313290"/>
      <w:bookmarkEnd w:id="276"/>
      <w:bookmarkStart w:id="277" w:name="_Toc184314456"/>
      <w:bookmarkEnd w:id="277"/>
      <w:bookmarkStart w:id="278" w:name="_Toc184314445"/>
      <w:bookmarkEnd w:id="278"/>
      <w:bookmarkStart w:id="279" w:name="_Toc184313247"/>
      <w:bookmarkEnd w:id="279"/>
      <w:bookmarkStart w:id="280" w:name="_Toc184310329"/>
      <w:bookmarkEnd w:id="280"/>
      <w:bookmarkStart w:id="281" w:name="_Toc184310296"/>
      <w:bookmarkEnd w:id="281"/>
      <w:bookmarkStart w:id="282" w:name="_Toc184314454"/>
      <w:bookmarkEnd w:id="282"/>
      <w:bookmarkStart w:id="283" w:name="_Toc184308077"/>
      <w:bookmarkEnd w:id="283"/>
      <w:bookmarkStart w:id="284" w:name="_Toc184314464"/>
      <w:bookmarkEnd w:id="284"/>
      <w:bookmarkStart w:id="285" w:name="_Toc184313277"/>
      <w:bookmarkEnd w:id="285"/>
      <w:bookmarkStart w:id="286" w:name="_Toc184308072"/>
      <w:bookmarkEnd w:id="286"/>
      <w:bookmarkStart w:id="287" w:name="_Toc184308104"/>
      <w:bookmarkEnd w:id="287"/>
      <w:bookmarkStart w:id="288" w:name="_Toc184308108"/>
      <w:bookmarkEnd w:id="288"/>
      <w:bookmarkStart w:id="289" w:name="_Toc184314476"/>
      <w:bookmarkEnd w:id="289"/>
      <w:bookmarkStart w:id="290" w:name="_Toc184312104"/>
      <w:bookmarkEnd w:id="290"/>
      <w:bookmarkStart w:id="291" w:name="_Toc184313302"/>
      <w:bookmarkEnd w:id="291"/>
      <w:bookmarkStart w:id="292" w:name="_Toc184312078"/>
      <w:bookmarkEnd w:id="292"/>
      <w:bookmarkStart w:id="293" w:name="_Toc184310338"/>
      <w:bookmarkEnd w:id="293"/>
      <w:bookmarkStart w:id="294" w:name="_Toc184314444"/>
      <w:bookmarkEnd w:id="294"/>
      <w:bookmarkStart w:id="295" w:name="_Toc184314427"/>
      <w:bookmarkEnd w:id="295"/>
      <w:bookmarkStart w:id="296" w:name="_Toc184310272"/>
      <w:bookmarkEnd w:id="296"/>
      <w:bookmarkStart w:id="297" w:name="_Toc184312099"/>
      <w:bookmarkEnd w:id="297"/>
      <w:bookmarkStart w:id="298" w:name="_Toc184314421"/>
      <w:bookmarkEnd w:id="298"/>
      <w:bookmarkStart w:id="299" w:name="_Toc184308101"/>
      <w:bookmarkEnd w:id="299"/>
      <w:bookmarkStart w:id="300" w:name="_Toc184313250"/>
      <w:bookmarkEnd w:id="300"/>
      <w:bookmarkStart w:id="301" w:name="_Toc184313244"/>
      <w:bookmarkEnd w:id="301"/>
      <w:bookmarkStart w:id="302" w:name="_Toc184308100"/>
      <w:bookmarkEnd w:id="302"/>
      <w:bookmarkStart w:id="303" w:name="_Toc184310323"/>
      <w:bookmarkEnd w:id="303"/>
      <w:bookmarkStart w:id="304" w:name="_Toc184310273"/>
      <w:bookmarkEnd w:id="304"/>
      <w:bookmarkStart w:id="305" w:name="_Toc184308095"/>
      <w:bookmarkEnd w:id="305"/>
      <w:bookmarkStart w:id="306" w:name="_Toc184314460"/>
      <w:bookmarkEnd w:id="306"/>
      <w:bookmarkStart w:id="307" w:name="_Toc184312086"/>
      <w:bookmarkEnd w:id="307"/>
      <w:bookmarkStart w:id="308" w:name="_Toc184310334"/>
      <w:bookmarkEnd w:id="308"/>
      <w:bookmarkStart w:id="309" w:name="_Toc184312090"/>
      <w:bookmarkEnd w:id="309"/>
      <w:bookmarkStart w:id="310" w:name="_Toc184312124"/>
      <w:bookmarkEnd w:id="310"/>
      <w:bookmarkStart w:id="311" w:name="_Toc184314450"/>
      <w:bookmarkEnd w:id="311"/>
      <w:bookmarkStart w:id="312" w:name="_Toc184312136"/>
      <w:bookmarkEnd w:id="312"/>
      <w:bookmarkStart w:id="313" w:name="_Toc184312112"/>
      <w:bookmarkEnd w:id="313"/>
      <w:bookmarkStart w:id="314" w:name="_Toc184312130"/>
      <w:bookmarkEnd w:id="314"/>
      <w:bookmarkStart w:id="315" w:name="_Toc184310314"/>
      <w:bookmarkEnd w:id="315"/>
      <w:bookmarkStart w:id="316" w:name="_Toc184314415"/>
      <w:bookmarkEnd w:id="316"/>
      <w:bookmarkStart w:id="317" w:name="_Toc184312094"/>
      <w:bookmarkEnd w:id="317"/>
      <w:bookmarkStart w:id="318" w:name="_Toc184310284"/>
      <w:bookmarkEnd w:id="318"/>
      <w:bookmarkStart w:id="319" w:name="_Toc184314478"/>
      <w:bookmarkEnd w:id="319"/>
      <w:bookmarkStart w:id="320" w:name="_Toc184312075"/>
      <w:bookmarkEnd w:id="320"/>
      <w:bookmarkStart w:id="321" w:name="_Toc184314411"/>
      <w:bookmarkEnd w:id="321"/>
      <w:bookmarkStart w:id="322" w:name="_Toc184310280"/>
      <w:bookmarkEnd w:id="322"/>
      <w:bookmarkStart w:id="323" w:name="_Toc184313306"/>
      <w:bookmarkEnd w:id="323"/>
      <w:bookmarkStart w:id="324" w:name="_Toc184312091"/>
      <w:bookmarkEnd w:id="324"/>
      <w:bookmarkStart w:id="325" w:name="_Toc184308039"/>
      <w:bookmarkEnd w:id="325"/>
      <w:bookmarkStart w:id="326" w:name="_Toc184310285"/>
      <w:bookmarkEnd w:id="326"/>
      <w:bookmarkStart w:id="327" w:name="_Toc184310304"/>
      <w:bookmarkEnd w:id="327"/>
      <w:bookmarkStart w:id="328" w:name="_Toc184310312"/>
      <w:bookmarkEnd w:id="328"/>
      <w:bookmarkStart w:id="329" w:name="_Toc184312129"/>
      <w:bookmarkEnd w:id="329"/>
      <w:bookmarkStart w:id="330" w:name="_Toc184312088"/>
      <w:bookmarkEnd w:id="330"/>
      <w:bookmarkStart w:id="331" w:name="_Toc184308085"/>
      <w:bookmarkEnd w:id="331"/>
      <w:bookmarkStart w:id="332" w:name="_Toc184312131"/>
      <w:bookmarkEnd w:id="332"/>
      <w:bookmarkStart w:id="333" w:name="_Toc184310324"/>
      <w:bookmarkEnd w:id="333"/>
      <w:bookmarkStart w:id="334" w:name="_Toc184313269"/>
      <w:bookmarkEnd w:id="334"/>
      <w:bookmarkStart w:id="335" w:name="_Toc184314414"/>
      <w:bookmarkEnd w:id="335"/>
      <w:bookmarkStart w:id="336" w:name="_Toc184308047"/>
      <w:bookmarkEnd w:id="336"/>
      <w:bookmarkStart w:id="337" w:name="_Toc184312093"/>
      <w:bookmarkEnd w:id="337"/>
      <w:bookmarkStart w:id="338" w:name="_Toc184310340"/>
      <w:bookmarkEnd w:id="338"/>
      <w:bookmarkStart w:id="339" w:name="_Toc184314429"/>
      <w:bookmarkEnd w:id="339"/>
      <w:bookmarkStart w:id="340" w:name="_Toc184308079"/>
      <w:bookmarkEnd w:id="340"/>
      <w:bookmarkStart w:id="341" w:name="_Toc184312126"/>
      <w:bookmarkEnd w:id="341"/>
      <w:bookmarkStart w:id="342" w:name="_Toc184313278"/>
      <w:bookmarkEnd w:id="342"/>
      <w:bookmarkStart w:id="343" w:name="_Toc184312117"/>
      <w:bookmarkEnd w:id="343"/>
      <w:bookmarkStart w:id="344" w:name="_Toc184314423"/>
      <w:bookmarkEnd w:id="344"/>
      <w:bookmarkStart w:id="345" w:name="_Toc184308036"/>
      <w:bookmarkEnd w:id="345"/>
      <w:bookmarkStart w:id="346" w:name="_Toc184314472"/>
      <w:bookmarkEnd w:id="346"/>
      <w:bookmarkStart w:id="347" w:name="_Toc184308098"/>
      <w:bookmarkEnd w:id="347"/>
      <w:bookmarkStart w:id="348" w:name="_Toc184314452"/>
      <w:bookmarkEnd w:id="348"/>
      <w:bookmarkStart w:id="349" w:name="_Toc184314430"/>
      <w:bookmarkEnd w:id="349"/>
      <w:bookmarkStart w:id="350" w:name="_Toc184310332"/>
      <w:bookmarkEnd w:id="350"/>
      <w:bookmarkStart w:id="351" w:name="_Toc184308046"/>
      <w:bookmarkEnd w:id="351"/>
      <w:bookmarkStart w:id="352" w:name="_Toc184314418"/>
      <w:bookmarkEnd w:id="352"/>
      <w:bookmarkStart w:id="353" w:name="_Toc184314424"/>
      <w:bookmarkEnd w:id="353"/>
      <w:bookmarkStart w:id="354" w:name="_Toc184313246"/>
      <w:bookmarkEnd w:id="354"/>
      <w:bookmarkStart w:id="355" w:name="_Toc184313291"/>
      <w:bookmarkEnd w:id="355"/>
      <w:bookmarkStart w:id="356" w:name="_Toc184310327"/>
      <w:bookmarkEnd w:id="356"/>
      <w:bookmarkStart w:id="357" w:name="_Toc184310320"/>
      <w:bookmarkEnd w:id="357"/>
      <w:bookmarkStart w:id="358" w:name="_Toc184313295"/>
      <w:bookmarkEnd w:id="358"/>
      <w:bookmarkStart w:id="359" w:name="_Toc184314413"/>
      <w:bookmarkEnd w:id="359"/>
      <w:bookmarkStart w:id="360" w:name="_Toc184314475"/>
      <w:bookmarkEnd w:id="360"/>
      <w:bookmarkStart w:id="361" w:name="_Toc184312132"/>
      <w:bookmarkEnd w:id="361"/>
      <w:bookmarkStart w:id="362" w:name="_Toc184314426"/>
      <w:bookmarkEnd w:id="362"/>
      <w:bookmarkStart w:id="363" w:name="_Toc184308063"/>
      <w:bookmarkEnd w:id="363"/>
      <w:bookmarkStart w:id="364" w:name="_Toc184310305"/>
      <w:bookmarkEnd w:id="364"/>
      <w:bookmarkStart w:id="365" w:name="_Toc184308068"/>
      <w:bookmarkEnd w:id="365"/>
      <w:bookmarkStart w:id="366" w:name="_Toc184312119"/>
      <w:bookmarkEnd w:id="366"/>
      <w:bookmarkStart w:id="367" w:name="_Toc184313305"/>
      <w:bookmarkEnd w:id="367"/>
      <w:bookmarkStart w:id="368" w:name="_Toc184308073"/>
      <w:bookmarkEnd w:id="368"/>
      <w:bookmarkStart w:id="369" w:name="_Toc184313286"/>
      <w:bookmarkEnd w:id="369"/>
      <w:bookmarkStart w:id="370" w:name="_Toc184310302"/>
      <w:bookmarkEnd w:id="370"/>
      <w:bookmarkStart w:id="371" w:name="_Toc184312134"/>
      <w:bookmarkEnd w:id="371"/>
      <w:bookmarkStart w:id="372" w:name="_Toc184310319"/>
      <w:bookmarkEnd w:id="372"/>
      <w:bookmarkStart w:id="373" w:name="_Toc184313282"/>
      <w:bookmarkEnd w:id="373"/>
      <w:bookmarkStart w:id="374" w:name="_Toc184314435"/>
      <w:bookmarkEnd w:id="374"/>
      <w:bookmarkStart w:id="375" w:name="_Toc184313296"/>
      <w:bookmarkEnd w:id="375"/>
      <w:bookmarkStart w:id="376" w:name="_Toc184313307"/>
      <w:bookmarkEnd w:id="376"/>
      <w:bookmarkStart w:id="377" w:name="_Toc184313275"/>
      <w:bookmarkEnd w:id="377"/>
      <w:bookmarkStart w:id="378" w:name="_Toc184313310"/>
      <w:bookmarkEnd w:id="378"/>
      <w:bookmarkStart w:id="379" w:name="_Toc184314437"/>
      <w:bookmarkEnd w:id="379"/>
      <w:bookmarkStart w:id="380" w:name="_Toc184308076"/>
      <w:bookmarkEnd w:id="380"/>
      <w:bookmarkStart w:id="381" w:name="_Toc184308060"/>
      <w:bookmarkEnd w:id="381"/>
      <w:bookmarkStart w:id="382" w:name="_Toc184313255"/>
      <w:bookmarkEnd w:id="382"/>
      <w:bookmarkStart w:id="383" w:name="_Toc184312138"/>
      <w:bookmarkEnd w:id="383"/>
      <w:bookmarkStart w:id="384" w:name="_Toc184310282"/>
      <w:bookmarkEnd w:id="384"/>
      <w:bookmarkStart w:id="385" w:name="_Toc184308080"/>
      <w:bookmarkEnd w:id="385"/>
      <w:bookmarkStart w:id="386" w:name="_Toc184313284"/>
      <w:bookmarkEnd w:id="386"/>
      <w:bookmarkStart w:id="387" w:name="_Toc184313292"/>
      <w:bookmarkEnd w:id="387"/>
      <w:bookmarkStart w:id="388" w:name="_Toc184313252"/>
      <w:bookmarkEnd w:id="388"/>
      <w:bookmarkStart w:id="389" w:name="_Toc184313309"/>
      <w:bookmarkEnd w:id="389"/>
      <w:bookmarkStart w:id="390" w:name="_Toc184313271"/>
      <w:bookmarkEnd w:id="390"/>
      <w:bookmarkStart w:id="391" w:name="_Toc184313258"/>
      <w:bookmarkEnd w:id="391"/>
      <w:bookmarkStart w:id="392" w:name="_Toc184310298"/>
      <w:bookmarkEnd w:id="392"/>
      <w:bookmarkStart w:id="393" w:name="_Toc184310295"/>
      <w:bookmarkEnd w:id="393"/>
      <w:bookmarkStart w:id="394" w:name="_Toc184308053"/>
      <w:bookmarkEnd w:id="394"/>
      <w:bookmarkStart w:id="395" w:name="_Toc184310310"/>
      <w:bookmarkEnd w:id="395"/>
      <w:bookmarkStart w:id="396" w:name="_Toc184314451"/>
      <w:bookmarkEnd w:id="396"/>
      <w:bookmarkStart w:id="397" w:name="_Toc184314410"/>
      <w:bookmarkEnd w:id="397"/>
      <w:bookmarkStart w:id="398" w:name="_Toc184310313"/>
      <w:bookmarkEnd w:id="398"/>
      <w:bookmarkStart w:id="399" w:name="_Toc184310293"/>
      <w:bookmarkEnd w:id="399"/>
      <w:bookmarkStart w:id="400" w:name="_Toc184314471"/>
      <w:bookmarkEnd w:id="400"/>
      <w:bookmarkStart w:id="401" w:name="_Toc184313268"/>
      <w:bookmarkEnd w:id="401"/>
      <w:bookmarkStart w:id="402" w:name="_Toc184313283"/>
      <w:bookmarkEnd w:id="402"/>
      <w:bookmarkStart w:id="403" w:name="_Toc184308052"/>
      <w:bookmarkEnd w:id="403"/>
      <w:bookmarkStart w:id="404" w:name="_Toc184313240"/>
      <w:bookmarkEnd w:id="404"/>
      <w:bookmarkStart w:id="405" w:name="_Toc184314455"/>
      <w:bookmarkEnd w:id="405"/>
      <w:bookmarkStart w:id="406" w:name="_Toc184308050"/>
      <w:bookmarkEnd w:id="406"/>
      <w:bookmarkStart w:id="407" w:name="_Toc184310306"/>
      <w:bookmarkEnd w:id="407"/>
      <w:bookmarkStart w:id="408" w:name="_Toc184308049"/>
      <w:bookmarkEnd w:id="408"/>
      <w:bookmarkStart w:id="409" w:name="_Toc184312080"/>
      <w:bookmarkEnd w:id="409"/>
      <w:bookmarkStart w:id="410" w:name="_Toc184312103"/>
      <w:bookmarkEnd w:id="410"/>
      <w:r>
        <w:rPr>
          <w:rFonts w:hint="eastAsia" w:ascii="宋体" w:hAnsi="宋体" w:cs="宋体"/>
          <w:b/>
          <w:color w:val="auto"/>
          <w:sz w:val="36"/>
          <w:szCs w:val="36"/>
          <w:highlight w:val="none"/>
        </w:rPr>
        <w:t xml:space="preserve"> 评标办法</w:t>
      </w:r>
      <w:bookmarkEnd w:id="45"/>
    </w:p>
    <w:p w14:paraId="19CE8053">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评标办法前附表（适用于</w:t>
      </w:r>
      <w:r>
        <w:rPr>
          <w:rFonts w:hint="eastAsia" w:ascii="宋体" w:hAnsi="宋体" w:cs="宋体"/>
          <w:b/>
          <w:color w:val="auto"/>
          <w:sz w:val="32"/>
          <w:szCs w:val="20"/>
          <w:highlight w:val="none"/>
          <w:lang w:eastAsia="zh-CN"/>
        </w:rPr>
        <w:t>本项目</w:t>
      </w:r>
      <w:r>
        <w:rPr>
          <w:rFonts w:hint="eastAsia" w:ascii="宋体" w:hAnsi="宋体" w:cs="宋体"/>
          <w:b/>
          <w:color w:val="auto"/>
          <w:sz w:val="32"/>
          <w:szCs w:val="20"/>
          <w:highlight w:val="none"/>
        </w:rPr>
        <w:t>所有标项）</w:t>
      </w:r>
    </w:p>
    <w:p w14:paraId="019C8CC2">
      <w:pPr>
        <w:spacing w:line="44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综合评分法</w:t>
      </w:r>
    </w:p>
    <w:p w14:paraId="26F79B95">
      <w:pPr>
        <w:adjustRightInd w:val="0"/>
        <w:snapToGrid w:val="0"/>
        <w:spacing w:line="40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一、评标原则</w:t>
      </w:r>
    </w:p>
    <w:p w14:paraId="35773096">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(一)评委组成：本招标采购项目的评标委员会由采购人代表和有关技术、经济等方面的专家组成，成员人数应当为7人以上单数，其中评审专家不得少于成员总数的三分之二。</w:t>
      </w:r>
    </w:p>
    <w:p w14:paraId="7F883196">
      <w:pPr>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(二)评标依据：评委将以招投标文件为评标依据，对投标人的投标报价，服务方案，信誉业绩等方面的内容按百分制打分。</w:t>
      </w:r>
    </w:p>
    <w:p w14:paraId="7DFEC170">
      <w:pPr>
        <w:adjustRightInd w:val="0"/>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(三)评标方式：以封闭方式进行。</w:t>
      </w:r>
    </w:p>
    <w:p w14:paraId="6334A64C">
      <w:pPr>
        <w:adjustRightInd w:val="0"/>
        <w:snapToGrid w:val="0"/>
        <w:spacing w:line="400" w:lineRule="exact"/>
        <w:ind w:firstLine="422" w:firstLineChars="200"/>
        <w:jc w:val="left"/>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eastAsia="zh-CN"/>
        </w:rPr>
        <w:t>（四）本项目划分为</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lang w:eastAsia="zh-CN"/>
        </w:rPr>
        <w:t>四个分标，实行兼投不兼中，供应商可以同时参与多个分标投标，但只能中标一个分标。评标委员会严格按照</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lang w:eastAsia="zh-CN"/>
        </w:rPr>
        <w:t>的顺序依次开展评审；若某供应商在前序分标被确定为第一中标候选人，该供应商不再进入后续所有分标的详细评审及中标候选人推荐环节，在后续所有分标评审中，评标委员会直接对其作符合性审查否决处理，后续分标从剩余有效投标人（不得少于3家）中正常评审。</w:t>
      </w:r>
    </w:p>
    <w:p w14:paraId="4B5440EF">
      <w:pPr>
        <w:pStyle w:val="2"/>
        <w:rPr>
          <w:rFonts w:hint="eastAsia"/>
          <w:color w:val="auto"/>
          <w:highlight w:val="none"/>
        </w:rPr>
      </w:pPr>
    </w:p>
    <w:tbl>
      <w:tblPr>
        <w:tblStyle w:val="65"/>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543"/>
        <w:gridCol w:w="1167"/>
        <w:gridCol w:w="5351"/>
        <w:gridCol w:w="1043"/>
        <w:gridCol w:w="1050"/>
      </w:tblGrid>
      <w:tr w14:paraId="3D9F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shd w:val="clear" w:color="auto" w:fill="auto"/>
            <w:tcMar>
              <w:top w:w="0" w:type="dxa"/>
              <w:left w:w="57" w:type="dxa"/>
              <w:bottom w:w="0" w:type="dxa"/>
              <w:right w:w="57" w:type="dxa"/>
            </w:tcMar>
            <w:vAlign w:val="center"/>
          </w:tcPr>
          <w:p w14:paraId="3EA71E3E">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eastAsia="zh-CN"/>
              </w:rPr>
              <w:t>序号</w:t>
            </w:r>
          </w:p>
        </w:tc>
        <w:tc>
          <w:tcPr>
            <w:tcW w:w="1710" w:type="dxa"/>
            <w:gridSpan w:val="2"/>
            <w:shd w:val="clear" w:color="auto" w:fill="auto"/>
            <w:tcMar>
              <w:top w:w="0" w:type="dxa"/>
              <w:left w:w="57" w:type="dxa"/>
              <w:bottom w:w="0" w:type="dxa"/>
              <w:right w:w="57" w:type="dxa"/>
            </w:tcMar>
            <w:vAlign w:val="center"/>
          </w:tcPr>
          <w:p w14:paraId="61C157AB">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color w:val="auto"/>
                <w:sz w:val="24"/>
                <w:szCs w:val="24"/>
                <w:highlight w:val="none"/>
              </w:rPr>
              <w:t>评分因素</w:t>
            </w:r>
          </w:p>
        </w:tc>
        <w:tc>
          <w:tcPr>
            <w:tcW w:w="5351" w:type="dxa"/>
            <w:shd w:val="clear" w:color="auto" w:fill="auto"/>
            <w:tcMar>
              <w:top w:w="0" w:type="dxa"/>
              <w:left w:w="57" w:type="dxa"/>
              <w:bottom w:w="0" w:type="dxa"/>
              <w:right w:w="57" w:type="dxa"/>
            </w:tcMar>
            <w:vAlign w:val="center"/>
          </w:tcPr>
          <w:p w14:paraId="38D3B337">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eastAsia="zh-CN"/>
              </w:rPr>
              <w:t>评标标准</w:t>
            </w:r>
          </w:p>
        </w:tc>
        <w:tc>
          <w:tcPr>
            <w:tcW w:w="1043" w:type="dxa"/>
            <w:shd w:val="clear" w:color="auto" w:fill="auto"/>
            <w:tcMar>
              <w:top w:w="0" w:type="dxa"/>
              <w:left w:w="57" w:type="dxa"/>
              <w:bottom w:w="0" w:type="dxa"/>
              <w:right w:w="57" w:type="dxa"/>
            </w:tcMar>
            <w:vAlign w:val="center"/>
          </w:tcPr>
          <w:p w14:paraId="46B813B3">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分值</w:t>
            </w:r>
          </w:p>
        </w:tc>
        <w:tc>
          <w:tcPr>
            <w:tcW w:w="1050" w:type="dxa"/>
            <w:shd w:val="clear" w:color="auto" w:fill="auto"/>
            <w:tcMar>
              <w:top w:w="0" w:type="dxa"/>
              <w:left w:w="0" w:type="dxa"/>
              <w:bottom w:w="0" w:type="dxa"/>
              <w:right w:w="0" w:type="dxa"/>
            </w:tcMar>
            <w:vAlign w:val="center"/>
          </w:tcPr>
          <w:p w14:paraId="6940889B">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eastAsia="zh-CN"/>
              </w:rPr>
              <w:t>主观分/客观分属性</w:t>
            </w:r>
          </w:p>
        </w:tc>
      </w:tr>
      <w:tr w14:paraId="1D41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shd w:val="clear" w:color="auto" w:fill="auto"/>
            <w:tcMar>
              <w:top w:w="0" w:type="dxa"/>
              <w:left w:w="57" w:type="dxa"/>
              <w:bottom w:w="0" w:type="dxa"/>
              <w:right w:w="57" w:type="dxa"/>
            </w:tcMar>
            <w:vAlign w:val="center"/>
          </w:tcPr>
          <w:p w14:paraId="32E258D4">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9154" w:type="dxa"/>
            <w:gridSpan w:val="5"/>
            <w:shd w:val="clear" w:color="auto" w:fill="auto"/>
            <w:tcMar>
              <w:top w:w="0" w:type="dxa"/>
              <w:left w:w="57" w:type="dxa"/>
              <w:bottom w:w="0" w:type="dxa"/>
              <w:right w:w="57" w:type="dxa"/>
            </w:tcMar>
            <w:vAlign w:val="center"/>
          </w:tcPr>
          <w:p w14:paraId="3525ED43">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eastAsia="zh-CN"/>
              </w:rPr>
            </w:pPr>
            <w:r>
              <w:rPr>
                <w:rFonts w:hint="eastAsia" w:ascii="宋体" w:hAnsi="宋体" w:eastAsia="宋体" w:cs="宋体"/>
                <w:b w:val="0"/>
                <w:bCs w:val="0"/>
                <w:color w:val="auto"/>
                <w:sz w:val="24"/>
                <w:szCs w:val="24"/>
                <w:highlight w:val="none"/>
                <w:vertAlign w:val="baseline"/>
                <w:lang w:eastAsia="zh-CN"/>
              </w:rPr>
              <w:t>价格分</w:t>
            </w:r>
          </w:p>
        </w:tc>
      </w:tr>
      <w:tr w14:paraId="65B8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tcMar>
              <w:top w:w="0" w:type="dxa"/>
              <w:left w:w="57" w:type="dxa"/>
              <w:bottom w:w="0" w:type="dxa"/>
              <w:right w:w="57" w:type="dxa"/>
            </w:tcMar>
            <w:vAlign w:val="center"/>
          </w:tcPr>
          <w:p w14:paraId="798F678A">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1710" w:type="dxa"/>
            <w:gridSpan w:val="2"/>
            <w:shd w:val="clear" w:color="auto" w:fill="auto"/>
            <w:tcMar>
              <w:top w:w="0" w:type="dxa"/>
              <w:left w:w="57" w:type="dxa"/>
              <w:bottom w:w="0" w:type="dxa"/>
              <w:right w:w="57" w:type="dxa"/>
            </w:tcMar>
            <w:vAlign w:val="center"/>
          </w:tcPr>
          <w:p w14:paraId="69080CB2">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投标报价</w:t>
            </w:r>
          </w:p>
        </w:tc>
        <w:tc>
          <w:tcPr>
            <w:tcW w:w="5351" w:type="dxa"/>
            <w:shd w:val="clear" w:color="auto" w:fill="auto"/>
            <w:tcMar>
              <w:top w:w="0" w:type="dxa"/>
              <w:left w:w="57" w:type="dxa"/>
              <w:bottom w:w="0" w:type="dxa"/>
              <w:right w:w="57" w:type="dxa"/>
            </w:tcMar>
            <w:vAlign w:val="center"/>
          </w:tcPr>
          <w:p w14:paraId="79D37C06">
            <w:pPr>
              <w:keepNext w:val="0"/>
              <w:keepLines w:val="0"/>
              <w:pageBreakBefore w:val="0"/>
              <w:widowControl w:val="0"/>
              <w:shd w:val="clear"/>
              <w:kinsoku/>
              <w:wordWrap/>
              <w:overflowPunct/>
              <w:topLinePunct w:val="0"/>
              <w:autoSpaceDE/>
              <w:autoSpaceDN/>
              <w:bidi w:val="0"/>
              <w:adjustRightInd w:val="0"/>
              <w:snapToGrid/>
              <w:spacing w:line="46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专门面向中小企业采购预留项目，根据《政府采购促进中小企业发展管理办法》（财库〔2020〕46号）、《财政部司法部关于政府采购支持监狱企业发展有关问题的通知》（财库〔2014〕68号）及《关于促进残疾人就业政府采购政策的通知》（财库〔2017〕141号）规定，专门面向中小企业采购的政府采购项目或者采购包不再执行价格扣除政策，即评标报价=投标报价。监狱企业、残疾人福利性单位视同小型和微型企业。</w:t>
            </w:r>
          </w:p>
          <w:p w14:paraId="5F2DF635">
            <w:pPr>
              <w:keepNext w:val="0"/>
              <w:keepLines w:val="0"/>
              <w:pageBreakBefore w:val="0"/>
              <w:widowControl w:val="0"/>
              <w:shd w:val="clear"/>
              <w:kinsoku/>
              <w:wordWrap/>
              <w:overflowPunct/>
              <w:topLinePunct w:val="0"/>
              <w:autoSpaceDE/>
              <w:autoSpaceDN/>
              <w:bidi w:val="0"/>
              <w:adjustRightInd w:val="0"/>
              <w:snapToGrid/>
              <w:spacing w:line="46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（2）有效投标报价的最低价作为评标基准价，其最低报价为满分；按下列计算公式计算：</w:t>
            </w:r>
          </w:p>
          <w:p w14:paraId="14B01795">
            <w:pPr>
              <w:keepNext w:val="0"/>
              <w:keepLines w:val="0"/>
              <w:pageBreakBefore w:val="0"/>
              <w:widowControl w:val="0"/>
              <w:shd w:val="clear"/>
              <w:kinsoku/>
              <w:wordWrap/>
              <w:overflowPunct/>
              <w:topLinePunct w:val="0"/>
              <w:autoSpaceDE/>
              <w:autoSpaceDN/>
              <w:bidi w:val="0"/>
              <w:adjustRightInd w:val="0"/>
              <w:snapToGrid/>
              <w:spacing w:line="46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某投标人价格分=（评标基准价/某投标人评标报价）×</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p w14:paraId="1466A870">
            <w:pPr>
              <w:keepNext w:val="0"/>
              <w:keepLines w:val="0"/>
              <w:pageBreakBefore w:val="0"/>
              <w:widowControl w:val="0"/>
              <w:shd w:val="clear"/>
              <w:kinsoku/>
              <w:wordWrap/>
              <w:overflowPunct/>
              <w:topLinePunct w:val="0"/>
              <w:autoSpaceDE/>
              <w:autoSpaceDN/>
              <w:bidi w:val="0"/>
              <w:adjustRightInd w:val="0"/>
              <w:snapToGrid/>
              <w:spacing w:line="46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（3）报价属于投标文件规定异常低价情形之一，未能按要求提供书面说明或者提交相关证明材料，不能证明其报价合理性的，响应无效。</w:t>
            </w:r>
          </w:p>
        </w:tc>
        <w:tc>
          <w:tcPr>
            <w:tcW w:w="1043" w:type="dxa"/>
            <w:tcMar>
              <w:top w:w="0" w:type="dxa"/>
              <w:left w:w="57" w:type="dxa"/>
              <w:bottom w:w="0" w:type="dxa"/>
              <w:right w:w="57" w:type="dxa"/>
            </w:tcMar>
            <w:vAlign w:val="center"/>
          </w:tcPr>
          <w:p w14:paraId="02D8589B">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cs="宋体"/>
                <w:color w:val="auto"/>
                <w:sz w:val="24"/>
                <w:szCs w:val="24"/>
                <w:highlight w:val="none"/>
                <w:vertAlign w:val="baseline"/>
                <w:lang w:val="en-US" w:eastAsia="zh-CN"/>
              </w:rPr>
              <w:t>20</w:t>
            </w:r>
            <w:r>
              <w:rPr>
                <w:rFonts w:hint="eastAsia" w:ascii="宋体" w:hAnsi="宋体" w:eastAsia="宋体" w:cs="宋体"/>
                <w:color w:val="auto"/>
                <w:sz w:val="24"/>
                <w:szCs w:val="24"/>
                <w:highlight w:val="none"/>
                <w:vertAlign w:val="baseline"/>
                <w:lang w:eastAsia="zh-CN"/>
              </w:rPr>
              <w:t>分</w:t>
            </w:r>
          </w:p>
        </w:tc>
        <w:tc>
          <w:tcPr>
            <w:tcW w:w="1050" w:type="dxa"/>
            <w:tcMar>
              <w:top w:w="0" w:type="dxa"/>
              <w:left w:w="57" w:type="dxa"/>
              <w:bottom w:w="0" w:type="dxa"/>
              <w:right w:w="57" w:type="dxa"/>
            </w:tcMar>
            <w:vAlign w:val="center"/>
          </w:tcPr>
          <w:p w14:paraId="2F0F015F">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客</w:t>
            </w:r>
            <w:r>
              <w:rPr>
                <w:rFonts w:hint="eastAsia" w:ascii="宋体" w:hAnsi="宋体" w:eastAsia="宋体" w:cs="宋体"/>
                <w:color w:val="auto"/>
                <w:sz w:val="24"/>
                <w:szCs w:val="24"/>
                <w:highlight w:val="none"/>
                <w:vertAlign w:val="baseline"/>
                <w:lang w:eastAsia="zh-CN"/>
              </w:rPr>
              <w:t>观分</w:t>
            </w:r>
          </w:p>
        </w:tc>
      </w:tr>
      <w:tr w14:paraId="58E7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tcMar>
              <w:top w:w="0" w:type="dxa"/>
              <w:left w:w="57" w:type="dxa"/>
              <w:bottom w:w="0" w:type="dxa"/>
              <w:right w:w="57" w:type="dxa"/>
            </w:tcMar>
            <w:vAlign w:val="center"/>
          </w:tcPr>
          <w:p w14:paraId="0F9AD5CE">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9154" w:type="dxa"/>
            <w:gridSpan w:val="5"/>
            <w:shd w:val="clear" w:color="auto" w:fill="auto"/>
            <w:tcMar>
              <w:top w:w="0" w:type="dxa"/>
              <w:left w:w="57" w:type="dxa"/>
              <w:bottom w:w="0" w:type="dxa"/>
              <w:right w:w="57" w:type="dxa"/>
            </w:tcMar>
            <w:vAlign w:val="center"/>
          </w:tcPr>
          <w:p w14:paraId="011072CF">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技术分</w:t>
            </w:r>
          </w:p>
        </w:tc>
      </w:tr>
      <w:tr w14:paraId="5FA7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restart"/>
            <w:tcMar>
              <w:top w:w="0" w:type="dxa"/>
              <w:left w:w="57" w:type="dxa"/>
              <w:bottom w:w="0" w:type="dxa"/>
              <w:right w:w="57" w:type="dxa"/>
            </w:tcMar>
            <w:vAlign w:val="center"/>
          </w:tcPr>
          <w:p w14:paraId="25FA86B1">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w:t>
            </w:r>
          </w:p>
        </w:tc>
        <w:tc>
          <w:tcPr>
            <w:tcW w:w="543" w:type="dxa"/>
            <w:vMerge w:val="restart"/>
            <w:tcMar>
              <w:top w:w="0" w:type="dxa"/>
              <w:left w:w="57" w:type="dxa"/>
              <w:bottom w:w="0" w:type="dxa"/>
              <w:right w:w="57" w:type="dxa"/>
            </w:tcMar>
            <w:vAlign w:val="center"/>
          </w:tcPr>
          <w:p w14:paraId="63864530">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服务方案分</w:t>
            </w:r>
          </w:p>
        </w:tc>
        <w:tc>
          <w:tcPr>
            <w:tcW w:w="1167" w:type="dxa"/>
            <w:tcMar>
              <w:top w:w="0" w:type="dxa"/>
              <w:left w:w="57" w:type="dxa"/>
              <w:bottom w:w="0" w:type="dxa"/>
              <w:right w:w="57" w:type="dxa"/>
            </w:tcMar>
            <w:vAlign w:val="center"/>
          </w:tcPr>
          <w:p w14:paraId="4A015E2D">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（1）总体安保管理方案分</w:t>
            </w:r>
          </w:p>
        </w:tc>
        <w:tc>
          <w:tcPr>
            <w:tcW w:w="5351" w:type="dxa"/>
            <w:shd w:val="clear" w:color="auto" w:fill="auto"/>
            <w:tcMar>
              <w:top w:w="0" w:type="dxa"/>
              <w:left w:w="57" w:type="dxa"/>
              <w:bottom w:w="0" w:type="dxa"/>
              <w:right w:w="57" w:type="dxa"/>
            </w:tcMar>
            <w:vAlign w:val="center"/>
          </w:tcPr>
          <w:p w14:paraId="33A04279">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包括：针对采购人本项目实际情况及特点提出服务总体设想、管理目标、管理构架、运作机制（含激励机制、监督机制、自我约束机制、信息反馈处理机制）、管理规章制度及档案建立等内容。</w:t>
            </w:r>
          </w:p>
          <w:p w14:paraId="1A4645D8">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一档（5分）：总体方案对本项目需求针对性不强、有欠缺，亮点不多，方案操作性尚可。</w:t>
            </w:r>
          </w:p>
          <w:p w14:paraId="52D6AAF8">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二档（10分）：总体方案基本适用本项目需求，方案架构基本完整，有针对性，机构设置较为合理，方案可行。</w:t>
            </w:r>
          </w:p>
          <w:p w14:paraId="4F2AEF52">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三档（15分）：提供的服务设想符合项目实际，管理制度及档案建立完整，完全适用本项目用户需求，有较强针对性，完整详细，科学合理，亮点多，可行性强。</w:t>
            </w:r>
          </w:p>
          <w:p w14:paraId="76274C41">
            <w:pPr>
              <w:keepNext w:val="0"/>
              <w:keepLines w:val="0"/>
              <w:pageBreakBefore w:val="0"/>
              <w:widowControl w:val="0"/>
              <w:shd w:val="clear"/>
              <w:kinsoku/>
              <w:wordWrap/>
              <w:overflowPunct/>
              <w:topLinePunct w:val="0"/>
              <w:autoSpaceDE/>
              <w:autoSpaceDN/>
              <w:bidi w:val="0"/>
              <w:adjustRightInd w:val="0"/>
              <w:snapToGrid/>
              <w:spacing w:line="46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vertAlign w:val="baseline"/>
                <w:lang w:val="en-US" w:eastAsia="zh-CN" w:bidi="ar-SA"/>
              </w:rPr>
              <w:t>注：</w:t>
            </w:r>
            <w:r>
              <w:rPr>
                <w:rFonts w:hint="eastAsia" w:ascii="宋体" w:hAnsi="宋体" w:eastAsia="宋体" w:cs="宋体"/>
                <w:b/>
                <w:bCs/>
                <w:color w:val="auto"/>
                <w:kern w:val="2"/>
                <w:sz w:val="21"/>
                <w:szCs w:val="21"/>
                <w:highlight w:val="none"/>
                <w:vertAlign w:val="baseline"/>
                <w:lang w:val="en-US" w:eastAsia="zh-CN" w:bidi="ar-SA"/>
              </w:rPr>
              <w:t>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14:paraId="15230855">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15分</w:t>
            </w:r>
          </w:p>
        </w:tc>
        <w:tc>
          <w:tcPr>
            <w:tcW w:w="1050" w:type="dxa"/>
            <w:shd w:val="clear" w:color="auto" w:fill="auto"/>
            <w:tcMar>
              <w:top w:w="0" w:type="dxa"/>
              <w:left w:w="57" w:type="dxa"/>
              <w:bottom w:w="0" w:type="dxa"/>
              <w:right w:w="57" w:type="dxa"/>
            </w:tcMar>
            <w:vAlign w:val="center"/>
          </w:tcPr>
          <w:p w14:paraId="79A5DADD">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主观分</w:t>
            </w:r>
          </w:p>
        </w:tc>
      </w:tr>
      <w:tr w14:paraId="487F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14:paraId="5FD63C9C">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14:paraId="3B02286D">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eastAsia="zh-CN"/>
              </w:rPr>
            </w:pPr>
          </w:p>
        </w:tc>
        <w:tc>
          <w:tcPr>
            <w:tcW w:w="1167" w:type="dxa"/>
            <w:tcMar>
              <w:top w:w="0" w:type="dxa"/>
              <w:left w:w="57" w:type="dxa"/>
              <w:bottom w:w="0" w:type="dxa"/>
              <w:right w:w="57" w:type="dxa"/>
            </w:tcMar>
            <w:vAlign w:val="center"/>
          </w:tcPr>
          <w:p w14:paraId="3A79138E">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（2）重大活动、节假日及各类突发事件的应急方案</w:t>
            </w:r>
          </w:p>
        </w:tc>
        <w:tc>
          <w:tcPr>
            <w:tcW w:w="5351" w:type="dxa"/>
            <w:shd w:val="clear" w:color="auto" w:fill="auto"/>
            <w:tcMar>
              <w:top w:w="0" w:type="dxa"/>
              <w:left w:w="57" w:type="dxa"/>
              <w:bottom w:w="0" w:type="dxa"/>
              <w:right w:w="57" w:type="dxa"/>
            </w:tcMar>
            <w:vAlign w:val="center"/>
          </w:tcPr>
          <w:p w14:paraId="7266C889">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根据投标人提供的重大活动、节假日、突发治安、火灾事件、处置团体事件、疫情突发等事件的应急方案，从组织机构设置、方案处置流程、处置预案、人员及设备、物资应急调配能力各方面进行比较，确定各投标人所属档次。</w:t>
            </w:r>
          </w:p>
          <w:p w14:paraId="7B829744">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一档（</w:t>
            </w: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分）：重大活动、节假日、突发治安、火灾事件、处置团体事件、疫情突发等事件的应急方案的应急方案简单，不具体。</w:t>
            </w:r>
          </w:p>
          <w:p w14:paraId="16E6BD67">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二档（</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分）：重大活动、节假日、突发治安、火灾事件、处置团体事件、疫情突发等事件的应急方案详细、具体，可行性、操作性高。人员安排、设备、响应时间等方面能较好应对突发事件。</w:t>
            </w:r>
          </w:p>
          <w:p w14:paraId="23A81A2A">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三档（1</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分）：重大活动、节假日、突发治安、火灾事件、处置团体事件、疫情突发等事件的应急方案详细、具体，可行性、操作性高。人员科学的安排、设备、响应时间等方面能高效高质的应对突发事件，能结合所属区域的实际情况作出有针对性的方案。</w:t>
            </w:r>
          </w:p>
          <w:p w14:paraId="78B41AE0">
            <w:pPr>
              <w:keepNext w:val="0"/>
              <w:keepLines w:val="0"/>
              <w:pageBreakBefore w:val="0"/>
              <w:widowControl w:val="0"/>
              <w:kinsoku/>
              <w:wordWrap/>
              <w:overflowPunct/>
              <w:topLinePunct w:val="0"/>
              <w:autoSpaceDE/>
              <w:autoSpaceDN/>
              <w:bidi w:val="0"/>
              <w:snapToGrid/>
              <w:spacing w:line="460" w:lineRule="exact"/>
              <w:ind w:firstLine="482" w:firstLineChars="20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vertAlign w:val="baseline"/>
                <w:lang w:val="en-US" w:eastAsia="zh-CN" w:bidi="ar-SA"/>
              </w:rPr>
              <w:t>注：不提供相关内容或方案或方案未达到一档要求的得0分；方案未达到对应档次的，降档得分。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14:paraId="11574854">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w:t>
            </w: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14:paraId="46C48C7E">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主观分</w:t>
            </w:r>
          </w:p>
        </w:tc>
      </w:tr>
      <w:tr w14:paraId="6530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14:paraId="3BED3771">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14:paraId="40014343">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eastAsia="zh-CN"/>
              </w:rPr>
            </w:pPr>
          </w:p>
        </w:tc>
        <w:tc>
          <w:tcPr>
            <w:tcW w:w="1167" w:type="dxa"/>
            <w:tcMar>
              <w:top w:w="0" w:type="dxa"/>
              <w:left w:w="57" w:type="dxa"/>
              <w:bottom w:w="0" w:type="dxa"/>
              <w:right w:w="57" w:type="dxa"/>
            </w:tcMar>
            <w:vAlign w:val="center"/>
          </w:tcPr>
          <w:p w14:paraId="6798E25B">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（3）人员培训方案分</w:t>
            </w:r>
          </w:p>
        </w:tc>
        <w:tc>
          <w:tcPr>
            <w:tcW w:w="5351" w:type="dxa"/>
            <w:shd w:val="clear" w:color="auto" w:fill="auto"/>
            <w:tcMar>
              <w:top w:w="0" w:type="dxa"/>
              <w:left w:w="57" w:type="dxa"/>
              <w:bottom w:w="0" w:type="dxa"/>
              <w:right w:w="57" w:type="dxa"/>
            </w:tcMar>
            <w:vAlign w:val="center"/>
          </w:tcPr>
          <w:p w14:paraId="4AF389D1">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培训内容应包含①对人员的培训计划（包含但不限于详细的培训流程），②考核方式，③言行规范，仪表仪容，④公众形象，基本技能。</w:t>
            </w:r>
          </w:p>
          <w:p w14:paraId="76F37BF5">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一档（</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分）：方案简单，亮点不多，针对性不强；</w:t>
            </w:r>
          </w:p>
          <w:p w14:paraId="3C278AB9">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二档（</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分）：方案基本完整，较为合理，基本满足本项目服务需求；</w:t>
            </w:r>
          </w:p>
          <w:p w14:paraId="220D36BD">
            <w:pPr>
              <w:keepNext w:val="0"/>
              <w:keepLines w:val="0"/>
              <w:pageBreakBefore w:val="0"/>
              <w:widowControl w:val="0"/>
              <w:kinsoku/>
              <w:wordWrap/>
              <w:overflowPunct/>
              <w:topLinePunct w:val="0"/>
              <w:autoSpaceDE/>
              <w:autoSpaceDN/>
              <w:bidi w:val="0"/>
              <w:snapToGrid/>
              <w:spacing w:line="460" w:lineRule="exact"/>
              <w:ind w:firstLine="480" w:firstLineChars="2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三档（1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分）：方案完整详细，科学合理，针对性强，适合采购人工作实际，特色和亮点多，完全满足本项目服务需求。且能提供近一年内开展的员工培训案例，提供相应证明材料。</w:t>
            </w:r>
          </w:p>
          <w:p w14:paraId="369A7464">
            <w:pPr>
              <w:keepNext w:val="0"/>
              <w:keepLines w:val="0"/>
              <w:pageBreakBefore w:val="0"/>
              <w:widowControl w:val="0"/>
              <w:kinsoku/>
              <w:wordWrap/>
              <w:overflowPunct/>
              <w:topLinePunct w:val="0"/>
              <w:autoSpaceDE/>
              <w:autoSpaceDN/>
              <w:bidi w:val="0"/>
              <w:snapToGrid/>
              <w:spacing w:line="460" w:lineRule="exact"/>
              <w:ind w:firstLine="482" w:firstLineChars="200"/>
              <w:jc w:val="both"/>
              <w:rPr>
                <w:rFonts w:hint="eastAsia" w:ascii="宋体" w:hAnsi="宋体" w:eastAsia="宋体" w:cs="宋体"/>
                <w:color w:val="auto"/>
                <w:highlight w:val="none"/>
                <w:lang w:val="en-US" w:eastAsia="zh-CN"/>
              </w:rPr>
            </w:pPr>
            <w:r>
              <w:rPr>
                <w:rFonts w:hint="eastAsia" w:ascii="宋体" w:hAnsi="宋体" w:eastAsia="宋体" w:cs="宋体"/>
                <w:b/>
                <w:bCs/>
                <w:color w:val="auto"/>
                <w:kern w:val="0"/>
                <w:sz w:val="24"/>
                <w:szCs w:val="24"/>
                <w:highlight w:val="none"/>
                <w:lang w:val="en-US" w:eastAsia="zh-CN"/>
              </w:rPr>
              <w:t>注：</w:t>
            </w:r>
            <w:r>
              <w:rPr>
                <w:rFonts w:hint="eastAsia" w:ascii="宋体" w:hAnsi="宋体" w:eastAsia="宋体" w:cs="宋体"/>
                <w:b/>
                <w:bCs/>
                <w:color w:val="auto"/>
                <w:kern w:val="2"/>
                <w:sz w:val="24"/>
                <w:szCs w:val="24"/>
                <w:highlight w:val="none"/>
                <w:vertAlign w:val="baseline"/>
                <w:lang w:val="en-US" w:eastAsia="zh-CN" w:bidi="ar-SA"/>
              </w:rPr>
              <w:t>不提供相关内容或方案或方案未达到一档要求的得0分；方案未达到对应档次的，降档得分。</w:t>
            </w:r>
          </w:p>
        </w:tc>
        <w:tc>
          <w:tcPr>
            <w:tcW w:w="1043" w:type="dxa"/>
            <w:shd w:val="clear" w:color="auto" w:fill="auto"/>
            <w:tcMar>
              <w:top w:w="0" w:type="dxa"/>
              <w:left w:w="57" w:type="dxa"/>
              <w:bottom w:w="0" w:type="dxa"/>
              <w:right w:w="57" w:type="dxa"/>
            </w:tcMar>
            <w:vAlign w:val="center"/>
          </w:tcPr>
          <w:p w14:paraId="41F17A0C">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14:paraId="32715843">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主观分</w:t>
            </w:r>
          </w:p>
        </w:tc>
      </w:tr>
      <w:tr w14:paraId="60ED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14:paraId="799F4045">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543" w:type="dxa"/>
            <w:vMerge w:val="continue"/>
            <w:tcMar>
              <w:top w:w="0" w:type="dxa"/>
              <w:left w:w="57" w:type="dxa"/>
              <w:bottom w:w="0" w:type="dxa"/>
              <w:right w:w="57" w:type="dxa"/>
            </w:tcMar>
            <w:vAlign w:val="center"/>
          </w:tcPr>
          <w:p w14:paraId="2D7458C4">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eastAsia="zh-CN"/>
              </w:rPr>
            </w:pPr>
          </w:p>
        </w:tc>
        <w:tc>
          <w:tcPr>
            <w:tcW w:w="1167" w:type="dxa"/>
            <w:shd w:val="clear" w:color="auto" w:fill="auto"/>
            <w:tcMar>
              <w:top w:w="0" w:type="dxa"/>
              <w:left w:w="57" w:type="dxa"/>
              <w:bottom w:w="0" w:type="dxa"/>
              <w:right w:w="57" w:type="dxa"/>
            </w:tcMar>
            <w:vAlign w:val="center"/>
          </w:tcPr>
          <w:p w14:paraId="585408E0">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（4）服务承诺分</w:t>
            </w:r>
          </w:p>
        </w:tc>
        <w:tc>
          <w:tcPr>
            <w:tcW w:w="5351" w:type="dxa"/>
            <w:shd w:val="clear" w:color="auto" w:fill="auto"/>
            <w:tcMar>
              <w:top w:w="0" w:type="dxa"/>
              <w:left w:w="57" w:type="dxa"/>
              <w:bottom w:w="0" w:type="dxa"/>
              <w:right w:w="57" w:type="dxa"/>
            </w:tcMar>
            <w:vAlign w:val="center"/>
          </w:tcPr>
          <w:p w14:paraId="15192689">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一档（</w:t>
            </w:r>
            <w:r>
              <w:rPr>
                <w:rFonts w:hint="eastAsia" w:ascii="宋体" w:hAnsi="宋体" w:cs="宋体"/>
                <w:b w:val="0"/>
                <w:bCs w:val="0"/>
                <w:color w:val="auto"/>
                <w:kern w:val="2"/>
                <w:sz w:val="24"/>
                <w:szCs w:val="24"/>
                <w:highlight w:val="none"/>
                <w:vertAlign w:val="baseline"/>
                <w:lang w:val="en-US" w:eastAsia="zh-CN" w:bidi="ar-SA"/>
              </w:rPr>
              <w:t>2</w:t>
            </w:r>
            <w:r>
              <w:rPr>
                <w:rFonts w:hint="eastAsia" w:ascii="宋体" w:hAnsi="宋体" w:eastAsia="宋体" w:cs="宋体"/>
                <w:b w:val="0"/>
                <w:bCs w:val="0"/>
                <w:color w:val="auto"/>
                <w:kern w:val="2"/>
                <w:sz w:val="24"/>
                <w:szCs w:val="24"/>
                <w:highlight w:val="none"/>
                <w:vertAlign w:val="baseline"/>
                <w:lang w:val="en-US" w:eastAsia="zh-CN" w:bidi="ar-SA"/>
              </w:rPr>
              <w:t>分）：服务承诺基本满足采购需求，承诺基本可行；</w:t>
            </w:r>
          </w:p>
          <w:p w14:paraId="37830026">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二档（</w:t>
            </w:r>
            <w:r>
              <w:rPr>
                <w:rFonts w:hint="eastAsia" w:ascii="宋体" w:hAnsi="宋体" w:cs="宋体"/>
                <w:b w:val="0"/>
                <w:bCs w:val="0"/>
                <w:color w:val="auto"/>
                <w:kern w:val="2"/>
                <w:sz w:val="24"/>
                <w:szCs w:val="24"/>
                <w:highlight w:val="none"/>
                <w:vertAlign w:val="baseline"/>
                <w:lang w:val="en-US" w:eastAsia="zh-CN" w:bidi="ar-SA"/>
              </w:rPr>
              <w:t>4</w:t>
            </w:r>
            <w:r>
              <w:rPr>
                <w:rFonts w:hint="eastAsia" w:ascii="宋体" w:hAnsi="宋体" w:eastAsia="宋体" w:cs="宋体"/>
                <w:b w:val="0"/>
                <w:bCs w:val="0"/>
                <w:color w:val="auto"/>
                <w:kern w:val="2"/>
                <w:sz w:val="24"/>
                <w:szCs w:val="24"/>
                <w:highlight w:val="none"/>
                <w:vertAlign w:val="baseline"/>
                <w:lang w:val="en-US" w:eastAsia="zh-CN" w:bidi="ar-SA"/>
              </w:rPr>
              <w:t>分）：服务承诺内容比较全面，满足采购需求，对服务措施、培训计划、响应时间等有较详细描述，承诺内容可行，针对性较强，进退场交接措施详细；</w:t>
            </w:r>
          </w:p>
          <w:p w14:paraId="40593914">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三档（</w:t>
            </w:r>
            <w:r>
              <w:rPr>
                <w:rFonts w:hint="eastAsia" w:ascii="宋体" w:hAnsi="宋体" w:cs="宋体"/>
                <w:b w:val="0"/>
                <w:bCs w:val="0"/>
                <w:color w:val="auto"/>
                <w:kern w:val="2"/>
                <w:sz w:val="24"/>
                <w:szCs w:val="24"/>
                <w:highlight w:val="none"/>
                <w:vertAlign w:val="baseline"/>
                <w:lang w:val="en-US" w:eastAsia="zh-CN" w:bidi="ar-SA"/>
              </w:rPr>
              <w:t>6</w:t>
            </w:r>
            <w:r>
              <w:rPr>
                <w:rFonts w:hint="eastAsia" w:ascii="宋体" w:hAnsi="宋体" w:eastAsia="宋体" w:cs="宋体"/>
                <w:b w:val="0"/>
                <w:bCs w:val="0"/>
                <w:color w:val="auto"/>
                <w:kern w:val="2"/>
                <w:sz w:val="24"/>
                <w:szCs w:val="24"/>
                <w:highlight w:val="none"/>
                <w:vertAlign w:val="baseline"/>
                <w:lang w:val="en-US" w:eastAsia="zh-CN" w:bidi="ar-SA"/>
              </w:rPr>
              <w:t>分）：在优于二档的基础上，有相应的详细的服务流程、质量服务保障措施、响应时间等，优于采购需求，针对本项目提供专门的服务支持，进退场交接措施详细、严密。服务承诺有保障，有特色，有创新，可行性强。</w:t>
            </w:r>
          </w:p>
          <w:p w14:paraId="1E151916">
            <w:pPr>
              <w:keepNext w:val="0"/>
              <w:keepLines w:val="0"/>
              <w:pageBreakBefore w:val="0"/>
              <w:widowControl w:val="0"/>
              <w:shd w:val="clear"/>
              <w:kinsoku/>
              <w:wordWrap/>
              <w:overflowPunct/>
              <w:topLinePunct w:val="0"/>
              <w:autoSpaceDE/>
              <w:autoSpaceDN/>
              <w:bidi w:val="0"/>
              <w:adjustRightInd w:val="0"/>
              <w:snapToGrid/>
              <w:spacing w:line="460" w:lineRule="exact"/>
              <w:ind w:firstLine="482"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24"/>
                <w:highlight w:val="none"/>
                <w:vertAlign w:val="baseline"/>
                <w:lang w:val="en-US" w:eastAsia="zh-CN" w:bidi="ar-SA"/>
              </w:rPr>
              <w:t>注：不提供相关内容或方案或方案未达到一档要求的得0分；方案未达到对应档次的，降档得分</w:t>
            </w:r>
            <w:r>
              <w:rPr>
                <w:rFonts w:hint="eastAsia" w:ascii="宋体" w:hAnsi="宋体" w:eastAsia="宋体" w:cs="宋体"/>
                <w:b w:val="0"/>
                <w:bCs w:val="0"/>
                <w:color w:val="auto"/>
                <w:kern w:val="2"/>
                <w:sz w:val="24"/>
                <w:szCs w:val="24"/>
                <w:highlight w:val="none"/>
                <w:vertAlign w:val="baseline"/>
                <w:lang w:val="en-US" w:eastAsia="zh-CN" w:bidi="ar-SA"/>
              </w:rPr>
              <w:t>。</w:t>
            </w:r>
          </w:p>
        </w:tc>
        <w:tc>
          <w:tcPr>
            <w:tcW w:w="1043" w:type="dxa"/>
            <w:shd w:val="clear" w:color="auto" w:fill="auto"/>
            <w:tcMar>
              <w:top w:w="0" w:type="dxa"/>
              <w:left w:w="57" w:type="dxa"/>
              <w:bottom w:w="0" w:type="dxa"/>
              <w:right w:w="57" w:type="dxa"/>
            </w:tcMar>
            <w:vAlign w:val="center"/>
          </w:tcPr>
          <w:p w14:paraId="1DF1E0B2">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分</w:t>
            </w:r>
          </w:p>
        </w:tc>
        <w:tc>
          <w:tcPr>
            <w:tcW w:w="1050" w:type="dxa"/>
            <w:shd w:val="clear" w:color="auto" w:fill="auto"/>
            <w:tcMar>
              <w:top w:w="0" w:type="dxa"/>
              <w:left w:w="57" w:type="dxa"/>
              <w:bottom w:w="0" w:type="dxa"/>
              <w:right w:w="57" w:type="dxa"/>
            </w:tcMar>
            <w:vAlign w:val="center"/>
          </w:tcPr>
          <w:p w14:paraId="302ADFA8">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主观分</w:t>
            </w:r>
          </w:p>
        </w:tc>
      </w:tr>
      <w:tr w14:paraId="1A58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tcMar>
              <w:top w:w="0" w:type="dxa"/>
              <w:left w:w="57" w:type="dxa"/>
              <w:bottom w:w="0" w:type="dxa"/>
              <w:right w:w="57" w:type="dxa"/>
            </w:tcMar>
            <w:vAlign w:val="center"/>
          </w:tcPr>
          <w:p w14:paraId="22EAB6BE">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9154" w:type="dxa"/>
            <w:gridSpan w:val="5"/>
            <w:tcMar>
              <w:top w:w="0" w:type="dxa"/>
              <w:left w:w="57" w:type="dxa"/>
              <w:bottom w:w="0" w:type="dxa"/>
              <w:right w:w="57" w:type="dxa"/>
            </w:tcMar>
            <w:vAlign w:val="center"/>
          </w:tcPr>
          <w:p w14:paraId="7E6E6BE5">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eastAsia="zh-CN"/>
              </w:rPr>
              <w:t>商务分</w:t>
            </w:r>
          </w:p>
        </w:tc>
      </w:tr>
      <w:tr w14:paraId="34E1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restart"/>
            <w:tcMar>
              <w:top w:w="0" w:type="dxa"/>
              <w:left w:w="57" w:type="dxa"/>
              <w:bottom w:w="0" w:type="dxa"/>
              <w:right w:w="57" w:type="dxa"/>
            </w:tcMar>
            <w:vAlign w:val="center"/>
          </w:tcPr>
          <w:p w14:paraId="616C90A7">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w:t>
            </w:r>
          </w:p>
        </w:tc>
        <w:tc>
          <w:tcPr>
            <w:tcW w:w="1710" w:type="dxa"/>
            <w:gridSpan w:val="2"/>
            <w:vMerge w:val="restart"/>
            <w:tcMar>
              <w:top w:w="0" w:type="dxa"/>
              <w:left w:w="57" w:type="dxa"/>
              <w:bottom w:w="0" w:type="dxa"/>
              <w:right w:w="57" w:type="dxa"/>
            </w:tcMar>
            <w:vAlign w:val="center"/>
          </w:tcPr>
          <w:p w14:paraId="16523A7E">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人员配置情况分</w:t>
            </w:r>
          </w:p>
        </w:tc>
        <w:tc>
          <w:tcPr>
            <w:tcW w:w="5351" w:type="dxa"/>
            <w:shd w:val="clear" w:color="auto" w:fill="auto"/>
            <w:tcMar>
              <w:top w:w="0" w:type="dxa"/>
              <w:left w:w="57" w:type="dxa"/>
              <w:bottom w:w="0" w:type="dxa"/>
              <w:right w:w="57" w:type="dxa"/>
            </w:tcMar>
            <w:vAlign w:val="center"/>
          </w:tcPr>
          <w:p w14:paraId="16D7F7A9">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（1）根据各投标人的人员配置情况确定各投标人所属档次，然后评委在相应档次内独立打分。（需要在投标文件中提供相关的保安员证复印件、退伍军人证书，否则不进档评分）</w:t>
            </w:r>
          </w:p>
          <w:p w14:paraId="509F77F3">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一档（3分）：各岗管理人员安排基本满足要求，有简单的岗位设置。安保人员具有《保安员证》。</w:t>
            </w:r>
          </w:p>
          <w:p w14:paraId="7D5E3E35">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二档（6分）：各岗管理人员安排满足要求，岗位设置合理，服务人员的素质基本满足采购需求。安保人员具有《保安员证》。拟投入的安保人员50%以上有退伍军人证。</w:t>
            </w:r>
          </w:p>
          <w:p w14:paraId="0E8EB005">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三档（9分）：各岗管理人员安排满足要求，安保人员具有《保安员证》， 岗位设置针对性强，服务人员的素质完全满足采购需求。拟投入的安保人员80%有退伍军人证。</w:t>
            </w:r>
          </w:p>
        </w:tc>
        <w:tc>
          <w:tcPr>
            <w:tcW w:w="1043" w:type="dxa"/>
            <w:shd w:val="clear" w:color="auto" w:fill="auto"/>
            <w:tcMar>
              <w:top w:w="0" w:type="dxa"/>
              <w:left w:w="57" w:type="dxa"/>
              <w:bottom w:w="0" w:type="dxa"/>
              <w:right w:w="57" w:type="dxa"/>
            </w:tcMar>
            <w:vAlign w:val="center"/>
          </w:tcPr>
          <w:p w14:paraId="3C047D66">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9分</w:t>
            </w:r>
          </w:p>
        </w:tc>
        <w:tc>
          <w:tcPr>
            <w:tcW w:w="1050" w:type="dxa"/>
            <w:shd w:val="clear" w:color="auto" w:fill="auto"/>
            <w:tcMar>
              <w:top w:w="0" w:type="dxa"/>
              <w:left w:w="57" w:type="dxa"/>
              <w:bottom w:w="0" w:type="dxa"/>
              <w:right w:w="57" w:type="dxa"/>
            </w:tcMar>
            <w:vAlign w:val="center"/>
          </w:tcPr>
          <w:p w14:paraId="62C16635">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主</w:t>
            </w:r>
            <w:r>
              <w:rPr>
                <w:rFonts w:hint="eastAsia" w:ascii="宋体" w:hAnsi="宋体" w:eastAsia="宋体" w:cs="宋体"/>
                <w:color w:val="auto"/>
                <w:sz w:val="24"/>
                <w:szCs w:val="24"/>
                <w:highlight w:val="none"/>
                <w:vertAlign w:val="baseline"/>
                <w:lang w:val="en-US" w:eastAsia="zh-CN"/>
              </w:rPr>
              <w:t>观分</w:t>
            </w:r>
          </w:p>
        </w:tc>
      </w:tr>
      <w:tr w14:paraId="772C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14:paraId="6D17B867">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710" w:type="dxa"/>
            <w:gridSpan w:val="2"/>
            <w:vMerge w:val="continue"/>
            <w:tcMar>
              <w:top w:w="0" w:type="dxa"/>
              <w:left w:w="57" w:type="dxa"/>
              <w:bottom w:w="0" w:type="dxa"/>
              <w:right w:w="57" w:type="dxa"/>
            </w:tcMar>
            <w:vAlign w:val="center"/>
          </w:tcPr>
          <w:p w14:paraId="5902242B">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5351" w:type="dxa"/>
            <w:shd w:val="clear" w:color="auto" w:fill="auto"/>
            <w:tcMar>
              <w:top w:w="0" w:type="dxa"/>
              <w:left w:w="57" w:type="dxa"/>
              <w:bottom w:w="0" w:type="dxa"/>
              <w:right w:w="57" w:type="dxa"/>
            </w:tcMar>
            <w:vAlign w:val="center"/>
          </w:tcPr>
          <w:p w14:paraId="44F30772">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（2）投标人拟投入项目经理的加</w:t>
            </w:r>
            <w:r>
              <w:rPr>
                <w:rFonts w:hint="eastAsia" w:ascii="宋体" w:hAnsi="宋体" w:cs="宋体"/>
                <w:b w:val="0"/>
                <w:bCs w:val="0"/>
                <w:color w:val="auto"/>
                <w:kern w:val="2"/>
                <w:sz w:val="24"/>
                <w:szCs w:val="24"/>
                <w:highlight w:val="none"/>
                <w:vertAlign w:val="baseline"/>
                <w:lang w:val="en-US" w:eastAsia="zh-CN" w:bidi="ar-SA"/>
              </w:rPr>
              <w:t>0.5</w:t>
            </w:r>
            <w:r>
              <w:rPr>
                <w:rFonts w:hint="eastAsia" w:ascii="宋体" w:hAnsi="宋体" w:eastAsia="宋体" w:cs="宋体"/>
                <w:b w:val="0"/>
                <w:bCs w:val="0"/>
                <w:color w:val="auto"/>
                <w:kern w:val="2"/>
                <w:sz w:val="24"/>
                <w:szCs w:val="24"/>
                <w:highlight w:val="none"/>
                <w:vertAlign w:val="baseline"/>
                <w:lang w:val="en-US" w:eastAsia="zh-CN" w:bidi="ar-SA"/>
              </w:rPr>
              <w:t>分，项目经理具有保安员二级以上（含二级）加</w:t>
            </w:r>
            <w:r>
              <w:rPr>
                <w:rFonts w:hint="eastAsia" w:ascii="宋体" w:hAnsi="宋体" w:cs="宋体"/>
                <w:b w:val="0"/>
                <w:bCs w:val="0"/>
                <w:color w:val="auto"/>
                <w:kern w:val="2"/>
                <w:sz w:val="24"/>
                <w:szCs w:val="24"/>
                <w:highlight w:val="none"/>
                <w:vertAlign w:val="baseline"/>
                <w:lang w:val="en-US" w:eastAsia="zh-CN" w:bidi="ar-SA"/>
              </w:rPr>
              <w:t>0.5</w:t>
            </w:r>
            <w:r>
              <w:rPr>
                <w:rFonts w:hint="eastAsia" w:ascii="宋体" w:hAnsi="宋体" w:eastAsia="宋体" w:cs="宋体"/>
                <w:b w:val="0"/>
                <w:bCs w:val="0"/>
                <w:color w:val="auto"/>
                <w:kern w:val="2"/>
                <w:sz w:val="24"/>
                <w:szCs w:val="24"/>
                <w:highlight w:val="none"/>
                <w:vertAlign w:val="baseline"/>
                <w:lang w:val="en-US" w:eastAsia="zh-CN" w:bidi="ar-SA"/>
              </w:rPr>
              <w:t>分，有退伍军人证书加1分，专科以上（含专科）学历加0.5分，本科以上（含本科）学历的加1分；满分3分。（需提供以上要求的相关证书复印件，及投标人2026年1月以来为其依法缴纳至少1个月社保的证明材料，否则不予计分）</w:t>
            </w:r>
          </w:p>
        </w:tc>
        <w:tc>
          <w:tcPr>
            <w:tcW w:w="1043" w:type="dxa"/>
            <w:shd w:val="clear" w:color="auto" w:fill="auto"/>
            <w:tcMar>
              <w:top w:w="0" w:type="dxa"/>
              <w:left w:w="57" w:type="dxa"/>
              <w:bottom w:w="0" w:type="dxa"/>
              <w:right w:w="57" w:type="dxa"/>
            </w:tcMar>
            <w:vAlign w:val="center"/>
          </w:tcPr>
          <w:p w14:paraId="27654E41">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3分</w:t>
            </w:r>
          </w:p>
        </w:tc>
        <w:tc>
          <w:tcPr>
            <w:tcW w:w="1050" w:type="dxa"/>
            <w:shd w:val="clear" w:color="auto" w:fill="auto"/>
            <w:tcMar>
              <w:top w:w="0" w:type="dxa"/>
              <w:left w:w="57" w:type="dxa"/>
              <w:bottom w:w="0" w:type="dxa"/>
              <w:right w:w="57" w:type="dxa"/>
            </w:tcMar>
            <w:vAlign w:val="center"/>
          </w:tcPr>
          <w:p w14:paraId="5658C833">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客观分</w:t>
            </w:r>
          </w:p>
        </w:tc>
      </w:tr>
      <w:tr w14:paraId="177F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14:paraId="18742DE1">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710" w:type="dxa"/>
            <w:gridSpan w:val="2"/>
            <w:vMerge w:val="continue"/>
            <w:tcMar>
              <w:top w:w="0" w:type="dxa"/>
              <w:left w:w="57" w:type="dxa"/>
              <w:bottom w:w="0" w:type="dxa"/>
              <w:right w:w="57" w:type="dxa"/>
            </w:tcMar>
            <w:vAlign w:val="center"/>
          </w:tcPr>
          <w:p w14:paraId="69E92224">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5351" w:type="dxa"/>
            <w:shd w:val="clear" w:color="auto" w:fill="auto"/>
            <w:tcMar>
              <w:top w:w="0" w:type="dxa"/>
              <w:left w:w="57" w:type="dxa"/>
              <w:bottom w:w="0" w:type="dxa"/>
              <w:right w:w="57" w:type="dxa"/>
            </w:tcMar>
            <w:vAlign w:val="center"/>
          </w:tcPr>
          <w:p w14:paraId="140F33EF">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投标人拟投入安保人员具有初级保安员，每人得0.2分，最多得1分；具有中级保安员证，每人得0.3分，最多得1.5分；具有高级保安员证，每人0.4分，最多得2分；具有保安师证，每人0.5分，最多得1.5分；具有高级保安师证，每人1分，最多得1分（需提供以上要求的相关证书复印件，及投标人2026年1月以来为其依法缴纳至少1个月社保的证明材料，否则不予计分）</w:t>
            </w:r>
          </w:p>
        </w:tc>
        <w:tc>
          <w:tcPr>
            <w:tcW w:w="1043" w:type="dxa"/>
            <w:shd w:val="clear" w:color="auto" w:fill="auto"/>
            <w:tcMar>
              <w:top w:w="0" w:type="dxa"/>
              <w:left w:w="57" w:type="dxa"/>
              <w:bottom w:w="0" w:type="dxa"/>
              <w:right w:w="57" w:type="dxa"/>
            </w:tcMar>
            <w:vAlign w:val="center"/>
          </w:tcPr>
          <w:p w14:paraId="61020852">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7分</w:t>
            </w:r>
          </w:p>
        </w:tc>
        <w:tc>
          <w:tcPr>
            <w:tcW w:w="1050" w:type="dxa"/>
            <w:shd w:val="clear" w:color="auto" w:fill="auto"/>
            <w:tcMar>
              <w:top w:w="0" w:type="dxa"/>
              <w:left w:w="57" w:type="dxa"/>
              <w:bottom w:w="0" w:type="dxa"/>
              <w:right w:w="57" w:type="dxa"/>
            </w:tcMar>
            <w:vAlign w:val="center"/>
          </w:tcPr>
          <w:p w14:paraId="21583647">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客观分</w:t>
            </w:r>
          </w:p>
        </w:tc>
      </w:tr>
      <w:tr w14:paraId="49AA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shd w:val="clear" w:color="auto" w:fill="auto"/>
            <w:tcMar>
              <w:top w:w="0" w:type="dxa"/>
              <w:left w:w="57" w:type="dxa"/>
              <w:bottom w:w="0" w:type="dxa"/>
              <w:right w:w="57" w:type="dxa"/>
            </w:tcMar>
            <w:vAlign w:val="center"/>
          </w:tcPr>
          <w:p w14:paraId="7DB66E85">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3.2</w:t>
            </w:r>
          </w:p>
        </w:tc>
        <w:tc>
          <w:tcPr>
            <w:tcW w:w="1710" w:type="dxa"/>
            <w:gridSpan w:val="2"/>
            <w:shd w:val="clear" w:color="auto" w:fill="auto"/>
            <w:tcMar>
              <w:top w:w="0" w:type="dxa"/>
              <w:left w:w="57" w:type="dxa"/>
              <w:bottom w:w="0" w:type="dxa"/>
              <w:right w:w="57" w:type="dxa"/>
            </w:tcMar>
            <w:vAlign w:val="center"/>
          </w:tcPr>
          <w:p w14:paraId="5CB21B46">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人员风险保障配置</w:t>
            </w:r>
          </w:p>
        </w:tc>
        <w:tc>
          <w:tcPr>
            <w:tcW w:w="5351" w:type="dxa"/>
            <w:shd w:val="clear" w:color="auto" w:fill="auto"/>
            <w:tcMar>
              <w:top w:w="0" w:type="dxa"/>
              <w:left w:w="57" w:type="dxa"/>
              <w:bottom w:w="0" w:type="dxa"/>
              <w:right w:w="57" w:type="dxa"/>
            </w:tcMar>
            <w:vAlign w:val="center"/>
          </w:tcPr>
          <w:p w14:paraId="71159BA0">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1.供应商承诺为本项目派驻全体安保人员统一投保雇主责任险，身故伤残责任保额不低于20万元/人、医疗费用责任保额不低于2万元/人，满足基础要求得1分。</w:t>
            </w:r>
          </w:p>
          <w:p w14:paraId="3B6DEEE4">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2.在上述最低保额基础上，身故伤残责任保额每增加20万元/人，加1分，本项累计加分最高4分，保额超过100万元/人不再额外加分。</w:t>
            </w:r>
          </w:p>
          <w:p w14:paraId="19CE04C7">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注：投标文件中须附投保承诺函</w:t>
            </w:r>
            <w:r>
              <w:rPr>
                <w:rFonts w:hint="eastAsia" w:ascii="宋体" w:hAnsi="宋体" w:cs="宋体"/>
                <w:b w:val="0"/>
                <w:bCs w:val="0"/>
                <w:color w:val="auto"/>
                <w:kern w:val="2"/>
                <w:sz w:val="24"/>
                <w:szCs w:val="24"/>
                <w:highlight w:val="none"/>
                <w:vertAlign w:val="baseline"/>
                <w:lang w:val="en-US" w:eastAsia="zh-CN" w:bidi="ar-SA"/>
              </w:rPr>
              <w:t>（格式自拟）</w:t>
            </w:r>
            <w:r>
              <w:rPr>
                <w:rFonts w:hint="eastAsia" w:ascii="宋体" w:hAnsi="宋体" w:eastAsia="宋体" w:cs="宋体"/>
                <w:b w:val="0"/>
                <w:bCs w:val="0"/>
                <w:color w:val="auto"/>
                <w:kern w:val="2"/>
                <w:sz w:val="24"/>
                <w:szCs w:val="24"/>
                <w:highlight w:val="none"/>
                <w:vertAlign w:val="baseline"/>
                <w:lang w:val="en-US" w:eastAsia="zh-CN" w:bidi="ar-SA"/>
              </w:rPr>
              <w:t>，未提供的，本项不予计分。中标后供应商须向采购人提供《雇主责任险》合同复印件或保单、购买保险发票等复印件并加盖单位公章，提供原件核查，否则按虚假应标处理。</w:t>
            </w:r>
          </w:p>
        </w:tc>
        <w:tc>
          <w:tcPr>
            <w:tcW w:w="1043" w:type="dxa"/>
            <w:shd w:val="clear" w:color="auto" w:fill="auto"/>
            <w:tcMar>
              <w:top w:w="0" w:type="dxa"/>
              <w:left w:w="57" w:type="dxa"/>
              <w:bottom w:w="0" w:type="dxa"/>
              <w:right w:w="57" w:type="dxa"/>
            </w:tcMar>
            <w:vAlign w:val="center"/>
          </w:tcPr>
          <w:p w14:paraId="24DCFADD">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5分</w:t>
            </w:r>
          </w:p>
        </w:tc>
        <w:tc>
          <w:tcPr>
            <w:tcW w:w="1050" w:type="dxa"/>
            <w:shd w:val="clear" w:color="auto" w:fill="auto"/>
            <w:tcMar>
              <w:top w:w="0" w:type="dxa"/>
              <w:left w:w="57" w:type="dxa"/>
              <w:bottom w:w="0" w:type="dxa"/>
              <w:right w:w="57" w:type="dxa"/>
            </w:tcMar>
            <w:vAlign w:val="center"/>
          </w:tcPr>
          <w:p w14:paraId="016DD629">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客观分</w:t>
            </w:r>
          </w:p>
        </w:tc>
      </w:tr>
      <w:tr w14:paraId="21E1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tcMar>
              <w:top w:w="0" w:type="dxa"/>
              <w:left w:w="57" w:type="dxa"/>
              <w:bottom w:w="0" w:type="dxa"/>
              <w:right w:w="57" w:type="dxa"/>
            </w:tcMar>
            <w:vAlign w:val="center"/>
          </w:tcPr>
          <w:p w14:paraId="678394B8">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w:t>
            </w:r>
          </w:p>
        </w:tc>
        <w:tc>
          <w:tcPr>
            <w:tcW w:w="1710" w:type="dxa"/>
            <w:gridSpan w:val="2"/>
            <w:tcMar>
              <w:top w:w="0" w:type="dxa"/>
              <w:left w:w="57" w:type="dxa"/>
              <w:bottom w:w="0" w:type="dxa"/>
              <w:right w:w="57" w:type="dxa"/>
            </w:tcMar>
            <w:vAlign w:val="center"/>
          </w:tcPr>
          <w:p w14:paraId="79EC02B3">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业绩分</w:t>
            </w:r>
          </w:p>
        </w:tc>
        <w:tc>
          <w:tcPr>
            <w:tcW w:w="5351" w:type="dxa"/>
            <w:shd w:val="clear" w:color="auto" w:fill="auto"/>
            <w:tcMar>
              <w:top w:w="0" w:type="dxa"/>
              <w:left w:w="57" w:type="dxa"/>
              <w:bottom w:w="0" w:type="dxa"/>
              <w:right w:w="57" w:type="dxa"/>
            </w:tcMar>
            <w:vAlign w:val="center"/>
          </w:tcPr>
          <w:p w14:paraId="742D8D71">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投标人自2021年1月以来（含1月）接的同类安保项目业绩，有1-10个得1分，有11-20个得3分，有20个或以上的得5分（提供对应的同类安保项目业绩合同关键页扫描件、合同期内其中一个月的发票凭证扫描件，考核评价表扫描件，否则不计分）；</w:t>
            </w:r>
          </w:p>
          <w:p w14:paraId="39E5D5F7">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2.上述业绩的服务考核评价为优或者满意调查度为优的，每个得0.5分，满分3分（提供对应的同类安保项目考核评价表扫描件，否则不计分）。</w:t>
            </w:r>
          </w:p>
          <w:p w14:paraId="14EF9395">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注：</w:t>
            </w:r>
            <w:r>
              <w:rPr>
                <w:rFonts w:hint="eastAsia" w:ascii="宋体" w:hAnsi="宋体" w:eastAsia="宋体" w:cs="宋体"/>
                <w:b/>
                <w:bCs/>
                <w:color w:val="auto"/>
                <w:kern w:val="2"/>
                <w:sz w:val="24"/>
                <w:szCs w:val="24"/>
                <w:highlight w:val="none"/>
                <w:vertAlign w:val="baseline"/>
                <w:lang w:val="en-US" w:eastAsia="zh-CN" w:bidi="ar-SA"/>
              </w:rPr>
              <w:t>同类安保项目指包括但不限于国家机关、事业单位和团体组织的安保项目。</w:t>
            </w:r>
          </w:p>
        </w:tc>
        <w:tc>
          <w:tcPr>
            <w:tcW w:w="1043" w:type="dxa"/>
            <w:shd w:val="clear" w:color="auto" w:fill="auto"/>
            <w:tcMar>
              <w:top w:w="0" w:type="dxa"/>
              <w:left w:w="57" w:type="dxa"/>
              <w:bottom w:w="0" w:type="dxa"/>
              <w:right w:w="57" w:type="dxa"/>
            </w:tcMar>
            <w:vAlign w:val="center"/>
          </w:tcPr>
          <w:p w14:paraId="542A3F75">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8分</w:t>
            </w:r>
          </w:p>
        </w:tc>
        <w:tc>
          <w:tcPr>
            <w:tcW w:w="1050" w:type="dxa"/>
            <w:shd w:val="clear" w:color="auto" w:fill="auto"/>
            <w:tcMar>
              <w:top w:w="0" w:type="dxa"/>
              <w:left w:w="57" w:type="dxa"/>
              <w:bottom w:w="0" w:type="dxa"/>
              <w:right w:w="57" w:type="dxa"/>
            </w:tcMar>
            <w:vAlign w:val="center"/>
          </w:tcPr>
          <w:p w14:paraId="70E41BC2">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客观分</w:t>
            </w:r>
          </w:p>
        </w:tc>
      </w:tr>
      <w:tr w14:paraId="7D01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restart"/>
            <w:tcMar>
              <w:top w:w="0" w:type="dxa"/>
              <w:left w:w="57" w:type="dxa"/>
              <w:bottom w:w="0" w:type="dxa"/>
              <w:right w:w="57" w:type="dxa"/>
            </w:tcMar>
            <w:vAlign w:val="center"/>
          </w:tcPr>
          <w:p w14:paraId="44001A66">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w:t>
            </w:r>
          </w:p>
        </w:tc>
        <w:tc>
          <w:tcPr>
            <w:tcW w:w="1710" w:type="dxa"/>
            <w:gridSpan w:val="2"/>
            <w:vMerge w:val="restart"/>
            <w:tcMar>
              <w:top w:w="0" w:type="dxa"/>
              <w:left w:w="57" w:type="dxa"/>
              <w:bottom w:w="0" w:type="dxa"/>
              <w:right w:w="57" w:type="dxa"/>
            </w:tcMar>
            <w:vAlign w:val="center"/>
          </w:tcPr>
          <w:p w14:paraId="1E971F5F">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信誉分</w:t>
            </w:r>
          </w:p>
        </w:tc>
        <w:tc>
          <w:tcPr>
            <w:tcW w:w="5351" w:type="dxa"/>
            <w:shd w:val="clear" w:color="auto" w:fill="auto"/>
            <w:tcMar>
              <w:top w:w="0" w:type="dxa"/>
              <w:left w:w="57" w:type="dxa"/>
              <w:bottom w:w="0" w:type="dxa"/>
              <w:right w:w="57" w:type="dxa"/>
            </w:tcMar>
            <w:vAlign w:val="center"/>
          </w:tcPr>
          <w:p w14:paraId="15DDB195">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投标人</w:t>
            </w:r>
            <w:r>
              <w:rPr>
                <w:rFonts w:hint="eastAsia" w:ascii="宋体" w:hAnsi="宋体" w:eastAsia="宋体" w:cs="宋体"/>
                <w:b w:val="0"/>
                <w:bCs w:val="0"/>
                <w:color w:val="auto"/>
                <w:kern w:val="2"/>
                <w:sz w:val="24"/>
                <w:szCs w:val="24"/>
                <w:highlight w:val="none"/>
                <w:vertAlign w:val="baseline"/>
                <w:lang w:val="en-US" w:eastAsia="zh-CN" w:bidi="ar-SA"/>
              </w:rPr>
              <w:t>通过保安服务认证得1分。需提供相关证书复印件并加盖单位公章。</w:t>
            </w:r>
          </w:p>
        </w:tc>
        <w:tc>
          <w:tcPr>
            <w:tcW w:w="1043" w:type="dxa"/>
            <w:shd w:val="clear" w:color="auto" w:fill="auto"/>
            <w:tcMar>
              <w:top w:w="0" w:type="dxa"/>
              <w:left w:w="57" w:type="dxa"/>
              <w:bottom w:w="0" w:type="dxa"/>
              <w:right w:w="57" w:type="dxa"/>
            </w:tcMar>
            <w:vAlign w:val="center"/>
          </w:tcPr>
          <w:p w14:paraId="3E7664DA">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1分</w:t>
            </w:r>
          </w:p>
        </w:tc>
        <w:tc>
          <w:tcPr>
            <w:tcW w:w="1050" w:type="dxa"/>
            <w:shd w:val="clear" w:color="auto" w:fill="auto"/>
            <w:tcMar>
              <w:top w:w="0" w:type="dxa"/>
              <w:left w:w="57" w:type="dxa"/>
              <w:bottom w:w="0" w:type="dxa"/>
              <w:right w:w="57" w:type="dxa"/>
            </w:tcMar>
            <w:vAlign w:val="center"/>
          </w:tcPr>
          <w:p w14:paraId="078D5ABF">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客观分</w:t>
            </w:r>
          </w:p>
        </w:tc>
      </w:tr>
      <w:tr w14:paraId="4224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Mar>
              <w:top w:w="0" w:type="dxa"/>
              <w:left w:w="57" w:type="dxa"/>
              <w:bottom w:w="0" w:type="dxa"/>
              <w:right w:w="57" w:type="dxa"/>
            </w:tcMar>
            <w:vAlign w:val="center"/>
          </w:tcPr>
          <w:p w14:paraId="3F591BD2">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710" w:type="dxa"/>
            <w:gridSpan w:val="2"/>
            <w:vMerge w:val="continue"/>
            <w:tcMar>
              <w:top w:w="0" w:type="dxa"/>
              <w:left w:w="57" w:type="dxa"/>
              <w:bottom w:w="0" w:type="dxa"/>
              <w:right w:w="57" w:type="dxa"/>
            </w:tcMar>
            <w:vAlign w:val="center"/>
          </w:tcPr>
          <w:p w14:paraId="184F85D6">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p>
        </w:tc>
        <w:tc>
          <w:tcPr>
            <w:tcW w:w="5351" w:type="dxa"/>
            <w:shd w:val="clear" w:color="auto" w:fill="auto"/>
            <w:tcMar>
              <w:top w:w="0" w:type="dxa"/>
              <w:left w:w="57" w:type="dxa"/>
              <w:bottom w:w="0" w:type="dxa"/>
              <w:right w:w="57" w:type="dxa"/>
            </w:tcMar>
            <w:vAlign w:val="center"/>
          </w:tcPr>
          <w:p w14:paraId="4AB80A9E">
            <w:pPr>
              <w:keepNext w:val="0"/>
              <w:keepLines w:val="0"/>
              <w:pageBreakBefore w:val="0"/>
              <w:widowControl w:val="0"/>
              <w:shd w:val="clea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投标人或拟投入的安保服务人员获得安保行业相关荣誉证书的，每项得0.5分，满分2分</w:t>
            </w:r>
          </w:p>
        </w:tc>
        <w:tc>
          <w:tcPr>
            <w:tcW w:w="1043" w:type="dxa"/>
            <w:shd w:val="clear" w:color="auto" w:fill="auto"/>
            <w:tcMar>
              <w:top w:w="0" w:type="dxa"/>
              <w:left w:w="57" w:type="dxa"/>
              <w:bottom w:w="0" w:type="dxa"/>
              <w:right w:w="57" w:type="dxa"/>
            </w:tcMar>
            <w:vAlign w:val="center"/>
          </w:tcPr>
          <w:p w14:paraId="4E7A66A0">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2分</w:t>
            </w:r>
          </w:p>
        </w:tc>
        <w:tc>
          <w:tcPr>
            <w:tcW w:w="1050" w:type="dxa"/>
            <w:shd w:val="clear" w:color="auto" w:fill="auto"/>
            <w:tcMar>
              <w:top w:w="0" w:type="dxa"/>
              <w:left w:w="57" w:type="dxa"/>
              <w:bottom w:w="0" w:type="dxa"/>
              <w:right w:w="57" w:type="dxa"/>
            </w:tcMar>
            <w:vAlign w:val="center"/>
          </w:tcPr>
          <w:p w14:paraId="62F1F7B9">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客观分</w:t>
            </w:r>
          </w:p>
        </w:tc>
      </w:tr>
      <w:tr w14:paraId="06A1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0" w:type="dxa"/>
            <w:gridSpan w:val="6"/>
            <w:tcMar>
              <w:top w:w="0" w:type="dxa"/>
              <w:left w:w="57" w:type="dxa"/>
              <w:bottom w:w="0" w:type="dxa"/>
              <w:right w:w="57" w:type="dxa"/>
            </w:tcMar>
            <w:vAlign w:val="center"/>
          </w:tcPr>
          <w:p w14:paraId="2A546BBD">
            <w:pPr>
              <w:keepNext w:val="0"/>
              <w:keepLines w:val="0"/>
              <w:pageBreakBefore w:val="0"/>
              <w:widowControl w:val="0"/>
              <w:shd w:val="clear"/>
              <w:kinsoku/>
              <w:wordWrap/>
              <w:overflowPunct/>
              <w:topLinePunct w:val="0"/>
              <w:autoSpaceDE/>
              <w:autoSpaceDN/>
              <w:bidi w:val="0"/>
              <w:adjustRightInd w:val="0"/>
              <w:snapToGrid/>
              <w:spacing w:line="460" w:lineRule="exact"/>
              <w:ind w:firstLine="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总得分=1+2+3</w:t>
            </w:r>
          </w:p>
        </w:tc>
      </w:tr>
    </w:tbl>
    <w:p w14:paraId="6F34A685">
      <w:pPr>
        <w:pStyle w:val="4"/>
        <w:rPr>
          <w:color w:val="auto"/>
          <w:highlight w:val="none"/>
          <w:lang w:val="en-US"/>
        </w:rPr>
      </w:pPr>
    </w:p>
    <w:p w14:paraId="0307D15E">
      <w:pPr>
        <w:snapToGrid w:val="0"/>
        <w:spacing w:line="360" w:lineRule="auto"/>
        <w:ind w:firstLine="400" w:firstLineChars="200"/>
        <w:rPr>
          <w:rFonts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2633AACC">
      <w:pPr>
        <w:snapToGrid w:val="0"/>
        <w:spacing w:line="360" w:lineRule="auto"/>
        <w:rPr>
          <w:rFonts w:ascii="宋体" w:hAnsi="宋体" w:cs="宋体"/>
          <w:b/>
          <w:color w:val="auto"/>
          <w:sz w:val="28"/>
          <w:szCs w:val="28"/>
          <w:highlight w:val="none"/>
        </w:rPr>
      </w:pPr>
      <w:r>
        <w:rPr>
          <w:rFonts w:hint="eastAsia" w:ascii="宋体" w:hAnsi="宋体" w:cs="宋体"/>
          <w:color w:val="auto"/>
          <w:sz w:val="24"/>
          <w:highlight w:val="none"/>
        </w:rPr>
        <w:t> </w:t>
      </w:r>
      <w:r>
        <w:rPr>
          <w:rFonts w:hint="eastAsia" w:ascii="宋体" w:hAnsi="宋体" w:cs="宋体"/>
          <w:b/>
          <w:color w:val="auto"/>
          <w:sz w:val="32"/>
          <w:highlight w:val="none"/>
        </w:rPr>
        <w:t>一、评标方法</w:t>
      </w:r>
    </w:p>
    <w:p w14:paraId="7664144E">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14:paraId="63CEEECE">
      <w:pPr>
        <w:adjustRightInd/>
        <w:spacing w:line="360" w:lineRule="auto"/>
        <w:ind w:firstLine="480" w:firstLineChars="200"/>
        <w:rPr>
          <w:rFonts w:ascii="宋体" w:hAnsi="宋体" w:cs="宋体"/>
          <w:color w:val="auto"/>
          <w:kern w:val="0"/>
          <w:sz w:val="24"/>
          <w:highlight w:val="none"/>
        </w:rPr>
      </w:pPr>
      <w:sdt>
        <w:sdtPr>
          <w:rPr>
            <w:rFonts w:hint="eastAsia" w:ascii="宋体" w:hAnsi="宋体" w:cs="宋体"/>
            <w:color w:val="auto"/>
            <w:kern w:val="0"/>
            <w:sz w:val="24"/>
            <w:highlight w:val="none"/>
          </w:rPr>
          <w:id w:val="-74749234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E61B933">
      <w:pPr>
        <w:adjustRightInd/>
        <w:spacing w:line="360" w:lineRule="auto"/>
        <w:ind w:firstLine="480" w:firstLineChars="200"/>
        <w:rPr>
          <w:rFonts w:ascii="宋体" w:hAnsi="宋体" w:cs="宋体"/>
          <w:b/>
          <w:color w:val="auto"/>
          <w:kern w:val="0"/>
          <w:sz w:val="24"/>
          <w:highlight w:val="none"/>
        </w:rPr>
      </w:pPr>
      <w:sdt>
        <w:sdtPr>
          <w:rPr>
            <w:rFonts w:hint="eastAsia" w:ascii="宋体" w:hAnsi="宋体" w:cs="宋体"/>
            <w:color w:val="auto"/>
            <w:kern w:val="0"/>
            <w:sz w:val="24"/>
            <w:highlight w:val="none"/>
          </w:rPr>
          <w:id w:val="-46134223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14:paraId="4E703EE6">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14:paraId="0AE27CEE">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14:paraId="35391405">
      <w:pPr>
        <w:spacing w:line="360" w:lineRule="auto"/>
        <w:outlineLvl w:val="1"/>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44284FF0">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C9A750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4DD030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4085980B">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58C57BA">
      <w:pPr>
        <w:pStyle w:val="130"/>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5700DC16">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08D0416">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0393B786">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482DF4BC">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0DA7BED8">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31F18CE">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6B6E7DC7">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1A9C230C">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3.4.4政府采购异常低价审查：</w:t>
      </w:r>
    </w:p>
    <w:p w14:paraId="372507F8">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3.4.4.1按照《关于推动解决政府采购异常低价问题的通知》（财库〔2026〕2号）有关规定，本项目评审中出现下列情形之一的，评标委员会应当启动异常低价投标审查程序：</w:t>
      </w:r>
    </w:p>
    <w:p w14:paraId="3853D445">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（1）投标报价低于全部通过符合性审查供应商投标报价平均值50%的，即投标报价&lt;全部通过符合性审查供应商投标报价平均值×50%；</w:t>
      </w:r>
    </w:p>
    <w:p w14:paraId="61E96E8C">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（2）投标报价低于通过符合性审查的次低报价供应商投标报价50%的，即投标报价&lt;通过符合性审查的次低报价供应商投标报价×50%；</w:t>
      </w:r>
    </w:p>
    <w:p w14:paraId="64B07B8A">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（3）投标报价低于采购项目最高限价45%的，即投标报价&lt;采购项目最高限价×45%；</w:t>
      </w:r>
    </w:p>
    <w:p w14:paraId="041349B9">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（4）评标委员会基于专业判断，认为供应商报价过低，有可能影响产品质量或者不能诚信履约的其他情形。</w:t>
      </w:r>
    </w:p>
    <w:p w14:paraId="4A9A4E15">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按照规定，采购人可以结合具体项目实际情况，提高上述第（1）项至第（3）项中启动异常低价投标审查的数值标准，但是最高不得超过65%，本项目采购人决定将上述（1）（2）（3）数值标准分别确定为</w:t>
      </w:r>
      <w:r>
        <w:rPr>
          <w:rFonts w:hint="eastAsia" w:ascii="宋体" w:hAnsi="宋体" w:cs="宋体"/>
          <w:color w:val="auto"/>
          <w:kern w:val="0"/>
          <w:szCs w:val="24"/>
          <w:highlight w:val="none"/>
          <w:u w:val="single"/>
        </w:rPr>
        <w:t>50%</w:t>
      </w:r>
      <w:r>
        <w:rPr>
          <w:rFonts w:hint="eastAsia" w:ascii="宋体" w:hAnsi="宋体" w:cs="宋体"/>
          <w:color w:val="auto"/>
          <w:kern w:val="0"/>
          <w:szCs w:val="24"/>
          <w:highlight w:val="none"/>
        </w:rPr>
        <w:t>，</w:t>
      </w:r>
      <w:r>
        <w:rPr>
          <w:rFonts w:hint="eastAsia" w:ascii="宋体" w:hAnsi="宋体" w:cs="宋体"/>
          <w:color w:val="auto"/>
          <w:kern w:val="0"/>
          <w:szCs w:val="24"/>
          <w:highlight w:val="none"/>
          <w:u w:val="single"/>
        </w:rPr>
        <w:t>50%</w:t>
      </w:r>
      <w:r>
        <w:rPr>
          <w:rFonts w:hint="eastAsia" w:ascii="宋体" w:hAnsi="宋体" w:cs="宋体"/>
          <w:color w:val="auto"/>
          <w:kern w:val="0"/>
          <w:szCs w:val="24"/>
          <w:highlight w:val="none"/>
        </w:rPr>
        <w:t>，</w:t>
      </w:r>
      <w:r>
        <w:rPr>
          <w:rFonts w:hint="eastAsia" w:ascii="宋体" w:hAnsi="宋体" w:cs="宋体"/>
          <w:color w:val="auto"/>
          <w:kern w:val="0"/>
          <w:szCs w:val="24"/>
          <w:highlight w:val="none"/>
          <w:u w:val="single"/>
        </w:rPr>
        <w:t>45%</w:t>
      </w:r>
      <w:r>
        <w:rPr>
          <w:rFonts w:hint="eastAsia" w:ascii="宋体" w:hAnsi="宋体" w:cs="宋体"/>
          <w:color w:val="auto"/>
          <w:kern w:val="0"/>
          <w:szCs w:val="24"/>
          <w:highlight w:val="none"/>
        </w:rPr>
        <w:t>。</w:t>
      </w:r>
      <w:r>
        <w:rPr>
          <w:rFonts w:hint="eastAsia" w:ascii="宋体" w:hAnsi="宋体" w:cs="宋体"/>
          <w:color w:val="auto"/>
          <w:kern w:val="0"/>
          <w:highlight w:val="none"/>
        </w:rPr>
        <w:t>采购项目未设定最高限价的，审查时取项目预算金额作为最高限价。</w:t>
      </w:r>
    </w:p>
    <w:p w14:paraId="3135C3D2">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CDF97E5">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293A731">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1702F9A">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异常低价投标审查的启动原因、审查意见和审查结果应当在评审报告中记录，并随供应商提供的相关书面说明及证明材料，以及评标委员会有关互联网浏览、查询历史一并归档。</w:t>
      </w:r>
    </w:p>
    <w:p w14:paraId="1CE06339">
      <w:pPr>
        <w:pStyle w:val="13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23722854">
      <w:pPr>
        <w:spacing w:line="360" w:lineRule="auto"/>
        <w:ind w:firstLine="480" w:firstLineChars="200"/>
        <w:rPr>
          <w:rFonts w:ascii="宋体" w:hAnsi="宋体" w:cs="宋体"/>
          <w:color w:val="auto"/>
          <w:sz w:val="24"/>
          <w:highlight w:val="none"/>
        </w:rPr>
      </w:pPr>
      <w:bookmarkStart w:id="411" w:name="OLE_LINK9"/>
      <w:bookmarkStart w:id="412" w:name="OLE_LINK10"/>
      <w:r>
        <w:rPr>
          <w:rFonts w:hint="eastAsia" w:ascii="宋体" w:hAnsi="宋体" w:cs="宋体"/>
          <w:color w:val="auto"/>
          <w:kern w:val="0"/>
          <w:sz w:val="24"/>
          <w:highlight w:val="none"/>
        </w:rPr>
        <w:t>3.4.6</w:t>
      </w:r>
      <w:r>
        <w:rPr>
          <w:rFonts w:hint="eastAsia" w:ascii="宋体" w:hAnsi="宋体" w:cs="宋体"/>
          <w:color w:val="auto"/>
          <w:sz w:val="24"/>
          <w:highlight w:val="none"/>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298A09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48C8F9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拟享受该政策的，应当对其提供的产品出具《关于符合本国产品标准的声明函》或财政部会同有关部门规定的有关证明文件，否则视为非本国产品，不能享受本国产品价格扣除政策。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否则不能享受本国产品价格扣除政策。</w:t>
      </w:r>
    </w:p>
    <w:p w14:paraId="62D660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投标人提供的产品同时满足《国务院办公厅关于在政府采购中实施本国产品标准及相关政策的通知》（国办发〔2025〕34号）和《政府采购促进中小企业发展管理办法》（财库〔2020〕46号）有关规定的，叠加享受本国产品价格扣除和小微企业产品价格扣除政策。</w:t>
      </w:r>
    </w:p>
    <w:bookmarkEnd w:id="411"/>
    <w:bookmarkEnd w:id="412"/>
    <w:p w14:paraId="290E2CF5">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189AB309">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79F2AD30">
      <w:pPr>
        <w:pStyle w:val="84"/>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46D192A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C7E8B57">
      <w:pPr>
        <w:widowControl/>
        <w:shd w:val="clear" w:color="auto" w:fill="FFFFFF"/>
        <w:adjustRightInd/>
        <w:spacing w:after="225" w:line="315" w:lineRule="atLeast"/>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A98C5E7">
      <w:pPr>
        <w:pStyle w:val="130"/>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FE9E2A9">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5C9AFD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25AF6D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8536BA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379A128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68B055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46376013">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17373B5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7810BC8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4.2.8投标报价属于招标文件规定的政府采购异常低价情形之一，且投标人不能提供书面说明、证明材料，或者提供的书面说明、证明材料不能证明其报价合理性的</w:t>
      </w:r>
      <w:r>
        <w:rPr>
          <w:rFonts w:hint="eastAsia" w:ascii="宋体" w:hAnsi="宋体" w:cs="宋体"/>
          <w:color w:val="auto"/>
          <w:sz w:val="24"/>
          <w:szCs w:val="21"/>
          <w:highlight w:val="none"/>
        </w:rPr>
        <w:t>;</w:t>
      </w:r>
    </w:p>
    <w:p w14:paraId="72D097D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608716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752BFFEA">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4A26ACF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3BCA40C4">
      <w:pPr>
        <w:pStyle w:val="84"/>
        <w:rPr>
          <w:b/>
          <w:bCs/>
          <w:color w:val="auto"/>
          <w:highlight w:val="none"/>
        </w:rPr>
      </w:pPr>
      <w:r>
        <w:rPr>
          <w:rFonts w:hint="eastAsia"/>
          <w:color w:val="auto"/>
          <w:highlight w:val="none"/>
        </w:rPr>
        <w:t>4.2.13 投标文件不满足招标文件的其它实质性要求的；</w:t>
      </w:r>
    </w:p>
    <w:p w14:paraId="7E584884">
      <w:pPr>
        <w:pStyle w:val="84"/>
        <w:rPr>
          <w:rFonts w:cs="宋体"/>
          <w:color w:val="auto"/>
          <w:highlight w:val="none"/>
        </w:rPr>
      </w:pPr>
      <w:r>
        <w:rPr>
          <w:rFonts w:hint="eastAsia"/>
          <w:color w:val="auto"/>
          <w:highlight w:val="none"/>
        </w:rPr>
        <w:t>4.2.14</w:t>
      </w:r>
      <w:r>
        <w:rPr>
          <w:rFonts w:hint="eastAsia" w:cs="宋体"/>
          <w:color w:val="auto"/>
          <w:highlight w:val="none"/>
        </w:rPr>
        <w:t>投标人存在下列情形之一且无法合理解释的：（1</w:t>
      </w:r>
      <w:r>
        <w:rPr>
          <w:rFonts w:cs="宋体"/>
          <w:color w:val="auto"/>
          <w:highlight w:val="none"/>
        </w:rPr>
        <w:t>）</w:t>
      </w:r>
      <w:r>
        <w:rPr>
          <w:rFonts w:hint="eastAsia" w:cs="宋体"/>
          <w:color w:val="auto"/>
          <w:highlight w:val="none"/>
        </w:rPr>
        <w:t>不同投标人的电子投标文件上传计算机的网卡MAC 地址或硬盘序列号等硬件信息相同的；（2）上传的电子投标文件若出现使用本项目其他投标人的数字证书加密的，或者加盖本项目其他投标人的电子印章的；（3）不同投标人的投标文件的内容存在3 处（含）以上错误一致的；（4）不同投标人联系人为同一人或不同联系人的联系电话一致的。</w:t>
      </w:r>
    </w:p>
    <w:p w14:paraId="4977486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4.2.15法律、法规、规章（适用本市的）及省级以上规范性文件（适用本市的）规定的其他无效情形。</w:t>
      </w:r>
    </w:p>
    <w:p w14:paraId="5D008E48">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5885775">
      <w:pPr>
        <w:pStyle w:val="2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368F556B">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14:paraId="4065E15D">
      <w:pPr>
        <w:pStyle w:val="2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5B34015">
      <w:pPr>
        <w:pStyle w:val="26"/>
        <w:snapToGrid w:val="0"/>
        <w:spacing w:line="360" w:lineRule="auto"/>
        <w:rPr>
          <w:rFonts w:cs="宋体"/>
          <w:color w:val="auto"/>
          <w:highlight w:val="none"/>
        </w:rPr>
      </w:pPr>
      <w:r>
        <w:rPr>
          <w:rFonts w:hint="eastAsia" w:cs="宋体"/>
          <w:color w:val="auto"/>
          <w:highlight w:val="none"/>
        </w:rPr>
        <w:t>5.4因重大变故，采购任务取消的。</w:t>
      </w:r>
    </w:p>
    <w:p w14:paraId="0DCD0094">
      <w:pPr>
        <w:pStyle w:val="26"/>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219F8114">
      <w:pPr>
        <w:pStyle w:val="2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C0B7B25">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2010C034">
      <w:pPr>
        <w:pStyle w:val="2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03132D0A">
      <w:pPr>
        <w:pStyle w:val="2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36A742F3">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9E8211B">
      <w:pPr>
        <w:pStyle w:val="2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3235041">
      <w:pPr>
        <w:pStyle w:val="2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5CC0A5BC">
      <w:pPr>
        <w:pStyle w:val="84"/>
        <w:ind w:firstLine="0"/>
        <w:rPr>
          <w:b/>
          <w:color w:val="auto"/>
          <w:sz w:val="32"/>
          <w:szCs w:val="32"/>
          <w:highlight w:val="none"/>
        </w:rPr>
      </w:pPr>
      <w:r>
        <w:rPr>
          <w:rFonts w:hint="eastAsia"/>
          <w:b/>
          <w:color w:val="auto"/>
          <w:sz w:val="32"/>
          <w:szCs w:val="32"/>
          <w:highlight w:val="none"/>
        </w:rPr>
        <w:t>五、评审过程的保密与录像</w:t>
      </w:r>
    </w:p>
    <w:p w14:paraId="3867C70F">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02D6D8EA">
      <w:pPr>
        <w:pStyle w:val="26"/>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p w14:paraId="0F0F7932">
      <w:pPr>
        <w:pStyle w:val="26"/>
        <w:snapToGrid w:val="0"/>
        <w:spacing w:line="360" w:lineRule="auto"/>
        <w:ind w:firstLine="0" w:firstLineChars="0"/>
        <w:rPr>
          <w:rFonts w:cs="宋体"/>
          <w:color w:val="auto"/>
          <w:highlight w:val="none"/>
        </w:rPr>
      </w:pPr>
    </w:p>
    <w:bookmarkEnd w:id="43"/>
    <w:p w14:paraId="09359BDE">
      <w:pPr>
        <w:spacing w:line="360" w:lineRule="auto"/>
        <w:ind w:left="720" w:leftChars="343" w:firstLine="1084" w:firstLineChars="300"/>
        <w:rPr>
          <w:rFonts w:ascii="宋体" w:hAnsi="宋体" w:cs="宋体"/>
          <w:b/>
          <w:color w:val="auto"/>
          <w:sz w:val="36"/>
          <w:szCs w:val="36"/>
          <w:highlight w:val="none"/>
        </w:rPr>
      </w:pPr>
      <w:bookmarkStart w:id="413" w:name="第五部分"/>
      <w:bookmarkStart w:id="414" w:name="_Toc86217003"/>
    </w:p>
    <w:p w14:paraId="3AF6DB97">
      <w:pPr>
        <w:spacing w:line="360" w:lineRule="auto"/>
        <w:ind w:left="720" w:leftChars="343"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310AAD68">
      <w:pPr>
        <w:spacing w:line="360" w:lineRule="auto"/>
        <w:ind w:left="720" w:leftChars="343" w:firstLine="1084" w:firstLineChars="300"/>
        <w:rPr>
          <w:rFonts w:ascii="宋体" w:hAnsi="宋体" w:cs="宋体"/>
          <w:b/>
          <w:color w:val="auto"/>
          <w:sz w:val="36"/>
          <w:szCs w:val="36"/>
          <w:highlight w:val="none"/>
        </w:rPr>
      </w:pPr>
    </w:p>
    <w:p w14:paraId="49AE26A0">
      <w:pPr>
        <w:spacing w:line="360" w:lineRule="auto"/>
        <w:ind w:left="720" w:leftChars="343" w:firstLine="1084" w:firstLineChars="300"/>
        <w:rPr>
          <w:rFonts w:ascii="宋体" w:hAnsi="宋体" w:cs="宋体"/>
          <w:b/>
          <w:color w:val="auto"/>
          <w:sz w:val="36"/>
          <w:szCs w:val="36"/>
          <w:highlight w:val="none"/>
        </w:rPr>
      </w:pPr>
    </w:p>
    <w:p w14:paraId="0F49D070">
      <w:pPr>
        <w:widowControl/>
        <w:adjustRightInd/>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14:paraId="051D53D1">
      <w:pPr>
        <w:spacing w:line="360" w:lineRule="auto"/>
        <w:ind w:left="720" w:leftChars="343" w:firstLine="1084" w:firstLineChars="300"/>
        <w:outlineLvl w:val="0"/>
        <w:rPr>
          <w:rFonts w:ascii="宋体" w:hAnsi="宋体" w:cs="宋体"/>
          <w:b/>
          <w:color w:val="auto"/>
          <w:sz w:val="36"/>
          <w:szCs w:val="36"/>
          <w:highlight w:val="none"/>
        </w:rPr>
      </w:pPr>
      <w:bookmarkStart w:id="415" w:name="_Toc176368906"/>
      <w:r>
        <w:rPr>
          <w:rFonts w:hint="eastAsia" w:ascii="宋体" w:hAnsi="宋体" w:cs="宋体"/>
          <w:b/>
          <w:color w:val="auto"/>
          <w:sz w:val="36"/>
          <w:szCs w:val="36"/>
          <w:highlight w:val="none"/>
        </w:rPr>
        <w:t>第五部分 拟签订的合同文本</w:t>
      </w:r>
      <w:bookmarkEnd w:id="415"/>
    </w:p>
    <w:p w14:paraId="67226446">
      <w:pPr>
        <w:spacing w:line="480" w:lineRule="auto"/>
        <w:jc w:val="center"/>
        <w:rPr>
          <w:rFonts w:ascii="宋体" w:hAnsi="宋体" w:cs="宋体"/>
          <w:b/>
          <w:color w:val="auto"/>
          <w:sz w:val="28"/>
          <w:szCs w:val="28"/>
          <w:highlight w:val="none"/>
        </w:rPr>
      </w:pPr>
    </w:p>
    <w:p w14:paraId="5C7D2BBA">
      <w:pPr>
        <w:jc w:val="center"/>
        <w:rPr>
          <w:rFonts w:hint="eastAsia" w:ascii="宋体" w:hAnsi="宋体"/>
          <w:b/>
          <w:color w:val="auto"/>
          <w:sz w:val="52"/>
          <w:szCs w:val="52"/>
          <w:highlight w:val="none"/>
        </w:rPr>
      </w:pPr>
    </w:p>
    <w:p w14:paraId="2F41D885">
      <w:pPr>
        <w:jc w:val="center"/>
        <w:rPr>
          <w:rFonts w:hint="eastAsia" w:ascii="宋体" w:hAnsi="宋体"/>
          <w:b/>
          <w:color w:val="auto"/>
          <w:sz w:val="52"/>
          <w:szCs w:val="52"/>
          <w:highlight w:val="none"/>
        </w:rPr>
      </w:pPr>
    </w:p>
    <w:p w14:paraId="4A74DAFC">
      <w:pPr>
        <w:jc w:val="center"/>
        <w:rPr>
          <w:rFonts w:hint="eastAsia" w:ascii="宋体" w:hAnsi="宋体"/>
          <w:b/>
          <w:color w:val="auto"/>
          <w:sz w:val="52"/>
          <w:szCs w:val="52"/>
          <w:highlight w:val="none"/>
        </w:rPr>
      </w:pPr>
    </w:p>
    <w:p w14:paraId="56B27B4B">
      <w:pPr>
        <w:jc w:val="center"/>
        <w:rPr>
          <w:rFonts w:ascii="宋体" w:hAnsi="宋体"/>
          <w:b/>
          <w:color w:val="auto"/>
          <w:sz w:val="52"/>
          <w:szCs w:val="52"/>
          <w:highlight w:val="none"/>
        </w:rPr>
      </w:pPr>
      <w:r>
        <w:rPr>
          <w:rFonts w:hint="eastAsia" w:ascii="宋体" w:hAnsi="宋体"/>
          <w:b/>
          <w:color w:val="auto"/>
          <w:sz w:val="52"/>
          <w:szCs w:val="52"/>
          <w:highlight w:val="none"/>
        </w:rPr>
        <w:t>北海市政府采购合同</w:t>
      </w:r>
    </w:p>
    <w:p w14:paraId="6D497EA8">
      <w:pPr>
        <w:rPr>
          <w:rFonts w:ascii="宋体" w:hAnsi="宋体"/>
          <w:color w:val="auto"/>
          <w:szCs w:val="20"/>
          <w:highlight w:val="none"/>
        </w:rPr>
      </w:pPr>
    </w:p>
    <w:p w14:paraId="3F2981C0">
      <w:pPr>
        <w:rPr>
          <w:rFonts w:ascii="宋体" w:hAnsi="宋体"/>
          <w:color w:val="auto"/>
          <w:szCs w:val="20"/>
          <w:highlight w:val="none"/>
        </w:rPr>
      </w:pPr>
    </w:p>
    <w:p w14:paraId="1DF5B52F">
      <w:pPr>
        <w:rPr>
          <w:rFonts w:ascii="宋体" w:hAnsi="宋体"/>
          <w:color w:val="auto"/>
          <w:szCs w:val="20"/>
          <w:highlight w:val="none"/>
        </w:rPr>
      </w:pPr>
    </w:p>
    <w:p w14:paraId="4DE3BCD1">
      <w:pPr>
        <w:rPr>
          <w:rFonts w:ascii="宋体" w:hAnsi="宋体"/>
          <w:color w:val="auto"/>
          <w:szCs w:val="20"/>
          <w:highlight w:val="none"/>
        </w:rPr>
      </w:pPr>
    </w:p>
    <w:p w14:paraId="4F73A8FF">
      <w:pPr>
        <w:ind w:firstLine="1606" w:firstLineChars="500"/>
        <w:rPr>
          <w:rFonts w:ascii="宋体" w:hAnsi="宋体"/>
          <w:b/>
          <w:color w:val="auto"/>
          <w:sz w:val="32"/>
          <w:szCs w:val="32"/>
          <w:highlight w:val="none"/>
          <w:u w:val="single"/>
        </w:rPr>
      </w:pPr>
      <w:r>
        <w:rPr>
          <w:rFonts w:hint="eastAsia" w:ascii="宋体" w:hAnsi="宋体"/>
          <w:b/>
          <w:color w:val="auto"/>
          <w:sz w:val="32"/>
          <w:szCs w:val="32"/>
          <w:highlight w:val="none"/>
        </w:rPr>
        <w:t>合同名称：</w:t>
      </w:r>
      <w:r>
        <w:rPr>
          <w:rFonts w:ascii="宋体" w:hAnsi="宋体"/>
          <w:b/>
          <w:color w:val="auto"/>
          <w:sz w:val="32"/>
          <w:szCs w:val="32"/>
          <w:highlight w:val="none"/>
          <w:u w:val="single"/>
        </w:rPr>
        <w:t xml:space="preserve">                            </w:t>
      </w:r>
    </w:p>
    <w:p w14:paraId="4097F1E3">
      <w:pPr>
        <w:ind w:firstLine="1606" w:firstLineChars="500"/>
        <w:rPr>
          <w:rFonts w:ascii="宋体" w:hAnsi="宋体"/>
          <w:b/>
          <w:color w:val="auto"/>
          <w:sz w:val="32"/>
          <w:szCs w:val="32"/>
          <w:highlight w:val="none"/>
          <w:u w:val="single"/>
        </w:rPr>
      </w:pPr>
      <w:r>
        <w:rPr>
          <w:rFonts w:hint="eastAsia" w:ascii="宋体" w:hAnsi="宋体"/>
          <w:b/>
          <w:color w:val="auto"/>
          <w:sz w:val="32"/>
          <w:szCs w:val="32"/>
          <w:highlight w:val="none"/>
        </w:rPr>
        <w:t>合同编号：</w:t>
      </w:r>
      <w:r>
        <w:rPr>
          <w:rFonts w:hint="eastAsia" w:ascii="宋体" w:hAnsi="宋体"/>
          <w:b/>
          <w:color w:val="auto"/>
          <w:sz w:val="32"/>
          <w:szCs w:val="32"/>
          <w:highlight w:val="none"/>
          <w:u w:val="single"/>
        </w:rPr>
        <w:t xml:space="preserve">                            </w:t>
      </w:r>
    </w:p>
    <w:p w14:paraId="10B3FBFB">
      <w:pPr>
        <w:jc w:val="center"/>
        <w:rPr>
          <w:rFonts w:ascii="宋体" w:hAnsi="宋体"/>
          <w:color w:val="auto"/>
          <w:szCs w:val="20"/>
          <w:highlight w:val="none"/>
        </w:rPr>
      </w:pPr>
    </w:p>
    <w:p w14:paraId="2A575CF9">
      <w:pPr>
        <w:jc w:val="center"/>
        <w:rPr>
          <w:rFonts w:ascii="宋体" w:hAnsi="宋体"/>
          <w:color w:val="auto"/>
          <w:szCs w:val="20"/>
          <w:highlight w:val="none"/>
        </w:rPr>
      </w:pPr>
    </w:p>
    <w:p w14:paraId="73D49A18">
      <w:pPr>
        <w:jc w:val="center"/>
        <w:rPr>
          <w:rFonts w:ascii="宋体" w:hAnsi="宋体"/>
          <w:color w:val="auto"/>
          <w:szCs w:val="20"/>
          <w:highlight w:val="none"/>
        </w:rPr>
      </w:pPr>
    </w:p>
    <w:p w14:paraId="2A991627">
      <w:pPr>
        <w:spacing w:line="340" w:lineRule="exact"/>
        <w:ind w:firstLine="1590" w:firstLineChars="495"/>
        <w:rPr>
          <w:rFonts w:ascii="宋体" w:hAnsi="宋体"/>
          <w:b/>
          <w:color w:val="auto"/>
          <w:sz w:val="32"/>
          <w:szCs w:val="32"/>
          <w:highlight w:val="none"/>
          <w:u w:val="single"/>
        </w:rPr>
      </w:pPr>
      <w:r>
        <w:rPr>
          <w:rFonts w:hint="eastAsia" w:ascii="宋体" w:hAnsi="宋体"/>
          <w:b/>
          <w:color w:val="auto"/>
          <w:sz w:val="32"/>
          <w:szCs w:val="32"/>
          <w:highlight w:val="none"/>
        </w:rPr>
        <w:t>采购人（甲方）：</w:t>
      </w:r>
      <w:r>
        <w:rPr>
          <w:rFonts w:hint="eastAsia" w:ascii="宋体" w:hAnsi="宋体"/>
          <w:b/>
          <w:color w:val="auto"/>
          <w:sz w:val="32"/>
          <w:szCs w:val="32"/>
          <w:highlight w:val="none"/>
          <w:u w:val="single"/>
        </w:rPr>
        <w:t>北海市教育局</w:t>
      </w:r>
    </w:p>
    <w:p w14:paraId="537CEFAD">
      <w:pPr>
        <w:spacing w:line="340" w:lineRule="exact"/>
        <w:ind w:firstLine="1590" w:firstLineChars="495"/>
        <w:rPr>
          <w:rFonts w:ascii="宋体" w:hAnsi="宋体"/>
          <w:b/>
          <w:color w:val="auto"/>
          <w:sz w:val="32"/>
          <w:szCs w:val="32"/>
          <w:highlight w:val="none"/>
        </w:rPr>
      </w:pPr>
    </w:p>
    <w:p w14:paraId="39EBFBE5">
      <w:pPr>
        <w:spacing w:line="360" w:lineRule="auto"/>
        <w:ind w:left="3965" w:leftChars="741" w:hanging="2409" w:hangingChars="750"/>
        <w:rPr>
          <w:rFonts w:ascii="宋体" w:hAnsi="宋体"/>
          <w:b/>
          <w:color w:val="auto"/>
          <w:sz w:val="32"/>
          <w:szCs w:val="32"/>
          <w:highlight w:val="none"/>
          <w:u w:val="single"/>
        </w:rPr>
      </w:pPr>
      <w:r>
        <w:rPr>
          <w:rFonts w:hint="eastAsia" w:ascii="宋体" w:hAnsi="宋体"/>
          <w:b/>
          <w:color w:val="auto"/>
          <w:sz w:val="32"/>
          <w:szCs w:val="32"/>
          <w:highlight w:val="none"/>
        </w:rPr>
        <w:t>供应商（乙方）：</w:t>
      </w:r>
      <w:r>
        <w:rPr>
          <w:rFonts w:hint="eastAsia" w:ascii="宋体" w:hAnsi="宋体"/>
          <w:b/>
          <w:color w:val="auto"/>
          <w:sz w:val="32"/>
          <w:szCs w:val="32"/>
          <w:highlight w:val="none"/>
          <w:u w:val="single"/>
        </w:rPr>
        <w:t xml:space="preserve">                       </w:t>
      </w:r>
    </w:p>
    <w:p w14:paraId="1D324008">
      <w:pPr>
        <w:spacing w:before="312" w:beforeLines="100" w:line="360" w:lineRule="auto"/>
        <w:ind w:left="3965" w:leftChars="741" w:hanging="2409" w:hangingChars="750"/>
        <w:jc w:val="left"/>
        <w:rPr>
          <w:rFonts w:ascii="宋体" w:hAnsi="宋体"/>
          <w:b/>
          <w:color w:val="auto"/>
          <w:sz w:val="32"/>
          <w:szCs w:val="32"/>
          <w:highlight w:val="none"/>
          <w:u w:val="single"/>
        </w:rPr>
      </w:pPr>
      <w:r>
        <w:rPr>
          <w:rFonts w:hint="eastAsia" w:ascii="宋体" w:hAnsi="宋体"/>
          <w:b/>
          <w:color w:val="auto"/>
          <w:sz w:val="32"/>
          <w:szCs w:val="32"/>
          <w:highlight w:val="none"/>
        </w:rPr>
        <w:t>使用方（丙方）：</w:t>
      </w:r>
      <w:r>
        <w:rPr>
          <w:rFonts w:hint="eastAsia" w:ascii="宋体" w:hAnsi="宋体"/>
          <w:b/>
          <w:color w:val="auto"/>
          <w:sz w:val="32"/>
          <w:szCs w:val="32"/>
          <w:highlight w:val="none"/>
          <w:u w:val="single"/>
        </w:rPr>
        <w:t xml:space="preserve">                       </w:t>
      </w:r>
    </w:p>
    <w:p w14:paraId="597E46AA">
      <w:pPr>
        <w:jc w:val="center"/>
        <w:rPr>
          <w:rFonts w:ascii="宋体" w:hAnsi="宋体"/>
          <w:color w:val="auto"/>
          <w:szCs w:val="20"/>
          <w:highlight w:val="none"/>
        </w:rPr>
      </w:pPr>
    </w:p>
    <w:p w14:paraId="5ED0BFA2">
      <w:pPr>
        <w:jc w:val="center"/>
        <w:rPr>
          <w:rFonts w:ascii="宋体" w:hAnsi="宋体"/>
          <w:color w:val="auto"/>
          <w:szCs w:val="20"/>
          <w:highlight w:val="none"/>
        </w:rPr>
      </w:pPr>
    </w:p>
    <w:p w14:paraId="05501FBB">
      <w:pPr>
        <w:jc w:val="center"/>
        <w:rPr>
          <w:rFonts w:ascii="宋体" w:hAnsi="宋体"/>
          <w:color w:val="auto"/>
          <w:szCs w:val="20"/>
          <w:highlight w:val="none"/>
        </w:rPr>
      </w:pPr>
    </w:p>
    <w:p w14:paraId="6AD0BEE5">
      <w:pPr>
        <w:ind w:firstLine="1590" w:firstLineChars="495"/>
        <w:rPr>
          <w:rFonts w:ascii="宋体" w:hAnsi="宋体"/>
          <w:b/>
          <w:color w:val="auto"/>
          <w:sz w:val="32"/>
          <w:szCs w:val="32"/>
          <w:highlight w:val="none"/>
          <w:u w:val="single"/>
        </w:rPr>
      </w:pPr>
      <w:r>
        <w:rPr>
          <w:rFonts w:hint="eastAsia" w:ascii="宋体" w:hAnsi="宋体"/>
          <w:b/>
          <w:color w:val="auto"/>
          <w:sz w:val="32"/>
          <w:szCs w:val="32"/>
          <w:highlight w:val="none"/>
        </w:rPr>
        <w:t>签订合同地点：</w:t>
      </w:r>
      <w:r>
        <w:rPr>
          <w:rFonts w:hint="eastAsia" w:ascii="宋体" w:hAnsi="宋体"/>
          <w:b/>
          <w:color w:val="auto"/>
          <w:sz w:val="32"/>
          <w:szCs w:val="32"/>
          <w:highlight w:val="none"/>
          <w:u w:val="single"/>
        </w:rPr>
        <w:t xml:space="preserve">   </w:t>
      </w:r>
      <w:r>
        <w:rPr>
          <w:rFonts w:hint="eastAsia" w:ascii="宋体" w:hAnsi="宋体"/>
          <w:bCs/>
          <w:color w:val="auto"/>
          <w:sz w:val="32"/>
          <w:szCs w:val="32"/>
          <w:highlight w:val="none"/>
          <w:u w:val="single"/>
        </w:rPr>
        <w:t xml:space="preserve">北海市教育局  </w:t>
      </w:r>
      <w:r>
        <w:rPr>
          <w:rFonts w:hint="eastAsia" w:ascii="宋体" w:hAnsi="宋体"/>
          <w:b/>
          <w:color w:val="auto"/>
          <w:sz w:val="32"/>
          <w:szCs w:val="32"/>
          <w:highlight w:val="none"/>
          <w:u w:val="single"/>
        </w:rPr>
        <w:t xml:space="preserve">  </w:t>
      </w:r>
    </w:p>
    <w:p w14:paraId="2D329304">
      <w:pPr>
        <w:ind w:firstLine="1590" w:firstLineChars="495"/>
        <w:rPr>
          <w:rFonts w:ascii="宋体" w:hAnsi="宋体"/>
          <w:b/>
          <w:color w:val="auto"/>
          <w:sz w:val="32"/>
          <w:szCs w:val="32"/>
          <w:highlight w:val="none"/>
        </w:rPr>
      </w:pPr>
      <w:r>
        <w:rPr>
          <w:rFonts w:hint="eastAsia" w:ascii="宋体" w:hAnsi="宋体"/>
          <w:b/>
          <w:color w:val="auto"/>
          <w:sz w:val="32"/>
          <w:szCs w:val="32"/>
          <w:highlight w:val="none"/>
        </w:rPr>
        <w:t>签订合同时间：</w:t>
      </w:r>
      <w:r>
        <w:rPr>
          <w:rFonts w:hint="eastAsia" w:ascii="宋体" w:hAnsi="宋体"/>
          <w:b/>
          <w:color w:val="auto"/>
          <w:sz w:val="32"/>
          <w:szCs w:val="32"/>
          <w:highlight w:val="none"/>
          <w:u w:val="single"/>
        </w:rPr>
        <w:t xml:space="preserve">    </w:t>
      </w:r>
      <w:r>
        <w:rPr>
          <w:rFonts w:hint="eastAsia" w:ascii="宋体" w:hAnsi="宋体"/>
          <w:bCs/>
          <w:color w:val="auto"/>
          <w:sz w:val="32"/>
          <w:szCs w:val="32"/>
          <w:highlight w:val="none"/>
          <w:u w:val="single"/>
        </w:rPr>
        <w:t xml:space="preserve">年  月  日    </w:t>
      </w:r>
      <w:r>
        <w:rPr>
          <w:rFonts w:hint="eastAsia" w:ascii="宋体" w:hAnsi="宋体"/>
          <w:b/>
          <w:color w:val="auto"/>
          <w:sz w:val="32"/>
          <w:szCs w:val="32"/>
          <w:highlight w:val="none"/>
          <w:u w:val="single"/>
        </w:rPr>
        <w:t xml:space="preserve"> </w:t>
      </w:r>
    </w:p>
    <w:p w14:paraId="0594ACF8">
      <w:pPr>
        <w:jc w:val="center"/>
        <w:rPr>
          <w:rFonts w:ascii="宋体" w:hAnsi="宋体"/>
          <w:color w:val="auto"/>
          <w:szCs w:val="20"/>
          <w:highlight w:val="none"/>
        </w:rPr>
      </w:pPr>
      <w:r>
        <w:rPr>
          <w:rFonts w:hint="eastAsia" w:ascii="宋体" w:hAnsi="宋体"/>
          <w:color w:val="auto"/>
          <w:szCs w:val="20"/>
          <w:highlight w:val="none"/>
        </w:rPr>
        <w:t xml:space="preserve"> </w:t>
      </w:r>
    </w:p>
    <w:p w14:paraId="4F035180">
      <w:pPr>
        <w:jc w:val="center"/>
        <w:rPr>
          <w:rFonts w:ascii="宋体" w:hAnsi="宋体"/>
          <w:color w:val="auto"/>
          <w:szCs w:val="20"/>
          <w:highlight w:val="none"/>
        </w:rPr>
      </w:pPr>
    </w:p>
    <w:p w14:paraId="2CAE9A5B">
      <w:pPr>
        <w:jc w:val="center"/>
        <w:rPr>
          <w:rFonts w:ascii="宋体" w:hAnsi="宋体"/>
          <w:color w:val="auto"/>
          <w:szCs w:val="20"/>
          <w:highlight w:val="none"/>
        </w:rPr>
      </w:pPr>
    </w:p>
    <w:p w14:paraId="31A88E54">
      <w:pPr>
        <w:jc w:val="center"/>
        <w:rPr>
          <w:rFonts w:ascii="宋体" w:hAnsi="宋体"/>
          <w:color w:val="auto"/>
          <w:szCs w:val="20"/>
          <w:highlight w:val="none"/>
        </w:rPr>
      </w:pPr>
    </w:p>
    <w:p w14:paraId="40FC6A0A">
      <w:pPr>
        <w:jc w:val="center"/>
        <w:rPr>
          <w:rFonts w:ascii="宋体" w:hAnsi="宋体"/>
          <w:color w:val="auto"/>
          <w:szCs w:val="20"/>
          <w:highlight w:val="none"/>
        </w:rPr>
      </w:pPr>
    </w:p>
    <w:p w14:paraId="6C8ECDE5">
      <w:pPr>
        <w:jc w:val="center"/>
        <w:rPr>
          <w:rFonts w:ascii="宋体" w:hAnsi="宋体"/>
          <w:color w:val="auto"/>
          <w:szCs w:val="20"/>
          <w:highlight w:val="none"/>
        </w:rPr>
      </w:pPr>
    </w:p>
    <w:p w14:paraId="4821079E">
      <w:pPr>
        <w:jc w:val="center"/>
        <w:rPr>
          <w:rFonts w:ascii="宋体" w:hAnsi="宋体"/>
          <w:color w:val="auto"/>
          <w:szCs w:val="20"/>
          <w:highlight w:val="none"/>
        </w:rPr>
      </w:pPr>
    </w:p>
    <w:p w14:paraId="2730A7AA">
      <w:pPr>
        <w:jc w:val="center"/>
        <w:rPr>
          <w:rFonts w:ascii="宋体" w:hAnsi="宋体"/>
          <w:color w:val="auto"/>
          <w:szCs w:val="20"/>
          <w:highlight w:val="none"/>
        </w:rPr>
      </w:pPr>
    </w:p>
    <w:p w14:paraId="3FC923EC">
      <w:pPr>
        <w:spacing w:line="300" w:lineRule="auto"/>
        <w:ind w:left="420" w:hanging="420"/>
        <w:jc w:val="center"/>
        <w:rPr>
          <w:rFonts w:ascii="黑体" w:hAnsi="宋体" w:eastAsia="黑体"/>
          <w:b/>
          <w:color w:val="auto"/>
          <w:kern w:val="0"/>
          <w:sz w:val="32"/>
          <w:szCs w:val="32"/>
          <w:highlight w:val="none"/>
        </w:rPr>
      </w:pPr>
    </w:p>
    <w:p w14:paraId="354EF278">
      <w:pPr>
        <w:spacing w:line="300" w:lineRule="auto"/>
        <w:ind w:left="420" w:hanging="420"/>
        <w:jc w:val="center"/>
        <w:rPr>
          <w:rFonts w:ascii="黑体" w:hAnsi="宋体" w:eastAsia="黑体"/>
          <w:b/>
          <w:color w:val="auto"/>
          <w:kern w:val="0"/>
          <w:sz w:val="32"/>
          <w:szCs w:val="32"/>
          <w:highlight w:val="none"/>
        </w:rPr>
      </w:pPr>
    </w:p>
    <w:p w14:paraId="37B766A2">
      <w:pPr>
        <w:spacing w:line="300" w:lineRule="auto"/>
        <w:ind w:left="420" w:hanging="420"/>
        <w:jc w:val="center"/>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采购合同文本</w:t>
      </w:r>
    </w:p>
    <w:p w14:paraId="591E0282">
      <w:pPr>
        <w:snapToGrid w:val="0"/>
        <w:spacing w:line="400" w:lineRule="exact"/>
        <w:jc w:val="center"/>
        <w:rPr>
          <w:rFonts w:ascii="宋体" w:hAnsi="宋体"/>
          <w:b/>
          <w:bCs/>
          <w:color w:val="auto"/>
          <w:szCs w:val="21"/>
          <w:highlight w:val="none"/>
        </w:rPr>
      </w:pPr>
      <w:r>
        <w:rPr>
          <w:rFonts w:hint="eastAsia" w:ascii="宋体" w:hAnsi="宋体"/>
          <w:b/>
          <w:bCs/>
          <w:color w:val="auto"/>
          <w:szCs w:val="21"/>
          <w:highlight w:val="none"/>
        </w:rPr>
        <w:t>北海市政府采购合同</w:t>
      </w:r>
    </w:p>
    <w:p w14:paraId="0D176D34">
      <w:pPr>
        <w:snapToGrid w:val="0"/>
        <w:spacing w:line="400" w:lineRule="exact"/>
        <w:jc w:val="center"/>
        <w:rPr>
          <w:rFonts w:ascii="宋体" w:hAnsi="宋体"/>
          <w:b/>
          <w:bCs/>
          <w:color w:val="auto"/>
          <w:szCs w:val="21"/>
          <w:highlight w:val="none"/>
        </w:rPr>
      </w:pPr>
    </w:p>
    <w:p w14:paraId="3D083644">
      <w:pPr>
        <w:snapToGrid w:val="0"/>
        <w:spacing w:line="420" w:lineRule="exact"/>
        <w:ind w:right="480"/>
        <w:rPr>
          <w:rFonts w:ascii="宋体" w:hAnsi="宋体"/>
          <w:bCs/>
          <w:color w:val="auto"/>
          <w:szCs w:val="21"/>
          <w:highlight w:val="none"/>
        </w:rPr>
      </w:pPr>
      <w:r>
        <w:rPr>
          <w:rFonts w:hint="eastAsia" w:ascii="宋体" w:hAnsi="宋体"/>
          <w:bCs/>
          <w:color w:val="auto"/>
          <w:szCs w:val="21"/>
          <w:highlight w:val="none"/>
        </w:rPr>
        <w:t>合同编号：</w:t>
      </w:r>
    </w:p>
    <w:p w14:paraId="02B1F09C">
      <w:pPr>
        <w:snapToGrid w:val="0"/>
        <w:spacing w:line="440" w:lineRule="exact"/>
        <w:rPr>
          <w:rFonts w:ascii="宋体" w:hAnsi="宋体"/>
          <w:bCs/>
          <w:color w:val="auto"/>
          <w:szCs w:val="21"/>
          <w:highlight w:val="none"/>
        </w:rPr>
      </w:pPr>
      <w:r>
        <w:rPr>
          <w:rFonts w:hint="eastAsia" w:ascii="宋体" w:hAnsi="宋体"/>
          <w:color w:val="auto"/>
          <w:szCs w:val="21"/>
          <w:highlight w:val="none"/>
        </w:rPr>
        <w:t>采购人（甲方）：</w:t>
      </w:r>
      <w:r>
        <w:rPr>
          <w:rFonts w:hint="eastAsia" w:ascii="宋体" w:hAnsi="宋体"/>
          <w:color w:val="auto"/>
          <w:szCs w:val="21"/>
          <w:highlight w:val="none"/>
          <w:u w:val="single"/>
        </w:rPr>
        <w:t>北海市教育局</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A6B8FF6">
      <w:pPr>
        <w:snapToGrid w:val="0"/>
        <w:spacing w:line="440" w:lineRule="exact"/>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04DB03C0">
      <w:pPr>
        <w:spacing w:line="440" w:lineRule="exact"/>
        <w:rPr>
          <w:rFonts w:ascii="宋体" w:hAnsi="宋体"/>
          <w:color w:val="auto"/>
          <w:szCs w:val="21"/>
          <w:highlight w:val="none"/>
          <w:u w:val="single"/>
        </w:rPr>
      </w:pPr>
      <w:r>
        <w:rPr>
          <w:rFonts w:hint="eastAsia" w:ascii="宋体" w:hAnsi="宋体"/>
          <w:color w:val="auto"/>
          <w:szCs w:val="21"/>
          <w:highlight w:val="none"/>
        </w:rPr>
        <w:t>使用方（丙方）：</w:t>
      </w:r>
      <w:r>
        <w:rPr>
          <w:rFonts w:hint="eastAsia" w:ascii="宋体" w:hAnsi="宋体"/>
          <w:color w:val="auto"/>
          <w:szCs w:val="21"/>
          <w:highlight w:val="none"/>
          <w:u w:val="single"/>
        </w:rPr>
        <w:t xml:space="preserve">                        </w:t>
      </w:r>
    </w:p>
    <w:p w14:paraId="3AA94BA0">
      <w:pPr>
        <w:snapToGrid w:val="0"/>
        <w:spacing w:line="440" w:lineRule="exact"/>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b/>
          <w:color w:val="auto"/>
          <w:sz w:val="32"/>
          <w:szCs w:val="32"/>
          <w:highlight w:val="none"/>
          <w:u w:val="single"/>
        </w:rPr>
        <w:t xml:space="preserve">              </w:t>
      </w:r>
      <w:r>
        <w:rPr>
          <w:rFonts w:hint="eastAsia" w:ascii="宋体" w:hAnsi="宋体"/>
          <w:color w:val="auto"/>
          <w:szCs w:val="21"/>
          <w:highlight w:val="none"/>
        </w:rPr>
        <w:t>(项目编号：   )</w:t>
      </w:r>
    </w:p>
    <w:p w14:paraId="6BA99779">
      <w:pPr>
        <w:snapToGrid w:val="0"/>
        <w:spacing w:line="440" w:lineRule="exact"/>
        <w:rPr>
          <w:rFonts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北海市教育局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年   月    日    </w:t>
      </w:r>
    </w:p>
    <w:p w14:paraId="036E0837">
      <w:pPr>
        <w:snapToGrid w:val="0"/>
        <w:spacing w:line="440" w:lineRule="exact"/>
        <w:ind w:firstLine="420" w:firstLineChars="200"/>
        <w:rPr>
          <w:rFonts w:ascii="宋体" w:hAnsi="宋体"/>
          <w:color w:val="auto"/>
          <w:szCs w:val="21"/>
          <w:highlight w:val="none"/>
        </w:rPr>
      </w:pPr>
    </w:p>
    <w:p w14:paraId="520E3D33">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根据《中华人民共和国民法典》、《中华人民共和国政府采购法》等法律、法规规定，按照公开招标采购文件（以下简称“招标文件”）规定条款和乙方投标文件（以下简称“投标文件”）及其承诺，甲、乙、丙三方签订本合同。</w:t>
      </w:r>
    </w:p>
    <w:p w14:paraId="11CB621F">
      <w:pPr>
        <w:snapToGrid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第一条　合同标的</w:t>
      </w:r>
    </w:p>
    <w:p w14:paraId="39F80836">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1、服务一览表</w:t>
      </w:r>
    </w:p>
    <w:tbl>
      <w:tblPr>
        <w:tblStyle w:val="6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703"/>
        <w:gridCol w:w="2979"/>
        <w:gridCol w:w="1958"/>
        <w:gridCol w:w="2003"/>
      </w:tblGrid>
      <w:tr w14:paraId="2C6C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47" w:type="dxa"/>
            <w:vAlign w:val="center"/>
          </w:tcPr>
          <w:p w14:paraId="7D39C108">
            <w:pPr>
              <w:snapToGrid w:val="0"/>
              <w:spacing w:line="44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843" w:type="dxa"/>
            <w:vAlign w:val="center"/>
          </w:tcPr>
          <w:p w14:paraId="74CB14D5">
            <w:pPr>
              <w:snapToGrid w:val="0"/>
              <w:spacing w:line="440" w:lineRule="exact"/>
              <w:jc w:val="center"/>
              <w:rPr>
                <w:rFonts w:ascii="宋体" w:hAnsi="宋体"/>
                <w:b/>
                <w:color w:val="auto"/>
                <w:szCs w:val="21"/>
                <w:highlight w:val="none"/>
              </w:rPr>
            </w:pPr>
            <w:r>
              <w:rPr>
                <w:rFonts w:hint="eastAsia" w:ascii="宋体" w:hAnsi="宋体"/>
                <w:b/>
                <w:color w:val="auto"/>
                <w:szCs w:val="21"/>
                <w:highlight w:val="none"/>
              </w:rPr>
              <w:t>服务内容</w:t>
            </w:r>
          </w:p>
        </w:tc>
        <w:tc>
          <w:tcPr>
            <w:tcW w:w="3260" w:type="dxa"/>
            <w:vAlign w:val="center"/>
          </w:tcPr>
          <w:p w14:paraId="65F9D192">
            <w:pPr>
              <w:snapToGrid w:val="0"/>
              <w:spacing w:line="440" w:lineRule="exact"/>
              <w:jc w:val="center"/>
              <w:rPr>
                <w:rFonts w:ascii="宋体" w:hAnsi="宋体"/>
                <w:b/>
                <w:color w:val="auto"/>
                <w:szCs w:val="21"/>
                <w:highlight w:val="none"/>
              </w:rPr>
            </w:pPr>
            <w:r>
              <w:rPr>
                <w:rFonts w:hint="eastAsia" w:ascii="宋体" w:hAnsi="宋体" w:cs="宋体"/>
                <w:b/>
                <w:color w:val="auto"/>
                <w:kern w:val="0"/>
                <w:szCs w:val="21"/>
                <w:highlight w:val="none"/>
              </w:rPr>
              <w:t>详细内容及要求</w:t>
            </w:r>
          </w:p>
        </w:tc>
        <w:tc>
          <w:tcPr>
            <w:tcW w:w="2127" w:type="dxa"/>
            <w:vAlign w:val="center"/>
          </w:tcPr>
          <w:p w14:paraId="5BFFF48B">
            <w:pPr>
              <w:snapToGrid w:val="0"/>
              <w:spacing w:line="440" w:lineRule="exact"/>
              <w:jc w:val="center"/>
              <w:rPr>
                <w:rFonts w:ascii="宋体" w:hAnsi="宋体"/>
                <w:b/>
                <w:color w:val="auto"/>
                <w:szCs w:val="21"/>
                <w:highlight w:val="none"/>
              </w:rPr>
            </w:pPr>
            <w:r>
              <w:rPr>
                <w:rFonts w:hint="eastAsia" w:ascii="宋体" w:hAnsi="宋体"/>
                <w:b/>
                <w:color w:val="auto"/>
                <w:szCs w:val="21"/>
                <w:highlight w:val="none"/>
              </w:rPr>
              <w:t>服务人数</w:t>
            </w:r>
          </w:p>
        </w:tc>
        <w:tc>
          <w:tcPr>
            <w:tcW w:w="2176" w:type="dxa"/>
            <w:vAlign w:val="center"/>
          </w:tcPr>
          <w:p w14:paraId="09AA0BAF">
            <w:pPr>
              <w:snapToGrid w:val="0"/>
              <w:spacing w:line="440" w:lineRule="exact"/>
              <w:jc w:val="center"/>
              <w:rPr>
                <w:rFonts w:ascii="宋体" w:hAnsi="宋体"/>
                <w:b/>
                <w:color w:val="auto"/>
                <w:szCs w:val="21"/>
                <w:highlight w:val="none"/>
              </w:rPr>
            </w:pPr>
            <w:r>
              <w:rPr>
                <w:rFonts w:hint="eastAsia" w:ascii="宋体" w:hAnsi="宋体" w:cs="宋体"/>
                <w:b/>
                <w:color w:val="auto"/>
                <w:kern w:val="0"/>
                <w:szCs w:val="21"/>
                <w:highlight w:val="none"/>
              </w:rPr>
              <w:t>合同金额</w:t>
            </w:r>
          </w:p>
        </w:tc>
      </w:tr>
      <w:tr w14:paraId="3A57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47" w:type="dxa"/>
            <w:vAlign w:val="center"/>
          </w:tcPr>
          <w:p w14:paraId="5C21EF6B">
            <w:pPr>
              <w:snapToGrid w:val="0"/>
              <w:spacing w:line="440" w:lineRule="exact"/>
              <w:jc w:val="center"/>
              <w:rPr>
                <w:rFonts w:ascii="宋体" w:hAnsi="宋体"/>
                <w:color w:val="auto"/>
                <w:szCs w:val="21"/>
                <w:highlight w:val="none"/>
              </w:rPr>
            </w:pPr>
            <w:r>
              <w:rPr>
                <w:rFonts w:hint="eastAsia" w:ascii="宋体" w:hAnsi="宋体"/>
                <w:color w:val="auto"/>
                <w:szCs w:val="21"/>
                <w:highlight w:val="none"/>
              </w:rPr>
              <w:t>1</w:t>
            </w:r>
          </w:p>
        </w:tc>
        <w:tc>
          <w:tcPr>
            <w:tcW w:w="1843" w:type="dxa"/>
            <w:vAlign w:val="center"/>
          </w:tcPr>
          <w:p w14:paraId="344A3407">
            <w:pPr>
              <w:widowControl/>
              <w:adjustRightInd w:val="0"/>
              <w:snapToGrid w:val="0"/>
              <w:spacing w:line="440" w:lineRule="exact"/>
              <w:jc w:val="center"/>
              <w:rPr>
                <w:rFonts w:ascii="宋体" w:cs="宋体"/>
                <w:color w:val="auto"/>
                <w:kern w:val="0"/>
                <w:szCs w:val="21"/>
                <w:highlight w:val="none"/>
              </w:rPr>
            </w:pPr>
          </w:p>
        </w:tc>
        <w:tc>
          <w:tcPr>
            <w:tcW w:w="3260" w:type="dxa"/>
            <w:vAlign w:val="center"/>
          </w:tcPr>
          <w:p w14:paraId="0EEE3A47">
            <w:pPr>
              <w:spacing w:line="440" w:lineRule="exact"/>
              <w:jc w:val="center"/>
              <w:rPr>
                <w:rFonts w:ascii="宋体" w:hAnsi="宋体" w:cs="宋体"/>
                <w:color w:val="auto"/>
                <w:sz w:val="24"/>
                <w:highlight w:val="none"/>
              </w:rPr>
            </w:pPr>
            <w:r>
              <w:rPr>
                <w:rFonts w:hint="eastAsia" w:ascii="宋体" w:hAnsi="宋体"/>
                <w:color w:val="auto"/>
                <w:szCs w:val="21"/>
                <w:highlight w:val="none"/>
              </w:rPr>
              <w:t>见投标标文件报价表及附件</w:t>
            </w:r>
          </w:p>
        </w:tc>
        <w:tc>
          <w:tcPr>
            <w:tcW w:w="2127" w:type="dxa"/>
          </w:tcPr>
          <w:p w14:paraId="1EF2DCA3">
            <w:pPr>
              <w:spacing w:line="440" w:lineRule="exact"/>
              <w:jc w:val="center"/>
              <w:rPr>
                <w:rFonts w:ascii="宋体" w:hAnsi="宋体"/>
                <w:color w:val="auto"/>
                <w:szCs w:val="21"/>
                <w:highlight w:val="none"/>
              </w:rPr>
            </w:pPr>
          </w:p>
        </w:tc>
        <w:tc>
          <w:tcPr>
            <w:tcW w:w="2176" w:type="dxa"/>
          </w:tcPr>
          <w:p w14:paraId="234E614D">
            <w:pPr>
              <w:spacing w:line="440" w:lineRule="exact"/>
              <w:jc w:val="center"/>
              <w:rPr>
                <w:rFonts w:ascii="宋体" w:hAnsi="宋体"/>
                <w:color w:val="auto"/>
                <w:szCs w:val="21"/>
                <w:highlight w:val="none"/>
              </w:rPr>
            </w:pPr>
          </w:p>
        </w:tc>
      </w:tr>
      <w:tr w14:paraId="52A2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0153" w:type="dxa"/>
            <w:gridSpan w:val="5"/>
            <w:vAlign w:val="center"/>
          </w:tcPr>
          <w:p w14:paraId="661FD786">
            <w:pPr>
              <w:snapToGrid w:val="0"/>
              <w:spacing w:line="440" w:lineRule="exact"/>
              <w:rPr>
                <w:color w:val="auto"/>
                <w:szCs w:val="21"/>
                <w:highlight w:val="none"/>
              </w:rPr>
            </w:pPr>
            <w:r>
              <w:rPr>
                <w:rFonts w:hint="eastAsia"/>
                <w:color w:val="auto"/>
                <w:szCs w:val="21"/>
                <w:highlight w:val="none"/>
              </w:rPr>
              <w:t>合同金额为：</w:t>
            </w:r>
          </w:p>
        </w:tc>
      </w:tr>
    </w:tbl>
    <w:p w14:paraId="08801CF8">
      <w:pPr>
        <w:snapToGrid w:val="0"/>
        <w:spacing w:line="440" w:lineRule="exact"/>
        <w:ind w:right="420" w:firstLine="420" w:firstLineChars="200"/>
        <w:rPr>
          <w:rFonts w:ascii="宋体" w:hAnsi="宋体"/>
          <w:color w:val="auto"/>
          <w:szCs w:val="21"/>
          <w:highlight w:val="none"/>
        </w:rPr>
      </w:pPr>
      <w:r>
        <w:rPr>
          <w:rFonts w:hint="eastAsia" w:ascii="宋体" w:cs="宋体"/>
          <w:color w:val="auto"/>
          <w:kern w:val="0"/>
          <w:szCs w:val="21"/>
          <w:highlight w:val="none"/>
        </w:rPr>
        <w:t>2、合同合计金额包括服务费、设备费、管理费、验收费、利润、税金及其它所有成本、费用的总</w:t>
      </w:r>
      <w:r>
        <w:rPr>
          <w:rFonts w:hint="eastAsia" w:hAnsi="宋体"/>
          <w:bCs/>
          <w:color w:val="auto"/>
          <w:szCs w:val="20"/>
          <w:highlight w:val="none"/>
        </w:rPr>
        <w:t>和</w:t>
      </w:r>
      <w:r>
        <w:rPr>
          <w:rFonts w:hint="eastAsia" w:ascii="宋体" w:hAnsi="宋体"/>
          <w:color w:val="auto"/>
          <w:szCs w:val="21"/>
          <w:highlight w:val="none"/>
        </w:rPr>
        <w:t>。如招标文件、投标文件对其另有规定的，从其规定。</w:t>
      </w:r>
    </w:p>
    <w:p w14:paraId="559ABE5D">
      <w:pPr>
        <w:snapToGrid w:val="0"/>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第二条　质量保证</w:t>
      </w:r>
    </w:p>
    <w:p w14:paraId="29D71E7D">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1.乙方所提供的服务质量必须与招标文件、投标文件和承诺相一致。</w:t>
      </w:r>
    </w:p>
    <w:p w14:paraId="6B7D461E">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2.乙方应按照甲方的要求和丙方的实际需要,为丙方提供物业服务，包括但不限于保洁、绿化、设备维护等。</w:t>
      </w:r>
    </w:p>
    <w:p w14:paraId="73C0F69D">
      <w:pPr>
        <w:spacing w:line="440" w:lineRule="exact"/>
        <w:ind w:firstLine="420" w:firstLineChars="200"/>
        <w:rPr>
          <w:color w:val="auto"/>
          <w:sz w:val="24"/>
          <w:szCs w:val="20"/>
          <w:highlight w:val="none"/>
        </w:rPr>
      </w:pPr>
      <w:r>
        <w:rPr>
          <w:rFonts w:hint="eastAsia" w:ascii="宋体" w:hAnsi="宋体"/>
          <w:color w:val="auto"/>
          <w:szCs w:val="21"/>
          <w:highlight w:val="none"/>
        </w:rPr>
        <w:t>3.乙方应确保服务质量达到合同约定的标准和丙方的满意度。</w:t>
      </w:r>
    </w:p>
    <w:p w14:paraId="16475138">
      <w:pPr>
        <w:snapToGrid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第三条　交付和验收</w:t>
      </w:r>
    </w:p>
    <w:p w14:paraId="347A44AF">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1.服务开始时间：  </w:t>
      </w:r>
      <w:r>
        <w:rPr>
          <w:rFonts w:hint="eastAsia" w:ascii="宋体" w:hAnsi="宋体"/>
          <w:color w:val="auto"/>
          <w:szCs w:val="21"/>
          <w:highlight w:val="none"/>
          <w:u w:val="single"/>
        </w:rPr>
        <w:t>年   月   日至年   月   日，共两年（具体时间以进点时间为准）</w:t>
      </w:r>
      <w:r>
        <w:rPr>
          <w:rFonts w:hint="eastAsia" w:ascii="宋体" w:hAnsi="宋体"/>
          <w:color w:val="auto"/>
          <w:szCs w:val="21"/>
          <w:highlight w:val="none"/>
        </w:rPr>
        <w:t>。</w:t>
      </w:r>
    </w:p>
    <w:p w14:paraId="0985B44F">
      <w:pPr>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2.服务地点：</w:t>
      </w:r>
      <w:r>
        <w:rPr>
          <w:rFonts w:hint="eastAsia" w:ascii="宋体" w:hAnsi="宋体"/>
          <w:color w:val="auto"/>
          <w:szCs w:val="21"/>
          <w:highlight w:val="none"/>
          <w:u w:val="single"/>
        </w:rPr>
        <w:t xml:space="preserve"> </w:t>
      </w:r>
      <w:r>
        <w:rPr>
          <w:rFonts w:hint="eastAsia" w:ascii="宋体" w:hAnsi="宋体"/>
          <w:b/>
          <w:color w:val="auto"/>
          <w:sz w:val="32"/>
          <w:szCs w:val="32"/>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1FAF78E">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验收方式：</w:t>
      </w:r>
    </w:p>
    <w:p w14:paraId="2A39F873">
      <w:pPr>
        <w:snapToGrid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  付款方式</w:t>
      </w:r>
    </w:p>
    <w:p w14:paraId="693657C6">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1.资金性质：</w:t>
      </w:r>
      <w:r>
        <w:rPr>
          <w:rFonts w:hint="eastAsia" w:ascii="宋体" w:hAnsi="宋体"/>
          <w:color w:val="auto"/>
          <w:szCs w:val="21"/>
          <w:highlight w:val="none"/>
          <w:u w:val="single"/>
        </w:rPr>
        <w:t xml:space="preserve"> 财政性资金。</w:t>
      </w:r>
    </w:p>
    <w:p w14:paraId="59DB740A">
      <w:pPr>
        <w:snapToGrid w:val="0"/>
        <w:spacing w:line="440" w:lineRule="exact"/>
        <w:ind w:right="33"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2.付款方式：</w:t>
      </w:r>
      <w:r>
        <w:rPr>
          <w:rFonts w:hint="eastAsia" w:ascii="宋体" w:hAnsi="宋体" w:cs="宋体"/>
          <w:color w:val="auto"/>
          <w:szCs w:val="21"/>
          <w:highlight w:val="none"/>
          <w:u w:val="single"/>
        </w:rPr>
        <w:t>自合同签订后且中标单位服务人员进场、财政资金到位后，预付合同总金额的10%;剩余款项按季度平均支付，每季度第一个月支付上季度服务费。</w:t>
      </w:r>
    </w:p>
    <w:p w14:paraId="3F32B51E">
      <w:pPr>
        <w:snapToGrid w:val="0"/>
        <w:spacing w:line="440" w:lineRule="exact"/>
        <w:ind w:right="33" w:firstLine="420" w:firstLineChars="200"/>
        <w:rPr>
          <w:rFonts w:ascii="宋体"/>
          <w:color w:val="auto"/>
          <w:szCs w:val="21"/>
          <w:highlight w:val="none"/>
        </w:rPr>
      </w:pPr>
      <w:r>
        <w:rPr>
          <w:rFonts w:hint="eastAsia" w:ascii="宋体" w:hAnsi="宋体" w:cs="宋体"/>
          <w:color w:val="auto"/>
          <w:szCs w:val="21"/>
          <w:highlight w:val="none"/>
          <w:u w:val="single"/>
        </w:rPr>
        <w:t>采购人根据每季度考核结果结算支付。三方在签订合同时可就服务质量及检查标准制定奖罚细则，在支付服务费用时采购人（甲方）、服务单位（丙方）有权根据奖罚细则增减服务费用的支付或终止合同。每次请款供应商（乙方）先交请款申请函，后根据要求开具发票，再根据实际情况、考核情况付款。</w:t>
      </w:r>
    </w:p>
    <w:p w14:paraId="1C2CCD8F">
      <w:pPr>
        <w:adjustRightInd w:val="0"/>
        <w:snapToGrid w:val="0"/>
        <w:spacing w:line="440" w:lineRule="exact"/>
        <w:ind w:right="33" w:firstLine="420" w:firstLineChars="200"/>
        <w:rPr>
          <w:rFonts w:ascii="宋体"/>
          <w:color w:val="auto"/>
          <w:szCs w:val="21"/>
          <w:highlight w:val="none"/>
        </w:rPr>
      </w:pPr>
      <w:r>
        <w:rPr>
          <w:rFonts w:hint="eastAsia" w:ascii="宋体"/>
          <w:color w:val="auto"/>
          <w:szCs w:val="21"/>
          <w:highlight w:val="none"/>
        </w:rPr>
        <w:t>3.政府采购合同信用融资：如乙方需要向金融机构申请本项目融资贷款，甲方不得违规干预。如乙方向金融机构申请本项目融资贷款，则本项目资金支付时必须将采购资金支付到合同中注明的贷款金融机构还款账号，如需要变更还款账号，必须由甲方、乙方、贷款金融机构三方签订书面协议。</w:t>
      </w:r>
    </w:p>
    <w:p w14:paraId="1F2A0BDF">
      <w:pPr>
        <w:tabs>
          <w:tab w:val="right" w:pos="9639"/>
        </w:tabs>
        <w:snapToGrid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第五条　履约保证金</w:t>
      </w:r>
      <w:r>
        <w:rPr>
          <w:rFonts w:ascii="宋体" w:hAnsi="宋体"/>
          <w:b/>
          <w:color w:val="auto"/>
          <w:szCs w:val="21"/>
          <w:highlight w:val="none"/>
        </w:rPr>
        <w:tab/>
      </w:r>
    </w:p>
    <w:p w14:paraId="562D57ED">
      <w:pPr>
        <w:spacing w:line="440" w:lineRule="exact"/>
        <w:ind w:firstLine="420" w:firstLineChars="200"/>
        <w:rPr>
          <w:color w:val="auto"/>
          <w:szCs w:val="20"/>
          <w:highlight w:val="none"/>
        </w:rPr>
      </w:pPr>
      <w:r>
        <w:rPr>
          <w:rFonts w:hint="eastAsia" w:ascii="宋体" w:hAnsi="宋体"/>
          <w:color w:val="auto"/>
          <w:szCs w:val="21"/>
          <w:highlight w:val="none"/>
        </w:rPr>
        <w:t>本项目不收取履约保证金。乙方未按合同约定履行合同义务，给甲方造成损失的，按实际损失进行赔偿。</w:t>
      </w:r>
    </w:p>
    <w:p w14:paraId="2FEDB45D">
      <w:pPr>
        <w:numPr>
          <w:ilvl w:val="0"/>
          <w:numId w:val="2"/>
        </w:numPr>
        <w:snapToGrid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税费  </w:t>
      </w:r>
    </w:p>
    <w:p w14:paraId="1E307268">
      <w:pPr>
        <w:snapToGri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本合同执行中相关的一切税费均由乙方负担。</w:t>
      </w:r>
    </w:p>
    <w:p w14:paraId="67720E19">
      <w:pPr>
        <w:spacing w:line="440" w:lineRule="exact"/>
        <w:ind w:firstLine="422" w:firstLineChars="200"/>
        <w:rPr>
          <w:rFonts w:ascii="宋体"/>
          <w:color w:val="auto"/>
          <w:szCs w:val="21"/>
          <w:highlight w:val="none"/>
        </w:rPr>
      </w:pPr>
      <w:r>
        <w:rPr>
          <w:rFonts w:hint="eastAsia" w:ascii="宋体" w:hAnsi="宋体"/>
          <w:b/>
          <w:color w:val="auto"/>
          <w:szCs w:val="21"/>
          <w:highlight w:val="none"/>
        </w:rPr>
        <w:t xml:space="preserve">第七条 </w:t>
      </w:r>
      <w:r>
        <w:rPr>
          <w:rFonts w:hint="eastAsia" w:ascii="宋体"/>
          <w:b/>
          <w:bCs/>
          <w:color w:val="auto"/>
          <w:szCs w:val="21"/>
          <w:highlight w:val="none"/>
        </w:rPr>
        <w:t>甲方的权利和义务</w:t>
      </w:r>
    </w:p>
    <w:p w14:paraId="115B84B5">
      <w:pPr>
        <w:spacing w:line="440" w:lineRule="exact"/>
        <w:ind w:firstLine="420" w:firstLineChars="200"/>
        <w:rPr>
          <w:rFonts w:ascii="宋体"/>
          <w:color w:val="auto"/>
          <w:szCs w:val="21"/>
          <w:highlight w:val="none"/>
        </w:rPr>
      </w:pPr>
      <w:r>
        <w:rPr>
          <w:rFonts w:hint="eastAsia" w:ascii="宋体"/>
          <w:color w:val="auto"/>
          <w:szCs w:val="21"/>
          <w:highlight w:val="none"/>
        </w:rPr>
        <w:t>1.甲方有权对乙方的服务质量和丙方的满意度进行监督和评估。</w:t>
      </w:r>
    </w:p>
    <w:p w14:paraId="2E95538F">
      <w:pPr>
        <w:spacing w:line="440" w:lineRule="exact"/>
        <w:ind w:firstLine="420" w:firstLineChars="200"/>
        <w:rPr>
          <w:rFonts w:ascii="宋体"/>
          <w:color w:val="auto"/>
          <w:szCs w:val="21"/>
          <w:highlight w:val="none"/>
        </w:rPr>
      </w:pPr>
      <w:r>
        <w:rPr>
          <w:rFonts w:hint="eastAsia" w:ascii="宋体"/>
          <w:color w:val="auto"/>
          <w:szCs w:val="21"/>
          <w:highlight w:val="none"/>
        </w:rPr>
        <w:t>2.甲方应按照约定向乙方支付服务费用。</w:t>
      </w:r>
    </w:p>
    <w:p w14:paraId="7D6D6769">
      <w:pPr>
        <w:spacing w:line="440" w:lineRule="exact"/>
        <w:ind w:firstLine="422" w:firstLineChars="200"/>
        <w:rPr>
          <w:rFonts w:ascii="宋体"/>
          <w:color w:val="auto"/>
          <w:szCs w:val="21"/>
          <w:highlight w:val="none"/>
        </w:rPr>
      </w:pPr>
      <w:r>
        <w:rPr>
          <w:rFonts w:hint="eastAsia" w:ascii="宋体" w:hAnsi="宋体"/>
          <w:b/>
          <w:color w:val="auto"/>
          <w:szCs w:val="21"/>
          <w:highlight w:val="none"/>
        </w:rPr>
        <w:t xml:space="preserve">第八条 </w:t>
      </w:r>
      <w:r>
        <w:rPr>
          <w:rFonts w:hint="eastAsia" w:ascii="宋体"/>
          <w:b/>
          <w:bCs/>
          <w:color w:val="auto"/>
          <w:szCs w:val="21"/>
          <w:highlight w:val="none"/>
        </w:rPr>
        <w:t>乙方的权利和义务</w:t>
      </w:r>
    </w:p>
    <w:p w14:paraId="248861AB">
      <w:pPr>
        <w:spacing w:line="440" w:lineRule="exact"/>
        <w:ind w:firstLine="420" w:firstLineChars="200"/>
        <w:rPr>
          <w:rFonts w:ascii="宋体"/>
          <w:color w:val="auto"/>
          <w:szCs w:val="21"/>
          <w:highlight w:val="none"/>
        </w:rPr>
      </w:pPr>
      <w:r>
        <w:rPr>
          <w:rFonts w:hint="eastAsia" w:ascii="宋体"/>
          <w:color w:val="auto"/>
          <w:szCs w:val="21"/>
          <w:highlight w:val="none"/>
        </w:rPr>
        <w:t>1.乙方应按照合同约定向丙方提供优质的物业服务。</w:t>
      </w:r>
    </w:p>
    <w:p w14:paraId="43A89779">
      <w:pPr>
        <w:spacing w:line="440" w:lineRule="exact"/>
        <w:ind w:firstLine="420" w:firstLineChars="200"/>
        <w:rPr>
          <w:rFonts w:ascii="宋体"/>
          <w:color w:val="auto"/>
          <w:szCs w:val="21"/>
          <w:highlight w:val="none"/>
        </w:rPr>
      </w:pPr>
      <w:r>
        <w:rPr>
          <w:rFonts w:hint="eastAsia" w:ascii="宋体"/>
          <w:color w:val="auto"/>
          <w:szCs w:val="21"/>
          <w:highlight w:val="none"/>
        </w:rPr>
        <w:t>2.乙方有权按照约定向甲方收取服务费用。</w:t>
      </w:r>
    </w:p>
    <w:p w14:paraId="0FFBDE88">
      <w:pPr>
        <w:spacing w:line="440" w:lineRule="exact"/>
        <w:ind w:firstLine="422" w:firstLineChars="200"/>
        <w:rPr>
          <w:rFonts w:ascii="宋体"/>
          <w:color w:val="auto"/>
          <w:szCs w:val="21"/>
          <w:highlight w:val="none"/>
        </w:rPr>
      </w:pPr>
      <w:r>
        <w:rPr>
          <w:rFonts w:hint="eastAsia" w:ascii="宋体" w:hAnsi="宋体"/>
          <w:b/>
          <w:color w:val="auto"/>
          <w:szCs w:val="21"/>
          <w:highlight w:val="none"/>
        </w:rPr>
        <w:t>第九条</w:t>
      </w:r>
      <w:r>
        <w:rPr>
          <w:rFonts w:hint="eastAsia" w:ascii="宋体" w:hAnsi="宋体"/>
          <w:bCs/>
          <w:color w:val="auto"/>
          <w:szCs w:val="21"/>
          <w:highlight w:val="none"/>
        </w:rPr>
        <w:t xml:space="preserve"> </w:t>
      </w:r>
      <w:r>
        <w:rPr>
          <w:rFonts w:hint="eastAsia" w:ascii="宋体"/>
          <w:b/>
          <w:color w:val="auto"/>
          <w:szCs w:val="21"/>
          <w:highlight w:val="none"/>
        </w:rPr>
        <w:t>丙方的权利和义务</w:t>
      </w:r>
    </w:p>
    <w:p w14:paraId="02D0FD92">
      <w:pPr>
        <w:spacing w:line="440" w:lineRule="exact"/>
        <w:ind w:firstLine="420" w:firstLineChars="200"/>
        <w:rPr>
          <w:rFonts w:ascii="宋体"/>
          <w:color w:val="auto"/>
          <w:szCs w:val="21"/>
          <w:highlight w:val="none"/>
        </w:rPr>
      </w:pPr>
      <w:r>
        <w:rPr>
          <w:rFonts w:hint="eastAsia" w:ascii="宋体"/>
          <w:color w:val="auto"/>
          <w:szCs w:val="21"/>
          <w:highlight w:val="none"/>
        </w:rPr>
        <w:t>1.丙方有权要求乙方提供符合合同约定的物业服务。</w:t>
      </w:r>
    </w:p>
    <w:p w14:paraId="06EB6FC0">
      <w:pPr>
        <w:spacing w:line="440" w:lineRule="exact"/>
        <w:ind w:firstLine="420" w:firstLineChars="200"/>
        <w:rPr>
          <w:color w:val="auto"/>
          <w:sz w:val="24"/>
          <w:szCs w:val="20"/>
          <w:highlight w:val="none"/>
        </w:rPr>
      </w:pPr>
      <w:r>
        <w:rPr>
          <w:rFonts w:hint="eastAsia" w:ascii="宋体"/>
          <w:color w:val="auto"/>
          <w:szCs w:val="21"/>
          <w:highlight w:val="none"/>
        </w:rPr>
        <w:t>2.丙方应协助乙方开展工作，提供必要的支持和便利。</w:t>
      </w:r>
    </w:p>
    <w:p w14:paraId="68C01AFA">
      <w:pPr>
        <w:snapToGrid w:val="0"/>
        <w:spacing w:line="440" w:lineRule="exact"/>
        <w:ind w:firstLine="413" w:firstLineChars="196"/>
        <w:rPr>
          <w:rFonts w:ascii="宋体" w:hAnsi="宋体"/>
          <w:b/>
          <w:color w:val="auto"/>
          <w:szCs w:val="20"/>
          <w:highlight w:val="none"/>
        </w:rPr>
      </w:pPr>
      <w:r>
        <w:rPr>
          <w:rFonts w:hint="eastAsia" w:ascii="宋体" w:hAnsi="宋体"/>
          <w:b/>
          <w:color w:val="auto"/>
          <w:szCs w:val="20"/>
          <w:highlight w:val="none"/>
        </w:rPr>
        <w:t>第十条　违约责任</w:t>
      </w:r>
    </w:p>
    <w:p w14:paraId="2FE2754F">
      <w:pPr>
        <w:adjustRightInd w:val="0"/>
        <w:snapToGrid w:val="0"/>
        <w:spacing w:line="440" w:lineRule="exact"/>
        <w:ind w:firstLine="420" w:firstLineChars="200"/>
        <w:rPr>
          <w:rFonts w:ascii="宋体" w:hAnsi="宋体"/>
          <w:color w:val="auto"/>
          <w:szCs w:val="21"/>
          <w:highlight w:val="none"/>
        </w:rPr>
      </w:pPr>
      <w:r>
        <w:rPr>
          <w:rFonts w:hint="eastAsia" w:ascii="宋体"/>
          <w:color w:val="auto"/>
          <w:szCs w:val="21"/>
          <w:highlight w:val="none"/>
        </w:rPr>
        <w:t>1.如</w:t>
      </w:r>
      <w:r>
        <w:rPr>
          <w:rFonts w:hint="eastAsia" w:ascii="宋体"/>
          <w:color w:val="auto"/>
          <w:spacing w:val="-4"/>
          <w:szCs w:val="21"/>
          <w:highlight w:val="none"/>
        </w:rPr>
        <w:t>乙方</w:t>
      </w:r>
      <w:r>
        <w:rPr>
          <w:rFonts w:hint="eastAsia"/>
          <w:color w:val="auto"/>
          <w:spacing w:val="-4"/>
          <w:szCs w:val="20"/>
          <w:highlight w:val="none"/>
        </w:rPr>
        <w:t>违约（包括但不限于</w:t>
      </w:r>
      <w:r>
        <w:rPr>
          <w:rFonts w:hint="eastAsia" w:ascii="宋体"/>
          <w:color w:val="auto"/>
          <w:szCs w:val="21"/>
          <w:highlight w:val="none"/>
        </w:rPr>
        <w:t>延迟履约、不完全履约或提供的服务质量不符合磋商文件和响应文件要求的</w:t>
      </w:r>
      <w:r>
        <w:rPr>
          <w:rFonts w:hint="eastAsia"/>
          <w:color w:val="auto"/>
          <w:spacing w:val="-4"/>
          <w:szCs w:val="20"/>
          <w:highlight w:val="none"/>
        </w:rPr>
        <w:t>），每发生一次，需</w:t>
      </w:r>
      <w:r>
        <w:rPr>
          <w:rFonts w:hint="eastAsia" w:ascii="宋体"/>
          <w:color w:val="auto"/>
          <w:spacing w:val="-4"/>
          <w:szCs w:val="21"/>
          <w:highlight w:val="none"/>
        </w:rPr>
        <w:t>向甲方支付合同总金额0.3‰的违约金，违约金从合同价款中扣除，且乙方应根据甲方要求限期整改</w:t>
      </w:r>
      <w:r>
        <w:rPr>
          <w:rFonts w:hint="eastAsia" w:ascii="宋体"/>
          <w:color w:val="auto"/>
          <w:szCs w:val="21"/>
          <w:highlight w:val="none"/>
        </w:rPr>
        <w:t>；</w:t>
      </w:r>
      <w:r>
        <w:rPr>
          <w:rFonts w:hint="eastAsia" w:ascii="宋体"/>
          <w:color w:val="auto"/>
          <w:spacing w:val="-4"/>
          <w:szCs w:val="21"/>
          <w:highlight w:val="none"/>
        </w:rPr>
        <w:t>乙方违约次数超过三次或经整改仍不符合甲方要求的，甲方有权解除合同，乙方应</w:t>
      </w:r>
      <w:r>
        <w:rPr>
          <w:rFonts w:ascii="宋体"/>
          <w:color w:val="auto"/>
          <w:spacing w:val="-4"/>
          <w:szCs w:val="21"/>
          <w:highlight w:val="none"/>
        </w:rPr>
        <w:t>返还未服务部分款项并向甲方支付合同总金额</w:t>
      </w:r>
      <w:r>
        <w:rPr>
          <w:rFonts w:hint="eastAsia" w:ascii="宋体"/>
          <w:color w:val="auto"/>
          <w:spacing w:val="-4"/>
          <w:szCs w:val="21"/>
          <w:highlight w:val="none"/>
        </w:rPr>
        <w:t>1</w:t>
      </w:r>
      <w:r>
        <w:rPr>
          <w:rFonts w:ascii="宋体"/>
          <w:color w:val="auto"/>
          <w:spacing w:val="-4"/>
          <w:szCs w:val="21"/>
          <w:highlight w:val="none"/>
        </w:rPr>
        <w:t>0%的违约金</w:t>
      </w:r>
      <w:r>
        <w:rPr>
          <w:rFonts w:hint="eastAsia" w:ascii="宋体"/>
          <w:color w:val="auto"/>
          <w:spacing w:val="-4"/>
          <w:szCs w:val="21"/>
          <w:highlight w:val="none"/>
        </w:rPr>
        <w:t>。本合同其他内容、</w:t>
      </w:r>
      <w:r>
        <w:rPr>
          <w:rFonts w:hint="eastAsia" w:ascii="宋体" w:hAnsi="宋体" w:cs="宋体"/>
          <w:color w:val="auto"/>
          <w:szCs w:val="21"/>
          <w:highlight w:val="none"/>
        </w:rPr>
        <w:t>磋商文件或相应文件内容与本款约定不一致的，以本款约定为准。</w:t>
      </w:r>
    </w:p>
    <w:p w14:paraId="2EC34C7D">
      <w:pPr>
        <w:adjustRightInd w:val="0"/>
        <w:snapToGrid w:val="0"/>
        <w:spacing w:line="440" w:lineRule="exact"/>
        <w:ind w:firstLine="404" w:firstLineChars="200"/>
        <w:rPr>
          <w:rFonts w:ascii="宋体"/>
          <w:color w:val="auto"/>
          <w:spacing w:val="-4"/>
          <w:szCs w:val="21"/>
          <w:highlight w:val="none"/>
        </w:rPr>
      </w:pPr>
      <w:r>
        <w:rPr>
          <w:rFonts w:hint="eastAsia" w:ascii="宋体"/>
          <w:color w:val="auto"/>
          <w:spacing w:val="-4"/>
          <w:szCs w:val="21"/>
          <w:highlight w:val="none"/>
        </w:rPr>
        <w:t>2.如甲方逾期付款的，</w:t>
      </w:r>
      <w:r>
        <w:rPr>
          <w:rFonts w:hint="eastAsia" w:ascii="宋体"/>
          <w:color w:val="auto"/>
          <w:szCs w:val="21"/>
          <w:highlight w:val="none"/>
        </w:rPr>
        <w:t>违约金按中国人民银行授权全国银行间同业拆借中心公布的1年期贷款市场报价利率(LPR)计算，但违约金累计不得超过合同总金额的1%。</w:t>
      </w:r>
    </w:p>
    <w:p w14:paraId="08D99C61">
      <w:pPr>
        <w:adjustRightInd w:val="0"/>
        <w:snapToGrid w:val="0"/>
        <w:spacing w:line="440" w:lineRule="exact"/>
        <w:ind w:firstLine="420" w:firstLineChars="200"/>
        <w:rPr>
          <w:rFonts w:ascii="宋体"/>
          <w:color w:val="auto"/>
          <w:szCs w:val="21"/>
          <w:highlight w:val="none"/>
        </w:rPr>
      </w:pPr>
      <w:r>
        <w:rPr>
          <w:rFonts w:hint="eastAsia" w:ascii="宋体"/>
          <w:color w:val="auto"/>
          <w:szCs w:val="21"/>
          <w:highlight w:val="none"/>
        </w:rPr>
        <w:t>3.乙方给甲方造成的损失超过违约金额的，乙方应给甲方高出违约金的部分予以赔偿。</w:t>
      </w:r>
    </w:p>
    <w:p w14:paraId="009FC630">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4.乙方延迟履约、不完全履约或提供的服务不符合磋商文件和响应文件要求的。除支付违约金外，仍需继续履行合同或重新提供符合要求的服务。</w:t>
      </w:r>
    </w:p>
    <w:p w14:paraId="64F28482">
      <w:pPr>
        <w:snapToGrid w:val="0"/>
        <w:spacing w:line="440" w:lineRule="exact"/>
        <w:ind w:firstLine="413" w:firstLineChars="196"/>
        <w:rPr>
          <w:rFonts w:ascii="宋体" w:hAnsi="宋体"/>
          <w:b/>
          <w:color w:val="auto"/>
          <w:szCs w:val="20"/>
          <w:highlight w:val="none"/>
        </w:rPr>
      </w:pPr>
      <w:r>
        <w:rPr>
          <w:rFonts w:hint="eastAsia" w:ascii="宋体" w:hAnsi="宋体"/>
          <w:b/>
          <w:color w:val="auto"/>
          <w:szCs w:val="20"/>
          <w:highlight w:val="none"/>
        </w:rPr>
        <w:t>第十一条 不可抗力事件处理</w:t>
      </w:r>
    </w:p>
    <w:p w14:paraId="502718CD">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 在合同有效期内，任何一方因不可抗力事件导致不能履行合同，则合同履行期可延长，其延长期与不可抗力影响期相同。</w:t>
      </w:r>
    </w:p>
    <w:p w14:paraId="32AE929A">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 不可抗力事件发生后，应立即通知对方，并寄送有关权威机构出具的证明。</w:t>
      </w:r>
    </w:p>
    <w:p w14:paraId="60C7E7DD">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 不可抗力事件延续一百二十天以上，三方应通过友好协商，确定是否继续履行合同。</w:t>
      </w:r>
    </w:p>
    <w:p w14:paraId="6B4809CC">
      <w:pPr>
        <w:snapToGrid w:val="0"/>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第十二条  合同争议解决</w:t>
      </w:r>
    </w:p>
    <w:p w14:paraId="655D6AE6">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1.因服务质量问题发生争议的，应邀请国家认可的质量检测机构对服务质量进行鉴定。服务符合标准或要求的，鉴定费由甲方承担；服务不符合标准或要求的，鉴定费由乙方承担。</w:t>
      </w:r>
    </w:p>
    <w:p w14:paraId="77809AA7">
      <w:pPr>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2.因履行本合同引起的或与本合同有关的争议，甲乙丙三方应首先通过友好协商解决，如果协商不能解决，可向甲方所在地的</w:t>
      </w:r>
      <w:r>
        <w:rPr>
          <w:rFonts w:hint="eastAsia" w:ascii="宋体" w:hAnsi="宋体"/>
          <w:color w:val="auto"/>
          <w:szCs w:val="21"/>
          <w:highlight w:val="none"/>
          <w:u w:val="single"/>
        </w:rPr>
        <w:t xml:space="preserve">  人民法院提出诉讼</w:t>
      </w:r>
      <w:r>
        <w:rPr>
          <w:rFonts w:hint="eastAsia" w:ascii="宋体" w:hAnsi="宋体"/>
          <w:color w:val="auto"/>
          <w:szCs w:val="21"/>
          <w:highlight w:val="none"/>
        </w:rPr>
        <w:t>。</w:t>
      </w:r>
    </w:p>
    <w:p w14:paraId="5FFFABDB">
      <w:pPr>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3.仲裁或诉讼期间，本合同继续履行。</w:t>
      </w:r>
    </w:p>
    <w:p w14:paraId="280078D3">
      <w:pPr>
        <w:adjustRightInd w:val="0"/>
        <w:snapToGrid w:val="0"/>
        <w:spacing w:line="440" w:lineRule="exact"/>
        <w:ind w:firstLine="422" w:firstLineChars="200"/>
        <w:rPr>
          <w:rFonts w:ascii="宋体"/>
          <w:b/>
          <w:color w:val="auto"/>
          <w:szCs w:val="21"/>
          <w:highlight w:val="none"/>
        </w:rPr>
      </w:pPr>
      <w:r>
        <w:rPr>
          <w:rFonts w:hint="eastAsia" w:ascii="宋体"/>
          <w:b/>
          <w:color w:val="auto"/>
          <w:szCs w:val="21"/>
          <w:highlight w:val="none"/>
        </w:rPr>
        <w:t>第十三条 通知</w:t>
      </w:r>
    </w:p>
    <w:p w14:paraId="79F57962">
      <w:pPr>
        <w:spacing w:line="440" w:lineRule="exact"/>
        <w:ind w:firstLine="420" w:firstLineChars="200"/>
        <w:rPr>
          <w:color w:val="auto"/>
          <w:szCs w:val="20"/>
          <w:highlight w:val="none"/>
        </w:rPr>
      </w:pPr>
      <w:r>
        <w:rPr>
          <w:rFonts w:hint="eastAsia" w:ascii="宋体"/>
          <w:color w:val="auto"/>
          <w:szCs w:val="21"/>
          <w:highlight w:val="none"/>
        </w:rPr>
        <w:t>本合同约定地址及各自注册地址均可作为接受</w:t>
      </w:r>
      <w:r>
        <w:rPr>
          <w:rFonts w:hint="eastAsia" w:ascii="宋体" w:hAnsi="宋体"/>
          <w:color w:val="auto"/>
          <w:szCs w:val="21"/>
          <w:highlight w:val="none"/>
        </w:rPr>
        <w:t>三</w:t>
      </w:r>
      <w:r>
        <w:rPr>
          <w:rFonts w:hint="eastAsia" w:ascii="宋体"/>
          <w:color w:val="auto"/>
          <w:szCs w:val="21"/>
          <w:highlight w:val="none"/>
        </w:rPr>
        <w:t>方书面往来文件及争议解决法院诉讼文书等相关材料。一方变更联系地址应提前三日书面通知对方，未书面通知的，视为未变更。因载明的地址有误或未及时告知变更后的地址，导致相关材料未能实际被接收的，邮寄方式通知的，材料退回之日或交邮后第3日（以两者先到为准）即视为送达之日，此而引发的全部责任和损失均由该方自行承担。</w:t>
      </w:r>
    </w:p>
    <w:p w14:paraId="18672136">
      <w:pPr>
        <w:snapToGrid w:val="0"/>
        <w:spacing w:line="440" w:lineRule="exact"/>
        <w:ind w:firstLine="413" w:firstLineChars="196"/>
        <w:rPr>
          <w:rFonts w:ascii="宋体" w:hAnsi="宋体"/>
          <w:b/>
          <w:color w:val="auto"/>
          <w:szCs w:val="20"/>
          <w:highlight w:val="none"/>
        </w:rPr>
      </w:pPr>
      <w:r>
        <w:rPr>
          <w:rFonts w:hint="eastAsia" w:ascii="宋体" w:hAnsi="宋体"/>
          <w:b/>
          <w:color w:val="auto"/>
          <w:szCs w:val="20"/>
          <w:highlight w:val="none"/>
        </w:rPr>
        <w:t>第十四条 合同生效及其它</w:t>
      </w:r>
    </w:p>
    <w:p w14:paraId="02C522B0">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1．合同经三方法定代表人（负责人）或授权代表（委托代理人）签字并加盖单位公章后生效。</w:t>
      </w:r>
    </w:p>
    <w:p w14:paraId="2F4E9119">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2．合同执行中涉及采购资金和采购内容修改或补充的，须经北海市政府采购监督管理科审批，并签书面补充协议报北海市财政局政府采购监督管理科备案，方可作为主合同不可分割的一部分。</w:t>
      </w:r>
    </w:p>
    <w:p w14:paraId="41E109BA">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3．本合同未尽事宜，遵照《中华人民共和国民法典》有关条文执行。</w:t>
      </w:r>
    </w:p>
    <w:p w14:paraId="79C22E72">
      <w:pPr>
        <w:snapToGrid w:val="0"/>
        <w:spacing w:line="440" w:lineRule="exact"/>
        <w:ind w:firstLine="413" w:firstLineChars="196"/>
        <w:rPr>
          <w:rFonts w:ascii="宋体" w:hAnsi="宋体"/>
          <w:b/>
          <w:color w:val="auto"/>
          <w:szCs w:val="20"/>
          <w:highlight w:val="none"/>
        </w:rPr>
      </w:pPr>
      <w:r>
        <w:rPr>
          <w:rFonts w:hint="eastAsia" w:ascii="宋体" w:hAnsi="宋体"/>
          <w:b/>
          <w:color w:val="auto"/>
          <w:szCs w:val="20"/>
          <w:highlight w:val="none"/>
        </w:rPr>
        <w:t>第十五条　合同的变更、终止与转让</w:t>
      </w:r>
    </w:p>
    <w:p w14:paraId="745C0BD7">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1.除《中华人民共和国政府采购法》第五十条规定的情形外，本合同一经签订，甲乙丙三方不得擅自变更、中止或终止。</w:t>
      </w:r>
    </w:p>
    <w:p w14:paraId="261FB061">
      <w:pPr>
        <w:snapToGrid w:val="0"/>
        <w:spacing w:line="440" w:lineRule="exact"/>
        <w:ind w:firstLine="411" w:firstLineChars="196"/>
        <w:rPr>
          <w:rFonts w:ascii="宋体" w:hAnsi="宋体"/>
          <w:color w:val="auto"/>
          <w:szCs w:val="20"/>
          <w:highlight w:val="none"/>
        </w:rPr>
      </w:pPr>
      <w:r>
        <w:rPr>
          <w:rFonts w:hint="eastAsia" w:ascii="宋体" w:hAnsi="宋体"/>
          <w:color w:val="auto"/>
          <w:szCs w:val="20"/>
          <w:highlight w:val="none"/>
        </w:rPr>
        <w:t>2.乙方不得擅自转让其应履行的合同义务。</w:t>
      </w:r>
    </w:p>
    <w:p w14:paraId="744BFD36">
      <w:pPr>
        <w:snapToGrid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第十六条　签订本合同依据</w:t>
      </w:r>
    </w:p>
    <w:p w14:paraId="1D5EF5A5">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1.招标文件；</w:t>
      </w:r>
    </w:p>
    <w:p w14:paraId="037949B0">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2.投标文件；</w:t>
      </w:r>
    </w:p>
    <w:p w14:paraId="2BE723C9">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3.承诺函； </w:t>
      </w:r>
    </w:p>
    <w:p w14:paraId="03A96C94">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4.中标通知书。</w:t>
      </w:r>
    </w:p>
    <w:p w14:paraId="0988A963">
      <w:pPr>
        <w:snapToGrid w:val="0"/>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第十七条　</w:t>
      </w:r>
      <w:r>
        <w:rPr>
          <w:rFonts w:hint="eastAsia" w:ascii="宋体" w:hAnsi="宋体"/>
          <w:color w:val="auto"/>
          <w:szCs w:val="21"/>
          <w:highlight w:val="none"/>
        </w:rPr>
        <w:t>本合同一式伍份，具有同等法律效力，北海市财政局政府采购监督管理科、采购代理机构各一份，甲乙丙三方各一份（可根据需要另增加）。</w:t>
      </w:r>
    </w:p>
    <w:p w14:paraId="70332770">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本合同甲乙丙三方签字盖章后生效，自签订之日起七个工作日内，采购人或采购代理机构应当将合同副本报北海市财政局政府采购监督管理科备案。</w:t>
      </w:r>
    </w:p>
    <w:p w14:paraId="2CA6A57A">
      <w:pPr>
        <w:keepNext/>
        <w:keepLines/>
        <w:widowControl/>
        <w:tabs>
          <w:tab w:val="left" w:pos="360"/>
        </w:tabs>
        <w:adjustRightInd w:val="0"/>
        <w:snapToGrid w:val="0"/>
        <w:spacing w:before="156" w:beforeLines="50" w:after="156" w:afterLines="50" w:line="420" w:lineRule="exact"/>
        <w:ind w:firstLine="422" w:firstLineChars="200"/>
        <w:outlineLvl w:val="1"/>
        <w:rPr>
          <w:rFonts w:ascii="宋体" w:hAnsi="宋体"/>
          <w:b/>
          <w:color w:val="auto"/>
          <w:szCs w:val="21"/>
          <w:highlight w:val="none"/>
        </w:rPr>
      </w:pPr>
      <w:r>
        <w:rPr>
          <w:rFonts w:hint="eastAsia" w:ascii="宋体" w:hAnsi="宋体"/>
          <w:b/>
          <w:color w:val="auto"/>
          <w:szCs w:val="21"/>
          <w:highlight w:val="none"/>
        </w:rPr>
        <w:t>（下无正文）</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3367"/>
        <w:gridCol w:w="3267"/>
      </w:tblGrid>
      <w:tr w14:paraId="790E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8" w:hRule="atLeast"/>
        </w:trPr>
        <w:tc>
          <w:tcPr>
            <w:tcW w:w="3163" w:type="dxa"/>
            <w:vAlign w:val="center"/>
          </w:tcPr>
          <w:p w14:paraId="78B090F6">
            <w:pPr>
              <w:snapToGrid w:val="0"/>
              <w:spacing w:line="420" w:lineRule="exact"/>
              <w:rPr>
                <w:rFonts w:ascii="宋体" w:hAnsi="宋体"/>
                <w:color w:val="auto"/>
                <w:szCs w:val="21"/>
                <w:highlight w:val="none"/>
              </w:rPr>
            </w:pPr>
            <w:r>
              <w:rPr>
                <w:rFonts w:hint="eastAsia" w:ascii="宋体" w:hAnsi="宋体"/>
                <w:color w:val="auto"/>
                <w:szCs w:val="21"/>
                <w:highlight w:val="none"/>
              </w:rPr>
              <w:t xml:space="preserve">甲方（章）           </w:t>
            </w:r>
          </w:p>
          <w:p w14:paraId="14206927">
            <w:pPr>
              <w:snapToGrid w:val="0"/>
              <w:spacing w:line="420" w:lineRule="exact"/>
              <w:rPr>
                <w:rFonts w:ascii="宋体" w:hAnsi="宋体"/>
                <w:color w:val="auto"/>
                <w:szCs w:val="21"/>
                <w:highlight w:val="none"/>
              </w:rPr>
            </w:pPr>
          </w:p>
          <w:p w14:paraId="78BF13E4">
            <w:pPr>
              <w:snapToGrid w:val="0"/>
              <w:spacing w:line="420" w:lineRule="exact"/>
              <w:ind w:right="210"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3367" w:type="dxa"/>
            <w:vAlign w:val="center"/>
          </w:tcPr>
          <w:p w14:paraId="66D67E60">
            <w:pPr>
              <w:snapToGrid w:val="0"/>
              <w:spacing w:line="420" w:lineRule="exact"/>
              <w:rPr>
                <w:rFonts w:ascii="宋体" w:hAnsi="宋体"/>
                <w:color w:val="auto"/>
                <w:szCs w:val="21"/>
                <w:highlight w:val="none"/>
              </w:rPr>
            </w:pPr>
            <w:r>
              <w:rPr>
                <w:rFonts w:hint="eastAsia" w:ascii="宋体" w:hAnsi="宋体"/>
                <w:color w:val="auto"/>
                <w:szCs w:val="21"/>
                <w:highlight w:val="none"/>
              </w:rPr>
              <w:t xml:space="preserve">乙方（章）              </w:t>
            </w:r>
          </w:p>
          <w:p w14:paraId="4358EBC8">
            <w:pPr>
              <w:snapToGrid w:val="0"/>
              <w:spacing w:line="420" w:lineRule="exact"/>
              <w:rPr>
                <w:rFonts w:ascii="宋体" w:hAnsi="宋体"/>
                <w:color w:val="auto"/>
                <w:szCs w:val="21"/>
                <w:highlight w:val="none"/>
              </w:rPr>
            </w:pPr>
          </w:p>
          <w:p w14:paraId="4BBCCFCB">
            <w:pPr>
              <w:snapToGrid w:val="0"/>
              <w:spacing w:line="42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c>
          <w:tcPr>
            <w:tcW w:w="3267" w:type="dxa"/>
            <w:vAlign w:val="center"/>
          </w:tcPr>
          <w:p w14:paraId="2465EAB0">
            <w:pPr>
              <w:snapToGrid w:val="0"/>
              <w:spacing w:line="420" w:lineRule="exact"/>
              <w:rPr>
                <w:rFonts w:ascii="宋体" w:hAnsi="宋体"/>
                <w:color w:val="auto"/>
                <w:szCs w:val="21"/>
                <w:highlight w:val="none"/>
              </w:rPr>
            </w:pPr>
            <w:r>
              <w:rPr>
                <w:rFonts w:hint="eastAsia" w:ascii="宋体" w:hAnsi="宋体"/>
                <w:color w:val="auto"/>
                <w:szCs w:val="21"/>
                <w:highlight w:val="none"/>
              </w:rPr>
              <w:t xml:space="preserve">丙方（章）              </w:t>
            </w:r>
          </w:p>
          <w:p w14:paraId="185C4A04">
            <w:pPr>
              <w:snapToGrid w:val="0"/>
              <w:spacing w:line="420" w:lineRule="exact"/>
              <w:rPr>
                <w:rFonts w:ascii="宋体" w:hAnsi="宋体"/>
                <w:color w:val="auto"/>
                <w:szCs w:val="21"/>
                <w:highlight w:val="none"/>
              </w:rPr>
            </w:pPr>
          </w:p>
          <w:p w14:paraId="3A5F901D">
            <w:pPr>
              <w:snapToGrid w:val="0"/>
              <w:spacing w:line="42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00F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06076B3F">
            <w:pPr>
              <w:snapToGrid w:val="0"/>
              <w:spacing w:line="420" w:lineRule="exact"/>
              <w:rPr>
                <w:rFonts w:ascii="宋体" w:hAnsi="宋体"/>
                <w:color w:val="auto"/>
                <w:szCs w:val="21"/>
                <w:highlight w:val="none"/>
              </w:rPr>
            </w:pPr>
            <w:r>
              <w:rPr>
                <w:rFonts w:hint="eastAsia" w:ascii="宋体" w:hAnsi="宋体"/>
                <w:color w:val="auto"/>
                <w:szCs w:val="21"/>
                <w:highlight w:val="none"/>
              </w:rPr>
              <w:t>单位地址：</w:t>
            </w:r>
          </w:p>
        </w:tc>
        <w:tc>
          <w:tcPr>
            <w:tcW w:w="3367" w:type="dxa"/>
            <w:vAlign w:val="center"/>
          </w:tcPr>
          <w:p w14:paraId="59FB6CDD">
            <w:pPr>
              <w:snapToGrid w:val="0"/>
              <w:spacing w:line="420" w:lineRule="exact"/>
              <w:rPr>
                <w:rFonts w:ascii="宋体" w:hAnsi="宋体"/>
                <w:color w:val="auto"/>
                <w:szCs w:val="21"/>
                <w:highlight w:val="none"/>
              </w:rPr>
            </w:pPr>
            <w:r>
              <w:rPr>
                <w:rFonts w:hint="eastAsia" w:ascii="宋体" w:hAnsi="宋体"/>
                <w:color w:val="auto"/>
                <w:szCs w:val="21"/>
                <w:highlight w:val="none"/>
              </w:rPr>
              <w:t>单位地址：</w:t>
            </w:r>
          </w:p>
        </w:tc>
        <w:tc>
          <w:tcPr>
            <w:tcW w:w="3267" w:type="dxa"/>
            <w:vAlign w:val="center"/>
          </w:tcPr>
          <w:p w14:paraId="7BEA6B2F">
            <w:pPr>
              <w:snapToGrid w:val="0"/>
              <w:spacing w:line="420" w:lineRule="exact"/>
              <w:rPr>
                <w:rFonts w:ascii="宋体" w:hAnsi="宋体"/>
                <w:color w:val="auto"/>
                <w:szCs w:val="21"/>
                <w:highlight w:val="none"/>
              </w:rPr>
            </w:pPr>
            <w:r>
              <w:rPr>
                <w:rFonts w:hint="eastAsia" w:ascii="宋体" w:hAnsi="宋体"/>
                <w:color w:val="auto"/>
                <w:szCs w:val="21"/>
                <w:highlight w:val="none"/>
              </w:rPr>
              <w:t>单位地址：</w:t>
            </w:r>
          </w:p>
        </w:tc>
      </w:tr>
      <w:tr w14:paraId="1ED1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08F285F9">
            <w:pPr>
              <w:snapToGrid w:val="0"/>
              <w:spacing w:line="420" w:lineRule="exact"/>
              <w:rPr>
                <w:rFonts w:ascii="宋体" w:hAnsi="宋体"/>
                <w:color w:val="auto"/>
                <w:szCs w:val="21"/>
                <w:highlight w:val="none"/>
              </w:rPr>
            </w:pPr>
            <w:r>
              <w:rPr>
                <w:rFonts w:hint="eastAsia" w:ascii="宋体" w:hAnsi="宋体"/>
                <w:color w:val="auto"/>
                <w:szCs w:val="21"/>
                <w:highlight w:val="none"/>
              </w:rPr>
              <w:t>法定代表人（负责人）：</w:t>
            </w:r>
          </w:p>
        </w:tc>
        <w:tc>
          <w:tcPr>
            <w:tcW w:w="3367" w:type="dxa"/>
            <w:vAlign w:val="center"/>
          </w:tcPr>
          <w:p w14:paraId="120118FF">
            <w:pPr>
              <w:snapToGrid w:val="0"/>
              <w:spacing w:line="420" w:lineRule="exact"/>
              <w:rPr>
                <w:rFonts w:ascii="宋体" w:hAnsi="宋体"/>
                <w:color w:val="auto"/>
                <w:szCs w:val="21"/>
                <w:highlight w:val="none"/>
              </w:rPr>
            </w:pPr>
            <w:r>
              <w:rPr>
                <w:rFonts w:hint="eastAsia" w:ascii="宋体" w:hAnsi="宋体"/>
                <w:color w:val="auto"/>
                <w:szCs w:val="21"/>
                <w:highlight w:val="none"/>
              </w:rPr>
              <w:t>法定代表人（负责人）：</w:t>
            </w:r>
          </w:p>
        </w:tc>
        <w:tc>
          <w:tcPr>
            <w:tcW w:w="3267" w:type="dxa"/>
            <w:vAlign w:val="center"/>
          </w:tcPr>
          <w:p w14:paraId="5EAA3F5D">
            <w:pPr>
              <w:snapToGrid w:val="0"/>
              <w:spacing w:line="420" w:lineRule="exact"/>
              <w:rPr>
                <w:rFonts w:ascii="宋体" w:hAnsi="宋体"/>
                <w:color w:val="auto"/>
                <w:szCs w:val="21"/>
                <w:highlight w:val="none"/>
              </w:rPr>
            </w:pPr>
            <w:r>
              <w:rPr>
                <w:rFonts w:hint="eastAsia" w:ascii="宋体" w:hAnsi="宋体"/>
                <w:color w:val="auto"/>
                <w:szCs w:val="21"/>
                <w:highlight w:val="none"/>
              </w:rPr>
              <w:t>法定代表人（负责人）：</w:t>
            </w:r>
          </w:p>
        </w:tc>
      </w:tr>
      <w:tr w14:paraId="600C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285988C5">
            <w:pPr>
              <w:snapToGrid w:val="0"/>
              <w:spacing w:line="420" w:lineRule="exact"/>
              <w:rPr>
                <w:rFonts w:ascii="宋体" w:hAnsi="宋体"/>
                <w:color w:val="auto"/>
                <w:szCs w:val="21"/>
                <w:highlight w:val="none"/>
              </w:rPr>
            </w:pPr>
            <w:r>
              <w:rPr>
                <w:rFonts w:hint="eastAsia" w:ascii="宋体" w:hAnsi="宋体"/>
                <w:color w:val="auto"/>
                <w:szCs w:val="21"/>
                <w:highlight w:val="none"/>
              </w:rPr>
              <w:t>委托代理人：</w:t>
            </w:r>
          </w:p>
        </w:tc>
        <w:tc>
          <w:tcPr>
            <w:tcW w:w="3367" w:type="dxa"/>
            <w:vAlign w:val="center"/>
          </w:tcPr>
          <w:p w14:paraId="0FEB89E8">
            <w:pPr>
              <w:snapToGrid w:val="0"/>
              <w:spacing w:line="420" w:lineRule="exact"/>
              <w:rPr>
                <w:rFonts w:ascii="宋体" w:hAnsi="宋体"/>
                <w:color w:val="auto"/>
                <w:szCs w:val="21"/>
                <w:highlight w:val="none"/>
              </w:rPr>
            </w:pPr>
            <w:r>
              <w:rPr>
                <w:rFonts w:hint="eastAsia" w:ascii="宋体" w:hAnsi="宋体"/>
                <w:color w:val="auto"/>
                <w:szCs w:val="21"/>
                <w:highlight w:val="none"/>
              </w:rPr>
              <w:t>委托代理人</w:t>
            </w:r>
          </w:p>
        </w:tc>
        <w:tc>
          <w:tcPr>
            <w:tcW w:w="3267" w:type="dxa"/>
            <w:vAlign w:val="center"/>
          </w:tcPr>
          <w:p w14:paraId="3AC1B0D1">
            <w:pPr>
              <w:snapToGrid w:val="0"/>
              <w:spacing w:line="420" w:lineRule="exact"/>
              <w:rPr>
                <w:rFonts w:ascii="宋体" w:hAnsi="宋体"/>
                <w:color w:val="auto"/>
                <w:szCs w:val="21"/>
                <w:highlight w:val="none"/>
              </w:rPr>
            </w:pPr>
            <w:r>
              <w:rPr>
                <w:rFonts w:hint="eastAsia" w:ascii="宋体" w:hAnsi="宋体"/>
                <w:color w:val="auto"/>
                <w:szCs w:val="21"/>
                <w:highlight w:val="none"/>
              </w:rPr>
              <w:t>委托代理人</w:t>
            </w:r>
          </w:p>
        </w:tc>
      </w:tr>
      <w:tr w14:paraId="2FF9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04478D8E">
            <w:pPr>
              <w:snapToGrid w:val="0"/>
              <w:spacing w:line="420" w:lineRule="exact"/>
              <w:rPr>
                <w:rFonts w:ascii="宋体" w:hAnsi="宋体"/>
                <w:color w:val="auto"/>
                <w:szCs w:val="21"/>
                <w:highlight w:val="none"/>
              </w:rPr>
            </w:pPr>
            <w:r>
              <w:rPr>
                <w:rFonts w:hint="eastAsia" w:ascii="宋体" w:hAnsi="宋体"/>
                <w:color w:val="auto"/>
                <w:szCs w:val="21"/>
                <w:highlight w:val="none"/>
              </w:rPr>
              <w:t>电话：</w:t>
            </w:r>
          </w:p>
        </w:tc>
        <w:tc>
          <w:tcPr>
            <w:tcW w:w="3367" w:type="dxa"/>
            <w:vAlign w:val="center"/>
          </w:tcPr>
          <w:p w14:paraId="426A77F8">
            <w:pPr>
              <w:snapToGrid w:val="0"/>
              <w:spacing w:line="420" w:lineRule="exact"/>
              <w:rPr>
                <w:rFonts w:ascii="宋体" w:hAnsi="宋体"/>
                <w:color w:val="auto"/>
                <w:szCs w:val="21"/>
                <w:highlight w:val="none"/>
              </w:rPr>
            </w:pPr>
            <w:r>
              <w:rPr>
                <w:rFonts w:hint="eastAsia" w:ascii="宋体" w:hAnsi="宋体"/>
                <w:color w:val="auto"/>
                <w:szCs w:val="21"/>
                <w:highlight w:val="none"/>
              </w:rPr>
              <w:t>电话：</w:t>
            </w:r>
          </w:p>
        </w:tc>
        <w:tc>
          <w:tcPr>
            <w:tcW w:w="3267" w:type="dxa"/>
            <w:vAlign w:val="center"/>
          </w:tcPr>
          <w:p w14:paraId="19C6A05A">
            <w:pPr>
              <w:snapToGrid w:val="0"/>
              <w:spacing w:line="420" w:lineRule="exact"/>
              <w:rPr>
                <w:rFonts w:ascii="宋体" w:hAnsi="宋体"/>
                <w:color w:val="auto"/>
                <w:szCs w:val="21"/>
                <w:highlight w:val="none"/>
              </w:rPr>
            </w:pPr>
            <w:r>
              <w:rPr>
                <w:rFonts w:hint="eastAsia" w:ascii="宋体" w:hAnsi="宋体"/>
                <w:color w:val="auto"/>
                <w:szCs w:val="21"/>
                <w:highlight w:val="none"/>
              </w:rPr>
              <w:t>电话：</w:t>
            </w:r>
          </w:p>
        </w:tc>
      </w:tr>
      <w:tr w14:paraId="7730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02B79597">
            <w:pPr>
              <w:snapToGrid w:val="0"/>
              <w:spacing w:line="420" w:lineRule="exact"/>
              <w:rPr>
                <w:rFonts w:ascii="宋体" w:hAnsi="宋体"/>
                <w:color w:val="auto"/>
                <w:szCs w:val="21"/>
                <w:highlight w:val="none"/>
              </w:rPr>
            </w:pPr>
            <w:r>
              <w:rPr>
                <w:rFonts w:hint="eastAsia" w:ascii="宋体" w:hAnsi="宋体"/>
                <w:color w:val="auto"/>
                <w:szCs w:val="21"/>
                <w:highlight w:val="none"/>
              </w:rPr>
              <w:t>电子邮箱：</w:t>
            </w:r>
          </w:p>
        </w:tc>
        <w:tc>
          <w:tcPr>
            <w:tcW w:w="3367" w:type="dxa"/>
            <w:vAlign w:val="center"/>
          </w:tcPr>
          <w:p w14:paraId="100B6944">
            <w:pPr>
              <w:snapToGrid w:val="0"/>
              <w:spacing w:line="420" w:lineRule="exact"/>
              <w:rPr>
                <w:rFonts w:ascii="宋体" w:hAnsi="宋体"/>
                <w:color w:val="auto"/>
                <w:szCs w:val="21"/>
                <w:highlight w:val="none"/>
              </w:rPr>
            </w:pPr>
            <w:r>
              <w:rPr>
                <w:rFonts w:hint="eastAsia" w:ascii="宋体" w:hAnsi="宋体"/>
                <w:color w:val="auto"/>
                <w:szCs w:val="21"/>
                <w:highlight w:val="none"/>
              </w:rPr>
              <w:t>电子邮箱：</w:t>
            </w:r>
          </w:p>
        </w:tc>
        <w:tc>
          <w:tcPr>
            <w:tcW w:w="3267" w:type="dxa"/>
            <w:vAlign w:val="center"/>
          </w:tcPr>
          <w:p w14:paraId="1A66ABEA">
            <w:pPr>
              <w:snapToGrid w:val="0"/>
              <w:spacing w:line="420" w:lineRule="exact"/>
              <w:rPr>
                <w:rFonts w:ascii="宋体" w:hAnsi="宋体"/>
                <w:color w:val="auto"/>
                <w:szCs w:val="21"/>
                <w:highlight w:val="none"/>
              </w:rPr>
            </w:pPr>
            <w:r>
              <w:rPr>
                <w:rFonts w:hint="eastAsia" w:ascii="宋体" w:hAnsi="宋体"/>
                <w:color w:val="auto"/>
                <w:szCs w:val="21"/>
                <w:highlight w:val="none"/>
              </w:rPr>
              <w:t>电子邮箱：</w:t>
            </w:r>
          </w:p>
        </w:tc>
      </w:tr>
      <w:tr w14:paraId="27B7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46E1EAA3">
            <w:pPr>
              <w:snapToGrid w:val="0"/>
              <w:spacing w:line="420" w:lineRule="exact"/>
              <w:rPr>
                <w:rFonts w:ascii="宋体" w:hAnsi="宋体"/>
                <w:color w:val="auto"/>
                <w:szCs w:val="21"/>
                <w:highlight w:val="none"/>
              </w:rPr>
            </w:pPr>
            <w:r>
              <w:rPr>
                <w:rFonts w:hint="eastAsia" w:ascii="宋体" w:hAnsi="宋体"/>
                <w:color w:val="auto"/>
                <w:szCs w:val="21"/>
                <w:highlight w:val="none"/>
              </w:rPr>
              <w:t>开户银行：</w:t>
            </w:r>
          </w:p>
        </w:tc>
        <w:tc>
          <w:tcPr>
            <w:tcW w:w="3367" w:type="dxa"/>
            <w:vAlign w:val="center"/>
          </w:tcPr>
          <w:p w14:paraId="253AAA28">
            <w:pPr>
              <w:snapToGrid w:val="0"/>
              <w:spacing w:line="420" w:lineRule="exact"/>
              <w:rPr>
                <w:rFonts w:ascii="宋体" w:hAnsi="宋体"/>
                <w:color w:val="auto"/>
                <w:szCs w:val="21"/>
                <w:highlight w:val="none"/>
              </w:rPr>
            </w:pPr>
            <w:r>
              <w:rPr>
                <w:rFonts w:hint="eastAsia" w:ascii="宋体" w:hAnsi="宋体"/>
                <w:color w:val="auto"/>
                <w:szCs w:val="21"/>
                <w:highlight w:val="none"/>
              </w:rPr>
              <w:t>开户银行：</w:t>
            </w:r>
          </w:p>
        </w:tc>
        <w:tc>
          <w:tcPr>
            <w:tcW w:w="3267" w:type="dxa"/>
            <w:vAlign w:val="center"/>
          </w:tcPr>
          <w:p w14:paraId="1F5A3143">
            <w:pPr>
              <w:snapToGrid w:val="0"/>
              <w:spacing w:line="420" w:lineRule="exact"/>
              <w:rPr>
                <w:rFonts w:ascii="宋体" w:hAnsi="宋体"/>
                <w:color w:val="auto"/>
                <w:szCs w:val="21"/>
                <w:highlight w:val="none"/>
              </w:rPr>
            </w:pPr>
            <w:r>
              <w:rPr>
                <w:rFonts w:hint="eastAsia" w:ascii="宋体" w:hAnsi="宋体"/>
                <w:color w:val="auto"/>
                <w:szCs w:val="21"/>
                <w:highlight w:val="none"/>
              </w:rPr>
              <w:t>开户银行：</w:t>
            </w:r>
          </w:p>
        </w:tc>
      </w:tr>
      <w:tr w14:paraId="2299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12259FD2">
            <w:pPr>
              <w:snapToGrid w:val="0"/>
              <w:spacing w:line="420" w:lineRule="exact"/>
              <w:rPr>
                <w:rFonts w:ascii="宋体" w:hAnsi="宋体"/>
                <w:color w:val="auto"/>
                <w:szCs w:val="21"/>
                <w:highlight w:val="none"/>
              </w:rPr>
            </w:pPr>
            <w:r>
              <w:rPr>
                <w:rFonts w:hint="eastAsia" w:ascii="宋体" w:hAnsi="宋体"/>
                <w:color w:val="auto"/>
                <w:szCs w:val="21"/>
                <w:highlight w:val="none"/>
              </w:rPr>
              <w:t>账号：</w:t>
            </w:r>
          </w:p>
        </w:tc>
        <w:tc>
          <w:tcPr>
            <w:tcW w:w="3367" w:type="dxa"/>
            <w:vAlign w:val="center"/>
          </w:tcPr>
          <w:p w14:paraId="496FE709">
            <w:pPr>
              <w:snapToGrid w:val="0"/>
              <w:spacing w:line="420" w:lineRule="exact"/>
              <w:rPr>
                <w:rFonts w:ascii="宋体" w:hAnsi="宋体"/>
                <w:color w:val="auto"/>
                <w:szCs w:val="21"/>
                <w:highlight w:val="none"/>
              </w:rPr>
            </w:pPr>
            <w:r>
              <w:rPr>
                <w:rFonts w:hint="eastAsia" w:ascii="宋体" w:hAnsi="宋体"/>
                <w:color w:val="auto"/>
                <w:szCs w:val="21"/>
                <w:highlight w:val="none"/>
              </w:rPr>
              <w:t>账号：</w:t>
            </w:r>
          </w:p>
        </w:tc>
        <w:tc>
          <w:tcPr>
            <w:tcW w:w="3267" w:type="dxa"/>
            <w:vAlign w:val="center"/>
          </w:tcPr>
          <w:p w14:paraId="54EE4BB5">
            <w:pPr>
              <w:snapToGrid w:val="0"/>
              <w:spacing w:line="420" w:lineRule="exact"/>
              <w:rPr>
                <w:rFonts w:ascii="宋体" w:hAnsi="宋体"/>
                <w:color w:val="auto"/>
                <w:szCs w:val="21"/>
                <w:highlight w:val="none"/>
              </w:rPr>
            </w:pPr>
            <w:r>
              <w:rPr>
                <w:rFonts w:hint="eastAsia" w:ascii="宋体" w:hAnsi="宋体"/>
                <w:color w:val="auto"/>
                <w:szCs w:val="21"/>
                <w:highlight w:val="none"/>
              </w:rPr>
              <w:t>账号：</w:t>
            </w:r>
          </w:p>
        </w:tc>
      </w:tr>
      <w:tr w14:paraId="07DA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7DF3DEE9">
            <w:pPr>
              <w:snapToGrid w:val="0"/>
              <w:spacing w:line="420" w:lineRule="exact"/>
              <w:rPr>
                <w:rFonts w:ascii="宋体" w:hAnsi="宋体"/>
                <w:color w:val="auto"/>
                <w:szCs w:val="21"/>
                <w:highlight w:val="none"/>
              </w:rPr>
            </w:pPr>
            <w:r>
              <w:rPr>
                <w:rFonts w:hint="eastAsia" w:ascii="宋体" w:hAnsi="宋体"/>
                <w:color w:val="auto"/>
                <w:szCs w:val="21"/>
                <w:highlight w:val="none"/>
              </w:rPr>
              <w:t>邮政编码：</w:t>
            </w:r>
          </w:p>
        </w:tc>
        <w:tc>
          <w:tcPr>
            <w:tcW w:w="3367" w:type="dxa"/>
            <w:vAlign w:val="center"/>
          </w:tcPr>
          <w:p w14:paraId="357EB31E">
            <w:pPr>
              <w:snapToGrid w:val="0"/>
              <w:spacing w:line="420" w:lineRule="exact"/>
              <w:rPr>
                <w:rFonts w:ascii="宋体" w:hAnsi="宋体"/>
                <w:color w:val="auto"/>
                <w:szCs w:val="21"/>
                <w:highlight w:val="none"/>
              </w:rPr>
            </w:pPr>
            <w:r>
              <w:rPr>
                <w:rFonts w:hint="eastAsia" w:ascii="宋体" w:hAnsi="宋体"/>
                <w:color w:val="auto"/>
                <w:szCs w:val="21"/>
                <w:highlight w:val="none"/>
              </w:rPr>
              <w:t>邮政编码：</w:t>
            </w:r>
          </w:p>
        </w:tc>
        <w:tc>
          <w:tcPr>
            <w:tcW w:w="3267" w:type="dxa"/>
            <w:vAlign w:val="center"/>
          </w:tcPr>
          <w:p w14:paraId="3E8F100D">
            <w:pPr>
              <w:snapToGrid w:val="0"/>
              <w:spacing w:line="420" w:lineRule="exact"/>
              <w:rPr>
                <w:rFonts w:ascii="宋体" w:hAnsi="宋体"/>
                <w:color w:val="auto"/>
                <w:szCs w:val="21"/>
                <w:highlight w:val="none"/>
              </w:rPr>
            </w:pPr>
            <w:r>
              <w:rPr>
                <w:rFonts w:hint="eastAsia" w:ascii="宋体" w:hAnsi="宋体"/>
                <w:color w:val="auto"/>
                <w:szCs w:val="21"/>
                <w:highlight w:val="none"/>
              </w:rPr>
              <w:t>邮政编码：</w:t>
            </w:r>
          </w:p>
        </w:tc>
      </w:tr>
      <w:tr w14:paraId="6548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797" w:type="dxa"/>
            <w:gridSpan w:val="3"/>
          </w:tcPr>
          <w:p w14:paraId="2288E73E">
            <w:pPr>
              <w:snapToGrid w:val="0"/>
              <w:spacing w:line="420" w:lineRule="exact"/>
              <w:rPr>
                <w:rFonts w:ascii="宋体" w:hAnsi="宋体"/>
                <w:color w:val="auto"/>
                <w:szCs w:val="21"/>
                <w:highlight w:val="none"/>
              </w:rPr>
            </w:pPr>
            <w:r>
              <w:rPr>
                <w:rFonts w:hint="eastAsia" w:ascii="宋体" w:hAnsi="宋体"/>
                <w:color w:val="auto"/>
                <w:szCs w:val="21"/>
                <w:highlight w:val="none"/>
              </w:rPr>
              <w:t>经办人：</w:t>
            </w:r>
          </w:p>
          <w:p w14:paraId="3779BF6D">
            <w:pPr>
              <w:snapToGrid w:val="0"/>
              <w:spacing w:line="420" w:lineRule="exact"/>
              <w:rPr>
                <w:rFonts w:ascii="宋体" w:hAnsi="宋体"/>
                <w:color w:val="auto"/>
                <w:szCs w:val="21"/>
                <w:highlight w:val="none"/>
              </w:rPr>
            </w:pPr>
          </w:p>
          <w:p w14:paraId="427B2712">
            <w:pPr>
              <w:snapToGrid w:val="0"/>
              <w:spacing w:line="420" w:lineRule="exact"/>
              <w:rPr>
                <w:rFonts w:ascii="宋体" w:hAnsi="宋体"/>
                <w:color w:val="auto"/>
                <w:szCs w:val="21"/>
                <w:highlight w:val="none"/>
              </w:rPr>
            </w:pPr>
          </w:p>
          <w:p w14:paraId="5D79A3B4">
            <w:pPr>
              <w:snapToGrid w:val="0"/>
              <w:spacing w:line="420" w:lineRule="exact"/>
              <w:rPr>
                <w:rFonts w:ascii="宋体" w:hAnsi="宋体"/>
                <w:color w:val="auto"/>
                <w:szCs w:val="21"/>
                <w:highlight w:val="none"/>
              </w:rPr>
            </w:pPr>
          </w:p>
          <w:p w14:paraId="088F6A40">
            <w:pPr>
              <w:snapToGrid w:val="0"/>
              <w:spacing w:line="420" w:lineRule="exact"/>
              <w:ind w:firstLine="630" w:firstLineChars="300"/>
              <w:jc w:val="right"/>
              <w:rPr>
                <w:rFonts w:ascii="宋体" w:hAnsi="宋体"/>
                <w:color w:val="auto"/>
                <w:szCs w:val="21"/>
                <w:highlight w:val="none"/>
              </w:rPr>
            </w:pPr>
            <w:r>
              <w:rPr>
                <w:rFonts w:hint="eastAsia" w:ascii="宋体" w:hAnsi="宋体"/>
                <w:color w:val="auto"/>
                <w:szCs w:val="21"/>
                <w:highlight w:val="none"/>
              </w:rPr>
              <w:t>年    月    日</w:t>
            </w:r>
          </w:p>
        </w:tc>
      </w:tr>
    </w:tbl>
    <w:p w14:paraId="34FF95D7">
      <w:pPr>
        <w:snapToGrid w:val="0"/>
        <w:spacing w:line="420" w:lineRule="exact"/>
        <w:rPr>
          <w:rFonts w:ascii="宋体" w:hAnsi="宋体"/>
          <w:b/>
          <w:color w:val="auto"/>
          <w:szCs w:val="21"/>
          <w:highlight w:val="none"/>
        </w:rPr>
      </w:pPr>
    </w:p>
    <w:p w14:paraId="608D9981">
      <w:pPr>
        <w:snapToGrid w:val="0"/>
        <w:spacing w:line="420" w:lineRule="exact"/>
        <w:jc w:val="center"/>
        <w:rPr>
          <w:rFonts w:ascii="宋体" w:hAnsi="宋体"/>
          <w:b/>
          <w:color w:val="auto"/>
          <w:sz w:val="28"/>
          <w:szCs w:val="28"/>
          <w:highlight w:val="none"/>
        </w:rPr>
      </w:pPr>
      <w:r>
        <w:rPr>
          <w:rFonts w:hint="eastAsia" w:ascii="宋体" w:hAnsi="宋体"/>
          <w:b/>
          <w:color w:val="auto"/>
          <w:sz w:val="28"/>
          <w:szCs w:val="28"/>
          <w:highlight w:val="none"/>
        </w:rPr>
        <w:t>合 同 附 件</w:t>
      </w:r>
    </w:p>
    <w:tbl>
      <w:tblPr>
        <w:tblStyle w:val="64"/>
        <w:tblW w:w="0" w:type="auto"/>
        <w:tblInd w:w="0" w:type="dxa"/>
        <w:tblLayout w:type="fixed"/>
        <w:tblCellMar>
          <w:top w:w="0" w:type="dxa"/>
          <w:left w:w="108" w:type="dxa"/>
          <w:bottom w:w="0" w:type="dxa"/>
          <w:right w:w="108" w:type="dxa"/>
        </w:tblCellMar>
      </w:tblPr>
      <w:tblGrid>
        <w:gridCol w:w="4623"/>
        <w:gridCol w:w="4665"/>
      </w:tblGrid>
      <w:tr w14:paraId="1537754F">
        <w:tblPrEx>
          <w:tblCellMar>
            <w:top w:w="0" w:type="dxa"/>
            <w:left w:w="108" w:type="dxa"/>
            <w:bottom w:w="0" w:type="dxa"/>
            <w:right w:w="108" w:type="dxa"/>
          </w:tblCellMar>
        </w:tblPrEx>
        <w:trPr>
          <w:trHeight w:val="1202" w:hRule="atLeast"/>
        </w:trPr>
        <w:tc>
          <w:tcPr>
            <w:tcW w:w="9288" w:type="dxa"/>
            <w:gridSpan w:val="2"/>
            <w:tcBorders>
              <w:top w:val="single" w:color="auto" w:sz="4" w:space="0"/>
              <w:left w:val="single" w:color="auto" w:sz="4" w:space="0"/>
              <w:right w:val="single" w:color="auto" w:sz="4" w:space="0"/>
            </w:tcBorders>
          </w:tcPr>
          <w:p w14:paraId="07ADB395">
            <w:pPr>
              <w:snapToGrid w:val="0"/>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1、供应商承诺具体事项：</w:t>
            </w:r>
            <w:r>
              <w:rPr>
                <w:rFonts w:hint="eastAsia" w:ascii="宋体" w:hAnsi="宋体"/>
                <w:bCs/>
                <w:color w:val="auto"/>
                <w:szCs w:val="21"/>
                <w:highlight w:val="none"/>
              </w:rPr>
              <w:t>见招投标文件</w:t>
            </w:r>
          </w:p>
        </w:tc>
      </w:tr>
      <w:tr w14:paraId="32F5D90A">
        <w:tblPrEx>
          <w:tblCellMar>
            <w:top w:w="0" w:type="dxa"/>
            <w:left w:w="108" w:type="dxa"/>
            <w:bottom w:w="0" w:type="dxa"/>
            <w:right w:w="108" w:type="dxa"/>
          </w:tblCellMar>
        </w:tblPrEx>
        <w:trPr>
          <w:trHeight w:val="1385" w:hRule="atLeast"/>
        </w:trPr>
        <w:tc>
          <w:tcPr>
            <w:tcW w:w="9288" w:type="dxa"/>
            <w:gridSpan w:val="2"/>
            <w:tcBorders>
              <w:top w:val="single" w:color="auto" w:sz="4" w:space="0"/>
              <w:left w:val="single" w:color="auto" w:sz="4" w:space="0"/>
              <w:right w:val="single" w:color="auto" w:sz="4" w:space="0"/>
            </w:tcBorders>
          </w:tcPr>
          <w:p w14:paraId="52AD226F">
            <w:pPr>
              <w:snapToGrid w:val="0"/>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2、服务期责任：</w:t>
            </w:r>
            <w:r>
              <w:rPr>
                <w:rFonts w:hint="eastAsia" w:ascii="宋体" w:hAnsi="宋体"/>
                <w:bCs/>
                <w:color w:val="auto"/>
                <w:szCs w:val="21"/>
                <w:highlight w:val="none"/>
              </w:rPr>
              <w:t>见招投标文件</w:t>
            </w:r>
          </w:p>
        </w:tc>
      </w:tr>
      <w:tr w14:paraId="7D0D400E">
        <w:tblPrEx>
          <w:tblCellMar>
            <w:top w:w="0" w:type="dxa"/>
            <w:left w:w="108" w:type="dxa"/>
            <w:bottom w:w="0" w:type="dxa"/>
            <w:right w:w="108" w:type="dxa"/>
          </w:tblCellMar>
        </w:tblPrEx>
        <w:trPr>
          <w:trHeight w:val="2055" w:hRule="atLeast"/>
        </w:trPr>
        <w:tc>
          <w:tcPr>
            <w:tcW w:w="9288" w:type="dxa"/>
            <w:gridSpan w:val="2"/>
            <w:tcBorders>
              <w:top w:val="single" w:color="auto" w:sz="4" w:space="0"/>
              <w:left w:val="single" w:color="auto" w:sz="4" w:space="0"/>
              <w:right w:val="single" w:color="auto" w:sz="4" w:space="0"/>
            </w:tcBorders>
          </w:tcPr>
          <w:p w14:paraId="31D73813">
            <w:pPr>
              <w:snapToGrid w:val="0"/>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3、其他具体事项：</w:t>
            </w:r>
          </w:p>
          <w:p w14:paraId="63FA3214">
            <w:pPr>
              <w:snapToGrid w:val="0"/>
              <w:spacing w:line="420" w:lineRule="exact"/>
              <w:ind w:firstLine="420" w:firstLineChars="200"/>
              <w:rPr>
                <w:rFonts w:ascii="宋体" w:hAnsi="宋体"/>
                <w:b/>
                <w:color w:val="auto"/>
                <w:szCs w:val="21"/>
                <w:highlight w:val="none"/>
              </w:rPr>
            </w:pPr>
            <w:r>
              <w:rPr>
                <w:rFonts w:hint="eastAsia" w:ascii="宋体" w:hAnsi="宋体"/>
                <w:bCs/>
                <w:color w:val="auto"/>
                <w:szCs w:val="21"/>
                <w:highlight w:val="none"/>
                <w:lang w:eastAsia="zh-CN"/>
              </w:rPr>
              <w:t>丙方</w:t>
            </w:r>
            <w:r>
              <w:rPr>
                <w:rFonts w:hint="eastAsia" w:ascii="宋体" w:hAnsi="宋体"/>
                <w:bCs/>
                <w:color w:val="auto"/>
                <w:szCs w:val="21"/>
                <w:highlight w:val="none"/>
              </w:rPr>
              <w:t>按季度对</w:t>
            </w:r>
            <w:r>
              <w:rPr>
                <w:rFonts w:hint="eastAsia" w:ascii="宋体" w:hAnsi="宋体"/>
                <w:bCs/>
                <w:color w:val="auto"/>
                <w:szCs w:val="21"/>
                <w:highlight w:val="none"/>
                <w:lang w:eastAsia="zh-CN"/>
              </w:rPr>
              <w:t>乙方</w:t>
            </w:r>
            <w:r>
              <w:rPr>
                <w:rFonts w:hint="eastAsia" w:ascii="宋体" w:hAnsi="宋体"/>
                <w:bCs/>
                <w:color w:val="auto"/>
                <w:szCs w:val="21"/>
                <w:highlight w:val="none"/>
              </w:rPr>
              <w:t>进行考核，根据考核内容进行打分并评定等级：优秀（100分～95分）、良好（94分～86分）、合格（85分～80分）、不合格（79分及以下），未达标准（评定等级为不合格）的从当季度应付款中扣除10‰服务费。连续两季度达不到标准且未及时整改的，</w:t>
            </w:r>
            <w:r>
              <w:rPr>
                <w:rFonts w:hint="eastAsia" w:ascii="宋体" w:hAnsi="宋体"/>
                <w:bCs/>
                <w:color w:val="auto"/>
                <w:szCs w:val="21"/>
                <w:highlight w:val="none"/>
                <w:lang w:eastAsia="zh-CN"/>
              </w:rPr>
              <w:t>丙方应书面报告甲方，</w:t>
            </w:r>
            <w:r>
              <w:rPr>
                <w:rFonts w:hint="eastAsia" w:ascii="宋体" w:hAnsi="宋体"/>
                <w:bCs/>
                <w:color w:val="auto"/>
                <w:szCs w:val="21"/>
                <w:highlight w:val="none"/>
              </w:rPr>
              <w:t>采购人有权终止合同。</w:t>
            </w:r>
          </w:p>
        </w:tc>
      </w:tr>
      <w:tr w14:paraId="7BAFF37F">
        <w:tblPrEx>
          <w:tblCellMar>
            <w:top w:w="0" w:type="dxa"/>
            <w:left w:w="108" w:type="dxa"/>
            <w:bottom w:w="0" w:type="dxa"/>
            <w:right w:w="108" w:type="dxa"/>
          </w:tblCellMar>
        </w:tblPrEx>
        <w:trPr>
          <w:trHeight w:val="2705" w:hRule="atLeast"/>
        </w:trPr>
        <w:tc>
          <w:tcPr>
            <w:tcW w:w="4623" w:type="dxa"/>
            <w:tcBorders>
              <w:top w:val="single" w:color="auto" w:sz="4" w:space="0"/>
              <w:left w:val="single" w:color="auto" w:sz="4" w:space="0"/>
              <w:bottom w:val="single" w:color="auto" w:sz="4" w:space="0"/>
              <w:right w:val="single" w:color="auto" w:sz="4" w:space="0"/>
            </w:tcBorders>
            <w:vAlign w:val="center"/>
          </w:tcPr>
          <w:p w14:paraId="14310721">
            <w:pPr>
              <w:snapToGrid w:val="0"/>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甲方（章）</w:t>
            </w:r>
          </w:p>
          <w:p w14:paraId="30566DC4">
            <w:pPr>
              <w:snapToGrid w:val="0"/>
              <w:spacing w:line="420" w:lineRule="exact"/>
              <w:ind w:firstLine="422" w:firstLineChars="200"/>
              <w:rPr>
                <w:rFonts w:ascii="宋体" w:hAnsi="宋体"/>
                <w:b/>
                <w:color w:val="auto"/>
                <w:szCs w:val="21"/>
                <w:highlight w:val="none"/>
              </w:rPr>
            </w:pPr>
          </w:p>
          <w:p w14:paraId="473AF0CD">
            <w:pPr>
              <w:snapToGrid w:val="0"/>
              <w:spacing w:line="420" w:lineRule="exact"/>
              <w:ind w:firstLine="422" w:firstLineChars="200"/>
              <w:rPr>
                <w:rFonts w:ascii="宋体" w:hAnsi="宋体"/>
                <w:b/>
                <w:color w:val="auto"/>
                <w:szCs w:val="21"/>
                <w:highlight w:val="none"/>
              </w:rPr>
            </w:pPr>
          </w:p>
          <w:p w14:paraId="431B97E2">
            <w:pPr>
              <w:snapToGrid w:val="0"/>
              <w:spacing w:line="420" w:lineRule="exact"/>
              <w:ind w:firstLine="422" w:firstLineChars="200"/>
              <w:rPr>
                <w:rFonts w:ascii="宋体" w:hAnsi="宋体"/>
                <w:b/>
                <w:color w:val="auto"/>
                <w:szCs w:val="21"/>
                <w:highlight w:val="none"/>
              </w:rPr>
            </w:pPr>
          </w:p>
          <w:p w14:paraId="4A8C105F">
            <w:pPr>
              <w:snapToGrid w:val="0"/>
              <w:spacing w:line="420" w:lineRule="exact"/>
              <w:ind w:firstLine="422" w:firstLineChars="200"/>
              <w:rPr>
                <w:rFonts w:ascii="宋体" w:hAnsi="宋体"/>
                <w:b/>
                <w:color w:val="auto"/>
                <w:szCs w:val="21"/>
                <w:highlight w:val="none"/>
              </w:rPr>
            </w:pPr>
          </w:p>
          <w:p w14:paraId="28AB74E3">
            <w:pPr>
              <w:snapToGrid w:val="0"/>
              <w:spacing w:line="420" w:lineRule="exact"/>
              <w:ind w:firstLine="422" w:firstLineChars="200"/>
              <w:rPr>
                <w:rFonts w:ascii="宋体" w:hAnsi="宋体"/>
                <w:b/>
                <w:color w:val="auto"/>
                <w:szCs w:val="21"/>
                <w:highlight w:val="none"/>
              </w:rPr>
            </w:pPr>
          </w:p>
          <w:p w14:paraId="2E2BCCEB">
            <w:pPr>
              <w:snapToGrid w:val="0"/>
              <w:spacing w:line="420" w:lineRule="exact"/>
              <w:ind w:firstLine="422" w:firstLineChars="200"/>
              <w:rPr>
                <w:rFonts w:ascii="宋体" w:hAnsi="宋体"/>
                <w:b/>
                <w:color w:val="auto"/>
                <w:szCs w:val="21"/>
                <w:highlight w:val="none"/>
              </w:rPr>
            </w:pPr>
          </w:p>
          <w:p w14:paraId="00537DB3">
            <w:pPr>
              <w:snapToGrid w:val="0"/>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 </w:t>
            </w:r>
          </w:p>
        </w:tc>
        <w:tc>
          <w:tcPr>
            <w:tcW w:w="4665" w:type="dxa"/>
            <w:tcBorders>
              <w:top w:val="single" w:color="auto" w:sz="4" w:space="0"/>
              <w:left w:val="single" w:color="auto" w:sz="4" w:space="0"/>
              <w:bottom w:val="single" w:color="auto" w:sz="4" w:space="0"/>
              <w:right w:val="single" w:color="auto" w:sz="4" w:space="0"/>
            </w:tcBorders>
            <w:vAlign w:val="center"/>
          </w:tcPr>
          <w:p w14:paraId="499B37B6">
            <w:pPr>
              <w:snapToGrid w:val="0"/>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乙方（章）</w:t>
            </w:r>
          </w:p>
          <w:p w14:paraId="569D0A47">
            <w:pPr>
              <w:snapToGrid w:val="0"/>
              <w:spacing w:line="420" w:lineRule="exact"/>
              <w:ind w:firstLine="422" w:firstLineChars="200"/>
              <w:rPr>
                <w:rFonts w:ascii="宋体" w:hAnsi="宋体"/>
                <w:b/>
                <w:color w:val="auto"/>
                <w:szCs w:val="21"/>
                <w:highlight w:val="none"/>
              </w:rPr>
            </w:pPr>
          </w:p>
          <w:p w14:paraId="53D9DADB">
            <w:pPr>
              <w:snapToGrid w:val="0"/>
              <w:spacing w:line="420" w:lineRule="exact"/>
              <w:ind w:firstLine="422" w:firstLineChars="200"/>
              <w:rPr>
                <w:rFonts w:ascii="宋体" w:hAnsi="宋体"/>
                <w:b/>
                <w:color w:val="auto"/>
                <w:szCs w:val="21"/>
                <w:highlight w:val="none"/>
              </w:rPr>
            </w:pPr>
          </w:p>
          <w:p w14:paraId="406DAB46">
            <w:pPr>
              <w:snapToGrid w:val="0"/>
              <w:spacing w:line="420" w:lineRule="exact"/>
              <w:ind w:firstLine="422" w:firstLineChars="200"/>
              <w:rPr>
                <w:rFonts w:ascii="宋体" w:hAnsi="宋体"/>
                <w:b/>
                <w:color w:val="auto"/>
                <w:szCs w:val="21"/>
                <w:highlight w:val="none"/>
              </w:rPr>
            </w:pPr>
          </w:p>
          <w:p w14:paraId="4F57D2DD">
            <w:pPr>
              <w:snapToGrid w:val="0"/>
              <w:spacing w:line="420" w:lineRule="exact"/>
              <w:ind w:firstLine="422" w:firstLineChars="200"/>
              <w:rPr>
                <w:rFonts w:ascii="宋体" w:hAnsi="宋体"/>
                <w:b/>
                <w:color w:val="auto"/>
                <w:szCs w:val="21"/>
                <w:highlight w:val="none"/>
              </w:rPr>
            </w:pPr>
          </w:p>
          <w:p w14:paraId="2A6DDD04">
            <w:pPr>
              <w:snapToGrid w:val="0"/>
              <w:spacing w:line="420" w:lineRule="exact"/>
              <w:ind w:firstLine="422" w:firstLineChars="200"/>
              <w:rPr>
                <w:rFonts w:ascii="宋体" w:hAnsi="宋体"/>
                <w:b/>
                <w:color w:val="auto"/>
                <w:szCs w:val="21"/>
                <w:highlight w:val="none"/>
              </w:rPr>
            </w:pPr>
          </w:p>
          <w:p w14:paraId="692EBE38">
            <w:pPr>
              <w:snapToGrid w:val="0"/>
              <w:spacing w:line="420" w:lineRule="exact"/>
              <w:ind w:firstLine="422" w:firstLineChars="200"/>
              <w:rPr>
                <w:rFonts w:ascii="宋体" w:hAnsi="宋体"/>
                <w:b/>
                <w:color w:val="auto"/>
                <w:szCs w:val="21"/>
                <w:highlight w:val="none"/>
              </w:rPr>
            </w:pPr>
          </w:p>
          <w:p w14:paraId="62FA36EE">
            <w:pPr>
              <w:snapToGrid w:val="0"/>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w:t>
            </w:r>
          </w:p>
        </w:tc>
      </w:tr>
      <w:tr w14:paraId="1D2BF244">
        <w:tblPrEx>
          <w:tblCellMar>
            <w:top w:w="0" w:type="dxa"/>
            <w:left w:w="108" w:type="dxa"/>
            <w:bottom w:w="0" w:type="dxa"/>
            <w:right w:w="108" w:type="dxa"/>
          </w:tblCellMar>
        </w:tblPrEx>
        <w:trPr>
          <w:trHeight w:val="3230" w:hRule="atLeast"/>
        </w:trPr>
        <w:tc>
          <w:tcPr>
            <w:tcW w:w="4623" w:type="dxa"/>
            <w:tcBorders>
              <w:top w:val="single" w:color="auto" w:sz="4" w:space="0"/>
              <w:left w:val="single" w:color="auto" w:sz="4" w:space="0"/>
              <w:bottom w:val="single" w:color="auto" w:sz="4" w:space="0"/>
              <w:right w:val="single" w:color="auto" w:sz="4" w:space="0"/>
            </w:tcBorders>
            <w:vAlign w:val="center"/>
          </w:tcPr>
          <w:p w14:paraId="69691F60">
            <w:pPr>
              <w:snapToGrid w:val="0"/>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丙方（章）</w:t>
            </w:r>
          </w:p>
          <w:p w14:paraId="658196CD">
            <w:pPr>
              <w:snapToGrid w:val="0"/>
              <w:spacing w:line="420" w:lineRule="exact"/>
              <w:ind w:firstLine="422" w:firstLineChars="200"/>
              <w:rPr>
                <w:rFonts w:ascii="宋体" w:hAnsi="宋体"/>
                <w:b/>
                <w:color w:val="auto"/>
                <w:szCs w:val="21"/>
                <w:highlight w:val="none"/>
              </w:rPr>
            </w:pPr>
          </w:p>
          <w:p w14:paraId="57582098">
            <w:pPr>
              <w:snapToGrid w:val="0"/>
              <w:spacing w:line="420" w:lineRule="exact"/>
              <w:ind w:firstLine="422" w:firstLineChars="200"/>
              <w:rPr>
                <w:rFonts w:ascii="宋体" w:hAnsi="宋体"/>
                <w:b/>
                <w:color w:val="auto"/>
                <w:szCs w:val="21"/>
                <w:highlight w:val="none"/>
              </w:rPr>
            </w:pPr>
          </w:p>
          <w:p w14:paraId="451A6EA0">
            <w:pPr>
              <w:snapToGrid w:val="0"/>
              <w:spacing w:line="420" w:lineRule="exact"/>
              <w:ind w:firstLine="422" w:firstLineChars="200"/>
              <w:rPr>
                <w:rFonts w:ascii="宋体" w:hAnsi="宋体"/>
                <w:b/>
                <w:color w:val="auto"/>
                <w:szCs w:val="21"/>
                <w:highlight w:val="none"/>
              </w:rPr>
            </w:pPr>
          </w:p>
          <w:p w14:paraId="44183CD4">
            <w:pPr>
              <w:snapToGrid w:val="0"/>
              <w:spacing w:line="420" w:lineRule="exact"/>
              <w:ind w:firstLine="422" w:firstLineChars="200"/>
              <w:rPr>
                <w:rFonts w:ascii="宋体" w:hAnsi="宋体"/>
                <w:b/>
                <w:color w:val="auto"/>
                <w:szCs w:val="21"/>
                <w:highlight w:val="none"/>
              </w:rPr>
            </w:pPr>
          </w:p>
          <w:p w14:paraId="15D65DEB">
            <w:pPr>
              <w:snapToGrid w:val="0"/>
              <w:spacing w:line="420" w:lineRule="exact"/>
              <w:ind w:firstLine="422" w:firstLineChars="200"/>
              <w:rPr>
                <w:rFonts w:ascii="宋体" w:hAnsi="宋体"/>
                <w:b/>
                <w:color w:val="auto"/>
                <w:szCs w:val="21"/>
                <w:highlight w:val="none"/>
              </w:rPr>
            </w:pPr>
          </w:p>
          <w:p w14:paraId="7B244C77">
            <w:pPr>
              <w:snapToGrid w:val="0"/>
              <w:spacing w:line="420" w:lineRule="exact"/>
              <w:ind w:firstLine="422" w:firstLineChars="200"/>
              <w:rPr>
                <w:rFonts w:ascii="宋体" w:hAnsi="宋体"/>
                <w:b/>
                <w:color w:val="auto"/>
                <w:szCs w:val="21"/>
                <w:highlight w:val="none"/>
              </w:rPr>
            </w:pPr>
          </w:p>
          <w:p w14:paraId="23F16779">
            <w:pPr>
              <w:snapToGrid w:val="0"/>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 </w:t>
            </w:r>
          </w:p>
        </w:tc>
        <w:tc>
          <w:tcPr>
            <w:tcW w:w="4665" w:type="dxa"/>
            <w:tcBorders>
              <w:top w:val="single" w:color="auto" w:sz="4" w:space="0"/>
              <w:left w:val="single" w:color="auto" w:sz="4" w:space="0"/>
              <w:bottom w:val="single" w:color="auto" w:sz="4" w:space="0"/>
              <w:right w:val="single" w:color="auto" w:sz="4" w:space="0"/>
            </w:tcBorders>
            <w:vAlign w:val="center"/>
          </w:tcPr>
          <w:p w14:paraId="2283E4D6">
            <w:pPr>
              <w:snapToGrid w:val="0"/>
              <w:spacing w:line="420" w:lineRule="exact"/>
              <w:ind w:firstLine="422" w:firstLineChars="200"/>
              <w:rPr>
                <w:rFonts w:ascii="宋体" w:hAnsi="宋体"/>
                <w:b/>
                <w:color w:val="auto"/>
                <w:szCs w:val="21"/>
                <w:highlight w:val="none"/>
              </w:rPr>
            </w:pPr>
          </w:p>
        </w:tc>
      </w:tr>
    </w:tbl>
    <w:p w14:paraId="4821962D">
      <w:pPr>
        <w:snapToGrid w:val="0"/>
        <w:spacing w:line="420" w:lineRule="exact"/>
        <w:rPr>
          <w:color w:val="auto"/>
          <w:szCs w:val="20"/>
          <w:highlight w:val="none"/>
        </w:rPr>
      </w:pPr>
      <w:r>
        <w:rPr>
          <w:rFonts w:hint="eastAsia" w:ascii="宋体" w:hAnsi="宋体"/>
          <w:color w:val="auto"/>
          <w:szCs w:val="21"/>
          <w:highlight w:val="none"/>
        </w:rPr>
        <w:t xml:space="preserve">  注：填不下时可另加附页</w:t>
      </w:r>
    </w:p>
    <w:p w14:paraId="639B7ACF">
      <w:pPr>
        <w:rPr>
          <w:color w:val="auto"/>
          <w:highlight w:val="none"/>
        </w:rPr>
      </w:pPr>
    </w:p>
    <w:p w14:paraId="21458654">
      <w:pPr>
        <w:spacing w:line="360" w:lineRule="auto"/>
        <w:ind w:left="-420" w:leftChars="-200" w:right="-420" w:rightChars="-200" w:firstLine="480" w:firstLineChars="200"/>
        <w:jc w:val="center"/>
        <w:rPr>
          <w:rFonts w:ascii="宋体" w:hAnsi="宋体" w:cs="宋体"/>
          <w:color w:val="auto"/>
          <w:sz w:val="24"/>
          <w:highlight w:val="none"/>
        </w:rPr>
      </w:pPr>
    </w:p>
    <w:p w14:paraId="7F4E1ACC">
      <w:pPr>
        <w:pStyle w:val="6"/>
        <w:rPr>
          <w:rFonts w:ascii="宋体" w:hAnsi="宋体" w:cs="宋体"/>
          <w:color w:val="auto"/>
          <w:sz w:val="24"/>
          <w:highlight w:val="none"/>
        </w:rPr>
      </w:pPr>
    </w:p>
    <w:p w14:paraId="48A6AFAC">
      <w:pPr>
        <w:rPr>
          <w:rFonts w:ascii="宋体" w:hAnsi="宋体" w:cs="宋体"/>
          <w:color w:val="auto"/>
          <w:sz w:val="24"/>
          <w:highlight w:val="none"/>
        </w:rPr>
      </w:pPr>
    </w:p>
    <w:p w14:paraId="576EDBD0">
      <w:pPr>
        <w:pStyle w:val="6"/>
        <w:rPr>
          <w:color w:val="auto"/>
          <w:highlight w:val="none"/>
        </w:rPr>
      </w:pPr>
    </w:p>
    <w:p w14:paraId="0C2FD69F">
      <w:pPr>
        <w:widowControl/>
        <w:adjustRightInd/>
        <w:jc w:val="center"/>
        <w:outlineLvl w:val="0"/>
        <w:rPr>
          <w:rFonts w:hint="eastAsia" w:ascii="宋体" w:hAnsi="宋体" w:cs="宋体"/>
          <w:b/>
          <w:color w:val="auto"/>
          <w:sz w:val="36"/>
          <w:szCs w:val="20"/>
          <w:highlight w:val="none"/>
        </w:rPr>
      </w:pPr>
      <w:bookmarkStart w:id="416" w:name="_Toc176368907"/>
    </w:p>
    <w:p w14:paraId="1C0D0FF3">
      <w:pPr>
        <w:widowControl/>
        <w:adjustRightInd/>
        <w:jc w:val="center"/>
        <w:outlineLvl w:val="0"/>
        <w:rPr>
          <w:rFonts w:hint="eastAsia" w:ascii="宋体" w:hAnsi="宋体" w:cs="宋体"/>
          <w:b/>
          <w:color w:val="auto"/>
          <w:sz w:val="36"/>
          <w:szCs w:val="20"/>
          <w:highlight w:val="none"/>
        </w:rPr>
      </w:pPr>
    </w:p>
    <w:p w14:paraId="19E3C80D">
      <w:pPr>
        <w:widowControl/>
        <w:adjustRightInd/>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13"/>
      <w:r>
        <w:rPr>
          <w:rFonts w:hint="eastAsia" w:ascii="宋体" w:hAnsi="宋体" w:cs="宋体"/>
          <w:b/>
          <w:color w:val="auto"/>
          <w:sz w:val="36"/>
          <w:szCs w:val="20"/>
          <w:highlight w:val="none"/>
        </w:rPr>
        <w:t xml:space="preserve"> </w:t>
      </w:r>
      <w:bookmarkEnd w:id="414"/>
      <w:r>
        <w:rPr>
          <w:rFonts w:hint="eastAsia" w:ascii="宋体" w:hAnsi="宋体" w:cs="宋体"/>
          <w:b/>
          <w:color w:val="auto"/>
          <w:sz w:val="36"/>
          <w:szCs w:val="20"/>
          <w:highlight w:val="none"/>
        </w:rPr>
        <w:t>应提交的有关格式范例</w:t>
      </w:r>
      <w:bookmarkEnd w:id="416"/>
    </w:p>
    <w:p w14:paraId="5209A5F6">
      <w:pPr>
        <w:spacing w:line="360" w:lineRule="auto"/>
        <w:jc w:val="center"/>
        <w:rPr>
          <w:rFonts w:ascii="宋体" w:hAnsi="宋体" w:cs="宋体"/>
          <w:b/>
          <w:color w:val="auto"/>
          <w:kern w:val="0"/>
          <w:sz w:val="36"/>
          <w:szCs w:val="36"/>
          <w:highlight w:val="none"/>
        </w:rPr>
      </w:pPr>
    </w:p>
    <w:p w14:paraId="4C5F3A6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217E93A">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3960E59">
      <w:pPr>
        <w:spacing w:line="360" w:lineRule="auto"/>
        <w:jc w:val="center"/>
        <w:rPr>
          <w:rFonts w:ascii="宋体" w:hAnsi="宋体" w:cs="宋体"/>
          <w:b/>
          <w:color w:val="auto"/>
          <w:kern w:val="0"/>
          <w:sz w:val="36"/>
          <w:szCs w:val="36"/>
          <w:highlight w:val="none"/>
        </w:rPr>
      </w:pPr>
    </w:p>
    <w:p w14:paraId="3429CFB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05CC415">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3C5F6E7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C9E8C5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9515267">
      <w:pPr>
        <w:snapToGrid w:val="0"/>
        <w:spacing w:line="360" w:lineRule="auto"/>
        <w:ind w:firstLine="480" w:firstLineChars="200"/>
        <w:rPr>
          <w:rFonts w:ascii="宋体" w:hAnsi="宋体" w:cs="宋体"/>
          <w:color w:val="auto"/>
          <w:sz w:val="24"/>
          <w:highlight w:val="none"/>
        </w:rPr>
      </w:pPr>
    </w:p>
    <w:p w14:paraId="28007B1D">
      <w:pPr>
        <w:spacing w:line="360" w:lineRule="auto"/>
        <w:ind w:firstLine="480" w:firstLineChars="200"/>
        <w:rPr>
          <w:rFonts w:ascii="宋体" w:hAnsi="宋体" w:cs="宋体"/>
          <w:color w:val="auto"/>
          <w:sz w:val="24"/>
          <w:highlight w:val="none"/>
        </w:rPr>
      </w:pPr>
    </w:p>
    <w:p w14:paraId="44425833">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4201269D">
      <w:pPr>
        <w:snapToGrid w:val="0"/>
        <w:spacing w:line="360" w:lineRule="auto"/>
        <w:ind w:right="480"/>
        <w:jc w:val="center"/>
        <w:rPr>
          <w:rFonts w:ascii="宋体" w:hAnsi="宋体" w:cs="宋体"/>
          <w:color w:val="auto"/>
          <w:sz w:val="24"/>
          <w:highlight w:val="none"/>
        </w:rPr>
      </w:pPr>
    </w:p>
    <w:p w14:paraId="378CB1EC">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55150359">
      <w:pPr>
        <w:snapToGrid w:val="0"/>
        <w:spacing w:line="360" w:lineRule="auto"/>
        <w:rPr>
          <w:rFonts w:ascii="宋体" w:hAnsi="宋体" w:cs="宋体"/>
          <w:color w:val="auto"/>
          <w:sz w:val="24"/>
          <w:highlight w:val="none"/>
        </w:rPr>
      </w:pPr>
    </w:p>
    <w:p w14:paraId="513DD51D">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589EA86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59901784">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4AE313F4">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6BE93C8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E5E1B8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1E7E3542">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066D2953">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65FC10D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5D9C4F5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CDB05B2">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43547F69">
      <w:pPr>
        <w:snapToGrid w:val="0"/>
        <w:spacing w:line="360" w:lineRule="auto"/>
        <w:ind w:right="480"/>
        <w:rPr>
          <w:rFonts w:ascii="宋体" w:hAnsi="宋体" w:cs="宋体"/>
          <w:color w:val="auto"/>
          <w:sz w:val="24"/>
          <w:highlight w:val="none"/>
        </w:rPr>
      </w:pPr>
    </w:p>
    <w:p w14:paraId="620D184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60EF14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04D310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A7935F0">
      <w:pPr>
        <w:snapToGrid w:val="0"/>
        <w:spacing w:line="360" w:lineRule="auto"/>
        <w:ind w:right="480"/>
        <w:rPr>
          <w:rFonts w:ascii="宋体" w:hAnsi="宋体" w:cs="宋体"/>
          <w:color w:val="auto"/>
          <w:sz w:val="24"/>
          <w:highlight w:val="none"/>
        </w:rPr>
      </w:pPr>
    </w:p>
    <w:p w14:paraId="7C8C8A74">
      <w:pPr>
        <w:snapToGrid w:val="0"/>
        <w:spacing w:line="360" w:lineRule="auto"/>
        <w:ind w:right="480"/>
        <w:jc w:val="center"/>
        <w:rPr>
          <w:rFonts w:ascii="宋体" w:hAnsi="宋体" w:cs="宋体"/>
          <w:b/>
          <w:color w:val="auto"/>
          <w:kern w:val="0"/>
          <w:sz w:val="32"/>
          <w:szCs w:val="32"/>
          <w:highlight w:val="none"/>
        </w:rPr>
      </w:pPr>
    </w:p>
    <w:p w14:paraId="33044A5E">
      <w:pPr>
        <w:rPr>
          <w:rFonts w:ascii="宋体" w:hAnsi="宋体" w:cs="宋体"/>
          <w:color w:val="auto"/>
          <w:highlight w:val="none"/>
        </w:rPr>
      </w:pPr>
    </w:p>
    <w:p w14:paraId="6F667027">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5BA44DB8">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6DF5ACF8">
      <w:pPr>
        <w:snapToGrid w:val="0"/>
        <w:spacing w:line="360" w:lineRule="auto"/>
        <w:ind w:right="480"/>
        <w:jc w:val="center"/>
        <w:rPr>
          <w:rFonts w:ascii="宋体" w:hAnsi="宋体" w:cs="宋体"/>
          <w:b/>
          <w:color w:val="auto"/>
          <w:kern w:val="0"/>
          <w:sz w:val="32"/>
          <w:szCs w:val="32"/>
          <w:highlight w:val="none"/>
        </w:rPr>
      </w:pPr>
    </w:p>
    <w:p w14:paraId="3E536C2D">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5CE992C7">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3135A7E">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6492602E">
      <w:pPr>
        <w:widowControl/>
        <w:spacing w:line="360" w:lineRule="auto"/>
        <w:ind w:firstLine="480"/>
        <w:jc w:val="left"/>
        <w:rPr>
          <w:rFonts w:ascii="宋体" w:hAnsi="宋体" w:cs="宋体"/>
          <w:color w:val="auto"/>
          <w:sz w:val="24"/>
          <w:highlight w:val="none"/>
        </w:rPr>
      </w:pPr>
    </w:p>
    <w:p w14:paraId="1713403A">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72BEE67A">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0181907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3E85D12">
      <w:pPr>
        <w:widowControl/>
        <w:spacing w:line="360" w:lineRule="auto"/>
        <w:ind w:left="150"/>
        <w:jc w:val="center"/>
        <w:rPr>
          <w:rFonts w:ascii="宋体" w:hAnsi="宋体" w:cs="宋体"/>
          <w:b/>
          <w:color w:val="auto"/>
          <w:kern w:val="0"/>
          <w:sz w:val="32"/>
          <w:szCs w:val="32"/>
          <w:highlight w:val="none"/>
        </w:rPr>
      </w:pPr>
    </w:p>
    <w:p w14:paraId="11419A0C">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4CE4A1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04C17A02">
      <w:pPr>
        <w:rPr>
          <w:rFonts w:ascii="宋体" w:hAnsi="宋体" w:cs="宋体"/>
          <w:color w:val="auto"/>
          <w:highlight w:val="none"/>
        </w:rPr>
      </w:pPr>
    </w:p>
    <w:p w14:paraId="0AD44993">
      <w:pPr>
        <w:snapToGrid w:val="0"/>
        <w:spacing w:line="360" w:lineRule="auto"/>
        <w:ind w:right="480"/>
        <w:jc w:val="center"/>
        <w:rPr>
          <w:rFonts w:ascii="宋体" w:hAnsi="宋体" w:cs="宋体"/>
          <w:b/>
          <w:color w:val="auto"/>
          <w:kern w:val="0"/>
          <w:sz w:val="32"/>
          <w:szCs w:val="32"/>
          <w:highlight w:val="none"/>
        </w:rPr>
      </w:pPr>
    </w:p>
    <w:p w14:paraId="01A70468">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1D50402F">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34E863CE">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9BBC8A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79AFBF7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169E2B5F">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611FD0D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6562307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44397B1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406700F0">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14:paraId="32EE023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14:paraId="3ACEDD21">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14:paraId="65679506">
      <w:pPr>
        <w:snapToGrid w:val="0"/>
        <w:spacing w:line="360" w:lineRule="auto"/>
        <w:jc w:val="center"/>
        <w:rPr>
          <w:rFonts w:ascii="宋体" w:hAnsi="宋体" w:cs="宋体"/>
          <w:b/>
          <w:color w:val="auto"/>
          <w:kern w:val="0"/>
          <w:sz w:val="32"/>
          <w:szCs w:val="32"/>
          <w:highlight w:val="none"/>
          <w:lang w:val="zh-CN"/>
        </w:rPr>
      </w:pPr>
    </w:p>
    <w:p w14:paraId="62419890">
      <w:pPr>
        <w:snapToGrid w:val="0"/>
        <w:spacing w:line="360" w:lineRule="auto"/>
        <w:jc w:val="center"/>
        <w:rPr>
          <w:rFonts w:ascii="宋体" w:hAnsi="宋体" w:cs="宋体"/>
          <w:b/>
          <w:color w:val="auto"/>
          <w:kern w:val="0"/>
          <w:sz w:val="32"/>
          <w:szCs w:val="32"/>
          <w:highlight w:val="none"/>
          <w:lang w:val="zh-CN"/>
        </w:rPr>
      </w:pPr>
    </w:p>
    <w:p w14:paraId="0C0BDFAD">
      <w:pPr>
        <w:snapToGrid w:val="0"/>
        <w:spacing w:line="360" w:lineRule="auto"/>
        <w:jc w:val="center"/>
        <w:rPr>
          <w:rFonts w:ascii="宋体" w:hAnsi="宋体" w:cs="宋体"/>
          <w:b/>
          <w:color w:val="auto"/>
          <w:kern w:val="0"/>
          <w:sz w:val="32"/>
          <w:szCs w:val="32"/>
          <w:highlight w:val="none"/>
          <w:lang w:val="zh-CN"/>
        </w:rPr>
      </w:pPr>
    </w:p>
    <w:p w14:paraId="287204FD">
      <w:pPr>
        <w:snapToGrid w:val="0"/>
        <w:spacing w:line="360" w:lineRule="auto"/>
        <w:jc w:val="center"/>
        <w:rPr>
          <w:rFonts w:ascii="宋体" w:hAnsi="宋体" w:cs="宋体"/>
          <w:b/>
          <w:color w:val="auto"/>
          <w:kern w:val="0"/>
          <w:sz w:val="32"/>
          <w:szCs w:val="32"/>
          <w:highlight w:val="none"/>
          <w:lang w:val="zh-CN"/>
        </w:rPr>
      </w:pPr>
    </w:p>
    <w:p w14:paraId="46E8B7AA">
      <w:pPr>
        <w:snapToGrid w:val="0"/>
        <w:spacing w:line="360" w:lineRule="auto"/>
        <w:jc w:val="center"/>
        <w:rPr>
          <w:rFonts w:ascii="宋体" w:hAnsi="宋体" w:cs="宋体"/>
          <w:b/>
          <w:color w:val="auto"/>
          <w:kern w:val="0"/>
          <w:sz w:val="32"/>
          <w:szCs w:val="32"/>
          <w:highlight w:val="none"/>
          <w:lang w:val="zh-CN"/>
        </w:rPr>
      </w:pPr>
    </w:p>
    <w:p w14:paraId="0C1C0F74">
      <w:pPr>
        <w:snapToGrid w:val="0"/>
        <w:spacing w:line="360" w:lineRule="auto"/>
        <w:jc w:val="center"/>
        <w:rPr>
          <w:rFonts w:ascii="宋体" w:hAnsi="宋体" w:cs="宋体"/>
          <w:b/>
          <w:color w:val="auto"/>
          <w:kern w:val="0"/>
          <w:sz w:val="32"/>
          <w:szCs w:val="32"/>
          <w:highlight w:val="none"/>
          <w:lang w:val="zh-CN"/>
        </w:rPr>
      </w:pPr>
    </w:p>
    <w:p w14:paraId="422102FE">
      <w:pPr>
        <w:snapToGrid w:val="0"/>
        <w:spacing w:line="360" w:lineRule="auto"/>
        <w:jc w:val="center"/>
        <w:rPr>
          <w:rFonts w:ascii="宋体" w:hAnsi="宋体" w:cs="宋体"/>
          <w:b/>
          <w:color w:val="auto"/>
          <w:kern w:val="0"/>
          <w:sz w:val="32"/>
          <w:szCs w:val="32"/>
          <w:highlight w:val="none"/>
          <w:lang w:val="zh-CN"/>
        </w:rPr>
      </w:pPr>
    </w:p>
    <w:p w14:paraId="791EC0EF">
      <w:pPr>
        <w:snapToGrid w:val="0"/>
        <w:spacing w:line="360" w:lineRule="auto"/>
        <w:jc w:val="center"/>
        <w:rPr>
          <w:rFonts w:ascii="宋体" w:hAnsi="宋体" w:cs="宋体"/>
          <w:b/>
          <w:color w:val="auto"/>
          <w:kern w:val="0"/>
          <w:sz w:val="32"/>
          <w:szCs w:val="32"/>
          <w:highlight w:val="none"/>
          <w:lang w:val="zh-CN"/>
        </w:rPr>
      </w:pPr>
    </w:p>
    <w:p w14:paraId="7C0D65E5">
      <w:pPr>
        <w:snapToGrid w:val="0"/>
        <w:spacing w:line="360" w:lineRule="auto"/>
        <w:jc w:val="center"/>
        <w:rPr>
          <w:rFonts w:ascii="宋体" w:hAnsi="宋体" w:cs="宋体"/>
          <w:b/>
          <w:color w:val="auto"/>
          <w:kern w:val="0"/>
          <w:sz w:val="32"/>
          <w:szCs w:val="32"/>
          <w:highlight w:val="none"/>
          <w:lang w:val="zh-CN"/>
        </w:rPr>
      </w:pPr>
    </w:p>
    <w:p w14:paraId="7033E899">
      <w:pPr>
        <w:rPr>
          <w:rFonts w:ascii="宋体" w:hAnsi="宋体" w:cs="宋体"/>
          <w:b/>
          <w:color w:val="auto"/>
          <w:kern w:val="0"/>
          <w:sz w:val="32"/>
          <w:szCs w:val="32"/>
          <w:highlight w:val="none"/>
          <w:lang w:val="zh-CN"/>
        </w:rPr>
      </w:pPr>
    </w:p>
    <w:p w14:paraId="799028B8">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207563B">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06490E8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55DFC79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28E98C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3C4ED1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6D9A0DE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5638C86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C09E03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17" w:name="_Hlk101257010"/>
      <w:r>
        <w:rPr>
          <w:rFonts w:hint="eastAsia" w:ascii="宋体" w:hAnsi="宋体" w:cs="宋体"/>
          <w:color w:val="auto"/>
          <w:sz w:val="24"/>
          <w:highlight w:val="none"/>
        </w:rPr>
        <w:t>（如果有)</w:t>
      </w:r>
      <w:bookmarkEnd w:id="417"/>
      <w:r>
        <w:rPr>
          <w:rFonts w:hint="eastAsia" w:ascii="宋体" w:hAnsi="宋体" w:cs="宋体"/>
          <w:snapToGrid w:val="0"/>
          <w:color w:val="auto"/>
          <w:kern w:val="28"/>
          <w:sz w:val="24"/>
          <w:szCs w:val="20"/>
          <w:highlight w:val="none"/>
        </w:rPr>
        <w:t>；</w:t>
      </w:r>
    </w:p>
    <w:p w14:paraId="036E665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6B4A661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52D75ECC">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34AF2D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0E587B2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49ECE6E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4BF8D4E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符合性审查资料（如果有）；</w:t>
      </w:r>
    </w:p>
    <w:p w14:paraId="5BD3E88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评标标准相应的商务技术资料（如果有）；</w:t>
      </w:r>
    </w:p>
    <w:p w14:paraId="3CE8D6C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投标标的清单（如果有）；</w:t>
      </w:r>
    </w:p>
    <w:p w14:paraId="1DE24FD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1A9E1F6">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B3A30B4">
      <w:pPr>
        <w:pStyle w:val="84"/>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14:paraId="3B351378">
      <w:pPr>
        <w:pStyle w:val="84"/>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14:paraId="333CE96E">
      <w:pPr>
        <w:pStyle w:val="84"/>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14:paraId="4489FCE8">
      <w:pPr>
        <w:pStyle w:val="84"/>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w:t>
      </w:r>
      <w:r>
        <w:rPr>
          <w:rFonts w:hint="eastAsia" w:cs="宋体"/>
          <w:color w:val="auto"/>
          <w:highlight w:val="none"/>
          <w:lang w:val="zh-CN"/>
        </w:rPr>
        <w:t>售后服务方案</w:t>
      </w:r>
      <w:r>
        <w:rPr>
          <w:rFonts w:hint="eastAsia" w:cs="宋体"/>
          <w:snapToGrid w:val="0"/>
          <w:color w:val="auto"/>
          <w:kern w:val="28"/>
          <w:highlight w:val="none"/>
        </w:rPr>
        <w:t>（如果有）</w:t>
      </w:r>
      <w:r>
        <w:rPr>
          <w:rFonts w:hint="eastAsia" w:cs="宋体"/>
          <w:color w:val="auto"/>
          <w:highlight w:val="none"/>
          <w:lang w:val="zh-CN"/>
        </w:rPr>
        <w:t>。</w:t>
      </w:r>
    </w:p>
    <w:p w14:paraId="2B47696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25C75C0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5376A9A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2ED85CC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2.3.3关于符合本国产品标准的声明函（如果有) ；</w:t>
      </w:r>
    </w:p>
    <w:p w14:paraId="14875D05">
      <w:pPr>
        <w:snapToGrid w:val="0"/>
        <w:spacing w:line="360" w:lineRule="auto"/>
        <w:ind w:left="420" w:leftChars="200" w:firstLine="480" w:firstLineChars="200"/>
        <w:rPr>
          <w:color w:val="auto"/>
          <w:highlight w:val="none"/>
        </w:rPr>
      </w:pPr>
      <w:r>
        <w:rPr>
          <w:rFonts w:hint="eastAsia" w:ascii="宋体" w:hAnsi="宋体" w:cs="宋体"/>
          <w:color w:val="auto"/>
          <w:sz w:val="24"/>
          <w:highlight w:val="none"/>
        </w:rPr>
        <w:t>2.3.4关于符合本国产品标准的产品成本之和占所提供的全部产品成本之和的比例达到80%以上的声明函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96524E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5392C7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D55218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5CCDCEA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DB3B4B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21FB43D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58FCC97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976FA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78D27D6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00A551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1207AAE">
      <w:pPr>
        <w:snapToGrid w:val="0"/>
        <w:spacing w:line="360" w:lineRule="auto"/>
        <w:ind w:left="420" w:leftChars="200" w:firstLine="4200" w:firstLineChars="1750"/>
        <w:rPr>
          <w:rFonts w:ascii="宋体" w:hAnsi="宋体" w:cs="宋体"/>
          <w:color w:val="auto"/>
          <w:kern w:val="0"/>
          <w:sz w:val="24"/>
          <w:highlight w:val="none"/>
          <w:u w:val="single"/>
        </w:rPr>
      </w:pPr>
    </w:p>
    <w:p w14:paraId="2FF9653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75855E0">
      <w:pPr>
        <w:snapToGrid w:val="0"/>
        <w:spacing w:line="360" w:lineRule="auto"/>
        <w:jc w:val="center"/>
        <w:rPr>
          <w:rFonts w:ascii="宋体" w:hAnsi="宋体" w:cs="宋体"/>
          <w:b/>
          <w:color w:val="auto"/>
          <w:kern w:val="0"/>
          <w:sz w:val="32"/>
          <w:szCs w:val="32"/>
          <w:highlight w:val="none"/>
        </w:rPr>
      </w:pPr>
    </w:p>
    <w:p w14:paraId="7C1EF8AA">
      <w:pPr>
        <w:snapToGrid w:val="0"/>
        <w:spacing w:line="360" w:lineRule="auto"/>
        <w:rPr>
          <w:rFonts w:ascii="宋体" w:hAnsi="宋体" w:cs="宋体"/>
          <w:color w:val="auto"/>
          <w:sz w:val="24"/>
          <w:highlight w:val="none"/>
        </w:rPr>
      </w:pPr>
    </w:p>
    <w:p w14:paraId="3BA15648">
      <w:pPr>
        <w:jc w:val="center"/>
        <w:rPr>
          <w:rFonts w:ascii="宋体" w:hAnsi="宋体" w:cs="宋体"/>
          <w:b/>
          <w:color w:val="auto"/>
          <w:kern w:val="0"/>
          <w:sz w:val="32"/>
          <w:szCs w:val="32"/>
          <w:highlight w:val="none"/>
        </w:rPr>
      </w:pPr>
    </w:p>
    <w:p w14:paraId="53BAA927">
      <w:pPr>
        <w:jc w:val="center"/>
        <w:rPr>
          <w:rFonts w:ascii="宋体" w:hAnsi="宋体" w:cs="宋体"/>
          <w:b/>
          <w:color w:val="auto"/>
          <w:kern w:val="0"/>
          <w:sz w:val="32"/>
          <w:szCs w:val="32"/>
          <w:highlight w:val="none"/>
        </w:rPr>
      </w:pPr>
    </w:p>
    <w:p w14:paraId="4692D695">
      <w:pPr>
        <w:jc w:val="center"/>
        <w:rPr>
          <w:rFonts w:ascii="宋体" w:hAnsi="宋体" w:cs="宋体"/>
          <w:b/>
          <w:color w:val="auto"/>
          <w:kern w:val="0"/>
          <w:sz w:val="32"/>
          <w:szCs w:val="32"/>
          <w:highlight w:val="none"/>
        </w:rPr>
      </w:pPr>
    </w:p>
    <w:p w14:paraId="0B70F17B">
      <w:pPr>
        <w:jc w:val="center"/>
        <w:rPr>
          <w:rFonts w:ascii="宋体" w:hAnsi="宋体" w:cs="宋体"/>
          <w:b/>
          <w:color w:val="auto"/>
          <w:kern w:val="0"/>
          <w:sz w:val="32"/>
          <w:szCs w:val="32"/>
          <w:highlight w:val="none"/>
        </w:rPr>
      </w:pPr>
    </w:p>
    <w:p w14:paraId="5F8C0CF2">
      <w:pPr>
        <w:jc w:val="center"/>
        <w:rPr>
          <w:rFonts w:ascii="宋体" w:hAnsi="宋体" w:cs="宋体"/>
          <w:b/>
          <w:color w:val="auto"/>
          <w:kern w:val="0"/>
          <w:sz w:val="32"/>
          <w:szCs w:val="32"/>
          <w:highlight w:val="none"/>
        </w:rPr>
      </w:pPr>
    </w:p>
    <w:p w14:paraId="542AE519">
      <w:pPr>
        <w:jc w:val="center"/>
        <w:rPr>
          <w:rFonts w:ascii="宋体" w:hAnsi="宋体" w:cs="宋体"/>
          <w:b/>
          <w:color w:val="auto"/>
          <w:kern w:val="0"/>
          <w:sz w:val="32"/>
          <w:szCs w:val="32"/>
          <w:highlight w:val="none"/>
        </w:rPr>
      </w:pPr>
    </w:p>
    <w:p w14:paraId="5658B0B5">
      <w:pPr>
        <w:jc w:val="center"/>
        <w:rPr>
          <w:rFonts w:ascii="宋体" w:hAnsi="宋体" w:cs="宋体"/>
          <w:b/>
          <w:color w:val="auto"/>
          <w:kern w:val="0"/>
          <w:sz w:val="32"/>
          <w:szCs w:val="32"/>
          <w:highlight w:val="none"/>
        </w:rPr>
      </w:pPr>
    </w:p>
    <w:p w14:paraId="3449BA53">
      <w:pPr>
        <w:jc w:val="center"/>
        <w:rPr>
          <w:rFonts w:ascii="宋体" w:hAnsi="宋体" w:cs="宋体"/>
          <w:b/>
          <w:color w:val="auto"/>
          <w:kern w:val="0"/>
          <w:sz w:val="32"/>
          <w:szCs w:val="32"/>
          <w:highlight w:val="none"/>
        </w:rPr>
      </w:pPr>
    </w:p>
    <w:p w14:paraId="23C6063D">
      <w:pPr>
        <w:jc w:val="center"/>
        <w:rPr>
          <w:rFonts w:ascii="宋体" w:hAnsi="宋体" w:cs="宋体"/>
          <w:b/>
          <w:color w:val="auto"/>
          <w:kern w:val="0"/>
          <w:sz w:val="32"/>
          <w:szCs w:val="32"/>
          <w:highlight w:val="none"/>
        </w:rPr>
      </w:pPr>
    </w:p>
    <w:p w14:paraId="0DC28E54">
      <w:pPr>
        <w:jc w:val="center"/>
        <w:rPr>
          <w:rFonts w:ascii="宋体" w:hAnsi="宋体" w:cs="宋体"/>
          <w:b/>
          <w:color w:val="auto"/>
          <w:kern w:val="0"/>
          <w:sz w:val="32"/>
          <w:szCs w:val="32"/>
          <w:highlight w:val="none"/>
        </w:rPr>
      </w:pPr>
    </w:p>
    <w:p w14:paraId="05CCD32E">
      <w:pPr>
        <w:jc w:val="center"/>
        <w:rPr>
          <w:rFonts w:ascii="宋体" w:hAnsi="宋体" w:cs="宋体"/>
          <w:b/>
          <w:color w:val="auto"/>
          <w:kern w:val="0"/>
          <w:sz w:val="32"/>
          <w:szCs w:val="32"/>
          <w:highlight w:val="none"/>
        </w:rPr>
      </w:pPr>
    </w:p>
    <w:p w14:paraId="00CA741E">
      <w:pPr>
        <w:jc w:val="center"/>
        <w:rPr>
          <w:rFonts w:ascii="宋体" w:hAnsi="宋体" w:cs="宋体"/>
          <w:b/>
          <w:color w:val="auto"/>
          <w:kern w:val="0"/>
          <w:sz w:val="32"/>
          <w:szCs w:val="32"/>
          <w:highlight w:val="none"/>
        </w:rPr>
      </w:pPr>
    </w:p>
    <w:p w14:paraId="6969243A">
      <w:pPr>
        <w:jc w:val="center"/>
        <w:rPr>
          <w:rFonts w:ascii="宋体" w:hAnsi="宋体" w:cs="宋体"/>
          <w:b/>
          <w:color w:val="auto"/>
          <w:kern w:val="0"/>
          <w:sz w:val="32"/>
          <w:szCs w:val="32"/>
          <w:highlight w:val="none"/>
        </w:rPr>
      </w:pPr>
    </w:p>
    <w:p w14:paraId="4D106166">
      <w:pPr>
        <w:jc w:val="center"/>
        <w:rPr>
          <w:rFonts w:ascii="宋体" w:hAnsi="宋体" w:cs="宋体"/>
          <w:b/>
          <w:color w:val="auto"/>
          <w:kern w:val="0"/>
          <w:sz w:val="32"/>
          <w:szCs w:val="32"/>
          <w:highlight w:val="none"/>
        </w:rPr>
      </w:pPr>
    </w:p>
    <w:p w14:paraId="786F9C01">
      <w:pPr>
        <w:pStyle w:val="84"/>
        <w:rPr>
          <w:color w:val="auto"/>
          <w:highlight w:val="none"/>
        </w:rPr>
      </w:pPr>
    </w:p>
    <w:p w14:paraId="3233CAE7">
      <w:pPr>
        <w:jc w:val="center"/>
        <w:rPr>
          <w:rFonts w:ascii="宋体" w:hAnsi="宋体" w:cs="宋体"/>
          <w:b/>
          <w:color w:val="auto"/>
          <w:kern w:val="0"/>
          <w:sz w:val="32"/>
          <w:szCs w:val="32"/>
          <w:highlight w:val="none"/>
        </w:rPr>
      </w:pPr>
    </w:p>
    <w:p w14:paraId="21A6C9CB">
      <w:pPr>
        <w:jc w:val="center"/>
        <w:rPr>
          <w:rFonts w:ascii="宋体" w:hAnsi="宋体" w:cs="宋体"/>
          <w:b/>
          <w:color w:val="auto"/>
          <w:kern w:val="0"/>
          <w:sz w:val="32"/>
          <w:szCs w:val="32"/>
          <w:highlight w:val="none"/>
        </w:rPr>
      </w:pPr>
    </w:p>
    <w:p w14:paraId="04151522">
      <w:pPr>
        <w:jc w:val="center"/>
        <w:rPr>
          <w:rFonts w:ascii="宋体" w:hAnsi="宋体" w:cs="宋体"/>
          <w:b/>
          <w:color w:val="auto"/>
          <w:kern w:val="0"/>
          <w:sz w:val="32"/>
          <w:szCs w:val="32"/>
          <w:highlight w:val="none"/>
        </w:rPr>
      </w:pPr>
    </w:p>
    <w:p w14:paraId="39C62C6F">
      <w:pPr>
        <w:jc w:val="center"/>
        <w:rPr>
          <w:rFonts w:ascii="宋体" w:hAnsi="宋体" w:cs="宋体"/>
          <w:b/>
          <w:color w:val="auto"/>
          <w:kern w:val="0"/>
          <w:sz w:val="32"/>
          <w:szCs w:val="32"/>
          <w:highlight w:val="none"/>
        </w:rPr>
      </w:pPr>
    </w:p>
    <w:p w14:paraId="53564D9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0A51851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4176C73">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266E443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8D6E42E">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D1303A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0C5255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C18764A">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083421DC">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01EF5D9C">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12657E4">
      <w:pPr>
        <w:adjustRightInd/>
        <w:spacing w:line="360" w:lineRule="auto"/>
        <w:rPr>
          <w:rFonts w:ascii="宋体" w:hAnsi="宋体"/>
          <w:color w:val="auto"/>
          <w:sz w:val="24"/>
          <w:szCs w:val="21"/>
          <w:highlight w:val="none"/>
        </w:rPr>
      </w:pPr>
    </w:p>
    <w:p w14:paraId="08B6038F">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C6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D83F88E">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6E2FE3C3">
            <w:pPr>
              <w:spacing w:line="360" w:lineRule="auto"/>
              <w:rPr>
                <w:rFonts w:ascii="宋体" w:hAnsi="宋体" w:cs="宋体"/>
                <w:bCs/>
                <w:color w:val="auto"/>
                <w:sz w:val="24"/>
                <w:szCs w:val="21"/>
                <w:highlight w:val="none"/>
              </w:rPr>
            </w:pPr>
          </w:p>
          <w:p w14:paraId="59129838">
            <w:pPr>
              <w:spacing w:line="360" w:lineRule="auto"/>
              <w:rPr>
                <w:rFonts w:ascii="宋体" w:hAnsi="宋体" w:cs="宋体"/>
                <w:bCs/>
                <w:color w:val="auto"/>
                <w:sz w:val="24"/>
                <w:szCs w:val="21"/>
                <w:highlight w:val="none"/>
              </w:rPr>
            </w:pPr>
          </w:p>
          <w:p w14:paraId="57A98B31">
            <w:pPr>
              <w:spacing w:line="360" w:lineRule="auto"/>
              <w:rPr>
                <w:rFonts w:ascii="宋体" w:hAnsi="宋体" w:cs="宋体"/>
                <w:bCs/>
                <w:color w:val="auto"/>
                <w:sz w:val="24"/>
                <w:szCs w:val="21"/>
                <w:highlight w:val="none"/>
              </w:rPr>
            </w:pPr>
          </w:p>
          <w:p w14:paraId="6E49F748">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3A1165A">
            <w:pPr>
              <w:spacing w:line="360" w:lineRule="auto"/>
              <w:rPr>
                <w:rFonts w:ascii="宋体" w:hAnsi="宋体" w:cs="宋体"/>
                <w:bCs/>
                <w:color w:val="auto"/>
                <w:sz w:val="24"/>
                <w:szCs w:val="21"/>
                <w:highlight w:val="none"/>
              </w:rPr>
            </w:pPr>
          </w:p>
        </w:tc>
      </w:tr>
    </w:tbl>
    <w:p w14:paraId="40D6F3DF">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51057DA8">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0BC1EDE3">
      <w:pPr>
        <w:snapToGrid w:val="0"/>
        <w:spacing w:line="360" w:lineRule="auto"/>
        <w:rPr>
          <w:rFonts w:ascii="宋体" w:hAnsi="宋体" w:cs="宋体"/>
          <w:color w:val="auto"/>
          <w:sz w:val="24"/>
          <w:highlight w:val="none"/>
        </w:rPr>
      </w:pPr>
    </w:p>
    <w:p w14:paraId="72D17E0E">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1916A2AA">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7036406">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0B0C030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362F2A0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0ADB524">
      <w:pPr>
        <w:jc w:val="center"/>
        <w:rPr>
          <w:rFonts w:ascii="宋体" w:hAnsi="宋体" w:cs="宋体"/>
          <w:b/>
          <w:color w:val="auto"/>
          <w:kern w:val="0"/>
          <w:sz w:val="32"/>
          <w:szCs w:val="32"/>
          <w:highlight w:val="none"/>
        </w:rPr>
      </w:pPr>
    </w:p>
    <w:p w14:paraId="7BBD1AA6">
      <w:pPr>
        <w:jc w:val="center"/>
        <w:rPr>
          <w:rFonts w:ascii="宋体" w:hAnsi="宋体" w:cs="宋体"/>
          <w:b/>
          <w:color w:val="auto"/>
          <w:kern w:val="0"/>
          <w:sz w:val="32"/>
          <w:szCs w:val="32"/>
          <w:highlight w:val="none"/>
        </w:rPr>
      </w:pPr>
    </w:p>
    <w:p w14:paraId="3B50BCB9">
      <w:pPr>
        <w:jc w:val="center"/>
        <w:rPr>
          <w:rFonts w:ascii="宋体" w:hAnsi="宋体" w:cs="宋体"/>
          <w:b/>
          <w:color w:val="auto"/>
          <w:kern w:val="0"/>
          <w:sz w:val="32"/>
          <w:szCs w:val="32"/>
          <w:highlight w:val="none"/>
        </w:rPr>
      </w:pPr>
    </w:p>
    <w:p w14:paraId="74E0A9F7">
      <w:pPr>
        <w:rPr>
          <w:rFonts w:ascii="宋体" w:hAnsi="宋体" w:cs="宋体"/>
          <w:color w:val="auto"/>
          <w:highlight w:val="none"/>
        </w:rPr>
      </w:pPr>
    </w:p>
    <w:p w14:paraId="63136B3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482AE762">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14:paraId="6669DD0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14:paraId="772EF339">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14:paraId="6FC83591">
      <w:pPr>
        <w:snapToGrid w:val="0"/>
        <w:spacing w:line="360" w:lineRule="auto"/>
        <w:ind w:firstLine="5040" w:firstLineChars="2100"/>
        <w:rPr>
          <w:rFonts w:ascii="宋体" w:hAnsi="宋体" w:cs="宋体"/>
          <w:color w:val="auto"/>
          <w:kern w:val="0"/>
          <w:sz w:val="24"/>
          <w:highlight w:val="none"/>
          <w:lang w:val="zh-CN"/>
        </w:rPr>
      </w:pPr>
    </w:p>
    <w:p w14:paraId="1C6F68F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0994DC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50CB42E">
      <w:pPr>
        <w:adjustRightInd/>
        <w:spacing w:line="360" w:lineRule="auto"/>
        <w:rPr>
          <w:rFonts w:ascii="宋体" w:hAnsi="宋体"/>
          <w:color w:val="auto"/>
          <w:sz w:val="24"/>
          <w:szCs w:val="21"/>
          <w:highlight w:val="none"/>
        </w:rPr>
      </w:pPr>
    </w:p>
    <w:p w14:paraId="35DD4070">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890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F0FF40C">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72915765">
            <w:pPr>
              <w:spacing w:line="360" w:lineRule="auto"/>
              <w:rPr>
                <w:rFonts w:ascii="宋体" w:hAnsi="宋体" w:cs="宋体"/>
                <w:bCs/>
                <w:color w:val="auto"/>
                <w:sz w:val="24"/>
                <w:szCs w:val="21"/>
                <w:highlight w:val="none"/>
              </w:rPr>
            </w:pPr>
          </w:p>
          <w:p w14:paraId="3AD892A5">
            <w:pPr>
              <w:spacing w:line="360" w:lineRule="auto"/>
              <w:rPr>
                <w:rFonts w:ascii="宋体" w:hAnsi="宋体" w:cs="宋体"/>
                <w:bCs/>
                <w:color w:val="auto"/>
                <w:sz w:val="24"/>
                <w:szCs w:val="21"/>
                <w:highlight w:val="none"/>
              </w:rPr>
            </w:pPr>
          </w:p>
          <w:p w14:paraId="0353CD5E">
            <w:pPr>
              <w:spacing w:line="360" w:lineRule="auto"/>
              <w:rPr>
                <w:rFonts w:ascii="宋体" w:hAnsi="宋体" w:cs="宋体"/>
                <w:bCs/>
                <w:color w:val="auto"/>
                <w:sz w:val="24"/>
                <w:szCs w:val="21"/>
                <w:highlight w:val="none"/>
              </w:rPr>
            </w:pPr>
          </w:p>
          <w:p w14:paraId="485CEF14">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1D1F1DDC">
            <w:pPr>
              <w:spacing w:line="360" w:lineRule="auto"/>
              <w:rPr>
                <w:rFonts w:ascii="宋体" w:hAnsi="宋体" w:cs="宋体"/>
                <w:bCs/>
                <w:color w:val="auto"/>
                <w:sz w:val="24"/>
                <w:szCs w:val="21"/>
                <w:highlight w:val="none"/>
              </w:rPr>
            </w:pPr>
          </w:p>
        </w:tc>
      </w:tr>
    </w:tbl>
    <w:p w14:paraId="7D7810A8">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5ECD7280">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14BF950C">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243DDAC1">
      <w:pPr>
        <w:adjustRightInd/>
        <w:spacing w:line="360" w:lineRule="auto"/>
        <w:rPr>
          <w:rFonts w:ascii="宋体" w:hAnsi="宋体" w:cs="宋体"/>
          <w:bCs/>
          <w:color w:val="auto"/>
          <w:sz w:val="24"/>
          <w:szCs w:val="21"/>
          <w:highlight w:val="none"/>
        </w:rPr>
      </w:pPr>
    </w:p>
    <w:p w14:paraId="2EDB1E9B">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6C7E2C0A">
      <w:pPr>
        <w:snapToGrid w:val="0"/>
        <w:spacing w:line="276" w:lineRule="auto"/>
        <w:ind w:firstLine="960" w:firstLineChars="400"/>
        <w:rPr>
          <w:rFonts w:ascii="宋体" w:hAnsi="宋体"/>
          <w:color w:val="auto"/>
          <w:sz w:val="24"/>
          <w:highlight w:val="none"/>
          <w:u w:val="single"/>
        </w:rPr>
      </w:pPr>
    </w:p>
    <w:p w14:paraId="2E6B4E8E">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342EF738">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57CD9B82">
      <w:pPr>
        <w:snapToGrid w:val="0"/>
        <w:spacing w:line="276" w:lineRule="auto"/>
        <w:rPr>
          <w:rFonts w:ascii="宋体" w:hAnsi="宋体"/>
          <w:color w:val="auto"/>
          <w:sz w:val="24"/>
          <w:highlight w:val="none"/>
        </w:rPr>
      </w:pPr>
    </w:p>
    <w:p w14:paraId="1E20B7A0">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7480589B">
      <w:pPr>
        <w:snapToGrid w:val="0"/>
        <w:spacing w:line="276" w:lineRule="auto"/>
        <w:rPr>
          <w:rFonts w:ascii="宋体" w:hAnsi="宋体"/>
          <w:color w:val="auto"/>
          <w:sz w:val="24"/>
          <w:highlight w:val="none"/>
        </w:rPr>
      </w:pPr>
    </w:p>
    <w:p w14:paraId="753C41D8">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3B04E18F">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2BB5D101">
      <w:pPr>
        <w:adjustRightInd/>
        <w:spacing w:line="360" w:lineRule="auto"/>
        <w:rPr>
          <w:rFonts w:ascii="宋体" w:hAnsi="宋体" w:cs="宋体"/>
          <w:bCs/>
          <w:color w:val="auto"/>
          <w:sz w:val="24"/>
          <w:szCs w:val="21"/>
          <w:highlight w:val="none"/>
        </w:rPr>
      </w:pPr>
    </w:p>
    <w:p w14:paraId="6264122A">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F4F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D446F6A">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29509CE">
            <w:pPr>
              <w:spacing w:line="360" w:lineRule="auto"/>
              <w:rPr>
                <w:rFonts w:ascii="宋体" w:hAnsi="宋体" w:cs="宋体"/>
                <w:bCs/>
                <w:color w:val="auto"/>
                <w:sz w:val="24"/>
                <w:szCs w:val="21"/>
                <w:highlight w:val="none"/>
              </w:rPr>
            </w:pPr>
          </w:p>
        </w:tc>
      </w:tr>
    </w:tbl>
    <w:p w14:paraId="4E02B993">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6560B3D">
      <w:pPr>
        <w:snapToGrid w:val="0"/>
        <w:spacing w:line="360" w:lineRule="auto"/>
        <w:ind w:right="480"/>
        <w:rPr>
          <w:rFonts w:ascii="宋体" w:hAnsi="宋体" w:cs="宋体"/>
          <w:b/>
          <w:color w:val="auto"/>
          <w:kern w:val="0"/>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497E7636">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6B264420">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545F0C58">
      <w:pPr>
        <w:snapToGrid w:val="0"/>
        <w:spacing w:line="360" w:lineRule="auto"/>
        <w:rPr>
          <w:rFonts w:ascii="宋体" w:hAnsi="宋体" w:cs="宋体"/>
          <w:color w:val="auto"/>
          <w:kern w:val="0"/>
          <w:sz w:val="24"/>
          <w:highlight w:val="none"/>
        </w:rPr>
      </w:pPr>
    </w:p>
    <w:p w14:paraId="219245C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5020180B">
      <w:pPr>
        <w:jc w:val="center"/>
        <w:rPr>
          <w:rFonts w:ascii="宋体" w:hAnsi="宋体" w:cs="宋体"/>
          <w:b/>
          <w:color w:val="auto"/>
          <w:kern w:val="0"/>
          <w:sz w:val="32"/>
          <w:szCs w:val="32"/>
          <w:highlight w:val="none"/>
        </w:rPr>
      </w:pP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61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8FB77D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4FF7485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88ECD1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16BA17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2774B73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4FE8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C3BB0D7">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340D8AD6">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3690E947">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5AB92E29">
            <w:pPr>
              <w:rPr>
                <w:rFonts w:ascii="宋体" w:hAnsi="宋体" w:cs="宋体"/>
                <w:color w:val="auto"/>
                <w:sz w:val="24"/>
                <w:highlight w:val="none"/>
              </w:rPr>
            </w:pPr>
          </w:p>
          <w:p w14:paraId="4B5E4F8C">
            <w:pPr>
              <w:rPr>
                <w:rFonts w:ascii="宋体" w:hAnsi="宋体" w:cs="宋体"/>
                <w:color w:val="auto"/>
                <w:sz w:val="24"/>
                <w:highlight w:val="none"/>
              </w:rPr>
            </w:pPr>
            <w:r>
              <w:rPr>
                <w:rFonts w:hint="eastAsia" w:ascii="宋体" w:hAnsi="宋体" w:cs="宋体"/>
                <w:color w:val="auto"/>
                <w:sz w:val="24"/>
                <w:highlight w:val="none"/>
              </w:rPr>
              <w:t>见投标文件</w:t>
            </w:r>
          </w:p>
          <w:p w14:paraId="4C2F9721">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6F4E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BB8C47D">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3A0A881C">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3EB963B8">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9FEC3">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BC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683C3B2">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78D9D7C4">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4B9A28DB">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13D699CC">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14B1225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9ED27DD">
      <w:pPr>
        <w:jc w:val="center"/>
        <w:rPr>
          <w:rFonts w:ascii="宋体" w:hAnsi="宋体" w:cs="宋体"/>
          <w:b/>
          <w:color w:val="auto"/>
          <w:kern w:val="0"/>
          <w:sz w:val="32"/>
          <w:szCs w:val="32"/>
          <w:highlight w:val="none"/>
        </w:rPr>
      </w:pPr>
    </w:p>
    <w:p w14:paraId="102B7A4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1114C932">
      <w:pPr>
        <w:jc w:val="center"/>
        <w:rPr>
          <w:rFonts w:ascii="宋体" w:hAnsi="宋体" w:cs="宋体"/>
          <w:b/>
          <w:color w:val="auto"/>
          <w:kern w:val="0"/>
          <w:sz w:val="32"/>
          <w:szCs w:val="32"/>
          <w:highlight w:val="none"/>
        </w:rPr>
      </w:pPr>
    </w:p>
    <w:p w14:paraId="5FB73A2F">
      <w:pPr>
        <w:jc w:val="center"/>
        <w:rPr>
          <w:rFonts w:ascii="宋体" w:hAnsi="宋体" w:cs="宋体"/>
          <w:b/>
          <w:color w:val="auto"/>
          <w:kern w:val="0"/>
          <w:sz w:val="32"/>
          <w:szCs w:val="32"/>
          <w:highlight w:val="none"/>
        </w:rPr>
      </w:pPr>
    </w:p>
    <w:p w14:paraId="3A1DDD62">
      <w:pPr>
        <w:jc w:val="center"/>
        <w:rPr>
          <w:rFonts w:ascii="宋体" w:hAnsi="宋体" w:cs="宋体"/>
          <w:b/>
          <w:color w:val="auto"/>
          <w:kern w:val="0"/>
          <w:sz w:val="32"/>
          <w:szCs w:val="32"/>
          <w:highlight w:val="none"/>
        </w:rPr>
      </w:pPr>
    </w:p>
    <w:p w14:paraId="5433ED23">
      <w:pPr>
        <w:jc w:val="center"/>
        <w:rPr>
          <w:rFonts w:ascii="宋体" w:hAnsi="宋体" w:cs="宋体"/>
          <w:b/>
          <w:color w:val="auto"/>
          <w:kern w:val="0"/>
          <w:sz w:val="32"/>
          <w:szCs w:val="32"/>
          <w:highlight w:val="none"/>
        </w:rPr>
      </w:pPr>
    </w:p>
    <w:p w14:paraId="725E1536">
      <w:pPr>
        <w:jc w:val="center"/>
        <w:rPr>
          <w:rFonts w:ascii="宋体" w:hAnsi="宋体" w:cs="宋体"/>
          <w:b/>
          <w:color w:val="auto"/>
          <w:kern w:val="0"/>
          <w:sz w:val="32"/>
          <w:szCs w:val="32"/>
          <w:highlight w:val="none"/>
        </w:rPr>
      </w:pPr>
    </w:p>
    <w:p w14:paraId="2F47358D">
      <w:pPr>
        <w:jc w:val="center"/>
        <w:rPr>
          <w:rFonts w:ascii="宋体" w:hAnsi="宋体" w:cs="宋体"/>
          <w:b/>
          <w:color w:val="auto"/>
          <w:kern w:val="0"/>
          <w:sz w:val="32"/>
          <w:szCs w:val="32"/>
          <w:highlight w:val="none"/>
        </w:rPr>
      </w:pPr>
    </w:p>
    <w:p w14:paraId="0AAB3FCE">
      <w:pPr>
        <w:jc w:val="center"/>
        <w:rPr>
          <w:rFonts w:ascii="宋体" w:hAnsi="宋体" w:cs="宋体"/>
          <w:b/>
          <w:color w:val="auto"/>
          <w:kern w:val="0"/>
          <w:sz w:val="32"/>
          <w:szCs w:val="32"/>
          <w:highlight w:val="none"/>
        </w:rPr>
      </w:pPr>
    </w:p>
    <w:p w14:paraId="54AC1E37">
      <w:pPr>
        <w:jc w:val="center"/>
        <w:rPr>
          <w:rFonts w:ascii="宋体" w:hAnsi="宋体" w:cs="宋体"/>
          <w:b/>
          <w:color w:val="auto"/>
          <w:kern w:val="0"/>
          <w:sz w:val="32"/>
          <w:szCs w:val="32"/>
          <w:highlight w:val="none"/>
        </w:rPr>
      </w:pPr>
    </w:p>
    <w:p w14:paraId="3854D57D">
      <w:pPr>
        <w:jc w:val="center"/>
        <w:rPr>
          <w:rFonts w:ascii="宋体" w:hAnsi="宋体" w:cs="宋体"/>
          <w:b/>
          <w:color w:val="auto"/>
          <w:kern w:val="0"/>
          <w:sz w:val="32"/>
          <w:szCs w:val="32"/>
          <w:highlight w:val="none"/>
        </w:rPr>
      </w:pPr>
    </w:p>
    <w:p w14:paraId="43792397">
      <w:pPr>
        <w:jc w:val="center"/>
        <w:rPr>
          <w:rFonts w:ascii="宋体" w:hAnsi="宋体" w:cs="宋体"/>
          <w:b/>
          <w:color w:val="auto"/>
          <w:kern w:val="0"/>
          <w:sz w:val="32"/>
          <w:szCs w:val="32"/>
          <w:highlight w:val="none"/>
        </w:rPr>
      </w:pPr>
    </w:p>
    <w:p w14:paraId="45F46ED6">
      <w:pPr>
        <w:jc w:val="center"/>
        <w:rPr>
          <w:rFonts w:ascii="宋体" w:hAnsi="宋体" w:cs="宋体"/>
          <w:b/>
          <w:color w:val="auto"/>
          <w:kern w:val="0"/>
          <w:sz w:val="32"/>
          <w:szCs w:val="32"/>
          <w:highlight w:val="none"/>
        </w:rPr>
      </w:pPr>
    </w:p>
    <w:p w14:paraId="32BA4D9E">
      <w:pPr>
        <w:jc w:val="center"/>
        <w:rPr>
          <w:rFonts w:ascii="宋体" w:hAnsi="宋体" w:cs="宋体"/>
          <w:b/>
          <w:color w:val="auto"/>
          <w:kern w:val="0"/>
          <w:sz w:val="32"/>
          <w:szCs w:val="32"/>
          <w:highlight w:val="none"/>
        </w:rPr>
      </w:pPr>
    </w:p>
    <w:p w14:paraId="5FD167C9">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5E9CC788">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12A7B288">
      <w:pPr>
        <w:jc w:val="center"/>
        <w:rPr>
          <w:rFonts w:ascii="宋体" w:hAnsi="宋体" w:cs="宋体"/>
          <w:b/>
          <w:color w:val="auto"/>
          <w:kern w:val="0"/>
          <w:sz w:val="32"/>
          <w:szCs w:val="32"/>
          <w:highlight w:val="none"/>
        </w:rPr>
      </w:pPr>
    </w:p>
    <w:p w14:paraId="66A382F3">
      <w:pPr>
        <w:jc w:val="center"/>
        <w:rPr>
          <w:rFonts w:ascii="宋体" w:hAnsi="宋体" w:cs="宋体"/>
          <w:b/>
          <w:color w:val="auto"/>
          <w:kern w:val="0"/>
          <w:sz w:val="32"/>
          <w:szCs w:val="32"/>
          <w:highlight w:val="none"/>
        </w:rPr>
      </w:pPr>
    </w:p>
    <w:p w14:paraId="1685AAA3">
      <w:pPr>
        <w:jc w:val="center"/>
        <w:rPr>
          <w:rFonts w:ascii="宋体" w:hAnsi="宋体" w:cs="宋体"/>
          <w:b/>
          <w:color w:val="auto"/>
          <w:kern w:val="0"/>
          <w:sz w:val="32"/>
          <w:szCs w:val="32"/>
          <w:highlight w:val="none"/>
        </w:rPr>
      </w:pPr>
    </w:p>
    <w:p w14:paraId="66DAEB48">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7956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3DC4CF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04A574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5F65D886">
            <w:pPr>
              <w:spacing w:line="360" w:lineRule="auto"/>
              <w:jc w:val="center"/>
              <w:rPr>
                <w:rFonts w:ascii="宋体" w:hAnsi="宋体" w:cs="宋体"/>
                <w:b/>
                <w:color w:val="auto"/>
                <w:sz w:val="24"/>
                <w:highlight w:val="none"/>
              </w:rPr>
            </w:pPr>
          </w:p>
          <w:p w14:paraId="6D476FE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4BF531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417207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56CB02C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3A5F4A43">
            <w:pPr>
              <w:spacing w:line="360" w:lineRule="auto"/>
              <w:jc w:val="center"/>
              <w:rPr>
                <w:rFonts w:ascii="宋体" w:hAnsi="宋体" w:cs="宋体"/>
                <w:b/>
                <w:color w:val="auto"/>
                <w:sz w:val="24"/>
                <w:highlight w:val="none"/>
              </w:rPr>
            </w:pPr>
          </w:p>
          <w:p w14:paraId="3DAB410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41D68820">
            <w:pPr>
              <w:spacing w:line="360" w:lineRule="auto"/>
              <w:jc w:val="center"/>
              <w:rPr>
                <w:rFonts w:ascii="宋体" w:hAnsi="宋体" w:cs="宋体"/>
                <w:b/>
                <w:color w:val="auto"/>
                <w:sz w:val="24"/>
                <w:highlight w:val="none"/>
              </w:rPr>
            </w:pPr>
          </w:p>
        </w:tc>
      </w:tr>
      <w:tr w14:paraId="0A23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5A861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44F5CF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AFD07B5">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62C6EB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B00FCF0">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6440E8A">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C3A4C3E">
            <w:pPr>
              <w:spacing w:line="360" w:lineRule="auto"/>
              <w:jc w:val="center"/>
              <w:rPr>
                <w:rFonts w:ascii="宋体" w:hAnsi="宋体" w:cs="宋体"/>
                <w:color w:val="auto"/>
                <w:sz w:val="24"/>
                <w:highlight w:val="none"/>
              </w:rPr>
            </w:pPr>
          </w:p>
        </w:tc>
      </w:tr>
      <w:tr w14:paraId="23E5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12C152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6AC7FC1F">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FD34DB5">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C77AD5">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73E6CEA">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9A761E1">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E5914D3">
            <w:pPr>
              <w:spacing w:line="360" w:lineRule="auto"/>
              <w:jc w:val="center"/>
              <w:rPr>
                <w:rFonts w:ascii="宋体" w:hAnsi="宋体" w:cs="宋体"/>
                <w:color w:val="auto"/>
                <w:sz w:val="24"/>
                <w:highlight w:val="none"/>
              </w:rPr>
            </w:pPr>
          </w:p>
        </w:tc>
      </w:tr>
      <w:tr w14:paraId="7929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02453C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358E6F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FFA563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D63211A">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D509809">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3D94852">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B6F6922">
            <w:pPr>
              <w:spacing w:line="360" w:lineRule="auto"/>
              <w:jc w:val="center"/>
              <w:rPr>
                <w:rFonts w:ascii="宋体" w:hAnsi="宋体" w:cs="宋体"/>
                <w:color w:val="auto"/>
                <w:sz w:val="24"/>
                <w:highlight w:val="none"/>
              </w:rPr>
            </w:pPr>
          </w:p>
        </w:tc>
      </w:tr>
    </w:tbl>
    <w:p w14:paraId="5BDC963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1D2F689">
      <w:pPr>
        <w:jc w:val="center"/>
        <w:rPr>
          <w:rFonts w:ascii="宋体" w:hAnsi="宋体" w:cs="宋体"/>
          <w:b/>
          <w:color w:val="auto"/>
          <w:kern w:val="0"/>
          <w:sz w:val="32"/>
          <w:szCs w:val="32"/>
          <w:highlight w:val="none"/>
        </w:rPr>
      </w:pPr>
    </w:p>
    <w:p w14:paraId="26974E42">
      <w:pPr>
        <w:jc w:val="center"/>
        <w:rPr>
          <w:rFonts w:ascii="宋体" w:hAnsi="宋体" w:cs="宋体"/>
          <w:b/>
          <w:color w:val="auto"/>
          <w:kern w:val="0"/>
          <w:sz w:val="32"/>
          <w:szCs w:val="32"/>
          <w:highlight w:val="none"/>
        </w:rPr>
      </w:pPr>
    </w:p>
    <w:p w14:paraId="6C07B4B8">
      <w:pPr>
        <w:jc w:val="center"/>
        <w:rPr>
          <w:rFonts w:ascii="宋体" w:hAnsi="宋体" w:cs="宋体"/>
          <w:b/>
          <w:color w:val="auto"/>
          <w:kern w:val="0"/>
          <w:sz w:val="32"/>
          <w:szCs w:val="32"/>
          <w:highlight w:val="none"/>
        </w:rPr>
      </w:pPr>
    </w:p>
    <w:p w14:paraId="29A3EB5B">
      <w:pPr>
        <w:jc w:val="center"/>
        <w:rPr>
          <w:color w:val="auto"/>
          <w:highlight w:val="none"/>
        </w:rPr>
      </w:pPr>
      <w:r>
        <w:rPr>
          <w:rFonts w:hint="eastAsia" w:ascii="宋体" w:hAnsi="宋体" w:cs="宋体"/>
          <w:b/>
          <w:color w:val="auto"/>
          <w:kern w:val="0"/>
          <w:sz w:val="32"/>
          <w:szCs w:val="32"/>
          <w:highlight w:val="none"/>
        </w:rPr>
        <w:t>七、商务技术偏离表</w:t>
      </w:r>
    </w:p>
    <w:p w14:paraId="14D8CE09">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14:paraId="1EE0EB8F">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14:paraId="6C187A06">
      <w:pPr>
        <w:autoSpaceDE w:val="0"/>
        <w:autoSpaceDN w:val="0"/>
        <w:snapToGrid w:val="0"/>
        <w:spacing w:after="120" w:line="400" w:lineRule="exact"/>
        <w:ind w:firstLine="480" w:firstLineChars="200"/>
        <w:jc w:val="left"/>
        <w:rPr>
          <w:rFonts w:cs="仿宋_GB2312" w:asciiTheme="minorEastAsia" w:hAnsiTheme="minorEastAsia" w:eastAsiaTheme="minorEastAsia"/>
          <w:color w:val="auto"/>
          <w:kern w:val="0"/>
          <w:sz w:val="24"/>
          <w:highlight w:val="none"/>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55FF3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71290449">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3668DEB6">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招标文件要求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36B7DC1D">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6A3A4C2D">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59C11CA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14:paraId="157B05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98FB26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14:paraId="75828C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6B0D27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3E6A95AD">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AAD822A">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E5129A7">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52D9E92">
            <w:pPr>
              <w:snapToGrid w:val="0"/>
              <w:spacing w:line="400" w:lineRule="exact"/>
              <w:jc w:val="center"/>
              <w:rPr>
                <w:rFonts w:asciiTheme="minorEastAsia" w:hAnsiTheme="minorEastAsia" w:eastAsiaTheme="minorEastAsia"/>
                <w:color w:val="auto"/>
                <w:sz w:val="24"/>
                <w:highlight w:val="none"/>
              </w:rPr>
            </w:pPr>
          </w:p>
        </w:tc>
      </w:tr>
      <w:tr w14:paraId="2FB5AD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D5A8FD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9095F73">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478C5BD">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DB9DAFF">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BE8AB04">
            <w:pPr>
              <w:snapToGrid w:val="0"/>
              <w:spacing w:line="400" w:lineRule="exact"/>
              <w:jc w:val="center"/>
              <w:rPr>
                <w:rFonts w:asciiTheme="minorEastAsia" w:hAnsiTheme="minorEastAsia" w:eastAsiaTheme="minorEastAsia"/>
                <w:color w:val="auto"/>
                <w:sz w:val="24"/>
                <w:highlight w:val="none"/>
              </w:rPr>
            </w:pPr>
          </w:p>
        </w:tc>
      </w:tr>
      <w:tr w14:paraId="7E2280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1B248C7">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682924F">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E320E2B">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DDCF196">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CCAA52B">
            <w:pPr>
              <w:snapToGrid w:val="0"/>
              <w:spacing w:line="400" w:lineRule="exact"/>
              <w:jc w:val="center"/>
              <w:rPr>
                <w:rFonts w:asciiTheme="minorEastAsia" w:hAnsiTheme="minorEastAsia" w:eastAsiaTheme="minorEastAsia"/>
                <w:color w:val="auto"/>
                <w:sz w:val="24"/>
                <w:highlight w:val="none"/>
              </w:rPr>
            </w:pPr>
          </w:p>
        </w:tc>
      </w:tr>
      <w:tr w14:paraId="2BAB4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851942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C7C03B3">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1366FB2">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A205449">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88FDA02">
            <w:pPr>
              <w:snapToGrid w:val="0"/>
              <w:spacing w:line="400" w:lineRule="exact"/>
              <w:jc w:val="center"/>
              <w:rPr>
                <w:rFonts w:asciiTheme="minorEastAsia" w:hAnsiTheme="minorEastAsia" w:eastAsiaTheme="minorEastAsia"/>
                <w:color w:val="auto"/>
                <w:sz w:val="24"/>
                <w:highlight w:val="none"/>
              </w:rPr>
            </w:pPr>
          </w:p>
        </w:tc>
      </w:tr>
      <w:tr w14:paraId="42184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A2080DE">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技术（服务）部分</w:t>
            </w:r>
          </w:p>
        </w:tc>
      </w:tr>
      <w:tr w14:paraId="7AB4C0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F970D7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05F6A7EB">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3DC7878">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B557143">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62D2EDD">
            <w:pPr>
              <w:snapToGrid w:val="0"/>
              <w:spacing w:line="400" w:lineRule="exact"/>
              <w:jc w:val="center"/>
              <w:rPr>
                <w:rFonts w:asciiTheme="minorEastAsia" w:hAnsiTheme="minorEastAsia" w:eastAsiaTheme="minorEastAsia"/>
                <w:color w:val="auto"/>
                <w:sz w:val="24"/>
                <w:highlight w:val="none"/>
              </w:rPr>
            </w:pPr>
          </w:p>
        </w:tc>
      </w:tr>
      <w:tr w14:paraId="2149A0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18E25D1">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50F579DD">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82A569C">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2EE9B51">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94C428E">
            <w:pPr>
              <w:snapToGrid w:val="0"/>
              <w:spacing w:line="400" w:lineRule="exact"/>
              <w:jc w:val="center"/>
              <w:rPr>
                <w:rFonts w:asciiTheme="minorEastAsia" w:hAnsiTheme="minorEastAsia" w:eastAsiaTheme="minorEastAsia"/>
                <w:color w:val="auto"/>
                <w:sz w:val="24"/>
                <w:highlight w:val="none"/>
              </w:rPr>
            </w:pPr>
          </w:p>
        </w:tc>
      </w:tr>
      <w:tr w14:paraId="7BF3B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F55082">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D3B4DF1">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D41836F">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340DE27">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CED7559">
            <w:pPr>
              <w:snapToGrid w:val="0"/>
              <w:spacing w:line="400" w:lineRule="exact"/>
              <w:jc w:val="center"/>
              <w:rPr>
                <w:rFonts w:asciiTheme="minorEastAsia" w:hAnsiTheme="minorEastAsia" w:eastAsiaTheme="minorEastAsia"/>
                <w:color w:val="auto"/>
                <w:sz w:val="24"/>
                <w:highlight w:val="none"/>
              </w:rPr>
            </w:pPr>
          </w:p>
        </w:tc>
      </w:tr>
      <w:tr w14:paraId="13942E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4200806">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01B3179B">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642ECF59">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60119508">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0439969F">
            <w:pPr>
              <w:snapToGrid w:val="0"/>
              <w:spacing w:line="400" w:lineRule="exact"/>
              <w:jc w:val="center"/>
              <w:rPr>
                <w:rFonts w:asciiTheme="minorEastAsia" w:hAnsiTheme="minorEastAsia" w:eastAsiaTheme="minorEastAsia"/>
                <w:color w:val="auto"/>
                <w:sz w:val="24"/>
                <w:highlight w:val="none"/>
              </w:rPr>
            </w:pPr>
          </w:p>
        </w:tc>
      </w:tr>
    </w:tbl>
    <w:p w14:paraId="10DD82A7">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说明：1.应写明招标文件对商务与服务技术要求的响应和偏离情况</w:t>
      </w:r>
      <w:r>
        <w:rPr>
          <w:rFonts w:hint="eastAsia" w:asciiTheme="minorEastAsia" w:hAnsiTheme="minorEastAsia" w:eastAsiaTheme="minorEastAsia"/>
          <w:bCs/>
          <w:color w:val="auto"/>
          <w:sz w:val="24"/>
          <w:highlight w:val="none"/>
        </w:rPr>
        <w:t>；</w:t>
      </w:r>
    </w:p>
    <w:p w14:paraId="54692D06">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2.应对照招标文件“第三部分  采购需求”，逐条说明所提供货物、服务已对招标文件的商务、技术（服务）要求做出了实质性的响应，并申明与采购项目要求的偏离情况。特别对有具体商务、技术（服务）要求的，</w:t>
      </w:r>
      <w:r>
        <w:rPr>
          <w:rFonts w:hint="eastAsia" w:ascii="宋体" w:hAnsi="宋体" w:cs="宋体"/>
          <w:color w:val="auto"/>
          <w:sz w:val="24"/>
          <w:highlight w:val="none"/>
        </w:rPr>
        <w:t>投标人</w:t>
      </w:r>
      <w:r>
        <w:rPr>
          <w:rFonts w:hint="eastAsia" w:asciiTheme="minorEastAsia" w:hAnsiTheme="minorEastAsia" w:eastAsiaTheme="minorEastAsia"/>
          <w:color w:val="auto"/>
          <w:sz w:val="24"/>
          <w:highlight w:val="none"/>
        </w:rPr>
        <w:t xml:space="preserve">必须提供对应的详细应答。如果仅注明“符合”、“满足”或简单复制招标文件要求，将导致投标被拒绝。 </w:t>
      </w:r>
    </w:p>
    <w:p w14:paraId="2B6C63D4">
      <w:pPr>
        <w:snapToGrid w:val="0"/>
        <w:spacing w:line="400" w:lineRule="exact"/>
        <w:rPr>
          <w:rFonts w:cs="Courier New" w:asciiTheme="minorEastAsia" w:hAnsiTheme="minorEastAsia" w:eastAsiaTheme="minorEastAsia"/>
          <w:color w:val="auto"/>
          <w:sz w:val="24"/>
          <w:highlight w:val="none"/>
        </w:rPr>
      </w:pPr>
    </w:p>
    <w:p w14:paraId="66D56335">
      <w:pPr>
        <w:spacing w:line="360" w:lineRule="auto"/>
        <w:ind w:firstLine="3600" w:firstLineChars="1500"/>
        <w:rPr>
          <w:rFonts w:ascii="宋体" w:hAnsi="宋体" w:cs="宋体"/>
          <w:color w:val="auto"/>
          <w:sz w:val="24"/>
          <w:highlight w:val="none"/>
        </w:rPr>
      </w:pPr>
    </w:p>
    <w:p w14:paraId="4B0A78C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7FA968A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673542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473DBA5">
      <w:pPr>
        <w:jc w:val="center"/>
        <w:rPr>
          <w:rFonts w:ascii="宋体" w:hAnsi="宋体" w:cs="宋体"/>
          <w:b/>
          <w:color w:val="auto"/>
          <w:kern w:val="0"/>
          <w:sz w:val="32"/>
          <w:szCs w:val="32"/>
          <w:highlight w:val="none"/>
        </w:rPr>
      </w:pPr>
    </w:p>
    <w:p w14:paraId="58ADFE0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2F62F61">
      <w:pPr>
        <w:ind w:firstLine="1911" w:firstLineChars="595"/>
        <w:rPr>
          <w:rFonts w:ascii="宋体" w:hAnsi="宋体" w:cs="宋体"/>
          <w:b/>
          <w:bCs/>
          <w:color w:val="auto"/>
          <w:sz w:val="32"/>
          <w:szCs w:val="32"/>
          <w:highlight w:val="none"/>
        </w:rPr>
      </w:pPr>
    </w:p>
    <w:p w14:paraId="6E8E3BF7">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55449D7">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627F56D">
      <w:pPr>
        <w:snapToGrid w:val="0"/>
        <w:spacing w:line="360" w:lineRule="auto"/>
        <w:rPr>
          <w:rFonts w:ascii="宋体" w:hAnsi="宋体" w:cs="宋体"/>
          <w:color w:val="auto"/>
          <w:sz w:val="24"/>
          <w:highlight w:val="none"/>
        </w:rPr>
      </w:pPr>
    </w:p>
    <w:p w14:paraId="6FCF9726">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290C88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2697A01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7AF9936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8BC018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0DC7E9C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4E73D5F0">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98A2B7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134C026C">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288D115C">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382AE18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1BA83F41">
      <w:pPr>
        <w:autoSpaceDE w:val="0"/>
        <w:autoSpaceDN w:val="0"/>
        <w:spacing w:line="360" w:lineRule="auto"/>
        <w:ind w:left="2"/>
        <w:jc w:val="left"/>
        <w:rPr>
          <w:rFonts w:ascii="宋体" w:hAnsi="宋体" w:cs="宋体"/>
          <w:color w:val="auto"/>
          <w:kern w:val="0"/>
          <w:sz w:val="24"/>
          <w:highlight w:val="none"/>
          <w:lang w:val="zh-CN"/>
        </w:rPr>
      </w:pPr>
    </w:p>
    <w:p w14:paraId="6FAEF2AB">
      <w:pPr>
        <w:autoSpaceDE w:val="0"/>
        <w:autoSpaceDN w:val="0"/>
        <w:spacing w:line="360" w:lineRule="auto"/>
        <w:ind w:left="2"/>
        <w:jc w:val="left"/>
        <w:rPr>
          <w:rFonts w:ascii="宋体" w:hAnsi="宋体" w:cs="宋体"/>
          <w:color w:val="auto"/>
          <w:kern w:val="0"/>
          <w:sz w:val="24"/>
          <w:highlight w:val="none"/>
          <w:lang w:val="zh-CN"/>
        </w:rPr>
      </w:pPr>
    </w:p>
    <w:p w14:paraId="5446CAE2">
      <w:pPr>
        <w:autoSpaceDE w:val="0"/>
        <w:autoSpaceDN w:val="0"/>
        <w:spacing w:line="360" w:lineRule="auto"/>
        <w:ind w:left="2"/>
        <w:jc w:val="left"/>
        <w:rPr>
          <w:rFonts w:ascii="宋体" w:hAnsi="宋体" w:cs="宋体"/>
          <w:color w:val="auto"/>
          <w:kern w:val="0"/>
          <w:sz w:val="24"/>
          <w:highlight w:val="none"/>
          <w:lang w:val="zh-CN"/>
        </w:rPr>
      </w:pPr>
    </w:p>
    <w:p w14:paraId="15A4633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2866FD5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14A53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529CE2B">
      <w:pPr>
        <w:spacing w:line="360" w:lineRule="auto"/>
        <w:ind w:left="4620" w:leftChars="2200"/>
        <w:rPr>
          <w:rFonts w:ascii="宋体" w:hAnsi="宋体" w:cs="宋体"/>
          <w:color w:val="auto"/>
          <w:sz w:val="24"/>
          <w:highlight w:val="none"/>
        </w:rPr>
      </w:pPr>
    </w:p>
    <w:p w14:paraId="5376DAD2">
      <w:pPr>
        <w:spacing w:line="360" w:lineRule="auto"/>
        <w:jc w:val="center"/>
        <w:rPr>
          <w:rFonts w:ascii="宋体" w:hAnsi="宋体" w:cs="宋体"/>
          <w:b/>
          <w:bCs/>
          <w:color w:val="auto"/>
          <w:sz w:val="24"/>
          <w:highlight w:val="none"/>
        </w:rPr>
      </w:pPr>
    </w:p>
    <w:p w14:paraId="68276F0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70E54C5">
      <w:pPr>
        <w:pStyle w:val="84"/>
        <w:rPr>
          <w:color w:val="auto"/>
          <w:highlight w:val="none"/>
        </w:rPr>
      </w:pPr>
    </w:p>
    <w:p w14:paraId="25BAC191">
      <w:pPr>
        <w:pStyle w:val="84"/>
        <w:rPr>
          <w:color w:val="auto"/>
          <w:highlight w:val="none"/>
        </w:rPr>
      </w:pPr>
    </w:p>
    <w:p w14:paraId="71C7E531">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5BDEE887">
      <w:pPr>
        <w:widowControl/>
        <w:adjustRightInd/>
        <w:ind w:firstLine="640" w:firstLineChars="200"/>
        <w:jc w:val="left"/>
        <w:rPr>
          <w:rFonts w:ascii="宋体" w:hAnsi="宋体" w:cs="宋体"/>
          <w:color w:val="auto"/>
          <w:kern w:val="0"/>
          <w:sz w:val="32"/>
          <w:szCs w:val="21"/>
          <w:highlight w:val="none"/>
        </w:rPr>
      </w:pPr>
    </w:p>
    <w:p w14:paraId="7946A43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D995EAC">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109B65F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0185814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14:paraId="6A38B75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7A79CFE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14:paraId="5BF7FFE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6F9DF16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4ED85D7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03A9052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0FAAB8C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6D68121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1DE906AC">
      <w:pPr>
        <w:widowControl/>
        <w:adjustRightInd/>
        <w:spacing w:line="360" w:lineRule="auto"/>
        <w:ind w:firstLine="480" w:firstLineChars="200"/>
        <w:jc w:val="left"/>
        <w:rPr>
          <w:rFonts w:ascii="宋体" w:hAnsi="宋体" w:cs="宋体"/>
          <w:color w:val="auto"/>
          <w:kern w:val="0"/>
          <w:sz w:val="24"/>
          <w:highlight w:val="none"/>
        </w:rPr>
      </w:pPr>
    </w:p>
    <w:p w14:paraId="2BFC4A0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7268674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021201D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39E7F3B4">
      <w:pPr>
        <w:spacing w:line="360" w:lineRule="auto"/>
        <w:ind w:left="4620" w:leftChars="2200"/>
        <w:rPr>
          <w:rFonts w:ascii="宋体" w:hAnsi="宋体" w:cs="宋体"/>
          <w:color w:val="auto"/>
          <w:sz w:val="24"/>
          <w:highlight w:val="none"/>
        </w:rPr>
      </w:pPr>
    </w:p>
    <w:p w14:paraId="4A5ED54D">
      <w:pPr>
        <w:spacing w:line="360" w:lineRule="auto"/>
        <w:jc w:val="center"/>
        <w:rPr>
          <w:rFonts w:ascii="宋体" w:hAnsi="宋体" w:cs="宋体"/>
          <w:b/>
          <w:bCs/>
          <w:color w:val="auto"/>
          <w:sz w:val="24"/>
          <w:highlight w:val="none"/>
        </w:rPr>
      </w:pPr>
    </w:p>
    <w:p w14:paraId="39B49C2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A33FC6F">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14:paraId="1913F5F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4EFC2713">
      <w:pPr>
        <w:spacing w:line="360" w:lineRule="auto"/>
        <w:jc w:val="center"/>
        <w:rPr>
          <w:rFonts w:cs="仿宋_GB2312" w:asciiTheme="minorEastAsia" w:hAnsiTheme="minorEastAsia" w:eastAsiaTheme="minorEastAsia"/>
          <w:color w:val="auto"/>
          <w:sz w:val="24"/>
          <w:highlight w:val="none"/>
        </w:rPr>
      </w:pPr>
    </w:p>
    <w:p w14:paraId="4441B1A2">
      <w:pPr>
        <w:autoSpaceDE w:val="0"/>
        <w:autoSpaceDN w:val="0"/>
        <w:spacing w:line="360" w:lineRule="auto"/>
        <w:rPr>
          <w:rFonts w:cs="仿宋_GB2312" w:asciiTheme="minorEastAsia" w:hAnsiTheme="minorEastAsia" w:eastAsiaTheme="minorEastAsia"/>
          <w:color w:val="auto"/>
          <w:kern w:val="0"/>
          <w:sz w:val="24"/>
          <w:highlight w:val="none"/>
        </w:rPr>
      </w:pPr>
    </w:p>
    <w:p w14:paraId="50A31F52">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41F91AF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4B434B4">
      <w:pPr>
        <w:spacing w:line="360" w:lineRule="auto"/>
        <w:jc w:val="center"/>
        <w:rPr>
          <w:rFonts w:cs="仿宋_GB2312" w:asciiTheme="minorEastAsia" w:hAnsiTheme="minorEastAsia" w:eastAsiaTheme="minorEastAsia"/>
          <w:b/>
          <w:bCs/>
          <w:color w:val="auto"/>
          <w:sz w:val="32"/>
          <w:szCs w:val="32"/>
          <w:highlight w:val="none"/>
        </w:rPr>
      </w:pPr>
    </w:p>
    <w:p w14:paraId="03D0432B">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14:paraId="31C2C9BF">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78785865">
      <w:pPr>
        <w:spacing w:line="360" w:lineRule="auto"/>
        <w:jc w:val="center"/>
        <w:rPr>
          <w:rFonts w:cs="仿宋_GB2312" w:asciiTheme="minorEastAsia" w:hAnsiTheme="minorEastAsia" w:eastAsiaTheme="minorEastAsia"/>
          <w:color w:val="auto"/>
          <w:sz w:val="24"/>
          <w:highlight w:val="none"/>
        </w:rPr>
      </w:pPr>
    </w:p>
    <w:p w14:paraId="3C828C28">
      <w:pPr>
        <w:autoSpaceDE w:val="0"/>
        <w:autoSpaceDN w:val="0"/>
        <w:spacing w:line="360" w:lineRule="auto"/>
        <w:rPr>
          <w:rFonts w:cs="仿宋_GB2312" w:asciiTheme="minorEastAsia" w:hAnsiTheme="minorEastAsia" w:eastAsiaTheme="minorEastAsia"/>
          <w:color w:val="auto"/>
          <w:kern w:val="0"/>
          <w:sz w:val="24"/>
          <w:highlight w:val="none"/>
        </w:rPr>
      </w:pPr>
    </w:p>
    <w:p w14:paraId="004D91F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3AB2F75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62537C8">
      <w:pPr>
        <w:spacing w:line="360" w:lineRule="auto"/>
        <w:jc w:val="center"/>
        <w:rPr>
          <w:rFonts w:cs="仿宋_GB2312" w:asciiTheme="minorEastAsia" w:hAnsiTheme="minorEastAsia" w:eastAsiaTheme="minorEastAsia"/>
          <w:b/>
          <w:bCs/>
          <w:color w:val="auto"/>
          <w:sz w:val="32"/>
          <w:szCs w:val="32"/>
          <w:highlight w:val="none"/>
        </w:rPr>
      </w:pPr>
    </w:p>
    <w:p w14:paraId="79644EC7">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十二、售后服务方案</w:t>
      </w:r>
    </w:p>
    <w:p w14:paraId="5671EA8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411F8086">
      <w:pPr>
        <w:spacing w:line="360" w:lineRule="auto"/>
        <w:jc w:val="center"/>
        <w:rPr>
          <w:rFonts w:cs="仿宋_GB2312" w:asciiTheme="minorEastAsia" w:hAnsiTheme="minorEastAsia" w:eastAsiaTheme="minorEastAsia"/>
          <w:color w:val="auto"/>
          <w:sz w:val="24"/>
          <w:highlight w:val="none"/>
        </w:rPr>
      </w:pPr>
    </w:p>
    <w:p w14:paraId="44A7EC1A">
      <w:pPr>
        <w:autoSpaceDE w:val="0"/>
        <w:autoSpaceDN w:val="0"/>
        <w:spacing w:line="360" w:lineRule="auto"/>
        <w:rPr>
          <w:rFonts w:cs="仿宋_GB2312" w:asciiTheme="minorEastAsia" w:hAnsiTheme="minorEastAsia" w:eastAsiaTheme="minorEastAsia"/>
          <w:color w:val="auto"/>
          <w:kern w:val="0"/>
          <w:sz w:val="24"/>
          <w:highlight w:val="none"/>
        </w:rPr>
      </w:pPr>
    </w:p>
    <w:p w14:paraId="6DF5C4E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5AEFCE98">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27A5952">
      <w:pPr>
        <w:spacing w:line="360" w:lineRule="auto"/>
        <w:jc w:val="center"/>
        <w:rPr>
          <w:rFonts w:ascii="宋体" w:hAnsi="宋体" w:cs="宋体"/>
          <w:b/>
          <w:bCs/>
          <w:color w:val="auto"/>
          <w:sz w:val="24"/>
          <w:highlight w:val="none"/>
        </w:rPr>
      </w:pPr>
    </w:p>
    <w:p w14:paraId="0DB4B392">
      <w:pPr>
        <w:spacing w:line="360" w:lineRule="auto"/>
        <w:jc w:val="center"/>
        <w:rPr>
          <w:rFonts w:ascii="宋体" w:hAnsi="宋体" w:cs="宋体"/>
          <w:b/>
          <w:bCs/>
          <w:color w:val="auto"/>
          <w:sz w:val="24"/>
          <w:highlight w:val="none"/>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00B64CD1">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77C42E5">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1C9D61A">
      <w:pPr>
        <w:spacing w:line="360" w:lineRule="auto"/>
        <w:jc w:val="center"/>
        <w:rPr>
          <w:rFonts w:ascii="宋体" w:hAnsi="宋体" w:cs="宋体"/>
          <w:b/>
          <w:color w:val="auto"/>
          <w:kern w:val="0"/>
          <w:sz w:val="36"/>
          <w:szCs w:val="36"/>
          <w:highlight w:val="none"/>
        </w:rPr>
      </w:pPr>
    </w:p>
    <w:p w14:paraId="6C19D33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1788816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（2）中小企业声明函………………………………………………………………（页码）</w:t>
      </w:r>
    </w:p>
    <w:p w14:paraId="6260A8D0">
      <w:pPr>
        <w:snapToGrid w:val="0"/>
        <w:spacing w:line="360" w:lineRule="auto"/>
        <w:rPr>
          <w:rFonts w:ascii="宋体" w:hAnsi="宋体" w:cs="宋体"/>
          <w:color w:val="auto"/>
          <w:sz w:val="24"/>
          <w:highlight w:val="none"/>
        </w:rPr>
      </w:pPr>
      <w:bookmarkStart w:id="418" w:name="OLE_LINK12"/>
      <w:bookmarkStart w:id="419" w:name="OLE_LINK11"/>
      <w:r>
        <w:rPr>
          <w:rFonts w:hint="eastAsia" w:ascii="宋体" w:hAnsi="宋体" w:cs="宋体"/>
          <w:color w:val="auto"/>
          <w:sz w:val="24"/>
          <w:highlight w:val="none"/>
        </w:rPr>
        <w:t>（3）关于符合本国产品标准的声明函……………………………………………（页码）</w:t>
      </w:r>
      <w:bookmarkEnd w:id="418"/>
      <w:bookmarkEnd w:id="419"/>
    </w:p>
    <w:p w14:paraId="53DF11D2">
      <w:pPr>
        <w:snapToGrid w:val="0"/>
        <w:spacing w:line="360" w:lineRule="auto"/>
        <w:ind w:right="480"/>
        <w:jc w:val="center"/>
        <w:rPr>
          <w:rFonts w:ascii="宋体" w:hAnsi="宋体" w:cs="宋体"/>
          <w:b/>
          <w:color w:val="auto"/>
          <w:kern w:val="0"/>
          <w:sz w:val="32"/>
          <w:szCs w:val="32"/>
          <w:highlight w:val="none"/>
        </w:rPr>
      </w:pPr>
    </w:p>
    <w:p w14:paraId="08F1B8C5">
      <w:pPr>
        <w:snapToGrid w:val="0"/>
        <w:spacing w:line="360" w:lineRule="auto"/>
        <w:ind w:right="480"/>
        <w:jc w:val="center"/>
        <w:rPr>
          <w:rFonts w:ascii="宋体" w:hAnsi="宋体" w:cs="宋体"/>
          <w:b/>
          <w:color w:val="auto"/>
          <w:kern w:val="0"/>
          <w:sz w:val="32"/>
          <w:szCs w:val="32"/>
          <w:highlight w:val="none"/>
        </w:rPr>
      </w:pPr>
    </w:p>
    <w:p w14:paraId="6DAE1E28">
      <w:pPr>
        <w:snapToGrid w:val="0"/>
        <w:spacing w:line="360" w:lineRule="auto"/>
        <w:ind w:right="480"/>
        <w:jc w:val="center"/>
        <w:rPr>
          <w:rFonts w:ascii="宋体" w:hAnsi="宋体" w:cs="宋体"/>
          <w:b/>
          <w:color w:val="auto"/>
          <w:kern w:val="0"/>
          <w:sz w:val="32"/>
          <w:szCs w:val="32"/>
          <w:highlight w:val="none"/>
        </w:rPr>
      </w:pPr>
    </w:p>
    <w:p w14:paraId="503A8E0A">
      <w:pPr>
        <w:snapToGrid w:val="0"/>
        <w:spacing w:line="360" w:lineRule="auto"/>
        <w:ind w:right="480"/>
        <w:jc w:val="center"/>
        <w:rPr>
          <w:rFonts w:ascii="宋体" w:hAnsi="宋体" w:cs="宋体"/>
          <w:b/>
          <w:color w:val="auto"/>
          <w:kern w:val="0"/>
          <w:sz w:val="32"/>
          <w:szCs w:val="32"/>
          <w:highlight w:val="none"/>
        </w:rPr>
      </w:pPr>
    </w:p>
    <w:p w14:paraId="3740C45B">
      <w:pPr>
        <w:snapToGrid w:val="0"/>
        <w:spacing w:line="360" w:lineRule="auto"/>
        <w:ind w:right="480"/>
        <w:jc w:val="center"/>
        <w:rPr>
          <w:rFonts w:ascii="宋体" w:hAnsi="宋体" w:cs="宋体"/>
          <w:b/>
          <w:color w:val="auto"/>
          <w:kern w:val="0"/>
          <w:sz w:val="32"/>
          <w:szCs w:val="32"/>
          <w:highlight w:val="none"/>
        </w:rPr>
      </w:pPr>
    </w:p>
    <w:p w14:paraId="7CCA7555">
      <w:pPr>
        <w:snapToGrid w:val="0"/>
        <w:spacing w:line="360" w:lineRule="auto"/>
        <w:ind w:right="480"/>
        <w:jc w:val="center"/>
        <w:rPr>
          <w:rFonts w:ascii="宋体" w:hAnsi="宋体" w:cs="宋体"/>
          <w:b/>
          <w:color w:val="auto"/>
          <w:kern w:val="0"/>
          <w:sz w:val="32"/>
          <w:szCs w:val="32"/>
          <w:highlight w:val="none"/>
        </w:rPr>
      </w:pPr>
    </w:p>
    <w:p w14:paraId="579977B9">
      <w:pPr>
        <w:snapToGrid w:val="0"/>
        <w:spacing w:line="360" w:lineRule="auto"/>
        <w:ind w:right="480"/>
        <w:jc w:val="center"/>
        <w:rPr>
          <w:rFonts w:ascii="宋体" w:hAnsi="宋体" w:cs="宋体"/>
          <w:b/>
          <w:color w:val="auto"/>
          <w:kern w:val="0"/>
          <w:sz w:val="32"/>
          <w:szCs w:val="32"/>
          <w:highlight w:val="none"/>
        </w:rPr>
      </w:pPr>
    </w:p>
    <w:p w14:paraId="07610349">
      <w:pPr>
        <w:snapToGrid w:val="0"/>
        <w:spacing w:line="360" w:lineRule="auto"/>
        <w:ind w:right="480"/>
        <w:jc w:val="center"/>
        <w:rPr>
          <w:rFonts w:ascii="宋体" w:hAnsi="宋体" w:cs="宋体"/>
          <w:b/>
          <w:color w:val="auto"/>
          <w:kern w:val="0"/>
          <w:sz w:val="32"/>
          <w:szCs w:val="32"/>
          <w:highlight w:val="none"/>
        </w:rPr>
      </w:pPr>
    </w:p>
    <w:p w14:paraId="1F10F1E3">
      <w:pPr>
        <w:snapToGrid w:val="0"/>
        <w:spacing w:line="360" w:lineRule="auto"/>
        <w:ind w:right="480"/>
        <w:jc w:val="center"/>
        <w:rPr>
          <w:rFonts w:ascii="宋体" w:hAnsi="宋体" w:cs="宋体"/>
          <w:b/>
          <w:color w:val="auto"/>
          <w:kern w:val="0"/>
          <w:sz w:val="32"/>
          <w:szCs w:val="32"/>
          <w:highlight w:val="none"/>
        </w:rPr>
      </w:pPr>
    </w:p>
    <w:p w14:paraId="2EAE4F89">
      <w:pPr>
        <w:snapToGrid w:val="0"/>
        <w:spacing w:line="360" w:lineRule="auto"/>
        <w:ind w:right="480"/>
        <w:jc w:val="center"/>
        <w:rPr>
          <w:rFonts w:ascii="宋体" w:hAnsi="宋体" w:cs="宋体"/>
          <w:b/>
          <w:color w:val="auto"/>
          <w:kern w:val="0"/>
          <w:sz w:val="32"/>
          <w:szCs w:val="32"/>
          <w:highlight w:val="none"/>
        </w:rPr>
      </w:pPr>
    </w:p>
    <w:p w14:paraId="4F063707">
      <w:pPr>
        <w:snapToGrid w:val="0"/>
        <w:spacing w:line="360" w:lineRule="auto"/>
        <w:ind w:right="480"/>
        <w:jc w:val="center"/>
        <w:rPr>
          <w:rFonts w:ascii="宋体" w:hAnsi="宋体" w:cs="宋体"/>
          <w:b/>
          <w:color w:val="auto"/>
          <w:kern w:val="0"/>
          <w:sz w:val="32"/>
          <w:szCs w:val="32"/>
          <w:highlight w:val="none"/>
        </w:rPr>
      </w:pPr>
    </w:p>
    <w:p w14:paraId="2D1773E7">
      <w:pPr>
        <w:snapToGrid w:val="0"/>
        <w:spacing w:line="360" w:lineRule="auto"/>
        <w:ind w:right="480"/>
        <w:jc w:val="center"/>
        <w:rPr>
          <w:rFonts w:ascii="宋体" w:hAnsi="宋体" w:cs="宋体"/>
          <w:b/>
          <w:color w:val="auto"/>
          <w:kern w:val="0"/>
          <w:sz w:val="32"/>
          <w:szCs w:val="32"/>
          <w:highlight w:val="none"/>
        </w:rPr>
      </w:pPr>
    </w:p>
    <w:p w14:paraId="15ECEB39">
      <w:pPr>
        <w:snapToGrid w:val="0"/>
        <w:spacing w:line="360" w:lineRule="auto"/>
        <w:ind w:right="480"/>
        <w:jc w:val="center"/>
        <w:rPr>
          <w:rFonts w:ascii="宋体" w:hAnsi="宋体" w:cs="宋体"/>
          <w:b/>
          <w:color w:val="auto"/>
          <w:kern w:val="0"/>
          <w:sz w:val="32"/>
          <w:szCs w:val="32"/>
          <w:highlight w:val="none"/>
        </w:rPr>
      </w:pPr>
    </w:p>
    <w:p w14:paraId="35B1D866">
      <w:pPr>
        <w:snapToGrid w:val="0"/>
        <w:spacing w:line="360" w:lineRule="auto"/>
        <w:ind w:right="480"/>
        <w:jc w:val="center"/>
        <w:rPr>
          <w:rFonts w:ascii="宋体" w:hAnsi="宋体" w:cs="宋体"/>
          <w:b/>
          <w:color w:val="auto"/>
          <w:kern w:val="0"/>
          <w:sz w:val="32"/>
          <w:szCs w:val="32"/>
          <w:highlight w:val="none"/>
        </w:rPr>
      </w:pPr>
    </w:p>
    <w:p w14:paraId="2AE208F0">
      <w:pPr>
        <w:snapToGrid w:val="0"/>
        <w:spacing w:line="360" w:lineRule="auto"/>
        <w:ind w:right="480"/>
        <w:jc w:val="center"/>
        <w:rPr>
          <w:rFonts w:ascii="宋体" w:hAnsi="宋体" w:cs="宋体"/>
          <w:b/>
          <w:color w:val="auto"/>
          <w:kern w:val="0"/>
          <w:sz w:val="32"/>
          <w:szCs w:val="32"/>
          <w:highlight w:val="none"/>
        </w:rPr>
      </w:pPr>
    </w:p>
    <w:p w14:paraId="2AB77E48">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219EC889">
      <w:pPr>
        <w:pStyle w:val="84"/>
        <w:jc w:val="center"/>
        <w:rPr>
          <w:b/>
          <w:color w:val="auto"/>
          <w:sz w:val="32"/>
          <w:szCs w:val="32"/>
          <w:highlight w:val="none"/>
        </w:rPr>
      </w:pPr>
      <w:r>
        <w:rPr>
          <w:rFonts w:hint="eastAsia"/>
          <w:b/>
          <w:color w:val="auto"/>
          <w:sz w:val="32"/>
          <w:szCs w:val="32"/>
          <w:highlight w:val="none"/>
        </w:rPr>
        <w:t>一、开标一览表（报价表）</w:t>
      </w:r>
    </w:p>
    <w:p w14:paraId="248EBA0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EC74E01">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1FE3FB6F">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4"/>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693B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C90B7C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3AFCED9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615AACD9">
            <w:pPr>
              <w:spacing w:line="360" w:lineRule="auto"/>
              <w:jc w:val="center"/>
              <w:rPr>
                <w:rFonts w:ascii="宋体" w:hAnsi="宋体" w:cs="宋体"/>
                <w:b/>
                <w:color w:val="auto"/>
                <w:sz w:val="24"/>
                <w:highlight w:val="none"/>
              </w:rPr>
            </w:pPr>
          </w:p>
          <w:p w14:paraId="098A475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40A09E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46211EB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3BBE269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5493AD8D">
            <w:pPr>
              <w:spacing w:line="360" w:lineRule="auto"/>
              <w:jc w:val="center"/>
              <w:rPr>
                <w:rFonts w:ascii="宋体" w:hAnsi="宋体" w:cs="宋体"/>
                <w:b/>
                <w:color w:val="auto"/>
                <w:sz w:val="24"/>
                <w:highlight w:val="none"/>
              </w:rPr>
            </w:pPr>
          </w:p>
          <w:p w14:paraId="5BF4F95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6A8FC86C">
            <w:pPr>
              <w:spacing w:line="360" w:lineRule="auto"/>
              <w:jc w:val="center"/>
              <w:rPr>
                <w:rFonts w:ascii="宋体" w:hAnsi="宋体" w:cs="宋体"/>
                <w:b/>
                <w:color w:val="auto"/>
                <w:sz w:val="24"/>
                <w:highlight w:val="none"/>
              </w:rPr>
            </w:pPr>
          </w:p>
          <w:p w14:paraId="3152F04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1A889431">
            <w:pPr>
              <w:spacing w:line="360" w:lineRule="auto"/>
              <w:jc w:val="center"/>
              <w:rPr>
                <w:rFonts w:ascii="宋体" w:hAnsi="宋体" w:cs="宋体"/>
                <w:b/>
                <w:color w:val="auto"/>
                <w:sz w:val="24"/>
                <w:highlight w:val="none"/>
              </w:rPr>
            </w:pPr>
          </w:p>
        </w:tc>
      </w:tr>
      <w:tr w14:paraId="1C61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55BEF53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35FBD08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222C6818">
            <w:pPr>
              <w:snapToGrid w:val="0"/>
              <w:spacing w:line="360" w:lineRule="auto"/>
              <w:jc w:val="center"/>
              <w:rPr>
                <w:rFonts w:ascii="宋体" w:hAnsi="宋体" w:cs="宋体"/>
                <w:color w:val="auto"/>
                <w:sz w:val="24"/>
                <w:highlight w:val="none"/>
              </w:rPr>
            </w:pPr>
          </w:p>
        </w:tc>
        <w:tc>
          <w:tcPr>
            <w:tcW w:w="2410" w:type="dxa"/>
            <w:vAlign w:val="center"/>
          </w:tcPr>
          <w:p w14:paraId="4E169949">
            <w:pPr>
              <w:snapToGrid w:val="0"/>
              <w:spacing w:line="360" w:lineRule="auto"/>
              <w:jc w:val="center"/>
              <w:rPr>
                <w:rFonts w:ascii="宋体" w:hAnsi="宋体" w:cs="宋体"/>
                <w:color w:val="auto"/>
                <w:sz w:val="24"/>
                <w:highlight w:val="none"/>
              </w:rPr>
            </w:pPr>
          </w:p>
        </w:tc>
        <w:tc>
          <w:tcPr>
            <w:tcW w:w="2268" w:type="dxa"/>
            <w:vAlign w:val="center"/>
          </w:tcPr>
          <w:p w14:paraId="482B1D0D">
            <w:pPr>
              <w:snapToGrid w:val="0"/>
              <w:spacing w:line="360" w:lineRule="auto"/>
              <w:jc w:val="center"/>
              <w:rPr>
                <w:rFonts w:ascii="宋体" w:hAnsi="宋体" w:cs="宋体"/>
                <w:color w:val="auto"/>
                <w:sz w:val="24"/>
                <w:highlight w:val="none"/>
              </w:rPr>
            </w:pPr>
          </w:p>
        </w:tc>
        <w:tc>
          <w:tcPr>
            <w:tcW w:w="2126" w:type="dxa"/>
            <w:vAlign w:val="center"/>
          </w:tcPr>
          <w:p w14:paraId="1426C234">
            <w:pPr>
              <w:spacing w:line="360" w:lineRule="auto"/>
              <w:jc w:val="center"/>
              <w:rPr>
                <w:rFonts w:ascii="宋体" w:hAnsi="宋体" w:cs="宋体"/>
                <w:color w:val="auto"/>
                <w:sz w:val="24"/>
                <w:highlight w:val="none"/>
              </w:rPr>
            </w:pPr>
          </w:p>
        </w:tc>
        <w:tc>
          <w:tcPr>
            <w:tcW w:w="2127" w:type="dxa"/>
          </w:tcPr>
          <w:p w14:paraId="495B22F1">
            <w:pPr>
              <w:spacing w:line="360" w:lineRule="auto"/>
              <w:jc w:val="center"/>
              <w:rPr>
                <w:rFonts w:ascii="宋体" w:hAnsi="宋体" w:cs="宋体"/>
                <w:color w:val="auto"/>
                <w:sz w:val="24"/>
                <w:highlight w:val="none"/>
              </w:rPr>
            </w:pPr>
          </w:p>
        </w:tc>
        <w:tc>
          <w:tcPr>
            <w:tcW w:w="2126" w:type="dxa"/>
            <w:vAlign w:val="center"/>
          </w:tcPr>
          <w:p w14:paraId="2E48BFB3">
            <w:pPr>
              <w:spacing w:line="360" w:lineRule="auto"/>
              <w:jc w:val="center"/>
              <w:rPr>
                <w:rFonts w:ascii="宋体" w:hAnsi="宋体" w:cs="宋体"/>
                <w:color w:val="auto"/>
                <w:sz w:val="24"/>
                <w:highlight w:val="none"/>
              </w:rPr>
            </w:pPr>
          </w:p>
        </w:tc>
      </w:tr>
      <w:tr w14:paraId="77A8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F74FB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1A81299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59896CB9">
            <w:pPr>
              <w:snapToGrid w:val="0"/>
              <w:spacing w:line="360" w:lineRule="auto"/>
              <w:jc w:val="center"/>
              <w:rPr>
                <w:rFonts w:ascii="宋体" w:hAnsi="宋体" w:cs="宋体"/>
                <w:color w:val="auto"/>
                <w:sz w:val="24"/>
                <w:highlight w:val="none"/>
              </w:rPr>
            </w:pPr>
          </w:p>
        </w:tc>
        <w:tc>
          <w:tcPr>
            <w:tcW w:w="2410" w:type="dxa"/>
            <w:vAlign w:val="center"/>
          </w:tcPr>
          <w:p w14:paraId="04A0AA4D">
            <w:pPr>
              <w:snapToGrid w:val="0"/>
              <w:spacing w:line="360" w:lineRule="auto"/>
              <w:jc w:val="center"/>
              <w:rPr>
                <w:rFonts w:ascii="宋体" w:hAnsi="宋体" w:cs="宋体"/>
                <w:color w:val="auto"/>
                <w:sz w:val="24"/>
                <w:highlight w:val="none"/>
              </w:rPr>
            </w:pPr>
          </w:p>
        </w:tc>
        <w:tc>
          <w:tcPr>
            <w:tcW w:w="2268" w:type="dxa"/>
            <w:vAlign w:val="center"/>
          </w:tcPr>
          <w:p w14:paraId="7015C763">
            <w:pPr>
              <w:snapToGrid w:val="0"/>
              <w:spacing w:line="360" w:lineRule="auto"/>
              <w:jc w:val="center"/>
              <w:rPr>
                <w:rFonts w:ascii="宋体" w:hAnsi="宋体" w:cs="宋体"/>
                <w:color w:val="auto"/>
                <w:sz w:val="24"/>
                <w:highlight w:val="none"/>
              </w:rPr>
            </w:pPr>
          </w:p>
        </w:tc>
        <w:tc>
          <w:tcPr>
            <w:tcW w:w="2126" w:type="dxa"/>
            <w:vAlign w:val="center"/>
          </w:tcPr>
          <w:p w14:paraId="0CE39641">
            <w:pPr>
              <w:spacing w:line="360" w:lineRule="auto"/>
              <w:jc w:val="center"/>
              <w:rPr>
                <w:rFonts w:ascii="宋体" w:hAnsi="宋体" w:cs="宋体"/>
                <w:color w:val="auto"/>
                <w:sz w:val="24"/>
                <w:highlight w:val="none"/>
              </w:rPr>
            </w:pPr>
          </w:p>
        </w:tc>
        <w:tc>
          <w:tcPr>
            <w:tcW w:w="2127" w:type="dxa"/>
          </w:tcPr>
          <w:p w14:paraId="67735271">
            <w:pPr>
              <w:spacing w:line="360" w:lineRule="auto"/>
              <w:jc w:val="center"/>
              <w:rPr>
                <w:rFonts w:ascii="宋体" w:hAnsi="宋体" w:cs="宋体"/>
                <w:color w:val="auto"/>
                <w:sz w:val="24"/>
                <w:highlight w:val="none"/>
              </w:rPr>
            </w:pPr>
          </w:p>
        </w:tc>
        <w:tc>
          <w:tcPr>
            <w:tcW w:w="2126" w:type="dxa"/>
            <w:vAlign w:val="center"/>
          </w:tcPr>
          <w:p w14:paraId="03B1AD8D">
            <w:pPr>
              <w:spacing w:line="360" w:lineRule="auto"/>
              <w:jc w:val="center"/>
              <w:rPr>
                <w:rFonts w:ascii="宋体" w:hAnsi="宋体" w:cs="宋体"/>
                <w:color w:val="auto"/>
                <w:sz w:val="24"/>
                <w:highlight w:val="none"/>
              </w:rPr>
            </w:pPr>
          </w:p>
        </w:tc>
      </w:tr>
      <w:tr w14:paraId="47DE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FE3869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5046095B">
            <w:pPr>
              <w:snapToGrid w:val="0"/>
              <w:spacing w:line="360" w:lineRule="auto"/>
              <w:jc w:val="center"/>
              <w:rPr>
                <w:rFonts w:ascii="宋体" w:hAnsi="宋体" w:cs="宋体"/>
                <w:color w:val="auto"/>
                <w:sz w:val="24"/>
                <w:highlight w:val="none"/>
              </w:rPr>
            </w:pPr>
          </w:p>
        </w:tc>
        <w:tc>
          <w:tcPr>
            <w:tcW w:w="2268" w:type="dxa"/>
            <w:vAlign w:val="center"/>
          </w:tcPr>
          <w:p w14:paraId="39847C44">
            <w:pPr>
              <w:snapToGrid w:val="0"/>
              <w:spacing w:line="360" w:lineRule="auto"/>
              <w:jc w:val="center"/>
              <w:rPr>
                <w:rFonts w:ascii="宋体" w:hAnsi="宋体" w:cs="宋体"/>
                <w:color w:val="auto"/>
                <w:sz w:val="24"/>
                <w:highlight w:val="none"/>
              </w:rPr>
            </w:pPr>
          </w:p>
        </w:tc>
        <w:tc>
          <w:tcPr>
            <w:tcW w:w="2410" w:type="dxa"/>
            <w:vAlign w:val="center"/>
          </w:tcPr>
          <w:p w14:paraId="209156DF">
            <w:pPr>
              <w:snapToGrid w:val="0"/>
              <w:spacing w:line="360" w:lineRule="auto"/>
              <w:jc w:val="center"/>
              <w:rPr>
                <w:rFonts w:ascii="宋体" w:hAnsi="宋体" w:cs="宋体"/>
                <w:color w:val="auto"/>
                <w:sz w:val="24"/>
                <w:highlight w:val="none"/>
              </w:rPr>
            </w:pPr>
          </w:p>
        </w:tc>
        <w:tc>
          <w:tcPr>
            <w:tcW w:w="2268" w:type="dxa"/>
            <w:vAlign w:val="center"/>
          </w:tcPr>
          <w:p w14:paraId="219933F8">
            <w:pPr>
              <w:snapToGrid w:val="0"/>
              <w:spacing w:line="360" w:lineRule="auto"/>
              <w:jc w:val="center"/>
              <w:rPr>
                <w:rFonts w:ascii="宋体" w:hAnsi="宋体" w:cs="宋体"/>
                <w:color w:val="auto"/>
                <w:sz w:val="24"/>
                <w:highlight w:val="none"/>
              </w:rPr>
            </w:pPr>
          </w:p>
        </w:tc>
        <w:tc>
          <w:tcPr>
            <w:tcW w:w="2126" w:type="dxa"/>
            <w:vAlign w:val="center"/>
          </w:tcPr>
          <w:p w14:paraId="42B196DD">
            <w:pPr>
              <w:spacing w:line="360" w:lineRule="auto"/>
              <w:jc w:val="center"/>
              <w:rPr>
                <w:rFonts w:ascii="宋体" w:hAnsi="宋体" w:cs="宋体"/>
                <w:color w:val="auto"/>
                <w:sz w:val="24"/>
                <w:highlight w:val="none"/>
              </w:rPr>
            </w:pPr>
          </w:p>
        </w:tc>
        <w:tc>
          <w:tcPr>
            <w:tcW w:w="2127" w:type="dxa"/>
          </w:tcPr>
          <w:p w14:paraId="2447B2CC">
            <w:pPr>
              <w:spacing w:line="360" w:lineRule="auto"/>
              <w:jc w:val="center"/>
              <w:rPr>
                <w:rFonts w:ascii="宋体" w:hAnsi="宋体" w:cs="宋体"/>
                <w:color w:val="auto"/>
                <w:sz w:val="24"/>
                <w:highlight w:val="none"/>
              </w:rPr>
            </w:pPr>
          </w:p>
        </w:tc>
        <w:tc>
          <w:tcPr>
            <w:tcW w:w="2126" w:type="dxa"/>
            <w:vAlign w:val="center"/>
          </w:tcPr>
          <w:p w14:paraId="5DD400E8">
            <w:pPr>
              <w:spacing w:line="360" w:lineRule="auto"/>
              <w:jc w:val="center"/>
              <w:rPr>
                <w:rFonts w:ascii="宋体" w:hAnsi="宋体" w:cs="宋体"/>
                <w:color w:val="auto"/>
                <w:sz w:val="24"/>
                <w:highlight w:val="none"/>
              </w:rPr>
            </w:pPr>
          </w:p>
        </w:tc>
      </w:tr>
      <w:tr w14:paraId="5450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FEE314E">
            <w:pPr>
              <w:spacing w:line="360" w:lineRule="auto"/>
              <w:jc w:val="center"/>
              <w:rPr>
                <w:rFonts w:ascii="宋体" w:hAnsi="宋体" w:cs="宋体"/>
                <w:color w:val="auto"/>
                <w:sz w:val="24"/>
                <w:highlight w:val="none"/>
              </w:rPr>
            </w:pPr>
          </w:p>
        </w:tc>
        <w:tc>
          <w:tcPr>
            <w:tcW w:w="992" w:type="dxa"/>
            <w:vAlign w:val="center"/>
          </w:tcPr>
          <w:p w14:paraId="04DA1B87">
            <w:pPr>
              <w:snapToGrid w:val="0"/>
              <w:spacing w:line="360" w:lineRule="auto"/>
              <w:jc w:val="center"/>
              <w:rPr>
                <w:rFonts w:ascii="宋体" w:hAnsi="宋体" w:cs="宋体"/>
                <w:color w:val="auto"/>
                <w:sz w:val="24"/>
                <w:highlight w:val="none"/>
              </w:rPr>
            </w:pPr>
          </w:p>
        </w:tc>
        <w:tc>
          <w:tcPr>
            <w:tcW w:w="2268" w:type="dxa"/>
            <w:vAlign w:val="center"/>
          </w:tcPr>
          <w:p w14:paraId="764C4BAD">
            <w:pPr>
              <w:snapToGrid w:val="0"/>
              <w:spacing w:line="360" w:lineRule="auto"/>
              <w:jc w:val="center"/>
              <w:rPr>
                <w:rFonts w:ascii="宋体" w:hAnsi="宋体" w:cs="宋体"/>
                <w:color w:val="auto"/>
                <w:sz w:val="24"/>
                <w:highlight w:val="none"/>
              </w:rPr>
            </w:pPr>
          </w:p>
        </w:tc>
        <w:tc>
          <w:tcPr>
            <w:tcW w:w="2410" w:type="dxa"/>
            <w:vAlign w:val="center"/>
          </w:tcPr>
          <w:p w14:paraId="04F1EE51">
            <w:pPr>
              <w:snapToGrid w:val="0"/>
              <w:spacing w:line="360" w:lineRule="auto"/>
              <w:jc w:val="center"/>
              <w:rPr>
                <w:rFonts w:ascii="宋体" w:hAnsi="宋体" w:cs="宋体"/>
                <w:color w:val="auto"/>
                <w:sz w:val="24"/>
                <w:highlight w:val="none"/>
              </w:rPr>
            </w:pPr>
          </w:p>
        </w:tc>
        <w:tc>
          <w:tcPr>
            <w:tcW w:w="2268" w:type="dxa"/>
            <w:vAlign w:val="center"/>
          </w:tcPr>
          <w:p w14:paraId="2ADE0748">
            <w:pPr>
              <w:snapToGrid w:val="0"/>
              <w:spacing w:line="360" w:lineRule="auto"/>
              <w:jc w:val="center"/>
              <w:rPr>
                <w:rFonts w:ascii="宋体" w:hAnsi="宋体" w:cs="宋体"/>
                <w:color w:val="auto"/>
                <w:sz w:val="24"/>
                <w:highlight w:val="none"/>
              </w:rPr>
            </w:pPr>
          </w:p>
        </w:tc>
        <w:tc>
          <w:tcPr>
            <w:tcW w:w="2126" w:type="dxa"/>
            <w:vAlign w:val="center"/>
          </w:tcPr>
          <w:p w14:paraId="501C0CDA">
            <w:pPr>
              <w:spacing w:line="360" w:lineRule="auto"/>
              <w:jc w:val="center"/>
              <w:rPr>
                <w:rFonts w:ascii="宋体" w:hAnsi="宋体" w:cs="宋体"/>
                <w:color w:val="auto"/>
                <w:sz w:val="24"/>
                <w:highlight w:val="none"/>
              </w:rPr>
            </w:pPr>
          </w:p>
        </w:tc>
        <w:tc>
          <w:tcPr>
            <w:tcW w:w="2127" w:type="dxa"/>
          </w:tcPr>
          <w:p w14:paraId="278F3626">
            <w:pPr>
              <w:spacing w:line="360" w:lineRule="auto"/>
              <w:jc w:val="center"/>
              <w:rPr>
                <w:rFonts w:ascii="宋体" w:hAnsi="宋体" w:cs="宋体"/>
                <w:color w:val="auto"/>
                <w:sz w:val="24"/>
                <w:highlight w:val="none"/>
              </w:rPr>
            </w:pPr>
          </w:p>
        </w:tc>
        <w:tc>
          <w:tcPr>
            <w:tcW w:w="2126" w:type="dxa"/>
            <w:vAlign w:val="center"/>
          </w:tcPr>
          <w:p w14:paraId="282207B6">
            <w:pPr>
              <w:spacing w:line="360" w:lineRule="auto"/>
              <w:jc w:val="center"/>
              <w:rPr>
                <w:rFonts w:ascii="宋体" w:hAnsi="宋体" w:cs="宋体"/>
                <w:color w:val="auto"/>
                <w:sz w:val="24"/>
                <w:highlight w:val="none"/>
              </w:rPr>
            </w:pPr>
          </w:p>
        </w:tc>
      </w:tr>
      <w:tr w14:paraId="750E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1425E24">
            <w:pPr>
              <w:spacing w:line="360" w:lineRule="auto"/>
              <w:jc w:val="center"/>
              <w:rPr>
                <w:rFonts w:ascii="宋体" w:hAnsi="宋体" w:cs="宋体"/>
                <w:color w:val="auto"/>
                <w:sz w:val="24"/>
                <w:highlight w:val="none"/>
              </w:rPr>
            </w:pPr>
          </w:p>
        </w:tc>
        <w:tc>
          <w:tcPr>
            <w:tcW w:w="992" w:type="dxa"/>
            <w:vAlign w:val="center"/>
          </w:tcPr>
          <w:p w14:paraId="53D382BE">
            <w:pPr>
              <w:snapToGrid w:val="0"/>
              <w:spacing w:line="360" w:lineRule="auto"/>
              <w:jc w:val="center"/>
              <w:rPr>
                <w:rFonts w:ascii="宋体" w:hAnsi="宋体" w:cs="宋体"/>
                <w:color w:val="auto"/>
                <w:sz w:val="24"/>
                <w:highlight w:val="none"/>
              </w:rPr>
            </w:pPr>
          </w:p>
        </w:tc>
        <w:tc>
          <w:tcPr>
            <w:tcW w:w="2268" w:type="dxa"/>
            <w:vAlign w:val="center"/>
          </w:tcPr>
          <w:p w14:paraId="3CCC2E0A">
            <w:pPr>
              <w:snapToGrid w:val="0"/>
              <w:spacing w:line="360" w:lineRule="auto"/>
              <w:jc w:val="center"/>
              <w:rPr>
                <w:rFonts w:ascii="宋体" w:hAnsi="宋体" w:cs="宋体"/>
                <w:color w:val="auto"/>
                <w:sz w:val="24"/>
                <w:highlight w:val="none"/>
              </w:rPr>
            </w:pPr>
          </w:p>
        </w:tc>
        <w:tc>
          <w:tcPr>
            <w:tcW w:w="2410" w:type="dxa"/>
            <w:vAlign w:val="center"/>
          </w:tcPr>
          <w:p w14:paraId="5B85AB5E">
            <w:pPr>
              <w:snapToGrid w:val="0"/>
              <w:spacing w:line="360" w:lineRule="auto"/>
              <w:jc w:val="center"/>
              <w:rPr>
                <w:rFonts w:ascii="宋体" w:hAnsi="宋体" w:cs="宋体"/>
                <w:color w:val="auto"/>
                <w:sz w:val="24"/>
                <w:highlight w:val="none"/>
              </w:rPr>
            </w:pPr>
          </w:p>
        </w:tc>
        <w:tc>
          <w:tcPr>
            <w:tcW w:w="2268" w:type="dxa"/>
            <w:vAlign w:val="center"/>
          </w:tcPr>
          <w:p w14:paraId="69A718F8">
            <w:pPr>
              <w:snapToGrid w:val="0"/>
              <w:spacing w:line="360" w:lineRule="auto"/>
              <w:jc w:val="center"/>
              <w:rPr>
                <w:rFonts w:ascii="宋体" w:hAnsi="宋体" w:cs="宋体"/>
                <w:color w:val="auto"/>
                <w:sz w:val="24"/>
                <w:highlight w:val="none"/>
              </w:rPr>
            </w:pPr>
          </w:p>
        </w:tc>
        <w:tc>
          <w:tcPr>
            <w:tcW w:w="2126" w:type="dxa"/>
            <w:vAlign w:val="center"/>
          </w:tcPr>
          <w:p w14:paraId="72DC385B">
            <w:pPr>
              <w:spacing w:line="360" w:lineRule="auto"/>
              <w:jc w:val="center"/>
              <w:rPr>
                <w:rFonts w:ascii="宋体" w:hAnsi="宋体" w:cs="宋体"/>
                <w:color w:val="auto"/>
                <w:sz w:val="24"/>
                <w:highlight w:val="none"/>
              </w:rPr>
            </w:pPr>
          </w:p>
        </w:tc>
        <w:tc>
          <w:tcPr>
            <w:tcW w:w="2127" w:type="dxa"/>
          </w:tcPr>
          <w:p w14:paraId="4FA53BC9">
            <w:pPr>
              <w:spacing w:line="360" w:lineRule="auto"/>
              <w:jc w:val="center"/>
              <w:rPr>
                <w:rFonts w:ascii="宋体" w:hAnsi="宋体" w:cs="宋体"/>
                <w:color w:val="auto"/>
                <w:sz w:val="24"/>
                <w:highlight w:val="none"/>
              </w:rPr>
            </w:pPr>
          </w:p>
        </w:tc>
        <w:tc>
          <w:tcPr>
            <w:tcW w:w="2126" w:type="dxa"/>
            <w:vAlign w:val="center"/>
          </w:tcPr>
          <w:p w14:paraId="0D18B4D1">
            <w:pPr>
              <w:spacing w:line="360" w:lineRule="auto"/>
              <w:jc w:val="center"/>
              <w:rPr>
                <w:rFonts w:ascii="宋体" w:hAnsi="宋体" w:cs="宋体"/>
                <w:color w:val="auto"/>
                <w:sz w:val="24"/>
                <w:highlight w:val="none"/>
              </w:rPr>
            </w:pPr>
          </w:p>
        </w:tc>
      </w:tr>
      <w:tr w14:paraId="5CFE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854EA8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1B60259C">
            <w:pPr>
              <w:spacing w:line="360" w:lineRule="auto"/>
              <w:jc w:val="center"/>
              <w:rPr>
                <w:rFonts w:ascii="宋体" w:hAnsi="宋体" w:cs="宋体"/>
                <w:color w:val="auto"/>
                <w:sz w:val="24"/>
                <w:highlight w:val="none"/>
              </w:rPr>
            </w:pPr>
          </w:p>
        </w:tc>
      </w:tr>
      <w:tr w14:paraId="65D7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2DD3E5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7A3A0429">
            <w:pPr>
              <w:spacing w:line="360" w:lineRule="auto"/>
              <w:jc w:val="center"/>
              <w:rPr>
                <w:rFonts w:ascii="宋体" w:hAnsi="宋体" w:cs="宋体"/>
                <w:color w:val="auto"/>
                <w:sz w:val="24"/>
                <w:highlight w:val="none"/>
              </w:rPr>
            </w:pPr>
          </w:p>
        </w:tc>
      </w:tr>
    </w:tbl>
    <w:p w14:paraId="5910E314">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065F7FC">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47E6334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5F8ED3ED">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3041EFB">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51AEDF6">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符合招标文件中列明的可享受</w:t>
      </w:r>
      <w:r>
        <w:rPr>
          <w:rFonts w:hint="eastAsia" w:ascii="宋体" w:hAnsi="宋体" w:cs="宋体"/>
          <w:color w:val="auto"/>
          <w:sz w:val="24"/>
          <w:highlight w:val="none"/>
        </w:rPr>
        <w:t>本国产品标准及相关政策</w:t>
      </w:r>
      <w:r>
        <w:rPr>
          <w:rFonts w:hint="eastAsia" w:ascii="宋体" w:hAnsi="宋体" w:cs="宋体"/>
          <w:color w:val="auto"/>
          <w:kern w:val="0"/>
          <w:sz w:val="24"/>
          <w:highlight w:val="none"/>
          <w:lang w:val="zh-CN"/>
        </w:rPr>
        <w:t>的投标人，请填写</w:t>
      </w:r>
      <w:r>
        <w:rPr>
          <w:rFonts w:hint="eastAsia" w:ascii="宋体" w:hAnsi="宋体" w:cs="宋体"/>
          <w:color w:val="auto"/>
          <w:sz w:val="24"/>
          <w:highlight w:val="none"/>
        </w:rPr>
        <w:t>《关于符合本国产品标准的声明函》或出具财政部会同有关部门规定的有关证明文件。当采购项目或者采购包中含有多种产品，</w:t>
      </w:r>
      <w:r>
        <w:rPr>
          <w:rFonts w:hint="eastAsia" w:ascii="宋体" w:hAnsi="宋体" w:cs="宋体"/>
          <w:color w:val="auto"/>
          <w:kern w:val="0"/>
          <w:sz w:val="24"/>
          <w:highlight w:val="none"/>
          <w:lang w:val="zh-CN"/>
        </w:rPr>
        <w:t>投标人还</w:t>
      </w:r>
      <w:r>
        <w:rPr>
          <w:rFonts w:hint="eastAsia" w:ascii="宋体" w:hAnsi="宋体" w:cs="宋体"/>
          <w:color w:val="auto"/>
          <w:sz w:val="24"/>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auto"/>
          <w:kern w:val="0"/>
          <w:sz w:val="24"/>
          <w:highlight w:val="none"/>
          <w:lang w:val="zh-CN"/>
        </w:rPr>
        <w:t>注：投标人提供的</w:t>
      </w:r>
      <w:r>
        <w:rPr>
          <w:rFonts w:hint="eastAsia" w:ascii="宋体" w:hAnsi="宋体" w:cs="宋体"/>
          <w:color w:val="auto"/>
          <w:sz w:val="24"/>
          <w:highlight w:val="none"/>
        </w:rPr>
        <w:t>《声明函》</w:t>
      </w:r>
      <w:r>
        <w:rPr>
          <w:rFonts w:hint="eastAsia" w:ascii="宋体" w:hAnsi="宋体" w:cs="宋体"/>
          <w:color w:val="auto"/>
          <w:kern w:val="0"/>
          <w:sz w:val="24"/>
          <w:highlight w:val="none"/>
          <w:lang w:val="zh-CN"/>
        </w:rPr>
        <w:t>内容不实的，属于提供虚假材料谋取中标、成交，依照</w:t>
      </w:r>
      <w:r>
        <w:rPr>
          <w:rFonts w:hint="eastAsia" w:ascii="宋体" w:hAnsi="宋体" w:eastAsia="宋体" w:cs="宋体"/>
          <w:color w:val="auto"/>
          <w:kern w:val="0"/>
          <w:sz w:val="24"/>
          <w:highlight w:val="none"/>
          <w:lang w:val="zh-CN"/>
        </w:rPr>
        <w:t>《中华人民共和国政府采购法》等国家有关规定追究相应责任。</w:t>
      </w:r>
    </w:p>
    <w:p w14:paraId="77D8DF99">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6、</w:t>
      </w:r>
      <w:r>
        <w:rPr>
          <w:rFonts w:hint="eastAsia" w:ascii="宋体" w:hAnsi="宋体" w:eastAsia="宋体" w:cs="宋体"/>
          <w:color w:val="auto"/>
          <w:kern w:val="0"/>
          <w:sz w:val="24"/>
          <w:highlight w:val="none"/>
        </w:rPr>
        <w:t>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r>
        <w:rPr>
          <w:rFonts w:hint="eastAsia" w:ascii="宋体" w:hAnsi="宋体" w:eastAsia="宋体" w:cs="宋体"/>
          <w:color w:val="auto"/>
          <w:kern w:val="0"/>
          <w:sz w:val="24"/>
          <w:highlight w:val="none"/>
          <w:lang w:val="zh-CN"/>
        </w:rPr>
        <w:t>。</w:t>
      </w:r>
    </w:p>
    <w:p w14:paraId="345F6611">
      <w:pPr>
        <w:snapToGrid w:val="0"/>
        <w:spacing w:line="360" w:lineRule="auto"/>
        <w:ind w:firstLine="480" w:firstLineChars="200"/>
        <w:jc w:val="left"/>
        <w:rPr>
          <w:rFonts w:hint="eastAsia" w:ascii="宋体" w:hAnsi="宋体" w:eastAsia="宋体" w:cs="宋体"/>
          <w:color w:val="FF0000"/>
          <w:kern w:val="0"/>
          <w:sz w:val="24"/>
          <w:highlight w:val="none"/>
        </w:rPr>
      </w:pPr>
      <w:r>
        <w:rPr>
          <w:rFonts w:hint="eastAsia" w:ascii="宋体" w:hAnsi="宋体" w:eastAsia="宋体" w:cs="宋体"/>
          <w:color w:val="FF0000"/>
          <w:kern w:val="0"/>
          <w:sz w:val="24"/>
          <w:highlight w:val="none"/>
          <w:lang w:val="en-US" w:eastAsia="zh-CN"/>
        </w:rPr>
        <w:t>7、</w:t>
      </w:r>
      <w:r>
        <w:rPr>
          <w:rFonts w:hint="eastAsia" w:ascii="宋体" w:hAnsi="宋体" w:eastAsia="宋体" w:cs="宋体"/>
          <w:color w:val="FF0000"/>
          <w:kern w:val="0"/>
          <w:sz w:val="24"/>
          <w:highlight w:val="none"/>
        </w:rPr>
        <w:t>投标报价包含人员工资、培训、服装、奖金、五险、其他必要的保险等营业成本以及利润、物业管理服务中所发生的各项税收等费用。</w:t>
      </w:r>
    </w:p>
    <w:p w14:paraId="2BC103E7">
      <w:pPr>
        <w:snapToGrid w:val="0"/>
        <w:spacing w:line="360" w:lineRule="auto"/>
        <w:ind w:firstLine="480" w:firstLineChars="200"/>
        <w:jc w:val="left"/>
        <w:rPr>
          <w:rFonts w:hint="eastAsia" w:ascii="宋体" w:hAnsi="宋体" w:eastAsia="宋体" w:cs="宋体"/>
          <w:color w:val="FF0000"/>
          <w:kern w:val="0"/>
          <w:sz w:val="24"/>
          <w:highlight w:val="none"/>
          <w:lang w:val="zh-CN"/>
        </w:rPr>
      </w:pPr>
      <w:r>
        <w:rPr>
          <w:rFonts w:hint="eastAsia" w:ascii="宋体" w:hAnsi="宋体" w:eastAsia="宋体" w:cs="宋体"/>
          <w:color w:val="FF0000"/>
          <w:kern w:val="0"/>
          <w:sz w:val="24"/>
          <w:highlight w:val="none"/>
          <w:lang w:val="en-US" w:eastAsia="zh-CN"/>
        </w:rPr>
        <w:t>8、</w:t>
      </w:r>
      <w:r>
        <w:rPr>
          <w:rFonts w:hint="eastAsia" w:ascii="宋体" w:hAnsi="宋体" w:eastAsia="宋体" w:cs="宋体"/>
          <w:color w:val="FF0000"/>
          <w:kern w:val="0"/>
          <w:sz w:val="24"/>
          <w:highlight w:val="none"/>
        </w:rPr>
        <w:t>供应商报价须列明各服务单位（各学校）的投入服务人数及报价。</w:t>
      </w:r>
      <w:r>
        <w:rPr>
          <w:rFonts w:hint="eastAsia" w:ascii="宋体" w:hAnsi="宋体" w:eastAsia="宋体" w:cs="宋体"/>
          <w:color w:val="FF0000"/>
          <w:kern w:val="0"/>
          <w:sz w:val="24"/>
          <w:highlight w:val="none"/>
          <w:lang w:val="en-US" w:eastAsia="zh-CN"/>
        </w:rPr>
        <w:t>各学校的报价不得超过该</w:t>
      </w:r>
      <w:r>
        <w:rPr>
          <w:rFonts w:hint="default" w:ascii="宋体" w:hAnsi="宋体" w:eastAsia="宋体" w:cs="宋体"/>
          <w:color w:val="FF0000"/>
          <w:kern w:val="0"/>
          <w:sz w:val="24"/>
          <w:highlight w:val="none"/>
          <w:lang w:val="en-US" w:eastAsia="zh-CN"/>
        </w:rPr>
        <w:t>服务单位</w:t>
      </w:r>
      <w:r>
        <w:rPr>
          <w:rFonts w:hint="eastAsia" w:ascii="宋体" w:hAnsi="宋体" w:eastAsia="宋体" w:cs="宋体"/>
          <w:color w:val="FF0000"/>
          <w:kern w:val="0"/>
          <w:sz w:val="24"/>
          <w:highlight w:val="none"/>
          <w:lang w:val="en-US" w:eastAsia="zh-CN"/>
        </w:rPr>
        <w:t>的投标最高限价。</w:t>
      </w:r>
    </w:p>
    <w:p w14:paraId="5070D91B">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41B3E3BB">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91C88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D0E3932">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1276CA99">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8A2EA86">
      <w:pPr>
        <w:pStyle w:val="84"/>
        <w:jc w:val="center"/>
        <w:rPr>
          <w:b/>
          <w:color w:val="auto"/>
          <w:sz w:val="32"/>
          <w:szCs w:val="32"/>
          <w:highlight w:val="none"/>
        </w:rPr>
      </w:pPr>
      <w:r>
        <w:rPr>
          <w:rFonts w:hint="eastAsia"/>
          <w:b/>
          <w:color w:val="auto"/>
          <w:kern w:val="2"/>
          <w:sz w:val="32"/>
          <w:szCs w:val="32"/>
          <w:highlight w:val="none"/>
        </w:rPr>
        <w:t>二、</w:t>
      </w:r>
      <w:r>
        <w:rPr>
          <w:rFonts w:hint="eastAsia"/>
          <w:b/>
          <w:color w:val="auto"/>
          <w:sz w:val="32"/>
          <w:szCs w:val="32"/>
          <w:highlight w:val="none"/>
        </w:rPr>
        <w:t>中小企业声明函（如果有）</w:t>
      </w:r>
    </w:p>
    <w:p w14:paraId="459AB88F">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2793D458">
      <w:pPr>
        <w:pStyle w:val="691"/>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4587DCC1">
      <w:pPr>
        <w:spacing w:line="360" w:lineRule="auto"/>
        <w:ind w:right="420" w:firstLine="3614" w:firstLineChars="1000"/>
        <w:rPr>
          <w:rFonts w:ascii="宋体" w:hAnsi="宋体" w:cs="宋体"/>
          <w:b/>
          <w:color w:val="auto"/>
          <w:kern w:val="0"/>
          <w:sz w:val="36"/>
          <w:szCs w:val="36"/>
          <w:highlight w:val="none"/>
        </w:rPr>
      </w:pPr>
    </w:p>
    <w:p w14:paraId="5E23452B">
      <w:pPr>
        <w:spacing w:line="360" w:lineRule="auto"/>
        <w:ind w:right="420" w:firstLine="3614" w:firstLineChars="1000"/>
        <w:rPr>
          <w:rFonts w:ascii="宋体" w:hAnsi="宋体" w:cs="宋体"/>
          <w:b/>
          <w:color w:val="auto"/>
          <w:kern w:val="0"/>
          <w:sz w:val="36"/>
          <w:szCs w:val="36"/>
          <w:highlight w:val="none"/>
        </w:rPr>
      </w:pPr>
    </w:p>
    <w:p w14:paraId="1A9519F7">
      <w:pPr>
        <w:spacing w:line="360" w:lineRule="auto"/>
        <w:ind w:right="420" w:firstLine="3614" w:firstLineChars="1000"/>
        <w:rPr>
          <w:rFonts w:ascii="宋体" w:hAnsi="宋体" w:cs="宋体"/>
          <w:b/>
          <w:color w:val="auto"/>
          <w:kern w:val="0"/>
          <w:sz w:val="36"/>
          <w:szCs w:val="36"/>
          <w:highlight w:val="none"/>
        </w:rPr>
      </w:pPr>
    </w:p>
    <w:p w14:paraId="05F8D504">
      <w:pPr>
        <w:spacing w:line="360" w:lineRule="auto"/>
        <w:ind w:right="420" w:firstLine="3614" w:firstLineChars="1000"/>
        <w:rPr>
          <w:rFonts w:ascii="宋体" w:hAnsi="宋体" w:cs="宋体"/>
          <w:b/>
          <w:color w:val="auto"/>
          <w:kern w:val="0"/>
          <w:sz w:val="36"/>
          <w:szCs w:val="36"/>
          <w:highlight w:val="none"/>
        </w:rPr>
      </w:pPr>
    </w:p>
    <w:p w14:paraId="7012474F">
      <w:pPr>
        <w:spacing w:line="360" w:lineRule="auto"/>
        <w:ind w:right="420" w:firstLine="3614" w:firstLineChars="1000"/>
        <w:rPr>
          <w:rFonts w:ascii="宋体" w:hAnsi="宋体" w:cs="宋体"/>
          <w:b/>
          <w:color w:val="auto"/>
          <w:kern w:val="0"/>
          <w:sz w:val="36"/>
          <w:szCs w:val="36"/>
          <w:highlight w:val="none"/>
        </w:rPr>
      </w:pPr>
    </w:p>
    <w:p w14:paraId="05C265EC">
      <w:pPr>
        <w:spacing w:line="360" w:lineRule="auto"/>
        <w:ind w:right="420" w:firstLine="3614" w:firstLineChars="1000"/>
        <w:rPr>
          <w:rFonts w:ascii="宋体" w:hAnsi="宋体" w:cs="宋体"/>
          <w:b/>
          <w:color w:val="auto"/>
          <w:kern w:val="0"/>
          <w:sz w:val="36"/>
          <w:szCs w:val="36"/>
          <w:highlight w:val="none"/>
        </w:rPr>
      </w:pPr>
    </w:p>
    <w:p w14:paraId="5AA79157">
      <w:pPr>
        <w:spacing w:line="360" w:lineRule="auto"/>
        <w:ind w:right="420" w:firstLine="3614" w:firstLineChars="1000"/>
        <w:rPr>
          <w:rFonts w:ascii="宋体" w:hAnsi="宋体" w:cs="宋体"/>
          <w:b/>
          <w:color w:val="auto"/>
          <w:kern w:val="0"/>
          <w:sz w:val="36"/>
          <w:szCs w:val="36"/>
          <w:highlight w:val="none"/>
        </w:rPr>
      </w:pPr>
    </w:p>
    <w:p w14:paraId="3805ED92">
      <w:pPr>
        <w:spacing w:line="360" w:lineRule="auto"/>
        <w:ind w:right="420" w:firstLine="3614" w:firstLineChars="1000"/>
        <w:rPr>
          <w:rFonts w:ascii="宋体" w:hAnsi="宋体" w:cs="宋体"/>
          <w:b/>
          <w:color w:val="auto"/>
          <w:kern w:val="0"/>
          <w:sz w:val="36"/>
          <w:szCs w:val="36"/>
          <w:highlight w:val="none"/>
        </w:rPr>
      </w:pPr>
    </w:p>
    <w:p w14:paraId="5CDF43E8">
      <w:pPr>
        <w:spacing w:line="360" w:lineRule="auto"/>
        <w:ind w:right="420" w:firstLine="3614" w:firstLineChars="1000"/>
        <w:rPr>
          <w:rFonts w:ascii="宋体" w:hAnsi="宋体" w:cs="宋体"/>
          <w:b/>
          <w:color w:val="auto"/>
          <w:kern w:val="0"/>
          <w:sz w:val="36"/>
          <w:szCs w:val="36"/>
          <w:highlight w:val="none"/>
        </w:rPr>
      </w:pPr>
    </w:p>
    <w:p w14:paraId="20FEA4C2">
      <w:pPr>
        <w:spacing w:line="360" w:lineRule="auto"/>
        <w:ind w:right="420" w:firstLine="3614" w:firstLineChars="1000"/>
        <w:rPr>
          <w:rFonts w:ascii="宋体" w:hAnsi="宋体" w:cs="宋体"/>
          <w:b/>
          <w:color w:val="auto"/>
          <w:kern w:val="0"/>
          <w:sz w:val="36"/>
          <w:szCs w:val="36"/>
          <w:highlight w:val="none"/>
        </w:rPr>
      </w:pPr>
    </w:p>
    <w:p w14:paraId="261913BB">
      <w:pPr>
        <w:spacing w:line="360" w:lineRule="auto"/>
        <w:ind w:right="420" w:firstLine="3614" w:firstLineChars="1000"/>
        <w:rPr>
          <w:rFonts w:ascii="宋体" w:hAnsi="宋体" w:cs="宋体"/>
          <w:b/>
          <w:color w:val="auto"/>
          <w:kern w:val="0"/>
          <w:sz w:val="36"/>
          <w:szCs w:val="36"/>
          <w:highlight w:val="none"/>
        </w:rPr>
      </w:pPr>
    </w:p>
    <w:p w14:paraId="367A0A20">
      <w:pPr>
        <w:spacing w:line="360" w:lineRule="auto"/>
        <w:ind w:right="420" w:firstLine="3614" w:firstLineChars="1000"/>
        <w:rPr>
          <w:rFonts w:ascii="宋体" w:hAnsi="宋体" w:cs="宋体"/>
          <w:b/>
          <w:color w:val="auto"/>
          <w:kern w:val="0"/>
          <w:sz w:val="36"/>
          <w:szCs w:val="36"/>
          <w:highlight w:val="none"/>
        </w:rPr>
      </w:pPr>
    </w:p>
    <w:p w14:paraId="753F2D07">
      <w:pPr>
        <w:spacing w:line="360" w:lineRule="auto"/>
        <w:ind w:right="420" w:firstLine="3614" w:firstLineChars="1000"/>
        <w:rPr>
          <w:rFonts w:ascii="宋体" w:hAnsi="宋体" w:cs="宋体"/>
          <w:b/>
          <w:color w:val="auto"/>
          <w:kern w:val="0"/>
          <w:sz w:val="36"/>
          <w:szCs w:val="36"/>
          <w:highlight w:val="none"/>
        </w:rPr>
      </w:pPr>
    </w:p>
    <w:p w14:paraId="6BE58B71">
      <w:pPr>
        <w:spacing w:line="360" w:lineRule="auto"/>
        <w:ind w:right="420" w:firstLine="3614" w:firstLineChars="1000"/>
        <w:rPr>
          <w:rFonts w:ascii="宋体" w:hAnsi="宋体" w:cs="宋体"/>
          <w:b/>
          <w:color w:val="auto"/>
          <w:kern w:val="0"/>
          <w:sz w:val="36"/>
          <w:szCs w:val="36"/>
          <w:highlight w:val="none"/>
        </w:rPr>
      </w:pPr>
    </w:p>
    <w:p w14:paraId="26848928">
      <w:pPr>
        <w:spacing w:line="360" w:lineRule="auto"/>
        <w:ind w:right="420" w:firstLine="3614" w:firstLineChars="1000"/>
        <w:rPr>
          <w:rFonts w:ascii="宋体" w:hAnsi="宋体" w:cs="宋体"/>
          <w:b/>
          <w:color w:val="auto"/>
          <w:kern w:val="0"/>
          <w:sz w:val="36"/>
          <w:szCs w:val="36"/>
          <w:highlight w:val="none"/>
        </w:rPr>
      </w:pPr>
    </w:p>
    <w:p w14:paraId="1BBA9EB6">
      <w:pPr>
        <w:spacing w:line="360" w:lineRule="auto"/>
        <w:ind w:right="420" w:firstLine="3614" w:firstLineChars="1000"/>
        <w:rPr>
          <w:rFonts w:ascii="宋体" w:hAnsi="宋体" w:cs="宋体"/>
          <w:b/>
          <w:color w:val="auto"/>
          <w:kern w:val="0"/>
          <w:sz w:val="36"/>
          <w:szCs w:val="36"/>
          <w:highlight w:val="none"/>
        </w:rPr>
      </w:pPr>
    </w:p>
    <w:p w14:paraId="11D04A88">
      <w:pPr>
        <w:pStyle w:val="84"/>
        <w:rPr>
          <w:color w:val="auto"/>
          <w:highlight w:val="none"/>
        </w:rPr>
      </w:pPr>
    </w:p>
    <w:p w14:paraId="264A19FF">
      <w:pPr>
        <w:pStyle w:val="84"/>
        <w:jc w:val="center"/>
        <w:rPr>
          <w:b/>
          <w:color w:val="auto"/>
          <w:sz w:val="36"/>
          <w:szCs w:val="36"/>
          <w:highlight w:val="none"/>
        </w:rPr>
      </w:pPr>
      <w:r>
        <w:rPr>
          <w:rFonts w:hint="eastAsia"/>
          <w:b/>
          <w:color w:val="auto"/>
          <w:sz w:val="36"/>
          <w:szCs w:val="36"/>
          <w:highlight w:val="none"/>
        </w:rPr>
        <w:t>附件</w:t>
      </w:r>
    </w:p>
    <w:p w14:paraId="0A235816">
      <w:pPr>
        <w:pStyle w:val="84"/>
        <w:rPr>
          <w:color w:val="auto"/>
          <w:highlight w:val="none"/>
        </w:rPr>
      </w:pPr>
    </w:p>
    <w:p w14:paraId="4843F06D">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11601145">
      <w:pPr>
        <w:spacing w:line="360" w:lineRule="auto"/>
        <w:jc w:val="center"/>
        <w:rPr>
          <w:rFonts w:ascii="宋体" w:hAnsi="宋体" w:cs="宋体"/>
          <w:b/>
          <w:color w:val="auto"/>
          <w:spacing w:val="6"/>
          <w:sz w:val="32"/>
          <w:szCs w:val="32"/>
          <w:highlight w:val="none"/>
        </w:rPr>
      </w:pPr>
      <w:bookmarkStart w:id="420" w:name="OLE_LINK13"/>
      <w:bookmarkStart w:id="421" w:name="OLE_LINK14"/>
      <w:r>
        <w:rPr>
          <w:rFonts w:hint="eastAsia" w:ascii="宋体" w:hAnsi="宋体" w:cs="宋体"/>
          <w:b/>
          <w:color w:val="auto"/>
          <w:spacing w:val="6"/>
          <w:sz w:val="32"/>
          <w:szCs w:val="32"/>
          <w:highlight w:val="none"/>
        </w:rPr>
        <w:t>残疾人福利性单位声明函</w:t>
      </w:r>
    </w:p>
    <w:bookmarkEnd w:id="420"/>
    <w:bookmarkEnd w:id="421"/>
    <w:p w14:paraId="22F63E84">
      <w:pPr>
        <w:spacing w:line="360" w:lineRule="auto"/>
        <w:rPr>
          <w:rFonts w:ascii="宋体" w:hAnsi="宋体" w:cs="宋体"/>
          <w:b/>
          <w:color w:val="auto"/>
          <w:spacing w:val="6"/>
          <w:sz w:val="30"/>
          <w:szCs w:val="30"/>
          <w:highlight w:val="none"/>
        </w:rPr>
      </w:pPr>
    </w:p>
    <w:p w14:paraId="3265C1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0BAF21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828965E">
      <w:pPr>
        <w:spacing w:line="360" w:lineRule="auto"/>
        <w:ind w:firstLine="480" w:firstLineChars="200"/>
        <w:rPr>
          <w:rFonts w:ascii="宋体" w:hAnsi="宋体" w:cs="宋体"/>
          <w:color w:val="auto"/>
          <w:sz w:val="24"/>
          <w:highlight w:val="none"/>
        </w:rPr>
      </w:pPr>
    </w:p>
    <w:p w14:paraId="5CDFD8C9">
      <w:pPr>
        <w:spacing w:line="360" w:lineRule="auto"/>
        <w:ind w:firstLine="480" w:firstLineChars="200"/>
        <w:rPr>
          <w:rFonts w:ascii="宋体" w:hAnsi="宋体" w:cs="宋体"/>
          <w:color w:val="auto"/>
          <w:sz w:val="24"/>
          <w:highlight w:val="none"/>
        </w:rPr>
      </w:pPr>
    </w:p>
    <w:p w14:paraId="59FB93B9">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0D0067BE">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D6DCA46">
      <w:pPr>
        <w:spacing w:line="360" w:lineRule="auto"/>
        <w:ind w:firstLine="480" w:firstLineChars="200"/>
        <w:rPr>
          <w:rFonts w:ascii="宋体" w:hAnsi="宋体" w:cs="宋体"/>
          <w:color w:val="auto"/>
          <w:sz w:val="24"/>
          <w:highlight w:val="none"/>
        </w:rPr>
      </w:pPr>
    </w:p>
    <w:p w14:paraId="56BCD936">
      <w:pPr>
        <w:tabs>
          <w:tab w:val="left" w:pos="4860"/>
        </w:tabs>
        <w:spacing w:line="360" w:lineRule="auto"/>
        <w:ind w:right="1560" w:firstLine="480" w:firstLineChars="200"/>
        <w:jc w:val="center"/>
        <w:rPr>
          <w:rFonts w:ascii="宋体" w:hAnsi="宋体" w:cs="宋体"/>
          <w:color w:val="auto"/>
          <w:sz w:val="24"/>
          <w:highlight w:val="none"/>
        </w:rPr>
      </w:pPr>
    </w:p>
    <w:p w14:paraId="739F25B4">
      <w:pPr>
        <w:spacing w:line="360" w:lineRule="auto"/>
        <w:ind w:firstLine="420" w:firstLineChars="200"/>
        <w:rPr>
          <w:rFonts w:ascii="宋体" w:hAnsi="宋体" w:cs="宋体"/>
          <w:color w:val="auto"/>
          <w:highlight w:val="none"/>
        </w:rPr>
      </w:pPr>
    </w:p>
    <w:p w14:paraId="6DBAA889">
      <w:pPr>
        <w:spacing w:line="360" w:lineRule="auto"/>
        <w:ind w:firstLine="420" w:firstLineChars="200"/>
        <w:rPr>
          <w:rFonts w:ascii="宋体" w:hAnsi="宋体" w:cs="宋体"/>
          <w:color w:val="auto"/>
          <w:highlight w:val="none"/>
        </w:rPr>
      </w:pPr>
    </w:p>
    <w:p w14:paraId="65E7EEDD">
      <w:pPr>
        <w:spacing w:line="360" w:lineRule="auto"/>
        <w:ind w:firstLine="420" w:firstLineChars="200"/>
        <w:rPr>
          <w:rFonts w:ascii="宋体" w:hAnsi="宋体" w:cs="宋体"/>
          <w:color w:val="auto"/>
          <w:highlight w:val="none"/>
        </w:rPr>
      </w:pPr>
    </w:p>
    <w:p w14:paraId="025ACB44">
      <w:pPr>
        <w:spacing w:line="360" w:lineRule="auto"/>
        <w:ind w:firstLine="420" w:firstLineChars="200"/>
        <w:rPr>
          <w:rFonts w:ascii="宋体" w:hAnsi="宋体" w:cs="宋体"/>
          <w:color w:val="auto"/>
          <w:highlight w:val="none"/>
        </w:rPr>
      </w:pPr>
    </w:p>
    <w:p w14:paraId="05DD6AD4">
      <w:pPr>
        <w:spacing w:line="360" w:lineRule="auto"/>
        <w:rPr>
          <w:rFonts w:ascii="宋体" w:hAnsi="宋体" w:cs="宋体"/>
          <w:b/>
          <w:color w:val="auto"/>
          <w:sz w:val="24"/>
          <w:highlight w:val="none"/>
        </w:rPr>
      </w:pPr>
    </w:p>
    <w:p w14:paraId="777A06A4">
      <w:pPr>
        <w:spacing w:line="360" w:lineRule="auto"/>
        <w:rPr>
          <w:rFonts w:ascii="宋体" w:hAnsi="宋体" w:cs="宋体"/>
          <w:b/>
          <w:color w:val="auto"/>
          <w:sz w:val="24"/>
          <w:highlight w:val="none"/>
        </w:rPr>
      </w:pPr>
    </w:p>
    <w:p w14:paraId="48E8F519">
      <w:pPr>
        <w:spacing w:line="360" w:lineRule="auto"/>
        <w:rPr>
          <w:rFonts w:ascii="宋体" w:hAnsi="宋体" w:cs="宋体"/>
          <w:b/>
          <w:color w:val="auto"/>
          <w:sz w:val="24"/>
          <w:highlight w:val="none"/>
        </w:rPr>
      </w:pPr>
    </w:p>
    <w:p w14:paraId="784F9FE6">
      <w:pPr>
        <w:spacing w:line="360" w:lineRule="auto"/>
        <w:rPr>
          <w:rFonts w:ascii="宋体" w:hAnsi="宋体" w:cs="宋体"/>
          <w:b/>
          <w:color w:val="auto"/>
          <w:sz w:val="24"/>
          <w:highlight w:val="none"/>
        </w:rPr>
      </w:pPr>
    </w:p>
    <w:p w14:paraId="0EB1D2D6">
      <w:pPr>
        <w:spacing w:line="360" w:lineRule="auto"/>
        <w:rPr>
          <w:rFonts w:ascii="宋体" w:hAnsi="宋体" w:cs="宋体"/>
          <w:b/>
          <w:color w:val="auto"/>
          <w:sz w:val="24"/>
          <w:highlight w:val="none"/>
        </w:rPr>
      </w:pPr>
    </w:p>
    <w:p w14:paraId="1E66BD9A">
      <w:pPr>
        <w:spacing w:line="360" w:lineRule="auto"/>
        <w:rPr>
          <w:rFonts w:ascii="宋体" w:hAnsi="宋体" w:cs="宋体"/>
          <w:b/>
          <w:color w:val="auto"/>
          <w:sz w:val="24"/>
          <w:highlight w:val="none"/>
        </w:rPr>
      </w:pPr>
    </w:p>
    <w:p w14:paraId="4951DE40">
      <w:pPr>
        <w:spacing w:line="360" w:lineRule="auto"/>
        <w:rPr>
          <w:rFonts w:ascii="宋体" w:hAnsi="宋体" w:cs="宋体"/>
          <w:b/>
          <w:color w:val="auto"/>
          <w:sz w:val="24"/>
          <w:highlight w:val="none"/>
        </w:rPr>
      </w:pPr>
    </w:p>
    <w:p w14:paraId="57C3C206">
      <w:pPr>
        <w:spacing w:line="360" w:lineRule="auto"/>
        <w:rPr>
          <w:rFonts w:ascii="宋体" w:hAnsi="宋体" w:cs="宋体"/>
          <w:b/>
          <w:color w:val="auto"/>
          <w:sz w:val="24"/>
          <w:highlight w:val="none"/>
        </w:rPr>
      </w:pPr>
    </w:p>
    <w:p w14:paraId="0B9E4689">
      <w:pPr>
        <w:spacing w:line="360" w:lineRule="auto"/>
        <w:rPr>
          <w:rFonts w:ascii="宋体" w:hAnsi="宋体" w:cs="宋体"/>
          <w:b/>
          <w:color w:val="auto"/>
          <w:sz w:val="24"/>
          <w:highlight w:val="none"/>
        </w:rPr>
      </w:pPr>
    </w:p>
    <w:p w14:paraId="1E15AFAF">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4560212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9B40602">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B927E0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27A884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E395D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3F04E4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59D8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16EC71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F4AE7C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ADE6DC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584C56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2DA46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E13E88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7C8DCF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871722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449313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EF7FD75">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25ADB8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31548F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5D92C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45ED9E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8DE149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284834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4C0B25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CB7CFD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CBDD558">
      <w:pPr>
        <w:spacing w:line="360" w:lineRule="auto"/>
        <w:jc w:val="center"/>
        <w:rPr>
          <w:rFonts w:ascii="宋体" w:hAnsi="宋体" w:cs="宋体"/>
          <w:b/>
          <w:bCs/>
          <w:color w:val="auto"/>
          <w:sz w:val="24"/>
          <w:highlight w:val="none"/>
        </w:rPr>
      </w:pPr>
    </w:p>
    <w:p w14:paraId="75072D6E">
      <w:pPr>
        <w:spacing w:line="360" w:lineRule="auto"/>
        <w:rPr>
          <w:rFonts w:ascii="宋体" w:hAnsi="宋体" w:cs="宋体"/>
          <w:b/>
          <w:color w:val="auto"/>
          <w:sz w:val="24"/>
          <w:highlight w:val="none"/>
        </w:rPr>
      </w:pPr>
    </w:p>
    <w:p w14:paraId="1CCC368E">
      <w:pPr>
        <w:spacing w:line="360" w:lineRule="auto"/>
        <w:rPr>
          <w:rFonts w:ascii="宋体" w:hAnsi="宋体" w:cs="宋体"/>
          <w:b/>
          <w:color w:val="auto"/>
          <w:sz w:val="24"/>
          <w:highlight w:val="none"/>
        </w:rPr>
      </w:pPr>
    </w:p>
    <w:p w14:paraId="74F63790">
      <w:pPr>
        <w:spacing w:line="360" w:lineRule="auto"/>
        <w:rPr>
          <w:rFonts w:ascii="宋体" w:hAnsi="宋体" w:cs="宋体"/>
          <w:b/>
          <w:color w:val="auto"/>
          <w:sz w:val="24"/>
          <w:highlight w:val="none"/>
        </w:rPr>
      </w:pPr>
    </w:p>
    <w:p w14:paraId="4E62A97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4ACC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20D858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1EB930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2A9A12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C402F9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4CDD0E0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A6BE3B6">
      <w:pPr>
        <w:widowControl/>
        <w:spacing w:line="360" w:lineRule="auto"/>
        <w:ind w:firstLine="600" w:firstLineChars="200"/>
        <w:jc w:val="left"/>
        <w:rPr>
          <w:rFonts w:ascii="宋体" w:hAnsi="宋体" w:cs="宋体"/>
          <w:color w:val="auto"/>
          <w:sz w:val="30"/>
          <w:szCs w:val="30"/>
          <w:highlight w:val="none"/>
        </w:rPr>
      </w:pPr>
    </w:p>
    <w:p w14:paraId="3D5D241E">
      <w:pPr>
        <w:spacing w:line="360" w:lineRule="auto"/>
        <w:jc w:val="center"/>
        <w:rPr>
          <w:rFonts w:ascii="宋体" w:hAnsi="宋体" w:cs="宋体"/>
          <w:b/>
          <w:color w:val="auto"/>
          <w:spacing w:val="6"/>
          <w:sz w:val="32"/>
          <w:szCs w:val="32"/>
          <w:highlight w:val="none"/>
        </w:rPr>
      </w:pPr>
    </w:p>
    <w:p w14:paraId="1BE80D22">
      <w:pPr>
        <w:spacing w:line="360" w:lineRule="auto"/>
        <w:jc w:val="center"/>
        <w:rPr>
          <w:rFonts w:ascii="宋体" w:hAnsi="宋体" w:cs="宋体"/>
          <w:b/>
          <w:color w:val="auto"/>
          <w:spacing w:val="6"/>
          <w:sz w:val="32"/>
          <w:szCs w:val="32"/>
          <w:highlight w:val="none"/>
        </w:rPr>
      </w:pPr>
    </w:p>
    <w:p w14:paraId="17627461">
      <w:pPr>
        <w:spacing w:line="360" w:lineRule="auto"/>
        <w:jc w:val="center"/>
        <w:rPr>
          <w:rFonts w:ascii="宋体" w:hAnsi="宋体" w:cs="宋体"/>
          <w:b/>
          <w:color w:val="auto"/>
          <w:spacing w:val="6"/>
          <w:sz w:val="32"/>
          <w:szCs w:val="32"/>
          <w:highlight w:val="none"/>
        </w:rPr>
      </w:pPr>
    </w:p>
    <w:p w14:paraId="2145291E">
      <w:pPr>
        <w:spacing w:line="360" w:lineRule="auto"/>
        <w:jc w:val="center"/>
        <w:rPr>
          <w:rFonts w:ascii="宋体" w:hAnsi="宋体" w:cs="宋体"/>
          <w:b/>
          <w:color w:val="auto"/>
          <w:spacing w:val="6"/>
          <w:sz w:val="32"/>
          <w:szCs w:val="32"/>
          <w:highlight w:val="none"/>
        </w:rPr>
      </w:pPr>
    </w:p>
    <w:p w14:paraId="4613522F">
      <w:pPr>
        <w:spacing w:line="360" w:lineRule="auto"/>
        <w:jc w:val="center"/>
        <w:rPr>
          <w:rFonts w:ascii="宋体" w:hAnsi="宋体" w:cs="宋体"/>
          <w:b/>
          <w:color w:val="auto"/>
          <w:spacing w:val="6"/>
          <w:sz w:val="32"/>
          <w:szCs w:val="32"/>
          <w:highlight w:val="none"/>
        </w:rPr>
      </w:pPr>
    </w:p>
    <w:p w14:paraId="4181F196">
      <w:pPr>
        <w:spacing w:line="360" w:lineRule="auto"/>
        <w:jc w:val="center"/>
        <w:rPr>
          <w:rFonts w:ascii="宋体" w:hAnsi="宋体" w:cs="宋体"/>
          <w:b/>
          <w:color w:val="auto"/>
          <w:spacing w:val="6"/>
          <w:sz w:val="32"/>
          <w:szCs w:val="32"/>
          <w:highlight w:val="none"/>
        </w:rPr>
      </w:pPr>
    </w:p>
    <w:p w14:paraId="0B9C7292">
      <w:pPr>
        <w:spacing w:line="360" w:lineRule="auto"/>
        <w:jc w:val="center"/>
        <w:rPr>
          <w:rFonts w:ascii="宋体" w:hAnsi="宋体" w:cs="宋体"/>
          <w:b/>
          <w:color w:val="auto"/>
          <w:spacing w:val="6"/>
          <w:sz w:val="32"/>
          <w:szCs w:val="32"/>
          <w:highlight w:val="none"/>
        </w:rPr>
      </w:pPr>
    </w:p>
    <w:p w14:paraId="692D1148">
      <w:pPr>
        <w:spacing w:line="360" w:lineRule="auto"/>
        <w:jc w:val="center"/>
        <w:rPr>
          <w:rFonts w:ascii="宋体" w:hAnsi="宋体" w:cs="宋体"/>
          <w:b/>
          <w:color w:val="auto"/>
          <w:spacing w:val="6"/>
          <w:sz w:val="32"/>
          <w:szCs w:val="32"/>
          <w:highlight w:val="none"/>
        </w:rPr>
      </w:pPr>
    </w:p>
    <w:p w14:paraId="216E4E1A">
      <w:pPr>
        <w:spacing w:line="360" w:lineRule="auto"/>
        <w:jc w:val="center"/>
        <w:rPr>
          <w:rFonts w:ascii="宋体" w:hAnsi="宋体" w:cs="宋体"/>
          <w:b/>
          <w:color w:val="auto"/>
          <w:spacing w:val="6"/>
          <w:sz w:val="32"/>
          <w:szCs w:val="32"/>
          <w:highlight w:val="none"/>
        </w:rPr>
      </w:pPr>
    </w:p>
    <w:p w14:paraId="5B893CC2">
      <w:pPr>
        <w:spacing w:line="360" w:lineRule="auto"/>
        <w:jc w:val="center"/>
        <w:rPr>
          <w:rFonts w:ascii="宋体" w:hAnsi="宋体" w:cs="宋体"/>
          <w:b/>
          <w:color w:val="auto"/>
          <w:spacing w:val="6"/>
          <w:sz w:val="32"/>
          <w:szCs w:val="32"/>
          <w:highlight w:val="none"/>
        </w:rPr>
      </w:pPr>
    </w:p>
    <w:p w14:paraId="05F42B87">
      <w:pPr>
        <w:spacing w:line="360" w:lineRule="auto"/>
        <w:jc w:val="center"/>
        <w:rPr>
          <w:rFonts w:ascii="宋体" w:hAnsi="宋体" w:cs="宋体"/>
          <w:b/>
          <w:color w:val="auto"/>
          <w:spacing w:val="6"/>
          <w:sz w:val="32"/>
          <w:szCs w:val="32"/>
          <w:highlight w:val="none"/>
        </w:rPr>
      </w:pPr>
    </w:p>
    <w:p w14:paraId="60C4D90B">
      <w:pPr>
        <w:spacing w:line="360" w:lineRule="auto"/>
        <w:jc w:val="center"/>
        <w:rPr>
          <w:rFonts w:ascii="宋体" w:hAnsi="宋体" w:cs="宋体"/>
          <w:b/>
          <w:color w:val="auto"/>
          <w:spacing w:val="6"/>
          <w:sz w:val="32"/>
          <w:szCs w:val="32"/>
          <w:highlight w:val="none"/>
        </w:rPr>
      </w:pPr>
    </w:p>
    <w:p w14:paraId="6BBCE23D">
      <w:pPr>
        <w:spacing w:line="360" w:lineRule="auto"/>
        <w:jc w:val="left"/>
        <w:rPr>
          <w:rFonts w:ascii="宋体" w:hAnsi="宋体" w:cs="宋体"/>
          <w:b/>
          <w:color w:val="auto"/>
          <w:spacing w:val="6"/>
          <w:sz w:val="32"/>
          <w:szCs w:val="32"/>
          <w:highlight w:val="none"/>
        </w:rPr>
      </w:pPr>
    </w:p>
    <w:p w14:paraId="4CA75AFE">
      <w:pPr>
        <w:spacing w:line="360" w:lineRule="auto"/>
        <w:jc w:val="left"/>
        <w:rPr>
          <w:rFonts w:ascii="宋体" w:hAnsi="宋体" w:cs="宋体"/>
          <w:b/>
          <w:color w:val="auto"/>
          <w:spacing w:val="6"/>
          <w:sz w:val="32"/>
          <w:szCs w:val="32"/>
          <w:highlight w:val="none"/>
        </w:rPr>
      </w:pPr>
    </w:p>
    <w:p w14:paraId="15A40CB6">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59AD431">
      <w:pPr>
        <w:spacing w:line="360" w:lineRule="auto"/>
        <w:jc w:val="center"/>
        <w:rPr>
          <w:rFonts w:ascii="宋体" w:hAnsi="宋体" w:cs="宋体"/>
          <w:b/>
          <w:color w:val="auto"/>
          <w:sz w:val="24"/>
          <w:highlight w:val="none"/>
        </w:rPr>
      </w:pPr>
    </w:p>
    <w:p w14:paraId="7F88394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5124E15F">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D9F705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55ABA52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366A74C">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68C23FC">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B062C9D">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A2F5263">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5DFF4079">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B34B05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443D3C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4A7B93F">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2C550F3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03CE58B">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428C7CD">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965CB7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13177AE">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5E69CBB6">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7596756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ECB603">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A6D784A">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6CD7430">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E3F81A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535C7C9">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448801EC">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26654528">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D240E2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30C97244">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4C8540F1">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192A8CBF">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BE60E1F">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F5A62A2">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7AB47A4">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3F19AA1">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4ACA1E70">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FB52508">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3FB50482">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5D59D87">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2AC4B7B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14DA9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246C261">
      <w:pPr>
        <w:spacing w:line="360" w:lineRule="auto"/>
        <w:rPr>
          <w:rFonts w:ascii="宋体" w:hAnsi="宋体" w:cs="宋体"/>
          <w:b/>
          <w:color w:val="auto"/>
          <w:sz w:val="24"/>
          <w:highlight w:val="none"/>
        </w:rPr>
      </w:pPr>
    </w:p>
    <w:p w14:paraId="6A6066AF">
      <w:pPr>
        <w:spacing w:line="360" w:lineRule="auto"/>
        <w:rPr>
          <w:rFonts w:ascii="宋体" w:hAnsi="宋体" w:cs="宋体"/>
          <w:b/>
          <w:color w:val="auto"/>
          <w:sz w:val="24"/>
          <w:highlight w:val="none"/>
        </w:rPr>
      </w:pPr>
    </w:p>
    <w:p w14:paraId="32740317">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1658E585">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30CA65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012ECA8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7E4B2F8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75CC342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7D17CD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78483DA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D7F551C">
      <w:pPr>
        <w:spacing w:line="360" w:lineRule="auto"/>
        <w:rPr>
          <w:rFonts w:ascii="宋体" w:hAnsi="宋体" w:cs="宋体"/>
          <w:b/>
          <w:color w:val="auto"/>
          <w:sz w:val="24"/>
          <w:highlight w:val="none"/>
        </w:rPr>
      </w:pPr>
    </w:p>
    <w:p w14:paraId="726EDB33">
      <w:pPr>
        <w:autoSpaceDE w:val="0"/>
        <w:autoSpaceDN w:val="0"/>
        <w:jc w:val="center"/>
        <w:rPr>
          <w:rFonts w:ascii="宋体" w:hAnsi="宋体" w:cs="宋体"/>
          <w:b/>
          <w:color w:val="auto"/>
          <w:spacing w:val="6"/>
          <w:sz w:val="32"/>
          <w:szCs w:val="32"/>
          <w:highlight w:val="none"/>
        </w:rPr>
      </w:pPr>
    </w:p>
    <w:p w14:paraId="2525E610">
      <w:pPr>
        <w:autoSpaceDE w:val="0"/>
        <w:autoSpaceDN w:val="0"/>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35B5008B">
      <w:pPr>
        <w:spacing w:line="360" w:lineRule="auto"/>
        <w:rPr>
          <w:rFonts w:ascii="宋体" w:hAnsi="宋体" w:cs="宋体"/>
          <w:color w:val="auto"/>
          <w:sz w:val="24"/>
          <w:highlight w:val="none"/>
          <w:u w:val="single"/>
        </w:rPr>
      </w:pPr>
    </w:p>
    <w:p w14:paraId="62F72BA8">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61F7D25C">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123D2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25D55DD1">
      <w:pPr>
        <w:spacing w:line="360" w:lineRule="auto"/>
        <w:ind w:firstLine="494"/>
        <w:rPr>
          <w:rFonts w:ascii="宋体" w:hAnsi="宋体" w:cs="宋体"/>
          <w:color w:val="auto"/>
          <w:sz w:val="24"/>
          <w:highlight w:val="none"/>
        </w:rPr>
      </w:pPr>
    </w:p>
    <w:p w14:paraId="561CFE23">
      <w:pPr>
        <w:spacing w:line="360" w:lineRule="auto"/>
        <w:ind w:firstLine="494"/>
        <w:rPr>
          <w:rFonts w:ascii="宋体" w:hAnsi="宋体" w:cs="宋体"/>
          <w:color w:val="auto"/>
          <w:sz w:val="24"/>
          <w:highlight w:val="none"/>
        </w:rPr>
      </w:pPr>
    </w:p>
    <w:p w14:paraId="112E35C0">
      <w:pPr>
        <w:spacing w:line="360" w:lineRule="auto"/>
        <w:ind w:firstLine="494"/>
        <w:rPr>
          <w:rFonts w:ascii="宋体" w:hAnsi="宋体" w:cs="宋体"/>
          <w:color w:val="auto"/>
          <w:sz w:val="24"/>
          <w:highlight w:val="none"/>
        </w:rPr>
      </w:pPr>
    </w:p>
    <w:p w14:paraId="791945A9">
      <w:pPr>
        <w:spacing w:line="360" w:lineRule="auto"/>
        <w:ind w:firstLine="494"/>
        <w:rPr>
          <w:rFonts w:ascii="宋体" w:hAnsi="宋体" w:cs="宋体"/>
          <w:color w:val="auto"/>
          <w:sz w:val="24"/>
          <w:highlight w:val="none"/>
        </w:rPr>
      </w:pPr>
    </w:p>
    <w:p w14:paraId="10ACAE58">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FB3AF50">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07CCB18">
      <w:pPr>
        <w:rPr>
          <w:rFonts w:ascii="宋体" w:hAnsi="宋体" w:cs="宋体"/>
          <w:color w:val="auto"/>
          <w:sz w:val="24"/>
          <w:highlight w:val="none"/>
        </w:rPr>
      </w:pPr>
      <w:r>
        <w:rPr>
          <w:rFonts w:hint="eastAsia" w:ascii="宋体" w:hAnsi="宋体" w:cs="宋体"/>
          <w:b/>
          <w:bCs/>
          <w:color w:val="auto"/>
          <w:sz w:val="24"/>
          <w:highlight w:val="none"/>
        </w:rPr>
        <w:t>附：</w:t>
      </w:r>
    </w:p>
    <w:p w14:paraId="63B2C1D4">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283FC213">
      <w:pPr>
        <w:autoSpaceDE w:val="0"/>
        <w:autoSpaceDN w:val="0"/>
        <w:jc w:val="center"/>
        <w:rPr>
          <w:rFonts w:ascii="宋体" w:hAnsi="宋体" w:cs="宋体"/>
          <w:b/>
          <w:color w:val="auto"/>
          <w:spacing w:val="6"/>
          <w:sz w:val="32"/>
          <w:szCs w:val="32"/>
          <w:highlight w:val="none"/>
        </w:rPr>
      </w:pPr>
    </w:p>
    <w:p w14:paraId="5CA79EF3">
      <w:pPr>
        <w:autoSpaceDE w:val="0"/>
        <w:autoSpaceDN w:val="0"/>
        <w:jc w:val="center"/>
        <w:rPr>
          <w:rFonts w:ascii="宋体" w:hAnsi="宋体" w:cs="宋体"/>
          <w:b/>
          <w:color w:val="auto"/>
          <w:spacing w:val="6"/>
          <w:sz w:val="32"/>
          <w:szCs w:val="32"/>
          <w:highlight w:val="none"/>
        </w:rPr>
      </w:pPr>
    </w:p>
    <w:p w14:paraId="144CAB1B">
      <w:pPr>
        <w:autoSpaceDE w:val="0"/>
        <w:autoSpaceDN w:val="0"/>
        <w:jc w:val="center"/>
        <w:rPr>
          <w:rFonts w:ascii="宋体" w:hAnsi="宋体" w:cs="宋体"/>
          <w:b/>
          <w:color w:val="auto"/>
          <w:spacing w:val="6"/>
          <w:sz w:val="32"/>
          <w:szCs w:val="32"/>
          <w:highlight w:val="none"/>
        </w:rPr>
      </w:pPr>
    </w:p>
    <w:p w14:paraId="74EC2E2C">
      <w:pPr>
        <w:autoSpaceDE w:val="0"/>
        <w:autoSpaceDN w:val="0"/>
        <w:jc w:val="center"/>
        <w:rPr>
          <w:rFonts w:ascii="宋体" w:hAnsi="宋体" w:cs="宋体"/>
          <w:b/>
          <w:color w:val="auto"/>
          <w:spacing w:val="6"/>
          <w:sz w:val="32"/>
          <w:szCs w:val="32"/>
          <w:highlight w:val="none"/>
        </w:rPr>
      </w:pPr>
    </w:p>
    <w:p w14:paraId="4430F1F5">
      <w:pPr>
        <w:autoSpaceDE w:val="0"/>
        <w:autoSpaceDN w:val="0"/>
        <w:jc w:val="center"/>
        <w:rPr>
          <w:rFonts w:ascii="宋体" w:hAnsi="宋体" w:cs="宋体"/>
          <w:b/>
          <w:color w:val="auto"/>
          <w:spacing w:val="6"/>
          <w:sz w:val="32"/>
          <w:szCs w:val="32"/>
          <w:highlight w:val="none"/>
        </w:rPr>
      </w:pPr>
    </w:p>
    <w:p w14:paraId="29D5E950">
      <w:pPr>
        <w:autoSpaceDE w:val="0"/>
        <w:autoSpaceDN w:val="0"/>
        <w:jc w:val="center"/>
        <w:rPr>
          <w:rFonts w:ascii="宋体" w:hAnsi="宋体" w:cs="宋体"/>
          <w:b/>
          <w:color w:val="auto"/>
          <w:spacing w:val="6"/>
          <w:sz w:val="32"/>
          <w:szCs w:val="32"/>
          <w:highlight w:val="none"/>
        </w:rPr>
      </w:pPr>
    </w:p>
    <w:p w14:paraId="7A43C577">
      <w:pPr>
        <w:autoSpaceDE w:val="0"/>
        <w:autoSpaceDN w:val="0"/>
        <w:jc w:val="center"/>
        <w:rPr>
          <w:rFonts w:ascii="宋体" w:hAnsi="宋体" w:cs="宋体"/>
          <w:b/>
          <w:color w:val="auto"/>
          <w:spacing w:val="6"/>
          <w:sz w:val="32"/>
          <w:szCs w:val="32"/>
          <w:highlight w:val="none"/>
        </w:rPr>
      </w:pPr>
    </w:p>
    <w:p w14:paraId="5785E156">
      <w:pPr>
        <w:autoSpaceDE w:val="0"/>
        <w:autoSpaceDN w:val="0"/>
        <w:jc w:val="center"/>
        <w:rPr>
          <w:rFonts w:ascii="宋体" w:hAnsi="宋体" w:cs="宋体"/>
          <w:b/>
          <w:color w:val="auto"/>
          <w:spacing w:val="6"/>
          <w:sz w:val="32"/>
          <w:szCs w:val="32"/>
          <w:highlight w:val="none"/>
        </w:rPr>
      </w:pPr>
    </w:p>
    <w:p w14:paraId="281EB929">
      <w:pPr>
        <w:autoSpaceDE w:val="0"/>
        <w:autoSpaceDN w:val="0"/>
        <w:jc w:val="center"/>
        <w:rPr>
          <w:rFonts w:ascii="宋体" w:hAnsi="宋体" w:cs="宋体"/>
          <w:b/>
          <w:color w:val="auto"/>
          <w:spacing w:val="6"/>
          <w:sz w:val="32"/>
          <w:szCs w:val="32"/>
          <w:highlight w:val="none"/>
        </w:rPr>
      </w:pPr>
    </w:p>
    <w:p w14:paraId="0EA03E78">
      <w:pPr>
        <w:autoSpaceDE w:val="0"/>
        <w:autoSpaceDN w:val="0"/>
        <w:jc w:val="center"/>
        <w:rPr>
          <w:rFonts w:ascii="宋体" w:hAnsi="宋体" w:cs="宋体"/>
          <w:b/>
          <w:color w:val="auto"/>
          <w:spacing w:val="6"/>
          <w:sz w:val="32"/>
          <w:szCs w:val="32"/>
          <w:highlight w:val="none"/>
        </w:rPr>
      </w:pPr>
    </w:p>
    <w:p w14:paraId="5CF95930">
      <w:pPr>
        <w:autoSpaceDE w:val="0"/>
        <w:autoSpaceDN w:val="0"/>
        <w:jc w:val="center"/>
        <w:rPr>
          <w:rFonts w:ascii="宋体" w:hAnsi="宋体" w:cs="宋体"/>
          <w:b/>
          <w:color w:val="auto"/>
          <w:spacing w:val="6"/>
          <w:sz w:val="32"/>
          <w:szCs w:val="32"/>
          <w:highlight w:val="none"/>
        </w:rPr>
      </w:pPr>
    </w:p>
    <w:p w14:paraId="20109862">
      <w:pPr>
        <w:autoSpaceDE w:val="0"/>
        <w:autoSpaceDN w:val="0"/>
        <w:jc w:val="center"/>
        <w:rPr>
          <w:rFonts w:ascii="宋体" w:hAnsi="宋体" w:cs="宋体"/>
          <w:b/>
          <w:color w:val="auto"/>
          <w:spacing w:val="6"/>
          <w:sz w:val="32"/>
          <w:szCs w:val="32"/>
          <w:highlight w:val="none"/>
        </w:rPr>
      </w:pPr>
    </w:p>
    <w:p w14:paraId="16B7927F">
      <w:pPr>
        <w:autoSpaceDE w:val="0"/>
        <w:autoSpaceDN w:val="0"/>
        <w:jc w:val="center"/>
        <w:rPr>
          <w:rFonts w:ascii="宋体" w:hAnsi="宋体" w:cs="宋体"/>
          <w:b/>
          <w:color w:val="auto"/>
          <w:spacing w:val="6"/>
          <w:sz w:val="32"/>
          <w:szCs w:val="32"/>
          <w:highlight w:val="none"/>
        </w:rPr>
      </w:pPr>
    </w:p>
    <w:p w14:paraId="0163C6EB">
      <w:pPr>
        <w:autoSpaceDE w:val="0"/>
        <w:autoSpaceDN w:val="0"/>
        <w:jc w:val="center"/>
        <w:rPr>
          <w:rFonts w:ascii="宋体" w:hAnsi="宋体" w:cs="宋体"/>
          <w:b/>
          <w:color w:val="auto"/>
          <w:spacing w:val="6"/>
          <w:sz w:val="32"/>
          <w:szCs w:val="32"/>
          <w:highlight w:val="none"/>
        </w:rPr>
      </w:pPr>
    </w:p>
    <w:p w14:paraId="6FF511DF">
      <w:pPr>
        <w:autoSpaceDE w:val="0"/>
        <w:autoSpaceDN w:val="0"/>
        <w:jc w:val="center"/>
        <w:rPr>
          <w:rFonts w:ascii="宋体" w:hAnsi="宋体" w:cs="宋体"/>
          <w:b/>
          <w:color w:val="auto"/>
          <w:spacing w:val="6"/>
          <w:sz w:val="32"/>
          <w:szCs w:val="32"/>
          <w:highlight w:val="none"/>
        </w:rPr>
      </w:pPr>
    </w:p>
    <w:p w14:paraId="02146C82">
      <w:pPr>
        <w:autoSpaceDE w:val="0"/>
        <w:autoSpaceDN w:val="0"/>
        <w:jc w:val="center"/>
        <w:rPr>
          <w:rFonts w:ascii="宋体" w:hAnsi="宋体" w:cs="宋体"/>
          <w:b/>
          <w:color w:val="auto"/>
          <w:spacing w:val="6"/>
          <w:sz w:val="32"/>
          <w:szCs w:val="32"/>
          <w:highlight w:val="none"/>
        </w:rPr>
      </w:pPr>
    </w:p>
    <w:p w14:paraId="15158882">
      <w:pPr>
        <w:autoSpaceDE w:val="0"/>
        <w:autoSpaceDN w:val="0"/>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3D4CEDB8">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44A4198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6B3FAD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F6A259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09BF54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A49AE3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ACFA2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8845E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003CD0E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18CC3B4B">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422"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22"/>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23"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23"/>
      <w:r>
        <w:rPr>
          <w:rFonts w:hint="eastAsia" w:ascii="宋体" w:hAnsi="宋体" w:cs="宋体"/>
          <w:b/>
          <w:color w:val="auto"/>
          <w:kern w:val="0"/>
          <w:sz w:val="24"/>
          <w:highlight w:val="none"/>
          <w:lang w:val="zh-CN"/>
        </w:rPr>
        <w:t>）</w:t>
      </w:r>
    </w:p>
    <w:p w14:paraId="4606704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2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24"/>
    </w:p>
    <w:p w14:paraId="4A3311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01BD107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79C1EC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F8360A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071CA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6A5E550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0E2DD57C">
      <w:pPr>
        <w:snapToGrid w:val="0"/>
        <w:spacing w:line="360" w:lineRule="auto"/>
        <w:ind w:firstLine="5040" w:firstLineChars="2100"/>
        <w:rPr>
          <w:rStyle w:val="83"/>
          <w:color w:val="auto"/>
          <w:highlight w:val="none"/>
        </w:rPr>
      </w:pPr>
      <w:r>
        <w:rPr>
          <w:rStyle w:val="83"/>
          <w:rFonts w:hint="eastAsia"/>
          <w:color w:val="auto"/>
          <w:highlight w:val="none"/>
        </w:rPr>
        <w:t>法定代表人（负责人） (签名)：</w:t>
      </w:r>
    </w:p>
    <w:p w14:paraId="53E9C9FB">
      <w:pPr>
        <w:snapToGrid w:val="0"/>
        <w:spacing w:line="360" w:lineRule="auto"/>
        <w:ind w:firstLine="5040" w:firstLineChars="2100"/>
        <w:rPr>
          <w:rFonts w:ascii="宋体" w:hAnsi="宋体" w:cs="宋体"/>
          <w:color w:val="auto"/>
          <w:kern w:val="0"/>
          <w:sz w:val="24"/>
          <w:highlight w:val="none"/>
          <w:lang w:val="zh-CN"/>
        </w:rPr>
      </w:pPr>
      <w:r>
        <w:rPr>
          <w:rStyle w:val="83"/>
          <w:rFonts w:hint="eastAsia"/>
          <w:color w:val="auto"/>
          <w:highlight w:val="none"/>
        </w:rPr>
        <w:t>联合体成</w:t>
      </w:r>
      <w:r>
        <w:rPr>
          <w:rFonts w:hint="eastAsia" w:ascii="宋体" w:hAnsi="宋体" w:cs="宋体"/>
          <w:color w:val="auto"/>
          <w:kern w:val="0"/>
          <w:sz w:val="24"/>
          <w:highlight w:val="none"/>
          <w:lang w:val="zh-CN"/>
        </w:rPr>
        <w:t>员名称(公章)：</w:t>
      </w:r>
    </w:p>
    <w:p w14:paraId="7A9AFF8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14:paraId="410C99F9">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8DF8E9E">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359BC9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7E8D11C">
      <w:pPr>
        <w:autoSpaceDE w:val="0"/>
        <w:autoSpaceDN w:val="0"/>
        <w:jc w:val="center"/>
        <w:rPr>
          <w:rFonts w:ascii="宋体" w:hAnsi="宋体" w:cs="宋体"/>
          <w:b/>
          <w:color w:val="auto"/>
          <w:spacing w:val="6"/>
          <w:sz w:val="32"/>
          <w:szCs w:val="32"/>
          <w:highlight w:val="none"/>
        </w:rPr>
      </w:pPr>
    </w:p>
    <w:p w14:paraId="7B91F066">
      <w:pPr>
        <w:autoSpaceDE w:val="0"/>
        <w:autoSpaceDN w:val="0"/>
        <w:jc w:val="center"/>
        <w:rPr>
          <w:rFonts w:ascii="宋体" w:hAnsi="宋体" w:cs="宋体"/>
          <w:b/>
          <w:color w:val="auto"/>
          <w:spacing w:val="6"/>
          <w:sz w:val="32"/>
          <w:szCs w:val="32"/>
          <w:highlight w:val="none"/>
        </w:rPr>
      </w:pPr>
    </w:p>
    <w:p w14:paraId="39D3DB44">
      <w:pPr>
        <w:autoSpaceDE w:val="0"/>
        <w:autoSpaceDN w:val="0"/>
        <w:jc w:val="center"/>
        <w:rPr>
          <w:rFonts w:ascii="宋体" w:hAnsi="宋体" w:cs="宋体"/>
          <w:b/>
          <w:color w:val="auto"/>
          <w:spacing w:val="6"/>
          <w:sz w:val="32"/>
          <w:szCs w:val="32"/>
          <w:highlight w:val="none"/>
        </w:rPr>
      </w:pPr>
    </w:p>
    <w:p w14:paraId="67ABE782">
      <w:pPr>
        <w:autoSpaceDE w:val="0"/>
        <w:autoSpaceDN w:val="0"/>
        <w:jc w:val="center"/>
        <w:rPr>
          <w:rFonts w:ascii="宋体" w:hAnsi="宋体" w:cs="宋体"/>
          <w:b/>
          <w:color w:val="auto"/>
          <w:spacing w:val="6"/>
          <w:sz w:val="32"/>
          <w:szCs w:val="32"/>
          <w:highlight w:val="none"/>
        </w:rPr>
      </w:pPr>
    </w:p>
    <w:p w14:paraId="3B4D4D93">
      <w:pPr>
        <w:autoSpaceDE w:val="0"/>
        <w:autoSpaceDN w:val="0"/>
        <w:jc w:val="center"/>
        <w:rPr>
          <w:rFonts w:ascii="宋体" w:hAnsi="宋体" w:cs="宋体"/>
          <w:b/>
          <w:color w:val="auto"/>
          <w:spacing w:val="6"/>
          <w:sz w:val="32"/>
          <w:szCs w:val="32"/>
          <w:highlight w:val="none"/>
        </w:rPr>
      </w:pPr>
    </w:p>
    <w:p w14:paraId="78A520F5">
      <w:pPr>
        <w:autoSpaceDE w:val="0"/>
        <w:autoSpaceDN w:val="0"/>
        <w:jc w:val="center"/>
        <w:rPr>
          <w:rFonts w:ascii="宋体" w:hAnsi="宋体" w:cs="宋体"/>
          <w:b/>
          <w:color w:val="auto"/>
          <w:spacing w:val="6"/>
          <w:sz w:val="32"/>
          <w:szCs w:val="32"/>
          <w:highlight w:val="none"/>
        </w:rPr>
      </w:pPr>
    </w:p>
    <w:p w14:paraId="1A008084">
      <w:pPr>
        <w:autoSpaceDE w:val="0"/>
        <w:autoSpaceDN w:val="0"/>
        <w:jc w:val="center"/>
        <w:rPr>
          <w:rFonts w:ascii="宋体" w:hAnsi="宋体" w:cs="宋体"/>
          <w:b/>
          <w:color w:val="auto"/>
          <w:spacing w:val="6"/>
          <w:sz w:val="32"/>
          <w:szCs w:val="32"/>
          <w:highlight w:val="none"/>
        </w:rPr>
      </w:pPr>
    </w:p>
    <w:p w14:paraId="1FE55939">
      <w:pPr>
        <w:autoSpaceDE w:val="0"/>
        <w:autoSpaceDN w:val="0"/>
        <w:jc w:val="center"/>
        <w:rPr>
          <w:rFonts w:ascii="宋体" w:hAnsi="宋体" w:cs="宋体"/>
          <w:b/>
          <w:color w:val="auto"/>
          <w:spacing w:val="6"/>
          <w:sz w:val="32"/>
          <w:szCs w:val="32"/>
          <w:highlight w:val="none"/>
        </w:rPr>
      </w:pPr>
    </w:p>
    <w:p w14:paraId="4502E716">
      <w:pPr>
        <w:autoSpaceDE w:val="0"/>
        <w:autoSpaceDN w:val="0"/>
        <w:jc w:val="center"/>
        <w:rPr>
          <w:rFonts w:ascii="宋体" w:hAnsi="宋体" w:cs="宋体"/>
          <w:b/>
          <w:color w:val="auto"/>
          <w:spacing w:val="6"/>
          <w:sz w:val="32"/>
          <w:szCs w:val="32"/>
          <w:highlight w:val="none"/>
        </w:rPr>
      </w:pPr>
    </w:p>
    <w:p w14:paraId="5D69A171">
      <w:pPr>
        <w:autoSpaceDE w:val="0"/>
        <w:autoSpaceDN w:val="0"/>
        <w:jc w:val="center"/>
        <w:rPr>
          <w:rFonts w:ascii="宋体" w:hAnsi="宋体" w:cs="宋体"/>
          <w:b/>
          <w:color w:val="auto"/>
          <w:spacing w:val="6"/>
          <w:sz w:val="32"/>
          <w:szCs w:val="32"/>
          <w:highlight w:val="none"/>
        </w:rPr>
      </w:pPr>
    </w:p>
    <w:p w14:paraId="328D4FF6">
      <w:pPr>
        <w:autoSpaceDE w:val="0"/>
        <w:autoSpaceDN w:val="0"/>
        <w:jc w:val="center"/>
        <w:rPr>
          <w:rFonts w:ascii="宋体" w:hAnsi="宋体" w:cs="宋体"/>
          <w:b/>
          <w:color w:val="auto"/>
          <w:spacing w:val="6"/>
          <w:sz w:val="32"/>
          <w:szCs w:val="32"/>
          <w:highlight w:val="none"/>
        </w:rPr>
      </w:pPr>
    </w:p>
    <w:p w14:paraId="2EE93230">
      <w:pPr>
        <w:autoSpaceDE w:val="0"/>
        <w:autoSpaceDN w:val="0"/>
        <w:jc w:val="center"/>
        <w:rPr>
          <w:rFonts w:ascii="宋体" w:hAnsi="宋体" w:cs="宋体"/>
          <w:b/>
          <w:color w:val="auto"/>
          <w:spacing w:val="6"/>
          <w:sz w:val="32"/>
          <w:szCs w:val="32"/>
          <w:highlight w:val="none"/>
        </w:rPr>
      </w:pPr>
    </w:p>
    <w:p w14:paraId="6CEE121B">
      <w:pPr>
        <w:autoSpaceDE w:val="0"/>
        <w:autoSpaceDN w:val="0"/>
        <w:jc w:val="center"/>
        <w:rPr>
          <w:rFonts w:ascii="宋体" w:hAnsi="宋体" w:cs="宋体"/>
          <w:b/>
          <w:color w:val="auto"/>
          <w:spacing w:val="6"/>
          <w:sz w:val="32"/>
          <w:szCs w:val="32"/>
          <w:highlight w:val="none"/>
        </w:rPr>
      </w:pPr>
    </w:p>
    <w:p w14:paraId="2F4CA25D">
      <w:pPr>
        <w:autoSpaceDE w:val="0"/>
        <w:autoSpaceDN w:val="0"/>
        <w:jc w:val="center"/>
        <w:rPr>
          <w:rFonts w:ascii="宋体" w:hAnsi="宋体" w:cs="宋体"/>
          <w:b/>
          <w:color w:val="auto"/>
          <w:spacing w:val="6"/>
          <w:sz w:val="32"/>
          <w:szCs w:val="32"/>
          <w:highlight w:val="none"/>
        </w:rPr>
      </w:pPr>
    </w:p>
    <w:p w14:paraId="01A9DE81">
      <w:pPr>
        <w:autoSpaceDE w:val="0"/>
        <w:autoSpaceDN w:val="0"/>
        <w:jc w:val="center"/>
        <w:rPr>
          <w:rFonts w:ascii="宋体" w:hAnsi="宋体" w:cs="宋体"/>
          <w:b/>
          <w:color w:val="auto"/>
          <w:spacing w:val="6"/>
          <w:sz w:val="32"/>
          <w:szCs w:val="32"/>
          <w:highlight w:val="none"/>
        </w:rPr>
      </w:pPr>
    </w:p>
    <w:p w14:paraId="2678A865">
      <w:pPr>
        <w:autoSpaceDE w:val="0"/>
        <w:autoSpaceDN w:val="0"/>
        <w:jc w:val="center"/>
        <w:rPr>
          <w:rFonts w:ascii="宋体" w:hAnsi="宋体" w:cs="宋体"/>
          <w:b/>
          <w:color w:val="auto"/>
          <w:spacing w:val="6"/>
          <w:sz w:val="32"/>
          <w:szCs w:val="32"/>
          <w:highlight w:val="none"/>
        </w:rPr>
      </w:pPr>
    </w:p>
    <w:p w14:paraId="062553B3">
      <w:pPr>
        <w:autoSpaceDE w:val="0"/>
        <w:autoSpaceDN w:val="0"/>
        <w:jc w:val="center"/>
        <w:rPr>
          <w:rFonts w:ascii="宋体" w:hAnsi="宋体" w:cs="宋体"/>
          <w:b/>
          <w:color w:val="auto"/>
          <w:spacing w:val="6"/>
          <w:sz w:val="32"/>
          <w:szCs w:val="32"/>
          <w:highlight w:val="none"/>
        </w:rPr>
      </w:pPr>
    </w:p>
    <w:p w14:paraId="22A40314">
      <w:pPr>
        <w:autoSpaceDE w:val="0"/>
        <w:autoSpaceDN w:val="0"/>
        <w:jc w:val="center"/>
        <w:rPr>
          <w:rFonts w:ascii="宋体" w:hAnsi="宋体" w:cs="宋体"/>
          <w:b/>
          <w:color w:val="auto"/>
          <w:spacing w:val="6"/>
          <w:sz w:val="32"/>
          <w:szCs w:val="32"/>
          <w:highlight w:val="none"/>
        </w:rPr>
      </w:pPr>
    </w:p>
    <w:p w14:paraId="002503F7">
      <w:pPr>
        <w:autoSpaceDE w:val="0"/>
        <w:autoSpaceDN w:val="0"/>
        <w:jc w:val="center"/>
        <w:rPr>
          <w:rFonts w:ascii="宋体" w:hAnsi="宋体" w:cs="宋体"/>
          <w:b/>
          <w:color w:val="auto"/>
          <w:spacing w:val="6"/>
          <w:sz w:val="32"/>
          <w:szCs w:val="32"/>
          <w:highlight w:val="none"/>
        </w:rPr>
      </w:pPr>
    </w:p>
    <w:p w14:paraId="4739BC09">
      <w:pPr>
        <w:autoSpaceDE w:val="0"/>
        <w:autoSpaceDN w:val="0"/>
        <w:jc w:val="center"/>
        <w:rPr>
          <w:rFonts w:ascii="宋体" w:hAnsi="宋体" w:cs="宋体"/>
          <w:b/>
          <w:color w:val="auto"/>
          <w:spacing w:val="6"/>
          <w:sz w:val="32"/>
          <w:szCs w:val="32"/>
          <w:highlight w:val="none"/>
        </w:rPr>
      </w:pPr>
    </w:p>
    <w:p w14:paraId="7C80126D">
      <w:pPr>
        <w:autoSpaceDE w:val="0"/>
        <w:autoSpaceDN w:val="0"/>
        <w:jc w:val="center"/>
        <w:rPr>
          <w:rFonts w:ascii="宋体" w:hAnsi="宋体" w:cs="宋体"/>
          <w:b/>
          <w:color w:val="auto"/>
          <w:spacing w:val="6"/>
          <w:sz w:val="32"/>
          <w:szCs w:val="32"/>
          <w:highlight w:val="none"/>
        </w:rPr>
      </w:pPr>
    </w:p>
    <w:p w14:paraId="1AD3DE8D">
      <w:pPr>
        <w:autoSpaceDE w:val="0"/>
        <w:autoSpaceDN w:val="0"/>
        <w:jc w:val="center"/>
        <w:rPr>
          <w:rFonts w:ascii="宋体" w:hAnsi="宋体" w:cs="宋体"/>
          <w:b/>
          <w:color w:val="auto"/>
          <w:spacing w:val="6"/>
          <w:sz w:val="32"/>
          <w:szCs w:val="32"/>
          <w:highlight w:val="none"/>
        </w:rPr>
      </w:pPr>
    </w:p>
    <w:p w14:paraId="45320AF8">
      <w:pPr>
        <w:autoSpaceDE w:val="0"/>
        <w:autoSpaceDN w:val="0"/>
        <w:jc w:val="center"/>
        <w:rPr>
          <w:rFonts w:ascii="宋体" w:hAnsi="宋体" w:cs="宋体"/>
          <w:b/>
          <w:color w:val="auto"/>
          <w:spacing w:val="6"/>
          <w:sz w:val="32"/>
          <w:szCs w:val="32"/>
          <w:highlight w:val="none"/>
        </w:rPr>
      </w:pPr>
    </w:p>
    <w:p w14:paraId="643936F0">
      <w:pPr>
        <w:widowControl/>
        <w:adjustRightInd/>
        <w:jc w:val="left"/>
        <w:rPr>
          <w:rFonts w:ascii="宋体" w:hAnsi="宋体" w:cs="宋体"/>
          <w:b/>
          <w:color w:val="auto"/>
          <w:spacing w:val="6"/>
          <w:sz w:val="32"/>
          <w:szCs w:val="32"/>
          <w:highlight w:val="none"/>
        </w:rPr>
      </w:pPr>
    </w:p>
    <w:p w14:paraId="4A84550C">
      <w:pPr>
        <w:snapToGrid w:val="0"/>
        <w:spacing w:line="360" w:lineRule="auto"/>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6438634C">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01BB14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3B01877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6E2693D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6B58AAAE">
      <w:pPr>
        <w:pStyle w:val="84"/>
        <w:rPr>
          <w:color w:val="auto"/>
          <w:highlight w:val="none"/>
        </w:rPr>
      </w:pPr>
      <w:r>
        <w:rPr>
          <w:rFonts w:hint="eastAsia"/>
          <w:color w:val="auto"/>
          <w:highlight w:val="none"/>
        </w:rPr>
        <w:t>……</w:t>
      </w:r>
    </w:p>
    <w:p w14:paraId="151D3ADA">
      <w:pPr>
        <w:rPr>
          <w:color w:val="auto"/>
          <w:highlight w:val="none"/>
        </w:rPr>
      </w:pPr>
      <w:r>
        <w:rPr>
          <w:rFonts w:hint="eastAsia"/>
          <w:color w:val="auto"/>
          <w:highlight w:val="none"/>
          <w:lang w:val="zh-CN"/>
        </w:rPr>
        <w:t xml:space="preserve"> </w:t>
      </w:r>
    </w:p>
    <w:p w14:paraId="6D13A43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4D03E6B8">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8248F9B">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3866B7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556E7B9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0B40C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552216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F2B8F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8674D15">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A0E9D9F">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6A8F3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4815D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ABCBD8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BFC56D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7B744887">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投标人名称(公章)：</w:t>
      </w:r>
    </w:p>
    <w:p w14:paraId="3B966259">
      <w:pPr>
        <w:snapToGrid w:val="0"/>
        <w:spacing w:line="360" w:lineRule="auto"/>
        <w:ind w:left="5758" w:leftChars="2742"/>
        <w:rPr>
          <w:rFonts w:ascii="宋体" w:hAnsi="宋体" w:cs="宋体"/>
          <w:color w:val="auto"/>
          <w:kern w:val="0"/>
          <w:sz w:val="24"/>
          <w:highlight w:val="none"/>
          <w:lang w:val="zh-CN"/>
        </w:rPr>
      </w:pPr>
      <w:r>
        <w:rPr>
          <w:rStyle w:val="83"/>
          <w:rFonts w:hint="eastAsia"/>
          <w:color w:val="auto"/>
          <w:highlight w:val="none"/>
        </w:rPr>
        <w:t>法定代表人（负责人） (签名)：</w:t>
      </w:r>
      <w:r>
        <w:rPr>
          <w:rFonts w:hint="eastAsia" w:ascii="宋体" w:hAnsi="宋体" w:cs="宋体"/>
          <w:color w:val="auto"/>
          <w:kern w:val="0"/>
          <w:sz w:val="24"/>
          <w:highlight w:val="none"/>
          <w:lang w:val="zh-CN"/>
        </w:rPr>
        <w:t>分包供应商名称(公章)：</w:t>
      </w:r>
    </w:p>
    <w:p w14:paraId="3E235F3A">
      <w:pPr>
        <w:pStyle w:val="84"/>
        <w:ind w:firstLine="5760" w:firstLineChars="2400"/>
        <w:rPr>
          <w:color w:val="auto"/>
          <w:highlight w:val="none"/>
        </w:rPr>
      </w:pPr>
      <w:r>
        <w:rPr>
          <w:rStyle w:val="83"/>
          <w:rFonts w:hint="eastAsia"/>
          <w:color w:val="auto"/>
          <w:highlight w:val="none"/>
        </w:rPr>
        <w:t>法定代表人（负责人） (签名)：</w:t>
      </w:r>
    </w:p>
    <w:p w14:paraId="4E80362A">
      <w:pPr>
        <w:snapToGrid w:val="0"/>
        <w:spacing w:line="360" w:lineRule="auto"/>
        <w:jc w:val="right"/>
        <w:rPr>
          <w:rFonts w:ascii="宋体" w:hAnsi="宋体" w:cs="宋体"/>
          <w:color w:val="auto"/>
          <w:kern w:val="0"/>
          <w:sz w:val="24"/>
          <w:highlight w:val="none"/>
          <w:lang w:val="zh-CN"/>
        </w:rPr>
      </w:pPr>
    </w:p>
    <w:p w14:paraId="1CC33CE6">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32390DC">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F0ED7D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77C6F2D">
      <w:pPr>
        <w:autoSpaceDE w:val="0"/>
        <w:autoSpaceDN w:val="0"/>
        <w:jc w:val="center"/>
        <w:rPr>
          <w:rFonts w:ascii="宋体" w:hAnsi="宋体" w:cs="宋体"/>
          <w:b/>
          <w:color w:val="auto"/>
          <w:spacing w:val="6"/>
          <w:sz w:val="32"/>
          <w:szCs w:val="32"/>
          <w:highlight w:val="none"/>
        </w:rPr>
      </w:pPr>
    </w:p>
    <w:p w14:paraId="55380FC1">
      <w:pPr>
        <w:autoSpaceDE w:val="0"/>
        <w:autoSpaceDN w:val="0"/>
        <w:jc w:val="center"/>
        <w:rPr>
          <w:rFonts w:ascii="宋体" w:hAnsi="宋体" w:cs="宋体"/>
          <w:b/>
          <w:color w:val="auto"/>
          <w:spacing w:val="6"/>
          <w:sz w:val="32"/>
          <w:szCs w:val="32"/>
          <w:highlight w:val="none"/>
        </w:rPr>
      </w:pPr>
    </w:p>
    <w:p w14:paraId="3038CB66">
      <w:pPr>
        <w:autoSpaceDE w:val="0"/>
        <w:autoSpaceDN w:val="0"/>
        <w:jc w:val="center"/>
        <w:rPr>
          <w:rFonts w:ascii="宋体" w:hAnsi="宋体" w:cs="宋体"/>
          <w:b/>
          <w:color w:val="auto"/>
          <w:spacing w:val="6"/>
          <w:sz w:val="32"/>
          <w:szCs w:val="32"/>
          <w:highlight w:val="none"/>
        </w:rPr>
      </w:pPr>
    </w:p>
    <w:p w14:paraId="2DE70243">
      <w:pPr>
        <w:autoSpaceDE w:val="0"/>
        <w:autoSpaceDN w:val="0"/>
        <w:jc w:val="center"/>
        <w:rPr>
          <w:rFonts w:ascii="宋体" w:hAnsi="宋体" w:cs="宋体"/>
          <w:b/>
          <w:color w:val="auto"/>
          <w:spacing w:val="6"/>
          <w:sz w:val="32"/>
          <w:szCs w:val="32"/>
          <w:highlight w:val="none"/>
        </w:rPr>
      </w:pPr>
    </w:p>
    <w:p w14:paraId="7241BCFA">
      <w:pPr>
        <w:autoSpaceDE w:val="0"/>
        <w:autoSpaceDN w:val="0"/>
        <w:jc w:val="center"/>
        <w:rPr>
          <w:rFonts w:ascii="宋体" w:hAnsi="宋体" w:cs="宋体"/>
          <w:b/>
          <w:color w:val="auto"/>
          <w:spacing w:val="6"/>
          <w:sz w:val="32"/>
          <w:szCs w:val="32"/>
          <w:highlight w:val="none"/>
        </w:rPr>
      </w:pPr>
    </w:p>
    <w:p w14:paraId="02D33D62">
      <w:pPr>
        <w:autoSpaceDE w:val="0"/>
        <w:autoSpaceDN w:val="0"/>
        <w:jc w:val="center"/>
        <w:rPr>
          <w:rFonts w:ascii="宋体" w:hAnsi="宋体" w:cs="宋体"/>
          <w:b/>
          <w:color w:val="auto"/>
          <w:spacing w:val="6"/>
          <w:sz w:val="32"/>
          <w:szCs w:val="32"/>
          <w:highlight w:val="none"/>
        </w:rPr>
      </w:pPr>
    </w:p>
    <w:p w14:paraId="06D2B690">
      <w:pPr>
        <w:autoSpaceDE w:val="0"/>
        <w:autoSpaceDN w:val="0"/>
        <w:jc w:val="center"/>
        <w:rPr>
          <w:rFonts w:ascii="宋体" w:hAnsi="宋体" w:cs="宋体"/>
          <w:b/>
          <w:color w:val="auto"/>
          <w:spacing w:val="6"/>
          <w:sz w:val="32"/>
          <w:szCs w:val="32"/>
          <w:highlight w:val="none"/>
        </w:rPr>
      </w:pPr>
    </w:p>
    <w:p w14:paraId="7473E769">
      <w:pPr>
        <w:autoSpaceDE w:val="0"/>
        <w:autoSpaceDN w:val="0"/>
        <w:jc w:val="center"/>
        <w:rPr>
          <w:rFonts w:ascii="宋体" w:hAnsi="宋体" w:cs="宋体"/>
          <w:b/>
          <w:color w:val="auto"/>
          <w:spacing w:val="6"/>
          <w:sz w:val="32"/>
          <w:szCs w:val="32"/>
          <w:highlight w:val="none"/>
        </w:rPr>
      </w:pPr>
    </w:p>
    <w:p w14:paraId="58CB8DF9">
      <w:pPr>
        <w:autoSpaceDE w:val="0"/>
        <w:autoSpaceDN w:val="0"/>
        <w:jc w:val="center"/>
        <w:rPr>
          <w:rFonts w:ascii="宋体" w:hAnsi="宋体" w:cs="宋体"/>
          <w:b/>
          <w:color w:val="auto"/>
          <w:spacing w:val="6"/>
          <w:sz w:val="32"/>
          <w:szCs w:val="32"/>
          <w:highlight w:val="none"/>
        </w:rPr>
      </w:pPr>
    </w:p>
    <w:p w14:paraId="4AB19C59">
      <w:pPr>
        <w:autoSpaceDE w:val="0"/>
        <w:autoSpaceDN w:val="0"/>
        <w:jc w:val="center"/>
        <w:rPr>
          <w:rFonts w:ascii="宋体" w:hAnsi="宋体" w:cs="宋体"/>
          <w:b/>
          <w:color w:val="auto"/>
          <w:spacing w:val="6"/>
          <w:sz w:val="32"/>
          <w:szCs w:val="32"/>
          <w:highlight w:val="none"/>
        </w:rPr>
      </w:pPr>
    </w:p>
    <w:p w14:paraId="1D6B7228">
      <w:pPr>
        <w:autoSpaceDE w:val="0"/>
        <w:autoSpaceDN w:val="0"/>
        <w:jc w:val="center"/>
        <w:rPr>
          <w:rFonts w:ascii="宋体" w:hAnsi="宋体" w:cs="宋体"/>
          <w:b/>
          <w:color w:val="auto"/>
          <w:spacing w:val="6"/>
          <w:sz w:val="32"/>
          <w:szCs w:val="32"/>
          <w:highlight w:val="none"/>
        </w:rPr>
      </w:pPr>
    </w:p>
    <w:p w14:paraId="6DBBF78E">
      <w:pPr>
        <w:autoSpaceDE w:val="0"/>
        <w:autoSpaceDN w:val="0"/>
        <w:jc w:val="center"/>
        <w:rPr>
          <w:rFonts w:ascii="宋体" w:hAnsi="宋体" w:cs="宋体"/>
          <w:b/>
          <w:color w:val="auto"/>
          <w:spacing w:val="6"/>
          <w:sz w:val="32"/>
          <w:szCs w:val="32"/>
          <w:highlight w:val="none"/>
        </w:rPr>
      </w:pPr>
    </w:p>
    <w:p w14:paraId="43B4FA89">
      <w:pPr>
        <w:autoSpaceDE w:val="0"/>
        <w:autoSpaceDN w:val="0"/>
        <w:jc w:val="center"/>
        <w:rPr>
          <w:rFonts w:ascii="宋体" w:hAnsi="宋体" w:cs="宋体"/>
          <w:b/>
          <w:color w:val="auto"/>
          <w:spacing w:val="6"/>
          <w:sz w:val="32"/>
          <w:szCs w:val="32"/>
          <w:highlight w:val="none"/>
        </w:rPr>
      </w:pPr>
    </w:p>
    <w:p w14:paraId="431925D7">
      <w:pPr>
        <w:autoSpaceDE w:val="0"/>
        <w:autoSpaceDN w:val="0"/>
        <w:jc w:val="center"/>
        <w:rPr>
          <w:rFonts w:ascii="宋体" w:hAnsi="宋体" w:cs="宋体"/>
          <w:b/>
          <w:color w:val="auto"/>
          <w:spacing w:val="6"/>
          <w:sz w:val="32"/>
          <w:szCs w:val="32"/>
          <w:highlight w:val="none"/>
        </w:rPr>
      </w:pPr>
    </w:p>
    <w:p w14:paraId="092EB71E">
      <w:pPr>
        <w:autoSpaceDE w:val="0"/>
        <w:autoSpaceDN w:val="0"/>
        <w:jc w:val="center"/>
        <w:rPr>
          <w:rFonts w:ascii="宋体" w:hAnsi="宋体" w:cs="宋体"/>
          <w:b/>
          <w:color w:val="auto"/>
          <w:spacing w:val="6"/>
          <w:sz w:val="32"/>
          <w:szCs w:val="32"/>
          <w:highlight w:val="none"/>
        </w:rPr>
      </w:pPr>
    </w:p>
    <w:p w14:paraId="4CDD73CF">
      <w:pPr>
        <w:autoSpaceDE w:val="0"/>
        <w:autoSpaceDN w:val="0"/>
        <w:jc w:val="center"/>
        <w:rPr>
          <w:rFonts w:ascii="宋体" w:hAnsi="宋体" w:cs="宋体"/>
          <w:b/>
          <w:color w:val="auto"/>
          <w:spacing w:val="6"/>
          <w:sz w:val="32"/>
          <w:szCs w:val="32"/>
          <w:highlight w:val="none"/>
        </w:rPr>
      </w:pPr>
    </w:p>
    <w:p w14:paraId="0E8D2551">
      <w:pPr>
        <w:autoSpaceDE w:val="0"/>
        <w:autoSpaceDN w:val="0"/>
        <w:jc w:val="center"/>
        <w:rPr>
          <w:rFonts w:ascii="宋体" w:hAnsi="宋体" w:cs="宋体"/>
          <w:b/>
          <w:color w:val="auto"/>
          <w:spacing w:val="6"/>
          <w:sz w:val="32"/>
          <w:szCs w:val="32"/>
          <w:highlight w:val="none"/>
        </w:rPr>
      </w:pPr>
    </w:p>
    <w:p w14:paraId="28279C76">
      <w:pPr>
        <w:autoSpaceDE w:val="0"/>
        <w:autoSpaceDN w:val="0"/>
        <w:jc w:val="center"/>
        <w:rPr>
          <w:rFonts w:ascii="宋体" w:hAnsi="宋体" w:cs="宋体"/>
          <w:b/>
          <w:color w:val="auto"/>
          <w:spacing w:val="6"/>
          <w:sz w:val="32"/>
          <w:szCs w:val="32"/>
          <w:highlight w:val="none"/>
        </w:rPr>
      </w:pPr>
    </w:p>
    <w:p w14:paraId="4ABFFDA8">
      <w:pPr>
        <w:autoSpaceDE w:val="0"/>
        <w:autoSpaceDN w:val="0"/>
        <w:jc w:val="center"/>
        <w:rPr>
          <w:rFonts w:ascii="宋体" w:hAnsi="宋体" w:cs="宋体"/>
          <w:b/>
          <w:color w:val="auto"/>
          <w:spacing w:val="6"/>
          <w:sz w:val="32"/>
          <w:szCs w:val="32"/>
          <w:highlight w:val="none"/>
        </w:rPr>
      </w:pPr>
    </w:p>
    <w:p w14:paraId="39D59B1C">
      <w:pPr>
        <w:autoSpaceDE w:val="0"/>
        <w:autoSpaceDN w:val="0"/>
        <w:jc w:val="center"/>
        <w:rPr>
          <w:rFonts w:ascii="宋体" w:hAnsi="宋体" w:cs="宋体"/>
          <w:b/>
          <w:color w:val="auto"/>
          <w:spacing w:val="6"/>
          <w:sz w:val="32"/>
          <w:szCs w:val="32"/>
          <w:highlight w:val="none"/>
        </w:rPr>
      </w:pPr>
    </w:p>
    <w:p w14:paraId="09990887">
      <w:pPr>
        <w:autoSpaceDE w:val="0"/>
        <w:autoSpaceDN w:val="0"/>
        <w:jc w:val="center"/>
        <w:rPr>
          <w:rFonts w:ascii="宋体" w:hAnsi="宋体" w:cs="宋体"/>
          <w:b/>
          <w:color w:val="auto"/>
          <w:spacing w:val="6"/>
          <w:sz w:val="32"/>
          <w:szCs w:val="32"/>
          <w:highlight w:val="none"/>
        </w:rPr>
      </w:pPr>
    </w:p>
    <w:p w14:paraId="5E554349">
      <w:pPr>
        <w:autoSpaceDE w:val="0"/>
        <w:autoSpaceDN w:val="0"/>
        <w:jc w:val="center"/>
        <w:rPr>
          <w:rFonts w:ascii="宋体" w:hAnsi="宋体" w:cs="宋体"/>
          <w:b/>
          <w:color w:val="auto"/>
          <w:spacing w:val="6"/>
          <w:sz w:val="32"/>
          <w:szCs w:val="32"/>
          <w:highlight w:val="none"/>
        </w:rPr>
      </w:pPr>
    </w:p>
    <w:p w14:paraId="6536404A">
      <w:pPr>
        <w:autoSpaceDE w:val="0"/>
        <w:autoSpaceDN w:val="0"/>
        <w:jc w:val="center"/>
        <w:rPr>
          <w:rFonts w:ascii="宋体" w:hAnsi="宋体" w:cs="宋体"/>
          <w:b/>
          <w:color w:val="auto"/>
          <w:spacing w:val="6"/>
          <w:sz w:val="32"/>
          <w:szCs w:val="32"/>
          <w:highlight w:val="none"/>
        </w:rPr>
      </w:pPr>
    </w:p>
    <w:p w14:paraId="71E882E2">
      <w:pPr>
        <w:autoSpaceDE w:val="0"/>
        <w:autoSpaceDN w:val="0"/>
        <w:jc w:val="center"/>
        <w:rPr>
          <w:rFonts w:ascii="宋体" w:hAnsi="宋体" w:cs="宋体"/>
          <w:b/>
          <w:color w:val="auto"/>
          <w:spacing w:val="6"/>
          <w:sz w:val="32"/>
          <w:szCs w:val="32"/>
          <w:highlight w:val="none"/>
        </w:rPr>
      </w:pPr>
    </w:p>
    <w:p w14:paraId="594146A1">
      <w:pPr>
        <w:autoSpaceDE w:val="0"/>
        <w:autoSpaceDN w:val="0"/>
        <w:jc w:val="center"/>
        <w:rPr>
          <w:rFonts w:ascii="宋体" w:hAnsi="宋体" w:cs="宋体"/>
          <w:b/>
          <w:color w:val="auto"/>
          <w:spacing w:val="6"/>
          <w:sz w:val="32"/>
          <w:szCs w:val="32"/>
          <w:highlight w:val="none"/>
        </w:rPr>
      </w:pPr>
    </w:p>
    <w:p w14:paraId="66BC9F6C">
      <w:pPr>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附件</w:t>
      </w:r>
      <w:r>
        <w:rPr>
          <w:rFonts w:ascii="宋体" w:hAnsi="宋体" w:cs="宋体"/>
          <w:b/>
          <w:color w:val="auto"/>
          <w:sz w:val="32"/>
          <w:szCs w:val="32"/>
          <w:highlight w:val="none"/>
        </w:rPr>
        <w:t>7</w:t>
      </w:r>
      <w:r>
        <w:rPr>
          <w:rFonts w:hint="eastAsia" w:ascii="宋体" w:hAnsi="宋体" w:cs="宋体"/>
          <w:b/>
          <w:color w:val="auto"/>
          <w:sz w:val="32"/>
          <w:szCs w:val="32"/>
          <w:highlight w:val="none"/>
        </w:rPr>
        <w:t>：中小企业声明函</w:t>
      </w:r>
    </w:p>
    <w:p w14:paraId="091F92B4">
      <w:pPr>
        <w:spacing w:line="360" w:lineRule="auto"/>
        <w:jc w:val="center"/>
        <w:rPr>
          <w:rFonts w:ascii="宋体" w:hAnsi="宋体" w:cs="宋体"/>
          <w:color w:val="auto"/>
          <w:sz w:val="24"/>
          <w:highlight w:val="none"/>
          <w:u w:val="single"/>
        </w:rPr>
      </w:pPr>
    </w:p>
    <w:p w14:paraId="71416BE0">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4E24EA60">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87D7D2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3C87810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62C79CF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1783157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79ED8B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FBC6A7F">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14:paraId="2FA9303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808164A">
      <w:pPr>
        <w:spacing w:line="360" w:lineRule="auto"/>
        <w:ind w:right="420"/>
        <w:rPr>
          <w:rFonts w:ascii="宋体" w:hAnsi="宋体" w:cs="宋体"/>
          <w:color w:val="auto"/>
          <w:sz w:val="24"/>
          <w:highlight w:val="none"/>
        </w:rPr>
      </w:pPr>
    </w:p>
    <w:p w14:paraId="0F13307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67E7711B">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1AA31C2C">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2818D4DF">
      <w:pPr>
        <w:pStyle w:val="84"/>
        <w:rPr>
          <w:color w:val="auto"/>
          <w:highlight w:val="none"/>
        </w:rPr>
      </w:pPr>
    </w:p>
    <w:p w14:paraId="48FD5BF5">
      <w:pPr>
        <w:spacing w:line="360" w:lineRule="auto"/>
        <w:ind w:right="420"/>
        <w:rPr>
          <w:rFonts w:ascii="宋体" w:hAnsi="宋体" w:cs="宋体"/>
          <w:color w:val="auto"/>
          <w:highlight w:val="none"/>
        </w:rPr>
      </w:pPr>
      <w:r>
        <w:rPr>
          <w:rFonts w:ascii="宋体" w:hAnsi="宋体" w:cs="宋体"/>
          <w:color w:val="auto"/>
          <w:highlight w:val="none"/>
        </w:rPr>
        <w:br w:type="page"/>
      </w:r>
    </w:p>
    <w:p w14:paraId="1F5711B3">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附件8：关于符合本国产品标准的声明函</w:t>
      </w:r>
    </w:p>
    <w:p w14:paraId="16E42643">
      <w:pPr>
        <w:spacing w:line="360" w:lineRule="auto"/>
        <w:jc w:val="center"/>
        <w:rPr>
          <w:rFonts w:ascii="宋体" w:hAnsi="宋体" w:cs="宋体"/>
          <w:color w:val="auto"/>
          <w:sz w:val="24"/>
          <w:highlight w:val="none"/>
          <w:u w:val="single"/>
        </w:rPr>
      </w:pPr>
    </w:p>
    <w:p w14:paraId="12F04A8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关于符合本国产品标准的声明函</w:t>
      </w:r>
    </w:p>
    <w:p w14:paraId="6E4CD154">
      <w:pPr>
        <w:spacing w:line="360" w:lineRule="auto"/>
        <w:ind w:right="420" w:firstLine="480" w:firstLineChars="200"/>
        <w:rPr>
          <w:rFonts w:ascii="宋体" w:hAnsi="宋体" w:cs="宋体"/>
          <w:color w:val="auto"/>
          <w:sz w:val="24"/>
          <w:highlight w:val="none"/>
        </w:rPr>
      </w:pPr>
    </w:p>
    <w:p w14:paraId="00DDFA0E">
      <w:pPr>
        <w:spacing w:line="360" w:lineRule="auto"/>
        <w:ind w:right="420"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D289A7A">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（产品名称1）</w:t>
      </w:r>
      <w:r>
        <w:rPr>
          <w:rFonts w:hint="eastAsia" w:ascii="宋体" w:hAnsi="宋体" w:cs="宋体"/>
          <w:color w:val="auto"/>
          <w:sz w:val="24"/>
          <w:highlight w:val="none"/>
        </w:rPr>
        <w:t>1，生产厂为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2，厂址为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3。</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4在中国境内生产。</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5在中国境内完成。</w:t>
      </w:r>
    </w:p>
    <w:p w14:paraId="0122452C">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在中国境内完成。</w:t>
      </w:r>
    </w:p>
    <w:p w14:paraId="09B0E39F">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9AD2462">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2071FF56">
      <w:pPr>
        <w:spacing w:line="360" w:lineRule="auto"/>
        <w:ind w:right="420" w:firstLine="480" w:firstLineChars="200"/>
        <w:rPr>
          <w:rFonts w:ascii="宋体" w:hAnsi="宋体" w:cs="宋体"/>
          <w:color w:val="auto"/>
          <w:sz w:val="24"/>
          <w:highlight w:val="none"/>
        </w:rPr>
      </w:pPr>
    </w:p>
    <w:p w14:paraId="7687212D">
      <w:pPr>
        <w:spacing w:line="360" w:lineRule="auto"/>
        <w:ind w:right="420" w:firstLine="480" w:firstLineChars="200"/>
        <w:jc w:val="right"/>
        <w:rPr>
          <w:rFonts w:ascii="宋体" w:hAnsi="宋体" w:cs="宋体"/>
          <w:color w:val="auto"/>
          <w:sz w:val="24"/>
          <w:highlight w:val="none"/>
        </w:rPr>
      </w:pPr>
      <w:r>
        <w:rPr>
          <w:rFonts w:hint="eastAsia" w:ascii="宋体" w:hAnsi="宋体" w:cs="宋体"/>
          <w:color w:val="auto"/>
          <w:sz w:val="24"/>
          <w:highlight w:val="none"/>
        </w:rPr>
        <w:t>公司（单位）名称（盖章）：　</w:t>
      </w:r>
      <w:r>
        <w:rPr>
          <w:rFonts w:ascii="宋体" w:hAnsi="宋体" w:cs="宋体"/>
          <w:color w:val="auto"/>
          <w:sz w:val="24"/>
          <w:highlight w:val="none"/>
        </w:rPr>
        <w:t>        </w:t>
      </w:r>
    </w:p>
    <w:p w14:paraId="7E62A50C">
      <w:pPr>
        <w:spacing w:line="360" w:lineRule="auto"/>
        <w:ind w:right="180"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w:t>
      </w:r>
      <w:r>
        <w:rPr>
          <w:rFonts w:hint="eastAsia" w:ascii="宋体" w:hAnsi="宋体" w:cs="宋体"/>
          <w:color w:val="auto"/>
          <w:sz w:val="24"/>
          <w:highlight w:val="none"/>
        </w:rPr>
        <w:t xml:space="preserve">  </w:t>
      </w:r>
      <w:r>
        <w:rPr>
          <w:rFonts w:ascii="宋体" w:hAnsi="宋体" w:cs="宋体"/>
          <w:color w:val="auto"/>
          <w:sz w:val="24"/>
          <w:highlight w:val="none"/>
        </w:rPr>
        <w:t> </w:t>
      </w:r>
      <w:r>
        <w:rPr>
          <w:rFonts w:hint="eastAsia" w:ascii="宋体" w:hAnsi="宋体" w:cs="宋体"/>
          <w:color w:val="auto"/>
          <w:sz w:val="24"/>
          <w:highlight w:val="none"/>
        </w:rPr>
        <w:t>年 　</w:t>
      </w:r>
      <w:r>
        <w:rPr>
          <w:rFonts w:ascii="宋体" w:hAnsi="宋体" w:cs="宋体"/>
          <w:color w:val="auto"/>
          <w:sz w:val="24"/>
          <w:highlight w:val="none"/>
        </w:rPr>
        <w:t> </w:t>
      </w:r>
      <w:r>
        <w:rPr>
          <w:rFonts w:hint="eastAsia" w:ascii="宋体" w:hAnsi="宋体" w:cs="宋体"/>
          <w:color w:val="auto"/>
          <w:sz w:val="24"/>
          <w:highlight w:val="none"/>
        </w:rPr>
        <w:t xml:space="preserve">月　 </w:t>
      </w:r>
      <w:r>
        <w:rPr>
          <w:rFonts w:ascii="宋体" w:hAnsi="宋体" w:cs="宋体"/>
          <w:color w:val="auto"/>
          <w:sz w:val="24"/>
          <w:highlight w:val="none"/>
        </w:rPr>
        <w:t> </w:t>
      </w:r>
      <w:r>
        <w:rPr>
          <w:rFonts w:hint="eastAsia" w:ascii="宋体" w:hAnsi="宋体" w:cs="宋体"/>
          <w:color w:val="auto"/>
          <w:sz w:val="24"/>
          <w:highlight w:val="none"/>
        </w:rPr>
        <w:t>日</w:t>
      </w:r>
      <w:r>
        <w:rPr>
          <w:rFonts w:ascii="宋体" w:hAnsi="宋体" w:cs="宋体"/>
          <w:color w:val="auto"/>
          <w:sz w:val="24"/>
          <w:highlight w:val="none"/>
        </w:rPr>
        <w:t>         </w:t>
      </w:r>
    </w:p>
    <w:p w14:paraId="713188A3">
      <w:pPr>
        <w:spacing w:line="360" w:lineRule="auto"/>
        <w:ind w:right="420" w:firstLine="480" w:firstLineChars="200"/>
        <w:rPr>
          <w:rFonts w:ascii="宋体" w:hAnsi="宋体" w:cs="宋体"/>
          <w:color w:val="auto"/>
          <w:sz w:val="24"/>
          <w:highlight w:val="none"/>
        </w:rPr>
      </w:pPr>
    </w:p>
    <w:p w14:paraId="062FB715">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3C65364F">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1.产品如有型号，请在“产品名称”栏一并填写。</w:t>
      </w:r>
    </w:p>
    <w:p w14:paraId="701F7427">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2.生产厂名与厂址应与生产厂营业执照载明的相关信息保持一致。</w:t>
      </w:r>
    </w:p>
    <w:p w14:paraId="5A886709">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3.该产品的中国境内生产的组件成本占比相关要求实施前，“规定比例”栏可不填，下同。</w:t>
      </w:r>
    </w:p>
    <w:p w14:paraId="731AC0AC">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4.该产品的关键组件要求实施前，“关键组件”栏可不填，下同。</w:t>
      </w:r>
    </w:p>
    <w:p w14:paraId="7D12813E">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5.该产品的关键工序要求实施前，“关键工序”栏可不填，下同。</w:t>
      </w:r>
    </w:p>
    <w:p w14:paraId="114D4480">
      <w:pPr>
        <w:spacing w:line="360" w:lineRule="auto"/>
        <w:jc w:val="center"/>
        <w:rPr>
          <w:rFonts w:ascii="宋体" w:hAnsi="宋体" w:cs="宋体"/>
          <w:b/>
          <w:color w:val="auto"/>
          <w:sz w:val="32"/>
          <w:szCs w:val="32"/>
          <w:highlight w:val="none"/>
        </w:rPr>
      </w:pPr>
    </w:p>
    <w:p w14:paraId="237BA8D5">
      <w:pPr>
        <w:spacing w:line="360" w:lineRule="auto"/>
        <w:jc w:val="center"/>
        <w:rPr>
          <w:rFonts w:ascii="宋体" w:hAnsi="宋体" w:cs="宋体"/>
          <w:b/>
          <w:color w:val="auto"/>
          <w:sz w:val="32"/>
          <w:szCs w:val="32"/>
          <w:highlight w:val="none"/>
        </w:rPr>
      </w:pPr>
    </w:p>
    <w:p w14:paraId="76F3E40E">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附件9：关于符合本国产品标准的产品成本之和占所提供的全部产品成本之和的比例达到80%以上的声明函</w:t>
      </w:r>
    </w:p>
    <w:p w14:paraId="1C502378">
      <w:pPr>
        <w:spacing w:line="360" w:lineRule="auto"/>
        <w:jc w:val="center"/>
        <w:rPr>
          <w:rFonts w:ascii="宋体" w:hAnsi="宋体" w:cs="宋体"/>
          <w:b/>
          <w:color w:val="auto"/>
          <w:sz w:val="32"/>
          <w:szCs w:val="32"/>
          <w:highlight w:val="none"/>
        </w:rPr>
      </w:pPr>
    </w:p>
    <w:p w14:paraId="6567B64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关于符合本国产品标准的产品成本之和占所提供的全部产品成本之和的比例达到80%以上的声明函</w:t>
      </w:r>
    </w:p>
    <w:p w14:paraId="257ECAC1">
      <w:pPr>
        <w:spacing w:line="360" w:lineRule="auto"/>
        <w:ind w:right="420" w:firstLine="480" w:firstLineChars="200"/>
        <w:rPr>
          <w:rFonts w:ascii="宋体" w:hAnsi="宋体" w:cs="宋体"/>
          <w:color w:val="auto"/>
          <w:sz w:val="24"/>
          <w:highlight w:val="none"/>
        </w:rPr>
      </w:pPr>
    </w:p>
    <w:p w14:paraId="51D50450">
      <w:pPr>
        <w:spacing w:line="360" w:lineRule="auto"/>
        <w:ind w:right="420"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本次投标所提供的符合本国产品标准的产品成本之和占我公司（单位）本次投标所提供的全部产品（全部产品是指货物或服务采购项目或采购包中包含的全部货物、服务产品）成本之和的比例达到80%以上。</w:t>
      </w:r>
    </w:p>
    <w:p w14:paraId="60140BF9">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5A5C6A3A">
      <w:pPr>
        <w:spacing w:line="360" w:lineRule="auto"/>
        <w:ind w:right="420" w:firstLine="480" w:firstLineChars="200"/>
        <w:rPr>
          <w:rFonts w:ascii="宋体" w:hAnsi="宋体" w:cs="宋体"/>
          <w:color w:val="auto"/>
          <w:sz w:val="24"/>
          <w:highlight w:val="none"/>
        </w:rPr>
      </w:pPr>
    </w:p>
    <w:p w14:paraId="198699C0">
      <w:pPr>
        <w:spacing w:line="360" w:lineRule="auto"/>
        <w:ind w:right="420" w:firstLine="480" w:firstLineChars="200"/>
        <w:jc w:val="right"/>
        <w:rPr>
          <w:rFonts w:ascii="宋体" w:hAnsi="宋体" w:cs="宋体"/>
          <w:color w:val="auto"/>
          <w:sz w:val="24"/>
          <w:highlight w:val="none"/>
        </w:rPr>
      </w:pPr>
      <w:r>
        <w:rPr>
          <w:rFonts w:hint="eastAsia" w:ascii="宋体" w:hAnsi="宋体" w:cs="宋体"/>
          <w:color w:val="auto"/>
          <w:sz w:val="24"/>
          <w:highlight w:val="none"/>
        </w:rPr>
        <w:t>公司（单位）名称（盖章）：　</w:t>
      </w:r>
      <w:r>
        <w:rPr>
          <w:rFonts w:ascii="宋体" w:hAnsi="宋体" w:cs="宋体"/>
          <w:color w:val="auto"/>
          <w:sz w:val="24"/>
          <w:highlight w:val="none"/>
        </w:rPr>
        <w:t>        </w:t>
      </w:r>
    </w:p>
    <w:p w14:paraId="64E656D1">
      <w:pPr>
        <w:spacing w:line="360" w:lineRule="auto"/>
        <w:ind w:right="180"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w:t>
      </w:r>
      <w:r>
        <w:rPr>
          <w:rFonts w:hint="eastAsia" w:ascii="宋体" w:hAnsi="宋体" w:cs="宋体"/>
          <w:color w:val="auto"/>
          <w:sz w:val="24"/>
          <w:highlight w:val="none"/>
        </w:rPr>
        <w:t xml:space="preserve">  </w:t>
      </w:r>
      <w:r>
        <w:rPr>
          <w:rFonts w:ascii="宋体" w:hAnsi="宋体" w:cs="宋体"/>
          <w:color w:val="auto"/>
          <w:sz w:val="24"/>
          <w:highlight w:val="none"/>
        </w:rPr>
        <w:t> </w:t>
      </w:r>
      <w:r>
        <w:rPr>
          <w:rFonts w:hint="eastAsia" w:ascii="宋体" w:hAnsi="宋体" w:cs="宋体"/>
          <w:color w:val="auto"/>
          <w:sz w:val="24"/>
          <w:highlight w:val="none"/>
        </w:rPr>
        <w:t>年 　</w:t>
      </w:r>
      <w:r>
        <w:rPr>
          <w:rFonts w:ascii="宋体" w:hAnsi="宋体" w:cs="宋体"/>
          <w:color w:val="auto"/>
          <w:sz w:val="24"/>
          <w:highlight w:val="none"/>
        </w:rPr>
        <w:t> </w:t>
      </w:r>
      <w:r>
        <w:rPr>
          <w:rFonts w:hint="eastAsia" w:ascii="宋体" w:hAnsi="宋体" w:cs="宋体"/>
          <w:color w:val="auto"/>
          <w:sz w:val="24"/>
          <w:highlight w:val="none"/>
        </w:rPr>
        <w:t xml:space="preserve">月　 </w:t>
      </w:r>
      <w:r>
        <w:rPr>
          <w:rFonts w:ascii="宋体" w:hAnsi="宋体" w:cs="宋体"/>
          <w:color w:val="auto"/>
          <w:sz w:val="24"/>
          <w:highlight w:val="none"/>
        </w:rPr>
        <w:t> </w:t>
      </w:r>
      <w:r>
        <w:rPr>
          <w:rFonts w:hint="eastAsia" w:ascii="宋体" w:hAnsi="宋体" w:cs="宋体"/>
          <w:color w:val="auto"/>
          <w:sz w:val="24"/>
          <w:highlight w:val="none"/>
        </w:rPr>
        <w:t>日</w:t>
      </w:r>
      <w:r>
        <w:rPr>
          <w:rFonts w:ascii="宋体" w:hAnsi="宋体" w:cs="宋体"/>
          <w:color w:val="auto"/>
          <w:sz w:val="24"/>
          <w:highlight w:val="none"/>
        </w:rPr>
        <w:t>         </w:t>
      </w:r>
    </w:p>
    <w:p w14:paraId="06FFF504">
      <w:pPr>
        <w:spacing w:line="360" w:lineRule="auto"/>
        <w:ind w:right="420" w:firstLine="480" w:firstLineChars="200"/>
        <w:rPr>
          <w:rFonts w:ascii="宋体" w:hAnsi="宋体" w:cs="宋体"/>
          <w:color w:val="auto"/>
          <w:sz w:val="24"/>
          <w:highlight w:val="none"/>
        </w:rPr>
      </w:pPr>
    </w:p>
    <w:p w14:paraId="71725FE4">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53A5FE51">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1.本声明函须同时提供关于符合本国产品标准的声明函或财政部会同有关部门规定的有关证明文件，否则不享受价格扣除政策。</w:t>
      </w:r>
    </w:p>
    <w:p w14:paraId="04426496">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2.当采购项目或者采购包中含有多种产品，投标人拟享受该政策时提供。当采购项目或者采购包中仅含有单一产品时，无须提供本声明函。</w:t>
      </w:r>
    </w:p>
    <w:p w14:paraId="4557A419">
      <w:pPr>
        <w:spacing w:line="360" w:lineRule="auto"/>
        <w:jc w:val="center"/>
        <w:rPr>
          <w:rFonts w:ascii="宋体" w:hAnsi="宋体" w:cs="宋体"/>
          <w:b/>
          <w:color w:val="auto"/>
          <w:sz w:val="32"/>
          <w:szCs w:val="32"/>
          <w:highlight w:val="none"/>
        </w:rPr>
      </w:pPr>
    </w:p>
    <w:p w14:paraId="6ECF17F1">
      <w:pPr>
        <w:spacing w:line="360" w:lineRule="auto"/>
        <w:jc w:val="center"/>
        <w:rPr>
          <w:rFonts w:ascii="宋体" w:hAnsi="宋体" w:cs="宋体"/>
          <w:b/>
          <w:color w:val="auto"/>
          <w:sz w:val="32"/>
          <w:szCs w:val="32"/>
          <w:highlight w:val="none"/>
        </w:rPr>
      </w:pPr>
    </w:p>
    <w:p w14:paraId="1725237C">
      <w:pPr>
        <w:spacing w:line="360" w:lineRule="auto"/>
        <w:jc w:val="center"/>
        <w:rPr>
          <w:rFonts w:ascii="宋体" w:hAnsi="宋体" w:cs="宋体"/>
          <w:b/>
          <w:color w:val="auto"/>
          <w:sz w:val="32"/>
          <w:szCs w:val="32"/>
          <w:highlight w:val="none"/>
        </w:rPr>
      </w:pPr>
    </w:p>
    <w:p w14:paraId="4D5484FF">
      <w:pPr>
        <w:spacing w:line="360" w:lineRule="auto"/>
        <w:rPr>
          <w:rFonts w:ascii="宋体" w:hAnsi="宋体" w:cs="宋体"/>
          <w:bCs/>
          <w:color w:val="auto"/>
          <w:sz w:val="24"/>
          <w:highlight w:val="none"/>
        </w:rPr>
      </w:pPr>
    </w:p>
    <w:p w14:paraId="7FCAFEA8">
      <w:pPr>
        <w:spacing w:line="360" w:lineRule="auto"/>
        <w:rPr>
          <w:rFonts w:ascii="宋体" w:hAnsi="宋体" w:cs="宋体"/>
          <w:bCs/>
          <w:color w:val="auto"/>
          <w:sz w:val="24"/>
          <w:highlight w:val="none"/>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B37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8192">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39114FB">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DCF4C">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63C3C92">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821A">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BC9FED6">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D28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96FF511">
    <w:pPr>
      <w:rPr>
        <w:rFonts w:ascii="仿宋_GB2312" w:eastAsia="仿宋_GB2312"/>
        <w:szCs w:val="2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E198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319E">
    <w:pPr>
      <w:pStyle w:val="41"/>
      <w:framePr w:wrap="around" w:vAnchor="text" w:hAnchor="margin" w:xAlign="right" w:y="1"/>
      <w:rPr>
        <w:rStyle w:val="74"/>
      </w:rPr>
    </w:pPr>
    <w:r>
      <w:fldChar w:fldCharType="begin"/>
    </w:r>
    <w:r>
      <w:rPr>
        <w:rStyle w:val="74"/>
      </w:rPr>
      <w:instrText xml:space="preserve">PAGE  </w:instrText>
    </w:r>
    <w:r>
      <w:fldChar w:fldCharType="end"/>
    </w:r>
  </w:p>
  <w:p w14:paraId="204BA25F">
    <w:pPr>
      <w:pStyle w:val="41"/>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FFB3">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bookmarkStart w:id="425" w:name="_Toc131845147"/>
    <w:bookmarkStart w:id="426" w:name="_Toc164085800"/>
    <w:bookmarkStart w:id="427" w:name="_Toc36110187"/>
    <w:bookmarkStart w:id="428" w:name="_Toc91899912"/>
    <w:r>
      <w:rPr>
        <w:rFonts w:hint="eastAsia" w:ascii="仿宋_GB2312" w:eastAsia="仿宋_GB2312"/>
        <w:kern w:val="0"/>
        <w:sz w:val="21"/>
        <w:szCs w:val="21"/>
      </w:rPr>
      <w:t xml:space="preserve"> 页</w:t>
    </w:r>
    <w:bookmarkEnd w:id="425"/>
    <w:bookmarkEnd w:id="426"/>
    <w:bookmarkEnd w:id="427"/>
    <w:bookmarkEnd w:id="42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9031">
    <w:pPr>
      <w:pStyle w:val="41"/>
      <w:framePr w:wrap="around" w:vAnchor="text" w:hAnchor="margin" w:xAlign="right" w:y="1"/>
      <w:rPr>
        <w:rStyle w:val="74"/>
      </w:rPr>
    </w:pPr>
    <w:r>
      <w:fldChar w:fldCharType="begin"/>
    </w:r>
    <w:r>
      <w:rPr>
        <w:rStyle w:val="74"/>
      </w:rPr>
      <w:instrText xml:space="preserve">PAGE  </w:instrText>
    </w:r>
    <w:r>
      <w:fldChar w:fldCharType="end"/>
    </w:r>
  </w:p>
  <w:p w14:paraId="1BC81A0C">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7CFD">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35D85">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9575853">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DE932">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9B62AD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1C93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9DFFF8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C7FD4">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2604161">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D449">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29A0B21">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2D265">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DE26B74">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126B">
    <w:pPr>
      <w:pStyle w:val="42"/>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14:paraId="2A01D698">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8754B">
    <w:pPr>
      <w:pStyle w:val="42"/>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81D50">
    <w:pPr>
      <w:pStyle w:val="42"/>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14:paraId="0740F18B">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5B618">
    <w:pPr>
      <w:pStyle w:val="42"/>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26632">
    <w:pPr>
      <w:pStyle w:val="42"/>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EE778">
    <w:pPr>
      <w:pStyle w:val="42"/>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60B18">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2389">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2C770">
    <w:pPr>
      <w:pStyle w:val="42"/>
    </w:pPr>
    <w:r>
      <w:t></w:t>
    </w:r>
    <w:r>
      <w:rPr>
        <w:rFonts w:hint="eastAsia"/>
      </w:rPr>
      <w:t xml:space="preserve">         </w:t>
    </w:r>
  </w:p>
  <w:p w14:paraId="55EB704F">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3E85">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6BA7D">
    <w:pPr>
      <w:pStyle w:val="42"/>
    </w:pPr>
    <w:r>
      <w:t></w:t>
    </w:r>
    <w:r>
      <w:rPr>
        <w:rFonts w:hint="eastAsia"/>
      </w:rPr>
      <w:t xml:space="preserve">         </w:t>
    </w:r>
  </w:p>
  <w:p w14:paraId="3AD98243">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DECF">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5D31">
    <w:pPr>
      <w:pStyle w:val="42"/>
    </w:pPr>
    <w:r>
      <w:t></w:t>
    </w:r>
    <w:r>
      <w:rPr>
        <w:rFonts w:hint="eastAsia"/>
      </w:rPr>
      <w:t xml:space="preserve">         </w:t>
    </w:r>
  </w:p>
  <w:p w14:paraId="509C6CCE">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677D8">
    <w:pPr>
      <w:pStyle w:val="42"/>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14:paraId="0CA1378F">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FC1CA"/>
    <w:multiLevelType w:val="singleLevel"/>
    <w:tmpl w:val="02FFC1CA"/>
    <w:lvl w:ilvl="0" w:tentative="0">
      <w:start w:val="6"/>
      <w:numFmt w:val="chineseCounting"/>
      <w:suff w:val="space"/>
      <w:lvlText w:val="第%1条"/>
      <w:lvlJc w:val="left"/>
      <w:rPr>
        <w:rFonts w:hint="eastAsia"/>
      </w:rPr>
    </w:lvl>
  </w:abstractNum>
  <w:abstractNum w:abstractNumId="1">
    <w:nsid w:val="0FA9BD54"/>
    <w:multiLevelType w:val="singleLevel"/>
    <w:tmpl w:val="0FA9BD54"/>
    <w:lvl w:ilvl="0" w:tentative="0">
      <w:start w:val="8"/>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C71"/>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37A96"/>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2F0"/>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5850"/>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878"/>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2FA2"/>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396"/>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556"/>
    <w:rsid w:val="006E37C6"/>
    <w:rsid w:val="006E3B57"/>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C5C"/>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189"/>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1E7F"/>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39F5"/>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582"/>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0DA"/>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1FB1"/>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CE9"/>
    <w:rsid w:val="00A41D73"/>
    <w:rsid w:val="00A42406"/>
    <w:rsid w:val="00A42A74"/>
    <w:rsid w:val="00A433E8"/>
    <w:rsid w:val="00A43A1D"/>
    <w:rsid w:val="00A43AB0"/>
    <w:rsid w:val="00A44854"/>
    <w:rsid w:val="00A44A45"/>
    <w:rsid w:val="00A454ED"/>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20B"/>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AB9"/>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36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2A9"/>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20"/>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6F43"/>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2F8"/>
    <w:rsid w:val="00EB2635"/>
    <w:rsid w:val="00EB2961"/>
    <w:rsid w:val="00EB2E1A"/>
    <w:rsid w:val="00EB2F8A"/>
    <w:rsid w:val="00EB3268"/>
    <w:rsid w:val="00EB3298"/>
    <w:rsid w:val="00EB3939"/>
    <w:rsid w:val="00EB3CE6"/>
    <w:rsid w:val="00EB3E92"/>
    <w:rsid w:val="00EB5435"/>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97D"/>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C4A"/>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D177F6"/>
    <w:rsid w:val="04F66F48"/>
    <w:rsid w:val="05251E14"/>
    <w:rsid w:val="05A16594"/>
    <w:rsid w:val="05A7762D"/>
    <w:rsid w:val="060E5941"/>
    <w:rsid w:val="06110FAF"/>
    <w:rsid w:val="06493CA7"/>
    <w:rsid w:val="065A6178"/>
    <w:rsid w:val="066F1CF3"/>
    <w:rsid w:val="06930BB8"/>
    <w:rsid w:val="07245D42"/>
    <w:rsid w:val="07264C62"/>
    <w:rsid w:val="07571DAC"/>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B64715"/>
    <w:rsid w:val="09C13146"/>
    <w:rsid w:val="09E04166"/>
    <w:rsid w:val="0A0A75A9"/>
    <w:rsid w:val="0A1C0718"/>
    <w:rsid w:val="0A3E7710"/>
    <w:rsid w:val="0A5B7E63"/>
    <w:rsid w:val="0AA374A5"/>
    <w:rsid w:val="0AAB7649"/>
    <w:rsid w:val="0ABC5606"/>
    <w:rsid w:val="0B0C7351"/>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A224A6"/>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C434B3"/>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223685"/>
    <w:rsid w:val="245375B0"/>
    <w:rsid w:val="24642C0A"/>
    <w:rsid w:val="24996DA2"/>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4A7468"/>
    <w:rsid w:val="30733ACD"/>
    <w:rsid w:val="308C3862"/>
    <w:rsid w:val="309379D8"/>
    <w:rsid w:val="30A270F7"/>
    <w:rsid w:val="30DF1478"/>
    <w:rsid w:val="30EC586F"/>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6EF2948"/>
    <w:rsid w:val="373F410B"/>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6351CB"/>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3B7BE9"/>
    <w:rsid w:val="3E42664B"/>
    <w:rsid w:val="3E5A7334"/>
    <w:rsid w:val="3E7B5D6B"/>
    <w:rsid w:val="3E843E66"/>
    <w:rsid w:val="3E8F51FE"/>
    <w:rsid w:val="3E926F87"/>
    <w:rsid w:val="3E9A59DE"/>
    <w:rsid w:val="3EAF4836"/>
    <w:rsid w:val="3EC33DFA"/>
    <w:rsid w:val="3F060E16"/>
    <w:rsid w:val="3F1D1096"/>
    <w:rsid w:val="3F2F0234"/>
    <w:rsid w:val="3F4A2440"/>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9C4CC6"/>
    <w:rsid w:val="44DE1391"/>
    <w:rsid w:val="451B225C"/>
    <w:rsid w:val="452410C9"/>
    <w:rsid w:val="452B6605"/>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707271"/>
    <w:rsid w:val="4B9739F7"/>
    <w:rsid w:val="4BEE2503"/>
    <w:rsid w:val="4C245A30"/>
    <w:rsid w:val="4C9444D5"/>
    <w:rsid w:val="4CB6685F"/>
    <w:rsid w:val="4CC367FE"/>
    <w:rsid w:val="4D077F3C"/>
    <w:rsid w:val="4D123355"/>
    <w:rsid w:val="4D2A3B31"/>
    <w:rsid w:val="4D312C52"/>
    <w:rsid w:val="4D905305"/>
    <w:rsid w:val="4D964A72"/>
    <w:rsid w:val="4D9C1254"/>
    <w:rsid w:val="4DD74506"/>
    <w:rsid w:val="4E793892"/>
    <w:rsid w:val="4E800872"/>
    <w:rsid w:val="4EC569ED"/>
    <w:rsid w:val="4ED50EA1"/>
    <w:rsid w:val="4ED8794B"/>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43CB0"/>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7C523D"/>
    <w:rsid w:val="5D891B7B"/>
    <w:rsid w:val="5DAD38EE"/>
    <w:rsid w:val="5E006862"/>
    <w:rsid w:val="5E0207B9"/>
    <w:rsid w:val="5E1834A1"/>
    <w:rsid w:val="5E261785"/>
    <w:rsid w:val="5E416D53"/>
    <w:rsid w:val="5E4A7017"/>
    <w:rsid w:val="5E552BBA"/>
    <w:rsid w:val="5E611C10"/>
    <w:rsid w:val="5E7A0F3F"/>
    <w:rsid w:val="5E8474C7"/>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186777"/>
    <w:rsid w:val="653C3090"/>
    <w:rsid w:val="65854376"/>
    <w:rsid w:val="658767BE"/>
    <w:rsid w:val="65892531"/>
    <w:rsid w:val="65DC0F6F"/>
    <w:rsid w:val="66195831"/>
    <w:rsid w:val="662E75B1"/>
    <w:rsid w:val="66342C2E"/>
    <w:rsid w:val="663E784C"/>
    <w:rsid w:val="668B6A45"/>
    <w:rsid w:val="67011F07"/>
    <w:rsid w:val="672F3F24"/>
    <w:rsid w:val="673E055F"/>
    <w:rsid w:val="67551CE3"/>
    <w:rsid w:val="67631BAC"/>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D221B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B51C0E"/>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5B4DC7"/>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adjustRightInd/>
      <w:ind w:firstLine="200" w:firstLineChars="200"/>
    </w:pPr>
    <w:rPr>
      <w:rFonts w:ascii="Arial" w:hAnsi="Arial"/>
      <w:spacing w:val="-5"/>
      <w:kern w:val="0"/>
      <w:sz w:val="24"/>
      <w:szCs w:val="20"/>
    </w:rPr>
  </w:style>
  <w:style w:type="paragraph" w:styleId="6">
    <w:name w:val="Normal Indent"/>
    <w:basedOn w:val="1"/>
    <w:next w:val="1"/>
    <w:link w:val="192"/>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index 8"/>
    <w:basedOn w:val="1"/>
    <w:next w:val="1"/>
    <w:qFormat/>
    <w:uiPriority w:val="0"/>
    <w:pPr>
      <w:ind w:left="2940"/>
    </w:pPr>
    <w:rPr>
      <w:rFonts w:ascii="Book Antiqua" w:hAnsi="Book Antiqua" w:cs="Book Antiqua"/>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8"/>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1"/>
    <w:qFormat/>
    <w:uiPriority w:val="0"/>
    <w:pPr>
      <w:shd w:val="clear" w:color="auto" w:fill="000080"/>
    </w:pPr>
  </w:style>
  <w:style w:type="paragraph" w:styleId="21">
    <w:name w:val="annotation text"/>
    <w:basedOn w:val="1"/>
    <w:link w:val="343"/>
    <w:qFormat/>
    <w:uiPriority w:val="0"/>
    <w:pPr>
      <w:jc w:val="left"/>
    </w:pPr>
  </w:style>
  <w:style w:type="paragraph" w:styleId="22">
    <w:name w:val="Salutation"/>
    <w:basedOn w:val="1"/>
    <w:next w:val="1"/>
    <w:link w:val="297"/>
    <w:qFormat/>
    <w:uiPriority w:val="0"/>
    <w:rPr>
      <w:rFonts w:ascii="仿宋_GB2312" w:eastAsia="仿宋_GB2312"/>
      <w:sz w:val="28"/>
      <w:szCs w:val="20"/>
    </w:rPr>
  </w:style>
  <w:style w:type="paragraph" w:styleId="23">
    <w:name w:val="Body Text 3"/>
    <w:basedOn w:val="1"/>
    <w:link w:val="329"/>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link w:val="429"/>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link w:val="264"/>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8"/>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6"/>
    <w:link w:val="124"/>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0"/>
    <w:qFormat/>
    <w:uiPriority w:val="0"/>
    <w:pPr>
      <w:ind w:left="100" w:leftChars="2500"/>
    </w:pPr>
    <w:rPr>
      <w:rFonts w:ascii="宋体"/>
      <w:sz w:val="24"/>
      <w:szCs w:val="21"/>
      <w:lang w:val="zh-CN"/>
    </w:rPr>
  </w:style>
  <w:style w:type="paragraph" w:styleId="38">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87"/>
    <w:qFormat/>
    <w:uiPriority w:val="0"/>
    <w:rPr>
      <w:sz w:val="18"/>
      <w:szCs w:val="18"/>
    </w:rPr>
  </w:style>
  <w:style w:type="paragraph" w:styleId="41">
    <w:name w:val="footer"/>
    <w:basedOn w:val="1"/>
    <w:link w:val="382"/>
    <w:qFormat/>
    <w:uiPriority w:val="99"/>
    <w:pPr>
      <w:tabs>
        <w:tab w:val="center" w:pos="4153"/>
        <w:tab w:val="right" w:pos="8306"/>
      </w:tabs>
      <w:snapToGrid w:val="0"/>
      <w:jc w:val="left"/>
    </w:pPr>
    <w:rPr>
      <w:sz w:val="18"/>
      <w:szCs w:val="18"/>
    </w:rPr>
  </w:style>
  <w:style w:type="paragraph" w:styleId="42">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6"/>
    <w:link w:val="309"/>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4"/>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1"/>
    <w:qFormat/>
    <w:uiPriority w:val="0"/>
    <w:pPr>
      <w:spacing w:after="120" w:line="480" w:lineRule="auto"/>
    </w:pPr>
  </w:style>
  <w:style w:type="paragraph" w:styleId="58">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5"/>
    <w:qFormat/>
    <w:uiPriority w:val="0"/>
    <w:rPr>
      <w:b/>
      <w:bCs/>
    </w:rPr>
  </w:style>
  <w:style w:type="paragraph" w:styleId="62">
    <w:name w:val="Body Text First Indent"/>
    <w:basedOn w:val="25"/>
    <w:link w:val="320"/>
    <w:qFormat/>
    <w:uiPriority w:val="0"/>
    <w:pPr>
      <w:ind w:firstLine="420"/>
    </w:pPr>
    <w:rPr>
      <w:rFonts w:hAnsi="Calibri" w:cs="Times New Roman"/>
      <w:snapToGrid/>
      <w:szCs w:val="20"/>
    </w:rPr>
  </w:style>
  <w:style w:type="paragraph" w:styleId="63">
    <w:name w:val="Body Text First Indent 2"/>
    <w:basedOn w:val="1"/>
    <w:link w:val="120"/>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spacing w:line="360" w:lineRule="auto"/>
      <w:ind w:firstLine="482"/>
      <w:jc w:val="left"/>
    </w:pPr>
    <w:rPr>
      <w:rFonts w:ascii="宋体" w:hAnsi="宋体"/>
      <w:kern w:val="0"/>
      <w:sz w:val="24"/>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sz w:val="24"/>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Char1"/>
    <w:link w:val="61"/>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spacing w:line="360" w:lineRule="auto"/>
      <w:ind w:firstLine="200" w:firstLineChars="200"/>
    </w:pPr>
    <w:rPr>
      <w:rFonts w:ascii="宋体" w:hAnsi="宋体"/>
      <w:sz w:val="24"/>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首行缩进 2 Char"/>
    <w:link w:val="63"/>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71"/>
    <w:qFormat/>
    <w:uiPriority w:val="0"/>
    <w:rPr>
      <w:rFonts w:ascii="Arial" w:hAnsi="Arial" w:eastAsia="黑体" w:cs="Arial"/>
      <w:snapToGrid w:val="0"/>
      <w:kern w:val="0"/>
      <w:szCs w:val="21"/>
    </w:rPr>
  </w:style>
  <w:style w:type="character" w:customStyle="1" w:styleId="124">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line="360" w:lineRule="auto"/>
      <w:ind w:firstLine="510" w:firstLineChars="200"/>
    </w:pPr>
    <w:rPr>
      <w:sz w:val="24"/>
      <w:szCs w:val="20"/>
    </w:rPr>
  </w:style>
  <w:style w:type="character" w:customStyle="1" w:styleId="131">
    <w:name w:val="Char Char24"/>
    <w:qFormat/>
    <w:uiPriority w:val="6"/>
    <w:rPr>
      <w:kern w:val="1"/>
      <w:sz w:val="21"/>
    </w:rPr>
  </w:style>
  <w:style w:type="character" w:customStyle="1" w:styleId="132">
    <w:name w:val="副标题 Char"/>
    <w:link w:val="48"/>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Char"/>
    <w:link w:val="9"/>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99"/>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4"/>
    <w:link w:val="16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Char"/>
    <w:link w:val="37"/>
    <w:qFormat/>
    <w:uiPriority w:val="0"/>
    <w:rPr>
      <w:rFonts w:ascii="宋体"/>
      <w:kern w:val="2"/>
      <w:sz w:val="24"/>
      <w:szCs w:val="21"/>
      <w:lang w:val="zh-CN"/>
    </w:rPr>
  </w:style>
  <w:style w:type="character" w:customStyle="1" w:styleId="181">
    <w:name w:val="标题 9 Char"/>
    <w:link w:val="12"/>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99"/>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Char"/>
    <w:link w:val="40"/>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6"/>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Char1"/>
    <w:link w:val="20"/>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71"/>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Char"/>
    <w:link w:val="31"/>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7"/>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Char"/>
    <w:link w:val="18"/>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6"/>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3"/>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0"/>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8"/>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2"/>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8"/>
    <w:qFormat/>
    <w:uiPriority w:val="0"/>
    <w:rPr>
      <w:rFonts w:ascii="黑体" w:hAnsi="Courier New" w:eastAsia="黑体"/>
    </w:rPr>
  </w:style>
  <w:style w:type="character" w:customStyle="1" w:styleId="301">
    <w:name w:val="正文文本 2 Char1"/>
    <w:link w:val="57"/>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7"/>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10"/>
    <w:qFormat/>
    <w:uiPriority w:val="0"/>
    <w:rPr>
      <w:b/>
      <w:bCs/>
      <w:kern w:val="2"/>
      <w:sz w:val="24"/>
      <w:szCs w:val="24"/>
    </w:rPr>
  </w:style>
  <w:style w:type="character" w:customStyle="1" w:styleId="307">
    <w:name w:val="正文文本缩进 2 Char"/>
    <w:link w:val="38"/>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1"/>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62"/>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7"/>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3"/>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1"/>
    <w:qFormat/>
    <w:uiPriority w:val="99"/>
    <w:rPr>
      <w:kern w:val="2"/>
      <w:sz w:val="21"/>
      <w:szCs w:val="24"/>
    </w:rPr>
  </w:style>
  <w:style w:type="character" w:customStyle="1" w:styleId="344">
    <w:name w:val="签名 Char"/>
    <w:link w:val="43"/>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1"/>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4"/>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1"/>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2"/>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1"/>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6"/>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0">
    <w:name w:val="gray6"/>
    <w:basedOn w:val="71"/>
    <w:qFormat/>
    <w:uiPriority w:val="0"/>
    <w:rPr>
      <w:rFonts w:ascii="Arial" w:hAnsi="Arial" w:eastAsia="黑体" w:cs="Arial"/>
      <w:snapToGrid w:val="0"/>
      <w:kern w:val="0"/>
      <w:szCs w:val="21"/>
    </w:rPr>
  </w:style>
  <w:style w:type="character" w:customStyle="1" w:styleId="431">
    <w:name w:val="hui"/>
    <w:basedOn w:val="71"/>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7"/>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4"/>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5"/>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8"/>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5"/>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7"/>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4"/>
    <w:next w:val="234"/>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4"/>
    <w:next w:val="234"/>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7"/>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3"/>
    <w:qFormat/>
    <w:uiPriority w:val="0"/>
    <w:pPr>
      <w:tabs>
        <w:tab w:val="left" w:pos="840"/>
      </w:tabs>
      <w:adjustRightInd/>
      <w:ind w:left="840" w:hanging="420"/>
    </w:pPr>
  </w:style>
  <w:style w:type="paragraph" w:customStyle="1" w:styleId="624">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7"/>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5"/>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20"/>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8"/>
    <w:next w:val="1"/>
    <w:qFormat/>
    <w:uiPriority w:val="0"/>
    <w:pPr>
      <w:tabs>
        <w:tab w:val="left" w:pos="1080"/>
      </w:tabs>
      <w:ind w:left="1080" w:hanging="1080"/>
    </w:pPr>
  </w:style>
  <w:style w:type="paragraph" w:customStyle="1" w:styleId="895">
    <w:name w:val="数字标题1"/>
    <w:basedOn w:val="3"/>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7"/>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1"/>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C0F1E-588E-4294-BC6B-557906210F64}">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151</Pages>
  <Words>12675</Words>
  <Characters>14005</Characters>
  <Lines>704</Lines>
  <Paragraphs>198</Paragraphs>
  <TotalTime>200</TotalTime>
  <ScaleCrop>false</ScaleCrop>
  <LinksUpToDate>false</LinksUpToDate>
  <CharactersWithSpaces>14368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Kid</cp:lastModifiedBy>
  <cp:lastPrinted>2026-06-01T01:55:00Z</cp:lastPrinted>
  <dcterms:modified xsi:type="dcterms:W3CDTF">2026-06-01T09:06:05Z</dcterms:modified>
  <dc:title>北海市政府采购中心</dc:title>
  <cp:revision>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58ACDCF6B57D4E9DB745BCCD1BF5E87F_13</vt:lpwstr>
  </property>
  <property fmtid="{D5CDD505-2E9C-101B-9397-08002B2CF9AE}" pid="5" name="KSOTemplateDocerSaveRecord">
    <vt:lpwstr>eyJoZGlkIjoiMGY4NjY5NmM1N2JkNWYwMjI3YzU1MzVmYmQxODI4ODIiLCJ1c2VySWQiOiI3MTc0OTU0ODEifQ==</vt:lpwstr>
  </property>
</Properties>
</file>