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2DAB0">
      <w:pPr>
        <w:jc w:val="center"/>
        <w:rPr>
          <w:rFonts w:hint="eastAsia" w:ascii="仿宋" w:hAnsi="仿宋" w:eastAsia="仿宋" w:cs="仿宋"/>
          <w:lang w:val="en-US" w:eastAsia="zh-CN"/>
        </w:rPr>
      </w:pPr>
      <w:r>
        <w:rPr>
          <w:rFonts w:hint="eastAsia" w:ascii="仿宋" w:hAnsi="仿宋" w:eastAsia="仿宋" w:cs="仿宋"/>
          <w:lang w:val="en-US" w:eastAsia="zh-CN"/>
        </w:rPr>
        <w:t>主要标的信息</w:t>
      </w:r>
    </w:p>
    <w:tbl>
      <w:tblPr>
        <w:tblStyle w:val="10"/>
        <w:tblW w:w="9168"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8"/>
        <w:gridCol w:w="4212"/>
        <w:gridCol w:w="1575"/>
        <w:gridCol w:w="1038"/>
        <w:gridCol w:w="759"/>
      </w:tblGrid>
      <w:tr w14:paraId="0232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86" w:type="dxa"/>
            <w:noWrap w:val="0"/>
            <w:vAlign w:val="center"/>
          </w:tcPr>
          <w:p w14:paraId="2F21CEF5">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序号</w:t>
            </w:r>
          </w:p>
        </w:tc>
        <w:tc>
          <w:tcPr>
            <w:tcW w:w="898" w:type="dxa"/>
            <w:noWrap w:val="0"/>
            <w:vAlign w:val="center"/>
          </w:tcPr>
          <w:p w14:paraId="32A931B8">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服务名称</w:t>
            </w:r>
          </w:p>
        </w:tc>
        <w:tc>
          <w:tcPr>
            <w:tcW w:w="4212" w:type="dxa"/>
            <w:noWrap w:val="0"/>
            <w:vAlign w:val="center"/>
          </w:tcPr>
          <w:p w14:paraId="302DB048">
            <w:pPr>
              <w:pStyle w:val="13"/>
              <w:spacing w:line="240" w:lineRule="auto"/>
              <w:jc w:val="center"/>
              <w:rPr>
                <w:rFonts w:hint="default"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服务范围</w:t>
            </w:r>
          </w:p>
        </w:tc>
        <w:tc>
          <w:tcPr>
            <w:tcW w:w="1575" w:type="dxa"/>
            <w:noWrap w:val="0"/>
            <w:vAlign w:val="center"/>
          </w:tcPr>
          <w:p w14:paraId="5C423864">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服务要求</w:t>
            </w:r>
          </w:p>
        </w:tc>
        <w:tc>
          <w:tcPr>
            <w:tcW w:w="1038" w:type="dxa"/>
            <w:noWrap w:val="0"/>
            <w:vAlign w:val="center"/>
          </w:tcPr>
          <w:p w14:paraId="05D17FFA">
            <w:pPr>
              <w:pStyle w:val="13"/>
              <w:spacing w:line="240" w:lineRule="auto"/>
              <w:jc w:val="center"/>
              <w:rPr>
                <w:rFonts w:hint="default"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服务时间</w:t>
            </w:r>
          </w:p>
        </w:tc>
        <w:tc>
          <w:tcPr>
            <w:tcW w:w="759" w:type="dxa"/>
            <w:noWrap w:val="0"/>
            <w:vAlign w:val="center"/>
          </w:tcPr>
          <w:p w14:paraId="0C776F75">
            <w:pPr>
              <w:pStyle w:val="13"/>
              <w:spacing w:line="240" w:lineRule="auto"/>
              <w:jc w:val="center"/>
              <w:rPr>
                <w:rFonts w:hint="default"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服务标准</w:t>
            </w:r>
          </w:p>
        </w:tc>
      </w:tr>
      <w:tr w14:paraId="21C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686" w:type="dxa"/>
            <w:noWrap w:val="0"/>
            <w:vAlign w:val="center"/>
          </w:tcPr>
          <w:p w14:paraId="242ABDA3">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1</w:t>
            </w:r>
          </w:p>
        </w:tc>
        <w:tc>
          <w:tcPr>
            <w:tcW w:w="898" w:type="dxa"/>
            <w:noWrap w:val="0"/>
            <w:vAlign w:val="center"/>
          </w:tcPr>
          <w:p w14:paraId="4AC37B7C">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2026—2028年城区垃圾中转站服务外包采购项目</w:t>
            </w:r>
          </w:p>
        </w:tc>
        <w:tc>
          <w:tcPr>
            <w:tcW w:w="4212" w:type="dxa"/>
            <w:noWrap w:val="0"/>
            <w:vAlign w:val="center"/>
          </w:tcPr>
          <w:p w14:paraId="270FB70C">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外包内容为11座垃圾中转站及其配套公厕的运行管理、垃圾清运、所有固定资产的使用管理等内容，具体包括：11座垃圾中转站的运行管理及其公共服务管理，接纳、压缩生活垃圾以及转运到防城港市生活垃圾焚烧发电厂或采购人指定场所，中转站配套公厕的运营管理、保洁、维护和维修，设施设备及垃圾运输车辆等与垃圾中转站有关的所有固定资产的使用、管理、维护和维修等全部工作。11座垃圾中转站分别是广场垃圾中转站、中间山垃圾中转站、健民路垃圾中转站、高铁垃圾中转站、插排尾垃圾中转站、中华路垃圾中转站、凯乐路垃圾中转站、渔洲坪垃圾中转站、常山路垃圾中转站、港湾街垃圾中转站、白浪滩垃圾中转站。</w:t>
            </w:r>
          </w:p>
          <w:p w14:paraId="0248841B">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在服务期间，中标人负责对固定资产（设施设备及垃圾运输车辆等与垃圾中转站有关的所有固定资产）的使用、管理与维护。在服务期满，移交采购人前，中标人要保证所有的固定资产均处于良好状态、功能完好、能正常使用。</w:t>
            </w:r>
          </w:p>
          <w:p w14:paraId="51B55598">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在服务期间，固定资产如有损坏的，中标人必须负责维修，确保设施设备或车辆处于良好运转状态，如需要增加或重新采购设施设备或车辆的，在征得采购人同意后，由中标人负责投资采购并在服务期满后自行处理。</w:t>
            </w:r>
          </w:p>
          <w:p w14:paraId="61D63923">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在服务期间，负责中转站及其周边的环境管理，环境卫生清理，设施维护和维修。</w:t>
            </w:r>
          </w:p>
          <w:p w14:paraId="7418FD95">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在服务期间，如有新增或减少投产运行的垃圾中转站（含配套设备、车辆）的，全部纳入服务外包范围，而外包服务费不再另行调整，固定资产使用租金也不作调整。</w:t>
            </w:r>
          </w:p>
        </w:tc>
        <w:tc>
          <w:tcPr>
            <w:tcW w:w="1575" w:type="dxa"/>
            <w:noWrap w:val="0"/>
            <w:vAlign w:val="center"/>
          </w:tcPr>
          <w:p w14:paraId="6B0EDF6F">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同本项目招标文件中的有关要求，具体内容详见招标文件。</w:t>
            </w:r>
          </w:p>
        </w:tc>
        <w:tc>
          <w:tcPr>
            <w:tcW w:w="1038" w:type="dxa"/>
            <w:noWrap w:val="0"/>
            <w:vAlign w:val="center"/>
          </w:tcPr>
          <w:p w14:paraId="5D8FB5A2">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暂定服务期限自2026年5月1日起共3年，具体起止时间以合同约定为准。</w:t>
            </w:r>
          </w:p>
        </w:tc>
        <w:tc>
          <w:tcPr>
            <w:tcW w:w="759" w:type="dxa"/>
            <w:noWrap w:val="0"/>
            <w:vAlign w:val="center"/>
          </w:tcPr>
          <w:p w14:paraId="57A68372">
            <w:pPr>
              <w:pStyle w:val="13"/>
              <w:spacing w:line="240" w:lineRule="auto"/>
              <w:jc w:val="center"/>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同本项目招标文件中的有关要求，具体内容详见招标文件。</w:t>
            </w:r>
          </w:p>
        </w:tc>
      </w:tr>
    </w:tbl>
    <w:p w14:paraId="3B5DAE12">
      <w:pPr>
        <w:jc w:val="both"/>
        <w:rPr>
          <w:rFonts w:hint="eastAsia" w:ascii="仿宋" w:hAnsi="仿宋" w:eastAsia="仿宋" w:cs="仿宋"/>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071D01DE"/>
    <w:rsid w:val="0AC11FF4"/>
    <w:rsid w:val="16A20D8F"/>
    <w:rsid w:val="1C4C6724"/>
    <w:rsid w:val="383D0C57"/>
    <w:rsid w:val="483325FB"/>
    <w:rsid w:val="51092953"/>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paragraph" w:styleId="4">
    <w:name w:val="heading 3"/>
    <w:next w:val="1"/>
    <w:unhideWhenUsed/>
    <w:qFormat/>
    <w:uiPriority w:val="9"/>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jc w:val="both"/>
    </w:pPr>
    <w:rPr>
      <w:rFonts w:ascii="金山简黑体" w:hAnsi="Courier New" w:eastAsia="金山简黑体" w:cs="Times New Roman"/>
      <w:b/>
      <w:spacing w:val="-8"/>
      <w:kern w:val="2"/>
      <w:sz w:val="44"/>
      <w:szCs w:val="20"/>
      <w:lang w:val="en-US" w:eastAsia="zh-CN" w:bidi="ar-SA"/>
    </w:rPr>
  </w:style>
  <w:style w:type="paragraph" w:styleId="5">
    <w:name w:val="Body Text Indent 2"/>
    <w:qFormat/>
    <w:uiPriority w:val="0"/>
    <w:pPr>
      <w:widowControl w:val="0"/>
      <w:ind w:firstLine="630"/>
      <w:jc w:val="both"/>
    </w:pPr>
    <w:rPr>
      <w:rFonts w:ascii="Times New Roman" w:hAnsi="Times New Roman" w:eastAsia="宋体" w:cs="Times New Roman"/>
      <w:kern w:val="0"/>
      <w:sz w:val="32"/>
      <w:szCs w:val="20"/>
      <w:lang w:val="en-US" w:eastAsia="zh-CN" w:bidi="ar-SA"/>
    </w:rPr>
  </w:style>
  <w:style w:type="paragraph" w:styleId="6">
    <w:name w:val="footer"/>
    <w:next w:val="1"/>
    <w:unhideWhenUsed/>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投标正文"/>
    <w:basedOn w:val="1"/>
    <w:qFormat/>
    <w:uiPriority w:val="0"/>
    <w:pPr>
      <w:spacing w:line="360" w:lineRule="auto"/>
      <w:ind w:firstLine="480" w:firstLineChars="200"/>
      <w:contextualSpacing/>
    </w:pPr>
    <w:rPr>
      <w:rFonts w:hint="eastAsia" w:ascii="宋体" w:hAnsi="宋体" w:eastAsia="仿宋"/>
      <w:color w:val="auto"/>
      <w:sz w:val="24"/>
    </w:rPr>
  </w:style>
  <w:style w:type="paragraph" w:customStyle="1" w:styleId="13">
    <w:name w:val="表格文字"/>
    <w:next w:val="2"/>
    <w:qFormat/>
    <w:uiPriority w:val="99"/>
    <w:pPr>
      <w:widowControl w:val="0"/>
      <w:spacing w:before="25" w:after="25"/>
      <w:jc w:val="left"/>
    </w:pPr>
    <w:rPr>
      <w:rFonts w:ascii="Times New Roman" w:hAnsi="Times New Roman" w:eastAsia="宋体" w:cs="Times New Roman"/>
      <w:bCs/>
      <w:spacing w:val="1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206</Characters>
  <Lines>0</Lines>
  <Paragraphs>0</Paragraphs>
  <TotalTime>0</TotalTime>
  <ScaleCrop>false</ScaleCrop>
  <LinksUpToDate>false</LinksUpToDate>
  <CharactersWithSpaces>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2026-04-27T07:38:34Z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