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auto"/>
        </w:rPr>
      </w:pPr>
      <w:bookmarkStart w:id="0" w:name="_Hlk92961273"/>
      <w:bookmarkEnd w:id="0"/>
    </w:p>
    <w:p>
      <w:pPr>
        <w:rPr>
          <w:color w:val="auto"/>
        </w:rPr>
      </w:pPr>
    </w:p>
    <w:p>
      <w:pPr>
        <w:rPr>
          <w:color w:val="auto"/>
        </w:rPr>
      </w:pPr>
    </w:p>
    <w:p>
      <w:pPr>
        <w:rPr>
          <w:color w:val="auto"/>
        </w:rPr>
      </w:pPr>
    </w:p>
    <w:p>
      <w:pPr>
        <w:spacing w:before="156" w:beforeLines="50" w:line="780" w:lineRule="exact"/>
        <w:jc w:val="center"/>
        <w:rPr>
          <w:rFonts w:ascii="方正小标宋_GBK" w:hAnsi="黑体" w:eastAsia="方正小标宋_GBK"/>
          <w:b/>
          <w:color w:val="auto"/>
          <w:sz w:val="84"/>
          <w:szCs w:val="84"/>
        </w:rPr>
      </w:pPr>
      <w:r>
        <w:rPr>
          <w:rFonts w:hint="eastAsia" w:ascii="方正小标宋_GBK" w:hAnsi="黑体" w:eastAsia="方正小标宋_GBK"/>
          <w:b/>
          <w:color w:val="auto"/>
          <w:sz w:val="84"/>
          <w:szCs w:val="84"/>
        </w:rPr>
        <w:t>竞争性磋商采购文件</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spacing w:line="500" w:lineRule="exact"/>
        <w:rPr>
          <w:rFonts w:hint="eastAsia" w:ascii="方正小标宋_GBK" w:hAnsi="微软雅黑" w:eastAsia="方正小标宋_GBK"/>
          <w:color w:val="auto"/>
          <w:sz w:val="32"/>
          <w:szCs w:val="32"/>
        </w:rPr>
      </w:pPr>
    </w:p>
    <w:p>
      <w:pPr>
        <w:spacing w:line="500" w:lineRule="exact"/>
        <w:rPr>
          <w:rFonts w:hint="eastAsia" w:ascii="方正小标宋_GBK" w:hAnsi="微软雅黑" w:eastAsia="方正小标宋_GBK"/>
          <w:color w:val="auto"/>
          <w:sz w:val="32"/>
          <w:szCs w:val="32"/>
        </w:rPr>
      </w:pPr>
    </w:p>
    <w:p>
      <w:pPr>
        <w:spacing w:line="500" w:lineRule="exact"/>
        <w:ind w:firstLine="1600" w:firstLineChars="500"/>
        <w:rPr>
          <w:rFonts w:hint="default" w:ascii="方正小标宋_GBK" w:hAnsi="微软雅黑" w:eastAsia="方正小标宋_GBK"/>
          <w:color w:val="auto"/>
          <w:sz w:val="32"/>
          <w:szCs w:val="32"/>
          <w:lang w:val="en-US" w:eastAsia="zh-CN"/>
        </w:rPr>
      </w:pPr>
      <w:r>
        <w:rPr>
          <w:rFonts w:hint="eastAsia" w:ascii="方正小标宋_GBK" w:hAnsi="微软雅黑" w:eastAsia="方正小标宋_GBK"/>
          <w:color w:val="auto"/>
          <w:sz w:val="32"/>
          <w:szCs w:val="32"/>
        </w:rPr>
        <w:t>项目名称:</w:t>
      </w:r>
      <w:bookmarkStart w:id="1" w:name="OLE_LINK9"/>
      <w:r>
        <w:rPr>
          <w:rFonts w:hint="eastAsia" w:ascii="方正小标宋_GBK" w:hAnsi="微软雅黑" w:eastAsia="方正小标宋_GBK"/>
          <w:color w:val="auto"/>
          <w:sz w:val="32"/>
          <w:szCs w:val="32"/>
          <w:lang w:val="en-US" w:eastAsia="zh-CN"/>
        </w:rPr>
        <w:t>钦州市儿童福利院康复特教中心物业管理服务</w:t>
      </w:r>
      <w:bookmarkEnd w:id="1"/>
    </w:p>
    <w:p>
      <w:pPr>
        <w:spacing w:line="500" w:lineRule="exact"/>
        <w:rPr>
          <w:rFonts w:hint="eastAsia" w:ascii="方正小标宋_GBK" w:hAnsi="微软雅黑" w:eastAsia="方正小标宋_GBK"/>
          <w:color w:val="auto"/>
          <w:sz w:val="32"/>
          <w:szCs w:val="32"/>
          <w:lang w:eastAsia="zh-CN"/>
        </w:rPr>
      </w:pPr>
      <w:r>
        <w:rPr>
          <w:rFonts w:hint="eastAsia" w:ascii="方正小标宋_GBK" w:hAnsi="微软雅黑" w:eastAsia="方正小标宋_GBK"/>
          <w:color w:val="auto"/>
          <w:sz w:val="32"/>
          <w:szCs w:val="32"/>
        </w:rPr>
        <w:t xml:space="preserve"> </w:t>
      </w:r>
      <w:r>
        <w:rPr>
          <w:rFonts w:ascii="方正小标宋_GBK" w:hAnsi="微软雅黑" w:eastAsia="方正小标宋_GBK"/>
          <w:color w:val="auto"/>
          <w:sz w:val="32"/>
          <w:szCs w:val="32"/>
        </w:rPr>
        <w:t xml:space="preserve">         </w:t>
      </w:r>
      <w:r>
        <w:rPr>
          <w:rFonts w:hint="eastAsia" w:ascii="方正小标宋_GBK" w:hAnsi="微软雅黑" w:eastAsia="方正小标宋_GBK"/>
          <w:color w:val="auto"/>
          <w:sz w:val="32"/>
          <w:szCs w:val="32"/>
        </w:rPr>
        <w:t>项目编号:</w:t>
      </w:r>
      <w:r>
        <w:rPr>
          <w:rFonts w:hint="eastAsia" w:ascii="方正小标宋_GBK" w:hAnsi="微软雅黑" w:eastAsia="方正小标宋_GBK"/>
          <w:color w:val="auto"/>
          <w:sz w:val="32"/>
          <w:szCs w:val="32"/>
          <w:lang w:eastAsia="zh-CN"/>
        </w:rPr>
        <w:t>QZZC2026-C3-990309-QZSZ</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spacing w:line="360" w:lineRule="exact"/>
        <w:jc w:val="center"/>
        <w:rPr>
          <w:rFonts w:ascii="方正小标宋_GBK" w:hAnsi="微软雅黑" w:eastAsia="方正小标宋_GBK"/>
          <w:color w:val="auto"/>
          <w:sz w:val="32"/>
          <w:szCs w:val="32"/>
        </w:rPr>
      </w:pPr>
      <w:r>
        <w:rPr>
          <w:rFonts w:hint="eastAsia" w:ascii="方正小标宋_GBK" w:hAnsi="微软雅黑" w:eastAsia="方正小标宋_GBK"/>
          <w:color w:val="auto"/>
          <w:sz w:val="32"/>
          <w:szCs w:val="32"/>
        </w:rPr>
        <w:t>钦州市政府采购中心</w:t>
      </w:r>
    </w:p>
    <w:p>
      <w:pPr>
        <w:tabs>
          <w:tab w:val="left" w:pos="360"/>
        </w:tabs>
        <w:spacing w:line="440" w:lineRule="exact"/>
        <w:jc w:val="center"/>
        <w:rPr>
          <w:rFonts w:ascii="仿宋_GB2312" w:hAnsi="宋体" w:eastAsia="仿宋_GB2312"/>
          <w:color w:val="auto"/>
          <w:sz w:val="32"/>
          <w:szCs w:val="32"/>
        </w:rPr>
      </w:pPr>
      <w:r>
        <w:rPr>
          <w:rFonts w:hint="eastAsia" w:ascii="方正小标宋_GBK" w:hAnsi="微软雅黑" w:eastAsia="方正小标宋_GBK"/>
          <w:color w:val="auto"/>
          <w:sz w:val="32"/>
          <w:szCs w:val="32"/>
        </w:rPr>
        <w:t>202</w:t>
      </w:r>
      <w:r>
        <w:rPr>
          <w:rFonts w:hint="eastAsia" w:ascii="方正小标宋_GBK" w:hAnsi="微软雅黑" w:eastAsia="方正小标宋_GBK"/>
          <w:color w:val="auto"/>
          <w:sz w:val="32"/>
          <w:szCs w:val="32"/>
          <w:lang w:val="en-US" w:eastAsia="zh-CN"/>
        </w:rPr>
        <w:t>6</w:t>
      </w:r>
      <w:r>
        <w:rPr>
          <w:rFonts w:hint="eastAsia" w:ascii="方正小标宋_GBK" w:hAnsi="微软雅黑" w:eastAsia="方正小标宋_GBK"/>
          <w:color w:val="auto"/>
          <w:sz w:val="32"/>
          <w:szCs w:val="32"/>
        </w:rPr>
        <w:t>年</w:t>
      </w:r>
      <w:r>
        <w:rPr>
          <w:rFonts w:hint="eastAsia" w:ascii="方正小标宋_GBK" w:hAnsi="微软雅黑" w:eastAsia="方正小标宋_GBK"/>
          <w:color w:val="auto"/>
          <w:sz w:val="32"/>
          <w:szCs w:val="32"/>
          <w:lang w:val="en-US" w:eastAsia="zh-CN"/>
        </w:rPr>
        <w:t>9</w:t>
      </w:r>
      <w:r>
        <w:rPr>
          <w:rFonts w:hint="eastAsia" w:ascii="方正小标宋_GBK" w:hAnsi="微软雅黑" w:eastAsia="方正小标宋_GBK"/>
          <w:color w:val="auto"/>
          <w:sz w:val="32"/>
          <w:szCs w:val="32"/>
        </w:rPr>
        <w:t>月</w:t>
      </w:r>
    </w:p>
    <w:p>
      <w:pPr>
        <w:rPr>
          <w:color w:val="auto"/>
        </w:rPr>
      </w:pPr>
    </w:p>
    <w:p>
      <w:pPr>
        <w:rPr>
          <w:color w:val="auto"/>
        </w:rPr>
      </w:pPr>
    </w:p>
    <w:p>
      <w:pPr>
        <w:spacing w:line="640" w:lineRule="exact"/>
        <w:jc w:val="center"/>
        <w:rPr>
          <w:rFonts w:ascii="方正小标宋_GBK" w:hAnsi="宋体" w:eastAsia="方正小标宋_GBK"/>
          <w:b/>
          <w:color w:val="auto"/>
          <w:sz w:val="32"/>
          <w:szCs w:val="32"/>
        </w:rPr>
      </w:pPr>
      <w:r>
        <w:rPr>
          <w:rFonts w:hint="eastAsia" w:ascii="方正小标宋_GBK" w:hAnsi="宋体" w:eastAsia="方正小标宋_GBK"/>
          <w:b/>
          <w:color w:val="auto"/>
          <w:sz w:val="44"/>
          <w:szCs w:val="44"/>
        </w:rPr>
        <w:t>目   录</w:t>
      </w:r>
    </w:p>
    <w:p>
      <w:pPr>
        <w:rPr>
          <w:color w:val="auto"/>
        </w:rPr>
      </w:pPr>
    </w:p>
    <w:p>
      <w:pPr>
        <w:pStyle w:val="29"/>
        <w:tabs>
          <w:tab w:val="right" w:leader="dot" w:pos="9514"/>
        </w:tabs>
        <w:spacing w:line="1000" w:lineRule="exact"/>
        <w:rPr>
          <w:rFonts w:asciiTheme="minorHAnsi" w:hAnsiTheme="minorHAnsi" w:eastAsiaTheme="minorEastAsia" w:cstheme="minorBidi"/>
          <w:color w:val="auto"/>
          <w:sz w:val="28"/>
          <w:szCs w:val="28"/>
        </w:rPr>
      </w:pPr>
      <w:bookmarkStart w:id="2" w:name="_Toc354479497"/>
      <w:r>
        <w:rPr>
          <w:rFonts w:hint="eastAsia" w:ascii="方正小标宋_GBK" w:hAnsi="仿宋" w:eastAsia="方正小标宋_GBK"/>
          <w:b/>
          <w:color w:val="auto"/>
          <w:sz w:val="28"/>
          <w:szCs w:val="28"/>
        </w:rPr>
        <w:fldChar w:fldCharType="begin"/>
      </w:r>
      <w:r>
        <w:rPr>
          <w:rFonts w:hint="eastAsia" w:ascii="方正小标宋_GBK" w:hAnsi="仿宋" w:eastAsia="方正小标宋_GBK"/>
          <w:b/>
          <w:color w:val="auto"/>
          <w:sz w:val="28"/>
          <w:szCs w:val="28"/>
        </w:rPr>
        <w:instrText xml:space="preserve"> TOC \o "1-1" \h \z \u </w:instrText>
      </w:r>
      <w:r>
        <w:rPr>
          <w:rFonts w:hint="eastAsia" w:ascii="方正小标宋_GBK" w:hAnsi="仿宋" w:eastAsia="方正小标宋_GBK"/>
          <w:b/>
          <w:color w:val="auto"/>
          <w:sz w:val="28"/>
          <w:szCs w:val="28"/>
        </w:rPr>
        <w:fldChar w:fldCharType="separate"/>
      </w:r>
      <w:r>
        <w:rPr>
          <w:color w:val="auto"/>
        </w:rPr>
        <w:fldChar w:fldCharType="begin"/>
      </w:r>
      <w:r>
        <w:rPr>
          <w:color w:val="auto"/>
        </w:rPr>
        <w:instrText xml:space="preserve"> HYPERLINK \l "_Toc92355023" </w:instrText>
      </w:r>
      <w:r>
        <w:rPr>
          <w:color w:val="auto"/>
        </w:rPr>
        <w:fldChar w:fldCharType="separate"/>
      </w:r>
      <w:r>
        <w:rPr>
          <w:rStyle w:val="46"/>
          <w:rFonts w:ascii="方正小标宋_GBK" w:hAnsi="宋体" w:eastAsia="方正小标宋_GBK"/>
          <w:color w:val="auto"/>
          <w:sz w:val="28"/>
          <w:szCs w:val="28"/>
        </w:rPr>
        <w:t>第一章  竞争性磋商公告</w:t>
      </w:r>
      <w:r>
        <w:rPr>
          <w:color w:val="auto"/>
          <w:sz w:val="28"/>
          <w:szCs w:val="28"/>
        </w:rPr>
        <w:tab/>
      </w:r>
      <w:r>
        <w:rPr>
          <w:color w:val="auto"/>
          <w:sz w:val="28"/>
          <w:szCs w:val="28"/>
        </w:rPr>
        <w:fldChar w:fldCharType="begin"/>
      </w:r>
      <w:r>
        <w:rPr>
          <w:color w:val="auto"/>
          <w:sz w:val="28"/>
          <w:szCs w:val="28"/>
        </w:rPr>
        <w:instrText xml:space="preserve"> PAGEREF _Toc92355023 \h </w:instrText>
      </w:r>
      <w:r>
        <w:rPr>
          <w:color w:val="auto"/>
          <w:sz w:val="28"/>
          <w:szCs w:val="28"/>
        </w:rPr>
        <w:fldChar w:fldCharType="separate"/>
      </w:r>
      <w:r>
        <w:rPr>
          <w:color w:val="auto"/>
          <w:sz w:val="28"/>
          <w:szCs w:val="28"/>
        </w:rPr>
        <w:t>1</w:t>
      </w:r>
      <w:r>
        <w:rPr>
          <w:color w:val="auto"/>
          <w:sz w:val="28"/>
          <w:szCs w:val="28"/>
        </w:rPr>
        <w:fldChar w:fldCharType="end"/>
      </w:r>
      <w:r>
        <w:rPr>
          <w:color w:val="auto"/>
          <w:sz w:val="28"/>
          <w:szCs w:val="28"/>
        </w:rPr>
        <w:fldChar w:fldCharType="end"/>
      </w:r>
    </w:p>
    <w:p>
      <w:pPr>
        <w:pStyle w:val="29"/>
        <w:tabs>
          <w:tab w:val="right" w:leader="dot" w:pos="9514"/>
        </w:tabs>
        <w:spacing w:line="1000" w:lineRule="exact"/>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"_Toc92355024" </w:instrText>
      </w:r>
      <w:r>
        <w:rPr>
          <w:color w:val="auto"/>
        </w:rPr>
        <w:fldChar w:fldCharType="separate"/>
      </w:r>
      <w:r>
        <w:rPr>
          <w:rStyle w:val="46"/>
          <w:rFonts w:ascii="方正小标宋_GBK" w:hAnsi="宋体" w:eastAsia="方正小标宋_GBK"/>
          <w:color w:val="auto"/>
          <w:sz w:val="28"/>
          <w:szCs w:val="28"/>
        </w:rPr>
        <w:t xml:space="preserve">第二章  </w:t>
      </w:r>
      <w:r>
        <w:rPr>
          <w:rStyle w:val="46"/>
          <w:rFonts w:hint="eastAsia" w:ascii="方正小标宋_GBK" w:hAnsi="宋体" w:eastAsia="方正小标宋_GBK"/>
          <w:color w:val="auto"/>
          <w:sz w:val="28"/>
          <w:szCs w:val="28"/>
          <w:lang w:val="en-US" w:eastAsia="zh-CN"/>
        </w:rPr>
        <w:t>项目</w:t>
      </w:r>
      <w:r>
        <w:rPr>
          <w:rStyle w:val="46"/>
          <w:rFonts w:ascii="方正小标宋_GBK" w:hAnsi="宋体" w:eastAsia="方正小标宋_GBK"/>
          <w:color w:val="auto"/>
          <w:sz w:val="28"/>
          <w:szCs w:val="28"/>
        </w:rPr>
        <w:t>需求</w:t>
      </w:r>
      <w:r>
        <w:rPr>
          <w:color w:val="auto"/>
          <w:sz w:val="28"/>
          <w:szCs w:val="28"/>
        </w:rPr>
        <w:tab/>
      </w:r>
      <w:r>
        <w:rPr>
          <w:color w:val="auto"/>
          <w:sz w:val="28"/>
          <w:szCs w:val="28"/>
        </w:rPr>
        <w:fldChar w:fldCharType="begin"/>
      </w:r>
      <w:r>
        <w:rPr>
          <w:color w:val="auto"/>
          <w:sz w:val="28"/>
          <w:szCs w:val="28"/>
        </w:rPr>
        <w:instrText xml:space="preserve"> PAGEREF _Toc92355024 \h </w:instrText>
      </w:r>
      <w:r>
        <w:rPr>
          <w:color w:val="auto"/>
          <w:sz w:val="28"/>
          <w:szCs w:val="28"/>
        </w:rPr>
        <w:fldChar w:fldCharType="separate"/>
      </w:r>
      <w:r>
        <w:rPr>
          <w:color w:val="auto"/>
          <w:sz w:val="28"/>
          <w:szCs w:val="28"/>
        </w:rPr>
        <w:t>5</w:t>
      </w:r>
      <w:r>
        <w:rPr>
          <w:color w:val="auto"/>
          <w:sz w:val="28"/>
          <w:szCs w:val="28"/>
        </w:rPr>
        <w:fldChar w:fldCharType="end"/>
      </w:r>
      <w:r>
        <w:rPr>
          <w:color w:val="auto"/>
          <w:sz w:val="28"/>
          <w:szCs w:val="28"/>
        </w:rPr>
        <w:fldChar w:fldCharType="end"/>
      </w:r>
    </w:p>
    <w:p>
      <w:pPr>
        <w:pStyle w:val="29"/>
        <w:tabs>
          <w:tab w:val="right" w:leader="dot" w:pos="9514"/>
        </w:tabs>
        <w:spacing w:line="1000" w:lineRule="exact"/>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"_Toc92355025" </w:instrText>
      </w:r>
      <w:r>
        <w:rPr>
          <w:color w:val="auto"/>
        </w:rPr>
        <w:fldChar w:fldCharType="separate"/>
      </w:r>
      <w:r>
        <w:rPr>
          <w:rStyle w:val="46"/>
          <w:rFonts w:ascii="方正小标宋简体" w:eastAsia="方正小标宋简体"/>
          <w:color w:val="auto"/>
          <w:sz w:val="28"/>
          <w:szCs w:val="28"/>
        </w:rPr>
        <w:t>第三章  供应商须知</w:t>
      </w:r>
      <w:r>
        <w:rPr>
          <w:color w:val="auto"/>
          <w:sz w:val="28"/>
          <w:szCs w:val="28"/>
        </w:rPr>
        <w:tab/>
      </w:r>
      <w:r>
        <w:rPr>
          <w:color w:val="auto"/>
          <w:sz w:val="28"/>
          <w:szCs w:val="28"/>
        </w:rPr>
        <w:fldChar w:fldCharType="begin"/>
      </w:r>
      <w:r>
        <w:rPr>
          <w:color w:val="auto"/>
          <w:sz w:val="28"/>
          <w:szCs w:val="28"/>
        </w:rPr>
        <w:instrText xml:space="preserve"> PAGEREF _Toc92355025 \h </w:instrText>
      </w:r>
      <w:r>
        <w:rPr>
          <w:color w:val="auto"/>
          <w:sz w:val="28"/>
          <w:szCs w:val="28"/>
        </w:rPr>
        <w:fldChar w:fldCharType="separate"/>
      </w:r>
      <w:r>
        <w:rPr>
          <w:color w:val="auto"/>
          <w:sz w:val="28"/>
          <w:szCs w:val="28"/>
        </w:rPr>
        <w:t>18</w:t>
      </w:r>
      <w:r>
        <w:rPr>
          <w:color w:val="auto"/>
          <w:sz w:val="28"/>
          <w:szCs w:val="28"/>
        </w:rPr>
        <w:fldChar w:fldCharType="end"/>
      </w:r>
      <w:r>
        <w:rPr>
          <w:color w:val="auto"/>
          <w:sz w:val="28"/>
          <w:szCs w:val="28"/>
        </w:rPr>
        <w:fldChar w:fldCharType="end"/>
      </w:r>
    </w:p>
    <w:p>
      <w:pPr>
        <w:pStyle w:val="29"/>
        <w:tabs>
          <w:tab w:val="right" w:leader="dot" w:pos="9514"/>
        </w:tabs>
        <w:spacing w:line="1000" w:lineRule="exact"/>
        <w:rPr>
          <w:rFonts w:hint="eastAsia" w:eastAsia="宋体" w:asciiTheme="minorHAnsi" w:hAnsiTheme="minorHAnsi" w:cstheme="minorBidi"/>
          <w:color w:val="auto"/>
          <w:sz w:val="28"/>
          <w:szCs w:val="28"/>
          <w:lang w:val="en-US" w:eastAsia="zh-CN"/>
        </w:rPr>
      </w:pPr>
      <w:r>
        <w:rPr>
          <w:color w:val="auto"/>
        </w:rPr>
        <w:fldChar w:fldCharType="begin"/>
      </w:r>
      <w:r>
        <w:rPr>
          <w:color w:val="auto"/>
        </w:rPr>
        <w:instrText xml:space="preserve"> HYPERLINK \l "_Toc92355026" </w:instrText>
      </w:r>
      <w:r>
        <w:rPr>
          <w:color w:val="auto"/>
        </w:rPr>
        <w:fldChar w:fldCharType="separate"/>
      </w:r>
      <w:r>
        <w:rPr>
          <w:rStyle w:val="46"/>
          <w:rFonts w:ascii="方正小标宋_GBK" w:hAnsi="宋体" w:eastAsia="方正小标宋_GBK"/>
          <w:color w:val="auto"/>
          <w:sz w:val="28"/>
          <w:szCs w:val="28"/>
        </w:rPr>
        <w:t>第四章  评定标准及推荐原则</w:t>
      </w:r>
      <w:r>
        <w:rPr>
          <w:color w:val="auto"/>
          <w:sz w:val="28"/>
          <w:szCs w:val="28"/>
        </w:rPr>
        <w:tab/>
      </w:r>
      <w:r>
        <w:rPr>
          <w:rFonts w:hint="eastAsia"/>
          <w:color w:val="auto"/>
          <w:sz w:val="28"/>
          <w:szCs w:val="28"/>
          <w:lang w:val="en-US" w:eastAsia="zh-CN"/>
        </w:rPr>
        <w:t>2</w:t>
      </w:r>
      <w:r>
        <w:rPr>
          <w:color w:val="auto"/>
          <w:sz w:val="28"/>
          <w:szCs w:val="28"/>
        </w:rPr>
        <w:fldChar w:fldCharType="end"/>
      </w:r>
      <w:r>
        <w:rPr>
          <w:rFonts w:hint="eastAsia"/>
          <w:color w:val="auto"/>
          <w:sz w:val="28"/>
          <w:szCs w:val="28"/>
          <w:lang w:val="en-US" w:eastAsia="zh-CN"/>
        </w:rPr>
        <w:t>9</w:t>
      </w:r>
    </w:p>
    <w:p>
      <w:pPr>
        <w:pStyle w:val="29"/>
        <w:tabs>
          <w:tab w:val="right" w:leader="dot" w:pos="9514"/>
        </w:tabs>
        <w:spacing w:line="1000" w:lineRule="exact"/>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"_Toc92355027" </w:instrText>
      </w:r>
      <w:r>
        <w:rPr>
          <w:color w:val="auto"/>
        </w:rPr>
        <w:fldChar w:fldCharType="separate"/>
      </w:r>
      <w:r>
        <w:rPr>
          <w:rStyle w:val="46"/>
          <w:rFonts w:ascii="方正小标宋_GBK" w:eastAsia="方正小标宋_GBK"/>
          <w:color w:val="auto"/>
          <w:sz w:val="28"/>
          <w:szCs w:val="28"/>
        </w:rPr>
        <w:t>第五章  合同文本</w:t>
      </w:r>
      <w:r>
        <w:rPr>
          <w:color w:val="auto"/>
          <w:sz w:val="28"/>
          <w:szCs w:val="28"/>
        </w:rPr>
        <w:tab/>
      </w:r>
      <w:r>
        <w:rPr>
          <w:color w:val="auto"/>
          <w:sz w:val="28"/>
          <w:szCs w:val="28"/>
        </w:rPr>
        <w:fldChar w:fldCharType="begin"/>
      </w:r>
      <w:r>
        <w:rPr>
          <w:color w:val="auto"/>
          <w:sz w:val="28"/>
          <w:szCs w:val="28"/>
        </w:rPr>
        <w:instrText xml:space="preserve"> PAGEREF _Toc92355027 \h </w:instrText>
      </w:r>
      <w:r>
        <w:rPr>
          <w:color w:val="auto"/>
          <w:sz w:val="28"/>
          <w:szCs w:val="28"/>
        </w:rPr>
        <w:fldChar w:fldCharType="separate"/>
      </w:r>
      <w:r>
        <w:rPr>
          <w:color w:val="auto"/>
          <w:sz w:val="28"/>
          <w:szCs w:val="28"/>
        </w:rPr>
        <w:t>33</w:t>
      </w:r>
      <w:r>
        <w:rPr>
          <w:color w:val="auto"/>
          <w:sz w:val="28"/>
          <w:szCs w:val="28"/>
        </w:rPr>
        <w:fldChar w:fldCharType="end"/>
      </w:r>
      <w:r>
        <w:rPr>
          <w:color w:val="auto"/>
          <w:sz w:val="28"/>
          <w:szCs w:val="28"/>
        </w:rPr>
        <w:fldChar w:fldCharType="end"/>
      </w:r>
    </w:p>
    <w:p>
      <w:pPr>
        <w:pStyle w:val="29"/>
        <w:tabs>
          <w:tab w:val="right" w:leader="dot" w:pos="9514"/>
        </w:tabs>
        <w:spacing w:line="1000" w:lineRule="exact"/>
        <w:rPr>
          <w:rFonts w:asciiTheme="minorHAnsi" w:hAnsiTheme="minorHAnsi" w:eastAsiaTheme="minorEastAsia" w:cstheme="minorBidi"/>
          <w:color w:val="auto"/>
          <w:sz w:val="28"/>
          <w:szCs w:val="28"/>
        </w:rPr>
      </w:pPr>
      <w:r>
        <w:rPr>
          <w:color w:val="auto"/>
        </w:rPr>
        <w:fldChar w:fldCharType="begin"/>
      </w:r>
      <w:r>
        <w:rPr>
          <w:color w:val="auto"/>
        </w:rPr>
        <w:instrText xml:space="preserve"> HYPERLINK \l "_Toc92355028" </w:instrText>
      </w:r>
      <w:r>
        <w:rPr>
          <w:color w:val="auto"/>
        </w:rPr>
        <w:fldChar w:fldCharType="separate"/>
      </w:r>
      <w:r>
        <w:rPr>
          <w:rStyle w:val="46"/>
          <w:rFonts w:ascii="方正小标宋_GBK" w:hAnsi="方正小标宋_GBK" w:eastAsia="方正小标宋_GBK"/>
          <w:color w:val="auto"/>
          <w:sz w:val="28"/>
          <w:szCs w:val="28"/>
        </w:rPr>
        <w:t>第六章  响应文件格式</w:t>
      </w:r>
      <w:r>
        <w:rPr>
          <w:color w:val="auto"/>
          <w:sz w:val="28"/>
          <w:szCs w:val="28"/>
        </w:rPr>
        <w:tab/>
      </w:r>
      <w:r>
        <w:rPr>
          <w:color w:val="auto"/>
          <w:sz w:val="28"/>
          <w:szCs w:val="28"/>
        </w:rPr>
        <w:fldChar w:fldCharType="begin"/>
      </w:r>
      <w:r>
        <w:rPr>
          <w:color w:val="auto"/>
          <w:sz w:val="28"/>
          <w:szCs w:val="28"/>
        </w:rPr>
        <w:instrText xml:space="preserve"> PAGEREF _Toc92355028 \h </w:instrText>
      </w:r>
      <w:r>
        <w:rPr>
          <w:color w:val="auto"/>
          <w:sz w:val="28"/>
          <w:szCs w:val="28"/>
        </w:rPr>
        <w:fldChar w:fldCharType="separate"/>
      </w:r>
      <w:r>
        <w:rPr>
          <w:color w:val="auto"/>
          <w:sz w:val="28"/>
          <w:szCs w:val="28"/>
        </w:rPr>
        <w:t>40</w:t>
      </w:r>
      <w:r>
        <w:rPr>
          <w:color w:val="auto"/>
          <w:sz w:val="28"/>
          <w:szCs w:val="28"/>
        </w:rPr>
        <w:fldChar w:fldCharType="end"/>
      </w:r>
      <w:r>
        <w:rPr>
          <w:color w:val="auto"/>
          <w:sz w:val="28"/>
          <w:szCs w:val="28"/>
        </w:rPr>
        <w:fldChar w:fldCharType="end"/>
      </w:r>
    </w:p>
    <w:p>
      <w:pPr>
        <w:rPr>
          <w:color w:val="auto"/>
        </w:rPr>
        <w:sectPr>
          <w:footerReference r:id="rId4" w:type="first"/>
          <w:footerReference r:id="rId3" w:type="default"/>
          <w:pgSz w:w="11906" w:h="16838"/>
          <w:pgMar w:top="936" w:right="1191" w:bottom="936" w:left="1191" w:header="851" w:footer="992" w:gutter="0"/>
          <w:pgNumType w:start="1"/>
          <w:cols w:space="720" w:num="1"/>
          <w:docGrid w:type="lines" w:linePitch="312" w:charSpace="0"/>
        </w:sectPr>
      </w:pPr>
      <w:r>
        <w:rPr>
          <w:rFonts w:hint="eastAsia"/>
          <w:color w:val="auto"/>
        </w:rPr>
        <w:fldChar w:fldCharType="end"/>
      </w:r>
    </w:p>
    <w:p>
      <w:pPr>
        <w:rPr>
          <w:color w:val="auto"/>
        </w:rPr>
      </w:pPr>
    </w:p>
    <w:p>
      <w:pPr>
        <w:widowControl/>
        <w:jc w:val="left"/>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pStyle w:val="3"/>
        <w:spacing w:line="400" w:lineRule="exact"/>
        <w:rPr>
          <w:rFonts w:ascii="方正小标宋_GBK" w:hAnsi="宋体" w:eastAsia="方正小标宋_GBK"/>
          <w:color w:val="auto"/>
        </w:rPr>
      </w:pPr>
      <w:bookmarkStart w:id="3" w:name="_Toc92355023"/>
      <w:r>
        <w:rPr>
          <w:rFonts w:hint="eastAsia" w:ascii="方正小标宋_GBK" w:hAnsi="宋体" w:eastAsia="方正小标宋_GBK"/>
          <w:color w:val="auto"/>
        </w:rPr>
        <w:t>第一章  竞争性磋商公告</w:t>
      </w:r>
      <w:bookmarkEnd w:id="2"/>
      <w:bookmarkEnd w:id="3"/>
    </w:p>
    <w:p>
      <w:pPr>
        <w:spacing w:line="600" w:lineRule="exact"/>
        <w:jc w:val="center"/>
        <w:rPr>
          <w:rFonts w:ascii="黑体" w:hAnsi="宋体" w:eastAsia="黑体"/>
          <w:b/>
          <w:color w:val="auto"/>
          <w:sz w:val="32"/>
          <w:szCs w:val="32"/>
        </w:rPr>
      </w:pPr>
      <w:r>
        <w:rPr>
          <w:rFonts w:ascii="黑体" w:hAnsi="宋体" w:eastAsia="黑体"/>
          <w:b/>
          <w:color w:val="auto"/>
          <w:sz w:val="32"/>
          <w:szCs w:val="32"/>
        </w:rPr>
        <w:br w:type="page"/>
      </w:r>
    </w:p>
    <w:p>
      <w:pPr>
        <w:rPr>
          <w:color w:val="auto"/>
        </w:rPr>
      </w:pPr>
    </w:p>
    <w:p>
      <w:pPr>
        <w:spacing w:line="600" w:lineRule="exact"/>
        <w:jc w:val="center"/>
        <w:rPr>
          <w:rFonts w:ascii="方正小标宋_GBK" w:hAnsi="宋体" w:eastAsia="方正小标宋_GBK"/>
          <w:b/>
          <w:color w:val="auto"/>
          <w:sz w:val="34"/>
          <w:szCs w:val="34"/>
        </w:rPr>
      </w:pPr>
      <w:bookmarkStart w:id="4" w:name="OLE_LINK4"/>
      <w:r>
        <w:rPr>
          <w:rFonts w:hint="eastAsia" w:ascii="方正小标宋_GBK" w:hAnsi="宋体" w:eastAsia="方正小标宋_GBK"/>
          <w:b/>
          <w:color w:val="auto"/>
          <w:sz w:val="34"/>
          <w:szCs w:val="34"/>
        </w:rPr>
        <w:t>钦州市政府采购中心关于</w:t>
      </w:r>
      <w:r>
        <w:rPr>
          <w:rFonts w:hint="eastAsia" w:ascii="方正小标宋_GBK" w:hAnsi="宋体" w:eastAsia="方正小标宋_GBK"/>
          <w:b/>
          <w:color w:val="auto"/>
          <w:sz w:val="34"/>
          <w:szCs w:val="34"/>
          <w:lang w:val="en-US" w:eastAsia="zh-CN"/>
        </w:rPr>
        <w:t>钦州市儿童福利院康复特教中心物业管理服务</w:t>
      </w:r>
      <w:r>
        <w:rPr>
          <w:rFonts w:hint="eastAsia" w:ascii="方正小标宋_GBK" w:hAnsi="宋体" w:eastAsia="方正小标宋_GBK"/>
          <w:b/>
          <w:color w:val="auto"/>
          <w:sz w:val="34"/>
          <w:szCs w:val="34"/>
        </w:rPr>
        <w:t>(</w:t>
      </w:r>
      <w:r>
        <w:rPr>
          <w:rFonts w:hint="eastAsia" w:ascii="方正小标宋_GBK" w:hAnsi="宋体" w:eastAsia="方正小标宋_GBK"/>
          <w:b/>
          <w:color w:val="auto"/>
          <w:sz w:val="34"/>
          <w:szCs w:val="34"/>
          <w:lang w:eastAsia="zh-CN"/>
        </w:rPr>
        <w:t>QZZC2026-C3-990309-QZSZ</w:t>
      </w:r>
      <w:r>
        <w:rPr>
          <w:rFonts w:hint="eastAsia" w:ascii="方正小标宋_GBK" w:hAnsi="宋体" w:eastAsia="方正小标宋_GBK"/>
          <w:b/>
          <w:color w:val="auto"/>
          <w:sz w:val="34"/>
          <w:szCs w:val="34"/>
        </w:rPr>
        <w:t>)的竞争性磋商公告</w:t>
      </w:r>
    </w:p>
    <w:p>
      <w:pPr>
        <w:pBdr>
          <w:top w:val="single" w:color="auto" w:sz="4" w:space="0"/>
          <w:left w:val="single" w:color="auto" w:sz="4" w:space="4"/>
          <w:bottom w:val="single" w:color="auto" w:sz="4" w:space="1"/>
          <w:right w:val="single" w:color="auto" w:sz="4" w:space="4"/>
        </w:pBdr>
        <w:spacing w:line="400" w:lineRule="exact"/>
        <w:rPr>
          <w:rFonts w:ascii="方正小标宋简体" w:hAnsi="宋体" w:eastAsia="方正小标宋简体"/>
          <w:b/>
          <w:color w:val="auto"/>
          <w:sz w:val="32"/>
          <w:szCs w:val="32"/>
        </w:rPr>
      </w:pPr>
      <w:bookmarkStart w:id="5" w:name="_Toc38370138"/>
      <w:r>
        <w:rPr>
          <w:rFonts w:hint="eastAsia" w:ascii="宋体" w:hAnsi="宋体"/>
          <w:color w:val="auto"/>
          <w:szCs w:val="21"/>
        </w:rPr>
        <w:t>项目概况</w:t>
      </w:r>
    </w:p>
    <w:p>
      <w:pPr>
        <w:pBdr>
          <w:top w:val="single" w:color="auto" w:sz="4" w:space="0"/>
          <w:left w:val="single" w:color="auto" w:sz="4" w:space="4"/>
          <w:bottom w:val="single" w:color="auto" w:sz="4" w:space="1"/>
          <w:right w:val="single" w:color="auto" w:sz="4" w:space="4"/>
        </w:pBdr>
        <w:spacing w:line="400" w:lineRule="exact"/>
        <w:ind w:firstLine="420" w:firstLineChars="200"/>
        <w:rPr>
          <w:rFonts w:ascii="宋体" w:hAnsi="宋体"/>
          <w:color w:val="auto"/>
          <w:szCs w:val="21"/>
        </w:rPr>
      </w:pPr>
      <w:r>
        <w:rPr>
          <w:rFonts w:hint="eastAsia" w:ascii="宋体" w:hAnsi="宋体"/>
          <w:color w:val="auto"/>
          <w:szCs w:val="21"/>
          <w:lang w:val="en-US" w:eastAsia="zh-CN"/>
        </w:rPr>
        <w:t>钦州市儿童福利院康复特教中心物业管理服务</w:t>
      </w:r>
      <w:r>
        <w:rPr>
          <w:rFonts w:hint="eastAsia" w:ascii="宋体" w:hAnsi="宋体"/>
          <w:color w:val="auto"/>
          <w:szCs w:val="21"/>
        </w:rPr>
        <w:t>项目的潜在供应商应在广西政府采购云平台（https://www.gcy.zfcg.gxzf.gov.cn/）获取采购文件，并于</w:t>
      </w:r>
      <w:bookmarkStart w:id="6" w:name="OLE_LINK3"/>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10</w:t>
      </w:r>
      <w:r>
        <w:rPr>
          <w:rFonts w:hint="eastAsia" w:ascii="宋体" w:hAnsi="宋体"/>
          <w:bCs/>
          <w:color w:val="auto"/>
          <w:szCs w:val="21"/>
        </w:rPr>
        <w:t>月</w:t>
      </w:r>
      <w:r>
        <w:rPr>
          <w:rFonts w:hint="eastAsia" w:ascii="宋体" w:hAnsi="宋体"/>
          <w:bCs/>
          <w:color w:val="auto"/>
          <w:szCs w:val="21"/>
          <w:lang w:val="en-US" w:eastAsia="zh-CN"/>
        </w:rPr>
        <w:t>8</w:t>
      </w:r>
      <w:r>
        <w:rPr>
          <w:rFonts w:hint="eastAsia" w:ascii="宋体" w:hAnsi="宋体"/>
          <w:bCs/>
          <w:color w:val="auto"/>
          <w:szCs w:val="21"/>
        </w:rPr>
        <w:t>日</w:t>
      </w:r>
      <w:bookmarkEnd w:id="6"/>
      <w:r>
        <w:rPr>
          <w:rFonts w:hint="eastAsia"/>
          <w:color w:val="auto"/>
          <w:lang w:val="en-US" w:eastAsia="zh-CN"/>
        </w:rPr>
        <w:t>9</w:t>
      </w:r>
      <w:r>
        <w:rPr>
          <w:color w:val="auto"/>
        </w:rPr>
        <w:t>:</w:t>
      </w:r>
      <w:r>
        <w:rPr>
          <w:rFonts w:hint="eastAsia"/>
          <w:color w:val="auto"/>
          <w:lang w:val="en-US" w:eastAsia="zh-CN"/>
        </w:rPr>
        <w:t>30</w:t>
      </w:r>
      <w:r>
        <w:rPr>
          <w:rFonts w:hint="eastAsia" w:ascii="宋体" w:hAnsi="宋体"/>
          <w:bCs/>
          <w:color w:val="auto"/>
          <w:szCs w:val="21"/>
        </w:rPr>
        <w:t>（北京时间）前提交响应</w:t>
      </w:r>
      <w:r>
        <w:rPr>
          <w:rFonts w:ascii="宋体" w:hAnsi="宋体"/>
          <w:bCs/>
          <w:color w:val="auto"/>
          <w:szCs w:val="21"/>
        </w:rPr>
        <w:t>文件</w:t>
      </w:r>
      <w:r>
        <w:rPr>
          <w:rFonts w:hint="eastAsia" w:ascii="宋体" w:hAnsi="宋体"/>
          <w:color w:val="auto"/>
          <w:szCs w:val="21"/>
        </w:rPr>
        <w:t>。</w:t>
      </w:r>
    </w:p>
    <w:bookmarkEnd w:id="5"/>
    <w:p>
      <w:pPr>
        <w:spacing w:line="400" w:lineRule="exact"/>
        <w:rPr>
          <w:b/>
          <w:color w:val="auto"/>
        </w:rPr>
      </w:pPr>
      <w:bookmarkStart w:id="7" w:name="_Toc35393790"/>
      <w:bookmarkStart w:id="8" w:name="_Toc28359079"/>
      <w:bookmarkStart w:id="9" w:name="_Toc35393621"/>
      <w:bookmarkStart w:id="10" w:name="_Toc28359002"/>
      <w:bookmarkStart w:id="11" w:name="_Hlk24379207"/>
      <w:bookmarkStart w:id="12" w:name="_Toc38370146"/>
      <w:r>
        <w:rPr>
          <w:rFonts w:hint="eastAsia"/>
          <w:b/>
          <w:color w:val="auto"/>
        </w:rPr>
        <w:t>一、项目基本情况</w:t>
      </w:r>
      <w:bookmarkEnd w:id="7"/>
      <w:bookmarkEnd w:id="8"/>
      <w:bookmarkEnd w:id="9"/>
      <w:bookmarkEnd w:id="10"/>
    </w:p>
    <w:p>
      <w:pPr>
        <w:spacing w:line="400" w:lineRule="exact"/>
        <w:ind w:firstLine="420"/>
        <w:rPr>
          <w:rFonts w:hint="eastAsia" w:eastAsia="宋体"/>
          <w:color w:val="auto"/>
          <w:lang w:eastAsia="zh-CN"/>
        </w:rPr>
      </w:pPr>
      <w:r>
        <w:rPr>
          <w:rFonts w:hint="eastAsia"/>
          <w:color w:val="auto"/>
        </w:rPr>
        <w:t>项目编号：</w:t>
      </w:r>
      <w:r>
        <w:rPr>
          <w:rFonts w:hint="eastAsia" w:ascii="宋体" w:hAnsi="宋体"/>
          <w:bCs/>
          <w:color w:val="auto"/>
          <w:lang w:eastAsia="zh-CN"/>
        </w:rPr>
        <w:t>QZZC2026-C3-990309-QZSZ</w:t>
      </w:r>
    </w:p>
    <w:p>
      <w:pPr>
        <w:spacing w:line="400" w:lineRule="exact"/>
        <w:ind w:firstLine="420"/>
        <w:rPr>
          <w:color w:val="auto"/>
        </w:rPr>
      </w:pPr>
      <w:r>
        <w:rPr>
          <w:rFonts w:hint="eastAsia"/>
          <w:color w:val="auto"/>
        </w:rPr>
        <w:t>项目名称：</w:t>
      </w:r>
      <w:bookmarkStart w:id="13" w:name="OLE_LINK1"/>
      <w:bookmarkStart w:id="14" w:name="OLE_LINK12"/>
      <w:r>
        <w:rPr>
          <w:rFonts w:hint="eastAsia" w:ascii="宋体" w:hAnsi="宋体"/>
          <w:color w:val="auto"/>
          <w:szCs w:val="21"/>
          <w:lang w:val="en-US" w:eastAsia="zh-CN"/>
        </w:rPr>
        <w:t>钦州市儿童福利院</w:t>
      </w:r>
      <w:bookmarkEnd w:id="13"/>
      <w:r>
        <w:rPr>
          <w:rFonts w:hint="eastAsia" w:ascii="宋体" w:hAnsi="宋体"/>
          <w:color w:val="auto"/>
          <w:szCs w:val="21"/>
          <w:lang w:val="en-US" w:eastAsia="zh-CN"/>
        </w:rPr>
        <w:t>康复特教中心物业管理服务</w:t>
      </w:r>
      <w:bookmarkEnd w:id="14"/>
    </w:p>
    <w:bookmarkEnd w:id="11"/>
    <w:p>
      <w:pPr>
        <w:spacing w:line="400" w:lineRule="exact"/>
        <w:ind w:firstLine="420"/>
        <w:rPr>
          <w:rFonts w:hint="default"/>
          <w:color w:val="auto"/>
          <w:lang w:val="en-US" w:eastAsia="zh-CN"/>
        </w:rPr>
      </w:pPr>
      <w:r>
        <w:rPr>
          <w:rFonts w:hint="eastAsia"/>
          <w:color w:val="auto"/>
        </w:rPr>
        <w:t>预算总金额</w:t>
      </w:r>
      <w:r>
        <w:rPr>
          <w:rFonts w:hint="eastAsia" w:ascii="宋体" w:hAnsi="宋体"/>
          <w:color w:val="auto"/>
          <w:szCs w:val="21"/>
          <w:lang w:val="en-US" w:eastAsia="zh-CN"/>
        </w:rPr>
        <w:t>(</w:t>
      </w:r>
      <w:r>
        <w:rPr>
          <w:rFonts w:hint="eastAsia"/>
          <w:color w:val="auto"/>
          <w:lang w:val="en-US" w:eastAsia="zh-CN"/>
        </w:rPr>
        <w:t>元)：</w:t>
      </w:r>
      <w:r>
        <w:rPr>
          <w:rFonts w:hint="eastAsia" w:ascii="宋体" w:hAnsi="宋体"/>
          <w:color w:val="auto"/>
          <w:highlight w:val="none"/>
        </w:rPr>
        <w:t>324,000.00</w:t>
      </w:r>
    </w:p>
    <w:p>
      <w:pPr>
        <w:spacing w:line="400" w:lineRule="exact"/>
        <w:ind w:firstLine="420"/>
        <w:rPr>
          <w:color w:val="auto"/>
        </w:rPr>
      </w:pPr>
      <w:r>
        <w:rPr>
          <w:rFonts w:hint="eastAsia"/>
          <w:color w:val="auto"/>
        </w:rPr>
        <w:t>采购需求：</w:t>
      </w:r>
    </w:p>
    <w:p>
      <w:pPr>
        <w:spacing w:line="400" w:lineRule="exact"/>
        <w:ind w:firstLine="420"/>
        <w:rPr>
          <w:color w:val="auto"/>
        </w:rPr>
      </w:pPr>
    </w:p>
    <w:p>
      <w:pPr>
        <w:spacing w:line="400" w:lineRule="exact"/>
        <w:ind w:firstLine="420"/>
        <w:rPr>
          <w:bCs/>
          <w:color w:val="auto"/>
        </w:rPr>
      </w:pPr>
      <w:r>
        <w:rPr>
          <w:rFonts w:hint="eastAsia"/>
          <w:color w:val="auto"/>
        </w:rPr>
        <w:t>标项名称：</w:t>
      </w:r>
      <w:r>
        <w:rPr>
          <w:rFonts w:hint="eastAsia" w:ascii="宋体" w:hAnsi="宋体"/>
          <w:color w:val="auto"/>
          <w:szCs w:val="21"/>
          <w:lang w:val="en-US" w:eastAsia="zh-CN"/>
        </w:rPr>
        <w:t>钦州市儿童福利院康复特教中心物业管理服务</w:t>
      </w:r>
    </w:p>
    <w:p>
      <w:pPr>
        <w:spacing w:line="400" w:lineRule="exact"/>
        <w:ind w:firstLine="420"/>
        <w:rPr>
          <w:rFonts w:hint="eastAsia" w:eastAsia="宋体"/>
          <w:color w:val="auto"/>
          <w:lang w:val="en-US" w:eastAsia="zh-CN"/>
        </w:rPr>
      </w:pPr>
      <w:r>
        <w:rPr>
          <w:rFonts w:hint="eastAsia"/>
          <w:bCs/>
          <w:color w:val="auto"/>
        </w:rPr>
        <w:t>数量：</w:t>
      </w:r>
      <w:r>
        <w:rPr>
          <w:rFonts w:hint="eastAsia"/>
          <w:bCs/>
          <w:color w:val="auto"/>
          <w:lang w:val="en-US" w:eastAsia="zh-CN"/>
        </w:rPr>
        <w:t>1</w:t>
      </w:r>
    </w:p>
    <w:p>
      <w:pPr>
        <w:spacing w:line="400" w:lineRule="exact"/>
        <w:ind w:firstLine="420"/>
        <w:rPr>
          <w:rFonts w:hint="eastAsia"/>
          <w:color w:val="auto"/>
        </w:rPr>
      </w:pPr>
      <w:r>
        <w:rPr>
          <w:rFonts w:hint="eastAsia"/>
          <w:color w:val="auto"/>
        </w:rPr>
        <w:t>预算金额(元)：</w:t>
      </w:r>
      <w:r>
        <w:rPr>
          <w:rFonts w:hint="eastAsia" w:ascii="宋体" w:hAnsi="宋体"/>
          <w:color w:val="auto"/>
          <w:highlight w:val="none"/>
        </w:rPr>
        <w:t>324,000.00</w:t>
      </w:r>
    </w:p>
    <w:p>
      <w:pPr>
        <w:spacing w:line="400" w:lineRule="exact"/>
        <w:ind w:firstLine="420"/>
        <w:rPr>
          <w:rFonts w:hint="default" w:eastAsia="宋体"/>
          <w:color w:val="auto"/>
          <w:lang w:val="en-US" w:eastAsia="zh-CN"/>
        </w:rPr>
      </w:pPr>
      <w:r>
        <w:rPr>
          <w:rFonts w:hint="eastAsia"/>
          <w:color w:val="auto"/>
        </w:rPr>
        <w:t>简要规格描述或项目基本概况介绍、用途：</w:t>
      </w:r>
      <w:r>
        <w:rPr>
          <w:rFonts w:hint="eastAsia" w:ascii="宋体" w:hAnsi="宋体"/>
          <w:color w:val="auto"/>
          <w:szCs w:val="21"/>
          <w:lang w:val="en-US" w:eastAsia="zh-CN"/>
        </w:rPr>
        <w:t>钦州市儿童福利院康复特教中心物业管理服务，</w:t>
      </w:r>
      <w:r>
        <w:rPr>
          <w:rFonts w:hint="eastAsia"/>
          <w:color w:val="auto"/>
          <w:lang w:val="en-US" w:eastAsia="zh-CN"/>
        </w:rPr>
        <w:t>详见采购文件第二章《项目需求》</w:t>
      </w:r>
    </w:p>
    <w:p>
      <w:pPr>
        <w:spacing w:line="400" w:lineRule="exact"/>
        <w:ind w:firstLine="420"/>
        <w:rPr>
          <w:color w:val="auto"/>
        </w:rPr>
      </w:pPr>
      <w:r>
        <w:rPr>
          <w:rFonts w:hint="eastAsia"/>
          <w:color w:val="auto"/>
        </w:rPr>
        <w:t>最高限价(如有</w:t>
      </w:r>
      <w:r>
        <w:rPr>
          <w:color w:val="auto"/>
        </w:rPr>
        <w:t>)</w:t>
      </w:r>
      <w:r>
        <w:rPr>
          <w:rFonts w:hint="eastAsia"/>
          <w:color w:val="auto"/>
        </w:rPr>
        <w:t>：</w:t>
      </w:r>
    </w:p>
    <w:p>
      <w:pPr>
        <w:spacing w:line="400" w:lineRule="exact"/>
        <w:ind w:firstLine="420"/>
        <w:rPr>
          <w:rFonts w:hint="eastAsia" w:eastAsia="宋体"/>
          <w:color w:val="auto"/>
          <w:lang w:val="en-US" w:eastAsia="zh-CN"/>
        </w:rPr>
      </w:pPr>
      <w:r>
        <w:rPr>
          <w:rFonts w:hint="eastAsia"/>
          <w:color w:val="auto"/>
        </w:rPr>
        <w:t>合同履行期限：</w:t>
      </w:r>
      <w:bookmarkStart w:id="15" w:name="OLE_LINK7"/>
      <w:r>
        <w:rPr>
          <w:rFonts w:hint="eastAsia"/>
          <w:color w:val="auto"/>
        </w:rPr>
        <w:t>合同签订之日起1年</w:t>
      </w:r>
      <w:bookmarkEnd w:id="15"/>
      <w:r>
        <w:rPr>
          <w:rFonts w:hint="eastAsia"/>
          <w:color w:val="auto"/>
        </w:rPr>
        <w:t>。</w:t>
      </w:r>
    </w:p>
    <w:p>
      <w:pPr>
        <w:spacing w:line="400" w:lineRule="exact"/>
        <w:ind w:firstLine="420"/>
        <w:rPr>
          <w:color w:val="auto"/>
        </w:rPr>
      </w:pPr>
      <w:r>
        <w:rPr>
          <w:rFonts w:hint="eastAsia"/>
          <w:color w:val="auto"/>
        </w:rPr>
        <w:t>本标项</w:t>
      </w:r>
      <w:r>
        <w:rPr>
          <w:rFonts w:hint="eastAsia"/>
          <w:color w:val="auto"/>
          <w:lang w:val="en-US" w:eastAsia="zh-CN"/>
        </w:rPr>
        <w:t>（否）</w:t>
      </w:r>
      <w:r>
        <w:rPr>
          <w:rFonts w:hint="eastAsia"/>
          <w:color w:val="auto"/>
        </w:rPr>
        <w:t>接受联合体</w:t>
      </w:r>
      <w:r>
        <w:rPr>
          <w:rFonts w:hint="eastAsia"/>
          <w:color w:val="auto"/>
          <w:lang w:val="en-US" w:eastAsia="zh-CN"/>
        </w:rPr>
        <w:t>响应</w:t>
      </w:r>
      <w:r>
        <w:rPr>
          <w:rFonts w:hint="eastAsia"/>
          <w:color w:val="auto"/>
        </w:rPr>
        <w:t>。</w:t>
      </w:r>
    </w:p>
    <w:p>
      <w:pPr>
        <w:spacing w:line="400" w:lineRule="exact"/>
        <w:ind w:firstLine="420"/>
        <w:rPr>
          <w:color w:val="auto"/>
        </w:rPr>
      </w:pPr>
      <w:r>
        <w:rPr>
          <w:rFonts w:hint="eastAsia"/>
          <w:color w:val="auto"/>
        </w:rPr>
        <w:t>备注：</w:t>
      </w:r>
    </w:p>
    <w:p>
      <w:pPr>
        <w:spacing w:line="400" w:lineRule="exact"/>
        <w:ind w:firstLine="420"/>
        <w:rPr>
          <w:color w:val="auto"/>
        </w:rPr>
      </w:pPr>
    </w:p>
    <w:p>
      <w:pPr>
        <w:spacing w:line="400" w:lineRule="exact"/>
        <w:rPr>
          <w:b/>
          <w:color w:val="auto"/>
        </w:rPr>
      </w:pPr>
      <w:bookmarkStart w:id="16" w:name="_Toc35393791"/>
      <w:bookmarkStart w:id="17" w:name="_Toc35393622"/>
      <w:bookmarkStart w:id="18" w:name="_Toc28359003"/>
      <w:bookmarkStart w:id="19" w:name="_Toc28359080"/>
      <w:r>
        <w:rPr>
          <w:rFonts w:hint="eastAsia"/>
          <w:b/>
          <w:color w:val="auto"/>
        </w:rPr>
        <w:t>二、申请人的资格要求：</w:t>
      </w:r>
      <w:bookmarkEnd w:id="16"/>
      <w:bookmarkEnd w:id="17"/>
      <w:bookmarkEnd w:id="18"/>
      <w:bookmarkEnd w:id="19"/>
      <w:bookmarkStart w:id="20" w:name="_Toc35393623"/>
      <w:bookmarkStart w:id="21" w:name="_Toc28359081"/>
      <w:bookmarkStart w:id="22" w:name="_Toc28359004"/>
      <w:bookmarkStart w:id="23" w:name="_Toc35393792"/>
    </w:p>
    <w:p>
      <w:pPr>
        <w:spacing w:line="400" w:lineRule="exact"/>
        <w:ind w:firstLine="420"/>
        <w:rPr>
          <w:b/>
          <w:color w:val="auto"/>
        </w:rPr>
      </w:pPr>
      <w:bookmarkStart w:id="24" w:name="_Hlk111714912"/>
      <w:r>
        <w:rPr>
          <w:rFonts w:hint="eastAsia"/>
          <w:color w:val="auto"/>
        </w:rPr>
        <w:t>1.</w:t>
      </w:r>
      <w:bookmarkStart w:id="25" w:name="OLE_LINK13"/>
      <w:r>
        <w:rPr>
          <w:rFonts w:hint="eastAsia"/>
          <w:color w:val="auto"/>
        </w:rPr>
        <w:t>满足《中华人民共和国政府采购法》第二十二条规定</w:t>
      </w:r>
    </w:p>
    <w:bookmarkEnd w:id="25"/>
    <w:p>
      <w:pPr>
        <w:spacing w:line="400" w:lineRule="exact"/>
        <w:ind w:firstLine="420"/>
        <w:rPr>
          <w:rFonts w:hint="eastAsia" w:ascii="宋体" w:hAnsi="宋体" w:eastAsia="宋体"/>
          <w:color w:val="auto"/>
          <w:szCs w:val="21"/>
          <w:lang w:eastAsia="zh-CN"/>
        </w:rPr>
      </w:pPr>
      <w:r>
        <w:rPr>
          <w:rFonts w:hint="eastAsia"/>
          <w:color w:val="auto"/>
        </w:rPr>
        <w:t>2.落实政府采购政策需满足的资格要求：本项目为</w:t>
      </w:r>
      <w:r>
        <w:rPr>
          <w:rFonts w:hint="eastAsia"/>
          <w:color w:val="auto"/>
          <w:lang w:val="en-US" w:eastAsia="zh-CN"/>
        </w:rPr>
        <w:t>中小</w:t>
      </w:r>
      <w:r>
        <w:rPr>
          <w:rFonts w:hint="eastAsia"/>
          <w:color w:val="auto"/>
        </w:rPr>
        <w:t>企业预留项目，参加本项目</w:t>
      </w:r>
      <w:r>
        <w:rPr>
          <w:rFonts w:hint="eastAsia"/>
          <w:color w:val="auto"/>
          <w:lang w:val="en-US" w:eastAsia="zh-CN"/>
        </w:rPr>
        <w:t>磋商</w:t>
      </w:r>
      <w:r>
        <w:rPr>
          <w:rFonts w:hint="eastAsia"/>
          <w:color w:val="auto"/>
        </w:rPr>
        <w:t>的供应商必须为</w:t>
      </w:r>
      <w:r>
        <w:rPr>
          <w:rFonts w:hint="eastAsia"/>
          <w:color w:val="auto"/>
          <w:lang w:val="en-US" w:eastAsia="zh-CN"/>
        </w:rPr>
        <w:t>中小</w:t>
      </w:r>
      <w:r>
        <w:rPr>
          <w:rFonts w:hint="eastAsia"/>
          <w:color w:val="auto"/>
        </w:rPr>
        <w:t>企业或监狱企业或残疾人福利性单位</w:t>
      </w:r>
      <w:r>
        <w:rPr>
          <w:rFonts w:hint="eastAsia"/>
          <w:color w:val="auto"/>
          <w:lang w:eastAsia="zh-CN"/>
        </w:rPr>
        <w:t>。</w:t>
      </w:r>
    </w:p>
    <w:p>
      <w:pPr>
        <w:spacing w:line="400" w:lineRule="exact"/>
        <w:ind w:firstLine="435"/>
        <w:rPr>
          <w:color w:val="auto"/>
        </w:rPr>
      </w:pPr>
      <w:r>
        <w:rPr>
          <w:rFonts w:hint="eastAsia"/>
          <w:color w:val="auto"/>
        </w:rPr>
        <w:t>3.本项目的特定资格要求：无</w:t>
      </w:r>
      <w:bookmarkStart w:id="235" w:name="_GoBack"/>
      <w:bookmarkEnd w:id="235"/>
    </w:p>
    <w:bookmarkEnd w:id="24"/>
    <w:p>
      <w:pPr>
        <w:spacing w:line="400" w:lineRule="exact"/>
        <w:rPr>
          <w:b/>
          <w:color w:val="auto"/>
        </w:rPr>
      </w:pPr>
      <w:r>
        <w:rPr>
          <w:rFonts w:hint="eastAsia"/>
          <w:b/>
          <w:color w:val="auto"/>
        </w:rPr>
        <w:t>三、获取采购文件</w:t>
      </w:r>
      <w:bookmarkEnd w:id="20"/>
      <w:bookmarkEnd w:id="21"/>
      <w:bookmarkEnd w:id="22"/>
      <w:bookmarkEnd w:id="23"/>
    </w:p>
    <w:p>
      <w:pPr>
        <w:spacing w:line="400" w:lineRule="exact"/>
        <w:ind w:firstLine="420"/>
        <w:jc w:val="left"/>
        <w:rPr>
          <w:color w:val="auto"/>
        </w:rPr>
      </w:pPr>
      <w:bookmarkStart w:id="26" w:name="_Toc38370141"/>
      <w:r>
        <w:rPr>
          <w:rFonts w:hint="eastAsia"/>
          <w:color w:val="auto"/>
        </w:rPr>
        <w:t>时间：</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9</w:t>
      </w:r>
      <w:r>
        <w:rPr>
          <w:rFonts w:hint="eastAsia" w:ascii="宋体" w:hAnsi="宋体"/>
          <w:bCs/>
          <w:color w:val="auto"/>
          <w:szCs w:val="21"/>
        </w:rPr>
        <w:t>月</w:t>
      </w:r>
      <w:r>
        <w:rPr>
          <w:rFonts w:hint="eastAsia" w:ascii="宋体" w:hAnsi="宋体"/>
          <w:bCs/>
          <w:color w:val="auto"/>
          <w:szCs w:val="21"/>
          <w:lang w:val="en-US" w:eastAsia="zh-CN"/>
        </w:rPr>
        <w:t>20</w:t>
      </w:r>
      <w:r>
        <w:rPr>
          <w:rFonts w:hint="eastAsia" w:ascii="宋体" w:hAnsi="宋体"/>
          <w:bCs/>
          <w:color w:val="auto"/>
          <w:szCs w:val="21"/>
        </w:rPr>
        <w:t>日</w:t>
      </w:r>
      <w:r>
        <w:rPr>
          <w:rFonts w:hint="eastAsia"/>
          <w:color w:val="auto"/>
        </w:rPr>
        <w:t>至</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9</w:t>
      </w:r>
      <w:r>
        <w:rPr>
          <w:rFonts w:hint="eastAsia" w:ascii="宋体" w:hAnsi="宋体"/>
          <w:bCs/>
          <w:color w:val="auto"/>
          <w:szCs w:val="21"/>
        </w:rPr>
        <w:t>月</w:t>
      </w:r>
      <w:r>
        <w:rPr>
          <w:rFonts w:hint="eastAsia" w:ascii="宋体" w:hAnsi="宋体"/>
          <w:bCs/>
          <w:color w:val="auto"/>
          <w:szCs w:val="21"/>
          <w:lang w:val="en-US" w:eastAsia="zh-CN"/>
        </w:rPr>
        <w:t>29</w:t>
      </w:r>
      <w:r>
        <w:rPr>
          <w:rFonts w:hint="eastAsia" w:ascii="宋体" w:hAnsi="宋体"/>
          <w:bCs/>
          <w:color w:val="auto"/>
          <w:szCs w:val="21"/>
        </w:rPr>
        <w:t>日</w:t>
      </w:r>
      <w:r>
        <w:rPr>
          <w:rFonts w:hint="eastAsia"/>
          <w:color w:val="auto"/>
        </w:rPr>
        <w:t>，每天上午00:00至12:00，下午12:00至23:59（北京时间，法定节假日除外）</w:t>
      </w:r>
    </w:p>
    <w:p>
      <w:pPr>
        <w:spacing w:line="400" w:lineRule="exact"/>
        <w:ind w:firstLine="420"/>
        <w:rPr>
          <w:color w:val="auto"/>
        </w:rPr>
      </w:pPr>
      <w:r>
        <w:rPr>
          <w:rFonts w:hint="eastAsia"/>
          <w:color w:val="auto"/>
        </w:rPr>
        <w:t>地点(网址</w:t>
      </w:r>
      <w:r>
        <w:rPr>
          <w:color w:val="auto"/>
        </w:rPr>
        <w:t>)</w:t>
      </w:r>
      <w:r>
        <w:rPr>
          <w:rFonts w:hint="eastAsia"/>
          <w:color w:val="auto"/>
        </w:rPr>
        <w:t>：</w:t>
      </w:r>
      <w:bookmarkStart w:id="27" w:name="_Hlk164066481"/>
      <w:bookmarkStart w:id="28" w:name="OLE_LINK8"/>
      <w:r>
        <w:rPr>
          <w:rFonts w:hint="eastAsia" w:ascii="宋体" w:hAnsi="宋体"/>
          <w:color w:val="auto"/>
          <w:szCs w:val="21"/>
        </w:rPr>
        <w:t>广西政府采购云平台（https://www.gcy.zfcg.gxzf.gov.cn/）</w:t>
      </w:r>
      <w:bookmarkEnd w:id="27"/>
      <w:bookmarkEnd w:id="28"/>
    </w:p>
    <w:p>
      <w:pPr>
        <w:spacing w:line="400" w:lineRule="exact"/>
        <w:ind w:firstLine="420"/>
        <w:rPr>
          <w:color w:val="auto"/>
        </w:rPr>
      </w:pPr>
      <w:r>
        <w:rPr>
          <w:rFonts w:hint="eastAsia"/>
          <w:color w:val="auto"/>
        </w:rPr>
        <w:t>方式：供应商登录广西政府采购云平台(以下称“政采云平台”)在线获取采购文件（进入“项目采购”应用选择项目，获取采购文件）</w:t>
      </w:r>
    </w:p>
    <w:p>
      <w:pPr>
        <w:spacing w:line="400" w:lineRule="exact"/>
        <w:ind w:firstLine="420"/>
        <w:rPr>
          <w:color w:val="auto"/>
        </w:rPr>
      </w:pPr>
      <w:r>
        <w:rPr>
          <w:rFonts w:hint="eastAsia"/>
          <w:color w:val="auto"/>
        </w:rPr>
        <w:t>售价(元</w:t>
      </w:r>
      <w:r>
        <w:rPr>
          <w:color w:val="auto"/>
        </w:rPr>
        <w:t>)</w:t>
      </w:r>
      <w:r>
        <w:rPr>
          <w:rFonts w:hint="eastAsia"/>
          <w:color w:val="auto"/>
        </w:rPr>
        <w:t>：0</w:t>
      </w:r>
    </w:p>
    <w:p>
      <w:pPr>
        <w:spacing w:line="400" w:lineRule="exact"/>
        <w:rPr>
          <w:b/>
          <w:color w:val="auto"/>
        </w:rPr>
      </w:pPr>
      <w:r>
        <w:rPr>
          <w:rFonts w:hint="eastAsia"/>
          <w:b/>
          <w:bCs/>
          <w:color w:val="auto"/>
        </w:rPr>
        <w:t>四、</w:t>
      </w:r>
      <w:bookmarkEnd w:id="26"/>
      <w:bookmarkStart w:id="29" w:name="_Toc28359082"/>
      <w:bookmarkStart w:id="30" w:name="_Toc28359005"/>
      <w:bookmarkStart w:id="31" w:name="_Toc35393793"/>
      <w:bookmarkStart w:id="32" w:name="_Toc35393624"/>
      <w:r>
        <w:rPr>
          <w:rFonts w:hint="eastAsia"/>
          <w:b/>
          <w:color w:val="auto"/>
        </w:rPr>
        <w:t>响应文件</w:t>
      </w:r>
      <w:bookmarkEnd w:id="29"/>
      <w:bookmarkEnd w:id="30"/>
      <w:r>
        <w:rPr>
          <w:rFonts w:hint="eastAsia"/>
          <w:b/>
          <w:color w:val="auto"/>
        </w:rPr>
        <w:t>提交</w:t>
      </w:r>
      <w:bookmarkEnd w:id="31"/>
      <w:bookmarkEnd w:id="32"/>
    </w:p>
    <w:p>
      <w:pPr>
        <w:spacing w:line="400" w:lineRule="exact"/>
        <w:ind w:firstLine="420"/>
        <w:rPr>
          <w:color w:val="auto"/>
        </w:rPr>
      </w:pPr>
      <w:r>
        <w:rPr>
          <w:rFonts w:hint="eastAsia"/>
          <w:color w:val="auto"/>
        </w:rPr>
        <w:t>截止时间：</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10</w:t>
      </w:r>
      <w:r>
        <w:rPr>
          <w:rFonts w:hint="eastAsia" w:ascii="宋体" w:hAnsi="宋体"/>
          <w:bCs/>
          <w:color w:val="auto"/>
          <w:szCs w:val="21"/>
        </w:rPr>
        <w:t>月</w:t>
      </w:r>
      <w:r>
        <w:rPr>
          <w:rFonts w:hint="eastAsia" w:ascii="宋体" w:hAnsi="宋体"/>
          <w:bCs/>
          <w:color w:val="auto"/>
          <w:szCs w:val="21"/>
          <w:lang w:val="en-US" w:eastAsia="zh-CN"/>
        </w:rPr>
        <w:t>8</w:t>
      </w:r>
      <w:r>
        <w:rPr>
          <w:rFonts w:hint="eastAsia" w:ascii="宋体" w:hAnsi="宋体"/>
          <w:bCs/>
          <w:color w:val="auto"/>
          <w:szCs w:val="21"/>
        </w:rPr>
        <w:t>日</w:t>
      </w:r>
      <w:r>
        <w:rPr>
          <w:rFonts w:hint="eastAsia"/>
          <w:color w:val="auto"/>
          <w:lang w:val="en-US" w:eastAsia="zh-CN"/>
        </w:rPr>
        <w:t>9</w:t>
      </w:r>
      <w:r>
        <w:rPr>
          <w:color w:val="auto"/>
        </w:rPr>
        <w:t>:</w:t>
      </w:r>
      <w:r>
        <w:rPr>
          <w:rFonts w:hint="eastAsia"/>
          <w:color w:val="auto"/>
          <w:lang w:val="en-US" w:eastAsia="zh-CN"/>
        </w:rPr>
        <w:t>30</w:t>
      </w:r>
      <w:r>
        <w:rPr>
          <w:rFonts w:hint="eastAsia"/>
          <w:color w:val="auto"/>
        </w:rPr>
        <w:t>（北京时间）</w:t>
      </w:r>
    </w:p>
    <w:p>
      <w:pPr>
        <w:spacing w:line="400" w:lineRule="exact"/>
        <w:ind w:firstLine="420"/>
        <w:rPr>
          <w:rFonts w:ascii="宋体" w:hAnsi="宋体" w:cs="Courier New"/>
          <w:color w:val="auto"/>
          <w:szCs w:val="21"/>
        </w:rPr>
      </w:pPr>
      <w:r>
        <w:rPr>
          <w:rFonts w:hint="eastAsia"/>
          <w:color w:val="auto"/>
        </w:rPr>
        <w:t>地点(网址）：</w:t>
      </w:r>
      <w:r>
        <w:rPr>
          <w:rFonts w:hint="eastAsia" w:ascii="宋体" w:hAnsi="宋体"/>
          <w:color w:val="auto"/>
          <w:szCs w:val="21"/>
        </w:rPr>
        <w:t>广西政府采购云平台（https://www.gcy.zfcg.gxzf.gov.cn/）</w:t>
      </w:r>
    </w:p>
    <w:p>
      <w:pPr>
        <w:spacing w:line="400" w:lineRule="exact"/>
        <w:rPr>
          <w:rFonts w:ascii="宋体" w:hAnsi="宋体" w:cs="Courier New"/>
          <w:b/>
          <w:bCs/>
          <w:color w:val="auto"/>
          <w:szCs w:val="21"/>
        </w:rPr>
      </w:pPr>
      <w:r>
        <w:rPr>
          <w:rFonts w:hint="eastAsia" w:ascii="宋体" w:hAnsi="宋体" w:cs="Courier New"/>
          <w:b/>
          <w:bCs/>
          <w:color w:val="auto"/>
          <w:szCs w:val="21"/>
        </w:rPr>
        <w:t>五、响应文件开启</w:t>
      </w:r>
    </w:p>
    <w:p>
      <w:pPr>
        <w:spacing w:line="400" w:lineRule="exact"/>
        <w:ind w:firstLine="420" w:firstLineChars="200"/>
        <w:rPr>
          <w:rFonts w:ascii="宋体" w:hAnsi="宋体" w:cs="Courier New"/>
          <w:color w:val="auto"/>
          <w:szCs w:val="21"/>
        </w:rPr>
      </w:pPr>
      <w:r>
        <w:rPr>
          <w:rFonts w:hint="eastAsia" w:ascii="宋体" w:hAnsi="宋体" w:cs="Courier New"/>
          <w:color w:val="auto"/>
          <w:szCs w:val="21"/>
        </w:rPr>
        <w:t>开启时间：</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10</w:t>
      </w:r>
      <w:r>
        <w:rPr>
          <w:rFonts w:hint="eastAsia" w:ascii="宋体" w:hAnsi="宋体"/>
          <w:bCs/>
          <w:color w:val="auto"/>
          <w:szCs w:val="21"/>
        </w:rPr>
        <w:t>月</w:t>
      </w:r>
      <w:r>
        <w:rPr>
          <w:rFonts w:hint="eastAsia" w:ascii="宋体" w:hAnsi="宋体"/>
          <w:bCs/>
          <w:color w:val="auto"/>
          <w:szCs w:val="21"/>
          <w:lang w:val="en-US" w:eastAsia="zh-CN"/>
        </w:rPr>
        <w:t>8</w:t>
      </w:r>
      <w:r>
        <w:rPr>
          <w:rFonts w:hint="eastAsia" w:ascii="宋体" w:hAnsi="宋体"/>
          <w:bCs/>
          <w:color w:val="auto"/>
          <w:szCs w:val="21"/>
        </w:rPr>
        <w:t>日</w:t>
      </w:r>
      <w:r>
        <w:rPr>
          <w:rFonts w:hint="eastAsia"/>
          <w:color w:val="auto"/>
          <w:lang w:val="en-US" w:eastAsia="zh-CN"/>
        </w:rPr>
        <w:t>9</w:t>
      </w:r>
      <w:r>
        <w:rPr>
          <w:color w:val="auto"/>
        </w:rPr>
        <w:t>:</w:t>
      </w:r>
      <w:r>
        <w:rPr>
          <w:rFonts w:hint="eastAsia"/>
          <w:color w:val="auto"/>
          <w:lang w:val="en-US" w:eastAsia="zh-CN"/>
        </w:rPr>
        <w:t>30</w:t>
      </w:r>
      <w:r>
        <w:rPr>
          <w:rFonts w:hint="eastAsia"/>
          <w:color w:val="auto"/>
        </w:rPr>
        <w:t>（北京时间）</w:t>
      </w:r>
    </w:p>
    <w:p>
      <w:pPr>
        <w:spacing w:line="400" w:lineRule="exact"/>
        <w:ind w:firstLine="420"/>
        <w:rPr>
          <w:rFonts w:ascii="宋体" w:hAnsi="宋体" w:cs="Courier New"/>
          <w:color w:val="auto"/>
          <w:szCs w:val="21"/>
        </w:rPr>
      </w:pPr>
      <w:r>
        <w:rPr>
          <w:rFonts w:hint="eastAsia" w:ascii="宋体" w:hAnsi="宋体" w:cs="Courier New"/>
          <w:color w:val="auto"/>
          <w:szCs w:val="21"/>
        </w:rPr>
        <w:t>地点：</w:t>
      </w:r>
      <w:bookmarkStart w:id="33" w:name="_Toc28359007"/>
      <w:bookmarkStart w:id="34" w:name="_Toc28359084"/>
      <w:bookmarkStart w:id="35" w:name="_Toc35393794"/>
      <w:bookmarkStart w:id="36" w:name="_Toc35393625"/>
      <w:r>
        <w:rPr>
          <w:rFonts w:hint="eastAsia"/>
          <w:color w:val="auto"/>
        </w:rPr>
        <w:t>广西钦州市金海湾东大街8号市政务服务中心三楼开标室</w:t>
      </w:r>
    </w:p>
    <w:p>
      <w:pPr>
        <w:spacing w:line="400" w:lineRule="exact"/>
        <w:rPr>
          <w:b/>
          <w:color w:val="auto"/>
        </w:rPr>
      </w:pPr>
      <w:r>
        <w:rPr>
          <w:rFonts w:hint="eastAsia"/>
          <w:b/>
          <w:color w:val="auto"/>
        </w:rPr>
        <w:t>六、公告期限</w:t>
      </w:r>
      <w:bookmarkEnd w:id="33"/>
      <w:bookmarkEnd w:id="34"/>
      <w:bookmarkEnd w:id="35"/>
      <w:bookmarkEnd w:id="36"/>
    </w:p>
    <w:p>
      <w:pPr>
        <w:spacing w:line="400" w:lineRule="exact"/>
        <w:ind w:firstLine="420"/>
        <w:rPr>
          <w:color w:val="auto"/>
        </w:rPr>
      </w:pPr>
      <w:r>
        <w:rPr>
          <w:rFonts w:hint="eastAsia"/>
          <w:color w:val="auto"/>
        </w:rPr>
        <w:t>自本公告发布之日起</w:t>
      </w:r>
      <w:r>
        <w:rPr>
          <w:color w:val="auto"/>
        </w:rPr>
        <w:t>5</w:t>
      </w:r>
      <w:r>
        <w:rPr>
          <w:rFonts w:hint="eastAsia"/>
          <w:color w:val="auto"/>
        </w:rPr>
        <w:t>个工作日。</w:t>
      </w:r>
    </w:p>
    <w:p>
      <w:pPr>
        <w:spacing w:line="400" w:lineRule="exact"/>
        <w:rPr>
          <w:b/>
          <w:color w:val="auto"/>
        </w:rPr>
      </w:pPr>
      <w:bookmarkStart w:id="37" w:name="_Toc28359008"/>
      <w:bookmarkStart w:id="38" w:name="_Toc28359085"/>
      <w:bookmarkStart w:id="39" w:name="_Toc35393627"/>
      <w:bookmarkStart w:id="40" w:name="_Toc35393796"/>
      <w:r>
        <w:rPr>
          <w:rFonts w:hint="eastAsia"/>
          <w:b/>
          <w:color w:val="auto"/>
        </w:rPr>
        <w:t>七、其他补充事宜</w:t>
      </w:r>
    </w:p>
    <w:p>
      <w:pPr>
        <w:spacing w:line="400" w:lineRule="exact"/>
        <w:ind w:firstLine="420"/>
        <w:rPr>
          <w:rFonts w:hint="default" w:eastAsia="宋体"/>
          <w:b/>
          <w:bCs/>
          <w:color w:val="auto"/>
          <w:lang w:val="en-US" w:eastAsia="zh-CN"/>
        </w:rPr>
      </w:pPr>
      <w:r>
        <w:rPr>
          <w:rFonts w:hint="eastAsia"/>
          <w:b/>
          <w:bCs/>
          <w:color w:val="auto"/>
          <w:lang w:val="en-US" w:eastAsia="zh-CN"/>
        </w:rPr>
        <w:t>1.</w:t>
      </w:r>
      <w:r>
        <w:rPr>
          <w:rFonts w:hint="eastAsia" w:ascii="宋体" w:hAnsi="宋体" w:eastAsia="宋体" w:cs="Times New Roman"/>
          <w:b/>
          <w:bCs/>
          <w:color w:val="auto"/>
          <w:szCs w:val="21"/>
          <w:highlight w:val="none"/>
        </w:rPr>
        <w:t>本项目</w:t>
      </w:r>
      <w:r>
        <w:rPr>
          <w:rFonts w:hint="eastAsia" w:ascii="宋体" w:hAnsi="宋体" w:eastAsia="宋体" w:cs="Times New Roman"/>
          <w:b/>
          <w:bCs/>
          <w:color w:val="auto"/>
          <w:szCs w:val="21"/>
          <w:highlight w:val="none"/>
          <w:lang w:val="en-US" w:eastAsia="zh-CN"/>
        </w:rPr>
        <w:t>不</w:t>
      </w:r>
      <w:r>
        <w:rPr>
          <w:rFonts w:hint="eastAsia" w:ascii="宋体" w:hAnsi="宋体" w:eastAsia="宋体" w:cs="Times New Roman"/>
          <w:b/>
          <w:bCs/>
          <w:color w:val="auto"/>
          <w:szCs w:val="21"/>
          <w:highlight w:val="none"/>
        </w:rPr>
        <w:t>允许分支机构或分公司参加</w:t>
      </w:r>
      <w:r>
        <w:rPr>
          <w:rFonts w:hint="eastAsia" w:ascii="宋体" w:hAnsi="宋体" w:eastAsia="宋体" w:cs="Times New Roman"/>
          <w:b/>
          <w:bCs/>
          <w:color w:val="auto"/>
          <w:szCs w:val="21"/>
          <w:highlight w:val="none"/>
          <w:lang w:val="en-US" w:eastAsia="zh-CN"/>
        </w:rPr>
        <w:t>磋商。</w:t>
      </w:r>
    </w:p>
    <w:p>
      <w:pPr>
        <w:spacing w:line="400" w:lineRule="exact"/>
        <w:ind w:firstLine="420"/>
        <w:rPr>
          <w:b/>
          <w:color w:val="auto"/>
        </w:rPr>
      </w:pPr>
      <w:r>
        <w:rPr>
          <w:rFonts w:hint="eastAsia"/>
          <w:color w:val="auto"/>
          <w:lang w:val="en-US" w:eastAsia="zh-CN"/>
        </w:rPr>
        <w:t>2</w:t>
      </w:r>
      <w:r>
        <w:rPr>
          <w:color w:val="auto"/>
        </w:rPr>
        <w:t>.</w:t>
      </w:r>
      <w:r>
        <w:rPr>
          <w:rFonts w:hint="eastAsia"/>
          <w:bCs/>
          <w:color w:val="auto"/>
        </w:rPr>
        <w:t>本项目须要落实的政府采购政策</w:t>
      </w:r>
      <w:r>
        <w:rPr>
          <w:rFonts w:hint="eastAsia"/>
          <w:b/>
          <w:color w:val="auto"/>
        </w:rPr>
        <w:t>：</w:t>
      </w:r>
    </w:p>
    <w:p>
      <w:pPr>
        <w:spacing w:line="400" w:lineRule="exact"/>
        <w:ind w:firstLine="420"/>
        <w:rPr>
          <w:rFonts w:hint="eastAsia"/>
          <w:color w:val="auto"/>
        </w:rPr>
      </w:pPr>
      <w:r>
        <w:rPr>
          <w:rFonts w:hint="eastAsia"/>
          <w:color w:val="auto"/>
        </w:rPr>
        <w:t>(1)财政部 工业和信息化部关于印发《政府采购促进中小企业发展管理办法》的通知(财库﹝2020﹞46号)</w:t>
      </w:r>
    </w:p>
    <w:p>
      <w:pPr>
        <w:spacing w:line="400" w:lineRule="exact"/>
        <w:ind w:firstLine="420"/>
        <w:rPr>
          <w:rFonts w:hint="eastAsia"/>
          <w:color w:val="auto"/>
        </w:rPr>
      </w:pPr>
      <w:r>
        <w:rPr>
          <w:rFonts w:hint="eastAsia"/>
          <w:color w:val="auto"/>
        </w:rPr>
        <w:t>(2)财政部 司法部关于政府采购支持监狱企业发展有关问题的通知 (财库﹝2014﹞68号)</w:t>
      </w:r>
    </w:p>
    <w:p>
      <w:pPr>
        <w:spacing w:line="400" w:lineRule="exact"/>
        <w:ind w:firstLine="420"/>
        <w:rPr>
          <w:rFonts w:hint="eastAsia"/>
          <w:color w:val="auto"/>
        </w:rPr>
      </w:pPr>
      <w:r>
        <w:rPr>
          <w:rFonts w:hint="eastAsia"/>
          <w:color w:val="auto"/>
        </w:rPr>
        <w:t>(3)财政部 民政部 中国残疾人联合会关于促进残疾人就业政府采购政策的通知 (财库﹝2017﹞141号)</w:t>
      </w:r>
    </w:p>
    <w:p>
      <w:pPr>
        <w:spacing w:line="400" w:lineRule="exact"/>
        <w:ind w:firstLine="420"/>
        <w:rPr>
          <w:color w:val="auto"/>
        </w:rPr>
      </w:pPr>
      <w:r>
        <w:rPr>
          <w:rFonts w:hint="eastAsia"/>
          <w:color w:val="auto"/>
          <w:lang w:val="en-US" w:eastAsia="zh-CN"/>
        </w:rPr>
        <w:t>3</w:t>
      </w:r>
      <w:r>
        <w:rPr>
          <w:color w:val="auto"/>
        </w:rPr>
        <w:t>.</w:t>
      </w:r>
      <w:bookmarkStart w:id="41" w:name="_Hlk91598380"/>
      <w:r>
        <w:rPr>
          <w:rFonts w:hint="eastAsia"/>
          <w:color w:val="auto"/>
        </w:rPr>
        <w:t>全流程电子化</w:t>
      </w:r>
      <w:bookmarkEnd w:id="41"/>
      <w:r>
        <w:rPr>
          <w:rFonts w:hint="eastAsia"/>
          <w:color w:val="auto"/>
        </w:rPr>
        <w:t>要求：</w:t>
      </w:r>
    </w:p>
    <w:p>
      <w:pPr>
        <w:spacing w:line="400" w:lineRule="exact"/>
        <w:ind w:firstLine="420"/>
        <w:rPr>
          <w:color w:val="auto"/>
        </w:rPr>
      </w:pPr>
      <w:r>
        <w:rPr>
          <w:rFonts w:hint="eastAsia"/>
          <w:color w:val="auto"/>
        </w:rPr>
        <w:t>本项目为全流程电子化项目，供应商应做好参与全流程电子化交易的充分准备，熟悉掌握电子化采购项目操作指南</w:t>
      </w:r>
      <w:bookmarkStart w:id="42" w:name="_Hlk147760538"/>
      <w:r>
        <w:rPr>
          <w:rFonts w:hint="eastAsia"/>
          <w:color w:val="auto"/>
        </w:rPr>
        <w:t>(操作指南：</w:t>
      </w:r>
      <w:r>
        <w:rPr>
          <w:color w:val="auto"/>
        </w:rPr>
        <w:fldChar w:fldCharType="begin"/>
      </w:r>
      <w:r>
        <w:rPr>
          <w:color w:val="auto"/>
        </w:rPr>
        <w:instrText xml:space="preserve"> HYPERLINK "https://helpcenter.zcygov.cn/document/" \l "/document/dashboard?siteCode=beijing&amp;channel=dt" </w:instrText>
      </w:r>
      <w:r>
        <w:rPr>
          <w:color w:val="auto"/>
        </w:rPr>
        <w:fldChar w:fldCharType="separate"/>
      </w:r>
      <w:r>
        <w:rPr>
          <w:rStyle w:val="46"/>
          <w:rFonts w:hint="eastAsia"/>
          <w:color w:val="auto"/>
        </w:rPr>
        <w:t>政采云电子卖场首页右上角—服务中心—帮助文档—项目采购</w:t>
      </w:r>
      <w:r>
        <w:rPr>
          <w:rStyle w:val="46"/>
          <w:rFonts w:hint="eastAsia"/>
          <w:color w:val="auto"/>
        </w:rPr>
        <w:fldChar w:fldCharType="end"/>
      </w:r>
      <w:r>
        <w:rPr>
          <w:rFonts w:hint="eastAsia"/>
          <w:color w:val="auto"/>
        </w:rPr>
        <w:t>)，及时完成CA申领和绑定(操作指南：</w:t>
      </w:r>
      <w:r>
        <w:rPr>
          <w:color w:val="auto"/>
        </w:rPr>
        <w:fldChar w:fldCharType="begin"/>
      </w:r>
      <w:r>
        <w:rPr>
          <w:color w:val="auto"/>
        </w:rPr>
        <w:instrText xml:space="preserve"> HYPERLINK "https://helpcenter.zcygov.cn/document/" \l "/document/detail?siteCode=beijing&amp;manualId=795&amp;topicId=4081" </w:instrText>
      </w:r>
      <w:r>
        <w:rPr>
          <w:color w:val="auto"/>
        </w:rPr>
        <w:fldChar w:fldCharType="separate"/>
      </w:r>
      <w:r>
        <w:rPr>
          <w:rStyle w:val="46"/>
          <w:rFonts w:hint="eastAsia"/>
          <w:color w:val="auto"/>
        </w:rPr>
        <w:t>政采云电子卖场首页右上角—帮助文档—入驻与配置—CA管理</w:t>
      </w:r>
      <w:r>
        <w:rPr>
          <w:rStyle w:val="46"/>
          <w:rFonts w:hint="eastAsia"/>
          <w:color w:val="auto"/>
        </w:rPr>
        <w:fldChar w:fldCharType="end"/>
      </w:r>
      <w:r>
        <w:rPr>
          <w:rFonts w:hint="eastAsia"/>
          <w:color w:val="auto"/>
        </w:rPr>
        <w:t>；CA证书申领路径：</w:t>
      </w:r>
      <w:r>
        <w:rPr>
          <w:color w:val="auto"/>
        </w:rPr>
        <w:fldChar w:fldCharType="begin"/>
      </w:r>
      <w:r>
        <w:rPr>
          <w:color w:val="auto"/>
        </w:rPr>
        <w:instrText xml:space="preserve"> HYPERLINK "https://helpcenter.zcygov.cn/document/" \l "/document/detail?siteCode=beijing&amp;manualId=795&amp;topicId=4083" </w:instrText>
      </w:r>
      <w:r>
        <w:rPr>
          <w:color w:val="auto"/>
        </w:rPr>
        <w:fldChar w:fldCharType="separate"/>
      </w:r>
      <w:r>
        <w:rPr>
          <w:rStyle w:val="46"/>
          <w:rFonts w:hint="eastAsia"/>
          <w:color w:val="auto"/>
        </w:rPr>
        <w:t>政采云平台—我的工作台右上角—CA管理—CA证书申领</w:t>
      </w:r>
      <w:r>
        <w:rPr>
          <w:rStyle w:val="46"/>
          <w:rFonts w:hint="eastAsia"/>
          <w:color w:val="auto"/>
        </w:rPr>
        <w:fldChar w:fldCharType="end"/>
      </w:r>
      <w:r>
        <w:rPr>
          <w:rFonts w:hint="eastAsia"/>
          <w:color w:val="auto"/>
        </w:rPr>
        <w:t>)</w:t>
      </w:r>
      <w:bookmarkEnd w:id="42"/>
      <w:r>
        <w:rPr>
          <w:rFonts w:hint="eastAsia"/>
          <w:color w:val="auto"/>
        </w:rPr>
        <w:t>。因未注册入库、未办理CA数字证书、CA证书故障、操作不当等原因造成</w:t>
      </w:r>
      <w:r>
        <w:rPr>
          <w:rFonts w:hint="eastAsia"/>
          <w:color w:val="auto"/>
          <w:lang w:val="en-US" w:eastAsia="zh-CN"/>
        </w:rPr>
        <w:t>磋商</w:t>
      </w:r>
      <w:r>
        <w:rPr>
          <w:rFonts w:hint="eastAsia"/>
          <w:color w:val="auto"/>
        </w:rPr>
        <w:t>失败等后果由供应商承担。</w:t>
      </w:r>
    </w:p>
    <w:p>
      <w:pPr>
        <w:spacing w:line="400" w:lineRule="exact"/>
        <w:ind w:firstLine="420"/>
        <w:rPr>
          <w:color w:val="auto"/>
        </w:rPr>
      </w:pPr>
      <w:r>
        <w:rPr>
          <w:color w:val="auto"/>
        </w:rPr>
        <w:t>(1)</w:t>
      </w:r>
      <w:r>
        <w:rPr>
          <w:rFonts w:hint="eastAsia"/>
          <w:color w:val="auto"/>
        </w:rPr>
        <w:t>依法获取采购文件：供应商须在获取采购文件时间内登录</w:t>
      </w:r>
      <w:r>
        <w:rPr>
          <w:color w:val="auto"/>
        </w:rPr>
        <w:fldChar w:fldCharType="begin"/>
      </w:r>
      <w:r>
        <w:rPr>
          <w:color w:val="auto"/>
        </w:rPr>
        <w:instrText xml:space="preserve"> HYPERLINK "https://www.zcygov.cn/" </w:instrText>
      </w:r>
      <w:r>
        <w:rPr>
          <w:color w:val="auto"/>
        </w:rPr>
        <w:fldChar w:fldCharType="separate"/>
      </w:r>
      <w:r>
        <w:rPr>
          <w:rStyle w:val="46"/>
          <w:rFonts w:hint="eastAsia"/>
          <w:color w:val="auto"/>
        </w:rPr>
        <w:t>政府采购云平台</w:t>
      </w:r>
      <w:r>
        <w:rPr>
          <w:rStyle w:val="46"/>
          <w:rFonts w:hint="eastAsia"/>
          <w:color w:val="auto"/>
        </w:rPr>
        <w:fldChar w:fldCharType="end"/>
      </w:r>
      <w:r>
        <w:rPr>
          <w:rFonts w:hint="eastAsia"/>
          <w:color w:val="auto"/>
        </w:rPr>
        <w:t>申请下载采购文件才视作依法获取采购文件。</w:t>
      </w:r>
    </w:p>
    <w:p>
      <w:pPr>
        <w:spacing w:line="400" w:lineRule="exact"/>
        <w:ind w:firstLine="420"/>
        <w:rPr>
          <w:b/>
          <w:color w:val="auto"/>
        </w:rPr>
      </w:pPr>
      <w:r>
        <w:rPr>
          <w:rFonts w:hint="eastAsia"/>
          <w:color w:val="auto"/>
        </w:rPr>
        <w:t>(</w:t>
      </w:r>
      <w:r>
        <w:rPr>
          <w:color w:val="auto"/>
        </w:rPr>
        <w:t>2)</w:t>
      </w:r>
      <w:r>
        <w:rPr>
          <w:rFonts w:hint="eastAsia"/>
          <w:color w:val="auto"/>
        </w:rPr>
        <w:t>供应商应通过广西政府采购云平台客户端制作响应文件，供应商自行前往下载安装（</w:t>
      </w:r>
      <w:r>
        <w:rPr>
          <w:color w:val="auto"/>
        </w:rPr>
        <w:fldChar w:fldCharType="begin"/>
      </w:r>
      <w:r>
        <w:rPr>
          <w:color w:val="auto"/>
        </w:rPr>
        <w:instrText xml:space="preserve"> HYPERLINK "https://sitecdn.zcycdn.com/zcy-client/bidding-client-new/official/guangxi/GuangXiSetup.exe" </w:instrText>
      </w:r>
      <w:r>
        <w:rPr>
          <w:color w:val="auto"/>
        </w:rPr>
        <w:fldChar w:fldCharType="separate"/>
      </w:r>
      <w:r>
        <w:rPr>
          <w:rFonts w:hint="eastAsia"/>
          <w:color w:val="auto"/>
        </w:rPr>
        <w:t>客户端下载</w:t>
      </w:r>
      <w:r>
        <w:rPr>
          <w:rFonts w:hint="eastAsia"/>
          <w:color w:val="auto"/>
        </w:rPr>
        <w:fldChar w:fldCharType="end"/>
      </w:r>
      <w:r>
        <w:rPr>
          <w:rFonts w:hint="eastAsia"/>
          <w:color w:val="auto"/>
        </w:rPr>
        <w:t>）。</w:t>
      </w:r>
    </w:p>
    <w:p>
      <w:pPr>
        <w:spacing w:line="400" w:lineRule="exact"/>
        <w:ind w:firstLine="420"/>
        <w:rPr>
          <w:color w:val="auto"/>
        </w:rPr>
      </w:pPr>
      <w:r>
        <w:rPr>
          <w:rFonts w:hint="eastAsia"/>
          <w:color w:val="auto"/>
        </w:rPr>
        <w:t>(</w:t>
      </w:r>
      <w:r>
        <w:rPr>
          <w:color w:val="auto"/>
        </w:rPr>
        <w:t>3)</w:t>
      </w:r>
      <w:r>
        <w:rPr>
          <w:rFonts w:hint="eastAsia"/>
          <w:color w:val="auto"/>
        </w:rPr>
        <w:t>供应商须按照采购文件和政府采购云平台的要求进行编制、上传、加密、提交、解密响应文件，响应文件提交截止时间后，政府采购云平台自动提取全部响应文件，各供应商须在提交截止时间后30分钟内对已上传政府采购云平台的响应文件进行解密，参与本项目的全部供应商在规定的解密时限内解密完成或解密时限结束后，我中心开启响应文件；供应商在解密时限内未完成解密的，政府采购云平台默认为供应商放弃参与本项目。</w:t>
      </w:r>
    </w:p>
    <w:p>
      <w:pPr>
        <w:spacing w:line="400" w:lineRule="exact"/>
        <w:ind w:firstLine="420"/>
        <w:rPr>
          <w:b/>
          <w:color w:val="auto"/>
        </w:rPr>
      </w:pPr>
      <w:r>
        <w:rPr>
          <w:rFonts w:hint="eastAsia"/>
          <w:color w:val="auto"/>
        </w:rPr>
        <w:t>(</w:t>
      </w:r>
      <w:r>
        <w:rPr>
          <w:color w:val="auto"/>
        </w:rPr>
        <w:t>4)</w:t>
      </w:r>
      <w:r>
        <w:rPr>
          <w:rFonts w:hint="eastAsia"/>
          <w:color w:val="auto"/>
        </w:rPr>
        <w:t>供应商法定代表人或委托代理人须按时登录</w:t>
      </w:r>
      <w:bookmarkStart w:id="43" w:name="_Hlk90367388"/>
      <w:r>
        <w:rPr>
          <w:rFonts w:hint="eastAsia" w:ascii="宋体" w:hAnsi="宋体" w:cs="Courier New"/>
          <w:color w:val="auto"/>
          <w:szCs w:val="21"/>
        </w:rPr>
        <w:t>政采云远程开标大厅</w:t>
      </w:r>
      <w:bookmarkEnd w:id="43"/>
      <w:r>
        <w:rPr>
          <w:rFonts w:hint="eastAsia"/>
          <w:color w:val="auto"/>
        </w:rPr>
        <w:t>，保持全程在线并关注评审磋商进度，评审期间磋商小组提出澄清等要求时，供应商须在规定时间内进行应答，否则按采购文件或政采云平台的相关规定执行。</w:t>
      </w:r>
    </w:p>
    <w:p>
      <w:pPr>
        <w:spacing w:line="400" w:lineRule="exact"/>
        <w:ind w:firstLine="420"/>
        <w:rPr>
          <w:rFonts w:hAnsi="宋体"/>
          <w:color w:val="auto"/>
        </w:rPr>
      </w:pPr>
      <w:r>
        <w:rPr>
          <w:rFonts w:hint="eastAsia"/>
          <w:color w:val="auto"/>
        </w:rPr>
        <w:t>(</w:t>
      </w:r>
      <w:r>
        <w:rPr>
          <w:color w:val="auto"/>
        </w:rPr>
        <w:t>5)</w:t>
      </w:r>
      <w:r>
        <w:rPr>
          <w:rFonts w:hint="eastAsia"/>
          <w:color w:val="auto"/>
        </w:rPr>
        <w:t>供应商参与磋商过程中涉及政府采购云平台的问题，请咨询政采云</w:t>
      </w:r>
      <w:r>
        <w:rPr>
          <w:rFonts w:hint="eastAsia" w:hAnsi="宋体"/>
          <w:color w:val="auto"/>
        </w:rPr>
        <w:t>技术支持热线：</w:t>
      </w:r>
      <w:r>
        <w:rPr>
          <w:rFonts w:hAnsi="宋体"/>
          <w:color w:val="auto"/>
        </w:rPr>
        <w:t>95763</w:t>
      </w:r>
      <w:r>
        <w:rPr>
          <w:rFonts w:hint="eastAsia" w:hAnsi="宋体"/>
          <w:color w:val="auto"/>
        </w:rPr>
        <w:t>。</w:t>
      </w:r>
    </w:p>
    <w:p>
      <w:pPr>
        <w:spacing w:line="400" w:lineRule="exact"/>
        <w:ind w:firstLine="420"/>
        <w:jc w:val="left"/>
        <w:rPr>
          <w:rFonts w:hAnsi="宋体"/>
          <w:color w:val="auto"/>
        </w:rPr>
      </w:pPr>
      <w:r>
        <w:rPr>
          <w:rFonts w:hint="eastAsia" w:hAnsi="宋体"/>
          <w:color w:val="auto"/>
          <w:lang w:val="en-US" w:eastAsia="zh-CN"/>
        </w:rPr>
        <w:t>4</w:t>
      </w:r>
      <w:r>
        <w:rPr>
          <w:rFonts w:hAnsi="宋体"/>
          <w:color w:val="auto"/>
        </w:rPr>
        <w:t>.</w:t>
      </w:r>
      <w:r>
        <w:rPr>
          <w:rFonts w:hint="eastAsia" w:hAnsi="宋体"/>
          <w:color w:val="auto"/>
        </w:rPr>
        <w:t>查询媒体：中国政府采购网、</w:t>
      </w:r>
      <w:r>
        <w:rPr>
          <w:color w:val="auto"/>
        </w:rPr>
        <w:fldChar w:fldCharType="begin"/>
      </w:r>
      <w:r>
        <w:rPr>
          <w:color w:val="auto"/>
        </w:rPr>
        <w:instrText xml:space="preserve"> HYPERLINK "http://zfcg.gxzf.gov.cn/" </w:instrText>
      </w:r>
      <w:r>
        <w:rPr>
          <w:color w:val="auto"/>
        </w:rPr>
        <w:fldChar w:fldCharType="separate"/>
      </w:r>
      <w:r>
        <w:rPr>
          <w:rStyle w:val="46"/>
          <w:rFonts w:hint="eastAsia" w:hAnsi="宋体"/>
          <w:color w:val="auto"/>
          <w:u w:val="none"/>
        </w:rPr>
        <w:t>广西政府采购网</w:t>
      </w:r>
      <w:r>
        <w:rPr>
          <w:rStyle w:val="46"/>
          <w:rFonts w:hint="eastAsia" w:hAnsi="宋体"/>
          <w:color w:val="auto"/>
          <w:u w:val="none"/>
        </w:rPr>
        <w:fldChar w:fldCharType="end"/>
      </w:r>
      <w:r>
        <w:rPr>
          <w:rFonts w:hint="eastAsia" w:hAnsi="宋体"/>
          <w:color w:val="auto"/>
        </w:rPr>
        <w:t>。</w:t>
      </w:r>
    </w:p>
    <w:p>
      <w:pPr>
        <w:spacing w:line="400" w:lineRule="exact"/>
        <w:ind w:firstLine="420"/>
        <w:jc w:val="left"/>
        <w:rPr>
          <w:rFonts w:hAnsi="宋体"/>
          <w:color w:val="auto"/>
        </w:rPr>
      </w:pPr>
      <w:bookmarkStart w:id="44" w:name="_Hlk107409555"/>
      <w:bookmarkStart w:id="45" w:name="_Hlk108515619"/>
      <w:r>
        <w:rPr>
          <w:rFonts w:hint="eastAsia" w:hAnsi="宋体"/>
          <w:color w:val="auto"/>
          <w:lang w:val="en-US" w:eastAsia="zh-CN"/>
        </w:rPr>
        <w:t>5</w:t>
      </w:r>
      <w:r>
        <w:rPr>
          <w:rFonts w:hAnsi="宋体"/>
          <w:color w:val="auto"/>
        </w:rPr>
        <w:t>.</w:t>
      </w:r>
      <w:r>
        <w:rPr>
          <w:rFonts w:hint="eastAsia" w:hAnsi="宋体"/>
          <w:color w:val="auto"/>
        </w:rPr>
        <w:t>钦州市政府采购中心联系方式：</w:t>
      </w:r>
    </w:p>
    <w:p>
      <w:pPr>
        <w:spacing w:line="400" w:lineRule="exact"/>
        <w:ind w:firstLine="420"/>
        <w:jc w:val="left"/>
        <w:rPr>
          <w:rFonts w:hAnsi="宋体"/>
          <w:color w:val="auto"/>
        </w:rPr>
      </w:pPr>
      <w:r>
        <w:rPr>
          <w:rFonts w:hAnsi="宋体"/>
          <w:color w:val="auto"/>
        </w:rPr>
        <w:t>(1)</w:t>
      </w:r>
      <w:r>
        <w:rPr>
          <w:rFonts w:hint="eastAsia" w:hAnsi="宋体"/>
          <w:color w:val="auto"/>
        </w:rPr>
        <w:t>采购部(采购文件</w:t>
      </w:r>
      <w:r>
        <w:rPr>
          <w:rFonts w:hAnsi="宋体"/>
          <w:color w:val="auto"/>
        </w:rPr>
        <w:t>)</w:t>
      </w:r>
    </w:p>
    <w:p>
      <w:pPr>
        <w:spacing w:line="400" w:lineRule="exact"/>
        <w:ind w:firstLine="420"/>
        <w:jc w:val="left"/>
        <w:rPr>
          <w:rFonts w:hAnsi="宋体"/>
          <w:color w:val="auto"/>
        </w:rPr>
      </w:pPr>
      <w:r>
        <w:rPr>
          <w:rFonts w:hint="eastAsia" w:hAnsi="宋体"/>
          <w:color w:val="auto"/>
        </w:rPr>
        <w:t>联系人：</w:t>
      </w:r>
      <w:r>
        <w:rPr>
          <w:rFonts w:hint="eastAsia" w:hAnsi="宋体"/>
          <w:color w:val="auto"/>
          <w:lang w:val="en-US" w:eastAsia="zh-CN"/>
        </w:rPr>
        <w:t>苏晓婷</w:t>
      </w:r>
      <w:r>
        <w:rPr>
          <w:rFonts w:hint="eastAsia" w:hAnsi="宋体"/>
          <w:color w:val="auto"/>
        </w:rPr>
        <w:t xml:space="preserve"> </w:t>
      </w:r>
      <w:r>
        <w:rPr>
          <w:rFonts w:hAnsi="宋体"/>
          <w:color w:val="auto"/>
        </w:rPr>
        <w:t xml:space="preserve"> </w:t>
      </w:r>
      <w:r>
        <w:rPr>
          <w:rFonts w:hint="eastAsia" w:hAnsi="宋体"/>
          <w:color w:val="auto"/>
        </w:rPr>
        <w:t xml:space="preserve"> 联系方式：0777-2886022</w:t>
      </w:r>
    </w:p>
    <w:p>
      <w:pPr>
        <w:spacing w:line="400" w:lineRule="exact"/>
        <w:ind w:firstLine="420"/>
        <w:jc w:val="left"/>
        <w:rPr>
          <w:rFonts w:hAnsi="宋体"/>
          <w:color w:val="auto"/>
        </w:rPr>
      </w:pPr>
      <w:r>
        <w:rPr>
          <w:rFonts w:hint="eastAsia" w:hAnsi="宋体"/>
          <w:color w:val="auto"/>
        </w:rPr>
        <w:t>(</w:t>
      </w:r>
      <w:r>
        <w:rPr>
          <w:rFonts w:hAnsi="宋体"/>
          <w:color w:val="auto"/>
        </w:rPr>
        <w:t>2)</w:t>
      </w:r>
      <w:r>
        <w:rPr>
          <w:rFonts w:hint="eastAsia" w:hAnsi="宋体"/>
          <w:color w:val="auto"/>
        </w:rPr>
        <w:t>综合二部(评审、磋商、成交及合同管理)</w:t>
      </w:r>
    </w:p>
    <w:p>
      <w:pPr>
        <w:spacing w:line="400" w:lineRule="exact"/>
        <w:ind w:firstLine="420"/>
        <w:jc w:val="left"/>
        <w:rPr>
          <w:rFonts w:hAnsi="宋体"/>
          <w:color w:val="auto"/>
        </w:rPr>
      </w:pPr>
      <w:r>
        <w:rPr>
          <w:rFonts w:hint="eastAsia" w:hAnsi="宋体"/>
          <w:color w:val="auto"/>
        </w:rPr>
        <w:t xml:space="preserve">联系人：陈侃、陈启梅 </w:t>
      </w:r>
      <w:r>
        <w:rPr>
          <w:rFonts w:hAnsi="宋体"/>
          <w:color w:val="auto"/>
        </w:rPr>
        <w:t xml:space="preserve">  </w:t>
      </w:r>
      <w:r>
        <w:rPr>
          <w:rFonts w:hint="eastAsia" w:hAnsi="宋体"/>
          <w:color w:val="auto"/>
        </w:rPr>
        <w:t>联系方式：0777-2886006</w:t>
      </w:r>
      <w:bookmarkEnd w:id="44"/>
    </w:p>
    <w:bookmarkEnd w:id="45"/>
    <w:p>
      <w:pPr>
        <w:spacing w:line="400" w:lineRule="exact"/>
        <w:rPr>
          <w:b/>
          <w:color w:val="auto"/>
        </w:rPr>
      </w:pPr>
      <w:r>
        <w:rPr>
          <w:rFonts w:hint="eastAsia"/>
          <w:b/>
          <w:color w:val="auto"/>
        </w:rPr>
        <w:t>八、对本次采购项目提出询问，请按</w:t>
      </w:r>
      <w:r>
        <w:rPr>
          <w:b/>
          <w:color w:val="auto"/>
        </w:rPr>
        <w:t>以下方式</w:t>
      </w:r>
      <w:r>
        <w:rPr>
          <w:rFonts w:hint="eastAsia"/>
          <w:b/>
          <w:color w:val="auto"/>
        </w:rPr>
        <w:t>联系</w:t>
      </w:r>
      <w:bookmarkEnd w:id="37"/>
      <w:bookmarkEnd w:id="38"/>
      <w:bookmarkEnd w:id="39"/>
      <w:bookmarkEnd w:id="40"/>
    </w:p>
    <w:p>
      <w:pPr>
        <w:spacing w:line="400" w:lineRule="exact"/>
        <w:ind w:firstLine="420" w:firstLineChars="200"/>
        <w:rPr>
          <w:color w:val="auto"/>
        </w:rPr>
      </w:pPr>
      <w:r>
        <w:rPr>
          <w:rFonts w:hint="eastAsia"/>
          <w:color w:val="auto"/>
        </w:rPr>
        <w:t>1.采购人信息</w:t>
      </w:r>
      <w:bookmarkEnd w:id="12"/>
    </w:p>
    <w:p>
      <w:pPr>
        <w:spacing w:line="400" w:lineRule="exact"/>
        <w:ind w:firstLine="420" w:firstLineChars="200"/>
        <w:rPr>
          <w:rFonts w:hint="default" w:ascii="宋体" w:hAnsi="宋体" w:eastAsia="宋体" w:cs="Times New Roman"/>
          <w:color w:val="auto"/>
          <w:szCs w:val="21"/>
          <w:lang w:val="en-US" w:eastAsia="zh-CN"/>
        </w:rPr>
      </w:pPr>
      <w:r>
        <w:rPr>
          <w:rFonts w:hint="eastAsia"/>
          <w:color w:val="auto"/>
        </w:rPr>
        <w:t>名</w:t>
      </w:r>
      <w:r>
        <w:rPr>
          <w:rFonts w:hint="eastAsia" w:ascii="宋体" w:hAnsi="宋体" w:eastAsia="宋体" w:cs="Times New Roman"/>
          <w:color w:val="auto"/>
          <w:szCs w:val="21"/>
          <w:lang w:val="en-US" w:eastAsia="zh-CN"/>
        </w:rPr>
        <w:t>称：钦州市儿童福利院</w:t>
      </w:r>
    </w:p>
    <w:p>
      <w:pPr>
        <w:spacing w:line="400" w:lineRule="exact"/>
        <w:ind w:firstLine="420" w:firstLineChars="200"/>
        <w:rPr>
          <w:rFonts w:hint="eastAsia" w:ascii="宋体" w:hAnsi="宋体" w:eastAsia="宋体" w:cs="Times New Roman"/>
          <w:color w:val="auto"/>
          <w:szCs w:val="21"/>
          <w:lang w:val="en-US" w:eastAsia="zh-CN"/>
        </w:rPr>
      </w:pPr>
      <w:bookmarkStart w:id="46" w:name="_Toc38370147"/>
      <w:r>
        <w:rPr>
          <w:rFonts w:hint="eastAsia" w:ascii="宋体" w:hAnsi="宋体" w:eastAsia="宋体" w:cs="Times New Roman"/>
          <w:color w:val="auto"/>
          <w:szCs w:val="21"/>
          <w:lang w:val="en-US" w:eastAsia="zh-CN"/>
        </w:rPr>
        <w:t>地址：钦州市金华路8号 </w:t>
      </w:r>
    </w:p>
    <w:p>
      <w:pPr>
        <w:spacing w:line="400" w:lineRule="exact"/>
        <w:ind w:firstLine="420" w:firstLineChars="2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项目联系人：潘胜誉</w:t>
      </w:r>
    </w:p>
    <w:p>
      <w:pPr>
        <w:spacing w:line="400" w:lineRule="exact"/>
        <w:ind w:firstLine="420" w:firstLineChars="200"/>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项目联系方式：0777-3217080</w:t>
      </w:r>
    </w:p>
    <w:p>
      <w:pPr>
        <w:spacing w:line="400" w:lineRule="exact"/>
        <w:ind w:firstLine="420" w:firstLineChars="200"/>
        <w:rPr>
          <w:color w:val="auto"/>
        </w:rPr>
      </w:pPr>
    </w:p>
    <w:bookmarkEnd w:id="46"/>
    <w:p>
      <w:pPr>
        <w:spacing w:line="400" w:lineRule="exact"/>
        <w:ind w:firstLine="420" w:firstLineChars="200"/>
        <w:rPr>
          <w:color w:val="auto"/>
        </w:rPr>
      </w:pPr>
      <w:r>
        <w:rPr>
          <w:rFonts w:hint="eastAsia"/>
          <w:color w:val="auto"/>
        </w:rPr>
        <w:t>2.采购代理机构信息</w:t>
      </w:r>
    </w:p>
    <w:p>
      <w:pPr>
        <w:spacing w:line="400" w:lineRule="exact"/>
        <w:ind w:firstLine="420" w:firstLineChars="200"/>
        <w:rPr>
          <w:color w:val="auto"/>
        </w:rPr>
      </w:pPr>
      <w:r>
        <w:rPr>
          <w:rFonts w:hint="eastAsia"/>
          <w:color w:val="auto"/>
        </w:rPr>
        <w:t>名称：钦州市政府采购中心</w:t>
      </w:r>
    </w:p>
    <w:p>
      <w:pPr>
        <w:spacing w:line="400" w:lineRule="exact"/>
        <w:ind w:firstLine="420" w:firstLineChars="200"/>
        <w:rPr>
          <w:color w:val="auto"/>
        </w:rPr>
      </w:pPr>
      <w:r>
        <w:rPr>
          <w:rFonts w:hint="eastAsia"/>
          <w:color w:val="auto"/>
        </w:rPr>
        <w:t>地址：钦州市金海湾东大街8号</w:t>
      </w:r>
    </w:p>
    <w:p>
      <w:pPr>
        <w:spacing w:line="400" w:lineRule="exact"/>
        <w:ind w:firstLine="420" w:firstLineChars="200"/>
        <w:rPr>
          <w:rFonts w:hint="eastAsia" w:eastAsia="宋体"/>
          <w:color w:val="auto"/>
          <w:lang w:val="en-US" w:eastAsia="zh-CN"/>
        </w:rPr>
      </w:pPr>
      <w:r>
        <w:rPr>
          <w:rFonts w:hint="eastAsia"/>
          <w:color w:val="auto"/>
        </w:rPr>
        <w:t>项目联系人：</w:t>
      </w:r>
      <w:r>
        <w:rPr>
          <w:rFonts w:hint="eastAsia"/>
          <w:color w:val="auto"/>
          <w:lang w:val="en-US" w:eastAsia="zh-CN"/>
        </w:rPr>
        <w:t>苏晓婷</w:t>
      </w:r>
    </w:p>
    <w:p>
      <w:pPr>
        <w:spacing w:line="400" w:lineRule="exact"/>
        <w:ind w:firstLine="420" w:firstLineChars="200"/>
        <w:rPr>
          <w:rFonts w:hint="default" w:eastAsia="宋体"/>
          <w:color w:val="auto"/>
          <w:lang w:val="en-US" w:eastAsia="zh-CN"/>
        </w:rPr>
      </w:pPr>
      <w:r>
        <w:rPr>
          <w:rFonts w:hint="eastAsia"/>
          <w:color w:val="auto"/>
        </w:rPr>
        <w:t>项目联系方式：</w:t>
      </w:r>
      <w:bookmarkStart w:id="47" w:name="_Toc28359087"/>
      <w:bookmarkStart w:id="48" w:name="_Toc28359010"/>
      <w:r>
        <w:rPr>
          <w:rFonts w:hint="eastAsia"/>
          <w:color w:val="auto"/>
          <w:lang w:val="en-US" w:eastAsia="zh-CN"/>
        </w:rPr>
        <w:t>0777-2886022</w:t>
      </w:r>
    </w:p>
    <w:p>
      <w:pPr>
        <w:widowControl/>
        <w:jc w:val="left"/>
        <w:rPr>
          <w:color w:val="auto"/>
        </w:rPr>
      </w:pPr>
      <w:r>
        <w:rPr>
          <w:color w:val="auto"/>
        </w:rPr>
        <w:br w:type="page"/>
      </w:r>
    </w:p>
    <w:bookmarkEnd w:id="4"/>
    <w:p>
      <w:pPr>
        <w:rPr>
          <w:color w:val="auto"/>
        </w:rPr>
      </w:pPr>
    </w:p>
    <w:bookmarkEnd w:id="47"/>
    <w:bookmarkEnd w:id="48"/>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pStyle w:val="3"/>
        <w:spacing w:line="400" w:lineRule="exact"/>
        <w:rPr>
          <w:rFonts w:ascii="方正小标宋_GBK" w:hAnsi="宋体" w:eastAsia="方正小标宋_GBK"/>
          <w:color w:val="auto"/>
        </w:rPr>
      </w:pPr>
      <w:bookmarkStart w:id="49" w:name="_Toc92355024"/>
      <w:r>
        <w:rPr>
          <w:rFonts w:hint="eastAsia" w:ascii="方正小标宋_GBK" w:hAnsi="宋体" w:eastAsia="方正小标宋_GBK"/>
          <w:color w:val="auto"/>
        </w:rPr>
        <w:t>第二章  项目需求</w:t>
      </w:r>
      <w:bookmarkEnd w:id="49"/>
    </w:p>
    <w:p>
      <w:pPr>
        <w:widowControl/>
        <w:spacing w:line="460" w:lineRule="exact"/>
        <w:jc w:val="left"/>
        <w:rPr>
          <w:rFonts w:ascii="宋体" w:hAnsi="宋体"/>
          <w:color w:val="auto"/>
          <w:szCs w:val="21"/>
        </w:rPr>
      </w:pPr>
      <w:r>
        <w:rPr>
          <w:rFonts w:ascii="宋体" w:hAnsi="宋体"/>
          <w:b/>
          <w:color w:val="auto"/>
          <w:szCs w:val="21"/>
        </w:rPr>
        <w:br w:type="page"/>
      </w:r>
      <w:bookmarkStart w:id="50" w:name="_Toc358477280"/>
      <w:bookmarkStart w:id="51" w:name="_Toc354479498"/>
    </w:p>
    <w:p>
      <w:pPr>
        <w:widowControl/>
        <w:spacing w:line="460" w:lineRule="exact"/>
        <w:jc w:val="left"/>
        <w:rPr>
          <w:rFonts w:ascii="宋体" w:hAnsi="宋体"/>
          <w:color w:val="auto"/>
          <w:szCs w:val="21"/>
        </w:rPr>
      </w:pPr>
    </w:p>
    <w:p>
      <w:pPr>
        <w:spacing w:line="440" w:lineRule="exact"/>
        <w:jc w:val="center"/>
        <w:rPr>
          <w:rFonts w:hint="eastAsia" w:ascii="宋体" w:hAnsi="宋体"/>
          <w:b/>
          <w:color w:val="auto"/>
          <w:sz w:val="36"/>
          <w:szCs w:val="36"/>
        </w:rPr>
      </w:pPr>
      <w:r>
        <w:rPr>
          <w:rFonts w:hint="eastAsia" w:ascii="宋体" w:hAnsi="宋体"/>
          <w:b/>
          <w:color w:val="auto"/>
          <w:sz w:val="36"/>
          <w:szCs w:val="36"/>
        </w:rPr>
        <w:t>项目需求</w:t>
      </w:r>
    </w:p>
    <w:p>
      <w:pPr>
        <w:spacing w:line="400" w:lineRule="exact"/>
        <w:ind w:firstLine="422" w:firstLineChars="200"/>
        <w:rPr>
          <w:rFonts w:hint="eastAsia" w:ascii="宋体" w:hAnsi="宋体" w:cs="宋体"/>
          <w:b/>
          <w:color w:val="auto"/>
          <w:szCs w:val="21"/>
        </w:rPr>
      </w:pPr>
    </w:p>
    <w:p>
      <w:pPr>
        <w:spacing w:line="500" w:lineRule="exact"/>
        <w:ind w:firstLine="560" w:firstLineChars="200"/>
        <w:rPr>
          <w:rFonts w:hint="default" w:ascii="黑体" w:hAnsi="黑体" w:eastAsia="黑体" w:cs="黑体"/>
          <w:bCs/>
          <w:color w:val="auto"/>
          <w:sz w:val="28"/>
          <w:szCs w:val="28"/>
          <w:highlight w:val="none"/>
          <w:lang w:val="en-US" w:eastAsia="zh-CN"/>
        </w:rPr>
      </w:pPr>
      <w:bookmarkStart w:id="52" w:name="_Hlk89960406"/>
      <w:r>
        <w:rPr>
          <w:rFonts w:hint="eastAsia" w:ascii="黑体" w:hAnsi="黑体" w:eastAsia="黑体" w:cs="黑体"/>
          <w:bCs/>
          <w:color w:val="auto"/>
          <w:sz w:val="28"/>
          <w:szCs w:val="28"/>
          <w:highlight w:val="none"/>
          <w:lang w:val="en-US" w:eastAsia="zh-CN"/>
        </w:rPr>
        <w:t>说明：</w:t>
      </w:r>
    </w:p>
    <w:p>
      <w:pPr>
        <w:tabs>
          <w:tab w:val="left" w:pos="180"/>
          <w:tab w:val="left" w:pos="1620"/>
        </w:tabs>
        <w:spacing w:line="360" w:lineRule="auto"/>
        <w:ind w:firstLine="420" w:firstLineChars="200"/>
        <w:rPr>
          <w:rFonts w:hint="eastAsia" w:ascii="宋体" w:hAnsi="宋体" w:eastAsia="宋体"/>
          <w:b w:val="0"/>
          <w:bCs/>
          <w:color w:val="auto"/>
          <w:spacing w:val="-11"/>
          <w:sz w:val="21"/>
          <w:highlight w:val="none"/>
          <w:lang w:eastAsia="zh-CN"/>
        </w:rPr>
      </w:pP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一</w:t>
      </w:r>
      <w:r>
        <w:rPr>
          <w:rFonts w:hint="eastAsia" w:ascii="宋体" w:hAnsi="宋体"/>
          <w:b w:val="0"/>
          <w:bCs/>
          <w:color w:val="auto"/>
          <w:highlight w:val="none"/>
          <w:lang w:eastAsia="zh-CN"/>
        </w:rPr>
        <w:t>）</w:t>
      </w:r>
      <w:r>
        <w:rPr>
          <w:rFonts w:hint="eastAsia" w:ascii="宋体" w:hAnsi="宋体"/>
          <w:b w:val="0"/>
          <w:bCs/>
          <w:color w:val="auto"/>
          <w:highlight w:val="none"/>
        </w:rPr>
        <w:t>项目名称：</w:t>
      </w:r>
      <w:r>
        <w:rPr>
          <w:rFonts w:hint="eastAsia" w:ascii="宋体" w:hAnsi="宋体"/>
          <w:b w:val="0"/>
          <w:bCs/>
          <w:color w:val="auto"/>
          <w:spacing w:val="-11"/>
          <w:sz w:val="21"/>
          <w:highlight w:val="none"/>
          <w:lang w:eastAsia="zh-CN"/>
        </w:rPr>
        <w:t>钦州市儿童福利院康复特教中心物业管理服务</w:t>
      </w:r>
    </w:p>
    <w:p>
      <w:pPr>
        <w:tabs>
          <w:tab w:val="left" w:pos="180"/>
          <w:tab w:val="left" w:pos="1620"/>
        </w:tabs>
        <w:spacing w:line="360" w:lineRule="auto"/>
        <w:ind w:firstLine="420" w:firstLineChars="200"/>
        <w:rPr>
          <w:rFonts w:ascii="宋体" w:hAnsi="宋体"/>
          <w:b w:val="0"/>
          <w:bCs/>
          <w:color w:val="auto"/>
          <w:highlight w:val="none"/>
          <w:u w:val="single"/>
        </w:rPr>
      </w:pP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二</w:t>
      </w:r>
      <w:r>
        <w:rPr>
          <w:rFonts w:hint="eastAsia" w:ascii="宋体" w:hAnsi="宋体"/>
          <w:b w:val="0"/>
          <w:bCs/>
          <w:color w:val="auto"/>
          <w:highlight w:val="none"/>
          <w:lang w:eastAsia="zh-CN"/>
        </w:rPr>
        <w:t>）</w:t>
      </w:r>
      <w:r>
        <w:rPr>
          <w:rFonts w:hint="eastAsia" w:ascii="宋体" w:hAnsi="宋体"/>
          <w:b w:val="0"/>
          <w:bCs/>
          <w:color w:val="auto"/>
          <w:highlight w:val="none"/>
        </w:rPr>
        <w:t xml:space="preserve">项目编号: </w:t>
      </w:r>
      <w:r>
        <w:rPr>
          <w:rFonts w:hint="eastAsia" w:ascii="宋体" w:hAnsi="宋体"/>
          <w:b w:val="0"/>
          <w:bCs/>
          <w:color w:val="auto"/>
          <w:highlight w:val="none"/>
          <w:u w:val="single"/>
          <w:lang w:eastAsia="zh-CN"/>
        </w:rPr>
        <w:t>QZZC2026-C3-990309-QZSZ</w:t>
      </w:r>
      <w:r>
        <w:rPr>
          <w:rFonts w:hint="eastAsia" w:ascii="宋体" w:hAnsi="宋体"/>
          <w:b w:val="0"/>
          <w:bCs/>
          <w:color w:val="auto"/>
          <w:highlight w:val="none"/>
          <w:u w:val="single"/>
        </w:rPr>
        <w:t xml:space="preserve"> </w:t>
      </w:r>
    </w:p>
    <w:p>
      <w:pPr>
        <w:tabs>
          <w:tab w:val="left" w:pos="180"/>
          <w:tab w:val="left" w:pos="1620"/>
        </w:tabs>
        <w:spacing w:line="360" w:lineRule="auto"/>
        <w:ind w:firstLine="420" w:firstLineChars="200"/>
        <w:rPr>
          <w:rFonts w:ascii="宋体" w:hAnsi="宋体"/>
          <w:b w:val="0"/>
          <w:bCs/>
          <w:color w:val="auto"/>
          <w:highlight w:val="none"/>
          <w:u w:val="single"/>
        </w:rPr>
      </w:pP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三</w:t>
      </w:r>
      <w:r>
        <w:rPr>
          <w:rFonts w:hint="eastAsia" w:ascii="宋体" w:hAnsi="宋体"/>
          <w:b w:val="0"/>
          <w:bCs/>
          <w:color w:val="auto"/>
          <w:highlight w:val="none"/>
          <w:lang w:eastAsia="zh-CN"/>
        </w:rPr>
        <w:t>）</w:t>
      </w:r>
      <w:r>
        <w:rPr>
          <w:rFonts w:hint="eastAsia" w:ascii="宋体" w:hAnsi="宋体"/>
          <w:b w:val="0"/>
          <w:bCs/>
          <w:color w:val="auto"/>
          <w:highlight w:val="none"/>
        </w:rPr>
        <w:t>项目类别：</w:t>
      </w:r>
      <w:r>
        <w:rPr>
          <w:rFonts w:hint="eastAsia" w:ascii="宋体" w:hAnsi="宋体"/>
          <w:b w:val="0"/>
          <w:bCs/>
          <w:color w:val="auto"/>
          <w:highlight w:val="none"/>
          <w:u w:val="single"/>
        </w:rPr>
        <w:t>服务类</w:t>
      </w:r>
    </w:p>
    <w:p>
      <w:pPr>
        <w:tabs>
          <w:tab w:val="left" w:pos="180"/>
          <w:tab w:val="left" w:pos="1620"/>
        </w:tabs>
        <w:spacing w:line="360" w:lineRule="auto"/>
        <w:ind w:firstLine="420" w:firstLineChars="200"/>
        <w:rPr>
          <w:rFonts w:hint="eastAsia" w:ascii="黑体" w:hAnsi="黑体" w:eastAsia="黑体" w:cs="黑体"/>
          <w:bCs/>
          <w:color w:val="auto"/>
          <w:sz w:val="28"/>
          <w:szCs w:val="28"/>
          <w:highlight w:val="none"/>
        </w:rPr>
      </w:pP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四</w:t>
      </w:r>
      <w:r>
        <w:rPr>
          <w:rFonts w:hint="eastAsia" w:ascii="宋体" w:hAnsi="宋体"/>
          <w:b w:val="0"/>
          <w:bCs/>
          <w:color w:val="auto"/>
          <w:highlight w:val="none"/>
          <w:lang w:eastAsia="zh-CN"/>
        </w:rPr>
        <w:t>）</w:t>
      </w:r>
      <w:r>
        <w:rPr>
          <w:rFonts w:ascii="宋体" w:hAnsi="宋体"/>
          <w:b w:val="0"/>
          <w:bCs/>
          <w:color w:val="auto"/>
          <w:highlight w:val="none"/>
        </w:rPr>
        <w:t>本项目采购标的对应的中小企业划分标准所属行业为</w:t>
      </w:r>
      <w:r>
        <w:rPr>
          <w:rFonts w:hint="eastAsia" w:ascii="宋体" w:hAnsi="宋体"/>
          <w:b w:val="0"/>
          <w:bCs/>
          <w:color w:val="auto"/>
          <w:highlight w:val="none"/>
        </w:rPr>
        <w:t>：</w:t>
      </w:r>
      <w:r>
        <w:rPr>
          <w:rFonts w:hint="eastAsia" w:ascii="宋体" w:hAnsi="宋体"/>
          <w:b/>
          <w:bCs w:val="0"/>
          <w:color w:val="auto"/>
          <w:highlight w:val="none"/>
          <w:u w:val="single"/>
          <w:lang w:val="en-US" w:eastAsia="zh-CN"/>
        </w:rPr>
        <w:t>物业管理</w:t>
      </w:r>
      <w:r>
        <w:rPr>
          <w:rFonts w:hint="eastAsia" w:ascii="宋体" w:hAnsi="宋体"/>
          <w:b/>
          <w:bCs w:val="0"/>
          <w:color w:val="auto"/>
          <w:highlight w:val="none"/>
        </w:rPr>
        <w:t>。</w:t>
      </w:r>
      <w:bookmarkEnd w:id="52"/>
    </w:p>
    <w:p>
      <w:pPr>
        <w:spacing w:before="320" w:after="120" w:line="288" w:lineRule="auto"/>
        <w:ind w:left="0" w:firstLine="0" w:firstLineChars="0"/>
        <w:jc w:val="left"/>
        <w:outlineLvl w:val="1"/>
        <w:rPr>
          <w:rFonts w:ascii="Calibri" w:hAnsi="Calibri" w:eastAsia="宋体" w:cs="Times New Roman"/>
          <w:color w:val="auto"/>
          <w:kern w:val="0"/>
          <w:szCs w:val="22"/>
        </w:rPr>
      </w:pPr>
      <w:bookmarkStart w:id="53" w:name="heading_1"/>
      <w:r>
        <w:rPr>
          <w:rFonts w:ascii="Arial" w:hAnsi="Arial" w:eastAsia="等线" w:cs="Arial"/>
          <w:b/>
          <w:color w:val="auto"/>
          <w:kern w:val="0"/>
          <w:sz w:val="32"/>
          <w:szCs w:val="22"/>
        </w:rPr>
        <w:t>1. 项目基本情况</w:t>
      </w:r>
      <w:bookmarkEnd w:id="53"/>
    </w:p>
    <w:p>
      <w:pPr>
        <w:spacing w:before="300" w:after="120" w:line="288" w:lineRule="auto"/>
        <w:ind w:left="0" w:firstLine="0" w:firstLineChars="0"/>
        <w:jc w:val="left"/>
        <w:outlineLvl w:val="2"/>
        <w:rPr>
          <w:rFonts w:ascii="Calibri" w:hAnsi="Calibri" w:eastAsia="宋体" w:cs="Times New Roman"/>
          <w:color w:val="auto"/>
          <w:kern w:val="0"/>
          <w:szCs w:val="22"/>
        </w:rPr>
      </w:pPr>
      <w:bookmarkStart w:id="54" w:name="heading_2"/>
      <w:r>
        <w:rPr>
          <w:rFonts w:ascii="Arial" w:hAnsi="Arial" w:eastAsia="等线" w:cs="Arial"/>
          <w:b/>
          <w:color w:val="auto"/>
          <w:kern w:val="0"/>
          <w:sz w:val="30"/>
          <w:szCs w:val="22"/>
        </w:rPr>
        <w:t>1.1 物业情况</w:t>
      </w:r>
      <w:bookmarkEnd w:id="54"/>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4611"/>
        <w:gridCol w:w="3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4611" w:type="dxa"/>
            <w:tcMar>
              <w:top w:w="60" w:type="dxa"/>
              <w:left w:w="120" w:type="dxa"/>
              <w:bottom w:w="30" w:type="dxa"/>
              <w:right w:w="120" w:type="dxa"/>
            </w:tcMar>
          </w:tcPr>
          <w:p>
            <w:pPr>
              <w:spacing w:before="120" w:after="120" w:line="288" w:lineRule="auto"/>
              <w:ind w:left="0" w:firstLine="0" w:firstLineChars="0"/>
              <w:jc w:val="center"/>
              <w:rPr>
                <w:rFonts w:ascii="Calibri" w:hAnsi="Calibri" w:eastAsia="宋体" w:cs="Times New Roman"/>
                <w:color w:val="auto"/>
                <w:kern w:val="0"/>
                <w:szCs w:val="22"/>
              </w:rPr>
            </w:pPr>
            <w:r>
              <w:rPr>
                <w:rFonts w:ascii="Arial" w:hAnsi="Arial" w:eastAsia="等线" w:cs="Arial"/>
                <w:color w:val="auto"/>
                <w:kern w:val="0"/>
                <w:sz w:val="22"/>
                <w:szCs w:val="22"/>
              </w:rPr>
              <w:t>物业名称</w:t>
            </w:r>
          </w:p>
        </w:tc>
        <w:tc>
          <w:tcPr>
            <w:tcW w:w="3558" w:type="dxa"/>
            <w:tcMar>
              <w:top w:w="60" w:type="dxa"/>
              <w:left w:w="120" w:type="dxa"/>
              <w:bottom w:w="30" w:type="dxa"/>
              <w:right w:w="120" w:type="dxa"/>
            </w:tcMar>
          </w:tcPr>
          <w:p>
            <w:pPr>
              <w:spacing w:before="120" w:after="120" w:line="288" w:lineRule="auto"/>
              <w:ind w:left="0" w:firstLine="0" w:firstLineChars="0"/>
              <w:jc w:val="center"/>
              <w:rPr>
                <w:rFonts w:ascii="Calibri" w:hAnsi="Calibri" w:eastAsia="宋体" w:cs="Times New Roman"/>
                <w:color w:val="auto"/>
                <w:kern w:val="0"/>
                <w:szCs w:val="22"/>
              </w:rPr>
            </w:pPr>
            <w:r>
              <w:rPr>
                <w:rFonts w:ascii="Arial" w:hAnsi="Arial" w:eastAsia="等线" w:cs="Arial"/>
                <w:color w:val="auto"/>
                <w:kern w:val="0"/>
                <w:sz w:val="22"/>
                <w:szCs w:val="22"/>
              </w:rPr>
              <w:t>物业地址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4611" w:type="dxa"/>
            <w:tcMar>
              <w:top w:w="60" w:type="dxa"/>
              <w:left w:w="120" w:type="dxa"/>
              <w:bottom w:w="30" w:type="dxa"/>
              <w:right w:w="120" w:type="dxa"/>
            </w:tcMar>
          </w:tcPr>
          <w:p>
            <w:pPr>
              <w:spacing w:before="120" w:after="120" w:line="288" w:lineRule="auto"/>
              <w:ind w:left="0" w:firstLine="0" w:firstLineChars="0"/>
              <w:jc w:val="center"/>
              <w:rPr>
                <w:rFonts w:ascii="Calibri" w:hAnsi="Calibri" w:eastAsia="宋体" w:cs="Times New Roman"/>
                <w:color w:val="auto"/>
                <w:kern w:val="0"/>
                <w:szCs w:val="22"/>
              </w:rPr>
            </w:pPr>
            <w:r>
              <w:rPr>
                <w:rFonts w:ascii="Calibri" w:hAnsi="Calibri" w:eastAsia="宋体" w:cs="Times New Roman"/>
                <w:color w:val="auto"/>
                <w:kern w:val="0"/>
                <w:sz w:val="21"/>
                <w:szCs w:val="22"/>
              </w:rPr>
              <w:t>钦州市儿童福利院</w:t>
            </w:r>
          </w:p>
        </w:tc>
        <w:tc>
          <w:tcPr>
            <w:tcW w:w="3558" w:type="dxa"/>
            <w:tcMar>
              <w:top w:w="60" w:type="dxa"/>
              <w:left w:w="120" w:type="dxa"/>
              <w:bottom w:w="30" w:type="dxa"/>
              <w:right w:w="120" w:type="dxa"/>
            </w:tcMar>
          </w:tcPr>
          <w:p>
            <w:pPr>
              <w:spacing w:before="120" w:after="120" w:line="288" w:lineRule="auto"/>
              <w:ind w:left="0" w:firstLine="0" w:firstLineChars="0"/>
              <w:jc w:val="center"/>
              <w:rPr>
                <w:rFonts w:ascii="Calibri" w:hAnsi="Calibri" w:eastAsia="宋体" w:cs="Times New Roman"/>
                <w:color w:val="auto"/>
                <w:kern w:val="0"/>
                <w:szCs w:val="22"/>
              </w:rPr>
            </w:pPr>
            <w:r>
              <w:rPr>
                <w:rFonts w:ascii="Calibri" w:hAnsi="Calibri" w:eastAsia="宋体" w:cs="Times New Roman"/>
                <w:color w:val="auto"/>
                <w:kern w:val="0"/>
                <w:sz w:val="21"/>
                <w:szCs w:val="22"/>
              </w:rPr>
              <w:t>钦州市金华路8号</w:t>
            </w:r>
          </w:p>
        </w:tc>
      </w:tr>
    </w:tbl>
    <w:p>
      <w:pPr>
        <w:spacing w:before="300" w:after="120" w:line="288" w:lineRule="auto"/>
        <w:ind w:left="0" w:firstLine="0" w:firstLineChars="0"/>
        <w:jc w:val="left"/>
        <w:outlineLvl w:val="2"/>
        <w:rPr>
          <w:rFonts w:ascii="Calibri" w:hAnsi="Calibri" w:eastAsia="宋体" w:cs="Times New Roman"/>
          <w:color w:val="auto"/>
          <w:kern w:val="0"/>
          <w:szCs w:val="22"/>
        </w:rPr>
      </w:pPr>
      <w:bookmarkStart w:id="55" w:name="heading_3"/>
      <w:r>
        <w:rPr>
          <w:rFonts w:ascii="Arial" w:hAnsi="Arial" w:eastAsia="等线" w:cs="Arial"/>
          <w:b/>
          <w:color w:val="auto"/>
          <w:kern w:val="0"/>
          <w:sz w:val="30"/>
          <w:szCs w:val="22"/>
        </w:rPr>
        <w:t>1.2 采购人提供供应商使用的场地、设施、设备、材料等</w:t>
      </w:r>
      <w:bookmarkEnd w:id="55"/>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采购人可提供：</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（1）消防控制室值班用房及配套设施；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（2）消防控制主机、监控设备、应急通讯设备等现有安防消防设施设备；</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（3）值班用桌椅、照明、空调等基础保障设施；</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（4）值班台账、记录表等基础用品。</w:t>
      </w:r>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供应商应承担除以上所列场地、设施、设备、材料外，与消防控制室值班及兼职安保相关的其他用品、耗材、装备。</w:t>
      </w:r>
    </w:p>
    <w:p>
      <w:pPr>
        <w:spacing w:before="320" w:after="120" w:line="288" w:lineRule="auto"/>
        <w:ind w:left="0" w:firstLine="0" w:firstLineChars="0"/>
        <w:jc w:val="left"/>
        <w:outlineLvl w:val="1"/>
        <w:rPr>
          <w:rFonts w:ascii="Calibri" w:hAnsi="Calibri" w:eastAsia="宋体" w:cs="Times New Roman"/>
          <w:color w:val="auto"/>
          <w:kern w:val="0"/>
          <w:szCs w:val="22"/>
        </w:rPr>
      </w:pPr>
      <w:bookmarkStart w:id="56" w:name="heading_4"/>
      <w:r>
        <w:rPr>
          <w:rFonts w:ascii="Arial" w:hAnsi="Arial" w:eastAsia="等线" w:cs="Arial"/>
          <w:b/>
          <w:color w:val="auto"/>
          <w:kern w:val="0"/>
          <w:sz w:val="32"/>
          <w:szCs w:val="22"/>
        </w:rPr>
        <w:t>2. 物业服务范围</w:t>
      </w:r>
      <w:bookmarkEnd w:id="56"/>
    </w:p>
    <w:p>
      <w:pPr>
        <w:spacing w:before="300" w:after="120" w:line="288" w:lineRule="auto"/>
        <w:ind w:left="0" w:firstLine="0" w:firstLineChars="0"/>
        <w:jc w:val="left"/>
        <w:outlineLvl w:val="2"/>
        <w:rPr>
          <w:rFonts w:ascii="Calibri" w:hAnsi="Calibri" w:eastAsia="宋体" w:cs="Times New Roman"/>
          <w:color w:val="auto"/>
          <w:kern w:val="0"/>
          <w:szCs w:val="22"/>
        </w:rPr>
      </w:pPr>
      <w:bookmarkStart w:id="57" w:name="heading_6"/>
      <w:r>
        <w:rPr>
          <w:rFonts w:ascii="Arial" w:hAnsi="Arial" w:eastAsia="等线" w:cs="Arial"/>
          <w:b/>
          <w:color w:val="auto"/>
          <w:kern w:val="0"/>
          <w:sz w:val="30"/>
          <w:szCs w:val="22"/>
        </w:rPr>
        <w:t>（1）物业管理（建筑物）</w:t>
      </w:r>
      <w:bookmarkEnd w:id="57"/>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2070"/>
        <w:gridCol w:w="2070"/>
        <w:gridCol w:w="20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名称</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名称</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明细</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服务内容及标准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钦州市儿童福利院</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钦州市儿童福利院</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儿童生活区</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康复特教中心综合楼</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 xml:space="preserve"> </w:t>
            </w:r>
            <w:r>
              <w:rPr>
                <w:rFonts w:hint="eastAsia" w:ascii="宋体" w:hAnsi="宋体" w:cs="宋体"/>
                <w:color w:val="auto"/>
                <w:kern w:val="0"/>
                <w:sz w:val="21"/>
                <w:szCs w:val="21"/>
                <w:lang w:val="en-US" w:eastAsia="zh-CN"/>
              </w:rPr>
              <w:t>共用设施设备消防管理</w:t>
            </w:r>
            <w:r>
              <w:rPr>
                <w:rFonts w:hint="eastAsia" w:ascii="宋体" w:hAnsi="宋体" w:eastAsia="宋体" w:cs="宋体"/>
                <w:color w:val="auto"/>
                <w:kern w:val="0"/>
                <w:sz w:val="21"/>
                <w:szCs w:val="21"/>
              </w:rPr>
              <w:t>服务</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安保服务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面积（平方米）（总面积</w:t>
            </w:r>
            <w:r>
              <w:rPr>
                <w:rFonts w:hint="eastAsia" w:ascii="宋体" w:hAnsi="宋体" w:cs="宋体"/>
                <w:color w:val="auto"/>
                <w:kern w:val="0"/>
                <w:sz w:val="21"/>
                <w:szCs w:val="21"/>
                <w:lang w:val="en-US" w:eastAsia="zh-CN"/>
              </w:rPr>
              <w:t>含地下室</w:t>
            </w:r>
            <w:r>
              <w:rPr>
                <w:rFonts w:hint="eastAsia" w:ascii="宋体" w:hAnsi="宋体" w:eastAsia="宋体" w:cs="宋体"/>
                <w:color w:val="auto"/>
                <w:kern w:val="0"/>
                <w:sz w:val="21"/>
                <w:szCs w:val="21"/>
              </w:rPr>
              <w:t>）</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26572</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26572</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restart"/>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p>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车位数</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地下车位数</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112</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continue"/>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地面车位数</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25</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restart"/>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p>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车行 / 人行口</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车行口</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continue"/>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人行口</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07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restart"/>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p>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设施设备</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消防系统</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火灾自动报警、联动控制、消防通讯系统</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见</w:t>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 xml:space="preserve"> </w:t>
            </w:r>
            <w:r>
              <w:rPr>
                <w:rFonts w:hint="eastAsia" w:ascii="宋体" w:hAnsi="宋体" w:cs="宋体"/>
                <w:color w:val="auto"/>
                <w:kern w:val="0"/>
                <w:sz w:val="21"/>
                <w:szCs w:val="21"/>
                <w:lang w:val="en-US" w:eastAsia="zh-CN"/>
              </w:rPr>
              <w:t>共用设施设备消防管理；</w:t>
            </w: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218" w:hRule="atLeast"/>
          <w:jc w:val="center"/>
        </w:trPr>
        <w:tc>
          <w:tcPr>
            <w:tcW w:w="2070" w:type="dxa"/>
            <w:vMerge w:val="continue"/>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安防系统</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视频监控、门禁、对讲系统</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见</w:t>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 xml:space="preserve"> </w:t>
            </w:r>
            <w:r>
              <w:rPr>
                <w:rFonts w:hint="eastAsia" w:ascii="宋体" w:hAnsi="宋体" w:cs="宋体"/>
                <w:color w:val="auto"/>
                <w:kern w:val="0"/>
                <w:sz w:val="21"/>
                <w:szCs w:val="21"/>
                <w:lang w:val="en-US" w:eastAsia="zh-CN"/>
              </w:rPr>
              <w:t>共用设施设备消防管理；</w:t>
            </w:r>
            <w:r>
              <w:rPr>
                <w:rFonts w:hint="eastAsia" w:ascii="宋体" w:hAnsi="宋体" w:eastAsia="宋体" w:cs="宋体"/>
                <w:color w:val="auto"/>
                <w:kern w:val="0"/>
                <w:sz w:val="21"/>
                <w:szCs w:val="21"/>
              </w:rPr>
              <w:t>见3.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vMerge w:val="continue"/>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bookmarkStart w:id="58" w:name="heading_7"/>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电梯</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5台</w:t>
            </w:r>
          </w:p>
        </w:tc>
        <w:tc>
          <w:tcPr>
            <w:tcW w:w="2070"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见</w:t>
            </w:r>
            <w:r>
              <w:rPr>
                <w:rFonts w:hint="eastAsia" w:ascii="宋体" w:hAnsi="宋体" w:eastAsia="宋体" w:cs="宋体"/>
                <w:color w:val="auto"/>
                <w:kern w:val="0"/>
                <w:sz w:val="21"/>
                <w:szCs w:val="21"/>
              </w:rPr>
              <w:t>3.</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 xml:space="preserve"> </w:t>
            </w:r>
            <w:r>
              <w:rPr>
                <w:rFonts w:hint="eastAsia" w:ascii="宋体" w:hAnsi="宋体" w:cs="宋体"/>
                <w:color w:val="auto"/>
                <w:kern w:val="0"/>
                <w:sz w:val="21"/>
                <w:szCs w:val="21"/>
                <w:lang w:val="en-US" w:eastAsia="zh-CN"/>
              </w:rPr>
              <w:t>共用设施设备消防管理；</w:t>
            </w:r>
            <w:r>
              <w:rPr>
                <w:rFonts w:hint="eastAsia" w:ascii="宋体" w:hAnsi="宋体" w:eastAsia="宋体" w:cs="宋体"/>
                <w:b w:val="0"/>
                <w:bCs w:val="0"/>
                <w:color w:val="auto"/>
                <w:kern w:val="0"/>
                <w:sz w:val="21"/>
                <w:szCs w:val="21"/>
              </w:rPr>
              <w:t>仅负责监控状态、异常上报、应急操作</w:t>
            </w:r>
          </w:p>
        </w:tc>
      </w:tr>
    </w:tbl>
    <w:p>
      <w:pPr>
        <w:spacing w:before="300" w:after="120" w:line="288" w:lineRule="auto"/>
        <w:ind w:left="0" w:firstLine="0" w:firstLineChars="0"/>
        <w:jc w:val="left"/>
        <w:outlineLvl w:val="2"/>
        <w:rPr>
          <w:rFonts w:ascii="Calibri" w:hAnsi="Calibri" w:eastAsia="宋体" w:cs="Times New Roman"/>
          <w:color w:val="auto"/>
          <w:kern w:val="0"/>
          <w:szCs w:val="22"/>
        </w:rPr>
      </w:pPr>
      <w:r>
        <w:rPr>
          <w:rFonts w:ascii="Arial" w:hAnsi="Arial" w:eastAsia="等线" w:cs="Arial"/>
          <w:b/>
          <w:color w:val="auto"/>
          <w:kern w:val="0"/>
          <w:sz w:val="30"/>
          <w:szCs w:val="22"/>
        </w:rPr>
        <w:t>（2）物业管理（室外）</w:t>
      </w:r>
      <w:bookmarkEnd w:id="58"/>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4"/>
        <w:gridCol w:w="2045"/>
        <w:gridCol w:w="41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4" w:type="dxa"/>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名称</w:t>
            </w:r>
          </w:p>
        </w:tc>
        <w:tc>
          <w:tcPr>
            <w:tcW w:w="2045" w:type="dxa"/>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明细</w:t>
            </w:r>
          </w:p>
        </w:tc>
        <w:tc>
          <w:tcPr>
            <w:tcW w:w="4161" w:type="dxa"/>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服务内容及标准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14" w:hRule="atLeast"/>
          <w:jc w:val="center"/>
        </w:trPr>
        <w:tc>
          <w:tcPr>
            <w:tcW w:w="207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室外面积</w:t>
            </w:r>
          </w:p>
        </w:tc>
        <w:tc>
          <w:tcPr>
            <w:tcW w:w="204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cs="宋体"/>
                <w:color w:val="auto"/>
                <w:kern w:val="0"/>
                <w:sz w:val="21"/>
                <w:szCs w:val="21"/>
                <w:lang w:val="en-US"/>
              </w:rPr>
            </w:pPr>
            <w:r>
              <w:rPr>
                <w:rFonts w:hint="eastAsia" w:ascii="宋体" w:hAnsi="宋体" w:cs="宋体"/>
                <w:color w:val="auto"/>
                <w:kern w:val="0"/>
                <w:sz w:val="21"/>
                <w:szCs w:val="21"/>
                <w:lang w:val="en-US" w:eastAsia="zh-CN"/>
              </w:rPr>
              <w:t>6800平方米</w:t>
            </w:r>
          </w:p>
        </w:tc>
        <w:tc>
          <w:tcPr>
            <w:tcW w:w="416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539" w:hRule="atLeast"/>
          <w:jc w:val="center"/>
        </w:trPr>
        <w:tc>
          <w:tcPr>
            <w:tcW w:w="207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监控</w:t>
            </w:r>
          </w:p>
        </w:tc>
        <w:tc>
          <w:tcPr>
            <w:tcW w:w="204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315个</w:t>
            </w:r>
          </w:p>
        </w:tc>
        <w:tc>
          <w:tcPr>
            <w:tcW w:w="416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见 3.</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 xml:space="preserve"> 保安服务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4"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宋体" w:hAnsi="宋体" w:eastAsia="宋体" w:cs="宋体"/>
                <w:color w:val="auto"/>
                <w:kern w:val="0"/>
                <w:sz w:val="21"/>
                <w:szCs w:val="21"/>
                <w:lang w:val="en-US"/>
              </w:rPr>
            </w:pPr>
            <w:r>
              <w:rPr>
                <w:rFonts w:hint="eastAsia" w:ascii="宋体" w:hAnsi="宋体" w:cs="宋体"/>
                <w:color w:val="auto"/>
                <w:kern w:val="0"/>
                <w:sz w:val="21"/>
                <w:szCs w:val="21"/>
                <w:lang w:val="en-US" w:eastAsia="zh-CN"/>
              </w:rPr>
              <w:t>绿化区</w:t>
            </w:r>
          </w:p>
        </w:tc>
        <w:tc>
          <w:tcPr>
            <w:tcW w:w="2045"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院区绿化面积2700㎡</w:t>
            </w:r>
          </w:p>
        </w:tc>
        <w:tc>
          <w:tcPr>
            <w:tcW w:w="4161" w:type="dxa"/>
            <w:tcMar>
              <w:top w:w="60" w:type="dxa"/>
              <w:left w:w="120" w:type="dxa"/>
              <w:bottom w:w="30" w:type="dxa"/>
              <w:right w:w="120" w:type="dxa"/>
            </w:tcMar>
            <w:vAlign w:val="center"/>
          </w:tcPr>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b w:val="0"/>
                <w:bCs w:val="0"/>
                <w:color w:val="auto"/>
                <w:kern w:val="0"/>
                <w:sz w:val="21"/>
                <w:szCs w:val="21"/>
              </w:rPr>
            </w:pPr>
            <w:r>
              <w:rPr>
                <w:rFonts w:hint="eastAsia" w:ascii="宋体" w:hAnsi="宋体" w:eastAsia="宋体" w:cs="宋体"/>
                <w:b w:val="0"/>
                <w:bCs w:val="0"/>
                <w:color w:val="auto"/>
                <w:kern w:val="0"/>
                <w:sz w:val="21"/>
                <w:szCs w:val="21"/>
              </w:rPr>
              <w:t>隐患上报：发现绿化区域绿植大面积枯萎、病虫害，及时上报采购单位，由采购单位统筹安排专业处置，</w:t>
            </w:r>
            <w:r>
              <w:rPr>
                <w:rFonts w:hint="eastAsia" w:ascii="宋体" w:hAnsi="宋体" w:cs="宋体"/>
                <w:b w:val="0"/>
                <w:bCs w:val="0"/>
                <w:color w:val="auto"/>
                <w:kern w:val="0"/>
                <w:sz w:val="21"/>
                <w:szCs w:val="21"/>
                <w:lang w:val="en-US" w:eastAsia="zh-CN"/>
              </w:rPr>
              <w:t>成交人</w:t>
            </w:r>
            <w:r>
              <w:rPr>
                <w:rFonts w:hint="eastAsia" w:ascii="宋体" w:hAnsi="宋体" w:eastAsia="宋体" w:cs="宋体"/>
                <w:b w:val="0"/>
                <w:bCs w:val="0"/>
                <w:color w:val="auto"/>
                <w:kern w:val="0"/>
                <w:sz w:val="21"/>
                <w:szCs w:val="21"/>
              </w:rPr>
              <w:t>配合协助。</w:t>
            </w:r>
          </w:p>
          <w:p>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宋体" w:hAnsi="宋体" w:eastAsia="宋体" w:cs="宋体"/>
                <w:color w:val="auto"/>
                <w:kern w:val="0"/>
                <w:sz w:val="21"/>
                <w:szCs w:val="21"/>
              </w:rPr>
            </w:pPr>
          </w:p>
        </w:tc>
      </w:tr>
    </w:tbl>
    <w:p>
      <w:pPr>
        <w:pBdr>
          <w:bottom w:val="single" w:color="DEE0E3" w:sz="2" w:space="0"/>
          <w:between w:val="single" w:color="DEE0E3" w:sz="2" w:space="0"/>
        </w:pBdr>
        <w:spacing w:before="120" w:after="120" w:line="288" w:lineRule="auto"/>
        <w:ind w:left="0" w:firstLine="0" w:firstLineChars="0"/>
        <w:rPr>
          <w:rFonts w:ascii="Calibri" w:hAnsi="Calibri" w:eastAsia="宋体" w:cs="Times New Roman"/>
          <w:color w:val="auto"/>
          <w:kern w:val="0"/>
          <w:szCs w:val="22"/>
        </w:rPr>
      </w:pPr>
    </w:p>
    <w:p>
      <w:pPr>
        <w:spacing w:before="320" w:after="120" w:line="288" w:lineRule="auto"/>
        <w:ind w:left="0" w:firstLine="0" w:firstLineChars="0"/>
        <w:jc w:val="left"/>
        <w:outlineLvl w:val="1"/>
        <w:rPr>
          <w:rFonts w:ascii="Calibri" w:hAnsi="Calibri" w:eastAsia="宋体" w:cs="Times New Roman"/>
          <w:color w:val="auto"/>
          <w:kern w:val="0"/>
          <w:szCs w:val="22"/>
        </w:rPr>
      </w:pPr>
      <w:bookmarkStart w:id="59" w:name="heading_8"/>
      <w:r>
        <w:rPr>
          <w:rFonts w:ascii="Arial" w:hAnsi="Arial" w:eastAsia="等线" w:cs="Arial"/>
          <w:b/>
          <w:color w:val="auto"/>
          <w:kern w:val="0"/>
          <w:sz w:val="32"/>
          <w:szCs w:val="22"/>
        </w:rPr>
        <w:t>3. 物业管理服务内容及标准</w:t>
      </w:r>
      <w:bookmarkEnd w:id="59"/>
    </w:p>
    <w:p>
      <w:pPr>
        <w:spacing w:before="120" w:after="120" w:line="288" w:lineRule="auto"/>
        <w:ind w:left="0" w:firstLine="210" w:firstLineChars="100"/>
        <w:jc w:val="left"/>
        <w:rPr>
          <w:rFonts w:hint="eastAsia" w:ascii="宋体" w:hAnsi="宋体" w:eastAsia="宋体" w:cs="宋体"/>
          <w:b w:val="0"/>
          <w:bCs w:val="0"/>
          <w:color w:val="auto"/>
          <w:kern w:val="0"/>
          <w:sz w:val="21"/>
          <w:szCs w:val="21"/>
        </w:rPr>
      </w:pPr>
      <w:bookmarkStart w:id="60" w:name="OLE_LINK10"/>
      <w:r>
        <w:rPr>
          <w:rFonts w:hint="eastAsia" w:ascii="宋体" w:hAnsi="宋体" w:cs="宋体"/>
          <w:b w:val="0"/>
          <w:bCs w:val="0"/>
          <w:color w:val="auto"/>
          <w:kern w:val="0"/>
          <w:sz w:val="21"/>
          <w:szCs w:val="21"/>
          <w:lang w:val="en-US" w:eastAsia="zh-CN"/>
        </w:rPr>
        <w:t>物业管理服务包括基本服务、共用设施设备消防管理服务、安保服务。</w:t>
      </w:r>
    </w:p>
    <w:bookmarkEnd w:id="60"/>
    <w:p>
      <w:pPr>
        <w:spacing w:before="300" w:after="120" w:line="288" w:lineRule="auto"/>
        <w:ind w:left="0" w:firstLine="0" w:firstLineChars="0"/>
        <w:jc w:val="left"/>
        <w:outlineLvl w:val="2"/>
        <w:rPr>
          <w:rFonts w:ascii="Calibri" w:hAnsi="Calibri" w:eastAsia="宋体" w:cs="Times New Roman"/>
          <w:color w:val="auto"/>
          <w:kern w:val="0"/>
          <w:szCs w:val="22"/>
        </w:rPr>
      </w:pPr>
      <w:bookmarkStart w:id="61" w:name="heading_9"/>
      <w:r>
        <w:rPr>
          <w:rFonts w:ascii="Arial" w:hAnsi="Arial" w:eastAsia="等线" w:cs="Arial"/>
          <w:b/>
          <w:color w:val="auto"/>
          <w:kern w:val="0"/>
          <w:sz w:val="30"/>
          <w:szCs w:val="22"/>
        </w:rPr>
        <w:t>3.1 基本服务</w:t>
      </w:r>
      <w:bookmarkEnd w:id="61"/>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47"/>
        <w:gridCol w:w="2822"/>
        <w:gridCol w:w="4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服务内容</w:t>
            </w:r>
          </w:p>
        </w:tc>
        <w:tc>
          <w:tcPr>
            <w:tcW w:w="4611"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2822"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目标与责任</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根据物业管理服务内容，</w:t>
            </w:r>
            <w:r>
              <w:rPr>
                <w:rFonts w:hint="eastAsia" w:ascii="宋体" w:hAnsi="宋体" w:eastAsia="宋体" w:cs="宋体"/>
                <w:color w:val="auto"/>
                <w:kern w:val="0"/>
                <w:sz w:val="21"/>
                <w:szCs w:val="21"/>
              </w:rPr>
              <w:t>制定</w:t>
            </w:r>
            <w:r>
              <w:rPr>
                <w:rFonts w:hint="eastAsia" w:ascii="宋体" w:hAnsi="宋体" w:cs="宋体"/>
                <w:color w:val="auto"/>
                <w:kern w:val="0"/>
                <w:sz w:val="21"/>
                <w:szCs w:val="21"/>
                <w:lang w:val="en-US" w:eastAsia="zh-CN"/>
              </w:rPr>
              <w:t>年度</w:t>
            </w:r>
            <w:r>
              <w:rPr>
                <w:rFonts w:hint="eastAsia" w:ascii="宋体" w:hAnsi="宋体" w:eastAsia="宋体" w:cs="宋体"/>
                <w:color w:val="auto"/>
                <w:kern w:val="0"/>
                <w:sz w:val="21"/>
                <w:szCs w:val="21"/>
              </w:rPr>
              <w:t>管理目标，明确责任分工与实施方案。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822"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服务人员要求</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（1）每季度至少开展 1 次消防操作、应急处置、安保纪律培训及考核。</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服务人员的年龄、学历、工作经验及资格条件须与所在岗位能力要求相匹配，无犯罪</w:t>
            </w:r>
            <w:r>
              <w:rPr>
                <w:rFonts w:hint="eastAsia" w:ascii="宋体" w:hAnsi="宋体" w:eastAsia="宋体" w:cs="宋体"/>
                <w:color w:val="auto"/>
                <w:kern w:val="0"/>
                <w:sz w:val="21"/>
                <w:szCs w:val="21"/>
              </w:rPr>
              <w:t>记录，身体健康。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（3）统一着装、佩戴标识，文明执勤。</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（4）人员调换须经采购人同意，在岗稳定。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2822"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保密和思想政治教育</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建立保密制度，签订保密协议，每季度至少开展 1 次保密及纪律教育。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2822" w:type="dxa"/>
            <w:tcMar>
              <w:top w:w="60" w:type="dxa"/>
              <w:left w:w="120" w:type="dxa"/>
              <w:bottom w:w="30" w:type="dxa"/>
              <w:right w:w="120" w:type="dxa"/>
            </w:tcMar>
            <w:vAlign w:val="cente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档案管理</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完整留存值班记录、报警处置记录、监控查阅记录、应急演练记录，履约结束后交还采购人。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分包管理</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消防控制室值班岗位不得分包、转包。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服务改进</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定期自查，按采购人要求及时整改。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应急保障预案</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配合采购人做好</w:t>
            </w:r>
            <w:r>
              <w:rPr>
                <w:rFonts w:hint="eastAsia" w:ascii="宋体" w:hAnsi="宋体" w:eastAsia="宋体" w:cs="宋体"/>
                <w:color w:val="auto"/>
                <w:kern w:val="0"/>
                <w:sz w:val="21"/>
                <w:szCs w:val="21"/>
              </w:rPr>
              <w:t>火警、盗警、突发事件应急预案，</w:t>
            </w:r>
            <w:r>
              <w:rPr>
                <w:rFonts w:hint="eastAsia" w:ascii="宋体" w:hAnsi="宋体" w:cs="宋体"/>
                <w:color w:val="auto"/>
                <w:kern w:val="0"/>
                <w:sz w:val="21"/>
                <w:szCs w:val="21"/>
                <w:lang w:val="en-US" w:eastAsia="zh-CN"/>
              </w:rPr>
              <w:t>并参与采购人开展的突发事件</w:t>
            </w:r>
            <w:r>
              <w:rPr>
                <w:rFonts w:hint="eastAsia" w:ascii="宋体" w:hAnsi="宋体" w:eastAsia="宋体" w:cs="宋体"/>
                <w:color w:val="auto"/>
                <w:kern w:val="0"/>
                <w:sz w:val="21"/>
                <w:szCs w:val="21"/>
              </w:rPr>
              <w:t>演练。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服务热线及紧急报修</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设置24 小时值班联络电话，紧急情况快速响应。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4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9</w:t>
            </w:r>
          </w:p>
        </w:tc>
        <w:tc>
          <w:tcPr>
            <w:tcW w:w="282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重大活动保障</w:t>
            </w:r>
          </w:p>
        </w:tc>
        <w:tc>
          <w:tcPr>
            <w:tcW w:w="4611"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按采购人要求配合做好现场值守、秩序维护。</w:t>
            </w:r>
          </w:p>
        </w:tc>
      </w:tr>
    </w:tbl>
    <w:p>
      <w:pPr>
        <w:spacing w:before="300" w:after="120" w:line="288" w:lineRule="auto"/>
        <w:ind w:left="0" w:firstLine="0" w:firstLineChars="0"/>
        <w:jc w:val="left"/>
        <w:outlineLvl w:val="2"/>
        <w:rPr>
          <w:rFonts w:ascii="Calibri" w:hAnsi="Calibri" w:eastAsia="宋体" w:cs="Times New Roman"/>
          <w:color w:val="auto"/>
          <w:kern w:val="0"/>
          <w:szCs w:val="22"/>
        </w:rPr>
      </w:pPr>
      <w:bookmarkStart w:id="62" w:name="heading_11"/>
      <w:r>
        <w:rPr>
          <w:rFonts w:ascii="Arial" w:hAnsi="Arial" w:eastAsia="等线" w:cs="Arial"/>
          <w:b/>
          <w:color w:val="auto"/>
          <w:kern w:val="0"/>
          <w:sz w:val="30"/>
          <w:szCs w:val="22"/>
        </w:rPr>
        <w:t>3.</w:t>
      </w:r>
      <w:r>
        <w:rPr>
          <w:rFonts w:hint="eastAsia" w:ascii="Arial" w:hAnsi="Arial" w:eastAsia="等线" w:cs="Arial"/>
          <w:b/>
          <w:color w:val="auto"/>
          <w:kern w:val="0"/>
          <w:sz w:val="30"/>
          <w:szCs w:val="22"/>
          <w:lang w:val="en-US" w:eastAsia="zh-CN"/>
        </w:rPr>
        <w:t>2</w:t>
      </w:r>
      <w:r>
        <w:rPr>
          <w:rFonts w:ascii="Arial" w:hAnsi="Arial" w:eastAsia="等线" w:cs="Arial"/>
          <w:b/>
          <w:color w:val="auto"/>
          <w:kern w:val="0"/>
          <w:sz w:val="30"/>
          <w:szCs w:val="22"/>
        </w:rPr>
        <w:t xml:space="preserve"> 共用设施设备</w:t>
      </w:r>
      <w:r>
        <w:rPr>
          <w:rFonts w:hint="eastAsia" w:ascii="Arial" w:hAnsi="Arial" w:eastAsia="等线" w:cs="Arial"/>
          <w:b/>
          <w:color w:val="auto"/>
          <w:kern w:val="0"/>
          <w:sz w:val="30"/>
          <w:szCs w:val="22"/>
          <w:lang w:val="en-US" w:eastAsia="zh-CN"/>
        </w:rPr>
        <w:t>消防管理</w:t>
      </w:r>
      <w:r>
        <w:rPr>
          <w:rFonts w:ascii="Arial" w:hAnsi="Arial" w:eastAsia="等线" w:cs="Arial"/>
          <w:b/>
          <w:color w:val="auto"/>
          <w:kern w:val="0"/>
          <w:sz w:val="30"/>
          <w:szCs w:val="22"/>
        </w:rPr>
        <w:t>服务</w:t>
      </w:r>
      <w:bookmarkEnd w:id="62"/>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15"/>
        <w:gridCol w:w="2332"/>
        <w:gridCol w:w="50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bookmarkStart w:id="63" w:name="heading_14"/>
            <w:r>
              <w:rPr>
                <w:rFonts w:hint="eastAsia" w:ascii="宋体" w:hAnsi="宋体" w:eastAsia="宋体" w:cs="宋体"/>
                <w:color w:val="auto"/>
                <w:kern w:val="0"/>
                <w:sz w:val="21"/>
                <w:szCs w:val="21"/>
              </w:rPr>
              <w:t>序号</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服务内容</w:t>
            </w:r>
          </w:p>
        </w:tc>
        <w:tc>
          <w:tcPr>
            <w:tcW w:w="504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基本要求</w:t>
            </w:r>
          </w:p>
        </w:tc>
        <w:tc>
          <w:tcPr>
            <w:tcW w:w="5045" w:type="dxa"/>
            <w:tcMar>
              <w:top w:w="60" w:type="dxa"/>
              <w:left w:w="120" w:type="dxa"/>
              <w:bottom w:w="30" w:type="dxa"/>
              <w:right w:w="120" w:type="dxa"/>
            </w:tcMar>
          </w:tcPr>
          <w:p>
            <w:pPr>
              <w:widowControl/>
              <w:pBdr>
                <w:top w:val="none" w:color="auto" w:sz="0" w:space="0"/>
                <w:left w:val="none" w:color="auto" w:sz="0" w:space="0"/>
                <w:bottom w:val="none" w:color="auto" w:sz="0" w:space="0"/>
                <w:right w:val="none" w:color="auto" w:sz="0" w:space="0"/>
              </w:pBdr>
              <w:spacing w:before="0" w:after="0" w:line="360" w:lineRule="atLeast"/>
              <w:ind w:left="0" w:firstLine="0" w:firstLineChars="0"/>
              <w:jc w:val="left"/>
              <w:rPr>
                <w:rFonts w:hint="eastAsia" w:ascii="宋体" w:hAnsi="宋体" w:eastAsia="宋体" w:cs="宋体"/>
                <w:color w:val="auto"/>
                <w:kern w:val="0"/>
                <w:sz w:val="21"/>
                <w:szCs w:val="21"/>
              </w:rPr>
            </w:pPr>
            <w:r>
              <w:rPr>
                <w:rFonts w:hint="eastAsia" w:ascii="Calibri" w:hAnsi="Calibri" w:cs="Calibri"/>
                <w:b w:val="0"/>
                <w:bCs w:val="0"/>
                <w:color w:val="auto"/>
                <w:kern w:val="0"/>
                <w:szCs w:val="21"/>
                <w:highlight w:val="none"/>
                <w:lang w:val="en-US" w:eastAsia="zh-CN"/>
              </w:rPr>
              <w:t>对儿童生活区、康复特教中心综合楼</w:t>
            </w:r>
            <w:r>
              <w:rPr>
                <w:rFonts w:hint="eastAsia" w:ascii="Calibri" w:hAnsi="Calibri" w:eastAsia="宋体" w:cs="Calibri"/>
                <w:b w:val="0"/>
                <w:bCs w:val="0"/>
                <w:color w:val="auto"/>
                <w:kern w:val="0"/>
                <w:szCs w:val="21"/>
                <w:highlight w:val="none"/>
                <w:lang w:val="en-US" w:eastAsia="zh-CN"/>
              </w:rPr>
              <w:t>消防控制室</w:t>
            </w:r>
            <w:r>
              <w:rPr>
                <w:rFonts w:hint="eastAsia" w:ascii="Calibri" w:hAnsi="Calibri" w:cs="Calibri"/>
                <w:b w:val="0"/>
                <w:bCs w:val="0"/>
                <w:color w:val="auto"/>
                <w:kern w:val="0"/>
                <w:szCs w:val="21"/>
                <w:highlight w:val="none"/>
                <w:lang w:val="en-US" w:eastAsia="zh-CN"/>
              </w:rPr>
              <w:t>涉及的共用设施设备实行监控、异常情况上报、应急操作。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消防控制室涉及的共用设施设备，包括：消防系统、安防系统、电梯系统、</w:t>
            </w:r>
            <w:r>
              <w:rPr>
                <w:rFonts w:hint="eastAsia" w:ascii="宋体" w:hAnsi="宋体" w:cs="宋体"/>
                <w:color w:val="auto"/>
                <w:kern w:val="0"/>
                <w:sz w:val="21"/>
                <w:szCs w:val="21"/>
                <w:highlight w:val="none"/>
                <w:lang w:val="en-US" w:eastAsia="zh-CN"/>
              </w:rPr>
              <w:t>给排水系统、供配电系统</w:t>
            </w:r>
            <w:r>
              <w:rPr>
                <w:rFonts w:hint="eastAsia" w:ascii="宋体" w:hAnsi="宋体" w:cs="宋体"/>
                <w:color w:val="auto"/>
                <w:kern w:val="0"/>
                <w:sz w:val="21"/>
                <w:szCs w:val="21"/>
                <w:lang w:val="en-US" w:eastAsia="zh-CN"/>
              </w:rPr>
              <w:t>等。</w:t>
            </w:r>
          </w:p>
        </w:tc>
        <w:tc>
          <w:tcPr>
            <w:tcW w:w="5045" w:type="dxa"/>
            <w:tcMar>
              <w:top w:w="60" w:type="dxa"/>
              <w:left w:w="120" w:type="dxa"/>
              <w:bottom w:w="30" w:type="dxa"/>
              <w:right w:w="120" w:type="dxa"/>
            </w:tcMar>
          </w:tcPr>
          <w:p>
            <w:pPr>
              <w:spacing w:before="120" w:after="120" w:line="288" w:lineRule="auto"/>
              <w:ind w:left="0" w:firstLine="0" w:firstLineChars="0"/>
              <w:jc w:val="left"/>
              <w:rPr>
                <w:rFonts w:hint="eastAsia" w:ascii="Times New Roman" w:hAnsi="Times New Roman" w:eastAsia="宋体" w:cs="Calibri"/>
                <w:color w:val="auto"/>
                <w:kern w:val="0"/>
                <w:sz w:val="21"/>
                <w:szCs w:val="21"/>
                <w:highlight w:val="none"/>
              </w:rPr>
            </w:pPr>
            <w:r>
              <w:rPr>
                <w:rFonts w:hint="eastAsia" w:ascii="Times New Roman" w:hAnsi="Times New Roman" w:cs="Calibri"/>
                <w:b w:val="0"/>
                <w:bCs w:val="0"/>
                <w:color w:val="auto"/>
                <w:kern w:val="0"/>
                <w:szCs w:val="21"/>
                <w:highlight w:val="none"/>
                <w:lang w:val="en-US" w:eastAsia="zh-CN"/>
              </w:rPr>
              <w:t>1.</w:t>
            </w:r>
            <w:r>
              <w:rPr>
                <w:rFonts w:hint="eastAsia" w:ascii="Times New Roman" w:hAnsi="Times New Roman" w:eastAsia="宋体" w:cs="Calibri"/>
                <w:b w:val="0"/>
                <w:bCs w:val="0"/>
                <w:color w:val="auto"/>
                <w:kern w:val="0"/>
                <w:szCs w:val="21"/>
                <w:highlight w:val="none"/>
                <w:lang w:val="en-US" w:eastAsia="zh-CN"/>
              </w:rPr>
              <w:t>建立</w:t>
            </w:r>
            <w:r>
              <w:rPr>
                <w:rFonts w:hint="eastAsia" w:cs="Calibri"/>
                <w:b w:val="0"/>
                <w:bCs w:val="0"/>
                <w:color w:val="auto"/>
                <w:kern w:val="0"/>
                <w:szCs w:val="21"/>
                <w:highlight w:val="none"/>
                <w:lang w:val="en-US" w:eastAsia="zh-CN"/>
              </w:rPr>
              <w:t>24小时</w:t>
            </w:r>
            <w:r>
              <w:rPr>
                <w:rFonts w:hint="eastAsia" w:ascii="Times New Roman" w:hAnsi="Times New Roman" w:eastAsia="宋体" w:cs="Calibri"/>
                <w:b w:val="0"/>
                <w:bCs w:val="0"/>
                <w:color w:val="auto"/>
                <w:kern w:val="0"/>
                <w:szCs w:val="21"/>
                <w:highlight w:val="none"/>
                <w:lang w:val="en-US" w:eastAsia="zh-CN"/>
              </w:rPr>
              <w:t>运行值班监控制度</w:t>
            </w:r>
            <w:r>
              <w:rPr>
                <w:rFonts w:hint="eastAsia" w:ascii="Times New Roman" w:hAnsi="Times New Roman" w:cs="Calibri"/>
                <w:b w:val="0"/>
                <w:bCs w:val="0"/>
                <w:color w:val="auto"/>
                <w:kern w:val="0"/>
                <w:szCs w:val="21"/>
                <w:highlight w:val="none"/>
                <w:lang w:val="en-US" w:eastAsia="zh-CN"/>
              </w:rPr>
              <w:t>，每班不少于2人</w:t>
            </w:r>
            <w:r>
              <w:rPr>
                <w:rFonts w:hint="eastAsia" w:eastAsia="宋体" w:cs="Calibri"/>
                <w:b w:val="0"/>
                <w:bCs w:val="0"/>
                <w:color w:val="auto"/>
                <w:kern w:val="0"/>
                <w:szCs w:val="21"/>
                <w:highlight w:val="none"/>
                <w:lang w:val="en-US" w:eastAsia="zh-CN"/>
              </w:rPr>
              <w:t>。</w:t>
            </w:r>
          </w:p>
          <w:p>
            <w:pPr>
              <w:spacing w:before="120" w:after="120" w:line="288" w:lineRule="auto"/>
              <w:ind w:left="0" w:firstLine="0" w:firstLineChars="0"/>
              <w:jc w:val="left"/>
              <w:rPr>
                <w:rFonts w:hint="eastAsia" w:ascii="Times New Roman" w:hAnsi="Times New Roman" w:cs="Calibri"/>
                <w:color w:val="auto"/>
                <w:kern w:val="0"/>
                <w:sz w:val="21"/>
                <w:szCs w:val="21"/>
                <w:highlight w:val="none"/>
                <w:lang w:val="en-US" w:eastAsia="zh-CN"/>
              </w:rPr>
            </w:pPr>
            <w:r>
              <w:rPr>
                <w:rFonts w:hint="eastAsia" w:ascii="Times New Roman" w:hAnsi="Times New Roman" w:cs="Calibri"/>
                <w:color w:val="auto"/>
                <w:kern w:val="0"/>
                <w:sz w:val="21"/>
                <w:szCs w:val="21"/>
                <w:highlight w:val="none"/>
                <w:lang w:val="en-US" w:eastAsia="zh-CN"/>
              </w:rPr>
              <w:t>2.开展每日防火巡查，儿童居住区、公共活动用房、厨房等重点部位白天至少巡查2次，其他部位每日至少巡查1次。夜间至少每两小时巡查1次。</w:t>
            </w:r>
          </w:p>
          <w:p>
            <w:pPr>
              <w:spacing w:before="120" w:after="120" w:line="288" w:lineRule="auto"/>
              <w:ind w:left="0" w:firstLine="0" w:firstLineChars="0"/>
              <w:jc w:val="left"/>
              <w:rPr>
                <w:rFonts w:hint="eastAsia" w:ascii="Times New Roman" w:hAnsi="Times New Roman" w:cs="Calibri"/>
                <w:color w:val="auto"/>
                <w:kern w:val="0"/>
                <w:sz w:val="21"/>
                <w:szCs w:val="21"/>
                <w:highlight w:val="none"/>
                <w:lang w:eastAsia="zh-CN"/>
              </w:rPr>
            </w:pPr>
            <w:r>
              <w:rPr>
                <w:rFonts w:hint="eastAsia" w:cs="Calibri"/>
                <w:color w:val="auto"/>
                <w:kern w:val="0"/>
                <w:sz w:val="21"/>
                <w:szCs w:val="21"/>
                <w:highlight w:val="none"/>
                <w:lang w:val="en-US" w:eastAsia="zh-CN"/>
              </w:rPr>
              <w:t>3.</w:t>
            </w:r>
            <w:r>
              <w:rPr>
                <w:rFonts w:hint="eastAsia" w:ascii="宋体" w:hAnsi="宋体" w:cs="仿宋_GB2312"/>
                <w:color w:val="auto"/>
                <w:szCs w:val="21"/>
              </w:rPr>
              <w:t>负责</w:t>
            </w:r>
            <w:r>
              <w:rPr>
                <w:rFonts w:hint="eastAsia" w:ascii="宋体" w:hAnsi="宋体" w:cs="仿宋_GB2312"/>
                <w:color w:val="auto"/>
                <w:szCs w:val="21"/>
                <w:lang w:val="en-US" w:eastAsia="zh-CN"/>
              </w:rPr>
              <w:t>设施设备</w:t>
            </w:r>
            <w:r>
              <w:rPr>
                <w:rFonts w:hint="eastAsia" w:ascii="宋体" w:hAnsi="宋体" w:cs="仿宋_GB2312"/>
                <w:color w:val="auto"/>
                <w:szCs w:val="21"/>
              </w:rPr>
              <w:t>日常运行</w:t>
            </w:r>
            <w:r>
              <w:rPr>
                <w:rFonts w:hint="eastAsia" w:ascii="宋体" w:hAnsi="宋体" w:cs="仿宋_GB2312"/>
                <w:color w:val="auto"/>
                <w:szCs w:val="21"/>
                <w:lang w:eastAsia="zh-CN"/>
              </w:rPr>
              <w:t>、</w:t>
            </w:r>
            <w:r>
              <w:rPr>
                <w:rFonts w:hint="eastAsia" w:ascii="宋体" w:hAnsi="宋体" w:cs="仿宋_GB2312"/>
                <w:color w:val="auto"/>
                <w:szCs w:val="21"/>
              </w:rPr>
              <w:t>管理，定人、定时开、关设备，</w:t>
            </w:r>
            <w:r>
              <w:rPr>
                <w:rFonts w:hint="eastAsia" w:ascii="Times New Roman" w:hAnsi="Times New Roman" w:cs="Calibri"/>
                <w:b w:val="0"/>
                <w:bCs w:val="0"/>
                <w:color w:val="auto"/>
                <w:kern w:val="0"/>
                <w:szCs w:val="21"/>
                <w:highlight w:val="none"/>
                <w:lang w:val="en-US" w:eastAsia="zh-CN"/>
              </w:rPr>
              <w:t>确保共用设施设备运行正常。</w:t>
            </w:r>
            <w:r>
              <w:rPr>
                <w:rFonts w:hint="default" w:ascii="Calibri" w:hAnsi="Calibri" w:eastAsia="宋体" w:cs="Calibri"/>
                <w:color w:val="auto"/>
                <w:szCs w:val="21"/>
                <w:highlight w:val="none"/>
                <w:u w:val="none"/>
                <w:lang w:val="en-US" w:eastAsia="zh-CN"/>
              </w:rPr>
              <w:t>发现故障或损坏应在</w:t>
            </w:r>
            <w:r>
              <w:rPr>
                <w:rFonts w:hint="eastAsia" w:ascii="Calibri" w:hAnsi="Calibri" w:cs="Calibri"/>
                <w:color w:val="auto"/>
                <w:szCs w:val="21"/>
                <w:highlight w:val="none"/>
                <w:u w:val="none"/>
                <w:lang w:val="en-US" w:eastAsia="zh-CN"/>
              </w:rPr>
              <w:t>15</w:t>
            </w:r>
            <w:r>
              <w:rPr>
                <w:rFonts w:hint="default" w:ascii="Calibri" w:hAnsi="Calibri" w:eastAsia="宋体" w:cs="Calibri"/>
                <w:color w:val="auto"/>
                <w:szCs w:val="21"/>
                <w:highlight w:val="none"/>
                <w:u w:val="none"/>
                <w:lang w:val="en-US" w:eastAsia="zh-CN"/>
              </w:rPr>
              <w:t>分钟内</w:t>
            </w:r>
            <w:r>
              <w:rPr>
                <w:rFonts w:hint="eastAsia" w:ascii="Calibri" w:hAnsi="Calibri" w:cs="Calibri"/>
                <w:color w:val="auto"/>
                <w:szCs w:val="21"/>
                <w:highlight w:val="none"/>
                <w:u w:val="none"/>
                <w:lang w:val="en-US" w:eastAsia="zh-CN"/>
              </w:rPr>
              <w:t>上报处理</w:t>
            </w:r>
            <w:r>
              <w:rPr>
                <w:rFonts w:hint="default" w:ascii="Calibri" w:hAnsi="Calibri" w:eastAsia="宋体" w:cs="Calibri"/>
                <w:color w:val="auto"/>
                <w:szCs w:val="21"/>
                <w:highlight w:val="none"/>
                <w:u w:val="none"/>
                <w:lang w:val="en-US" w:eastAsia="zh-CN"/>
              </w:rPr>
              <w:t>，</w:t>
            </w:r>
            <w:r>
              <w:rPr>
                <w:rFonts w:hint="eastAsia" w:ascii="Times New Roman" w:hAnsi="Times New Roman" w:eastAsia="宋体" w:cs="Calibri"/>
                <w:color w:val="auto"/>
                <w:kern w:val="0"/>
                <w:sz w:val="21"/>
                <w:szCs w:val="21"/>
                <w:highlight w:val="none"/>
              </w:rPr>
              <w:t>火警信号</w:t>
            </w:r>
            <w:r>
              <w:rPr>
                <w:rFonts w:hint="eastAsia" w:ascii="Times New Roman" w:hAnsi="Times New Roman" w:eastAsia="宋体" w:cs="Calibri"/>
                <w:b w:val="0"/>
                <w:color w:val="auto"/>
                <w:kern w:val="0"/>
                <w:sz w:val="21"/>
                <w:szCs w:val="21"/>
                <w:highlight w:val="none"/>
              </w:rPr>
              <w:t>1 分钟内确认，3 分钟内上报处置</w:t>
            </w:r>
            <w:r>
              <w:rPr>
                <w:rFonts w:hint="eastAsia" w:ascii="Times New Roman" w:hAnsi="Times New Roman" w:cs="Calibri"/>
                <w:b w:val="0"/>
                <w:color w:val="auto"/>
                <w:kern w:val="0"/>
                <w:sz w:val="21"/>
                <w:szCs w:val="21"/>
                <w:highlight w:val="none"/>
                <w:lang w:eastAsia="zh-CN"/>
              </w:rPr>
              <w:t>。</w:t>
            </w:r>
          </w:p>
          <w:p>
            <w:pPr>
              <w:spacing w:before="120" w:after="120" w:line="288" w:lineRule="auto"/>
              <w:ind w:left="0" w:firstLine="0" w:firstLineChars="0"/>
              <w:jc w:val="left"/>
              <w:rPr>
                <w:rFonts w:hint="eastAsia" w:ascii="Times New Roman" w:hAnsi="Times New Roman" w:eastAsia="宋体" w:cs="Calibri"/>
                <w:color w:val="auto"/>
                <w:kern w:val="0"/>
                <w:sz w:val="21"/>
                <w:szCs w:val="21"/>
                <w:highlight w:val="none"/>
              </w:rPr>
            </w:pPr>
            <w:r>
              <w:rPr>
                <w:rFonts w:hint="eastAsia" w:ascii="Times New Roman" w:hAnsi="Times New Roman" w:cs="Calibri"/>
                <w:color w:val="auto"/>
                <w:kern w:val="0"/>
                <w:sz w:val="21"/>
                <w:szCs w:val="21"/>
                <w:highlight w:val="none"/>
                <w:lang w:val="en-US" w:eastAsia="zh-CN"/>
              </w:rPr>
              <w:t>4.</w:t>
            </w:r>
            <w:r>
              <w:rPr>
                <w:rFonts w:hint="eastAsia" w:ascii="Times New Roman" w:hAnsi="Times New Roman" w:eastAsia="宋体" w:cs="Calibri"/>
                <w:color w:val="auto"/>
                <w:kern w:val="0"/>
                <w:sz w:val="21"/>
                <w:szCs w:val="21"/>
                <w:highlight w:val="none"/>
              </w:rPr>
              <w:t>24 小时监控消防主机与安防系统，画面清晰、记录完整，保存不少于 90 天；无关人员查阅须经批准并登记。</w:t>
            </w:r>
          </w:p>
        </w:tc>
      </w:tr>
    </w:tbl>
    <w:p>
      <w:pPr>
        <w:spacing w:before="300" w:after="120" w:line="288" w:lineRule="auto"/>
        <w:ind w:left="0" w:firstLine="0" w:firstLineChars="0"/>
        <w:jc w:val="left"/>
        <w:outlineLvl w:val="2"/>
        <w:rPr>
          <w:rFonts w:ascii="Calibri" w:hAnsi="Calibri" w:eastAsia="宋体" w:cs="Times New Roman"/>
          <w:color w:val="auto"/>
          <w:kern w:val="0"/>
          <w:szCs w:val="22"/>
        </w:rPr>
      </w:pPr>
      <w:r>
        <w:rPr>
          <w:rFonts w:ascii="Arial" w:hAnsi="Arial" w:eastAsia="等线" w:cs="Arial"/>
          <w:b/>
          <w:color w:val="auto"/>
          <w:kern w:val="0"/>
          <w:sz w:val="30"/>
          <w:szCs w:val="22"/>
        </w:rPr>
        <w:t>3.</w:t>
      </w:r>
      <w:r>
        <w:rPr>
          <w:rFonts w:hint="eastAsia" w:ascii="Arial" w:hAnsi="Arial" w:eastAsia="等线" w:cs="Arial"/>
          <w:b/>
          <w:color w:val="auto"/>
          <w:kern w:val="0"/>
          <w:sz w:val="30"/>
          <w:szCs w:val="22"/>
          <w:lang w:val="en-US" w:eastAsia="zh-CN"/>
        </w:rPr>
        <w:t>3</w:t>
      </w:r>
      <w:r>
        <w:rPr>
          <w:rFonts w:ascii="Arial" w:hAnsi="Arial" w:eastAsia="等线" w:cs="Arial"/>
          <w:b/>
          <w:color w:val="auto"/>
          <w:kern w:val="0"/>
          <w:sz w:val="30"/>
          <w:szCs w:val="22"/>
        </w:rPr>
        <w:t xml:space="preserve"> 保安服务（消防控制室值班 + 兼职保</w:t>
      </w:r>
      <w:r>
        <w:rPr>
          <w:rFonts w:hint="eastAsia" w:ascii="Arial" w:hAnsi="Arial" w:eastAsia="等线" w:cs="Arial"/>
          <w:b/>
          <w:color w:val="auto"/>
          <w:kern w:val="0"/>
          <w:sz w:val="30"/>
          <w:szCs w:val="22"/>
          <w:lang w:val="en-US" w:eastAsia="zh-CN"/>
        </w:rPr>
        <w:t>安</w:t>
      </w:r>
      <w:r>
        <w:rPr>
          <w:rFonts w:ascii="Arial" w:hAnsi="Arial" w:eastAsia="等线" w:cs="Arial"/>
          <w:b/>
          <w:color w:val="auto"/>
          <w:kern w:val="0"/>
          <w:sz w:val="30"/>
          <w:szCs w:val="22"/>
        </w:rPr>
        <w:t>）</w:t>
      </w:r>
      <w:bookmarkEnd w:id="63"/>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215"/>
        <w:gridCol w:w="2332"/>
        <w:gridCol w:w="4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服务内容</w:t>
            </w:r>
          </w:p>
        </w:tc>
        <w:tc>
          <w:tcPr>
            <w:tcW w:w="4733"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服务标准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基本要求</w:t>
            </w:r>
          </w:p>
        </w:tc>
        <w:tc>
          <w:tcPr>
            <w:tcW w:w="4733" w:type="dxa"/>
            <w:tcMar>
              <w:top w:w="60" w:type="dxa"/>
              <w:left w:w="120" w:type="dxa"/>
              <w:bottom w:w="30" w:type="dxa"/>
              <w:right w:w="120" w:type="dxa"/>
            </w:tcMar>
          </w:tcPr>
          <w:p>
            <w:pPr>
              <w:numPr>
                <w:ilvl w:val="0"/>
                <w:numId w:val="2"/>
              </w:numPr>
              <w:spacing w:before="120" w:after="120" w:line="288" w:lineRule="auto"/>
              <w:ind w:left="0" w:firstLine="0" w:firstLineChars="0"/>
              <w:jc w:val="left"/>
              <w:rPr>
                <w:rFonts w:hint="eastAsia" w:ascii="宋体" w:hAnsi="宋体" w:cs="宋体"/>
                <w:color w:val="auto"/>
                <w:kern w:val="0"/>
                <w:sz w:val="21"/>
                <w:szCs w:val="21"/>
                <w:lang w:eastAsia="zh-CN"/>
              </w:rPr>
            </w:pPr>
            <w:r>
              <w:rPr>
                <w:rFonts w:hint="eastAsia" w:ascii="宋体" w:hAnsi="宋体" w:eastAsia="宋体" w:cs="宋体"/>
                <w:color w:val="auto"/>
                <w:kern w:val="0"/>
                <w:sz w:val="21"/>
                <w:szCs w:val="21"/>
              </w:rPr>
              <w:t>实行</w:t>
            </w:r>
            <w:r>
              <w:rPr>
                <w:rFonts w:hint="eastAsia" w:ascii="宋体" w:hAnsi="宋体" w:eastAsia="宋体" w:cs="宋体"/>
                <w:b/>
                <w:color w:val="auto"/>
                <w:kern w:val="0"/>
                <w:sz w:val="21"/>
                <w:szCs w:val="21"/>
              </w:rPr>
              <w:t>24 小时不间断值班</w:t>
            </w:r>
            <w:r>
              <w:rPr>
                <w:rFonts w:hint="eastAsia" w:ascii="宋体" w:hAnsi="宋体" w:eastAsia="宋体" w:cs="宋体"/>
                <w:color w:val="auto"/>
                <w:kern w:val="0"/>
                <w:sz w:val="21"/>
                <w:szCs w:val="21"/>
              </w:rPr>
              <w:t>，每班不少于 2 人，持证在岗</w:t>
            </w:r>
            <w:r>
              <w:rPr>
                <w:rFonts w:hint="eastAsia" w:ascii="宋体" w:hAnsi="宋体" w:cs="宋体"/>
                <w:color w:val="auto"/>
                <w:kern w:val="0"/>
                <w:sz w:val="21"/>
                <w:szCs w:val="21"/>
                <w:lang w:eastAsia="zh-CN"/>
              </w:rPr>
              <w:t>。</w:t>
            </w:r>
          </w:p>
          <w:p>
            <w:pPr>
              <w:numPr>
                <w:ilvl w:val="0"/>
                <w:numId w:val="2"/>
              </w:num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记录规范完整；配备对讲机等必要器材。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出入管理</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对进入</w:t>
            </w:r>
            <w:r>
              <w:rPr>
                <w:rFonts w:hint="eastAsia" w:ascii="宋体" w:hAnsi="宋体" w:cs="宋体"/>
                <w:color w:val="auto"/>
                <w:kern w:val="0"/>
                <w:sz w:val="21"/>
                <w:szCs w:val="21"/>
                <w:lang w:val="en-US" w:eastAsia="zh-CN"/>
              </w:rPr>
              <w:t>院</w:t>
            </w:r>
            <w:r>
              <w:rPr>
                <w:rFonts w:hint="eastAsia" w:ascii="宋体" w:hAnsi="宋体" w:eastAsia="宋体" w:cs="宋体"/>
                <w:color w:val="auto"/>
                <w:kern w:val="0"/>
                <w:sz w:val="21"/>
                <w:szCs w:val="21"/>
              </w:rPr>
              <w:t>区及重点部位的人员、车辆进行核验、登记</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放行管理</w:t>
            </w:r>
            <w:r>
              <w:rPr>
                <w:rFonts w:hint="eastAsia" w:ascii="宋体" w:hAnsi="宋体" w:eastAsia="宋体" w:cs="宋体"/>
                <w:color w:val="auto"/>
                <w:kern w:val="0"/>
                <w:sz w:val="21"/>
                <w:szCs w:val="21"/>
              </w:rPr>
              <w:t>，严禁无关人员、危险品进入。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值班巡查</w:t>
            </w:r>
          </w:p>
        </w:tc>
        <w:tc>
          <w:tcPr>
            <w:tcW w:w="4733" w:type="dxa"/>
            <w:tcMar>
              <w:top w:w="60" w:type="dxa"/>
              <w:left w:w="120" w:type="dxa"/>
              <w:bottom w:w="30" w:type="dxa"/>
              <w:right w:w="120" w:type="dxa"/>
            </w:tcMar>
          </w:tcPr>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坚守消防控制室岗位，同步对</w:t>
            </w:r>
            <w:r>
              <w:rPr>
                <w:rFonts w:hint="eastAsia" w:ascii="宋体" w:hAnsi="宋体" w:cs="宋体"/>
                <w:color w:val="auto"/>
                <w:kern w:val="0"/>
                <w:sz w:val="21"/>
                <w:szCs w:val="21"/>
                <w:lang w:val="en-US" w:eastAsia="zh-CN"/>
              </w:rPr>
              <w:t>院</w:t>
            </w:r>
            <w:r>
              <w:rPr>
                <w:rFonts w:hint="eastAsia" w:ascii="宋体" w:hAnsi="宋体" w:eastAsia="宋体" w:cs="宋体"/>
                <w:color w:val="auto"/>
                <w:kern w:val="0"/>
                <w:sz w:val="21"/>
                <w:szCs w:val="21"/>
              </w:rPr>
              <w:t>周边、采用定时+随机模式开展院区巡逻，白班、中班每2小时全覆盖巡逻一次，夜班每</w:t>
            </w:r>
            <w:r>
              <w:rPr>
                <w:rFonts w:hint="eastAsia" w:ascii="宋体" w:hAnsi="宋体" w:cs="宋体"/>
                <w:color w:val="auto"/>
                <w:kern w:val="0"/>
                <w:sz w:val="21"/>
                <w:szCs w:val="21"/>
                <w:lang w:val="en-US" w:eastAsia="zh-CN"/>
              </w:rPr>
              <w:t>2</w:t>
            </w:r>
            <w:r>
              <w:rPr>
                <w:rFonts w:hint="eastAsia" w:ascii="宋体" w:hAnsi="宋体" w:eastAsia="宋体" w:cs="宋体"/>
                <w:color w:val="auto"/>
                <w:kern w:val="0"/>
                <w:sz w:val="21"/>
                <w:szCs w:val="21"/>
              </w:rPr>
              <w:t>小时重点区域巡逻一次</w:t>
            </w:r>
            <w:r>
              <w:rPr>
                <w:rFonts w:hint="eastAsia" w:ascii="宋体" w:hAnsi="宋体" w:cs="宋体"/>
                <w:color w:val="auto"/>
                <w:kern w:val="0"/>
                <w:sz w:val="21"/>
                <w:szCs w:val="21"/>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对儿童生活区、食堂、配电房等重点区域，以及</w:t>
            </w:r>
            <w:r>
              <w:rPr>
                <w:rFonts w:hint="eastAsia" w:ascii="宋体" w:hAnsi="宋体" w:eastAsia="宋体" w:cs="宋体"/>
                <w:color w:val="auto"/>
                <w:kern w:val="0"/>
                <w:sz w:val="21"/>
                <w:szCs w:val="21"/>
              </w:rPr>
              <w:t>可疑人员、消防设施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绿化区域的绿植及设施、用水用电</w:t>
            </w:r>
            <w:r>
              <w:rPr>
                <w:rFonts w:hint="eastAsia" w:ascii="宋体" w:hAnsi="宋体" w:eastAsia="宋体" w:cs="宋体"/>
                <w:color w:val="auto"/>
                <w:kern w:val="0"/>
                <w:sz w:val="21"/>
                <w:szCs w:val="21"/>
              </w:rPr>
              <w:t>等</w:t>
            </w:r>
            <w:r>
              <w:rPr>
                <w:rFonts w:hint="eastAsia" w:ascii="宋体" w:hAnsi="宋体" w:eastAsia="宋体" w:cs="宋体"/>
                <w:color w:val="auto"/>
                <w:kern w:val="0"/>
                <w:sz w:val="21"/>
                <w:szCs w:val="21"/>
                <w:lang w:val="en-US" w:eastAsia="zh-CN"/>
              </w:rPr>
              <w:t>进行巡查。</w:t>
            </w:r>
            <w:r>
              <w:rPr>
                <w:rFonts w:hint="eastAsia" w:ascii="宋体" w:hAnsi="宋体" w:cs="宋体"/>
                <w:color w:val="auto"/>
                <w:kern w:val="0"/>
                <w:sz w:val="21"/>
                <w:szCs w:val="21"/>
                <w:lang w:val="en-US" w:eastAsia="zh-CN"/>
              </w:rPr>
              <w:t xml:space="preserve"> </w:t>
            </w:r>
          </w:p>
          <w:p>
            <w:pPr>
              <w:keepNext w:val="0"/>
              <w:keepLines w:val="0"/>
              <w:pageBreakBefore w:val="0"/>
              <w:widowControl w:val="0"/>
              <w:numPr>
                <w:ilvl w:val="0"/>
                <w:numId w:val="3"/>
              </w:numPr>
              <w:kinsoku/>
              <w:wordWrap/>
              <w:overflowPunct/>
              <w:topLinePunct w:val="0"/>
              <w:autoSpaceDE/>
              <w:autoSpaceDN/>
              <w:bidi w:val="0"/>
              <w:adjustRightInd/>
              <w:snapToGrid/>
              <w:spacing w:line="288" w:lineRule="auto"/>
              <w:ind w:left="0" w:firstLine="0" w:firstLineChars="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发现问题立即上报、</w:t>
            </w:r>
            <w:r>
              <w:rPr>
                <w:rFonts w:hint="eastAsia" w:ascii="宋体" w:hAnsi="宋体" w:eastAsia="宋体" w:cs="宋体"/>
                <w:color w:val="auto"/>
                <w:kern w:val="0"/>
                <w:sz w:val="21"/>
                <w:szCs w:val="21"/>
                <w:lang w:val="en-US" w:eastAsia="zh-CN"/>
              </w:rPr>
              <w:t>拍照</w:t>
            </w:r>
            <w:r>
              <w:rPr>
                <w:rFonts w:hint="eastAsia" w:ascii="宋体" w:hAnsi="宋体" w:eastAsia="宋体" w:cs="宋体"/>
                <w:color w:val="auto"/>
                <w:kern w:val="0"/>
                <w:sz w:val="21"/>
                <w:szCs w:val="21"/>
              </w:rPr>
              <w:t>记录</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跟踪整改，</w:t>
            </w:r>
            <w:r>
              <w:rPr>
                <w:rFonts w:hint="eastAsia" w:ascii="宋体" w:hAnsi="宋体" w:eastAsia="宋体" w:cs="宋体"/>
                <w:color w:val="auto"/>
                <w:kern w:val="0"/>
                <w:sz w:val="21"/>
                <w:szCs w:val="21"/>
              </w:rPr>
              <w:t>形成闭环。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4</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监控值守</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 小时监控消防主机与安防系统，画面清晰、记录完整，保存不少于 90 天；无关人员查阅须经批准并登记。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5</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车辆停放</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对消防通道、出入口车辆进行规范引导，确保通道畅通。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消防安全管理</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（1）消防控制室 24 小时双人持证值班。</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（2）熟练操作消防主机，火警信号</w:t>
            </w:r>
            <w:r>
              <w:rPr>
                <w:rFonts w:hint="eastAsia" w:ascii="宋体" w:hAnsi="宋体" w:eastAsia="宋体" w:cs="宋体"/>
                <w:b/>
                <w:color w:val="auto"/>
                <w:kern w:val="0"/>
                <w:sz w:val="21"/>
                <w:szCs w:val="21"/>
              </w:rPr>
              <w:t>1 分钟内确认，3 分钟内上报处置</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（3）定期参与消防演练，熟悉应急流程。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7</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突发事件处理</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发生火警、盗抢、冲突等</w:t>
            </w:r>
            <w:r>
              <w:rPr>
                <w:rFonts w:hint="eastAsia" w:ascii="宋体" w:hAnsi="宋体" w:cs="宋体"/>
                <w:color w:val="auto"/>
                <w:kern w:val="0"/>
                <w:sz w:val="21"/>
                <w:szCs w:val="21"/>
                <w:lang w:val="en-US" w:eastAsia="zh-CN"/>
              </w:rPr>
              <w:t>突发事件</w:t>
            </w:r>
            <w:r>
              <w:rPr>
                <w:rFonts w:hint="eastAsia" w:ascii="宋体" w:hAnsi="宋体" w:eastAsia="宋体" w:cs="宋体"/>
                <w:color w:val="auto"/>
                <w:kern w:val="0"/>
                <w:sz w:val="21"/>
                <w:szCs w:val="21"/>
              </w:rPr>
              <w:t>立即启动预案，第一时间上报采购人，必要时报警，保护现场，配合处置。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215"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w:t>
            </w:r>
          </w:p>
        </w:tc>
        <w:tc>
          <w:tcPr>
            <w:tcW w:w="2332"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大型活动秩序</w:t>
            </w:r>
          </w:p>
        </w:tc>
        <w:tc>
          <w:tcPr>
            <w:tcW w:w="4733" w:type="dxa"/>
            <w:tcMar>
              <w:top w:w="60" w:type="dxa"/>
              <w:left w:w="120" w:type="dxa"/>
              <w:bottom w:w="30" w:type="dxa"/>
              <w:right w:w="120" w:type="dxa"/>
            </w:tcMar>
          </w:tcPr>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按照采购人</w:t>
            </w:r>
            <w:r>
              <w:rPr>
                <w:rFonts w:hint="eastAsia" w:ascii="Calibri" w:hAnsi="Calibri" w:eastAsia="宋体" w:cs="Calibri"/>
                <w:b w:val="0"/>
                <w:bCs w:val="0"/>
                <w:color w:val="auto"/>
                <w:kern w:val="0"/>
                <w:szCs w:val="21"/>
                <w:highlight w:val="none"/>
                <w:lang w:val="en-US" w:eastAsia="zh-CN"/>
              </w:rPr>
              <w:t>活动举办</w:t>
            </w:r>
            <w:r>
              <w:rPr>
                <w:rFonts w:hint="eastAsia" w:ascii="Calibri" w:hAnsi="Calibri" w:cs="Calibri"/>
                <w:b w:val="0"/>
                <w:bCs w:val="0"/>
                <w:color w:val="auto"/>
                <w:kern w:val="0"/>
                <w:szCs w:val="21"/>
                <w:highlight w:val="none"/>
                <w:lang w:val="en-US" w:eastAsia="zh-CN"/>
              </w:rPr>
              <w:t>要求</w:t>
            </w:r>
            <w:r>
              <w:rPr>
                <w:rFonts w:hint="eastAsia" w:ascii="Calibri" w:hAnsi="Calibri" w:eastAsia="宋体" w:cs="Calibri"/>
                <w:b w:val="0"/>
                <w:bCs w:val="0"/>
                <w:color w:val="auto"/>
                <w:kern w:val="0"/>
                <w:szCs w:val="21"/>
                <w:highlight w:val="none"/>
                <w:lang w:val="en-US" w:eastAsia="zh-CN"/>
              </w:rPr>
              <w:t>，做好现场秩序的维护</w:t>
            </w:r>
            <w:r>
              <w:rPr>
                <w:rFonts w:hint="eastAsia" w:ascii="Calibri" w:hAnsi="Calibri" w:cs="Calibri"/>
                <w:b w:val="0"/>
                <w:bCs w:val="0"/>
                <w:color w:val="auto"/>
                <w:kern w:val="0"/>
                <w:szCs w:val="21"/>
                <w:highlight w:val="none"/>
                <w:lang w:val="en-US" w:eastAsia="zh-CN"/>
              </w:rPr>
              <w:t>，</w:t>
            </w:r>
            <w:r>
              <w:rPr>
                <w:rFonts w:hint="eastAsia" w:ascii="Calibri" w:hAnsi="Calibri" w:eastAsia="宋体" w:cs="Calibri"/>
                <w:b w:val="0"/>
                <w:bCs w:val="0"/>
                <w:color w:val="auto"/>
                <w:kern w:val="0"/>
                <w:szCs w:val="21"/>
                <w:highlight w:val="none"/>
                <w:lang w:val="en-US" w:eastAsia="zh-CN"/>
              </w:rPr>
              <w:t>保障通道、出入口、停车场等区域畅通</w:t>
            </w:r>
            <w:r>
              <w:rPr>
                <w:rFonts w:hint="eastAsia" w:ascii="Calibri" w:hAnsi="Calibri" w:cs="Calibri"/>
                <w:b w:val="0"/>
                <w:bCs w:val="0"/>
                <w:color w:val="auto"/>
                <w:kern w:val="0"/>
                <w:szCs w:val="21"/>
                <w:highlight w:val="none"/>
                <w:lang w:val="en-US" w:eastAsia="zh-CN"/>
              </w:rPr>
              <w:t>，做好</w:t>
            </w:r>
            <w:r>
              <w:rPr>
                <w:rFonts w:hint="eastAsia" w:ascii="Calibri" w:hAnsi="Calibri" w:eastAsia="宋体" w:cs="Calibri"/>
                <w:b w:val="0"/>
                <w:bCs w:val="0"/>
                <w:color w:val="auto"/>
                <w:kern w:val="0"/>
                <w:szCs w:val="21"/>
                <w:highlight w:val="none"/>
                <w:lang w:val="en-US" w:eastAsia="zh-CN"/>
              </w:rPr>
              <w:t>突发事故的处置工作，确保活动正常进行</w:t>
            </w:r>
            <w:r>
              <w:rPr>
                <w:rFonts w:hint="eastAsia" w:ascii="宋体" w:hAnsi="宋体" w:eastAsia="宋体" w:cs="宋体"/>
                <w:color w:val="auto"/>
                <w:kern w:val="0"/>
                <w:sz w:val="21"/>
                <w:szCs w:val="21"/>
              </w:rPr>
              <w:t>。</w:t>
            </w:r>
          </w:p>
        </w:tc>
      </w:tr>
    </w:tbl>
    <w:p>
      <w:pPr>
        <w:spacing w:before="320" w:after="120" w:line="288" w:lineRule="auto"/>
        <w:ind w:left="0" w:firstLine="0" w:firstLineChars="0"/>
        <w:jc w:val="left"/>
        <w:outlineLvl w:val="1"/>
        <w:rPr>
          <w:rFonts w:ascii="Calibri" w:hAnsi="Calibri" w:eastAsia="宋体" w:cs="Times New Roman"/>
          <w:color w:val="auto"/>
          <w:kern w:val="0"/>
          <w:szCs w:val="22"/>
        </w:rPr>
      </w:pPr>
      <w:bookmarkStart w:id="64" w:name="heading_16"/>
      <w:r>
        <w:rPr>
          <w:rFonts w:ascii="Arial" w:hAnsi="Arial" w:eastAsia="等线" w:cs="Arial"/>
          <w:b/>
          <w:color w:val="auto"/>
          <w:kern w:val="0"/>
          <w:sz w:val="32"/>
          <w:szCs w:val="22"/>
        </w:rPr>
        <w:t>4. 供应商履行合同所需的设备</w:t>
      </w:r>
      <w:bookmarkEnd w:id="64"/>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009"/>
        <w:gridCol w:w="1827"/>
        <w:gridCol w:w="2114"/>
        <w:gridCol w:w="1650"/>
        <w:gridCol w:w="1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序号</w:t>
            </w:r>
          </w:p>
        </w:tc>
        <w:tc>
          <w:tcPr>
            <w:tcW w:w="182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用途</w:t>
            </w:r>
          </w:p>
        </w:tc>
        <w:tc>
          <w:tcPr>
            <w:tcW w:w="2114"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作业设备名称</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数量</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82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保安服务</w:t>
            </w:r>
          </w:p>
        </w:tc>
        <w:tc>
          <w:tcPr>
            <w:tcW w:w="2114"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对讲机</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6</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82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保安服务</w:t>
            </w:r>
          </w:p>
        </w:tc>
        <w:tc>
          <w:tcPr>
            <w:tcW w:w="2114"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强光手电</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6</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3</w:t>
            </w:r>
          </w:p>
        </w:tc>
        <w:tc>
          <w:tcPr>
            <w:tcW w:w="182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保安服务</w:t>
            </w:r>
          </w:p>
        </w:tc>
        <w:tc>
          <w:tcPr>
            <w:tcW w:w="2114"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值班台账、记录表</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eastAsia="zh-CN"/>
              </w:rPr>
            </w:pPr>
            <w:r>
              <w:rPr>
                <w:rFonts w:hint="eastAsia" w:ascii="宋体" w:hAnsi="宋体" w:cs="宋体"/>
                <w:color w:val="auto"/>
                <w:kern w:val="0"/>
                <w:sz w:val="21"/>
                <w:szCs w:val="21"/>
                <w:lang w:val="en-US" w:eastAsia="zh-CN"/>
              </w:rPr>
              <w:t>1</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00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lang w:val="en-US" w:eastAsia="zh-CN"/>
              </w:rPr>
            </w:pPr>
            <w:bookmarkStart w:id="65" w:name="heading_17"/>
            <w:r>
              <w:rPr>
                <w:rFonts w:hint="eastAsia" w:ascii="宋体" w:hAnsi="宋体" w:cs="宋体"/>
                <w:color w:val="auto"/>
                <w:kern w:val="0"/>
                <w:sz w:val="21"/>
                <w:szCs w:val="21"/>
                <w:lang w:val="en-US" w:eastAsia="zh-CN"/>
              </w:rPr>
              <w:t>4</w:t>
            </w:r>
          </w:p>
        </w:tc>
        <w:tc>
          <w:tcPr>
            <w:tcW w:w="1827"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保安服务</w:t>
            </w:r>
          </w:p>
        </w:tc>
        <w:tc>
          <w:tcPr>
            <w:tcW w:w="2114" w:type="dxa"/>
            <w:tcMar>
              <w:top w:w="60" w:type="dxa"/>
              <w:left w:w="120" w:type="dxa"/>
              <w:bottom w:w="30" w:type="dxa"/>
              <w:right w:w="120" w:type="dxa"/>
            </w:tcMar>
          </w:tcPr>
          <w:p>
            <w:pPr>
              <w:spacing w:before="120" w:after="120" w:line="288" w:lineRule="auto"/>
              <w:ind w:left="0" w:firstLine="0" w:firstLineChars="0"/>
              <w:jc w:val="center"/>
              <w:rPr>
                <w:rFonts w:hint="default"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工作服</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default" w:ascii="宋体" w:hAnsi="宋体" w:cs="宋体"/>
                <w:color w:val="auto"/>
                <w:kern w:val="0"/>
                <w:sz w:val="21"/>
                <w:szCs w:val="21"/>
                <w:lang w:val="en-US" w:eastAsia="zh-CN"/>
              </w:rPr>
            </w:pPr>
            <w:r>
              <w:rPr>
                <w:rFonts w:hint="eastAsia" w:ascii="宋体" w:hAnsi="宋体" w:cs="宋体"/>
                <w:color w:val="auto"/>
                <w:kern w:val="0"/>
                <w:sz w:val="21"/>
                <w:szCs w:val="21"/>
                <w:lang w:val="en-US" w:eastAsia="zh-CN"/>
              </w:rPr>
              <w:t>6</w:t>
            </w:r>
          </w:p>
        </w:tc>
        <w:tc>
          <w:tcPr>
            <w:tcW w:w="16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套</w:t>
            </w:r>
          </w:p>
        </w:tc>
      </w:tr>
    </w:tbl>
    <w:p>
      <w:pPr>
        <w:spacing w:before="320" w:after="120" w:line="288" w:lineRule="auto"/>
        <w:ind w:left="0" w:firstLine="0" w:firstLineChars="0"/>
        <w:jc w:val="left"/>
        <w:outlineLvl w:val="1"/>
        <w:rPr>
          <w:rFonts w:ascii="Calibri" w:hAnsi="Calibri" w:eastAsia="宋体" w:cs="Times New Roman"/>
          <w:color w:val="auto"/>
          <w:kern w:val="0"/>
          <w:szCs w:val="22"/>
        </w:rPr>
      </w:pPr>
      <w:r>
        <w:rPr>
          <w:rFonts w:ascii="Arial" w:hAnsi="Arial" w:eastAsia="等线" w:cs="Arial"/>
          <w:b/>
          <w:color w:val="auto"/>
          <w:kern w:val="0"/>
          <w:sz w:val="32"/>
          <w:szCs w:val="22"/>
        </w:rPr>
        <w:t>5. 物业管理服务人员需求</w:t>
      </w:r>
      <w:bookmarkEnd w:id="65"/>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859"/>
        <w:gridCol w:w="1091"/>
        <w:gridCol w:w="859"/>
        <w:gridCol w:w="1391"/>
        <w:gridCol w:w="40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5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部门职能</w:t>
            </w:r>
          </w:p>
        </w:tc>
        <w:tc>
          <w:tcPr>
            <w:tcW w:w="1091"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岗位</w:t>
            </w:r>
          </w:p>
        </w:tc>
        <w:tc>
          <w:tcPr>
            <w:tcW w:w="85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同时在岗人数</w:t>
            </w:r>
          </w:p>
        </w:tc>
        <w:tc>
          <w:tcPr>
            <w:tcW w:w="1391"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岗位所需总人数</w:t>
            </w:r>
          </w:p>
        </w:tc>
        <w:tc>
          <w:tcPr>
            <w:tcW w:w="4050"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备注（岗位所需服务时长或时段、需具备的上岗资格证、工作经验等要求）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663" w:hRule="atLeast"/>
          <w:jc w:val="center"/>
        </w:trPr>
        <w:tc>
          <w:tcPr>
            <w:tcW w:w="85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保安服务</w:t>
            </w:r>
          </w:p>
        </w:tc>
        <w:tc>
          <w:tcPr>
            <w:tcW w:w="1091"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消控岗（兼保</w:t>
            </w:r>
            <w:r>
              <w:rPr>
                <w:rFonts w:hint="eastAsia" w:ascii="宋体" w:hAnsi="宋体" w:cs="宋体"/>
                <w:color w:val="auto"/>
                <w:kern w:val="0"/>
                <w:sz w:val="21"/>
                <w:szCs w:val="21"/>
                <w:lang w:val="en-US" w:eastAsia="zh-CN"/>
              </w:rPr>
              <w:t>安</w:t>
            </w:r>
            <w:r>
              <w:rPr>
                <w:rFonts w:hint="eastAsia" w:ascii="宋体" w:hAnsi="宋体" w:eastAsia="宋体" w:cs="宋体"/>
                <w:color w:val="auto"/>
                <w:kern w:val="0"/>
                <w:sz w:val="21"/>
                <w:szCs w:val="21"/>
              </w:rPr>
              <w:t>）</w:t>
            </w:r>
          </w:p>
        </w:tc>
        <w:tc>
          <w:tcPr>
            <w:tcW w:w="859"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6</w:t>
            </w:r>
          </w:p>
        </w:tc>
        <w:tc>
          <w:tcPr>
            <w:tcW w:w="1391" w:type="dxa"/>
            <w:tcMar>
              <w:top w:w="60" w:type="dxa"/>
              <w:left w:w="120" w:type="dxa"/>
              <w:bottom w:w="30" w:type="dxa"/>
              <w:right w:w="120" w:type="dxa"/>
            </w:tcMar>
          </w:tcPr>
          <w:p>
            <w:pPr>
              <w:spacing w:before="120" w:after="120" w:line="288" w:lineRule="auto"/>
              <w:ind w:left="0" w:firstLine="0" w:firstLineChars="0"/>
              <w:jc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按 24 小时排班配齐</w:t>
            </w:r>
          </w:p>
        </w:tc>
        <w:tc>
          <w:tcPr>
            <w:tcW w:w="4050" w:type="dxa"/>
            <w:tcMar>
              <w:top w:w="60" w:type="dxa"/>
              <w:left w:w="120" w:type="dxa"/>
              <w:bottom w:w="30" w:type="dxa"/>
              <w:right w:w="120" w:type="dxa"/>
            </w:tcMar>
          </w:tcPr>
          <w:p>
            <w:pPr>
              <w:numPr>
                <w:ilvl w:val="0"/>
                <w:numId w:val="4"/>
              </w:num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业务技能要求：</w:t>
            </w:r>
            <w:r>
              <w:rPr>
                <w:rFonts w:hint="eastAsia" w:ascii="宋体" w:hAnsi="宋体" w:eastAsia="宋体" w:cs="宋体"/>
                <w:b/>
                <w:bCs/>
                <w:color w:val="auto"/>
                <w:kern w:val="0"/>
                <w:sz w:val="21"/>
                <w:szCs w:val="21"/>
              </w:rPr>
              <w:t>拟投入本项目的消防监控室值班人员</w:t>
            </w:r>
            <w:r>
              <w:rPr>
                <w:rFonts w:hint="eastAsia" w:ascii="宋体" w:hAnsi="宋体" w:cs="宋体"/>
                <w:b/>
                <w:bCs/>
                <w:color w:val="auto"/>
                <w:kern w:val="0"/>
                <w:sz w:val="21"/>
                <w:szCs w:val="21"/>
                <w:lang w:val="en-US" w:eastAsia="zh-CN"/>
              </w:rPr>
              <w:t>均</w:t>
            </w:r>
            <w:r>
              <w:rPr>
                <w:rFonts w:hint="eastAsia" w:ascii="宋体" w:hAnsi="宋体" w:eastAsia="宋体" w:cs="宋体"/>
                <w:b/>
                <w:bCs/>
                <w:color w:val="auto"/>
                <w:kern w:val="0"/>
                <w:sz w:val="21"/>
                <w:szCs w:val="21"/>
              </w:rPr>
              <w:t>具有</w:t>
            </w:r>
            <w:bookmarkStart w:id="66" w:name="OLE_LINK11"/>
            <w:r>
              <w:rPr>
                <w:rFonts w:hint="eastAsia" w:ascii="宋体" w:hAnsi="宋体" w:eastAsia="宋体" w:cs="宋体"/>
                <w:b/>
                <w:bCs/>
                <w:color w:val="auto"/>
                <w:kern w:val="0"/>
                <w:sz w:val="21"/>
                <w:szCs w:val="21"/>
              </w:rPr>
              <w:t>消防设施操作员（职业方向：消防设施监控操作）</w:t>
            </w:r>
            <w:bookmarkEnd w:id="66"/>
            <w:r>
              <w:rPr>
                <w:rFonts w:hint="eastAsia" w:ascii="宋体" w:hAnsi="宋体" w:eastAsia="宋体" w:cs="宋体"/>
                <w:b/>
                <w:bCs/>
                <w:color w:val="auto"/>
                <w:kern w:val="0"/>
                <w:sz w:val="21"/>
                <w:szCs w:val="21"/>
              </w:rPr>
              <w:t>证书</w:t>
            </w:r>
            <w:r>
              <w:rPr>
                <w:rFonts w:hint="eastAsia" w:ascii="宋体" w:hAnsi="宋体" w:cs="宋体"/>
                <w:b/>
                <w:bCs/>
                <w:color w:val="auto"/>
                <w:kern w:val="0"/>
                <w:sz w:val="21"/>
                <w:szCs w:val="21"/>
                <w:lang w:eastAsia="zh-CN"/>
              </w:rPr>
              <w:t>（</w:t>
            </w:r>
            <w:r>
              <w:rPr>
                <w:rFonts w:hint="eastAsia" w:ascii="宋体" w:hAnsi="宋体" w:cs="宋体"/>
                <w:b/>
                <w:bCs/>
                <w:color w:val="auto"/>
                <w:kern w:val="0"/>
                <w:sz w:val="21"/>
                <w:szCs w:val="21"/>
                <w:lang w:val="en-US" w:eastAsia="zh-CN"/>
              </w:rPr>
              <w:t>其中至少3人具有中级及以上</w:t>
            </w:r>
            <w:r>
              <w:rPr>
                <w:rFonts w:hint="eastAsia" w:ascii="宋体" w:hAnsi="宋体" w:eastAsia="宋体" w:cs="宋体"/>
                <w:b/>
                <w:bCs/>
                <w:color w:val="auto"/>
                <w:kern w:val="0"/>
                <w:sz w:val="21"/>
                <w:szCs w:val="21"/>
              </w:rPr>
              <w:t>消防设施操作员（职业方向：消防设施监控操作）证书</w:t>
            </w:r>
            <w:r>
              <w:rPr>
                <w:rFonts w:hint="eastAsia" w:ascii="宋体" w:hAnsi="宋体" w:cs="宋体"/>
                <w:b/>
                <w:bCs/>
                <w:color w:val="auto"/>
                <w:kern w:val="0"/>
                <w:sz w:val="21"/>
                <w:szCs w:val="21"/>
                <w:lang w:eastAsia="zh-CN"/>
              </w:rPr>
              <w:t>）</w:t>
            </w:r>
            <w:r>
              <w:rPr>
                <w:rFonts w:hint="eastAsia" w:ascii="宋体" w:hAnsi="宋体" w:eastAsia="宋体" w:cs="宋体"/>
                <w:b/>
                <w:bCs/>
                <w:color w:val="auto"/>
                <w:kern w:val="0"/>
                <w:sz w:val="21"/>
                <w:szCs w:val="21"/>
              </w:rPr>
              <w:t>，</w:t>
            </w:r>
            <w:r>
              <w:rPr>
                <w:rFonts w:hint="eastAsia" w:ascii="宋体" w:hAnsi="宋体" w:cs="宋体"/>
                <w:b/>
                <w:bCs/>
                <w:color w:val="auto"/>
                <w:kern w:val="0"/>
                <w:sz w:val="21"/>
                <w:szCs w:val="21"/>
                <w:highlight w:val="none"/>
                <w:lang w:val="en-US" w:eastAsia="zh-CN"/>
              </w:rPr>
              <w:t>成交后提供相关证书核查，</w:t>
            </w:r>
            <w:r>
              <w:rPr>
                <w:rFonts w:hint="eastAsia" w:ascii="宋体" w:hAnsi="宋体" w:eastAsia="宋体" w:cs="宋体"/>
                <w:b/>
                <w:bCs/>
                <w:color w:val="auto"/>
                <w:kern w:val="0"/>
                <w:sz w:val="21"/>
                <w:szCs w:val="21"/>
                <w:highlight w:val="none"/>
              </w:rPr>
              <w:t>严</w:t>
            </w:r>
            <w:r>
              <w:rPr>
                <w:rFonts w:hint="eastAsia" w:ascii="宋体" w:hAnsi="宋体" w:eastAsia="宋体" w:cs="宋体"/>
                <w:b/>
                <w:bCs/>
                <w:color w:val="auto"/>
                <w:kern w:val="0"/>
                <w:sz w:val="21"/>
                <w:szCs w:val="21"/>
              </w:rPr>
              <w:t>禁无证上岗。</w:t>
            </w:r>
          </w:p>
          <w:p>
            <w:pPr>
              <w:numPr>
                <w:ilvl w:val="0"/>
                <w:numId w:val="4"/>
              </w:num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eastAsia="zh-CN"/>
              </w:rPr>
              <w:t>消防监控室</w:t>
            </w:r>
            <w:r>
              <w:rPr>
                <w:rFonts w:hint="eastAsia" w:ascii="宋体" w:hAnsi="宋体" w:eastAsia="宋体" w:cs="宋体"/>
                <w:color w:val="auto"/>
                <w:kern w:val="0"/>
                <w:sz w:val="21"/>
                <w:szCs w:val="21"/>
              </w:rPr>
              <w:t>值班人员要求：</w:t>
            </w:r>
            <w:r>
              <w:rPr>
                <w:rFonts w:hint="eastAsia" w:ascii="宋体" w:hAnsi="宋体" w:cs="宋体"/>
                <w:color w:val="auto"/>
                <w:kern w:val="0"/>
                <w:sz w:val="21"/>
                <w:szCs w:val="21"/>
                <w:lang w:val="en-US" w:eastAsia="zh-CN"/>
              </w:rPr>
              <w:t>高中以上学历，</w:t>
            </w:r>
            <w:r>
              <w:rPr>
                <w:rFonts w:hint="eastAsia" w:ascii="宋体" w:hAnsi="宋体" w:eastAsia="宋体" w:cs="宋体"/>
                <w:color w:val="auto"/>
                <w:kern w:val="0"/>
                <w:sz w:val="21"/>
                <w:szCs w:val="21"/>
              </w:rPr>
              <w:t>年龄18-</w:t>
            </w:r>
            <w:r>
              <w:rPr>
                <w:rFonts w:hint="eastAsia" w:ascii="宋体" w:hAnsi="宋体" w:cs="宋体"/>
                <w:color w:val="auto"/>
                <w:kern w:val="0"/>
                <w:sz w:val="21"/>
                <w:szCs w:val="21"/>
                <w:lang w:val="en-US" w:eastAsia="zh-CN"/>
              </w:rPr>
              <w:t>50</w:t>
            </w:r>
            <w:r>
              <w:rPr>
                <w:rFonts w:hint="eastAsia" w:ascii="宋体" w:hAnsi="宋体" w:eastAsia="宋体" w:cs="宋体"/>
                <w:color w:val="auto"/>
                <w:kern w:val="0"/>
                <w:sz w:val="21"/>
                <w:szCs w:val="21"/>
              </w:rPr>
              <w:t>周岁，</w:t>
            </w:r>
            <w:r>
              <w:rPr>
                <w:rFonts w:hint="eastAsia" w:ascii="宋体" w:hAnsi="宋体" w:cs="宋体"/>
                <w:color w:val="auto"/>
                <w:kern w:val="0"/>
                <w:sz w:val="21"/>
                <w:szCs w:val="21"/>
                <w:lang w:eastAsia="zh-CN"/>
              </w:rPr>
              <w:t>身体健康，无传染性疾病，</w:t>
            </w:r>
            <w:r>
              <w:rPr>
                <w:rFonts w:hint="eastAsia" w:ascii="宋体" w:hAnsi="宋体" w:eastAsia="宋体" w:cs="宋体"/>
                <w:color w:val="auto"/>
                <w:kern w:val="0"/>
                <w:sz w:val="21"/>
                <w:szCs w:val="21"/>
              </w:rPr>
              <w:t>且具有消防监控室值班工作经验</w:t>
            </w:r>
            <w:r>
              <w:rPr>
                <w:rFonts w:hint="eastAsia" w:ascii="宋体" w:hAnsi="宋体" w:cs="宋体"/>
                <w:color w:val="auto"/>
                <w:kern w:val="0"/>
                <w:sz w:val="21"/>
                <w:szCs w:val="21"/>
                <w:lang w:val="en-US" w:eastAsia="zh-CN"/>
              </w:rPr>
              <w:t>1年以上</w:t>
            </w:r>
            <w:r>
              <w:rPr>
                <w:rFonts w:hint="eastAsia" w:ascii="宋体" w:hAnsi="宋体" w:eastAsia="宋体" w:cs="宋体"/>
                <w:color w:val="auto"/>
                <w:kern w:val="0"/>
                <w:sz w:val="21"/>
                <w:szCs w:val="21"/>
              </w:rPr>
              <w:t>。</w:t>
            </w:r>
          </w:p>
          <w:p>
            <w:pPr>
              <w:numPr>
                <w:ilvl w:val="0"/>
                <w:numId w:val="4"/>
              </w:numPr>
              <w:spacing w:before="120" w:after="120" w:line="288" w:lineRule="auto"/>
              <w:ind w:left="0" w:leftChars="0" w:firstLine="0" w:firstLineChars="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24 小时值班</w:t>
            </w:r>
            <w:r>
              <w:rPr>
                <w:rFonts w:hint="eastAsia" w:ascii="宋体" w:hAnsi="宋体" w:cs="宋体"/>
                <w:color w:val="auto"/>
                <w:kern w:val="0"/>
                <w:sz w:val="21"/>
                <w:szCs w:val="21"/>
                <w:lang w:eastAsia="zh-CN"/>
              </w:rPr>
              <w:t>，</w:t>
            </w:r>
            <w:r>
              <w:rPr>
                <w:rFonts w:hint="eastAsia" w:ascii="宋体" w:hAnsi="宋体" w:eastAsia="宋体" w:cs="宋体"/>
                <w:color w:val="auto"/>
                <w:kern w:val="0"/>
                <w:sz w:val="21"/>
                <w:szCs w:val="21"/>
              </w:rPr>
              <w:t>无犯罪记录；在岗期间不得脱岗，同步承担本岗位范围内安保职责</w:t>
            </w:r>
            <w:r>
              <w:rPr>
                <w:rFonts w:hint="eastAsia" w:ascii="宋体" w:hAnsi="宋体" w:eastAsia="宋体" w:cs="宋体"/>
                <w:color w:val="auto"/>
                <w:kern w:val="0"/>
                <w:sz w:val="21"/>
                <w:szCs w:val="21"/>
                <w:lang w:eastAsia="zh-CN"/>
              </w:rPr>
              <w:t>。</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left"/>
        <w:textAlignment w:val="auto"/>
        <w:outlineLvl w:val="2"/>
        <w:rPr>
          <w:rFonts w:hint="eastAsia" w:ascii="宋体" w:hAnsi="宋体" w:eastAsia="宋体" w:cs="宋体"/>
          <w:i w:val="0"/>
          <w:iCs w:val="0"/>
          <w:caps w:val="0"/>
          <w:color w:val="auto"/>
          <w:spacing w:val="0"/>
          <w:kern w:val="0"/>
          <w:sz w:val="21"/>
          <w:szCs w:val="21"/>
          <w:shd w:val="clear" w:fill="FFFFFF"/>
        </w:rPr>
      </w:pPr>
      <w:r>
        <w:rPr>
          <w:rFonts w:hint="eastAsia" w:ascii="宋体" w:hAnsi="宋体" w:eastAsia="宋体" w:cs="宋体"/>
          <w:color w:val="auto"/>
          <w:kern w:val="0"/>
          <w:sz w:val="21"/>
          <w:szCs w:val="21"/>
        </w:rPr>
        <w:t>注：</w:t>
      </w:r>
      <w:r>
        <w:rPr>
          <w:rFonts w:hint="eastAsia" w:ascii="宋体" w:hAnsi="宋体" w:eastAsia="宋体" w:cs="宋体"/>
          <w:color w:val="auto"/>
          <w:kern w:val="0"/>
          <w:sz w:val="21"/>
          <w:szCs w:val="21"/>
        </w:rPr>
        <w:br w:type="textWrapping"/>
      </w:r>
      <w:r>
        <w:rPr>
          <w:rFonts w:hint="eastAsia" w:ascii="宋体" w:hAnsi="宋体" w:eastAsia="宋体" w:cs="宋体"/>
          <w:i w:val="0"/>
          <w:iCs w:val="0"/>
          <w:caps w:val="0"/>
          <w:color w:val="auto"/>
          <w:spacing w:val="0"/>
          <w:kern w:val="0"/>
          <w:sz w:val="21"/>
          <w:szCs w:val="21"/>
          <w:shd w:val="clear" w:fill="FFFFFF"/>
        </w:rPr>
        <w:t>（1）供应商应按国家相关法律法规，合理确定服务人员工资标准，确保工作时间符合中华人民共和国劳动法的规定。</w:t>
      </w:r>
      <w:r>
        <w:rPr>
          <w:rFonts w:hint="eastAsia" w:ascii="宋体" w:hAnsi="宋体" w:eastAsia="宋体" w:cs="宋体"/>
          <w:i w:val="0"/>
          <w:iCs w:val="0"/>
          <w:caps w:val="0"/>
          <w:color w:val="auto"/>
          <w:spacing w:val="0"/>
          <w:kern w:val="0"/>
          <w:sz w:val="21"/>
          <w:szCs w:val="21"/>
          <w:shd w:val="clear" w:fill="FFFFFF"/>
        </w:rPr>
        <w:br w:type="textWrapping"/>
      </w:r>
      <w:r>
        <w:rPr>
          <w:rFonts w:hint="eastAsia" w:ascii="宋体" w:hAnsi="宋体" w:eastAsia="宋体" w:cs="宋体"/>
          <w:i w:val="0"/>
          <w:iCs w:val="0"/>
          <w:caps w:val="0"/>
          <w:color w:val="auto"/>
          <w:spacing w:val="0"/>
          <w:kern w:val="0"/>
          <w:sz w:val="21"/>
          <w:szCs w:val="21"/>
          <w:shd w:val="clear" w:fill="FFFFFF"/>
        </w:rPr>
        <w:t>（2）供应商应自行为服务人员办理必需的</w:t>
      </w:r>
      <w:r>
        <w:rPr>
          <w:rFonts w:hint="eastAsia" w:ascii="宋体" w:hAnsi="宋体" w:cs="宋体"/>
          <w:i w:val="0"/>
          <w:iCs w:val="0"/>
          <w:caps w:val="0"/>
          <w:color w:val="auto"/>
          <w:spacing w:val="0"/>
          <w:kern w:val="0"/>
          <w:sz w:val="21"/>
          <w:szCs w:val="21"/>
          <w:shd w:val="clear" w:fill="FFFFFF"/>
          <w:lang w:val="en-US" w:eastAsia="zh-CN"/>
        </w:rPr>
        <w:t>社会</w:t>
      </w:r>
      <w:r>
        <w:rPr>
          <w:rFonts w:hint="eastAsia" w:ascii="宋体" w:hAnsi="宋体" w:eastAsia="宋体" w:cs="宋体"/>
          <w:i w:val="0"/>
          <w:iCs w:val="0"/>
          <w:caps w:val="0"/>
          <w:color w:val="auto"/>
          <w:spacing w:val="0"/>
          <w:kern w:val="0"/>
          <w:sz w:val="21"/>
          <w:szCs w:val="21"/>
          <w:shd w:val="clear" w:fill="FFFFFF"/>
        </w:rPr>
        <w:t>保险，有关人员伤亡及第三者责任险均应考虑在报价因素中。</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outlineLvl w:val="2"/>
        <w:rPr>
          <w:rFonts w:hint="eastAsia"/>
          <w:color w:val="auto"/>
        </w:rPr>
      </w:pP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3</w:t>
      </w: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服务人员不得兼职，供应商须为其缴纳社保。</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jc w:val="left"/>
        <w:textAlignment w:val="auto"/>
        <w:outlineLvl w:val="2"/>
        <w:rPr>
          <w:rFonts w:hint="eastAsia"/>
          <w:color w:val="auto"/>
        </w:rPr>
      </w:pPr>
      <w:r>
        <w:rPr>
          <w:rFonts w:hint="eastAsia" w:ascii="宋体" w:hAnsi="宋体" w:cs="宋体"/>
          <w:i w:val="0"/>
          <w:iCs w:val="0"/>
          <w:caps w:val="0"/>
          <w:color w:val="auto"/>
          <w:spacing w:val="0"/>
          <w:kern w:val="0"/>
          <w:sz w:val="21"/>
          <w:szCs w:val="21"/>
          <w:shd w:val="clear" w:fill="FFFFFF"/>
          <w:lang w:eastAsia="zh-CN"/>
        </w:rPr>
        <w:t>（</w:t>
      </w:r>
      <w:r>
        <w:rPr>
          <w:rFonts w:hint="eastAsia" w:ascii="宋体" w:hAnsi="宋体" w:cs="宋体"/>
          <w:i w:val="0"/>
          <w:iCs w:val="0"/>
          <w:caps w:val="0"/>
          <w:color w:val="auto"/>
          <w:spacing w:val="0"/>
          <w:kern w:val="0"/>
          <w:sz w:val="21"/>
          <w:szCs w:val="21"/>
          <w:shd w:val="clear" w:fill="FFFFFF"/>
          <w:lang w:val="en-US" w:eastAsia="zh-CN"/>
        </w:rPr>
        <w:t>4</w:t>
      </w:r>
      <w:r>
        <w:rPr>
          <w:rFonts w:hint="eastAsia" w:ascii="宋体" w:hAnsi="宋体" w:cs="宋体"/>
          <w:i w:val="0"/>
          <w:iCs w:val="0"/>
          <w:caps w:val="0"/>
          <w:color w:val="auto"/>
          <w:spacing w:val="0"/>
          <w:kern w:val="0"/>
          <w:sz w:val="21"/>
          <w:szCs w:val="21"/>
          <w:shd w:val="clear" w:fill="FFFFFF"/>
          <w:lang w:eastAsia="zh-CN"/>
        </w:rPr>
        <w:t>）</w:t>
      </w:r>
      <w:r>
        <w:rPr>
          <w:rFonts w:hint="eastAsia" w:ascii="宋体" w:hAnsi="宋体" w:eastAsia="宋体" w:cs="宋体"/>
          <w:i w:val="0"/>
          <w:iCs w:val="0"/>
          <w:caps w:val="0"/>
          <w:color w:val="auto"/>
          <w:spacing w:val="0"/>
          <w:kern w:val="0"/>
          <w:sz w:val="21"/>
          <w:szCs w:val="21"/>
          <w:shd w:val="clear" w:fill="FFFFFF"/>
        </w:rPr>
        <w:t>所有派驻本项目的人员最低工资标准须符合《最低工资规定》（中华人民共和国劳动和社会保障部令第21号）和广西壮族自治区人</w:t>
      </w:r>
      <w:r>
        <w:rPr>
          <w:rFonts w:hint="eastAsia" w:ascii="宋体" w:hAnsi="宋体" w:eastAsia="宋体" w:cs="宋体"/>
          <w:color w:val="auto"/>
          <w:kern w:val="0"/>
          <w:sz w:val="21"/>
          <w:szCs w:val="21"/>
        </w:rPr>
        <w:t>民政府最新发布的《关于调整全区职工最低工资标准的通知》或同类文件的规定。</w:t>
      </w:r>
    </w:p>
    <w:p>
      <w:pPr>
        <w:numPr>
          <w:ilvl w:val="0"/>
          <w:numId w:val="5"/>
        </w:numPr>
        <w:spacing w:before="320" w:after="120" w:line="288" w:lineRule="auto"/>
        <w:ind w:left="0" w:firstLine="0" w:firstLineChars="0"/>
        <w:jc w:val="left"/>
        <w:outlineLvl w:val="1"/>
        <w:rPr>
          <w:rFonts w:ascii="Arial" w:hAnsi="Arial" w:eastAsia="等线" w:cs="Arial"/>
          <w:b/>
          <w:color w:val="auto"/>
          <w:kern w:val="0"/>
          <w:sz w:val="32"/>
          <w:szCs w:val="22"/>
        </w:rPr>
      </w:pPr>
      <w:bookmarkStart w:id="67" w:name="heading_18"/>
      <w:r>
        <w:rPr>
          <w:rFonts w:ascii="Arial" w:hAnsi="Arial" w:eastAsia="等线" w:cs="Arial"/>
          <w:b/>
          <w:color w:val="auto"/>
          <w:kern w:val="0"/>
          <w:sz w:val="32"/>
          <w:szCs w:val="22"/>
        </w:rPr>
        <w:t>商务要求</w:t>
      </w:r>
      <w:bookmarkEnd w:id="67"/>
    </w:p>
    <w:p>
      <w:pPr>
        <w:numPr>
          <w:ilvl w:val="0"/>
          <w:numId w:val="0"/>
        </w:numPr>
        <w:spacing w:before="300" w:after="120" w:line="288" w:lineRule="auto"/>
        <w:ind w:firstLine="0" w:firstLineChars="0"/>
        <w:jc w:val="left"/>
        <w:outlineLvl w:val="2"/>
        <w:rPr>
          <w:rFonts w:ascii="Calibri" w:hAnsi="Calibri" w:eastAsia="宋体" w:cs="Times New Roman"/>
          <w:color w:val="auto"/>
          <w:kern w:val="0"/>
          <w:szCs w:val="22"/>
        </w:rPr>
      </w:pPr>
      <w:bookmarkStart w:id="68" w:name="heading_19"/>
      <w:r>
        <w:rPr>
          <w:rFonts w:ascii="Arial" w:hAnsi="Arial" w:eastAsia="等线" w:cs="Arial"/>
          <w:b/>
          <w:color w:val="auto"/>
          <w:kern w:val="0"/>
          <w:sz w:val="30"/>
          <w:szCs w:val="22"/>
        </w:rPr>
        <w:t>6.1 实施期限</w:t>
      </w:r>
      <w:bookmarkEnd w:id="68"/>
    </w:p>
    <w:p>
      <w:pPr>
        <w:pStyle w:val="16"/>
        <w:rPr>
          <w:rFonts w:hint="eastAsia" w:ascii="宋体" w:hAnsi="宋体" w:eastAsia="宋体" w:cs="宋体"/>
          <w:color w:val="auto"/>
          <w:kern w:val="0"/>
          <w:sz w:val="22"/>
          <w:szCs w:val="22"/>
        </w:rPr>
      </w:pPr>
      <w:r>
        <w:rPr>
          <w:rFonts w:hint="eastAsia"/>
          <w:color w:val="auto"/>
          <w:lang w:val="en-US" w:eastAsia="zh-CN"/>
        </w:rPr>
        <w:t>合同签订之日起1年。</w:t>
      </w:r>
    </w:p>
    <w:p>
      <w:pPr>
        <w:spacing w:before="300" w:after="120" w:line="288" w:lineRule="auto"/>
        <w:ind w:left="0" w:firstLine="0" w:firstLineChars="0"/>
        <w:jc w:val="left"/>
        <w:outlineLvl w:val="2"/>
        <w:rPr>
          <w:rFonts w:ascii="Arial" w:hAnsi="Arial" w:eastAsia="等线" w:cs="Arial"/>
          <w:b/>
          <w:color w:val="auto"/>
          <w:kern w:val="0"/>
          <w:sz w:val="30"/>
          <w:szCs w:val="22"/>
        </w:rPr>
      </w:pPr>
      <w:bookmarkStart w:id="69" w:name="heading_20"/>
      <w:r>
        <w:rPr>
          <w:rFonts w:ascii="Arial" w:hAnsi="Arial" w:eastAsia="等线" w:cs="Arial"/>
          <w:b/>
          <w:color w:val="auto"/>
          <w:kern w:val="0"/>
          <w:sz w:val="30"/>
          <w:szCs w:val="22"/>
        </w:rPr>
        <w:t>6.2 付款方式</w:t>
      </w:r>
      <w:bookmarkEnd w:id="69"/>
    </w:p>
    <w:p>
      <w:pPr>
        <w:spacing w:before="300" w:after="120" w:line="288" w:lineRule="auto"/>
        <w:ind w:left="0" w:firstLine="422" w:firstLineChars="200"/>
        <w:jc w:val="left"/>
        <w:outlineLvl w:val="2"/>
        <w:rPr>
          <w:b/>
          <w:bCs/>
          <w:color w:val="auto"/>
        </w:rPr>
      </w:pPr>
      <w:r>
        <w:rPr>
          <w:rFonts w:hint="eastAsia" w:ascii="宋体" w:hAnsi="宋体" w:eastAsia="宋体" w:cs="宋体"/>
          <w:b/>
          <w:bCs/>
          <w:color w:val="auto"/>
          <w:sz w:val="21"/>
          <w:szCs w:val="21"/>
        </w:rPr>
        <w:t>款项分三期支付</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1</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预付款：合同签订生效后</w:t>
      </w:r>
      <w:r>
        <w:rPr>
          <w:rFonts w:hint="eastAsia" w:ascii="宋体" w:hAnsi="宋体" w:cs="宋体"/>
          <w:b/>
          <w:bCs/>
          <w:color w:val="auto"/>
          <w:sz w:val="21"/>
          <w:szCs w:val="21"/>
          <w:lang w:val="en-US" w:eastAsia="zh-CN"/>
        </w:rPr>
        <w:t>30日内</w:t>
      </w:r>
      <w:r>
        <w:rPr>
          <w:rFonts w:hint="eastAsia" w:ascii="宋体" w:hAnsi="宋体" w:eastAsia="宋体" w:cs="宋体"/>
          <w:b/>
          <w:bCs/>
          <w:color w:val="auto"/>
          <w:sz w:val="21"/>
          <w:szCs w:val="21"/>
        </w:rPr>
        <w:t>支付合同总额40%。</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进度款：合同签订当年12月份，</w:t>
      </w:r>
      <w:r>
        <w:rPr>
          <w:rFonts w:hint="eastAsia" w:ascii="宋体" w:hAnsi="宋体" w:cs="宋体"/>
          <w:b/>
          <w:bCs/>
          <w:color w:val="auto"/>
          <w:sz w:val="21"/>
          <w:szCs w:val="21"/>
          <w:lang w:val="en-US" w:eastAsia="zh-CN"/>
        </w:rPr>
        <w:t>采购人</w:t>
      </w:r>
      <w:r>
        <w:rPr>
          <w:rFonts w:hint="eastAsia" w:ascii="宋体" w:hAnsi="宋体" w:eastAsia="宋体" w:cs="宋体"/>
          <w:b/>
          <w:bCs/>
          <w:color w:val="auto"/>
          <w:sz w:val="21"/>
          <w:szCs w:val="21"/>
        </w:rPr>
        <w:t>依据前期月度考核结果核算服务费，考核结果为合格的支付合同总额的40%。如考核出现履约基本合格、不合格、严重违约情形的，按规定核减费用后支付。</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lang w:val="en-US" w:eastAsia="zh-CN"/>
        </w:rPr>
        <w:t>3</w:t>
      </w:r>
      <w:r>
        <w:rPr>
          <w:rFonts w:hint="eastAsia" w:ascii="宋体" w:hAnsi="宋体" w:eastAsia="宋体" w:cs="宋体"/>
          <w:b/>
          <w:bCs/>
          <w:color w:val="auto"/>
          <w:sz w:val="21"/>
          <w:szCs w:val="21"/>
          <w:lang w:eastAsia="zh-CN"/>
        </w:rPr>
        <w:t>）</w:t>
      </w:r>
      <w:r>
        <w:rPr>
          <w:rFonts w:hint="eastAsia" w:ascii="宋体" w:hAnsi="宋体" w:eastAsia="宋体" w:cs="宋体"/>
          <w:b/>
          <w:bCs/>
          <w:color w:val="auto"/>
          <w:sz w:val="21"/>
          <w:szCs w:val="21"/>
        </w:rPr>
        <w:t>尾款：合同履约完成</w:t>
      </w:r>
      <w:r>
        <w:rPr>
          <w:rFonts w:hint="eastAsia" w:ascii="宋体" w:hAnsi="宋体" w:cs="宋体"/>
          <w:b/>
          <w:bCs/>
          <w:color w:val="auto"/>
          <w:sz w:val="21"/>
          <w:szCs w:val="21"/>
          <w:lang w:val="en-US" w:eastAsia="zh-CN"/>
        </w:rPr>
        <w:t>60日内采购人</w:t>
      </w:r>
      <w:r>
        <w:rPr>
          <w:rFonts w:hint="eastAsia" w:ascii="宋体" w:hAnsi="宋体" w:eastAsia="宋体" w:cs="宋体"/>
          <w:b/>
          <w:bCs/>
          <w:color w:val="auto"/>
          <w:sz w:val="21"/>
          <w:szCs w:val="21"/>
        </w:rPr>
        <w:t>依据前期月度考核结果核算服务费，考核结果为合格的支付合同总额的20%</w:t>
      </w:r>
      <w:r>
        <w:rPr>
          <w:rFonts w:hint="eastAsia" w:ascii="宋体" w:hAnsi="宋体" w:cs="宋体"/>
          <w:b/>
          <w:bCs/>
          <w:color w:val="auto"/>
          <w:sz w:val="21"/>
          <w:szCs w:val="21"/>
          <w:lang w:eastAsia="zh-CN"/>
        </w:rPr>
        <w:t>。</w:t>
      </w:r>
      <w:r>
        <w:rPr>
          <w:rFonts w:hint="eastAsia" w:ascii="宋体" w:hAnsi="宋体" w:eastAsia="宋体" w:cs="宋体"/>
          <w:b/>
          <w:bCs/>
          <w:color w:val="auto"/>
          <w:sz w:val="21"/>
          <w:szCs w:val="21"/>
        </w:rPr>
        <w:t>如考核出现履约基本合格、不合格、严重违约情形的，按规定核减费用后支付。成交供应商在达到付款条件后需出具请款函给</w:t>
      </w:r>
      <w:r>
        <w:rPr>
          <w:rFonts w:hint="eastAsia" w:ascii="宋体" w:hAnsi="宋体" w:eastAsia="宋体" w:cs="宋体"/>
          <w:b/>
          <w:bCs/>
          <w:color w:val="auto"/>
          <w:sz w:val="21"/>
          <w:szCs w:val="21"/>
          <w:lang w:val="en-US" w:eastAsia="zh-CN"/>
        </w:rPr>
        <w:t>采购人</w:t>
      </w:r>
      <w:r>
        <w:rPr>
          <w:rFonts w:hint="eastAsia" w:ascii="宋体" w:hAnsi="宋体" w:eastAsia="宋体" w:cs="宋体"/>
          <w:b/>
          <w:bCs/>
          <w:color w:val="auto"/>
          <w:sz w:val="21"/>
          <w:szCs w:val="21"/>
        </w:rPr>
        <w:t>向财政局请款，成交供应商开具普通发票给</w:t>
      </w:r>
      <w:r>
        <w:rPr>
          <w:rFonts w:hint="eastAsia" w:ascii="宋体" w:hAnsi="宋体" w:cs="宋体"/>
          <w:b/>
          <w:bCs/>
          <w:color w:val="auto"/>
          <w:sz w:val="21"/>
          <w:szCs w:val="21"/>
          <w:lang w:val="en-US" w:eastAsia="zh-CN"/>
        </w:rPr>
        <w:t>采购人</w:t>
      </w:r>
      <w:r>
        <w:rPr>
          <w:rFonts w:hint="eastAsia" w:ascii="宋体" w:hAnsi="宋体" w:eastAsia="宋体" w:cs="宋体"/>
          <w:b/>
          <w:bCs/>
          <w:color w:val="auto"/>
          <w:sz w:val="21"/>
          <w:szCs w:val="21"/>
        </w:rPr>
        <w:t>。</w:t>
      </w:r>
    </w:p>
    <w:p>
      <w:pPr>
        <w:spacing w:before="300" w:after="120" w:line="288" w:lineRule="auto"/>
        <w:ind w:left="0" w:firstLine="0" w:firstLineChars="0"/>
        <w:jc w:val="left"/>
        <w:outlineLvl w:val="2"/>
        <w:rPr>
          <w:rFonts w:hint="eastAsia" w:ascii="Arial" w:hAnsi="Arial" w:eastAsia="等线" w:cs="Arial"/>
          <w:b/>
          <w:color w:val="auto"/>
          <w:kern w:val="0"/>
          <w:sz w:val="30"/>
          <w:szCs w:val="22"/>
          <w:lang w:val="en-US" w:eastAsia="zh-CN"/>
        </w:rPr>
      </w:pPr>
      <w:r>
        <w:rPr>
          <w:rFonts w:hint="eastAsia" w:ascii="Arial" w:hAnsi="Arial" w:eastAsia="等线" w:cs="Arial"/>
          <w:b/>
          <w:color w:val="auto"/>
          <w:kern w:val="0"/>
          <w:sz w:val="30"/>
          <w:szCs w:val="22"/>
          <w:lang w:val="en-US" w:eastAsia="zh-CN"/>
        </w:rPr>
        <w:t>6.3验收标准与要求</w:t>
      </w:r>
    </w:p>
    <w:p>
      <w:pPr>
        <w:pStyle w:val="16"/>
        <w:rPr>
          <w:rFonts w:hint="eastAsia" w:ascii="宋体" w:hAnsi="宋体" w:eastAsia="宋体" w:cs="宋体"/>
          <w:color w:val="auto"/>
          <w:spacing w:val="20"/>
          <w:kern w:val="0"/>
          <w:sz w:val="21"/>
          <w:szCs w:val="21"/>
        </w:rPr>
      </w:pPr>
      <w:r>
        <w:rPr>
          <w:rFonts w:hint="eastAsia"/>
          <w:color w:val="auto"/>
          <w:lang w:val="en-US" w:eastAsia="zh-CN"/>
        </w:rPr>
        <w:t>详见附件《物业消防控制室人员管理及考核办法》。</w:t>
      </w:r>
    </w:p>
    <w:p>
      <w:pPr>
        <w:spacing w:before="300" w:after="120" w:line="288" w:lineRule="auto"/>
        <w:ind w:left="0" w:firstLine="0" w:firstLineChars="0"/>
        <w:jc w:val="left"/>
        <w:outlineLvl w:val="2"/>
        <w:rPr>
          <w:rFonts w:hint="default" w:ascii="Calibri" w:hAnsi="Calibri" w:eastAsia="等线" w:cs="Times New Roman"/>
          <w:color w:val="auto"/>
          <w:kern w:val="0"/>
          <w:szCs w:val="22"/>
          <w:lang w:val="en-US" w:eastAsia="zh-CN"/>
        </w:rPr>
      </w:pPr>
      <w:r>
        <w:rPr>
          <w:rFonts w:ascii="Arial" w:hAnsi="Arial" w:eastAsia="等线" w:cs="Arial"/>
          <w:b/>
          <w:color w:val="auto"/>
          <w:kern w:val="0"/>
          <w:sz w:val="30"/>
          <w:szCs w:val="22"/>
        </w:rPr>
        <w:t>6.</w:t>
      </w:r>
      <w:r>
        <w:rPr>
          <w:rFonts w:hint="eastAsia" w:ascii="Arial" w:hAnsi="Arial" w:eastAsia="等线" w:cs="Arial"/>
          <w:b/>
          <w:color w:val="auto"/>
          <w:kern w:val="0"/>
          <w:sz w:val="30"/>
          <w:szCs w:val="22"/>
          <w:lang w:val="en-US" w:eastAsia="zh-CN"/>
        </w:rPr>
        <w:t>4</w:t>
      </w:r>
      <w:r>
        <w:rPr>
          <w:rFonts w:ascii="Arial" w:hAnsi="Arial" w:eastAsia="等线" w:cs="Arial"/>
          <w:b/>
          <w:color w:val="auto"/>
          <w:kern w:val="0"/>
          <w:sz w:val="30"/>
          <w:szCs w:val="22"/>
        </w:rPr>
        <w:t xml:space="preserve"> </w:t>
      </w:r>
      <w:r>
        <w:rPr>
          <w:rFonts w:hint="eastAsia" w:ascii="Arial" w:hAnsi="Arial" w:eastAsia="等线" w:cs="Arial"/>
          <w:b/>
          <w:color w:val="auto"/>
          <w:kern w:val="0"/>
          <w:sz w:val="30"/>
          <w:szCs w:val="22"/>
          <w:lang w:val="en-US" w:eastAsia="zh-CN"/>
        </w:rPr>
        <w:t>其他要求</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left"/>
        <w:textAlignment w:val="auto"/>
        <w:outlineLvl w:val="2"/>
        <w:rPr>
          <w:rFonts w:hint="eastAsia" w:ascii="宋体" w:hAnsi="宋体" w:eastAsia="宋体" w:cs="宋体"/>
          <w:i w:val="0"/>
          <w:iCs w:val="0"/>
          <w:caps w:val="0"/>
          <w:color w:val="auto"/>
          <w:spacing w:val="0"/>
          <w:kern w:val="0"/>
          <w:sz w:val="21"/>
          <w:szCs w:val="21"/>
          <w:shd w:val="clear" w:fill="FFFFFF"/>
        </w:rPr>
      </w:pPr>
      <w:r>
        <w:rPr>
          <w:rFonts w:hint="eastAsia" w:ascii="宋体" w:hAnsi="宋体" w:cs="宋体"/>
          <w:i w:val="0"/>
          <w:iCs w:val="0"/>
          <w:caps w:val="0"/>
          <w:color w:val="auto"/>
          <w:spacing w:val="0"/>
          <w:kern w:val="0"/>
          <w:sz w:val="21"/>
          <w:szCs w:val="21"/>
          <w:shd w:val="clear" w:fill="FFFFFF"/>
          <w:lang w:val="en-US" w:eastAsia="zh-CN"/>
        </w:rPr>
        <w:t>（1）</w:t>
      </w:r>
      <w:r>
        <w:rPr>
          <w:rFonts w:hint="eastAsia" w:ascii="宋体" w:hAnsi="宋体" w:eastAsia="宋体" w:cs="宋体"/>
          <w:i w:val="0"/>
          <w:iCs w:val="0"/>
          <w:caps w:val="0"/>
          <w:color w:val="auto"/>
          <w:spacing w:val="0"/>
          <w:kern w:val="0"/>
          <w:sz w:val="21"/>
          <w:szCs w:val="21"/>
          <w:shd w:val="clear" w:fill="FFFFFF"/>
        </w:rPr>
        <w:t>供应商应具备完善的物业服务团队，能够严格按照合同约定及</w:t>
      </w:r>
      <w:r>
        <w:rPr>
          <w:rFonts w:hint="eastAsia" w:ascii="宋体" w:hAnsi="宋体" w:cs="宋体"/>
          <w:i w:val="0"/>
          <w:iCs w:val="0"/>
          <w:caps w:val="0"/>
          <w:color w:val="auto"/>
          <w:spacing w:val="0"/>
          <w:kern w:val="0"/>
          <w:sz w:val="21"/>
          <w:szCs w:val="21"/>
          <w:shd w:val="clear" w:fill="FFFFFF"/>
          <w:lang w:eastAsia="zh-CN"/>
        </w:rPr>
        <w:t>采购人</w:t>
      </w:r>
      <w:r>
        <w:rPr>
          <w:rFonts w:hint="eastAsia" w:ascii="宋体" w:hAnsi="宋体" w:eastAsia="宋体" w:cs="宋体"/>
          <w:i w:val="0"/>
          <w:iCs w:val="0"/>
          <w:caps w:val="0"/>
          <w:color w:val="auto"/>
          <w:spacing w:val="0"/>
          <w:kern w:val="0"/>
          <w:sz w:val="21"/>
          <w:szCs w:val="21"/>
          <w:shd w:val="clear" w:fill="FFFFFF"/>
        </w:rPr>
        <w:t xml:space="preserve">要求，按时、高效、规范完成各项物业管理服务工作，确保服务响应及时、服务质量达标。 </w:t>
      </w:r>
    </w:p>
    <w:p>
      <w:pPr>
        <w:keepNext w:val="0"/>
        <w:keepLines w:val="0"/>
        <w:pageBreakBefore w:val="0"/>
        <w:widowControl w:val="0"/>
        <w:numPr>
          <w:ilvl w:val="0"/>
          <w:numId w:val="0"/>
        </w:numPr>
        <w:kinsoku/>
        <w:wordWrap/>
        <w:overflowPunct/>
        <w:topLinePunct w:val="0"/>
        <w:autoSpaceDE/>
        <w:autoSpaceDN/>
        <w:bidi w:val="0"/>
        <w:adjustRightInd/>
        <w:snapToGrid/>
        <w:spacing w:line="288" w:lineRule="auto"/>
        <w:ind w:firstLine="0" w:firstLineChars="0"/>
        <w:jc w:val="left"/>
        <w:textAlignment w:val="auto"/>
        <w:outlineLvl w:val="2"/>
        <w:rPr>
          <w:rFonts w:hint="eastAsia" w:ascii="宋体" w:hAnsi="宋体" w:eastAsia="宋体" w:cs="宋体"/>
          <w:i w:val="0"/>
          <w:iCs w:val="0"/>
          <w:caps w:val="0"/>
          <w:color w:val="auto"/>
          <w:spacing w:val="0"/>
          <w:kern w:val="0"/>
          <w:sz w:val="21"/>
          <w:szCs w:val="21"/>
          <w:shd w:val="clear" w:fill="FFFFFF"/>
        </w:rPr>
      </w:pPr>
      <w:r>
        <w:rPr>
          <w:rFonts w:hint="eastAsia" w:ascii="宋体" w:hAnsi="宋体" w:cs="宋体"/>
          <w:i w:val="0"/>
          <w:iCs w:val="0"/>
          <w:caps w:val="0"/>
          <w:color w:val="auto"/>
          <w:spacing w:val="0"/>
          <w:kern w:val="0"/>
          <w:sz w:val="21"/>
          <w:szCs w:val="21"/>
          <w:shd w:val="clear" w:fill="FFFFFF"/>
          <w:lang w:val="en-US" w:eastAsia="zh-CN"/>
        </w:rPr>
        <w:t>（2）</w:t>
      </w:r>
      <w:r>
        <w:rPr>
          <w:rFonts w:hint="eastAsia" w:ascii="宋体" w:hAnsi="宋体" w:eastAsia="宋体" w:cs="宋体"/>
          <w:i w:val="0"/>
          <w:iCs w:val="0"/>
          <w:caps w:val="0"/>
          <w:color w:val="auto"/>
          <w:spacing w:val="0"/>
          <w:kern w:val="0"/>
          <w:sz w:val="21"/>
          <w:szCs w:val="21"/>
          <w:shd w:val="clear" w:fill="FFFFFF"/>
        </w:rPr>
        <w:t>供应商应具备对应采购标的的物业管理服务资质和专业服务能力，拥有稳定的专业服务团队，具备成熟的物业服务管理体系和丰富的同类项目服务经验，能够保障物业服务的持续性、规范性，满足</w:t>
      </w:r>
      <w:r>
        <w:rPr>
          <w:rFonts w:hint="eastAsia" w:ascii="宋体" w:hAnsi="宋体" w:cs="宋体"/>
          <w:i w:val="0"/>
          <w:iCs w:val="0"/>
          <w:caps w:val="0"/>
          <w:color w:val="auto"/>
          <w:spacing w:val="0"/>
          <w:kern w:val="0"/>
          <w:sz w:val="21"/>
          <w:szCs w:val="21"/>
          <w:shd w:val="clear" w:fill="FFFFFF"/>
          <w:lang w:eastAsia="zh-CN"/>
        </w:rPr>
        <w:t>采购人</w:t>
      </w:r>
      <w:r>
        <w:rPr>
          <w:rFonts w:hint="eastAsia" w:ascii="宋体" w:hAnsi="宋体" w:eastAsia="宋体" w:cs="宋体"/>
          <w:i w:val="0"/>
          <w:iCs w:val="0"/>
          <w:caps w:val="0"/>
          <w:color w:val="auto"/>
          <w:spacing w:val="0"/>
          <w:kern w:val="0"/>
          <w:sz w:val="21"/>
          <w:szCs w:val="21"/>
          <w:shd w:val="clear" w:fill="FFFFFF"/>
        </w:rPr>
        <w:t>日常物业管理及应急服务需求。</w:t>
      </w:r>
    </w:p>
    <w:p>
      <w:pPr>
        <w:pStyle w:val="18"/>
        <w:rPr>
          <w:rFonts w:hint="eastAsia" w:ascii="宋体" w:hAnsi="宋体" w:cs="宋体"/>
          <w:i w:val="0"/>
          <w:iCs w:val="0"/>
          <w:caps w:val="0"/>
          <w:color w:val="auto"/>
          <w:spacing w:val="0"/>
          <w:kern w:val="0"/>
          <w:sz w:val="21"/>
          <w:szCs w:val="21"/>
          <w:shd w:val="clear" w:fill="FFFFFF"/>
          <w:lang w:val="en-US" w:eastAsia="zh-CN"/>
        </w:rPr>
      </w:pPr>
      <w:r>
        <w:rPr>
          <w:rFonts w:hint="eastAsia" w:ascii="宋体" w:hAnsi="宋体" w:cs="宋体"/>
          <w:i w:val="0"/>
          <w:iCs w:val="0"/>
          <w:caps w:val="0"/>
          <w:color w:val="auto"/>
          <w:spacing w:val="0"/>
          <w:kern w:val="0"/>
          <w:sz w:val="21"/>
          <w:szCs w:val="21"/>
          <w:shd w:val="clear" w:fill="FFFFFF"/>
          <w:lang w:val="en-US" w:eastAsia="zh-CN"/>
        </w:rPr>
        <w:t>（3）因服务对象为儿童，值班及安保人员需具备爱心、耐心、责任心，熟悉儿童群体安全防护及应急疏散特点。</w:t>
      </w:r>
    </w:p>
    <w:p>
      <w:pPr>
        <w:pBdr>
          <w:bottom w:val="single" w:color="DEE0E3" w:sz="2" w:space="0"/>
          <w:between w:val="single" w:color="DEE0E3" w:sz="2" w:space="0"/>
        </w:pBdr>
        <w:spacing w:before="120" w:after="120" w:line="288" w:lineRule="auto"/>
        <w:ind w:left="0" w:firstLine="0" w:firstLineChars="0"/>
        <w:rPr>
          <w:rFonts w:hint="eastAsia" w:ascii="宋体" w:hAnsi="宋体" w:cs="宋体"/>
          <w:i w:val="0"/>
          <w:iCs w:val="0"/>
          <w:caps w:val="0"/>
          <w:color w:val="auto"/>
          <w:spacing w:val="0"/>
          <w:kern w:val="0"/>
          <w:sz w:val="21"/>
          <w:szCs w:val="21"/>
          <w:shd w:val="clear" w:fill="FFFFFF"/>
          <w:lang w:val="en-US" w:eastAsia="zh-CN"/>
        </w:rPr>
      </w:pPr>
      <w:r>
        <w:rPr>
          <w:rFonts w:hint="eastAsia" w:ascii="宋体" w:hAnsi="宋体" w:cs="宋体"/>
          <w:i w:val="0"/>
          <w:iCs w:val="0"/>
          <w:caps w:val="0"/>
          <w:color w:val="auto"/>
          <w:spacing w:val="0"/>
          <w:kern w:val="0"/>
          <w:sz w:val="21"/>
          <w:szCs w:val="21"/>
          <w:shd w:val="clear" w:fill="FFFFFF"/>
          <w:lang w:val="en-US" w:eastAsia="zh-CN"/>
        </w:rPr>
        <w:t>（4）供应商提供服务时应服从采购人管理和工作安排。</w:t>
      </w:r>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（5）</w:t>
      </w:r>
      <w:r>
        <w:rPr>
          <w:rFonts w:hint="eastAsia" w:ascii="宋体" w:hAnsi="宋体" w:eastAsia="宋体" w:cs="宋体"/>
          <w:color w:val="auto"/>
          <w:kern w:val="0"/>
          <w:sz w:val="21"/>
          <w:szCs w:val="21"/>
        </w:rPr>
        <w:t>值班人员基本信息报采购人业务归口部门备案。内容包括：姓名、年龄、身份证号、执业证号、取证时间、联系方式，另附执业资格证和身份证复印件。拟投入本项目的消防值班人员原则上不允许变动，如有人员变动须征得采购人同意，并及时将变动信息以书面形式通知采购人。</w:t>
      </w:r>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巡查、值班服务满足国家有关值班服务要求，如合同期内国家有新的消防、安防规范和要求，供应商必须满足，否则采购人有权</w:t>
      </w:r>
      <w:r>
        <w:rPr>
          <w:rFonts w:hint="eastAsia" w:ascii="宋体" w:hAnsi="宋体" w:cs="宋体"/>
          <w:color w:val="auto"/>
          <w:kern w:val="0"/>
          <w:sz w:val="21"/>
          <w:szCs w:val="21"/>
          <w:lang w:val="en-US" w:eastAsia="zh-CN"/>
        </w:rPr>
        <w:t>依法</w:t>
      </w:r>
      <w:r>
        <w:rPr>
          <w:rFonts w:hint="eastAsia" w:ascii="宋体" w:hAnsi="宋体" w:eastAsia="宋体" w:cs="宋体"/>
          <w:color w:val="auto"/>
          <w:kern w:val="0"/>
          <w:sz w:val="21"/>
          <w:szCs w:val="21"/>
        </w:rPr>
        <w:t>解除合同。</w:t>
      </w:r>
    </w:p>
    <w:p>
      <w:pPr>
        <w:spacing w:before="120" w:after="120" w:line="288" w:lineRule="auto"/>
        <w:ind w:left="0" w:firstLine="0" w:firstLineChars="0"/>
        <w:jc w:val="left"/>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（7）</w:t>
      </w:r>
      <w:r>
        <w:rPr>
          <w:rFonts w:hint="eastAsia" w:ascii="宋体" w:hAnsi="宋体" w:eastAsia="宋体" w:cs="宋体"/>
          <w:color w:val="auto"/>
          <w:kern w:val="0"/>
          <w:sz w:val="21"/>
          <w:szCs w:val="21"/>
          <w:lang w:val="en-US" w:eastAsia="zh-CN"/>
        </w:rPr>
        <w:t>兼任安保服务对进出人员实行身份核验+登记制度，访客需经院内相关部门确认后方可进入，严禁无关人员、危险品进入；儿童进出需由监护人或院内工作人员陪同，核对身份信息并登记。</w:t>
      </w:r>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（8）</w:t>
      </w:r>
      <w:r>
        <w:rPr>
          <w:rFonts w:hint="eastAsia" w:ascii="宋体" w:hAnsi="宋体" w:cs="宋体"/>
          <w:color w:val="auto"/>
          <w:kern w:val="0"/>
          <w:sz w:val="21"/>
          <w:szCs w:val="21"/>
          <w:lang w:eastAsia="zh-CN"/>
        </w:rPr>
        <w:t>消防监控室</w:t>
      </w:r>
      <w:r>
        <w:rPr>
          <w:rFonts w:hint="eastAsia" w:ascii="宋体" w:hAnsi="宋体" w:eastAsia="宋体" w:cs="宋体"/>
          <w:color w:val="auto"/>
          <w:kern w:val="0"/>
          <w:sz w:val="21"/>
          <w:szCs w:val="21"/>
        </w:rPr>
        <w:t>值班服务人员必须严格遵守采购人安全管理制度和相关规定要求。不得泄露视频监控信息，未经许可不得进入危险或有保密要求的区域，不得随意操作非消防、安防以外的生产设备等。</w:t>
      </w:r>
    </w:p>
    <w:p>
      <w:pPr>
        <w:spacing w:before="120" w:after="120" w:line="288" w:lineRule="auto"/>
        <w:ind w:left="0" w:firstLine="0" w:firstLineChars="0"/>
        <w:jc w:val="left"/>
        <w:rPr>
          <w:rFonts w:hint="eastAsia" w:ascii="宋体" w:hAnsi="宋体" w:eastAsia="宋体" w:cs="宋体"/>
          <w:color w:val="auto"/>
          <w:kern w:val="0"/>
          <w:sz w:val="21"/>
          <w:szCs w:val="21"/>
        </w:rPr>
      </w:pPr>
      <w:r>
        <w:rPr>
          <w:rFonts w:hint="eastAsia" w:ascii="宋体" w:hAnsi="宋体" w:cs="宋体"/>
          <w:color w:val="auto"/>
          <w:kern w:val="0"/>
          <w:sz w:val="21"/>
          <w:szCs w:val="21"/>
          <w:lang w:val="en-US" w:eastAsia="zh-CN"/>
        </w:rPr>
        <w:t>（9）</w:t>
      </w:r>
      <w:r>
        <w:rPr>
          <w:rFonts w:hint="eastAsia" w:ascii="宋体" w:hAnsi="宋体" w:eastAsia="宋体" w:cs="宋体"/>
          <w:color w:val="auto"/>
          <w:kern w:val="0"/>
          <w:sz w:val="21"/>
          <w:szCs w:val="21"/>
        </w:rPr>
        <w:t>因</w:t>
      </w:r>
      <w:r>
        <w:rPr>
          <w:rFonts w:hint="eastAsia" w:ascii="宋体" w:hAnsi="宋体" w:cs="宋体"/>
          <w:color w:val="auto"/>
          <w:kern w:val="0"/>
          <w:sz w:val="21"/>
          <w:szCs w:val="21"/>
          <w:lang w:eastAsia="zh-CN"/>
        </w:rPr>
        <w:t>消防监控室</w:t>
      </w:r>
      <w:r>
        <w:rPr>
          <w:rFonts w:hint="eastAsia" w:ascii="宋体" w:hAnsi="宋体" w:eastAsia="宋体" w:cs="宋体"/>
          <w:color w:val="auto"/>
          <w:kern w:val="0"/>
          <w:sz w:val="21"/>
          <w:szCs w:val="21"/>
        </w:rPr>
        <w:t>值班服务人员违章操作或失误对采购人相关设备和产品造成损坏，应承担相应赔偿责任。</w:t>
      </w:r>
    </w:p>
    <w:p>
      <w:pPr>
        <w:pBdr>
          <w:bottom w:val="single" w:color="DEE0E3" w:sz="2" w:space="0"/>
          <w:between w:val="single" w:color="DEE0E3" w:sz="2" w:space="0"/>
        </w:pBdr>
        <w:spacing w:before="120" w:after="120" w:line="288" w:lineRule="auto"/>
        <w:ind w:left="0" w:firstLine="0" w:firstLineChars="0"/>
        <w:rPr>
          <w:rFonts w:hint="default" w:ascii="宋体" w:hAnsi="宋体" w:cs="宋体"/>
          <w:i w:val="0"/>
          <w:iCs w:val="0"/>
          <w:caps w:val="0"/>
          <w:color w:val="auto"/>
          <w:spacing w:val="0"/>
          <w:kern w:val="0"/>
          <w:sz w:val="21"/>
          <w:szCs w:val="21"/>
          <w:shd w:val="clear" w:fill="FFFFFF"/>
          <w:lang w:val="en-US" w:eastAsia="zh-CN"/>
        </w:rPr>
      </w:pPr>
      <w:r>
        <w:rPr>
          <w:rFonts w:hint="eastAsia" w:ascii="宋体" w:hAnsi="宋体" w:cs="宋体"/>
          <w:color w:val="auto"/>
          <w:kern w:val="0"/>
          <w:sz w:val="21"/>
          <w:szCs w:val="21"/>
          <w:lang w:eastAsia="zh-CN"/>
        </w:rPr>
        <w:t>（</w:t>
      </w:r>
      <w:r>
        <w:rPr>
          <w:rFonts w:hint="eastAsia" w:ascii="宋体" w:hAnsi="宋体" w:cs="宋体"/>
          <w:color w:val="auto"/>
          <w:kern w:val="0"/>
          <w:sz w:val="21"/>
          <w:szCs w:val="21"/>
          <w:lang w:val="en-US" w:eastAsia="zh-CN"/>
        </w:rPr>
        <w:t>10</w:t>
      </w:r>
      <w:r>
        <w:rPr>
          <w:rFonts w:hint="eastAsia" w:ascii="宋体" w:hAnsi="宋体" w:cs="宋体"/>
          <w:color w:val="auto"/>
          <w:kern w:val="0"/>
          <w:sz w:val="21"/>
          <w:szCs w:val="21"/>
          <w:lang w:eastAsia="zh-CN"/>
        </w:rPr>
        <w:t>）</w:t>
      </w:r>
      <w:r>
        <w:rPr>
          <w:rFonts w:hint="eastAsia" w:ascii="宋体" w:hAnsi="宋体" w:eastAsia="宋体" w:cs="宋体"/>
          <w:b w:val="0"/>
          <w:bCs w:val="0"/>
          <w:color w:val="auto"/>
          <w:kern w:val="0"/>
          <w:sz w:val="21"/>
          <w:szCs w:val="21"/>
        </w:rPr>
        <w:t>本项目仅采购消防控制室值班人员，由值班人员同步承担本岗位范围内安保职责，不单独采购安保服务。</w:t>
      </w:r>
    </w:p>
    <w:p>
      <w:pPr>
        <w:spacing w:before="320" w:after="120" w:line="288" w:lineRule="auto"/>
        <w:ind w:left="0" w:firstLine="0" w:firstLineChars="0"/>
        <w:jc w:val="left"/>
        <w:outlineLvl w:val="1"/>
        <w:rPr>
          <w:rFonts w:ascii="Calibri" w:hAnsi="Calibri" w:eastAsia="宋体" w:cs="Times New Roman"/>
          <w:color w:val="auto"/>
          <w:kern w:val="0"/>
          <w:szCs w:val="22"/>
        </w:rPr>
      </w:pPr>
      <w:bookmarkStart w:id="70" w:name="heading_21"/>
      <w:r>
        <w:rPr>
          <w:rFonts w:ascii="Arial" w:hAnsi="Arial" w:eastAsia="等线" w:cs="Arial"/>
          <w:b/>
          <w:color w:val="auto"/>
          <w:kern w:val="0"/>
          <w:sz w:val="32"/>
          <w:szCs w:val="22"/>
        </w:rPr>
        <w:t>7. 需要说明的其他事项</w:t>
      </w:r>
      <w:bookmarkEnd w:id="70"/>
    </w:p>
    <w:p>
      <w:pPr>
        <w:pStyle w:val="160"/>
        <w:jc w:val="both"/>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7.1</w:t>
      </w:r>
      <w:r>
        <w:rPr>
          <w:rFonts w:hint="eastAsia" w:ascii="宋体" w:hAnsi="宋体" w:eastAsia="宋体" w:cs="宋体"/>
          <w:color w:val="auto"/>
          <w:sz w:val="21"/>
          <w:szCs w:val="21"/>
          <w:lang w:val="en-US" w:eastAsia="zh-CN"/>
        </w:rPr>
        <w:t>磋商报价</w:t>
      </w:r>
      <w:r>
        <w:rPr>
          <w:rFonts w:hint="eastAsia" w:ascii="宋体" w:hAnsi="宋体" w:eastAsia="宋体" w:cs="宋体"/>
          <w:color w:val="auto"/>
          <w:sz w:val="21"/>
          <w:szCs w:val="21"/>
        </w:rPr>
        <w:t>为固定包干总价，包含提供服务所需的人工成本，其中包含但不仅限于人员工资、工资附加及社会保险、人身意外保险费、管理费用、配置费用、员工餐费补贴、项目管理费、员工工作服费用、节日福利费、低值易耗品、加班费、培训费、专用工具、用品材料费、税费等所有费用。</w:t>
      </w:r>
    </w:p>
    <w:p>
      <w:pPr>
        <w:spacing w:before="120" w:after="120" w:line="288" w:lineRule="auto"/>
        <w:ind w:left="0" w:firstLine="0" w:firstLineChars="0"/>
        <w:jc w:val="left"/>
        <w:rPr>
          <w:rFonts w:hint="eastAsia" w:ascii="宋体" w:hAnsi="宋体" w:eastAsia="宋体" w:cs="宋体"/>
          <w:color w:val="auto"/>
          <w:kern w:val="0"/>
          <w:sz w:val="21"/>
          <w:szCs w:val="21"/>
          <w:lang w:val="en-US" w:eastAsia="zh-CN"/>
        </w:rPr>
      </w:pPr>
      <w:r>
        <w:rPr>
          <w:rFonts w:hint="eastAsia" w:ascii="宋体" w:hAnsi="宋体" w:cs="宋体"/>
          <w:color w:val="auto"/>
          <w:kern w:val="0"/>
          <w:sz w:val="21"/>
          <w:szCs w:val="21"/>
          <w:lang w:val="en-US" w:eastAsia="zh-CN"/>
        </w:rPr>
        <w:t>7.2本项目消防维保费用由采购人承担，</w:t>
      </w:r>
      <w:r>
        <w:rPr>
          <w:rFonts w:hint="eastAsia" w:ascii="宋体" w:hAnsi="宋体" w:eastAsia="宋体" w:cs="宋体"/>
          <w:color w:val="auto"/>
          <w:kern w:val="0"/>
          <w:sz w:val="21"/>
          <w:szCs w:val="21"/>
          <w:lang w:val="en-US" w:eastAsia="zh-CN"/>
        </w:rPr>
        <w:t>除采购人提供的设施设备外，值班耗材、执勤装备等费用由供应商承担。</w:t>
      </w:r>
    </w:p>
    <w:p>
      <w:pPr>
        <w:pStyle w:val="16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7.3履约主体要求</w:t>
      </w:r>
    </w:p>
    <w:p>
      <w:pPr>
        <w:pStyle w:val="160"/>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（1）若供应商为总公司，成交后必须以总公司自身名义与采购人签订政府采购合同，并由总公司自行履行合同全部义务。</w:t>
      </w:r>
    </w:p>
    <w:p>
      <w:pPr>
        <w:pStyle w:val="160"/>
        <w:jc w:val="both"/>
      </w:pPr>
      <w:r>
        <w:rPr>
          <w:rFonts w:hint="eastAsia" w:ascii="宋体" w:hAnsi="宋体" w:eastAsia="宋体" w:cs="宋体"/>
          <w:b/>
          <w:bCs/>
          <w:color w:val="auto"/>
          <w:sz w:val="21"/>
          <w:szCs w:val="21"/>
          <w:lang w:val="en-US" w:eastAsia="zh-CN"/>
        </w:rPr>
        <w:t>（2）成交人不得有下列行为： ①以其分公司、营业部、办事处等不具有独立法人资格的分支机构名义签订本项目合同；②将本项目全部或部分合同义务交由其分公司实际履行，包括但不限于项目团队组建、现场实施、技术支持、验收对接、发票开具及款项结算；③以内部授权、委托、目标责任书等方式，将上述履约责任转由分公司承担。</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jc w:val="left"/>
        <w:textAlignment w:val="auto"/>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附件</w:t>
      </w:r>
    </w:p>
    <w:p>
      <w:pPr>
        <w:pStyle w:val="2"/>
        <w:keepNext/>
        <w:keepLines/>
        <w:pageBreakBefore w:val="0"/>
        <w:widowControl w:val="0"/>
        <w:kinsoku/>
        <w:wordWrap/>
        <w:overflowPunct/>
        <w:topLinePunct w:val="0"/>
        <w:autoSpaceDE/>
        <w:autoSpaceDN/>
        <w:bidi w:val="0"/>
        <w:adjustRightInd/>
        <w:snapToGrid/>
        <w:spacing w:before="0" w:after="0"/>
        <w:ind w:firstLine="422" w:firstLineChars="200"/>
        <w:jc w:val="center"/>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物业消防控制室人员管理及考核办法</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1" w:name="heading_0"/>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第一章总则</w:t>
      </w:r>
      <w:bookmarkEnd w:id="71"/>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一条为规范本单位外包物业服务项目消防控制室值守管理，压实外包物业公司消防安全主体履约责任，杜绝外包人员值班脱岗、操作不规范、隐患处置不到位等问题，保障建筑消防设施24小时正常运行，依据《中华人民共和国消防法》《消防控制室通用技术要求》及本单位与物业公司签订的物业服务合同，结合本单位实际，特制定本办法。</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二条本办法专门适用于为本单位提供服务的外包物业管理公司、消防控制室外包值班人员、物业消防安全负责人，所有外包人员值守、操作、台账、应急、纪律管理均按本办法执行，纳入物业月度、季度、年度履约考核。</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第三条管理原则：甲方监管、乙方履约、持证上岗、定岗定责、量化考核、扣款追责、违约清退。所有消防问题实行“谁当班、谁负责，物业公司负总责”。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第二章人员准入与资质管理（外包专属）</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第四条外包物业公司派驻消防控制室值班人员，必须满足准入条件，未经甲方审核同意不得上岗：</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必须持有有效消防设施操作员证书，证书在有效期内、人证合一，严禁无证、证书过期、租借证书人员上岗；</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无违法犯罪记录、无消防安全违规处罚记录，身体健康，能够适应24小时倒班值守；</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熟悉本单位消防系统设备、报警点位、联动逻辑、疏散路线，上岗前必须通过甲方消防安全岗前培训及实操考核；</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派驻人员名单、证书复印件、排班表须提前报备甲方安全管理部门存档，人员更换必须提前3个工作日书面报备，经甲方审核通过后方可更换，严禁私自换人、临时顶岗。</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第五条外包物业公司必须保证值班人员队伍稳定，每月人员更换率不得超过20%，频繁换人造成值守不规范、台账混乱、检查扣分的，纳入物业违约考核。</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第三章外包人员岗位职责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第一节值班人员岗位职责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严格执行24小时双人持证在岗值守制度，日间、夜间全程在岗，杜绝空岗、单人值守、脱岗、睡岗、串岗、擅自离岗；</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熟练操作火灾报警控制器、消防联动系统、应急广播、消防专用电话、水泵、防排烟风机等全套设备，精准掌握火警、故障、监管报警处置流程；</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全日监控消防设备运行状态，对报警信号第一时间现场核查、处置、登记，杜绝拖延处置、虚假处置；</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严格规范填写各类消防台账，包括值班日志、交接班记录、火警故障处置记录、设备巡检记录，做到当日事当日记，真实完整、无缺项、无补记伪造；</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严禁私自屏蔽消防点位、关闭主机电源、关停联动程序、修改设备参数，严禁擅自消音、复位真实火警；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禁止无关人员进入消防控制室，禁止在岗期间玩手机、追剧、闲聊、睡觉、饮酒、从事与工作无关事务；</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全程配合甲方消防检查、专项督查、演练活动、设备维保检测，如实汇报设备运行情况；</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夜间值守期间保持高度警惕，遇突发故障、火警、设施异常，第一时间处置并上报甲方值班管理人员，不得拖延、隐瞒。</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第二节外包物业公司管理职责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物业公司项目负责人为消防控制室管理第一履约责任人，对派驻所有值班人员履职行为负全责；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负责员工日常管理、岗前培训、常态化实操训练、证书复审管理，确保人员资质、业务能力达标；</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每日抽查控制室值守情况，整改人员在岗、操作、台账存在的问题，建立内部整改台账；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对接甲方安全部门，落实各类消防隐患整改、督查问题闭环，按时反馈整改结果；</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负责人员排班、调班管理，所有调班、替班必须内部审批并报备甲方，杜绝违规顶岗；</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承接上级消防部门、甲方检查的所有消防控制室问题，承担相应履约违约责任。</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2" w:name="heading_5"/>
      <w:r>
        <w:rPr>
          <w:rFonts w:hint="eastAsia" w:ascii="宋体" w:hAnsi="宋体" w:eastAsia="宋体" w:cs="宋体"/>
          <w:b w:val="0"/>
          <w:bCs w:val="0"/>
          <w:color w:val="auto"/>
          <w:sz w:val="21"/>
          <w:szCs w:val="21"/>
        </w:rPr>
        <w:t>第四章日常运营管理制度</w:t>
      </w:r>
      <w:bookmarkEnd w:id="72"/>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一、值守管理制度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全年无间断24小时双人值守，日间正常在岗履职、定时巡检，夜间不得出现脱岗、睡岗、离岗就餐、无人值守等问题；</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所有班次排班表按月报备甲方，班次调整必须提前报备，临时替班人员必须持证且经甲方确认；</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值班期间全程专注工作，甲方随时抽查，发现违规一律记录扣分、追责扣款。</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二、火警与故障处置制度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主机报警后，值班人员3分钟内完成现场核查，区分火警、误报、设备故障；</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确认真实火情：立即启动应急流程、拨打119、开启应急广播、启动联动设备、上报甲方管理人员及物业负责人，配合人员疏散；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误报、故障：现场核实后规范复位，详细记录报警时间、点位、原因、处置方式，故障问题立即上报物业对接人，联系维保维修，全程跟踪闭环，严禁长期屏蔽故障点位、隐瞒设备隐患；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所有报警处置全程留痕，无记录、处置不当、拖延处置视为严重履职不到位。</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三、交接班管理制度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实行面对面逐项交接，交接内容包含：主机运行状态、当前故障/屏蔽/火警点位、待整改隐患、台账资料、控制室钥匙、应急器材等；</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交接双方签字确认，上一班遗留问题必须重点交接，由接班人员跟进处置，交接不清引发问题，由物业承担全部责任；</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每日早中晚班次交接全程规范记录，甲方不定期核查交接台账。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四、台账与环境管理制度</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所有消防台账当日如实填写，字迹清晰、内容完整，无漏填、错填、补填、伪造记录现象；</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消防控制室内严禁堆放杂物、易燃易爆物品，严禁私拉乱接电线、使用明火，保持室内干净整洁、设备通风散热良好；</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严禁无关人员进入、操作设备，严控控制室出入管理。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3" w:name="heading_10"/>
      <w:r>
        <w:rPr>
          <w:rFonts w:hint="eastAsia" w:ascii="宋体" w:hAnsi="宋体" w:eastAsia="宋体" w:cs="宋体"/>
          <w:b w:val="0"/>
          <w:bCs w:val="0"/>
          <w:color w:val="auto"/>
          <w:sz w:val="21"/>
          <w:szCs w:val="21"/>
        </w:rPr>
        <w:t>第五章量化考核细则</w:t>
      </w:r>
      <w:bookmarkEnd w:id="73"/>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本考核为甲方对物业公司月度履约考核，总分100分，考核结果直接与物业服务费、履约评分、年度合作评级挂钩。</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一、资质与人员管理违规（单次扣分）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无证上岗、证书过期、人证不符、租借证书上岗：单次扣20分；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私自更换值班人员、未报备甲方擅自调人顶岗：单次扣15分；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月度人员变动频繁，造成工作衔接混乱：扣10分；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岗前未培训、未考核直接上岗：单次扣8分。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4" w:name="heading_12"/>
      <w:r>
        <w:rPr>
          <w:rFonts w:hint="eastAsia" w:ascii="宋体" w:hAnsi="宋体" w:eastAsia="宋体" w:cs="宋体"/>
          <w:b w:val="0"/>
          <w:bCs w:val="0"/>
          <w:color w:val="auto"/>
          <w:sz w:val="21"/>
          <w:szCs w:val="21"/>
        </w:rPr>
        <w:t>二、在岗值守纪律违规</w:t>
      </w:r>
      <w:bookmarkEnd w:id="74"/>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单人值班、空岗、脱岗、睡岗、夜间无人值守：单次扣25分（重大违规）；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在岗玩手机、追剧、闲聊、睡觉、从事无关工作：单次扣12分；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私自调班、换班、替班未报备：单次扣8分；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抽查不在岗、离岗无报备：单次扣10分。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5" w:name="heading_13"/>
      <w:r>
        <w:rPr>
          <w:rFonts w:hint="eastAsia" w:ascii="宋体" w:hAnsi="宋体" w:eastAsia="宋体" w:cs="宋体"/>
          <w:b w:val="0"/>
          <w:bCs w:val="0"/>
          <w:color w:val="auto"/>
          <w:sz w:val="21"/>
          <w:szCs w:val="21"/>
        </w:rPr>
        <w:t>三、设备操作与应急违规</w:t>
      </w:r>
      <w:bookmarkEnd w:id="75"/>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擅自屏蔽报警点位、关停主机、切断消防电源、修改设备参数：单次扣30分（重大违规）；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火警报警拖延核查、处置不及时、应急流程操作错误：单次扣20分；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设备故障瞒报、不报、长期不闭环整改：单次扣15分；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不会操作应急广播、消防电话、联动设备，实操不合格：单次扣10分，限期复训考核；</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允许无关人员操作消防设备：单次扣10分。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四、台账与内务违规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台账漏填、错填、补记、伪造记录：单次扣12分；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交接班记录不全、无签字、交接不清：单次扣5分；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控制室杂物堆积、环境脏乱、存在安全隐患：单次扣5分；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不配合甲方检查、维保、演练工作：单次扣8分。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bookmarkStart w:id="76" w:name="heading_15"/>
      <w:r>
        <w:rPr>
          <w:rFonts w:hint="eastAsia" w:ascii="宋体" w:hAnsi="宋体" w:eastAsia="宋体" w:cs="宋体"/>
          <w:b w:val="0"/>
          <w:bCs w:val="0"/>
          <w:color w:val="auto"/>
          <w:sz w:val="21"/>
          <w:szCs w:val="21"/>
        </w:rPr>
        <w:t>五、加分项（月度加分）</w:t>
      </w:r>
      <w:bookmarkEnd w:id="76"/>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及时发现重大消防隐患，避免安全事故及督查扣分：加10-20分；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月度零违规、零扣分、台账规范、值守达标：加10分；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应急演练处置规范、表现优秀：加5-10分；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主动整改隐患、高效闭环问题：酌情加分。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第六章考核奖惩与履约追责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一、考核结果应用</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月度考核90分及以上：履约合格，全额核算对应服务费；</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月度考核80-89分：履约基本合格，扣除当月消防专项服务费10%；</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月度考核70-79分：履约不合格，扣除当月消防专项服务费30%，物业公司提交书面整改报告，限期整改；</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月度考核70分以下：严重违约，扣除当月消防专项服务费50%，约谈物业项目负责人，全员停工复训。</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二、重大违约追责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出现以下情形之一，视为严重物业服务违约，甲方有权追责、扣款、通报，情节严重终止物业服务合同：</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存在空岗、长期脱岗、无证上岗，被消防监督部门检查通报、责令整改、立案处罚的，所有罚款及责任由外包物业公司全额承担；</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擅自关停消防系统、屏蔽点位、瞒报火警故障，造成安全隐患、险情事故的；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月度多次违规、整改不到位、屡查屡犯的；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因值守失职、处置不当引发火灾险情、安全事故的，物业公司承担全部经济责任和法律责任。</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三、连续违约处理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连续两个月考核不合格：甲方对物业公司进行正式履约约谈，记入年度合作差评；</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连续三个月考核不达标或出现两次以上重大违规：甲方有权依法解除消防相关服务条款，扣除履约保证金，取消后续合作资格。</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第七章培训与督查管理</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外包物业公司每月必须组织一次消防控制室专项培训及实操演练，留存培训照片、签到表、台账备查，甲方全程监督；</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甲方安全部门实行每日抽查、每周普查、月度全覆盖考核，日间、夜间不定时突击检查，检查结果当日通报；</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对考核发现的问题，物业公司必须在规定时限内闭环整改，逾期未整改的加倍扣分、加重扣款；</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甲方每季度组织一次外包值班人员实操考核，考核不合格人员一律清退出岗，物业公司须及时更换合格人员。</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第八章附则</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本办法作为甲乙双方物业服务合同补充履约文件，与合同具有同等效力，对外包物业公司及所有派驻人员有效；</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本办法考核结果直接用于物业服务费结算、履约评级、年度评优、合作续约评审；</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本办法由</w:t>
      </w:r>
      <w:r>
        <w:rPr>
          <w:rFonts w:hint="eastAsia" w:ascii="宋体" w:hAnsi="宋体" w:eastAsia="宋体" w:cs="宋体"/>
          <w:b w:val="0"/>
          <w:bCs w:val="0"/>
          <w:color w:val="auto"/>
          <w:sz w:val="21"/>
          <w:szCs w:val="21"/>
          <w:lang w:val="en-US" w:eastAsia="zh-CN"/>
        </w:rPr>
        <w:t>钦州市儿童福利院</w:t>
      </w:r>
      <w:r>
        <w:rPr>
          <w:rFonts w:hint="eastAsia" w:ascii="宋体" w:hAnsi="宋体" w:eastAsia="宋体" w:cs="宋体"/>
          <w:b w:val="0"/>
          <w:bCs w:val="0"/>
          <w:color w:val="auto"/>
          <w:sz w:val="21"/>
          <w:szCs w:val="21"/>
        </w:rPr>
        <w:t>负责解释、修订、监督执行；</w:t>
      </w:r>
    </w:p>
    <w:p>
      <w:pPr>
        <w:pStyle w:val="2"/>
        <w:keepNext/>
        <w:keepLines/>
        <w:pageBreakBefore w:val="0"/>
        <w:widowControl w:val="0"/>
        <w:kinsoku/>
        <w:wordWrap/>
        <w:overflowPunct/>
        <w:topLinePunct w:val="0"/>
        <w:autoSpaceDE/>
        <w:autoSpaceDN/>
        <w:bidi w:val="0"/>
        <w:adjustRightInd/>
        <w:snapToGrid/>
        <w:spacing w:before="0" w:after="0"/>
        <w:ind w:firstLine="420" w:firstLineChars="200"/>
        <w:textAlignment w:val="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本办法自发布之日起正式实施。</w:t>
      </w:r>
    </w:p>
    <w:p>
      <w:pPr>
        <w:pStyle w:val="2"/>
        <w:rPr>
          <w:rFonts w:hint="eastAsia" w:ascii="宋体" w:hAnsi="宋体" w:eastAsia="宋体" w:cs="宋体"/>
          <w:color w:val="auto"/>
          <w:sz w:val="21"/>
          <w:szCs w:val="21"/>
        </w:rPr>
      </w:pPr>
    </w:p>
    <w:p>
      <w:pPr>
        <w:rPr>
          <w:rFonts w:ascii="宋体" w:hAnsi="宋体"/>
          <w:color w:val="auto"/>
          <w:szCs w:val="21"/>
        </w:rPr>
      </w:pPr>
    </w:p>
    <w:p>
      <w:pPr>
        <w:pStyle w:val="2"/>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pStyle w:val="4"/>
        <w:rPr>
          <w:color w:val="auto"/>
        </w:rPr>
      </w:pPr>
    </w:p>
    <w:p>
      <w:pPr>
        <w:rPr>
          <w:color w:val="auto"/>
        </w:rPr>
      </w:pPr>
    </w:p>
    <w:p>
      <w:pPr>
        <w:rPr>
          <w:color w:val="auto"/>
        </w:rPr>
      </w:pPr>
    </w:p>
    <w:p>
      <w:pPr>
        <w:pStyle w:val="3"/>
        <w:spacing w:line="400" w:lineRule="exact"/>
        <w:rPr>
          <w:rFonts w:ascii="方正小标宋简体" w:eastAsia="方正小标宋简体"/>
          <w:color w:val="auto"/>
        </w:rPr>
      </w:pPr>
      <w:bookmarkStart w:id="77" w:name="_Toc92355025"/>
      <w:r>
        <w:rPr>
          <w:rFonts w:hint="eastAsia" w:ascii="方正小标宋简体" w:eastAsia="方正小标宋简体"/>
          <w:color w:val="auto"/>
        </w:rPr>
        <w:t>第三章  供应商须知</w:t>
      </w:r>
      <w:bookmarkEnd w:id="50"/>
      <w:bookmarkEnd w:id="51"/>
      <w:bookmarkEnd w:id="77"/>
    </w:p>
    <w:p>
      <w:pPr>
        <w:jc w:val="center"/>
        <w:rPr>
          <w:rFonts w:ascii="仿宋_GB2312" w:hAnsi="宋体" w:eastAsia="仿宋_GB2312"/>
          <w:b/>
          <w:color w:val="auto"/>
          <w:sz w:val="32"/>
          <w:szCs w:val="32"/>
        </w:rPr>
      </w:pPr>
      <w:bookmarkStart w:id="78" w:name="_Toc350325671"/>
      <w:bookmarkStart w:id="79" w:name="_Toc357157408"/>
      <w:bookmarkStart w:id="80" w:name="_Toc358477281"/>
      <w:bookmarkStart w:id="81" w:name="_Toc354479499"/>
      <w:r>
        <w:rPr>
          <w:rFonts w:ascii="仿宋_GB2312" w:hAnsi="宋体" w:eastAsia="仿宋_GB2312"/>
          <w:b/>
          <w:color w:val="auto"/>
          <w:sz w:val="32"/>
          <w:szCs w:val="32"/>
        </w:rPr>
        <w:br w:type="page"/>
      </w:r>
    </w:p>
    <w:p>
      <w:pPr>
        <w:rPr>
          <w:color w:val="auto"/>
        </w:rPr>
      </w:pPr>
    </w:p>
    <w:p>
      <w:pPr>
        <w:jc w:val="center"/>
        <w:rPr>
          <w:rFonts w:ascii="黑体" w:hAnsi="黑体" w:eastAsia="黑体"/>
          <w:b/>
          <w:color w:val="auto"/>
          <w:sz w:val="32"/>
          <w:szCs w:val="32"/>
        </w:rPr>
      </w:pPr>
      <w:r>
        <w:rPr>
          <w:rFonts w:hint="eastAsia" w:ascii="黑体" w:hAnsi="黑体" w:eastAsia="黑体"/>
          <w:b/>
          <w:color w:val="auto"/>
          <w:sz w:val="32"/>
          <w:szCs w:val="32"/>
        </w:rPr>
        <w:t>一、供应商须知前附表</w:t>
      </w:r>
    </w:p>
    <w:tbl>
      <w:tblPr>
        <w:tblStyle w:val="39"/>
        <w:tblW w:w="9351" w:type="dxa"/>
        <w:jc w:val="center"/>
        <w:tblLayout w:type="fixed"/>
        <w:tblCellMar>
          <w:top w:w="0" w:type="dxa"/>
          <w:left w:w="108" w:type="dxa"/>
          <w:bottom w:w="0" w:type="dxa"/>
          <w:right w:w="108" w:type="dxa"/>
        </w:tblCellMar>
      </w:tblPr>
      <w:tblGrid>
        <w:gridCol w:w="704"/>
        <w:gridCol w:w="8647"/>
      </w:tblGrid>
      <w:tr>
        <w:tblPrEx>
          <w:tblCellMar>
            <w:top w:w="0" w:type="dxa"/>
            <w:left w:w="108" w:type="dxa"/>
            <w:bottom w:w="0" w:type="dxa"/>
            <w:right w:w="108" w:type="dxa"/>
          </w:tblCellMar>
        </w:tblPrEx>
        <w:trPr>
          <w:trHeight w:val="50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320" w:lineRule="exact"/>
              <w:jc w:val="center"/>
              <w:rPr>
                <w:rFonts w:ascii="宋体" w:hAnsi="宋体" w:cs="宋体"/>
                <w:color w:val="auto"/>
                <w:kern w:val="0"/>
                <w:szCs w:val="21"/>
              </w:rPr>
            </w:pPr>
            <w:r>
              <w:rPr>
                <w:rFonts w:hint="eastAsia" w:ascii="宋体" w:hAnsi="宋体" w:cs="宋体"/>
                <w:color w:val="auto"/>
                <w:kern w:val="0"/>
                <w:szCs w:val="21"/>
              </w:rPr>
              <w:t>页码</w:t>
            </w:r>
          </w:p>
        </w:tc>
        <w:tc>
          <w:tcPr>
            <w:tcW w:w="8647" w:type="dxa"/>
            <w:tcBorders>
              <w:top w:val="single" w:color="000000" w:sz="4" w:space="0"/>
              <w:left w:val="nil"/>
              <w:bottom w:val="single" w:color="000000" w:sz="4" w:space="0"/>
              <w:right w:val="single" w:color="000000" w:sz="4" w:space="0"/>
            </w:tcBorders>
            <w:vAlign w:val="center"/>
          </w:tcPr>
          <w:p>
            <w:pPr>
              <w:widowControl/>
              <w:spacing w:line="320" w:lineRule="exact"/>
              <w:jc w:val="center"/>
              <w:rPr>
                <w:rFonts w:ascii="宋体" w:hAnsi="宋体" w:cs="宋体"/>
                <w:color w:val="auto"/>
                <w:kern w:val="0"/>
                <w:szCs w:val="21"/>
              </w:rPr>
            </w:pPr>
            <w:r>
              <w:rPr>
                <w:rFonts w:hint="eastAsia" w:ascii="宋体" w:hAnsi="宋体" w:cs="宋体"/>
                <w:color w:val="auto"/>
                <w:kern w:val="0"/>
                <w:szCs w:val="21"/>
              </w:rPr>
              <w:t>内    容</w:t>
            </w:r>
          </w:p>
        </w:tc>
      </w:tr>
      <w:tr>
        <w:tblPrEx>
          <w:tblCellMar>
            <w:top w:w="0" w:type="dxa"/>
            <w:left w:w="108" w:type="dxa"/>
            <w:bottom w:w="0" w:type="dxa"/>
            <w:right w:w="108" w:type="dxa"/>
          </w:tblCellMar>
        </w:tblPrEx>
        <w:trPr>
          <w:trHeight w:val="119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ascii="宋体" w:hAnsi="宋体" w:cs="宋体"/>
                <w:color w:val="auto"/>
                <w:kern w:val="0"/>
                <w:szCs w:val="21"/>
              </w:rPr>
            </w:pPr>
            <w:r>
              <w:rPr>
                <w:rFonts w:hint="eastAsia" w:ascii="宋体" w:hAnsi="宋体" w:cs="宋体"/>
                <w:color w:val="auto"/>
                <w:kern w:val="0"/>
                <w:szCs w:val="21"/>
              </w:rPr>
              <w:t>1</w:t>
            </w:r>
          </w:p>
        </w:tc>
        <w:tc>
          <w:tcPr>
            <w:tcW w:w="8647" w:type="dxa"/>
            <w:tcBorders>
              <w:top w:val="single" w:color="000000" w:sz="4" w:space="0"/>
              <w:left w:val="nil"/>
              <w:bottom w:val="single" w:color="000000" w:sz="4" w:space="0"/>
              <w:right w:val="single" w:color="000000" w:sz="4" w:space="0"/>
            </w:tcBorders>
            <w:vAlign w:val="center"/>
          </w:tcPr>
          <w:p>
            <w:pPr>
              <w:spacing w:line="440" w:lineRule="exact"/>
              <w:ind w:right="-334" w:rightChars="-159"/>
              <w:rPr>
                <w:rStyle w:val="46"/>
                <w:color w:val="auto"/>
                <w:szCs w:val="21"/>
                <w:u w:val="none"/>
              </w:rPr>
            </w:pPr>
            <w:r>
              <w:rPr>
                <w:rFonts w:ascii="宋体" w:hAnsi="宋体" w:cs="宋体"/>
                <w:color w:val="auto"/>
                <w:kern w:val="0"/>
                <w:szCs w:val="21"/>
              </w:rPr>
              <w:fldChar w:fldCharType="begin"/>
            </w:r>
            <w:r>
              <w:rPr>
                <w:rFonts w:ascii="宋体" w:hAnsi="宋体" w:cs="宋体"/>
                <w:color w:val="auto"/>
                <w:kern w:val="0"/>
                <w:szCs w:val="21"/>
              </w:rPr>
              <w:instrText xml:space="preserve"> </w:instrText>
            </w:r>
            <w:r>
              <w:rPr>
                <w:rFonts w:hint="eastAsia" w:ascii="宋体" w:hAnsi="宋体" w:cs="宋体"/>
                <w:color w:val="auto"/>
                <w:kern w:val="0"/>
                <w:szCs w:val="21"/>
              </w:rPr>
              <w:instrText xml:space="preserve">HYPERLINK </w:instrText>
            </w:r>
            <w:r>
              <w:rPr>
                <w:rFonts w:ascii="宋体" w:hAnsi="宋体" w:cs="宋体"/>
                <w:color w:val="auto"/>
                <w:kern w:val="0"/>
                <w:szCs w:val="21"/>
              </w:rPr>
              <w:instrText xml:space="preserve"> \l "_一、总_则" </w:instrText>
            </w:r>
            <w:r>
              <w:rPr>
                <w:rFonts w:ascii="宋体" w:hAnsi="宋体" w:cs="宋体"/>
                <w:color w:val="auto"/>
                <w:kern w:val="0"/>
                <w:szCs w:val="21"/>
              </w:rPr>
              <w:fldChar w:fldCharType="separate"/>
            </w:r>
            <w:r>
              <w:rPr>
                <w:rStyle w:val="46"/>
                <w:rFonts w:hint="eastAsia" w:ascii="宋体" w:hAnsi="宋体" w:cs="宋体"/>
                <w:color w:val="auto"/>
                <w:kern w:val="0"/>
                <w:szCs w:val="21"/>
                <w:u w:val="none"/>
              </w:rPr>
              <w:t>项目名称：</w:t>
            </w:r>
            <w:r>
              <w:rPr>
                <w:rFonts w:hint="eastAsia" w:ascii="宋体" w:hAnsi="宋体"/>
                <w:color w:val="auto"/>
                <w:szCs w:val="21"/>
                <w:lang w:val="en-US" w:eastAsia="zh-CN"/>
              </w:rPr>
              <w:t>钦州市儿童福利院康复特教中心物业管理服务</w:t>
            </w:r>
          </w:p>
          <w:p>
            <w:pPr>
              <w:widowControl/>
              <w:spacing w:line="440" w:lineRule="exact"/>
              <w:rPr>
                <w:rFonts w:ascii="宋体" w:hAnsi="宋体"/>
                <w:color w:val="auto"/>
                <w:szCs w:val="21"/>
              </w:rPr>
            </w:pPr>
            <w:r>
              <w:rPr>
                <w:rStyle w:val="46"/>
                <w:rFonts w:hint="eastAsia" w:ascii="宋体" w:hAnsi="宋体"/>
                <w:color w:val="auto"/>
                <w:szCs w:val="21"/>
                <w:u w:val="none"/>
              </w:rPr>
              <w:t>项目编号：</w:t>
            </w:r>
            <w:r>
              <w:rPr>
                <w:rFonts w:ascii="宋体" w:hAnsi="宋体" w:cs="宋体"/>
                <w:color w:val="auto"/>
                <w:kern w:val="0"/>
                <w:szCs w:val="21"/>
              </w:rPr>
              <w:fldChar w:fldCharType="end"/>
            </w:r>
            <w:r>
              <w:rPr>
                <w:rFonts w:hint="eastAsia" w:ascii="宋体" w:hAnsi="宋体"/>
                <w:bCs/>
                <w:color w:val="auto"/>
                <w:lang w:eastAsia="zh-CN"/>
              </w:rPr>
              <w:t>QZZC2026-C3-990309-QZSZ</w:t>
            </w:r>
          </w:p>
        </w:tc>
      </w:tr>
      <w:tr>
        <w:tblPrEx>
          <w:tblCellMar>
            <w:top w:w="0" w:type="dxa"/>
            <w:left w:w="108" w:type="dxa"/>
            <w:bottom w:w="0" w:type="dxa"/>
            <w:right w:w="108" w:type="dxa"/>
          </w:tblCellMar>
        </w:tblPrEx>
        <w:trPr>
          <w:trHeight w:val="1136"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ascii="宋体" w:hAnsi="宋体" w:cs="宋体"/>
                <w:color w:val="auto"/>
                <w:kern w:val="0"/>
                <w:szCs w:val="21"/>
              </w:rPr>
            </w:pPr>
            <w:r>
              <w:rPr>
                <w:rFonts w:hint="eastAsia" w:ascii="宋体" w:hAnsi="宋体" w:cs="宋体"/>
                <w:color w:val="auto"/>
                <w:kern w:val="0"/>
                <w:szCs w:val="21"/>
              </w:rPr>
              <w:t>2</w:t>
            </w:r>
          </w:p>
        </w:tc>
        <w:tc>
          <w:tcPr>
            <w:tcW w:w="8647" w:type="dxa"/>
            <w:tcBorders>
              <w:top w:val="single" w:color="000000" w:sz="4" w:space="0"/>
              <w:left w:val="nil"/>
              <w:bottom w:val="single" w:color="000000" w:sz="4" w:space="0"/>
              <w:right w:val="single" w:color="000000" w:sz="4" w:space="0"/>
            </w:tcBorders>
            <w:vAlign w:val="center"/>
          </w:tcPr>
          <w:p>
            <w:pPr>
              <w:spacing w:line="440" w:lineRule="exact"/>
              <w:rPr>
                <w:rStyle w:val="46"/>
                <w:rFonts w:ascii="宋体" w:hAnsi="宋体"/>
                <w:color w:val="auto"/>
                <w:szCs w:val="21"/>
                <w:u w:val="none"/>
              </w:rPr>
            </w:pPr>
            <w:r>
              <w:rPr>
                <w:rStyle w:val="46"/>
                <w:rFonts w:ascii="宋体" w:hAnsi="宋体"/>
                <w:color w:val="auto"/>
                <w:szCs w:val="21"/>
                <w:u w:val="none"/>
              </w:rPr>
              <w:fldChar w:fldCharType="begin"/>
            </w:r>
            <w:r>
              <w:rPr>
                <w:rStyle w:val="46"/>
                <w:rFonts w:ascii="宋体" w:hAnsi="宋体"/>
                <w:color w:val="auto"/>
                <w:szCs w:val="21"/>
                <w:u w:val="none"/>
              </w:rPr>
              <w:instrText xml:space="preserve"> </w:instrText>
            </w:r>
            <w:r>
              <w:rPr>
                <w:rStyle w:val="46"/>
                <w:rFonts w:hint="eastAsia" w:ascii="宋体" w:hAnsi="宋体"/>
                <w:color w:val="auto"/>
                <w:szCs w:val="21"/>
                <w:u w:val="none"/>
              </w:rPr>
              <w:instrText xml:space="preserve">HYPERLINK </w:instrText>
            </w:r>
            <w:r>
              <w:rPr>
                <w:rStyle w:val="46"/>
                <w:rFonts w:ascii="宋体" w:hAnsi="宋体"/>
                <w:color w:val="auto"/>
                <w:szCs w:val="21"/>
                <w:u w:val="none"/>
              </w:rPr>
              <w:instrText xml:space="preserve"> \l "_一、总_则" </w:instrText>
            </w:r>
            <w:r>
              <w:rPr>
                <w:rStyle w:val="46"/>
                <w:rFonts w:ascii="宋体" w:hAnsi="宋体"/>
                <w:color w:val="auto"/>
                <w:szCs w:val="21"/>
                <w:u w:val="none"/>
              </w:rPr>
              <w:fldChar w:fldCharType="separate"/>
            </w:r>
            <w:r>
              <w:rPr>
                <w:rStyle w:val="46"/>
                <w:rFonts w:hint="eastAsia" w:ascii="宋体" w:hAnsi="宋体"/>
                <w:color w:val="auto"/>
                <w:szCs w:val="21"/>
                <w:u w:val="none"/>
              </w:rPr>
              <w:t>供应商资格：</w:t>
            </w:r>
          </w:p>
          <w:p>
            <w:pPr>
              <w:spacing w:line="440" w:lineRule="exact"/>
              <w:rPr>
                <w:rStyle w:val="46"/>
                <w:rFonts w:hint="eastAsia" w:ascii="宋体" w:hAnsi="宋体" w:eastAsia="宋体"/>
                <w:color w:val="auto"/>
                <w:szCs w:val="21"/>
                <w:u w:val="none"/>
                <w:lang w:eastAsia="zh-CN"/>
              </w:rPr>
            </w:pPr>
            <w:r>
              <w:rPr>
                <w:rStyle w:val="46"/>
                <w:rFonts w:hint="eastAsia" w:ascii="宋体" w:hAnsi="宋体"/>
                <w:color w:val="auto"/>
                <w:szCs w:val="21"/>
                <w:u w:val="none"/>
              </w:rPr>
              <w:t>1.满足《中华人民共和国政府采购法》第二十二条规定</w:t>
            </w:r>
            <w:r>
              <w:rPr>
                <w:rStyle w:val="46"/>
                <w:rFonts w:hint="eastAsia" w:ascii="宋体" w:hAnsi="宋体"/>
                <w:color w:val="auto"/>
                <w:szCs w:val="21"/>
                <w:u w:val="none"/>
                <w:lang w:eastAsia="zh-CN"/>
              </w:rPr>
              <w:t>。</w:t>
            </w:r>
          </w:p>
          <w:p>
            <w:pPr>
              <w:spacing w:line="400" w:lineRule="exact"/>
              <w:rPr>
                <w:rStyle w:val="46"/>
                <w:rFonts w:ascii="宋体" w:hAnsi="宋体"/>
                <w:color w:val="auto"/>
                <w:szCs w:val="21"/>
                <w:u w:val="none"/>
              </w:rPr>
            </w:pPr>
            <w:r>
              <w:rPr>
                <w:rStyle w:val="46"/>
                <w:rFonts w:hint="eastAsia" w:ascii="宋体" w:hAnsi="宋体"/>
                <w:color w:val="auto"/>
                <w:szCs w:val="21"/>
                <w:u w:val="none"/>
              </w:rPr>
              <w:t>2.落实政府采购政策需满足的资格要求：</w:t>
            </w:r>
            <w:r>
              <w:rPr>
                <w:rFonts w:hint="eastAsia"/>
                <w:color w:val="auto"/>
              </w:rPr>
              <w:t>本项目为</w:t>
            </w:r>
            <w:r>
              <w:rPr>
                <w:rFonts w:hint="eastAsia"/>
                <w:color w:val="auto"/>
                <w:lang w:val="en-US" w:eastAsia="zh-CN"/>
              </w:rPr>
              <w:t>中小</w:t>
            </w:r>
            <w:r>
              <w:rPr>
                <w:rFonts w:hint="eastAsia"/>
                <w:color w:val="auto"/>
              </w:rPr>
              <w:t>企业预留项目，参加本项目</w:t>
            </w:r>
            <w:r>
              <w:rPr>
                <w:rFonts w:hint="eastAsia"/>
                <w:color w:val="auto"/>
                <w:lang w:val="en-US" w:eastAsia="zh-CN"/>
              </w:rPr>
              <w:t>磋商</w:t>
            </w:r>
            <w:r>
              <w:rPr>
                <w:rFonts w:hint="eastAsia"/>
                <w:color w:val="auto"/>
              </w:rPr>
              <w:t>的供应商必须为</w:t>
            </w:r>
            <w:r>
              <w:rPr>
                <w:rFonts w:hint="eastAsia"/>
                <w:color w:val="auto"/>
                <w:lang w:val="en-US" w:eastAsia="zh-CN"/>
              </w:rPr>
              <w:t>中小</w:t>
            </w:r>
            <w:r>
              <w:rPr>
                <w:rFonts w:hint="eastAsia"/>
                <w:color w:val="auto"/>
              </w:rPr>
              <w:t>企业或监狱企业或残疾人福利性单位</w:t>
            </w:r>
            <w:r>
              <w:rPr>
                <w:rFonts w:hint="eastAsia"/>
                <w:color w:val="auto"/>
                <w:lang w:eastAsia="zh-CN"/>
              </w:rPr>
              <w:t>。</w:t>
            </w:r>
          </w:p>
          <w:p>
            <w:pPr>
              <w:spacing w:line="440" w:lineRule="exact"/>
              <w:rPr>
                <w:rFonts w:ascii="宋体" w:hAnsi="宋体"/>
                <w:color w:val="auto"/>
                <w:szCs w:val="21"/>
              </w:rPr>
            </w:pPr>
            <w:r>
              <w:rPr>
                <w:rStyle w:val="46"/>
                <w:rFonts w:hint="eastAsia" w:ascii="宋体" w:hAnsi="宋体"/>
                <w:color w:val="auto"/>
                <w:szCs w:val="21"/>
                <w:u w:val="none"/>
              </w:rPr>
              <w:t>3.本项目的特定资格要求：无</w:t>
            </w:r>
            <w:r>
              <w:rPr>
                <w:rStyle w:val="46"/>
                <w:rFonts w:ascii="宋体" w:hAnsi="宋体"/>
                <w:color w:val="auto"/>
                <w:szCs w:val="21"/>
                <w:u w:val="none"/>
              </w:rPr>
              <w:fldChar w:fldCharType="end"/>
            </w:r>
          </w:p>
        </w:tc>
      </w:tr>
      <w:tr>
        <w:tblPrEx>
          <w:tblCellMar>
            <w:top w:w="0" w:type="dxa"/>
            <w:left w:w="108" w:type="dxa"/>
            <w:bottom w:w="0" w:type="dxa"/>
            <w:right w:w="108" w:type="dxa"/>
          </w:tblCellMar>
        </w:tblPrEx>
        <w:trPr>
          <w:trHeight w:val="1112"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ascii="宋体" w:hAnsi="宋体" w:cs="宋体"/>
                <w:color w:val="auto"/>
                <w:kern w:val="0"/>
                <w:szCs w:val="21"/>
              </w:rPr>
            </w:pPr>
            <w:r>
              <w:rPr>
                <w:rFonts w:ascii="宋体" w:hAnsi="宋体" w:cs="宋体"/>
                <w:color w:val="auto"/>
                <w:kern w:val="0"/>
                <w:szCs w:val="21"/>
              </w:rPr>
              <w:t>3</w:t>
            </w:r>
          </w:p>
        </w:tc>
        <w:tc>
          <w:tcPr>
            <w:tcW w:w="8647" w:type="dxa"/>
            <w:tcBorders>
              <w:top w:val="single" w:color="000000" w:sz="4" w:space="0"/>
              <w:left w:val="nil"/>
              <w:bottom w:val="single" w:color="000000" w:sz="4" w:space="0"/>
              <w:right w:val="single" w:color="000000" w:sz="4" w:space="0"/>
            </w:tcBorders>
            <w:vAlign w:val="center"/>
          </w:tcPr>
          <w:p>
            <w:pPr>
              <w:spacing w:line="440" w:lineRule="exact"/>
              <w:rPr>
                <w:rFonts w:ascii="宋体" w:hAnsi="宋体"/>
                <w:color w:val="auto"/>
              </w:rPr>
            </w:pPr>
            <w:r>
              <w:rPr>
                <w:color w:val="auto"/>
              </w:rPr>
              <w:fldChar w:fldCharType="begin"/>
            </w:r>
            <w:r>
              <w:rPr>
                <w:color w:val="auto"/>
              </w:rPr>
              <w:instrText xml:space="preserve"> HYPERLINK \l "_（五）报价" </w:instrText>
            </w:r>
            <w:r>
              <w:rPr>
                <w:color w:val="auto"/>
              </w:rPr>
              <w:fldChar w:fldCharType="separate"/>
            </w:r>
            <w:r>
              <w:rPr>
                <w:rStyle w:val="46"/>
                <w:rFonts w:hint="eastAsia" w:ascii="宋体" w:hAnsi="宋体" w:cs="宋体"/>
                <w:color w:val="auto"/>
                <w:kern w:val="0"/>
                <w:szCs w:val="21"/>
                <w:u w:val="none"/>
              </w:rPr>
              <w:t>报价：供应商的报价必须按采购文件或政府采购云平台规定的格式填写，并在规定时间内提交最后报价。</w:t>
            </w:r>
            <w:r>
              <w:rPr>
                <w:rStyle w:val="46"/>
                <w:rFonts w:hint="eastAsia" w:ascii="宋体" w:hAnsi="宋体" w:cs="宋体"/>
                <w:color w:val="auto"/>
                <w:kern w:val="0"/>
                <w:szCs w:val="21"/>
                <w:u w:val="none"/>
              </w:rPr>
              <w:fldChar w:fldCharType="end"/>
            </w:r>
          </w:p>
        </w:tc>
      </w:tr>
      <w:tr>
        <w:tblPrEx>
          <w:tblCellMar>
            <w:top w:w="0" w:type="dxa"/>
            <w:left w:w="108" w:type="dxa"/>
            <w:bottom w:w="0" w:type="dxa"/>
            <w:right w:w="108" w:type="dxa"/>
          </w:tblCellMar>
        </w:tblPrEx>
        <w:trPr>
          <w:trHeight w:val="2173"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4</w:t>
            </w:r>
          </w:p>
        </w:tc>
        <w:tc>
          <w:tcPr>
            <w:tcW w:w="8647" w:type="dxa"/>
            <w:tcBorders>
              <w:top w:val="single" w:color="000000" w:sz="4" w:space="0"/>
              <w:left w:val="nil"/>
              <w:bottom w:val="single" w:color="000000" w:sz="4" w:space="0"/>
              <w:right w:val="single" w:color="000000" w:sz="4" w:space="0"/>
            </w:tcBorders>
            <w:vAlign w:val="center"/>
          </w:tcPr>
          <w:p>
            <w:pPr>
              <w:widowControl/>
              <w:spacing w:line="440" w:lineRule="exact"/>
              <w:rPr>
                <w:rStyle w:val="46"/>
                <w:rFonts w:ascii="宋体" w:hAnsi="宋体"/>
                <w:color w:val="auto"/>
                <w:szCs w:val="21"/>
                <w:u w:val="none"/>
              </w:rPr>
            </w:pPr>
            <w:r>
              <w:rPr>
                <w:rFonts w:ascii="宋体" w:hAnsi="宋体" w:cs="宋体"/>
                <w:color w:val="auto"/>
                <w:kern w:val="0"/>
                <w:szCs w:val="21"/>
              </w:rPr>
              <w:fldChar w:fldCharType="begin"/>
            </w:r>
            <w:r>
              <w:rPr>
                <w:rFonts w:ascii="宋体" w:hAnsi="宋体" w:cs="宋体"/>
                <w:color w:val="auto"/>
                <w:kern w:val="0"/>
                <w:szCs w:val="21"/>
              </w:rPr>
              <w:instrText xml:space="preserve"> </w:instrText>
            </w:r>
            <w:r>
              <w:rPr>
                <w:rFonts w:hint="eastAsia" w:ascii="宋体" w:hAnsi="宋体" w:cs="宋体"/>
                <w:color w:val="auto"/>
                <w:kern w:val="0"/>
                <w:szCs w:val="21"/>
              </w:rPr>
              <w:instrText xml:space="preserve">HYPERLINK </w:instrText>
            </w:r>
            <w:r>
              <w:rPr>
                <w:rFonts w:ascii="宋体" w:hAnsi="宋体" w:cs="宋体"/>
                <w:color w:val="auto"/>
                <w:kern w:val="0"/>
                <w:szCs w:val="21"/>
              </w:rPr>
              <w:instrText xml:space="preserve"> \l "_四、响应文件开启" </w:instrText>
            </w:r>
            <w:r>
              <w:rPr>
                <w:rFonts w:ascii="宋体" w:hAnsi="宋体" w:cs="宋体"/>
                <w:color w:val="auto"/>
                <w:kern w:val="0"/>
                <w:szCs w:val="21"/>
              </w:rPr>
              <w:fldChar w:fldCharType="separate"/>
            </w:r>
            <w:r>
              <w:rPr>
                <w:rStyle w:val="46"/>
                <w:rFonts w:hint="eastAsia" w:ascii="宋体" w:hAnsi="宋体" w:cs="宋体"/>
                <w:color w:val="auto"/>
                <w:kern w:val="0"/>
                <w:szCs w:val="21"/>
                <w:u w:val="none"/>
              </w:rPr>
              <w:t>响应文件提交截止时间及开启时间：</w:t>
            </w:r>
            <w:r>
              <w:rPr>
                <w:rFonts w:hint="eastAsia" w:ascii="宋体" w:hAnsi="宋体"/>
                <w:color w:val="auto"/>
                <w:szCs w:val="21"/>
              </w:rPr>
              <w:t>202</w:t>
            </w:r>
            <w:r>
              <w:rPr>
                <w:rFonts w:hint="eastAsia" w:ascii="宋体" w:hAnsi="宋体"/>
                <w:color w:val="auto"/>
                <w:szCs w:val="21"/>
                <w:lang w:val="en-US" w:eastAsia="zh-CN"/>
              </w:rPr>
              <w:t>6</w:t>
            </w:r>
            <w:r>
              <w:rPr>
                <w:rFonts w:hint="eastAsia" w:ascii="宋体" w:hAnsi="宋体"/>
                <w:bCs/>
                <w:color w:val="auto"/>
                <w:szCs w:val="21"/>
              </w:rPr>
              <w:t>年</w:t>
            </w:r>
            <w:r>
              <w:rPr>
                <w:rFonts w:hint="eastAsia" w:ascii="宋体" w:hAnsi="宋体"/>
                <w:bCs/>
                <w:color w:val="auto"/>
                <w:szCs w:val="21"/>
                <w:lang w:val="en-US" w:eastAsia="zh-CN"/>
              </w:rPr>
              <w:t>10</w:t>
            </w:r>
            <w:r>
              <w:rPr>
                <w:rFonts w:hint="eastAsia" w:ascii="宋体" w:hAnsi="宋体"/>
                <w:bCs/>
                <w:color w:val="auto"/>
                <w:szCs w:val="21"/>
              </w:rPr>
              <w:t>月</w:t>
            </w:r>
            <w:r>
              <w:rPr>
                <w:rFonts w:hint="eastAsia" w:ascii="宋体" w:hAnsi="宋体"/>
                <w:bCs/>
                <w:color w:val="auto"/>
                <w:szCs w:val="21"/>
                <w:lang w:val="en-US" w:eastAsia="zh-CN"/>
              </w:rPr>
              <w:t>8</w:t>
            </w:r>
            <w:r>
              <w:rPr>
                <w:rFonts w:hint="eastAsia" w:ascii="宋体" w:hAnsi="宋体"/>
                <w:bCs/>
                <w:color w:val="auto"/>
                <w:szCs w:val="21"/>
              </w:rPr>
              <w:t>日</w:t>
            </w:r>
            <w:r>
              <w:rPr>
                <w:rFonts w:hint="eastAsia"/>
                <w:color w:val="auto"/>
                <w:lang w:val="en-US" w:eastAsia="zh-CN"/>
              </w:rPr>
              <w:t>9</w:t>
            </w:r>
            <w:r>
              <w:rPr>
                <w:color w:val="auto"/>
              </w:rPr>
              <w:t>:</w:t>
            </w:r>
            <w:r>
              <w:rPr>
                <w:rFonts w:hint="eastAsia"/>
                <w:color w:val="auto"/>
                <w:lang w:val="en-US" w:eastAsia="zh-CN"/>
              </w:rPr>
              <w:t>30</w:t>
            </w:r>
            <w:r>
              <w:rPr>
                <w:rStyle w:val="46"/>
                <w:rFonts w:hint="eastAsia" w:ascii="宋体" w:hAnsi="宋体"/>
                <w:color w:val="auto"/>
                <w:szCs w:val="21"/>
                <w:u w:val="none"/>
              </w:rPr>
              <w:t>。</w:t>
            </w:r>
          </w:p>
          <w:p>
            <w:pPr>
              <w:widowControl/>
              <w:spacing w:line="440" w:lineRule="exact"/>
              <w:rPr>
                <w:color w:val="auto"/>
              </w:rPr>
            </w:pPr>
            <w:r>
              <w:rPr>
                <w:rStyle w:val="46"/>
                <w:rFonts w:hint="eastAsia"/>
                <w:b/>
                <w:color w:val="auto"/>
                <w:szCs w:val="21"/>
                <w:u w:val="none"/>
              </w:rPr>
              <w:t>注意事项：</w:t>
            </w:r>
            <w:r>
              <w:rPr>
                <w:rStyle w:val="46"/>
                <w:rFonts w:hint="eastAsia"/>
                <w:bCs/>
                <w:color w:val="auto"/>
                <w:u w:val="none"/>
              </w:rPr>
              <w:t>供应商法定代表人或委托代理人须按时登录政采云远程开标大厅，保持全程在线并关注评审磋商进度，评审期间磋商小组提出澄清等要求时，供应商须在规定时间内进行在线应答，否则按采购文件或政采云平台的相关规定执行。</w:t>
            </w:r>
            <w:r>
              <w:rPr>
                <w:rFonts w:ascii="宋体" w:hAnsi="宋体" w:cs="宋体"/>
                <w:color w:val="auto"/>
                <w:kern w:val="0"/>
                <w:szCs w:val="21"/>
              </w:rPr>
              <w:fldChar w:fldCharType="end"/>
            </w:r>
          </w:p>
        </w:tc>
      </w:tr>
      <w:tr>
        <w:tblPrEx>
          <w:tblCellMar>
            <w:top w:w="0" w:type="dxa"/>
            <w:left w:w="108" w:type="dxa"/>
            <w:bottom w:w="0" w:type="dxa"/>
            <w:right w:w="108" w:type="dxa"/>
          </w:tblCellMar>
        </w:tblPrEx>
        <w:trPr>
          <w:trHeight w:val="925"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5</w:t>
            </w:r>
          </w:p>
        </w:tc>
        <w:tc>
          <w:tcPr>
            <w:tcW w:w="8647" w:type="dxa"/>
            <w:tcBorders>
              <w:top w:val="single" w:color="000000" w:sz="4" w:space="0"/>
              <w:left w:val="nil"/>
              <w:bottom w:val="single" w:color="000000" w:sz="4" w:space="0"/>
              <w:right w:val="single" w:color="000000" w:sz="4" w:space="0"/>
            </w:tcBorders>
            <w:vAlign w:val="center"/>
          </w:tcPr>
          <w:p>
            <w:pPr>
              <w:widowControl/>
              <w:spacing w:line="440" w:lineRule="exact"/>
              <w:rPr>
                <w:rStyle w:val="46"/>
                <w:rFonts w:ascii="宋体" w:hAnsi="宋体" w:cs="宋体"/>
                <w:color w:val="auto"/>
                <w:kern w:val="0"/>
                <w:szCs w:val="21"/>
                <w:u w:val="none"/>
              </w:rPr>
            </w:pPr>
            <w:r>
              <w:rPr>
                <w:rFonts w:ascii="宋体" w:hAnsi="宋体" w:cs="宋体"/>
                <w:color w:val="auto"/>
                <w:kern w:val="0"/>
                <w:szCs w:val="21"/>
              </w:rPr>
              <w:fldChar w:fldCharType="begin"/>
            </w:r>
            <w:r>
              <w:rPr>
                <w:rFonts w:ascii="宋体" w:hAnsi="宋体" w:cs="宋体"/>
                <w:color w:val="auto"/>
                <w:kern w:val="0"/>
                <w:szCs w:val="21"/>
              </w:rPr>
              <w:instrText xml:space="preserve"> HYPERLINK  \l "_五、评审与磋商" </w:instrText>
            </w:r>
            <w:r>
              <w:rPr>
                <w:rFonts w:ascii="宋体" w:hAnsi="宋体" w:cs="宋体"/>
                <w:color w:val="auto"/>
                <w:kern w:val="0"/>
                <w:szCs w:val="21"/>
              </w:rPr>
              <w:fldChar w:fldCharType="separate"/>
            </w:r>
            <w:r>
              <w:rPr>
                <w:rStyle w:val="46"/>
                <w:rFonts w:ascii="宋体" w:hAnsi="宋体" w:cs="宋体"/>
                <w:color w:val="auto"/>
                <w:kern w:val="0"/>
                <w:szCs w:val="21"/>
                <w:u w:val="none"/>
              </w:rPr>
              <w:t>评审及磋商：</w:t>
            </w:r>
          </w:p>
          <w:p>
            <w:pPr>
              <w:widowControl/>
              <w:spacing w:line="440" w:lineRule="exact"/>
              <w:rPr>
                <w:rFonts w:ascii="宋体" w:hAnsi="宋体" w:cs="宋体"/>
                <w:color w:val="auto"/>
                <w:kern w:val="0"/>
                <w:szCs w:val="21"/>
              </w:rPr>
            </w:pPr>
            <w:r>
              <w:rPr>
                <w:rStyle w:val="46"/>
                <w:rFonts w:hint="eastAsia" w:ascii="宋体" w:hAnsi="宋体" w:cs="宋体"/>
                <w:color w:val="auto"/>
                <w:kern w:val="0"/>
                <w:szCs w:val="21"/>
                <w:u w:val="none"/>
              </w:rPr>
              <w:t>磋商小组成员根据磋商文件规定的评审程序、评审方法和评审标准进行独立评审，与符合条件的供应商就采购货物和服务事宜进行磋商，供应商按照磋商文件的要求提交报价。</w:t>
            </w:r>
            <w:r>
              <w:rPr>
                <w:rFonts w:ascii="宋体" w:hAnsi="宋体" w:cs="宋体"/>
                <w:color w:val="auto"/>
                <w:kern w:val="0"/>
                <w:szCs w:val="21"/>
              </w:rPr>
              <w:fldChar w:fldCharType="end"/>
            </w:r>
          </w:p>
        </w:tc>
      </w:tr>
      <w:tr>
        <w:tblPrEx>
          <w:tblCellMar>
            <w:top w:w="0" w:type="dxa"/>
            <w:left w:w="108" w:type="dxa"/>
            <w:bottom w:w="0" w:type="dxa"/>
            <w:right w:w="108" w:type="dxa"/>
          </w:tblCellMar>
        </w:tblPrEx>
        <w:trPr>
          <w:trHeight w:val="801"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6</w:t>
            </w:r>
          </w:p>
        </w:tc>
        <w:tc>
          <w:tcPr>
            <w:tcW w:w="8647" w:type="dxa"/>
            <w:tcBorders>
              <w:top w:val="single" w:color="000000" w:sz="4" w:space="0"/>
              <w:left w:val="nil"/>
              <w:bottom w:val="single" w:color="000000" w:sz="4" w:space="0"/>
              <w:right w:val="single" w:color="000000" w:sz="4" w:space="0"/>
            </w:tcBorders>
            <w:vAlign w:val="center"/>
          </w:tcPr>
          <w:p>
            <w:pPr>
              <w:widowControl/>
              <w:spacing w:line="440" w:lineRule="exact"/>
              <w:rPr>
                <w:rFonts w:ascii="宋体" w:hAnsi="宋体" w:cs="宋体"/>
                <w:color w:val="auto"/>
                <w:kern w:val="0"/>
                <w:szCs w:val="21"/>
              </w:rPr>
            </w:pPr>
            <w:r>
              <w:rPr>
                <w:color w:val="auto"/>
              </w:rPr>
              <w:fldChar w:fldCharType="begin"/>
            </w:r>
            <w:r>
              <w:rPr>
                <w:color w:val="auto"/>
              </w:rPr>
              <w:instrText xml:space="preserve"> HYPERLINK \l "_第四章__评定标准及推荐原则" </w:instrText>
            </w:r>
            <w:r>
              <w:rPr>
                <w:color w:val="auto"/>
              </w:rPr>
              <w:fldChar w:fldCharType="separate"/>
            </w:r>
            <w:r>
              <w:rPr>
                <w:rStyle w:val="46"/>
                <w:rFonts w:hint="eastAsia" w:ascii="宋体" w:hAnsi="宋体" w:cs="宋体"/>
                <w:color w:val="auto"/>
                <w:kern w:val="0"/>
                <w:szCs w:val="21"/>
                <w:u w:val="none"/>
              </w:rPr>
              <w:t>评定方法：</w:t>
            </w:r>
            <w:r>
              <w:rPr>
                <w:rStyle w:val="46"/>
                <w:rFonts w:hint="eastAsia"/>
                <w:color w:val="auto"/>
                <w:u w:val="none"/>
              </w:rPr>
              <w:t>详见第四章《评定标准及推荐原则》。</w:t>
            </w:r>
            <w:r>
              <w:rPr>
                <w:rStyle w:val="46"/>
                <w:rFonts w:hint="eastAsia"/>
                <w:color w:val="auto"/>
                <w:u w:val="none"/>
              </w:rPr>
              <w:fldChar w:fldCharType="end"/>
            </w:r>
          </w:p>
        </w:tc>
      </w:tr>
      <w:tr>
        <w:tblPrEx>
          <w:tblCellMar>
            <w:top w:w="0" w:type="dxa"/>
            <w:left w:w="108" w:type="dxa"/>
            <w:bottom w:w="0" w:type="dxa"/>
            <w:right w:w="108" w:type="dxa"/>
          </w:tblCellMar>
        </w:tblPrEx>
        <w:trPr>
          <w:trHeight w:val="1136"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pPr>
              <w:widowControl/>
              <w:spacing w:line="440" w:lineRule="exact"/>
              <w:jc w:val="center"/>
              <w:rPr>
                <w:rFonts w:hint="eastAsia" w:ascii="宋体" w:hAnsi="宋体" w:eastAsia="宋体" w:cs="宋体"/>
                <w:color w:val="auto"/>
                <w:kern w:val="0"/>
                <w:szCs w:val="21"/>
                <w:lang w:eastAsia="zh-CN"/>
              </w:rPr>
            </w:pPr>
            <w:r>
              <w:rPr>
                <w:rFonts w:hint="eastAsia" w:ascii="宋体" w:hAnsi="宋体" w:cs="宋体"/>
                <w:color w:val="auto"/>
                <w:kern w:val="0"/>
                <w:szCs w:val="21"/>
                <w:lang w:val="en-US" w:eastAsia="zh-CN"/>
              </w:rPr>
              <w:t>7</w:t>
            </w:r>
          </w:p>
        </w:tc>
        <w:tc>
          <w:tcPr>
            <w:tcW w:w="8647" w:type="dxa"/>
            <w:tcBorders>
              <w:top w:val="single" w:color="000000" w:sz="4" w:space="0"/>
              <w:left w:val="nil"/>
              <w:bottom w:val="single" w:color="000000" w:sz="4" w:space="0"/>
              <w:right w:val="single" w:color="000000" w:sz="4" w:space="0"/>
            </w:tcBorders>
            <w:vAlign w:val="center"/>
          </w:tcPr>
          <w:p>
            <w:pPr>
              <w:widowControl/>
              <w:spacing w:line="440" w:lineRule="exact"/>
              <w:rPr>
                <w:rFonts w:ascii="宋体" w:hAnsi="宋体" w:cs="宋体"/>
                <w:color w:val="auto"/>
                <w:kern w:val="0"/>
                <w:szCs w:val="21"/>
              </w:rPr>
            </w:pPr>
            <w:r>
              <w:rPr>
                <w:color w:val="auto"/>
              </w:rPr>
              <w:fldChar w:fldCharType="begin"/>
            </w:r>
            <w:r>
              <w:rPr>
                <w:color w:val="auto"/>
              </w:rPr>
              <w:instrText xml:space="preserve"> HYPERLINK \l "_十、其他事项" </w:instrText>
            </w:r>
            <w:r>
              <w:rPr>
                <w:color w:val="auto"/>
              </w:rPr>
              <w:fldChar w:fldCharType="separate"/>
            </w:r>
            <w:r>
              <w:rPr>
                <w:rStyle w:val="46"/>
                <w:rFonts w:hint="eastAsia" w:ascii="宋体" w:hAnsi="宋体" w:cs="宋体"/>
                <w:color w:val="auto"/>
                <w:kern w:val="0"/>
                <w:szCs w:val="21"/>
                <w:u w:val="none"/>
              </w:rPr>
              <w:t>代理服务费：按钦州市物价局“钦市价费〔2013〕4号”文件，以差额定率累进法计算。成交供应商须按成交金额缴纳相应的代理服务费。</w:t>
            </w:r>
            <w:r>
              <w:rPr>
                <w:rStyle w:val="46"/>
                <w:rFonts w:hint="eastAsia" w:ascii="宋体" w:hAnsi="宋体" w:cs="宋体"/>
                <w:color w:val="auto"/>
                <w:kern w:val="0"/>
                <w:szCs w:val="21"/>
                <w:u w:val="none"/>
              </w:rPr>
              <w:fldChar w:fldCharType="end"/>
            </w:r>
          </w:p>
        </w:tc>
      </w:tr>
    </w:tbl>
    <w:p>
      <w:pPr>
        <w:rPr>
          <w:color w:val="auto"/>
        </w:rPr>
      </w:pPr>
      <w:bookmarkStart w:id="82" w:name="_Toc420505403"/>
    </w:p>
    <w:p>
      <w:pPr>
        <w:jc w:val="center"/>
        <w:rPr>
          <w:rFonts w:hint="eastAsia" w:ascii="黑体" w:hAnsi="黑体" w:eastAsia="黑体"/>
          <w:b/>
          <w:bCs/>
          <w:color w:val="auto"/>
          <w:sz w:val="32"/>
          <w:szCs w:val="32"/>
        </w:rPr>
      </w:pPr>
    </w:p>
    <w:p>
      <w:pPr>
        <w:jc w:val="center"/>
        <w:rPr>
          <w:rFonts w:hint="eastAsia" w:ascii="黑体" w:hAnsi="黑体" w:eastAsia="黑体"/>
          <w:b/>
          <w:bCs/>
          <w:color w:val="auto"/>
          <w:sz w:val="32"/>
          <w:szCs w:val="32"/>
        </w:rPr>
      </w:pPr>
    </w:p>
    <w:p>
      <w:pPr>
        <w:jc w:val="center"/>
        <w:rPr>
          <w:rFonts w:hint="eastAsia" w:ascii="黑体" w:hAnsi="黑体" w:eastAsia="黑体"/>
          <w:b/>
          <w:bCs/>
          <w:color w:val="auto"/>
          <w:sz w:val="32"/>
          <w:szCs w:val="32"/>
        </w:rPr>
      </w:pPr>
    </w:p>
    <w:p>
      <w:pPr>
        <w:jc w:val="center"/>
        <w:rPr>
          <w:rFonts w:hint="eastAsia" w:ascii="黑体" w:hAnsi="黑体" w:eastAsia="黑体"/>
          <w:b/>
          <w:bCs/>
          <w:color w:val="auto"/>
          <w:sz w:val="32"/>
          <w:szCs w:val="32"/>
        </w:rPr>
      </w:pPr>
    </w:p>
    <w:p>
      <w:pPr>
        <w:jc w:val="center"/>
        <w:rPr>
          <w:rFonts w:ascii="黑体" w:hAnsi="黑体" w:eastAsia="黑体"/>
          <w:b/>
          <w:bCs/>
          <w:color w:val="auto"/>
          <w:sz w:val="32"/>
          <w:szCs w:val="32"/>
        </w:rPr>
      </w:pPr>
      <w:r>
        <w:rPr>
          <w:rFonts w:hint="eastAsia" w:ascii="黑体" w:hAnsi="黑体" w:eastAsia="黑体"/>
          <w:b/>
          <w:bCs/>
          <w:color w:val="auto"/>
          <w:sz w:val="32"/>
          <w:szCs w:val="32"/>
        </w:rPr>
        <w:t>二、供应商须知</w:t>
      </w:r>
      <w:bookmarkEnd w:id="82"/>
    </w:p>
    <w:p>
      <w:pPr>
        <w:pStyle w:val="2"/>
        <w:spacing w:line="420" w:lineRule="exact"/>
        <w:rPr>
          <w:color w:val="auto"/>
        </w:rPr>
      </w:pPr>
      <w:bookmarkStart w:id="83" w:name="_一、总_则"/>
      <w:bookmarkEnd w:id="83"/>
      <w:r>
        <w:rPr>
          <w:rFonts w:hint="eastAsia"/>
          <w:color w:val="auto"/>
        </w:rPr>
        <w:t>一、总　则</w:t>
      </w:r>
    </w:p>
    <w:p>
      <w:pPr>
        <w:spacing w:line="406" w:lineRule="exact"/>
        <w:ind w:firstLine="210" w:firstLineChars="100"/>
        <w:rPr>
          <w:rFonts w:ascii="宋体" w:hAnsi="宋体"/>
          <w:color w:val="auto"/>
          <w:szCs w:val="21"/>
        </w:rPr>
      </w:pPr>
      <w:r>
        <w:rPr>
          <w:rFonts w:hint="eastAsia" w:ascii="宋体" w:hAnsi="宋体"/>
          <w:color w:val="auto"/>
          <w:szCs w:val="21"/>
        </w:rPr>
        <w:t>（一）适用范围</w:t>
      </w:r>
    </w:p>
    <w:p>
      <w:pPr>
        <w:spacing w:line="406" w:lineRule="exact"/>
        <w:ind w:right="-334" w:rightChars="-159" w:firstLine="420"/>
        <w:rPr>
          <w:color w:val="auto"/>
          <w:szCs w:val="21"/>
        </w:rPr>
      </w:pPr>
      <w:r>
        <w:rPr>
          <w:rFonts w:ascii="宋体"/>
          <w:color w:val="auto"/>
        </w:rPr>
        <w:t>1.</w:t>
      </w:r>
      <w:r>
        <w:rPr>
          <w:rFonts w:hint="eastAsia" w:ascii="宋体"/>
          <w:color w:val="auto"/>
        </w:rPr>
        <w:t>项目名称：</w:t>
      </w:r>
      <w:r>
        <w:rPr>
          <w:rFonts w:hint="eastAsia" w:ascii="宋体" w:hAnsi="宋体"/>
          <w:color w:val="auto"/>
          <w:szCs w:val="21"/>
          <w:lang w:val="en-US" w:eastAsia="zh-CN"/>
        </w:rPr>
        <w:t>钦州市儿童福利院康复特教中心物业管理服务</w:t>
      </w:r>
    </w:p>
    <w:p>
      <w:pPr>
        <w:spacing w:line="406" w:lineRule="exact"/>
        <w:ind w:right="-334" w:rightChars="-159" w:firstLine="420"/>
        <w:rPr>
          <w:rFonts w:hint="eastAsia" w:eastAsia="宋体"/>
          <w:color w:val="auto"/>
          <w:lang w:eastAsia="zh-CN"/>
        </w:rPr>
      </w:pPr>
      <w:r>
        <w:rPr>
          <w:color w:val="auto"/>
          <w:szCs w:val="21"/>
        </w:rPr>
        <w:t>2.</w:t>
      </w:r>
      <w:r>
        <w:rPr>
          <w:rFonts w:hint="eastAsia"/>
          <w:color w:val="auto"/>
        </w:rPr>
        <w:t>项目编号：</w:t>
      </w:r>
      <w:r>
        <w:rPr>
          <w:rFonts w:hint="eastAsia"/>
          <w:color w:val="auto"/>
          <w:lang w:eastAsia="zh-CN"/>
        </w:rPr>
        <w:t>QZZC2026-C3-990309-QZSZ</w:t>
      </w:r>
    </w:p>
    <w:p>
      <w:pPr>
        <w:spacing w:line="406" w:lineRule="exact"/>
        <w:ind w:right="-334" w:rightChars="-159" w:firstLine="420"/>
        <w:rPr>
          <w:color w:val="auto"/>
          <w:szCs w:val="21"/>
        </w:rPr>
      </w:pPr>
      <w:r>
        <w:rPr>
          <w:rFonts w:hint="eastAsia" w:hAnsi="宋体"/>
          <w:color w:val="auto"/>
        </w:rPr>
        <w:t>本文件仅适用于本文件中所叙述的货物、服务类政府采购项目。</w:t>
      </w:r>
    </w:p>
    <w:p>
      <w:pPr>
        <w:spacing w:line="406" w:lineRule="exact"/>
        <w:ind w:firstLine="210" w:firstLineChars="100"/>
        <w:rPr>
          <w:rFonts w:ascii="宋体" w:hAnsi="宋体"/>
          <w:color w:val="auto"/>
          <w:szCs w:val="21"/>
        </w:rPr>
      </w:pPr>
      <w:r>
        <w:rPr>
          <w:rFonts w:hint="eastAsia" w:ascii="宋体" w:hAnsi="宋体"/>
          <w:color w:val="auto"/>
          <w:szCs w:val="21"/>
        </w:rPr>
        <w:t>（二）定义</w:t>
      </w:r>
    </w:p>
    <w:p>
      <w:pPr>
        <w:spacing w:line="406" w:lineRule="exact"/>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w:t>
      </w:r>
      <w:r>
        <w:rPr>
          <w:rFonts w:ascii="宋体" w:hAnsi="宋体"/>
          <w:color w:val="auto"/>
          <w:szCs w:val="21"/>
        </w:rPr>
        <w:t>采购人</w:t>
      </w:r>
      <w:r>
        <w:rPr>
          <w:rFonts w:hint="eastAsia" w:ascii="宋体" w:hAnsi="宋体"/>
          <w:color w:val="auto"/>
          <w:szCs w:val="21"/>
        </w:rPr>
        <w:t>”</w:t>
      </w:r>
      <w:r>
        <w:rPr>
          <w:rFonts w:ascii="宋体" w:hAnsi="宋体"/>
          <w:color w:val="auto"/>
          <w:szCs w:val="21"/>
        </w:rPr>
        <w:t>是指依法进行政府采购的国家机关、事业单位、团体组织。</w:t>
      </w:r>
    </w:p>
    <w:p>
      <w:pPr>
        <w:spacing w:line="406" w:lineRule="exact"/>
        <w:ind w:firstLine="420" w:firstLineChars="200"/>
        <w:rPr>
          <w:rFonts w:ascii="宋体" w:hAnsi="宋体"/>
          <w:color w:val="auto"/>
          <w:szCs w:val="21"/>
        </w:rPr>
      </w:pPr>
      <w:r>
        <w:rPr>
          <w:rFonts w:hint="eastAsia" w:ascii="宋体" w:hAnsi="宋体"/>
          <w:color w:val="auto"/>
          <w:szCs w:val="21"/>
        </w:rPr>
        <w:t>2.“供应商”是指响应本文件要求，参加磋商的法人或其他组织。如果该供应商在本次采购项目中成交,即成为“成交供应商”。</w:t>
      </w:r>
    </w:p>
    <w:p>
      <w:pPr>
        <w:spacing w:line="406" w:lineRule="exact"/>
        <w:ind w:firstLine="420" w:firstLineChars="200"/>
        <w:rPr>
          <w:rFonts w:ascii="宋体" w:hAnsi="宋体"/>
          <w:color w:val="auto"/>
          <w:szCs w:val="21"/>
        </w:rPr>
      </w:pPr>
      <w:r>
        <w:rPr>
          <w:rFonts w:hint="eastAsia" w:ascii="宋体" w:hAnsi="宋体"/>
          <w:color w:val="auto"/>
          <w:szCs w:val="21"/>
        </w:rPr>
        <w:t>3</w:t>
      </w:r>
      <w:r>
        <w:rPr>
          <w:rFonts w:ascii="宋体" w:hAnsi="宋体"/>
          <w:color w:val="auto"/>
          <w:szCs w:val="21"/>
        </w:rPr>
        <w:t>.</w:t>
      </w:r>
      <w:r>
        <w:rPr>
          <w:rFonts w:hint="eastAsia" w:ascii="宋体" w:hAnsi="宋体"/>
          <w:color w:val="auto"/>
          <w:szCs w:val="21"/>
        </w:rPr>
        <w:t>“采购代理机构”是指</w:t>
      </w:r>
      <w:r>
        <w:rPr>
          <w:rFonts w:hint="eastAsia" w:ascii="宋体" w:hAnsi="宋体"/>
          <w:color w:val="auto"/>
        </w:rPr>
        <w:t>钦州市政府采购中心。</w:t>
      </w:r>
    </w:p>
    <w:p>
      <w:pPr>
        <w:spacing w:line="406" w:lineRule="exact"/>
        <w:ind w:firstLine="420" w:firstLineChars="200"/>
        <w:rPr>
          <w:rFonts w:ascii="宋体" w:hAnsi="宋体"/>
          <w:color w:val="auto"/>
          <w:szCs w:val="21"/>
        </w:rPr>
      </w:pPr>
      <w:r>
        <w:rPr>
          <w:rFonts w:hint="eastAsia" w:ascii="宋体" w:hAnsi="宋体"/>
          <w:color w:val="auto"/>
          <w:szCs w:val="21"/>
        </w:rPr>
        <w:t>4</w:t>
      </w:r>
      <w:r>
        <w:rPr>
          <w:rFonts w:ascii="宋体" w:hAnsi="宋体"/>
          <w:color w:val="auto"/>
          <w:szCs w:val="21"/>
        </w:rPr>
        <w:t>.</w:t>
      </w:r>
      <w:r>
        <w:rPr>
          <w:rFonts w:hint="eastAsia" w:ascii="宋体" w:hAnsi="宋体"/>
          <w:color w:val="auto"/>
          <w:szCs w:val="21"/>
        </w:rPr>
        <w:t>“货物和服务”是指本次采购文件中所采购的各种形态和种类的产品以及其提供的服务。</w:t>
      </w:r>
    </w:p>
    <w:p>
      <w:pPr>
        <w:spacing w:line="406" w:lineRule="exact"/>
        <w:ind w:firstLine="420" w:firstLineChars="200"/>
        <w:rPr>
          <w:rFonts w:ascii="宋体" w:hAnsi="宋体"/>
          <w:color w:val="auto"/>
          <w:szCs w:val="21"/>
        </w:rPr>
      </w:pPr>
      <w:r>
        <w:rPr>
          <w:rFonts w:hint="eastAsia" w:ascii="宋体" w:hAnsi="宋体"/>
          <w:color w:val="auto"/>
          <w:szCs w:val="21"/>
        </w:rPr>
        <w:t>5</w:t>
      </w:r>
      <w:r>
        <w:rPr>
          <w:rFonts w:ascii="宋体" w:hAnsi="宋体"/>
          <w:color w:val="auto"/>
          <w:szCs w:val="21"/>
        </w:rPr>
        <w:t>.</w:t>
      </w:r>
      <w:r>
        <w:rPr>
          <w:rFonts w:hint="eastAsia" w:ascii="宋体" w:hAnsi="宋体"/>
          <w:color w:val="auto"/>
          <w:szCs w:val="21"/>
        </w:rPr>
        <w:t>“竞争性磋商采购文件”是指采用竞争性磋商方式进行政府采购的指导文件，简称“磋商文件”或“采购文件”。</w:t>
      </w:r>
    </w:p>
    <w:p>
      <w:pPr>
        <w:spacing w:line="406" w:lineRule="exact"/>
        <w:ind w:firstLine="420" w:firstLineChars="200"/>
        <w:rPr>
          <w:rFonts w:ascii="宋体" w:hAnsi="宋体"/>
          <w:color w:val="auto"/>
          <w:szCs w:val="21"/>
        </w:rPr>
      </w:pPr>
      <w:r>
        <w:rPr>
          <w:rFonts w:ascii="宋体" w:hAnsi="宋体"/>
          <w:color w:val="auto"/>
          <w:szCs w:val="21"/>
        </w:rPr>
        <w:t>6.</w:t>
      </w:r>
      <w:r>
        <w:rPr>
          <w:rFonts w:hint="eastAsia" w:ascii="宋体" w:hAnsi="宋体"/>
          <w:color w:val="auto"/>
          <w:szCs w:val="21"/>
        </w:rPr>
        <w:t>“响应文件”是指供应商根据采购文件要求，编制包含技术、服务和报价等所有内容的响应文件。</w:t>
      </w:r>
    </w:p>
    <w:p>
      <w:pPr>
        <w:spacing w:line="406" w:lineRule="exact"/>
        <w:ind w:firstLine="420" w:firstLineChars="200"/>
        <w:rPr>
          <w:rFonts w:ascii="宋体" w:hAnsi="宋体"/>
          <w:color w:val="auto"/>
          <w:szCs w:val="21"/>
        </w:rPr>
      </w:pPr>
      <w:r>
        <w:rPr>
          <w:rFonts w:ascii="宋体" w:hAnsi="宋体"/>
          <w:color w:val="auto"/>
          <w:szCs w:val="21"/>
        </w:rPr>
        <w:t>7.</w:t>
      </w:r>
      <w:r>
        <w:rPr>
          <w:rFonts w:hint="eastAsia" w:ascii="宋体" w:hAnsi="宋体"/>
          <w:color w:val="auto"/>
          <w:szCs w:val="21"/>
        </w:rPr>
        <w:t>“书面形式”</w:t>
      </w:r>
      <w:r>
        <w:rPr>
          <w:rFonts w:ascii="Helvetica" w:hAnsi="Helvetica"/>
          <w:color w:val="auto"/>
          <w:szCs w:val="21"/>
        </w:rPr>
        <w:t>是</w:t>
      </w:r>
      <w:r>
        <w:rPr>
          <w:rFonts w:hint="eastAsia" w:ascii="Helvetica" w:hAnsi="Helvetica"/>
          <w:color w:val="auto"/>
          <w:szCs w:val="21"/>
        </w:rPr>
        <w:t>指</w:t>
      </w:r>
      <w:r>
        <w:rPr>
          <w:rFonts w:ascii="Helvetica" w:hAnsi="Helvetica"/>
          <w:color w:val="auto"/>
          <w:szCs w:val="21"/>
        </w:rPr>
        <w:t>合同书、信件、电报、电传、传真等可以有形地表现所载内容的形式。</w:t>
      </w:r>
    </w:p>
    <w:p>
      <w:pPr>
        <w:spacing w:line="406" w:lineRule="exact"/>
        <w:ind w:firstLine="211" w:firstLineChars="100"/>
        <w:rPr>
          <w:rFonts w:ascii="宋体" w:hAnsi="宋体"/>
          <w:b/>
          <w:color w:val="auto"/>
          <w:szCs w:val="21"/>
        </w:rPr>
      </w:pPr>
      <w:r>
        <w:rPr>
          <w:rFonts w:hint="eastAsia" w:ascii="宋体" w:hAnsi="宋体"/>
          <w:b/>
          <w:color w:val="auto"/>
          <w:szCs w:val="21"/>
        </w:rPr>
        <w:t>（三）供应商资格</w:t>
      </w:r>
    </w:p>
    <w:p>
      <w:pPr>
        <w:spacing w:line="406" w:lineRule="exact"/>
        <w:ind w:firstLine="420" w:firstLineChars="200"/>
        <w:rPr>
          <w:rFonts w:hint="eastAsia"/>
          <w:color w:val="auto"/>
          <w:lang w:val="en-US" w:eastAsia="zh-CN"/>
        </w:rPr>
      </w:pPr>
      <w:r>
        <w:rPr>
          <w:rFonts w:hint="eastAsia"/>
          <w:color w:val="auto"/>
          <w:lang w:val="en-US" w:eastAsia="zh-CN"/>
        </w:rPr>
        <w:t>供应商的资格要求详见“供应商须知前附表”。</w:t>
      </w:r>
    </w:p>
    <w:p>
      <w:pPr>
        <w:spacing w:line="406" w:lineRule="exact"/>
        <w:ind w:firstLine="211" w:firstLineChars="100"/>
        <w:rPr>
          <w:b/>
          <w:bCs/>
          <w:color w:val="auto"/>
        </w:rPr>
      </w:pPr>
      <w:r>
        <w:rPr>
          <w:rFonts w:hint="eastAsia"/>
          <w:b/>
          <w:bCs/>
          <w:color w:val="auto"/>
        </w:rPr>
        <w:t>（四）</w:t>
      </w:r>
      <w:r>
        <w:rPr>
          <w:rFonts w:hint="eastAsia"/>
          <w:b/>
          <w:bCs/>
          <w:color w:val="auto"/>
          <w:lang w:eastAsia="zh-CN"/>
        </w:rPr>
        <w:t>采购人</w:t>
      </w:r>
      <w:r>
        <w:rPr>
          <w:rFonts w:hint="eastAsia"/>
          <w:b/>
          <w:bCs/>
          <w:color w:val="auto"/>
        </w:rPr>
        <w:t>式</w:t>
      </w:r>
    </w:p>
    <w:p>
      <w:pPr>
        <w:snapToGrid w:val="0"/>
        <w:spacing w:line="406" w:lineRule="exact"/>
        <w:ind w:firstLine="420" w:firstLineChars="200"/>
        <w:rPr>
          <w:rFonts w:ascii="宋体" w:hAnsi="宋体"/>
          <w:color w:val="auto"/>
          <w:szCs w:val="21"/>
        </w:rPr>
      </w:pPr>
      <w:r>
        <w:rPr>
          <w:rFonts w:hint="eastAsia" w:ascii="宋体" w:hAnsi="宋体"/>
          <w:color w:val="auto"/>
          <w:szCs w:val="21"/>
        </w:rPr>
        <w:t>竞争性磋商</w:t>
      </w:r>
    </w:p>
    <w:p>
      <w:pPr>
        <w:spacing w:line="406" w:lineRule="exact"/>
        <w:ind w:firstLine="211" w:firstLineChars="100"/>
        <w:rPr>
          <w:b/>
          <w:bCs/>
          <w:color w:val="auto"/>
        </w:rPr>
      </w:pPr>
      <w:bookmarkStart w:id="84" w:name="_Toc353785281"/>
      <w:bookmarkStart w:id="85" w:name="_Toc352700410"/>
      <w:bookmarkStart w:id="86" w:name="_Toc254970671"/>
      <w:bookmarkStart w:id="87" w:name="_Toc254970530"/>
      <w:r>
        <w:rPr>
          <w:rFonts w:hint="eastAsia"/>
          <w:b/>
          <w:bCs/>
          <w:color w:val="auto"/>
        </w:rPr>
        <w:t>（五）代理委托</w:t>
      </w:r>
      <w:bookmarkEnd w:id="84"/>
      <w:bookmarkEnd w:id="85"/>
      <w:bookmarkEnd w:id="86"/>
      <w:bookmarkEnd w:id="87"/>
    </w:p>
    <w:p>
      <w:pPr>
        <w:snapToGrid w:val="0"/>
        <w:spacing w:line="406" w:lineRule="exact"/>
        <w:ind w:firstLine="420" w:firstLineChars="200"/>
        <w:rPr>
          <w:rFonts w:ascii="宋体" w:hAnsi="宋体" w:cs="Courier New"/>
          <w:bCs/>
          <w:color w:val="auto"/>
          <w:szCs w:val="21"/>
        </w:rPr>
      </w:pPr>
      <w:r>
        <w:rPr>
          <w:rFonts w:hint="eastAsia" w:ascii="宋体" w:hAnsi="宋体" w:cs="Courier New"/>
          <w:bCs/>
          <w:color w:val="auto"/>
          <w:szCs w:val="21"/>
        </w:rPr>
        <w:t>委托磋商的供应商须提供授权委托书（格式见第六章）。</w:t>
      </w:r>
    </w:p>
    <w:p>
      <w:pPr>
        <w:spacing w:line="406" w:lineRule="exact"/>
        <w:ind w:firstLine="211" w:firstLineChars="100"/>
        <w:rPr>
          <w:b/>
          <w:bCs/>
          <w:color w:val="auto"/>
        </w:rPr>
      </w:pPr>
      <w:bookmarkStart w:id="88" w:name="_Toc353785282"/>
      <w:bookmarkStart w:id="89" w:name="_Toc254970672"/>
      <w:bookmarkStart w:id="90" w:name="_Toc352700411"/>
      <w:bookmarkStart w:id="91" w:name="_Toc254970531"/>
      <w:r>
        <w:rPr>
          <w:rFonts w:hint="eastAsia"/>
          <w:b/>
          <w:bCs/>
          <w:color w:val="auto"/>
        </w:rPr>
        <w:t>（六）磋商费用</w:t>
      </w:r>
      <w:bookmarkEnd w:id="88"/>
      <w:bookmarkEnd w:id="89"/>
      <w:bookmarkEnd w:id="90"/>
      <w:bookmarkEnd w:id="91"/>
    </w:p>
    <w:p>
      <w:pPr>
        <w:snapToGrid w:val="0"/>
        <w:spacing w:line="406" w:lineRule="exact"/>
        <w:ind w:firstLine="420" w:firstLineChars="200"/>
        <w:rPr>
          <w:rFonts w:ascii="宋体" w:hAnsi="宋体"/>
          <w:color w:val="auto"/>
          <w:szCs w:val="21"/>
        </w:rPr>
      </w:pPr>
      <w:r>
        <w:rPr>
          <w:rFonts w:hint="eastAsia" w:ascii="宋体" w:hAnsi="宋体"/>
          <w:color w:val="auto"/>
          <w:szCs w:val="21"/>
        </w:rPr>
        <w:t>供应商自行承担所有与磋商有关的全部费用。</w:t>
      </w:r>
    </w:p>
    <w:p>
      <w:pPr>
        <w:spacing w:line="406" w:lineRule="exact"/>
        <w:ind w:firstLine="211" w:firstLineChars="100"/>
        <w:rPr>
          <w:b/>
          <w:bCs/>
          <w:color w:val="auto"/>
        </w:rPr>
      </w:pPr>
      <w:bookmarkStart w:id="92" w:name="_Toc352700413"/>
      <w:bookmarkStart w:id="93" w:name="_Toc353785283"/>
      <w:r>
        <w:rPr>
          <w:rFonts w:hint="eastAsia"/>
          <w:b/>
          <w:bCs/>
          <w:color w:val="auto"/>
        </w:rPr>
        <w:t>（七）转包与分包</w:t>
      </w:r>
      <w:bookmarkEnd w:id="92"/>
      <w:bookmarkEnd w:id="93"/>
    </w:p>
    <w:p>
      <w:pPr>
        <w:snapToGrid w:val="0"/>
        <w:spacing w:line="406" w:lineRule="exact"/>
        <w:ind w:firstLine="420" w:firstLineChars="200"/>
        <w:rPr>
          <w:rFonts w:ascii="宋体" w:hAnsi="宋体" w:cs="宋体"/>
          <w:color w:val="auto"/>
          <w:kern w:val="0"/>
          <w:szCs w:val="21"/>
        </w:rPr>
      </w:pPr>
      <w:r>
        <w:rPr>
          <w:rFonts w:ascii="宋体" w:hAnsi="宋体" w:cs="宋体"/>
          <w:color w:val="auto"/>
          <w:kern w:val="0"/>
          <w:szCs w:val="21"/>
        </w:rPr>
        <w:t>1.</w:t>
      </w:r>
      <w:r>
        <w:rPr>
          <w:rFonts w:hint="eastAsia" w:ascii="宋体" w:hAnsi="宋体" w:cs="宋体"/>
          <w:color w:val="auto"/>
          <w:kern w:val="0"/>
          <w:szCs w:val="21"/>
        </w:rPr>
        <w:t>本项目不允许转包。</w:t>
      </w:r>
    </w:p>
    <w:p>
      <w:pPr>
        <w:snapToGrid w:val="0"/>
        <w:spacing w:line="406" w:lineRule="exact"/>
        <w:ind w:firstLine="420" w:firstLineChars="200"/>
        <w:rPr>
          <w:rFonts w:ascii="宋体" w:hAnsi="宋体" w:cs="宋体"/>
          <w:color w:val="auto"/>
          <w:kern w:val="0"/>
          <w:szCs w:val="21"/>
        </w:rPr>
      </w:pPr>
      <w:r>
        <w:rPr>
          <w:rFonts w:ascii="宋体" w:hAnsi="宋体" w:cs="宋体"/>
          <w:color w:val="auto"/>
          <w:kern w:val="0"/>
          <w:szCs w:val="21"/>
        </w:rPr>
        <w:t>2.</w:t>
      </w:r>
      <w:r>
        <w:rPr>
          <w:rFonts w:hint="eastAsia" w:ascii="宋体" w:hAnsi="宋体" w:cs="宋体"/>
          <w:color w:val="auto"/>
          <w:kern w:val="0"/>
          <w:szCs w:val="21"/>
        </w:rPr>
        <w:t>采购人允许采用分包方式履行合同的，应当在采购文件中明确可以分包履行的具体内容、金额或者比例。</w:t>
      </w:r>
    </w:p>
    <w:p>
      <w:pPr>
        <w:snapToGrid w:val="0"/>
        <w:spacing w:line="406" w:lineRule="exact"/>
        <w:ind w:firstLine="420" w:firstLineChars="200"/>
        <w:rPr>
          <w:rFonts w:ascii="宋体" w:hAnsi="宋体" w:cs="宋体"/>
          <w:color w:val="auto"/>
          <w:kern w:val="0"/>
          <w:szCs w:val="21"/>
        </w:rPr>
      </w:pPr>
      <w:r>
        <w:rPr>
          <w:rFonts w:ascii="宋体" w:hAnsi="宋体" w:cs="宋体"/>
          <w:color w:val="auto"/>
          <w:kern w:val="0"/>
          <w:szCs w:val="21"/>
        </w:rPr>
        <w:t>3.</w:t>
      </w:r>
      <w:r>
        <w:rPr>
          <w:rFonts w:hint="eastAsia" w:ascii="宋体" w:hAnsi="宋体" w:cs="宋体"/>
          <w:color w:val="auto"/>
          <w:kern w:val="0"/>
          <w:szCs w:val="21"/>
        </w:rPr>
        <w:t>依据《政府采购促进中小企业发展管理办法》（财库〔2020〕46号）规定享受扶持政策获得政府采购合同的，小微企业不得将合同分包给大中型企业，中型企业不得将合同分包给大型企业。</w:t>
      </w:r>
    </w:p>
    <w:p>
      <w:pPr>
        <w:spacing w:line="406" w:lineRule="exact"/>
        <w:ind w:firstLine="211" w:firstLineChars="100"/>
        <w:rPr>
          <w:b/>
          <w:bCs/>
          <w:color w:val="auto"/>
        </w:rPr>
      </w:pPr>
      <w:bookmarkStart w:id="94" w:name="_Toc254970673"/>
      <w:bookmarkStart w:id="95" w:name="_Toc254970532"/>
      <w:bookmarkStart w:id="96" w:name="_Toc353785284"/>
      <w:bookmarkStart w:id="97" w:name="_Toc352700414"/>
      <w:r>
        <w:rPr>
          <w:rFonts w:hint="eastAsia"/>
          <w:b/>
          <w:bCs/>
          <w:color w:val="auto"/>
        </w:rPr>
        <w:t>（八）特别说明</w:t>
      </w:r>
      <w:bookmarkEnd w:id="94"/>
      <w:bookmarkEnd w:id="95"/>
      <w:bookmarkEnd w:id="96"/>
      <w:bookmarkEnd w:id="97"/>
    </w:p>
    <w:p>
      <w:pPr>
        <w:pStyle w:val="23"/>
        <w:snapToGrid w:val="0"/>
        <w:spacing w:line="406" w:lineRule="exact"/>
        <w:ind w:firstLine="420"/>
        <w:rPr>
          <w:rFonts w:hAnsi="宋体"/>
          <w:color w:val="auto"/>
        </w:rPr>
      </w:pPr>
      <w:r>
        <w:rPr>
          <w:rFonts w:hAnsi="宋体"/>
          <w:color w:val="auto"/>
        </w:rPr>
        <w:t>1.</w:t>
      </w:r>
      <w:r>
        <w:rPr>
          <w:rFonts w:hint="eastAsia" w:hAnsi="宋体"/>
          <w:color w:val="auto"/>
        </w:rPr>
        <w:t>单位负责人为同一人或者存在直接控股、管理关系的不同的供应商，不得参加同一合同项下的政府采购活动，否则其响应文件将被视为无效。为采购项目提供整体设计、规范编制或者项目管理、监理、检测等服务的供应商，不得再参加该采购项目的其他采购活动。</w:t>
      </w:r>
    </w:p>
    <w:p>
      <w:pPr>
        <w:pStyle w:val="23"/>
        <w:snapToGrid w:val="0"/>
        <w:spacing w:line="406" w:lineRule="exact"/>
        <w:ind w:firstLine="420"/>
        <w:rPr>
          <w:rFonts w:hAnsi="宋体"/>
          <w:color w:val="auto"/>
        </w:rPr>
      </w:pPr>
      <w:r>
        <w:rPr>
          <w:rFonts w:hAnsi="宋体"/>
          <w:color w:val="auto"/>
        </w:rPr>
        <w:t>2.</w:t>
      </w:r>
      <w:r>
        <w:rPr>
          <w:rFonts w:hint="eastAsia" w:hAnsi="宋体"/>
          <w:color w:val="auto"/>
        </w:rPr>
        <w:t>采用竞争性磋商</w:t>
      </w:r>
      <w:r>
        <w:rPr>
          <w:rFonts w:hint="eastAsia" w:hAnsi="宋体"/>
          <w:color w:val="auto"/>
          <w:lang w:eastAsia="zh-CN"/>
        </w:rPr>
        <w:t>采购人</w:t>
      </w:r>
      <w:r>
        <w:rPr>
          <w:rFonts w:hint="eastAsia" w:hAnsi="宋体"/>
          <w:color w:val="auto"/>
        </w:rPr>
        <w:t>式采购的政府购买服务项目(含政府和社会资本合作项目)，在采购过程中符合要求的供应商(社会资本)只有2家的，竞争性磋商采购活动可以继续进行。采购过程中符合要求的供应商(社会资本)只有1家的，本中心将终止竞争性磋商采购活动，发布项目终止公告并说明原因，重新开展采购活动。</w:t>
      </w:r>
    </w:p>
    <w:p>
      <w:pPr>
        <w:spacing w:line="406" w:lineRule="exact"/>
        <w:ind w:firstLine="211" w:firstLineChars="100"/>
        <w:rPr>
          <w:b/>
          <w:bCs/>
          <w:color w:val="auto"/>
        </w:rPr>
      </w:pPr>
      <w:bookmarkStart w:id="98" w:name="_Toc352700415"/>
      <w:bookmarkStart w:id="99" w:name="_Toc254970533"/>
      <w:bookmarkStart w:id="100" w:name="_Toc254970674"/>
      <w:bookmarkStart w:id="101" w:name="_Toc353785285"/>
      <w:r>
        <w:rPr>
          <w:rFonts w:hint="eastAsia"/>
          <w:b/>
          <w:bCs/>
          <w:color w:val="auto"/>
        </w:rPr>
        <w:t>（九）询问、质疑和投诉</w:t>
      </w:r>
      <w:bookmarkEnd w:id="98"/>
      <w:bookmarkEnd w:id="99"/>
      <w:bookmarkEnd w:id="100"/>
      <w:bookmarkEnd w:id="101"/>
    </w:p>
    <w:p>
      <w:pPr>
        <w:pStyle w:val="23"/>
        <w:snapToGrid w:val="0"/>
        <w:spacing w:line="406" w:lineRule="exact"/>
        <w:ind w:firstLine="420"/>
        <w:rPr>
          <w:rFonts w:hAnsi="宋体"/>
          <w:bCs/>
          <w:color w:val="auto"/>
        </w:rPr>
      </w:pPr>
      <w:r>
        <w:rPr>
          <w:rFonts w:hAnsi="宋体"/>
          <w:bCs/>
          <w:color w:val="auto"/>
        </w:rPr>
        <w:t>1.</w:t>
      </w:r>
      <w:r>
        <w:rPr>
          <w:rFonts w:hint="eastAsia" w:ascii="Arial" w:hAnsi="Arial" w:cs="Arial"/>
          <w:color w:val="auto"/>
          <w:kern w:val="0"/>
        </w:rPr>
        <w:t>供应商</w:t>
      </w:r>
      <w:r>
        <w:rPr>
          <w:rFonts w:ascii="Arial" w:hAnsi="Arial" w:cs="Arial"/>
          <w:color w:val="auto"/>
          <w:kern w:val="0"/>
        </w:rPr>
        <w:t>对政府采购活动事项有疑问的，可以向采购人</w:t>
      </w:r>
      <w:r>
        <w:rPr>
          <w:rFonts w:hint="eastAsia" w:ascii="Arial" w:hAnsi="Arial" w:cs="Arial"/>
          <w:color w:val="auto"/>
          <w:kern w:val="0"/>
        </w:rPr>
        <w:t>或本中心</w:t>
      </w:r>
      <w:r>
        <w:rPr>
          <w:rFonts w:ascii="Arial" w:hAnsi="Arial" w:cs="Arial"/>
          <w:color w:val="auto"/>
          <w:kern w:val="0"/>
        </w:rPr>
        <w:t>提出询问，采购人</w:t>
      </w:r>
      <w:r>
        <w:rPr>
          <w:rFonts w:hint="eastAsia" w:ascii="Arial" w:hAnsi="Arial" w:cs="Arial"/>
          <w:color w:val="auto"/>
          <w:kern w:val="0"/>
        </w:rPr>
        <w:t>或本中心</w:t>
      </w:r>
      <w:r>
        <w:rPr>
          <w:rFonts w:hint="eastAsia" w:ascii="Arial" w:hAnsi="Arial" w:cs="Arial"/>
          <w:color w:val="auto"/>
          <w:kern w:val="0"/>
          <w:lang w:val="en-US" w:eastAsia="zh-CN"/>
        </w:rPr>
        <w:t>应</w:t>
      </w:r>
      <w:r>
        <w:rPr>
          <w:rFonts w:hint="eastAsia" w:ascii="Arial" w:hAnsi="Arial" w:cs="Arial"/>
          <w:color w:val="auto"/>
          <w:kern w:val="0"/>
        </w:rPr>
        <w:t>当在3个工作日内对供应商依法提出的询问作出答复</w:t>
      </w:r>
      <w:r>
        <w:rPr>
          <w:rFonts w:ascii="Arial" w:hAnsi="Arial" w:cs="Arial"/>
          <w:color w:val="auto"/>
          <w:kern w:val="0"/>
        </w:rPr>
        <w:t>，但答复的内容不得涉及商业秘密。</w:t>
      </w:r>
    </w:p>
    <w:p>
      <w:pPr>
        <w:pStyle w:val="23"/>
        <w:snapToGrid w:val="0"/>
        <w:spacing w:line="406" w:lineRule="exact"/>
        <w:ind w:firstLine="420"/>
        <w:rPr>
          <w:rFonts w:hAnsi="宋体"/>
          <w:bCs/>
          <w:color w:val="auto"/>
        </w:rPr>
      </w:pPr>
      <w:r>
        <w:rPr>
          <w:rFonts w:hAnsi="宋体"/>
          <w:bCs/>
          <w:color w:val="auto"/>
        </w:rPr>
        <w:t>2.</w:t>
      </w:r>
      <w:r>
        <w:rPr>
          <w:rFonts w:hint="eastAsia" w:hAnsi="宋体"/>
          <w:bCs/>
          <w:color w:val="auto"/>
        </w:rPr>
        <w:t>供应商认为采购文件、采购过程或成交结果使自己的合法权益受到损害的，</w:t>
      </w:r>
      <w:r>
        <w:rPr>
          <w:rFonts w:hAnsi="宋体"/>
          <w:bCs/>
          <w:color w:val="auto"/>
        </w:rPr>
        <w:t>可以在知道或者应知其权益受到损害之日起7个工作日内</w:t>
      </w:r>
      <w:r>
        <w:rPr>
          <w:rFonts w:hint="eastAsia" w:hAnsi="宋体"/>
          <w:bCs/>
          <w:color w:val="auto"/>
        </w:rPr>
        <w:t>，</w:t>
      </w:r>
      <w:r>
        <w:rPr>
          <w:rFonts w:cs="Arial"/>
          <w:color w:val="auto"/>
        </w:rPr>
        <w:t>以书面形式(</w:t>
      </w:r>
      <w:r>
        <w:rPr>
          <w:rFonts w:hint="eastAsia" w:cs="Arial"/>
          <w:color w:val="auto"/>
        </w:rPr>
        <w:t>政采云平台</w:t>
      </w:r>
      <w:r>
        <w:rPr>
          <w:rFonts w:cs="Arial"/>
          <w:color w:val="auto"/>
        </w:rPr>
        <w:t>)</w:t>
      </w:r>
      <w:r>
        <w:rPr>
          <w:rFonts w:hint="eastAsia" w:cs="Arial"/>
          <w:color w:val="auto"/>
        </w:rPr>
        <w:t>向</w:t>
      </w:r>
      <w:r>
        <w:rPr>
          <w:rFonts w:cs="Arial"/>
          <w:color w:val="auto"/>
        </w:rPr>
        <w:t>采购人、</w:t>
      </w:r>
      <w:r>
        <w:rPr>
          <w:rFonts w:hint="eastAsia" w:cs="Arial"/>
          <w:color w:val="auto"/>
        </w:rPr>
        <w:t>本中心</w:t>
      </w:r>
      <w:r>
        <w:rPr>
          <w:rFonts w:cs="Arial"/>
          <w:color w:val="auto"/>
        </w:rPr>
        <w:t>提出质疑。</w:t>
      </w:r>
      <w:r>
        <w:rPr>
          <w:rFonts w:hint="eastAsia" w:hAnsi="宋体"/>
          <w:bCs/>
          <w:color w:val="auto"/>
        </w:rPr>
        <w:t>供应商必须在法定质疑期内一次性提出针对同一采购程序环节的质疑。</w:t>
      </w:r>
      <w:r>
        <w:rPr>
          <w:rFonts w:hint="eastAsia" w:hAnsi="宋体" w:cs="宋体"/>
          <w:color w:val="auto"/>
        </w:rPr>
        <w:t>供应商应知其权益受到损害之日，是指：</w:t>
      </w:r>
    </w:p>
    <w:p>
      <w:pPr>
        <w:pStyle w:val="23"/>
        <w:adjustRightInd w:val="0"/>
        <w:snapToGrid w:val="0"/>
        <w:spacing w:line="406" w:lineRule="exact"/>
        <w:ind w:firstLine="308" w:firstLineChars="147"/>
        <w:rPr>
          <w:rFonts w:hAnsi="宋体"/>
          <w:bCs/>
          <w:color w:val="auto"/>
        </w:rPr>
      </w:pPr>
      <w:r>
        <w:rPr>
          <w:rFonts w:hint="eastAsia" w:hAnsi="宋体"/>
          <w:bCs/>
          <w:color w:val="auto"/>
        </w:rPr>
        <w:t>(</w:t>
      </w:r>
      <w:r>
        <w:rPr>
          <w:rFonts w:hAnsi="宋体"/>
          <w:bCs/>
          <w:color w:val="auto"/>
        </w:rPr>
        <w:t>1)</w:t>
      </w:r>
      <w:r>
        <w:rPr>
          <w:rFonts w:hint="eastAsia" w:hAnsi="宋体"/>
          <w:bCs/>
          <w:color w:val="auto"/>
        </w:rPr>
        <w:t>对采购文件提出质疑的，为获取采购文件之日；</w:t>
      </w:r>
    </w:p>
    <w:p>
      <w:pPr>
        <w:pStyle w:val="23"/>
        <w:adjustRightInd w:val="0"/>
        <w:snapToGrid w:val="0"/>
        <w:spacing w:line="406" w:lineRule="exact"/>
        <w:ind w:firstLine="308" w:firstLineChars="147"/>
        <w:rPr>
          <w:rFonts w:hAnsi="宋体"/>
          <w:bCs/>
          <w:color w:val="auto"/>
        </w:rPr>
      </w:pPr>
      <w:r>
        <w:rPr>
          <w:rFonts w:hint="eastAsia" w:hAnsi="宋体"/>
          <w:bCs/>
          <w:color w:val="auto"/>
        </w:rPr>
        <w:t>(</w:t>
      </w:r>
      <w:r>
        <w:rPr>
          <w:rFonts w:hAnsi="宋体"/>
          <w:bCs/>
          <w:color w:val="auto"/>
        </w:rPr>
        <w:t>2)</w:t>
      </w:r>
      <w:r>
        <w:rPr>
          <w:rFonts w:hint="eastAsia" w:hAnsi="宋体"/>
          <w:bCs/>
          <w:color w:val="auto"/>
        </w:rPr>
        <w:t>对采购过程提出质疑的，为各采购程序环节结束之日；</w:t>
      </w:r>
    </w:p>
    <w:p>
      <w:pPr>
        <w:widowControl/>
        <w:adjustRightInd w:val="0"/>
        <w:snapToGrid w:val="0"/>
        <w:spacing w:line="406" w:lineRule="exact"/>
        <w:ind w:firstLine="102" w:firstLineChars="49"/>
        <w:jc w:val="left"/>
        <w:rPr>
          <w:rFonts w:ascii="宋体" w:hAnsi="宋体" w:cs="Courier New"/>
          <w:bCs/>
          <w:color w:val="auto"/>
          <w:szCs w:val="21"/>
        </w:rPr>
      </w:pPr>
      <w:r>
        <w:rPr>
          <w:rFonts w:hint="eastAsia" w:ascii="宋体" w:hAnsi="宋体" w:cs="Courier New"/>
          <w:bCs/>
          <w:color w:val="auto"/>
          <w:szCs w:val="21"/>
        </w:rPr>
        <w:t xml:space="preserve">  (</w:t>
      </w:r>
      <w:r>
        <w:rPr>
          <w:rFonts w:ascii="宋体" w:hAnsi="宋体" w:cs="Courier New"/>
          <w:bCs/>
          <w:color w:val="auto"/>
          <w:szCs w:val="21"/>
        </w:rPr>
        <w:t>3)</w:t>
      </w:r>
      <w:r>
        <w:rPr>
          <w:rFonts w:hint="eastAsia" w:ascii="宋体" w:hAnsi="宋体" w:cs="Courier New"/>
          <w:bCs/>
          <w:color w:val="auto"/>
          <w:szCs w:val="21"/>
        </w:rPr>
        <w:t>对成交结果提出质疑的，为成交结果公告期限届满之日。</w:t>
      </w:r>
    </w:p>
    <w:p>
      <w:pPr>
        <w:widowControl/>
        <w:adjustRightInd w:val="0"/>
        <w:snapToGrid w:val="0"/>
        <w:spacing w:line="406" w:lineRule="exact"/>
        <w:ind w:firstLine="420"/>
        <w:jc w:val="left"/>
        <w:rPr>
          <w:rFonts w:ascii="宋体" w:hAnsi="宋体" w:cs="Courier New"/>
          <w:bCs/>
          <w:color w:val="auto"/>
          <w:szCs w:val="21"/>
        </w:rPr>
      </w:pPr>
      <w:r>
        <w:rPr>
          <w:rFonts w:ascii="宋体" w:hAnsi="宋体" w:cs="Courier New"/>
          <w:bCs/>
          <w:color w:val="auto"/>
          <w:szCs w:val="21"/>
        </w:rPr>
        <w:t>3.</w:t>
      </w:r>
      <w:r>
        <w:rPr>
          <w:rFonts w:hint="eastAsia" w:hAnsi="宋体"/>
          <w:color w:val="auto"/>
        </w:rPr>
        <w:t>供应商对采购人、本中心质疑答复不满意或者采购人、本中心未在规定时间内作出答复的，可以在答复期满后十五个工作日内向同级采购监管部门投诉。</w:t>
      </w:r>
    </w:p>
    <w:p>
      <w:pPr>
        <w:pStyle w:val="23"/>
        <w:snapToGrid w:val="0"/>
        <w:spacing w:line="406" w:lineRule="exact"/>
        <w:ind w:firstLine="420"/>
        <w:rPr>
          <w:rFonts w:hAnsi="宋体"/>
          <w:bCs/>
          <w:color w:val="auto"/>
        </w:rPr>
      </w:pPr>
      <w:r>
        <w:rPr>
          <w:rFonts w:hAnsi="宋体"/>
          <w:bCs/>
          <w:color w:val="auto"/>
        </w:rPr>
        <w:t>4.</w:t>
      </w:r>
      <w:r>
        <w:rPr>
          <w:rFonts w:hint="eastAsia" w:hAnsi="宋体"/>
          <w:bCs/>
          <w:color w:val="auto"/>
        </w:rPr>
        <w:t>质疑、投诉应当采用书面形式，质疑书、投诉书均应明确阐述采购文件、采购过程或成交结果中使自己合法权益受到损害的实质性内容，提供相关事实、依据和证据及其来源或线索，便于有关单位调查、答复和处理。（质疑、投诉不接受传真形式）</w:t>
      </w:r>
    </w:p>
    <w:p>
      <w:pPr>
        <w:spacing w:line="406" w:lineRule="exact"/>
        <w:ind w:firstLine="420"/>
        <w:rPr>
          <w:color w:val="auto"/>
        </w:rPr>
      </w:pPr>
      <w:r>
        <w:rPr>
          <w:rFonts w:hint="eastAsia"/>
          <w:color w:val="auto"/>
        </w:rPr>
        <w:t>质疑部门联系方式：钦州市政府采购中心    0777-288600</w:t>
      </w:r>
      <w:r>
        <w:rPr>
          <w:color w:val="auto"/>
        </w:rPr>
        <w:t>2</w:t>
      </w:r>
    </w:p>
    <w:p>
      <w:pPr>
        <w:spacing w:line="406" w:lineRule="exact"/>
        <w:ind w:firstLine="420"/>
        <w:rPr>
          <w:rFonts w:hint="default" w:eastAsia="宋体"/>
          <w:color w:val="auto"/>
          <w:lang w:val="en-US" w:eastAsia="zh-CN"/>
        </w:rPr>
      </w:pPr>
      <w:r>
        <w:rPr>
          <w:rFonts w:hint="eastAsia"/>
          <w:color w:val="auto"/>
        </w:rPr>
        <w:t>采购监管部门联系方式：</w:t>
      </w:r>
      <w:r>
        <w:rPr>
          <w:rFonts w:hint="eastAsia"/>
          <w:color w:val="auto"/>
          <w:lang w:val="en-US" w:eastAsia="zh-CN"/>
        </w:rPr>
        <w:t>钦州市财政局</w:t>
      </w:r>
      <w:r>
        <w:rPr>
          <w:rFonts w:hint="eastAsia"/>
          <w:color w:val="auto"/>
        </w:rPr>
        <w:t xml:space="preserve">   </w:t>
      </w:r>
      <w:r>
        <w:rPr>
          <w:rFonts w:hint="eastAsia"/>
          <w:color w:val="auto"/>
          <w:lang w:val="en-US" w:eastAsia="zh-CN"/>
        </w:rPr>
        <w:t xml:space="preserve">   </w:t>
      </w:r>
      <w:r>
        <w:rPr>
          <w:rFonts w:hint="eastAsia"/>
          <w:color w:val="auto"/>
        </w:rPr>
        <w:t>077</w:t>
      </w:r>
      <w:r>
        <w:rPr>
          <w:rFonts w:hint="eastAsia"/>
          <w:color w:val="auto"/>
          <w:lang w:val="en-US" w:eastAsia="zh-CN"/>
        </w:rPr>
        <w:t>7</w:t>
      </w:r>
      <w:r>
        <w:rPr>
          <w:rFonts w:hint="eastAsia"/>
          <w:color w:val="auto"/>
        </w:rPr>
        <w:t>-</w:t>
      </w:r>
      <w:r>
        <w:rPr>
          <w:rFonts w:hint="eastAsia"/>
          <w:color w:val="auto"/>
          <w:lang w:val="en-US" w:eastAsia="zh-CN"/>
        </w:rPr>
        <w:t>2895258</w:t>
      </w:r>
    </w:p>
    <w:p>
      <w:pPr>
        <w:spacing w:line="406" w:lineRule="exact"/>
        <w:ind w:firstLine="211" w:firstLineChars="100"/>
        <w:rPr>
          <w:b/>
          <w:bCs/>
          <w:color w:val="auto"/>
        </w:rPr>
      </w:pPr>
      <w:r>
        <w:rPr>
          <w:rFonts w:hint="eastAsia"/>
          <w:b/>
          <w:bCs/>
          <w:color w:val="auto"/>
        </w:rPr>
        <w:t xml:space="preserve">（十）查询媒体 </w:t>
      </w:r>
      <w:r>
        <w:rPr>
          <w:rFonts w:hint="eastAsia"/>
          <w:color w:val="auto"/>
        </w:rPr>
        <w:t>中国政府采购网、</w:t>
      </w:r>
      <w:r>
        <w:rPr>
          <w:color w:val="auto"/>
        </w:rPr>
        <w:fldChar w:fldCharType="begin"/>
      </w:r>
      <w:r>
        <w:rPr>
          <w:color w:val="auto"/>
        </w:rPr>
        <w:instrText xml:space="preserve"> HYPERLINK "http://zfcg.gxzf.gov.cn/" </w:instrText>
      </w:r>
      <w:r>
        <w:rPr>
          <w:color w:val="auto"/>
        </w:rPr>
        <w:fldChar w:fldCharType="separate"/>
      </w:r>
      <w:r>
        <w:rPr>
          <w:rStyle w:val="46"/>
          <w:rFonts w:hint="eastAsia" w:hAnsi="宋体"/>
          <w:color w:val="auto"/>
          <w:u w:val="none"/>
        </w:rPr>
        <w:t>广西政府采购网</w:t>
      </w:r>
      <w:r>
        <w:rPr>
          <w:rStyle w:val="46"/>
          <w:rFonts w:hint="eastAsia" w:hAnsi="宋体"/>
          <w:color w:val="auto"/>
          <w:u w:val="none"/>
        </w:rPr>
        <w:fldChar w:fldCharType="end"/>
      </w:r>
      <w:r>
        <w:rPr>
          <w:rFonts w:hint="eastAsia" w:hAnsi="宋体"/>
          <w:color w:val="auto"/>
        </w:rPr>
        <w:t>。</w:t>
      </w:r>
    </w:p>
    <w:p>
      <w:pPr>
        <w:pStyle w:val="2"/>
        <w:spacing w:line="406" w:lineRule="exact"/>
        <w:rPr>
          <w:color w:val="auto"/>
        </w:rPr>
      </w:pPr>
      <w:bookmarkStart w:id="102" w:name="_Toc353785286"/>
      <w:bookmarkStart w:id="103" w:name="_Toc352700416"/>
      <w:r>
        <w:rPr>
          <w:rFonts w:hint="eastAsia"/>
          <w:color w:val="auto"/>
        </w:rPr>
        <w:t>二、竞争性磋商采购文件</w:t>
      </w:r>
      <w:bookmarkEnd w:id="102"/>
      <w:bookmarkEnd w:id="103"/>
    </w:p>
    <w:p>
      <w:pPr>
        <w:spacing w:line="406" w:lineRule="exact"/>
        <w:ind w:firstLine="211" w:firstLineChars="100"/>
        <w:rPr>
          <w:b/>
          <w:bCs/>
          <w:color w:val="auto"/>
        </w:rPr>
      </w:pPr>
      <w:bookmarkStart w:id="104" w:name="_Toc353785287"/>
      <w:bookmarkStart w:id="105" w:name="_Toc352700417"/>
      <w:r>
        <w:rPr>
          <w:rFonts w:hint="eastAsia"/>
          <w:b/>
          <w:bCs/>
          <w:color w:val="auto"/>
        </w:rPr>
        <w:t>（一）竞争性磋商采购文件的组成</w:t>
      </w:r>
      <w:bookmarkEnd w:id="104"/>
      <w:bookmarkEnd w:id="105"/>
    </w:p>
    <w:p>
      <w:pPr>
        <w:pStyle w:val="23"/>
        <w:snapToGrid w:val="0"/>
        <w:spacing w:line="406" w:lineRule="exact"/>
        <w:ind w:firstLine="420" w:firstLineChars="200"/>
        <w:rPr>
          <w:rFonts w:hAnsi="宋体"/>
          <w:color w:val="auto"/>
        </w:rPr>
      </w:pPr>
      <w:r>
        <w:rPr>
          <w:rFonts w:hint="eastAsia" w:hAnsi="宋体"/>
          <w:color w:val="auto"/>
        </w:rPr>
        <w:t>第一章 竞争性磋商公告</w:t>
      </w:r>
    </w:p>
    <w:p>
      <w:pPr>
        <w:pStyle w:val="23"/>
        <w:snapToGrid w:val="0"/>
        <w:spacing w:line="406" w:lineRule="exact"/>
        <w:ind w:firstLine="420" w:firstLineChars="200"/>
        <w:rPr>
          <w:rFonts w:hAnsi="宋体"/>
          <w:color w:val="auto"/>
        </w:rPr>
      </w:pPr>
      <w:r>
        <w:rPr>
          <w:rFonts w:hint="eastAsia" w:hAnsi="宋体"/>
          <w:color w:val="auto"/>
        </w:rPr>
        <w:t>第二章 项目需求</w:t>
      </w:r>
    </w:p>
    <w:p>
      <w:pPr>
        <w:pStyle w:val="23"/>
        <w:snapToGrid w:val="0"/>
        <w:spacing w:line="406" w:lineRule="exact"/>
        <w:ind w:firstLine="420" w:firstLineChars="200"/>
        <w:rPr>
          <w:rFonts w:hAnsi="宋体"/>
          <w:color w:val="auto"/>
        </w:rPr>
      </w:pPr>
      <w:r>
        <w:rPr>
          <w:rFonts w:hint="eastAsia" w:hAnsi="宋体"/>
          <w:color w:val="auto"/>
        </w:rPr>
        <w:t>第三章 供应商须知</w:t>
      </w:r>
    </w:p>
    <w:p>
      <w:pPr>
        <w:pStyle w:val="23"/>
        <w:snapToGrid w:val="0"/>
        <w:spacing w:line="406" w:lineRule="exact"/>
        <w:ind w:firstLine="420" w:firstLineChars="200"/>
        <w:rPr>
          <w:rFonts w:hAnsi="宋体"/>
          <w:color w:val="auto"/>
        </w:rPr>
      </w:pPr>
      <w:r>
        <w:rPr>
          <w:rFonts w:hint="eastAsia" w:hAnsi="宋体"/>
          <w:color w:val="auto"/>
        </w:rPr>
        <w:t>第四章 评定标准及推荐原则</w:t>
      </w:r>
    </w:p>
    <w:p>
      <w:pPr>
        <w:pStyle w:val="23"/>
        <w:snapToGrid w:val="0"/>
        <w:spacing w:line="406" w:lineRule="exact"/>
        <w:ind w:firstLine="420" w:firstLineChars="200"/>
        <w:rPr>
          <w:rFonts w:hAnsi="宋体"/>
          <w:color w:val="auto"/>
        </w:rPr>
      </w:pPr>
      <w:r>
        <w:rPr>
          <w:rFonts w:hint="eastAsia" w:hAnsi="宋体"/>
          <w:color w:val="auto"/>
        </w:rPr>
        <w:t>第五章 合同文本</w:t>
      </w:r>
    </w:p>
    <w:p>
      <w:pPr>
        <w:pStyle w:val="23"/>
        <w:snapToGrid w:val="0"/>
        <w:spacing w:line="406" w:lineRule="exact"/>
        <w:ind w:firstLine="420" w:firstLineChars="200"/>
        <w:rPr>
          <w:rFonts w:hAnsi="宋体"/>
          <w:color w:val="auto"/>
        </w:rPr>
      </w:pPr>
      <w:r>
        <w:rPr>
          <w:rFonts w:hint="eastAsia" w:hAnsi="宋体"/>
          <w:color w:val="auto"/>
        </w:rPr>
        <w:t>第六章 响应文件格式</w:t>
      </w:r>
    </w:p>
    <w:p>
      <w:pPr>
        <w:spacing w:line="406" w:lineRule="exact"/>
        <w:ind w:firstLine="211" w:firstLineChars="100"/>
        <w:rPr>
          <w:b/>
          <w:bCs/>
          <w:color w:val="auto"/>
        </w:rPr>
      </w:pPr>
      <w:bookmarkStart w:id="106" w:name="_Toc353785289"/>
      <w:bookmarkStart w:id="107" w:name="_Toc352700419"/>
      <w:r>
        <w:rPr>
          <w:rFonts w:hint="eastAsia"/>
          <w:b/>
          <w:bCs/>
          <w:color w:val="auto"/>
        </w:rPr>
        <w:t>（二）竞争性磋商采购文件的澄清与修改</w:t>
      </w:r>
      <w:bookmarkEnd w:id="106"/>
      <w:bookmarkEnd w:id="107"/>
    </w:p>
    <w:p>
      <w:pPr>
        <w:pStyle w:val="23"/>
        <w:snapToGrid w:val="0"/>
        <w:spacing w:line="406" w:lineRule="exact"/>
        <w:ind w:firstLine="420"/>
        <w:jc w:val="left"/>
        <w:rPr>
          <w:rFonts w:hAnsi="宋体"/>
          <w:color w:val="auto"/>
        </w:rPr>
      </w:pPr>
      <w:r>
        <w:rPr>
          <w:rFonts w:hint="eastAsia" w:hAnsi="宋体"/>
          <w:color w:val="auto"/>
        </w:rPr>
        <w:t>1</w:t>
      </w:r>
      <w:r>
        <w:rPr>
          <w:rFonts w:hAnsi="宋体"/>
          <w:color w:val="auto"/>
        </w:rPr>
        <w:t>.</w:t>
      </w:r>
      <w:r>
        <w:rPr>
          <w:rFonts w:hint="eastAsia" w:hAnsi="宋体"/>
          <w:color w:val="auto"/>
        </w:rPr>
        <w:t>提交首次响应文件截止之日前，采购人、本中心或者磋商小组可以对已发出的磋商文件进行必要的澄清或者修改，澄清或者修改的内容作为磋商文件的组成部分。澄清或者修改应当在原公告发布媒体上发布澄清公告。澄清或者修改的内容可能影响响应文件编制的，采购人、本中心应当在提交首次响应文件截止至少</w:t>
      </w:r>
      <w:r>
        <w:rPr>
          <w:rFonts w:hAnsi="宋体"/>
          <w:color w:val="auto"/>
        </w:rPr>
        <w:t>5</w:t>
      </w:r>
      <w:r>
        <w:rPr>
          <w:rFonts w:hint="eastAsia" w:hAnsi="宋体"/>
          <w:color w:val="auto"/>
        </w:rPr>
        <w:t>日前，以书面形式通知所有依法获取磋商文件的供应商，不足</w:t>
      </w:r>
      <w:r>
        <w:rPr>
          <w:rFonts w:hAnsi="宋体"/>
          <w:color w:val="auto"/>
        </w:rPr>
        <w:t>5</w:t>
      </w:r>
      <w:r>
        <w:rPr>
          <w:rFonts w:hint="eastAsia" w:hAnsi="宋体"/>
          <w:color w:val="auto"/>
        </w:rPr>
        <w:t>日的，采购人、本中心应当顺延提交首次响应文件截止之日。</w:t>
      </w:r>
    </w:p>
    <w:p>
      <w:pPr>
        <w:pStyle w:val="23"/>
        <w:snapToGrid w:val="0"/>
        <w:spacing w:line="406" w:lineRule="exact"/>
        <w:ind w:firstLine="420"/>
        <w:jc w:val="left"/>
        <w:rPr>
          <w:rFonts w:hAnsi="宋体"/>
          <w:color w:val="auto"/>
        </w:rPr>
      </w:pPr>
      <w:r>
        <w:rPr>
          <w:rFonts w:hint="eastAsia" w:hAnsi="宋体"/>
          <w:color w:val="auto"/>
        </w:rPr>
        <w:t>2</w:t>
      </w:r>
      <w:r>
        <w:rPr>
          <w:rFonts w:hAnsi="宋体"/>
          <w:color w:val="auto"/>
        </w:rPr>
        <w:t>.</w:t>
      </w:r>
      <w:r>
        <w:rPr>
          <w:rFonts w:hint="eastAsia" w:hAnsi="宋体"/>
          <w:color w:val="auto"/>
        </w:rPr>
        <w:t>提供期限届满后，获取磋商文件的供应商不足3家的，本中心可以顺延提供期限，并予公告。</w:t>
      </w:r>
    </w:p>
    <w:p>
      <w:pPr>
        <w:pStyle w:val="2"/>
        <w:spacing w:line="406" w:lineRule="exact"/>
        <w:rPr>
          <w:color w:val="auto"/>
        </w:rPr>
      </w:pPr>
      <w:bookmarkStart w:id="108" w:name="_三、响应文件"/>
      <w:bookmarkEnd w:id="108"/>
      <w:r>
        <w:rPr>
          <w:rFonts w:hint="eastAsia"/>
          <w:color w:val="auto"/>
        </w:rPr>
        <w:t>三、响应文件</w:t>
      </w:r>
    </w:p>
    <w:p>
      <w:pPr>
        <w:spacing w:line="406" w:lineRule="exact"/>
        <w:ind w:firstLine="211" w:firstLineChars="100"/>
        <w:rPr>
          <w:rFonts w:hAnsi="宋体"/>
          <w:b/>
          <w:bCs/>
          <w:color w:val="auto"/>
        </w:rPr>
      </w:pPr>
      <w:r>
        <w:rPr>
          <w:rFonts w:hint="eastAsia" w:hAnsi="宋体"/>
          <w:b/>
          <w:bCs/>
          <w:color w:val="auto"/>
        </w:rPr>
        <w:t>（一）供应商的风险</w:t>
      </w:r>
    </w:p>
    <w:p>
      <w:pPr>
        <w:spacing w:line="406" w:lineRule="exact"/>
        <w:ind w:firstLine="420"/>
        <w:rPr>
          <w:rFonts w:hAnsi="宋体"/>
          <w:color w:val="auto"/>
        </w:rPr>
      </w:pPr>
      <w:r>
        <w:rPr>
          <w:rFonts w:hAnsi="宋体"/>
          <w:color w:val="auto"/>
        </w:rPr>
        <w:t>1.</w:t>
      </w:r>
      <w:r>
        <w:rPr>
          <w:rFonts w:hint="eastAsia" w:hAnsi="宋体"/>
          <w:color w:val="auto"/>
        </w:rPr>
        <w:t>供应商应当按照磋商文件的要求编制响应文件，并对其提交的响应文件的真实性、合法性承担法律责任。</w:t>
      </w:r>
    </w:p>
    <w:p>
      <w:pPr>
        <w:spacing w:line="406" w:lineRule="exact"/>
        <w:ind w:firstLine="420"/>
        <w:rPr>
          <w:rFonts w:hAnsi="宋体"/>
          <w:color w:val="auto"/>
        </w:rPr>
      </w:pPr>
      <w:r>
        <w:rPr>
          <w:rFonts w:hAnsi="宋体"/>
          <w:color w:val="auto"/>
        </w:rPr>
        <w:t>2.</w:t>
      </w:r>
      <w:r>
        <w:rPr>
          <w:rFonts w:hint="eastAsia" w:hAnsi="宋体"/>
          <w:color w:val="auto"/>
        </w:rPr>
        <w:t>供应商在采购活动中提供任何虚假材料的，磋商小组将报财政部门查处。</w:t>
      </w:r>
    </w:p>
    <w:p>
      <w:pPr>
        <w:snapToGrid w:val="0"/>
        <w:spacing w:line="406" w:lineRule="exact"/>
        <w:ind w:firstLine="211" w:firstLineChars="100"/>
        <w:rPr>
          <w:rFonts w:ascii="宋体" w:hAnsi="宋体"/>
          <w:b/>
          <w:color w:val="auto"/>
          <w:szCs w:val="21"/>
        </w:rPr>
      </w:pPr>
      <w:r>
        <w:rPr>
          <w:rFonts w:hint="eastAsia" w:hAnsi="宋体"/>
          <w:b/>
          <w:bCs/>
          <w:color w:val="auto"/>
        </w:rPr>
        <w:t>（二）</w:t>
      </w:r>
      <w:r>
        <w:rPr>
          <w:rFonts w:hint="eastAsia" w:ascii="宋体" w:hAnsi="宋体"/>
          <w:b/>
          <w:color w:val="auto"/>
          <w:szCs w:val="21"/>
        </w:rPr>
        <w:t>响应文件的组成</w:t>
      </w:r>
    </w:p>
    <w:p>
      <w:pPr>
        <w:snapToGrid w:val="0"/>
        <w:spacing w:line="406" w:lineRule="exact"/>
        <w:ind w:firstLine="422"/>
        <w:rPr>
          <w:rFonts w:ascii="宋体" w:hAnsi="宋体"/>
          <w:b/>
          <w:color w:val="auto"/>
          <w:szCs w:val="21"/>
        </w:rPr>
      </w:pPr>
      <w:bookmarkStart w:id="109" w:name="_Hlk92285760"/>
      <w:r>
        <w:rPr>
          <w:rFonts w:ascii="宋体" w:hAnsi="宋体"/>
          <w:b/>
          <w:color w:val="auto"/>
          <w:szCs w:val="21"/>
        </w:rPr>
        <w:t>1.</w:t>
      </w:r>
      <w:r>
        <w:rPr>
          <w:rFonts w:hint="eastAsia" w:ascii="宋体" w:hAnsi="宋体"/>
          <w:b/>
          <w:color w:val="auto"/>
          <w:szCs w:val="21"/>
        </w:rPr>
        <w:t>资格文件：</w:t>
      </w:r>
    </w:p>
    <w:p>
      <w:pPr>
        <w:tabs>
          <w:tab w:val="left" w:pos="3870"/>
          <w:tab w:val="left" w:pos="4085"/>
        </w:tabs>
        <w:snapToGrid w:val="0"/>
        <w:spacing w:line="406" w:lineRule="exact"/>
        <w:ind w:firstLine="420"/>
        <w:rPr>
          <w:rFonts w:ascii="宋体" w:hAnsi="宋体"/>
          <w:color w:val="auto"/>
          <w:szCs w:val="21"/>
        </w:rPr>
      </w:pPr>
      <w:r>
        <w:rPr>
          <w:rFonts w:hint="eastAsia" w:ascii="宋体" w:hAnsi="宋体" w:cs="宋体"/>
          <w:bCs/>
          <w:color w:val="auto"/>
          <w:kern w:val="0"/>
          <w:szCs w:val="21"/>
        </w:rPr>
        <w:t>★</w:t>
      </w:r>
      <w:bookmarkStart w:id="110" w:name="_Hlk90369149"/>
      <w:r>
        <w:rPr>
          <w:rFonts w:hint="eastAsia" w:ascii="宋体" w:hAnsi="宋体"/>
          <w:color w:val="auto"/>
          <w:szCs w:val="21"/>
        </w:rPr>
        <w:t>(</w:t>
      </w:r>
      <w:r>
        <w:rPr>
          <w:rFonts w:ascii="宋体" w:hAnsi="宋体"/>
          <w:color w:val="auto"/>
          <w:szCs w:val="21"/>
        </w:rPr>
        <w:t>1)</w:t>
      </w:r>
      <w:r>
        <w:rPr>
          <w:rFonts w:hint="eastAsia" w:ascii="宋体" w:hAnsi="宋体"/>
          <w:color w:val="auto"/>
          <w:szCs w:val="21"/>
        </w:rPr>
        <w:t>法人或者其他组织的营业执照等证明文件</w:t>
      </w:r>
    </w:p>
    <w:bookmarkEnd w:id="110"/>
    <w:p>
      <w:pPr>
        <w:tabs>
          <w:tab w:val="left" w:pos="3870"/>
          <w:tab w:val="left" w:pos="4085"/>
        </w:tabs>
        <w:snapToGrid w:val="0"/>
        <w:spacing w:line="406" w:lineRule="exact"/>
        <w:ind w:firstLine="420"/>
        <w:rPr>
          <w:rFonts w:ascii="宋体" w:hAnsi="宋体" w:cs="宋体"/>
          <w:color w:val="auto"/>
          <w:szCs w:val="21"/>
        </w:rPr>
      </w:pPr>
      <w:r>
        <w:rPr>
          <w:rFonts w:hint="eastAsia" w:ascii="宋体" w:hAnsi="宋体" w:cs="宋体"/>
          <w:bCs/>
          <w:color w:val="auto"/>
          <w:kern w:val="0"/>
          <w:szCs w:val="21"/>
        </w:rPr>
        <w:t>★(</w:t>
      </w:r>
      <w:r>
        <w:rPr>
          <w:rFonts w:ascii="宋体" w:hAnsi="宋体" w:cs="宋体"/>
          <w:bCs/>
          <w:color w:val="auto"/>
          <w:kern w:val="0"/>
          <w:szCs w:val="21"/>
        </w:rPr>
        <w:t>2)</w:t>
      </w:r>
      <w:r>
        <w:rPr>
          <w:rFonts w:hint="eastAsia" w:ascii="宋体" w:hAnsi="宋体"/>
          <w:color w:val="auto"/>
          <w:szCs w:val="21"/>
        </w:rPr>
        <w:t>供应商具备参加政府采购活动条件的承诺书</w:t>
      </w:r>
      <w:r>
        <w:rPr>
          <w:rFonts w:hint="eastAsia" w:ascii="宋体" w:hAnsi="宋体" w:cs="宋体"/>
          <w:color w:val="auto"/>
          <w:szCs w:val="21"/>
        </w:rPr>
        <w:t>(格式见第六章</w:t>
      </w:r>
      <w:r>
        <w:rPr>
          <w:rFonts w:ascii="宋体" w:hAnsi="宋体" w:cs="宋体"/>
          <w:color w:val="auto"/>
          <w:szCs w:val="21"/>
        </w:rPr>
        <w:t>）</w:t>
      </w:r>
    </w:p>
    <w:p>
      <w:pPr>
        <w:tabs>
          <w:tab w:val="left" w:pos="3870"/>
          <w:tab w:val="left" w:pos="4085"/>
        </w:tabs>
        <w:snapToGrid w:val="0"/>
        <w:spacing w:line="406" w:lineRule="exact"/>
        <w:ind w:firstLine="420"/>
        <w:rPr>
          <w:rFonts w:hAnsi="宋体"/>
          <w:color w:val="auto"/>
          <w:spacing w:val="-4"/>
        </w:rPr>
      </w:pPr>
      <w:r>
        <w:rPr>
          <w:rFonts w:hint="eastAsia" w:ascii="宋体" w:hAnsi="宋体" w:cs="宋体"/>
          <w:bCs/>
          <w:color w:val="auto"/>
          <w:kern w:val="0"/>
          <w:szCs w:val="21"/>
        </w:rPr>
        <w:t>★(</w:t>
      </w:r>
      <w:r>
        <w:rPr>
          <w:rFonts w:ascii="宋体" w:hAnsi="宋体" w:cs="宋体"/>
          <w:bCs/>
          <w:color w:val="auto"/>
          <w:kern w:val="0"/>
          <w:szCs w:val="21"/>
        </w:rPr>
        <w:t>3)</w:t>
      </w:r>
      <w:r>
        <w:rPr>
          <w:rFonts w:hint="eastAsia" w:hAnsi="宋体"/>
          <w:color w:val="auto"/>
          <w:spacing w:val="-4"/>
        </w:rPr>
        <w:t>参加政府采购活动前3年内在经营活动中没有重大违法记录的书面声明</w:t>
      </w:r>
      <w:bookmarkStart w:id="111" w:name="_Hlk108683109"/>
      <w:r>
        <w:rPr>
          <w:rFonts w:hint="eastAsia" w:hAnsi="宋体"/>
          <w:color w:val="auto"/>
          <w:spacing w:val="-4"/>
        </w:rPr>
        <w:t>(格式见第六章)</w:t>
      </w:r>
      <w:bookmarkEnd w:id="111"/>
    </w:p>
    <w:p>
      <w:pPr>
        <w:tabs>
          <w:tab w:val="left" w:pos="3870"/>
          <w:tab w:val="left" w:pos="4085"/>
        </w:tabs>
        <w:snapToGrid w:val="0"/>
        <w:spacing w:line="406" w:lineRule="exact"/>
        <w:ind w:firstLine="420"/>
        <w:rPr>
          <w:rFonts w:ascii="宋体" w:hAnsi="宋体" w:cs="宋体"/>
          <w:bCs/>
          <w:color w:val="auto"/>
          <w:kern w:val="0"/>
          <w:szCs w:val="21"/>
        </w:rPr>
      </w:pPr>
      <w:bookmarkStart w:id="112" w:name="_Hlk111726071"/>
      <w:r>
        <w:rPr>
          <w:rFonts w:hint="eastAsia" w:ascii="宋体" w:hAnsi="宋体" w:cs="宋体"/>
          <w:bCs/>
          <w:color w:val="auto"/>
          <w:kern w:val="0"/>
          <w:szCs w:val="21"/>
        </w:rPr>
        <w:t>★(</w:t>
      </w:r>
      <w:r>
        <w:rPr>
          <w:rFonts w:ascii="宋体" w:hAnsi="宋体" w:cs="宋体"/>
          <w:bCs/>
          <w:color w:val="auto"/>
          <w:kern w:val="0"/>
          <w:szCs w:val="21"/>
        </w:rPr>
        <w:t>4)</w:t>
      </w:r>
      <w:bookmarkStart w:id="113" w:name="OLE_LINK6"/>
      <w:r>
        <w:rPr>
          <w:rFonts w:hint="eastAsia" w:ascii="宋体" w:hAnsi="宋体" w:cs="宋体"/>
          <w:color w:val="auto"/>
          <w:szCs w:val="21"/>
        </w:rPr>
        <w:t>《中小企业声明函》（属于残疾人福利性单位的提供残疾人福利性单位声明函，属于监狱企业的提供由省级以上监狱管理局、戒毒管理局（含新疆生产建设兵团）出具的属于监狱企业的证明文件）(格式见第六章)</w:t>
      </w:r>
    </w:p>
    <w:bookmarkEnd w:id="112"/>
    <w:bookmarkEnd w:id="113"/>
    <w:p>
      <w:pPr>
        <w:snapToGrid w:val="0"/>
        <w:spacing w:line="406" w:lineRule="exact"/>
        <w:ind w:firstLine="422"/>
        <w:rPr>
          <w:rFonts w:ascii="宋体" w:hAnsi="宋体"/>
          <w:b/>
          <w:color w:val="auto"/>
          <w:szCs w:val="21"/>
        </w:rPr>
      </w:pPr>
      <w:r>
        <w:rPr>
          <w:rFonts w:ascii="宋体" w:hAnsi="宋体"/>
          <w:b/>
          <w:color w:val="auto"/>
          <w:szCs w:val="21"/>
        </w:rPr>
        <w:t>2.</w:t>
      </w:r>
      <w:r>
        <w:rPr>
          <w:rFonts w:hint="eastAsia" w:ascii="宋体" w:hAnsi="宋体"/>
          <w:b/>
          <w:color w:val="auto"/>
          <w:szCs w:val="21"/>
        </w:rPr>
        <w:t>商务技术文件：</w:t>
      </w:r>
    </w:p>
    <w:p>
      <w:pPr>
        <w:snapToGrid w:val="0"/>
        <w:spacing w:line="406" w:lineRule="exact"/>
        <w:ind w:firstLine="420" w:firstLineChars="200"/>
        <w:rPr>
          <w:rFonts w:ascii="宋体" w:hAnsi="宋体"/>
          <w:color w:val="auto"/>
          <w:szCs w:val="21"/>
        </w:rPr>
      </w:pPr>
      <w:r>
        <w:rPr>
          <w:rFonts w:hint="eastAsia" w:ascii="宋体" w:hAnsi="宋体" w:cs="宋体"/>
          <w:bCs/>
          <w:color w:val="auto"/>
          <w:kern w:val="0"/>
          <w:szCs w:val="21"/>
        </w:rPr>
        <w:t>★</w:t>
      </w:r>
      <w:r>
        <w:rPr>
          <w:rFonts w:hint="eastAsia" w:ascii="宋体" w:hAnsi="宋体"/>
          <w:color w:val="auto"/>
          <w:szCs w:val="21"/>
        </w:rPr>
        <w:t>(</w:t>
      </w:r>
      <w:r>
        <w:rPr>
          <w:rFonts w:hint="eastAsia" w:ascii="宋体" w:hAnsi="宋体"/>
          <w:color w:val="auto"/>
          <w:szCs w:val="21"/>
          <w:lang w:val="en-US" w:eastAsia="zh-CN"/>
        </w:rPr>
        <w:t>1</w:t>
      </w:r>
      <w:r>
        <w:rPr>
          <w:rFonts w:ascii="宋体" w:hAnsi="宋体"/>
          <w:color w:val="auto"/>
          <w:szCs w:val="21"/>
        </w:rPr>
        <w:t>)</w:t>
      </w:r>
      <w:r>
        <w:rPr>
          <w:rFonts w:hint="eastAsia" w:ascii="宋体" w:hAnsi="宋体"/>
          <w:color w:val="auto"/>
          <w:szCs w:val="21"/>
        </w:rPr>
        <w:t>磋商函（格式见第六章）</w:t>
      </w:r>
    </w:p>
    <w:p>
      <w:pPr>
        <w:tabs>
          <w:tab w:val="left" w:pos="3870"/>
          <w:tab w:val="left" w:pos="4085"/>
        </w:tabs>
        <w:snapToGrid w:val="0"/>
        <w:spacing w:line="406" w:lineRule="exact"/>
        <w:ind w:firstLine="420" w:firstLineChars="200"/>
        <w:rPr>
          <w:rFonts w:ascii="宋体" w:hAnsi="宋体"/>
          <w:color w:val="auto"/>
          <w:szCs w:val="21"/>
        </w:rPr>
      </w:pPr>
      <w:r>
        <w:rPr>
          <w:rFonts w:hint="eastAsia" w:ascii="宋体" w:hAnsi="宋体" w:cs="宋体"/>
          <w:bCs/>
          <w:color w:val="auto"/>
          <w:kern w:val="0"/>
          <w:szCs w:val="21"/>
        </w:rPr>
        <w:t>★</w:t>
      </w:r>
      <w:r>
        <w:rPr>
          <w:rFonts w:hint="eastAsia" w:ascii="宋体" w:hAnsi="宋体"/>
          <w:color w:val="auto"/>
          <w:szCs w:val="21"/>
        </w:rPr>
        <w:t>(</w:t>
      </w:r>
      <w:r>
        <w:rPr>
          <w:rFonts w:hint="eastAsia" w:ascii="宋体" w:hAnsi="宋体"/>
          <w:color w:val="auto"/>
          <w:szCs w:val="21"/>
          <w:lang w:val="en-US" w:eastAsia="zh-CN"/>
        </w:rPr>
        <w:t>2</w:t>
      </w:r>
      <w:r>
        <w:rPr>
          <w:rFonts w:ascii="宋体" w:hAnsi="宋体"/>
          <w:color w:val="auto"/>
          <w:szCs w:val="21"/>
        </w:rPr>
        <w:t>)</w:t>
      </w:r>
      <w:r>
        <w:rPr>
          <w:rFonts w:hint="eastAsia" w:ascii="宋体" w:hAnsi="宋体"/>
          <w:color w:val="auto"/>
          <w:szCs w:val="21"/>
        </w:rPr>
        <w:t>法定代表人身份证</w:t>
      </w:r>
    </w:p>
    <w:p>
      <w:pPr>
        <w:tabs>
          <w:tab w:val="left" w:pos="3870"/>
          <w:tab w:val="left" w:pos="4085"/>
        </w:tabs>
        <w:snapToGrid w:val="0"/>
        <w:spacing w:line="406" w:lineRule="exact"/>
        <w:ind w:firstLine="420" w:firstLineChars="200"/>
        <w:rPr>
          <w:rFonts w:ascii="宋体" w:hAnsi="宋体"/>
          <w:color w:val="auto"/>
          <w:szCs w:val="21"/>
        </w:rPr>
      </w:pPr>
      <w:r>
        <w:rPr>
          <w:rFonts w:hint="eastAsia" w:ascii="宋体" w:hAnsi="宋体"/>
          <w:color w:val="auto"/>
          <w:szCs w:val="21"/>
        </w:rPr>
        <w:t>★(</w:t>
      </w:r>
      <w:r>
        <w:rPr>
          <w:rFonts w:hint="eastAsia" w:ascii="宋体" w:hAnsi="宋体"/>
          <w:color w:val="auto"/>
          <w:szCs w:val="21"/>
          <w:lang w:val="en-US" w:eastAsia="zh-CN"/>
        </w:rPr>
        <w:t>3</w:t>
      </w:r>
      <w:r>
        <w:rPr>
          <w:rFonts w:ascii="宋体" w:hAnsi="宋体"/>
          <w:color w:val="auto"/>
          <w:szCs w:val="21"/>
        </w:rPr>
        <w:t>)</w:t>
      </w:r>
      <w:r>
        <w:rPr>
          <w:rFonts w:hint="eastAsia" w:ascii="宋体" w:hAnsi="宋体"/>
          <w:color w:val="auto"/>
          <w:szCs w:val="21"/>
        </w:rPr>
        <w:t>法定代表人授权委托书和代理人身份证（委托代理时必须提供，格式见第六章）</w:t>
      </w:r>
    </w:p>
    <w:p>
      <w:pPr>
        <w:snapToGrid w:val="0"/>
        <w:spacing w:line="406" w:lineRule="exact"/>
        <w:ind w:firstLine="422" w:firstLineChars="200"/>
        <w:rPr>
          <w:rFonts w:ascii="宋体" w:hAnsi="宋体"/>
          <w:color w:val="auto"/>
          <w:szCs w:val="21"/>
        </w:rPr>
      </w:pPr>
      <w:r>
        <w:rPr>
          <w:rFonts w:hint="eastAsia" w:ascii="宋体" w:hAnsi="宋体"/>
          <w:b/>
          <w:color w:val="auto"/>
          <w:szCs w:val="21"/>
        </w:rPr>
        <w:t>★</w:t>
      </w:r>
      <w:r>
        <w:rPr>
          <w:rFonts w:hint="eastAsia" w:ascii="宋体" w:hAnsi="宋体"/>
          <w:color w:val="auto"/>
          <w:szCs w:val="21"/>
        </w:rPr>
        <w:t>(</w:t>
      </w:r>
      <w:r>
        <w:rPr>
          <w:rFonts w:hint="eastAsia" w:ascii="宋体" w:hAnsi="宋体"/>
          <w:color w:val="auto"/>
          <w:szCs w:val="21"/>
          <w:lang w:val="en-US" w:eastAsia="zh-CN"/>
        </w:rPr>
        <w:t>4</w:t>
      </w:r>
      <w:r>
        <w:rPr>
          <w:rFonts w:ascii="宋体" w:hAnsi="宋体"/>
          <w:color w:val="auto"/>
          <w:szCs w:val="21"/>
        </w:rPr>
        <w:t>)</w:t>
      </w:r>
      <w:r>
        <w:rPr>
          <w:rFonts w:ascii="宋体" w:hAnsi="宋体"/>
          <w:color w:val="auto"/>
        </w:rPr>
        <w:t>商务响应表(格式见第六章)</w:t>
      </w:r>
    </w:p>
    <w:p>
      <w:pPr>
        <w:snapToGrid w:val="0"/>
        <w:spacing w:line="406" w:lineRule="exact"/>
        <w:ind w:firstLine="422" w:firstLineChars="200"/>
        <w:rPr>
          <w:rFonts w:ascii="宋体" w:hAnsi="宋体"/>
          <w:color w:val="auto"/>
        </w:rPr>
      </w:pPr>
      <w:r>
        <w:rPr>
          <w:rFonts w:hint="eastAsia" w:ascii="宋体" w:hAnsi="宋体"/>
          <w:b/>
          <w:color w:val="auto"/>
          <w:szCs w:val="21"/>
        </w:rPr>
        <w:t>★</w:t>
      </w:r>
      <w:r>
        <w:rPr>
          <w:rFonts w:hint="eastAsia" w:ascii="宋体" w:hAnsi="宋体"/>
          <w:color w:val="auto"/>
        </w:rPr>
        <w:t>(</w:t>
      </w:r>
      <w:r>
        <w:rPr>
          <w:rFonts w:hint="eastAsia" w:ascii="宋体" w:hAnsi="宋体"/>
          <w:color w:val="auto"/>
          <w:lang w:val="en-US" w:eastAsia="zh-CN"/>
        </w:rPr>
        <w:t>5</w:t>
      </w:r>
      <w:r>
        <w:rPr>
          <w:rFonts w:ascii="宋体" w:hAnsi="宋体"/>
          <w:color w:val="auto"/>
        </w:rPr>
        <w:t>)</w:t>
      </w:r>
      <w:r>
        <w:rPr>
          <w:rFonts w:hint="eastAsia" w:ascii="宋体" w:hAnsi="宋体"/>
          <w:color w:val="auto"/>
          <w:szCs w:val="21"/>
        </w:rPr>
        <w:t>技术响应表</w:t>
      </w:r>
      <w:bookmarkStart w:id="114" w:name="_Hlk92285954"/>
      <w:r>
        <w:rPr>
          <w:rFonts w:ascii="宋体" w:hAnsi="宋体"/>
          <w:color w:val="auto"/>
        </w:rPr>
        <w:t>(格式见第六章)</w:t>
      </w:r>
      <w:bookmarkEnd w:id="114"/>
    </w:p>
    <w:p>
      <w:pPr>
        <w:snapToGrid w:val="0"/>
        <w:spacing w:line="406" w:lineRule="exact"/>
        <w:ind w:firstLine="422" w:firstLineChars="200"/>
        <w:rPr>
          <w:rFonts w:hint="eastAsia" w:ascii="宋体" w:hAnsi="宋体"/>
          <w:color w:val="auto"/>
          <w:szCs w:val="21"/>
        </w:rPr>
      </w:pPr>
      <w:r>
        <w:rPr>
          <w:rFonts w:hint="eastAsia" w:ascii="宋体" w:hAnsi="宋体"/>
          <w:b/>
          <w:color w:val="auto"/>
          <w:szCs w:val="21"/>
        </w:rPr>
        <w:t>★</w:t>
      </w:r>
      <w:r>
        <w:rPr>
          <w:rFonts w:hint="eastAsia" w:ascii="宋体" w:hAnsi="宋体"/>
          <w:color w:val="auto"/>
          <w:szCs w:val="21"/>
        </w:rPr>
        <w:t>(</w:t>
      </w:r>
      <w:r>
        <w:rPr>
          <w:rFonts w:hint="eastAsia" w:ascii="宋体" w:hAnsi="宋体"/>
          <w:color w:val="auto"/>
          <w:szCs w:val="21"/>
          <w:lang w:val="en-US" w:eastAsia="zh-CN"/>
        </w:rPr>
        <w:t>6</w:t>
      </w:r>
      <w:r>
        <w:rPr>
          <w:rFonts w:hint="eastAsia" w:ascii="宋体" w:hAnsi="宋体"/>
          <w:color w:val="auto"/>
          <w:szCs w:val="21"/>
        </w:rPr>
        <w:t>)</w:t>
      </w:r>
      <w:r>
        <w:rPr>
          <w:rFonts w:hint="eastAsia" w:ascii="宋体" w:hAnsi="宋体"/>
          <w:color w:val="auto"/>
          <w:szCs w:val="21"/>
          <w:lang w:val="en-US" w:eastAsia="zh-CN"/>
        </w:rPr>
        <w:t>技术</w:t>
      </w:r>
      <w:r>
        <w:rPr>
          <w:rFonts w:hint="eastAsia" w:ascii="宋体" w:hAnsi="宋体"/>
          <w:color w:val="auto"/>
          <w:szCs w:val="21"/>
        </w:rPr>
        <w:t>方案（格式自拟）</w:t>
      </w:r>
    </w:p>
    <w:p>
      <w:pPr>
        <w:snapToGrid w:val="0"/>
        <w:spacing w:line="406" w:lineRule="exact"/>
        <w:ind w:firstLine="630" w:firstLineChars="300"/>
        <w:rPr>
          <w:rFonts w:hint="eastAsia" w:ascii="宋体" w:hAnsi="宋体"/>
          <w:color w:val="auto"/>
          <w:szCs w:val="21"/>
          <w:lang w:val="en-US" w:eastAsia="zh-CN"/>
        </w:rPr>
      </w:pPr>
      <w:r>
        <w:rPr>
          <w:rFonts w:hint="eastAsia" w:ascii="宋体" w:hAnsi="宋体"/>
          <w:color w:val="auto"/>
          <w:szCs w:val="21"/>
        </w:rPr>
        <w:t>(</w:t>
      </w:r>
      <w:r>
        <w:rPr>
          <w:rFonts w:hint="eastAsia" w:ascii="宋体" w:hAnsi="宋体"/>
          <w:color w:val="auto"/>
          <w:szCs w:val="21"/>
          <w:lang w:val="en-US" w:eastAsia="zh-CN"/>
        </w:rPr>
        <w:t>7</w:t>
      </w:r>
      <w:r>
        <w:rPr>
          <w:rFonts w:hint="eastAsia" w:ascii="宋体" w:hAnsi="宋体"/>
          <w:color w:val="auto"/>
          <w:szCs w:val="21"/>
        </w:rPr>
        <w:t>)</w:t>
      </w:r>
      <w:r>
        <w:rPr>
          <w:rFonts w:hint="eastAsia" w:ascii="宋体" w:hAnsi="宋体"/>
          <w:color w:val="auto"/>
          <w:szCs w:val="21"/>
          <w:lang w:val="en-US" w:eastAsia="zh-CN"/>
        </w:rPr>
        <w:t>项目实施人员一览表</w:t>
      </w:r>
      <w:r>
        <w:rPr>
          <w:rFonts w:ascii="宋体" w:hAnsi="宋体"/>
          <w:color w:val="auto"/>
        </w:rPr>
        <w:t>(格式见第六章)</w:t>
      </w:r>
    </w:p>
    <w:p>
      <w:pPr>
        <w:snapToGrid w:val="0"/>
        <w:spacing w:line="406" w:lineRule="exact"/>
        <w:ind w:firstLine="630" w:firstLineChars="300"/>
        <w:rPr>
          <w:color w:val="auto"/>
        </w:rPr>
      </w:pPr>
      <w:r>
        <w:rPr>
          <w:rFonts w:hint="eastAsia" w:ascii="宋体" w:hAnsi="宋体"/>
          <w:color w:val="auto"/>
          <w:szCs w:val="21"/>
        </w:rPr>
        <w:t>(</w:t>
      </w:r>
      <w:r>
        <w:rPr>
          <w:rFonts w:hint="eastAsia" w:ascii="宋体" w:hAnsi="宋体"/>
          <w:color w:val="auto"/>
          <w:szCs w:val="21"/>
          <w:lang w:val="en-US" w:eastAsia="zh-CN"/>
        </w:rPr>
        <w:t>8</w:t>
      </w:r>
      <w:r>
        <w:rPr>
          <w:rFonts w:hint="eastAsia" w:ascii="宋体" w:hAnsi="宋体"/>
          <w:color w:val="auto"/>
          <w:szCs w:val="21"/>
        </w:rPr>
        <w:t>)供应商认为有必要提</w:t>
      </w:r>
      <w:r>
        <w:rPr>
          <w:rFonts w:hint="eastAsia" w:ascii="宋体" w:hAnsi="宋体"/>
          <w:bCs/>
          <w:color w:val="auto"/>
          <w:szCs w:val="21"/>
        </w:rPr>
        <w:t>供的声明或材料</w:t>
      </w:r>
    </w:p>
    <w:p>
      <w:pPr>
        <w:snapToGrid w:val="0"/>
        <w:spacing w:line="406" w:lineRule="exact"/>
        <w:ind w:firstLine="422"/>
        <w:rPr>
          <w:rFonts w:ascii="宋体" w:hAnsi="宋体"/>
          <w:b/>
          <w:color w:val="auto"/>
          <w:szCs w:val="21"/>
        </w:rPr>
      </w:pPr>
      <w:r>
        <w:rPr>
          <w:rFonts w:ascii="宋体" w:hAnsi="宋体"/>
          <w:b/>
          <w:color w:val="auto"/>
          <w:szCs w:val="21"/>
        </w:rPr>
        <w:t>3.</w:t>
      </w:r>
      <w:r>
        <w:rPr>
          <w:rFonts w:hint="eastAsia" w:ascii="宋体" w:hAnsi="宋体"/>
          <w:b/>
          <w:color w:val="auto"/>
          <w:szCs w:val="21"/>
        </w:rPr>
        <w:t>报价文件</w:t>
      </w:r>
    </w:p>
    <w:p>
      <w:pPr>
        <w:snapToGrid w:val="0"/>
        <w:spacing w:line="406" w:lineRule="exact"/>
        <w:rPr>
          <w:rFonts w:ascii="宋体" w:hAnsi="宋体"/>
          <w:bCs/>
          <w:color w:val="auto"/>
          <w:szCs w:val="21"/>
        </w:rPr>
      </w:pPr>
      <w:bookmarkStart w:id="115" w:name="_Hlk92265738"/>
      <w:r>
        <w:rPr>
          <w:rFonts w:hint="eastAsia" w:ascii="宋体" w:hAnsi="宋体"/>
          <w:bCs/>
          <w:color w:val="auto"/>
          <w:szCs w:val="21"/>
        </w:rPr>
        <w:t xml:space="preserve"> </w:t>
      </w:r>
      <w:r>
        <w:rPr>
          <w:rFonts w:ascii="宋体" w:hAnsi="宋体"/>
          <w:bCs/>
          <w:color w:val="auto"/>
          <w:szCs w:val="21"/>
        </w:rPr>
        <w:t xml:space="preserve">   </w:t>
      </w:r>
      <w:r>
        <w:rPr>
          <w:rFonts w:hint="eastAsia" w:ascii="宋体" w:hAnsi="宋体"/>
          <w:bCs/>
          <w:color w:val="auto"/>
          <w:szCs w:val="21"/>
        </w:rPr>
        <w:t>★报价明细表</w:t>
      </w:r>
      <w:bookmarkEnd w:id="115"/>
      <w:r>
        <w:rPr>
          <w:rFonts w:hint="eastAsia" w:ascii="宋体" w:hAnsi="宋体"/>
          <w:bCs/>
          <w:color w:val="auto"/>
          <w:szCs w:val="21"/>
        </w:rPr>
        <w:t>(格式见第六章)。</w:t>
      </w:r>
    </w:p>
    <w:bookmarkEnd w:id="109"/>
    <w:p>
      <w:pPr>
        <w:snapToGrid w:val="0"/>
        <w:spacing w:line="406" w:lineRule="exact"/>
        <w:ind w:firstLine="422"/>
        <w:rPr>
          <w:rFonts w:ascii="宋体" w:hAnsi="宋体"/>
          <w:color w:val="auto"/>
          <w:szCs w:val="21"/>
        </w:rPr>
      </w:pPr>
      <w:r>
        <w:rPr>
          <w:rFonts w:hint="eastAsia" w:ascii="宋体" w:hAnsi="宋体"/>
          <w:color w:val="auto"/>
          <w:szCs w:val="21"/>
        </w:rPr>
        <w:t>注：①标注★号的材料均为必须提供的材料须由供应商加盖公章，授权委托书必须由法定代表人签名</w:t>
      </w:r>
      <w:r>
        <w:rPr>
          <w:rFonts w:hint="eastAsia" w:ascii="宋体" w:hAnsi="宋体"/>
          <w:color w:val="auto"/>
          <w:szCs w:val="21"/>
          <w:lang w:val="en-US" w:eastAsia="zh-CN"/>
        </w:rPr>
        <w:t>或签章</w:t>
      </w:r>
      <w:r>
        <w:rPr>
          <w:rFonts w:hint="eastAsia" w:ascii="宋体" w:hAnsi="宋体"/>
          <w:color w:val="auto"/>
          <w:szCs w:val="21"/>
        </w:rPr>
        <w:t>，否则视为无效响应文件。</w:t>
      </w:r>
    </w:p>
    <w:p>
      <w:pPr>
        <w:spacing w:line="406" w:lineRule="exact"/>
        <w:ind w:firstLine="210" w:firstLineChars="100"/>
        <w:rPr>
          <w:rFonts w:ascii="宋体" w:hAnsi="宋体" w:cs="Courier New"/>
          <w:color w:val="auto"/>
          <w:szCs w:val="21"/>
        </w:rPr>
      </w:pPr>
      <w:bookmarkStart w:id="116" w:name="_Hlk90906323"/>
      <w:r>
        <w:rPr>
          <w:rFonts w:hint="eastAsia" w:ascii="宋体" w:hAnsi="宋体"/>
          <w:color w:val="auto"/>
          <w:szCs w:val="21"/>
        </w:rPr>
        <w:t>②</w:t>
      </w:r>
      <w:bookmarkStart w:id="117" w:name="_Hlk111726335"/>
      <w:r>
        <w:rPr>
          <w:rFonts w:hint="eastAsia" w:ascii="宋体" w:hAnsi="宋体" w:cs="Courier New"/>
          <w:color w:val="auto"/>
          <w:szCs w:val="21"/>
        </w:rPr>
        <w:t>供应商按《关于政府采购支持监狱企业发展有关问题的通知》(财库〔2014〕68号)认定为监狱企业的，在政府采购活动中，监狱企业视同小型、微型企业。监狱企业参加政府采购活动时，应当提供由省级以上监狱管理局、戒毒管理局(含新疆生产建设兵团)出具的属于监狱企业的证明文件。供应商按《关于促进残疾人就业政府采购政策的通知》(财库〔2017〕141号)认定为残疾人福利性单位的，在政府采购活动中，残疾人福利性单位视同小型、微型企业。残疾人福利性单位参加政府采购活动时，应当提供该通知规定的《残疾人福利性单位声明函》（格式见第六章），并对声明的真实性负责。</w:t>
      </w:r>
      <w:bookmarkEnd w:id="117"/>
    </w:p>
    <w:p>
      <w:pPr>
        <w:spacing w:line="406" w:lineRule="exact"/>
        <w:ind w:firstLine="211" w:firstLineChars="100"/>
        <w:rPr>
          <w:rFonts w:ascii="宋体" w:hAnsi="宋体"/>
          <w:b/>
          <w:bCs/>
          <w:color w:val="auto"/>
          <w:szCs w:val="21"/>
        </w:rPr>
      </w:pPr>
      <w:r>
        <w:rPr>
          <w:rFonts w:hint="eastAsia" w:ascii="宋体" w:hAnsi="宋体"/>
          <w:b/>
          <w:color w:val="auto"/>
          <w:szCs w:val="21"/>
        </w:rPr>
        <w:t>（三）</w:t>
      </w:r>
      <w:bookmarkStart w:id="118" w:name="_Toc352700422"/>
      <w:bookmarkStart w:id="119" w:name="_Toc254970537"/>
      <w:bookmarkStart w:id="120" w:name="_Toc353785292"/>
      <w:bookmarkStart w:id="121" w:name="_Toc254970678"/>
      <w:r>
        <w:rPr>
          <w:rFonts w:hint="eastAsia" w:ascii="宋体" w:hAnsi="宋体"/>
          <w:b/>
          <w:bCs/>
          <w:color w:val="auto"/>
          <w:szCs w:val="21"/>
        </w:rPr>
        <w:t>响应文件的编制、签署及加密</w:t>
      </w:r>
    </w:p>
    <w:p>
      <w:pPr>
        <w:spacing w:line="406" w:lineRule="exact"/>
        <w:ind w:firstLine="420"/>
        <w:rPr>
          <w:rFonts w:ascii="宋体" w:hAnsi="宋体"/>
          <w:color w:val="auto"/>
          <w:szCs w:val="21"/>
        </w:rPr>
      </w:pPr>
      <w:r>
        <w:rPr>
          <w:rFonts w:ascii="宋体" w:hAnsi="宋体"/>
          <w:color w:val="auto"/>
          <w:szCs w:val="21"/>
        </w:rPr>
        <w:t>1.</w:t>
      </w:r>
      <w:r>
        <w:rPr>
          <w:rFonts w:hint="eastAsia" w:ascii="宋体" w:hAnsi="宋体"/>
          <w:color w:val="auto"/>
          <w:szCs w:val="21"/>
        </w:rPr>
        <w:t>供应商应认真阅读、并充分理解采购文件的全部内容(包括所有的补充、修改内容)，承诺履行其各项条款的规定并按要求编制，响应文件应为电子文件或扫描件(样品除外)。</w:t>
      </w:r>
    </w:p>
    <w:p>
      <w:pPr>
        <w:spacing w:line="406" w:lineRule="exact"/>
        <w:ind w:firstLine="420"/>
        <w:rPr>
          <w:rFonts w:ascii="宋体" w:hAnsi="宋体"/>
          <w:color w:val="auto"/>
          <w:szCs w:val="21"/>
        </w:rPr>
      </w:pPr>
      <w:r>
        <w:rPr>
          <w:rFonts w:ascii="宋体" w:hAnsi="宋体"/>
          <w:color w:val="auto"/>
          <w:szCs w:val="21"/>
        </w:rPr>
        <w:t>2.</w:t>
      </w:r>
      <w:r>
        <w:rPr>
          <w:rFonts w:hint="eastAsia" w:ascii="宋体" w:hAnsi="宋体"/>
          <w:color w:val="auto"/>
          <w:szCs w:val="21"/>
        </w:rPr>
        <w:t>供应商应通过政采云投标客户端编制加密响应文件。</w:t>
      </w:r>
    </w:p>
    <w:p>
      <w:pPr>
        <w:spacing w:line="406" w:lineRule="exact"/>
        <w:ind w:firstLine="420"/>
        <w:rPr>
          <w:rFonts w:ascii="宋体" w:hAnsi="宋体"/>
          <w:color w:val="auto"/>
          <w:szCs w:val="21"/>
        </w:rPr>
      </w:pPr>
      <w:r>
        <w:rPr>
          <w:rFonts w:ascii="宋体" w:hAnsi="宋体"/>
          <w:color w:val="auto"/>
          <w:szCs w:val="21"/>
        </w:rPr>
        <w:t>3.</w:t>
      </w:r>
      <w:r>
        <w:rPr>
          <w:rFonts w:hint="eastAsia" w:ascii="宋体" w:hAnsi="宋体"/>
          <w:color w:val="auto"/>
          <w:szCs w:val="21"/>
        </w:rPr>
        <w:t>响应文件由资格文件、商务技术文件和报价文件组成，供应商应按规定的顺序编制并标注页码、准确设置评审关联点，未设置或未正确设置关联点而导致响应文件被误读、漏读或者查找不到相关响应内容的责任和后果由供应商承担。</w:t>
      </w:r>
    </w:p>
    <w:p>
      <w:pPr>
        <w:spacing w:line="406" w:lineRule="exact"/>
        <w:rPr>
          <w:rFonts w:ascii="宋体" w:hAnsi="宋体"/>
          <w:b/>
          <w:bCs/>
          <w:color w:val="auto"/>
          <w:szCs w:val="21"/>
        </w:rPr>
      </w:pPr>
      <w:r>
        <w:rPr>
          <w:rFonts w:ascii="宋体" w:hAnsi="宋体"/>
          <w:color w:val="auto"/>
          <w:szCs w:val="21"/>
        </w:rPr>
        <w:tab/>
      </w:r>
      <w:r>
        <w:rPr>
          <w:rFonts w:ascii="宋体" w:hAnsi="宋体"/>
          <w:b/>
          <w:bCs/>
          <w:color w:val="auto"/>
          <w:szCs w:val="21"/>
        </w:rPr>
        <w:t>4.</w:t>
      </w:r>
      <w:r>
        <w:rPr>
          <w:rFonts w:hint="eastAsia" w:ascii="宋体" w:hAnsi="宋体"/>
          <w:b/>
          <w:bCs/>
          <w:color w:val="auto"/>
          <w:szCs w:val="21"/>
        </w:rPr>
        <w:t>响应文件由供应商在规定位置由法定代表人或授权委托人签名（可为电子签名）、填写供应商名称并加盖公章(简称“盖章”，可为电子公章)，供应商名称应写全称。</w:t>
      </w:r>
    </w:p>
    <w:p>
      <w:pPr>
        <w:snapToGrid w:val="0"/>
        <w:spacing w:line="406" w:lineRule="exact"/>
        <w:ind w:firstLine="210" w:firstLineChars="100"/>
        <w:rPr>
          <w:rFonts w:ascii="宋体" w:hAnsi="宋体"/>
          <w:b/>
          <w:bCs/>
          <w:color w:val="auto"/>
          <w:szCs w:val="21"/>
        </w:rPr>
      </w:pPr>
      <w:r>
        <w:rPr>
          <w:rFonts w:ascii="宋体" w:hAnsi="宋体"/>
          <w:color w:val="auto"/>
          <w:szCs w:val="21"/>
        </w:rPr>
        <w:tab/>
      </w:r>
      <w:r>
        <w:rPr>
          <w:rFonts w:ascii="宋体" w:hAnsi="宋体"/>
          <w:color w:val="auto"/>
          <w:szCs w:val="21"/>
        </w:rPr>
        <w:t>5.</w:t>
      </w:r>
      <w:r>
        <w:rPr>
          <w:rFonts w:hint="eastAsia" w:ascii="宋体" w:hAnsi="宋体"/>
          <w:color w:val="auto"/>
          <w:szCs w:val="21"/>
        </w:rPr>
        <w:t>响应文件内容不完整、编排混乱、不清晰等原因导致被误读或漏读的责任和后果由供应商承担。</w:t>
      </w:r>
    </w:p>
    <w:bookmarkEnd w:id="116"/>
    <w:p>
      <w:pPr>
        <w:spacing w:line="406" w:lineRule="exact"/>
        <w:ind w:firstLine="211" w:firstLineChars="100"/>
        <w:rPr>
          <w:color w:val="auto"/>
        </w:rPr>
      </w:pPr>
      <w:r>
        <w:rPr>
          <w:rFonts w:hint="eastAsia"/>
          <w:b/>
          <w:bCs/>
          <w:color w:val="auto"/>
        </w:rPr>
        <w:t>（四）响应文件的语言及计量</w:t>
      </w:r>
      <w:bookmarkEnd w:id="118"/>
      <w:bookmarkEnd w:id="119"/>
      <w:bookmarkEnd w:id="120"/>
      <w:bookmarkEnd w:id="121"/>
    </w:p>
    <w:p>
      <w:pPr>
        <w:snapToGrid w:val="0"/>
        <w:spacing w:line="406" w:lineRule="exact"/>
        <w:ind w:firstLine="420"/>
        <w:rPr>
          <w:rFonts w:ascii="宋体" w:hAnsi="宋体"/>
          <w:color w:val="auto"/>
          <w:szCs w:val="21"/>
        </w:rPr>
      </w:pPr>
      <w:r>
        <w:rPr>
          <w:rFonts w:ascii="宋体" w:hAnsi="宋体"/>
          <w:color w:val="auto"/>
          <w:szCs w:val="21"/>
        </w:rPr>
        <w:t>1.</w:t>
      </w:r>
      <w:r>
        <w:rPr>
          <w:rFonts w:hint="eastAsia" w:ascii="宋体" w:hAnsi="宋体"/>
          <w:color w:val="auto"/>
          <w:szCs w:val="21"/>
        </w:rPr>
        <w:t>响应文件以及供应商与采购人、本中心就有关事宜的所有来往函电，均应以中文汉语书写。除签名、盖章、专用名称等特殊情形外，以中文汉语以外的文字表述的视为无效文件。</w:t>
      </w:r>
    </w:p>
    <w:p>
      <w:pPr>
        <w:snapToGrid w:val="0"/>
        <w:spacing w:line="406" w:lineRule="exact"/>
        <w:ind w:firstLine="420"/>
        <w:rPr>
          <w:rFonts w:ascii="宋体" w:hAnsi="宋体"/>
          <w:color w:val="auto"/>
          <w:szCs w:val="21"/>
        </w:rPr>
      </w:pPr>
      <w:r>
        <w:rPr>
          <w:rFonts w:ascii="宋体" w:hAnsi="宋体"/>
          <w:color w:val="auto"/>
          <w:szCs w:val="21"/>
        </w:rPr>
        <w:t>2.响应</w:t>
      </w:r>
      <w:r>
        <w:rPr>
          <w:rFonts w:hint="eastAsia" w:ascii="宋体" w:hAnsi="宋体"/>
          <w:color w:val="auto"/>
          <w:szCs w:val="21"/>
        </w:rPr>
        <w:t>文件的计量单位，采购文件已有明确规定的，使用采购文件规定的计量单位；采购文件没有规定的，应采用中华人民共和国法定计量单位（货币单位：人民币元），否则视为无效响应文件。</w:t>
      </w:r>
    </w:p>
    <w:p>
      <w:pPr>
        <w:pStyle w:val="2"/>
        <w:spacing w:before="0" w:after="0" w:line="406" w:lineRule="exact"/>
        <w:ind w:firstLine="211" w:firstLineChars="100"/>
        <w:rPr>
          <w:rFonts w:ascii="宋体" w:hAnsi="宋体" w:eastAsia="宋体"/>
          <w:color w:val="auto"/>
          <w:sz w:val="21"/>
          <w:szCs w:val="21"/>
        </w:rPr>
      </w:pPr>
      <w:bookmarkStart w:id="122" w:name="_（五）报价"/>
      <w:bookmarkEnd w:id="122"/>
      <w:bookmarkStart w:id="123" w:name="_Toc254970538"/>
      <w:bookmarkStart w:id="124" w:name="_Toc254970679"/>
      <w:bookmarkStart w:id="125" w:name="_Toc352700423"/>
      <w:bookmarkStart w:id="126" w:name="_Toc353785293"/>
      <w:r>
        <w:rPr>
          <w:rFonts w:hint="eastAsia" w:ascii="宋体" w:hAnsi="宋体" w:eastAsia="宋体"/>
          <w:color w:val="auto"/>
          <w:sz w:val="21"/>
          <w:szCs w:val="21"/>
        </w:rPr>
        <w:t>（五）报价</w:t>
      </w:r>
      <w:bookmarkEnd w:id="123"/>
      <w:bookmarkEnd w:id="124"/>
      <w:bookmarkEnd w:id="125"/>
      <w:bookmarkEnd w:id="126"/>
    </w:p>
    <w:p>
      <w:pPr>
        <w:pStyle w:val="23"/>
        <w:snapToGrid w:val="0"/>
        <w:spacing w:line="406" w:lineRule="exact"/>
        <w:ind w:firstLine="420"/>
        <w:rPr>
          <w:rFonts w:hAnsi="宋体"/>
          <w:color w:val="auto"/>
        </w:rPr>
      </w:pPr>
      <w:r>
        <w:rPr>
          <w:rFonts w:hAnsi="宋体"/>
          <w:color w:val="auto"/>
        </w:rPr>
        <w:t>1.</w:t>
      </w:r>
      <w:r>
        <w:rPr>
          <w:rFonts w:hint="eastAsia" w:hAnsi="宋体"/>
          <w:color w:val="auto"/>
        </w:rPr>
        <w:t>采购文件中未列明，而供应商认为必需的费用也须列入总报价。在合同实施时，采购人将不予支付成交供应商没有列入总报价的项目费用，并认为此项费用已包含在总报价中。</w:t>
      </w:r>
    </w:p>
    <w:p>
      <w:pPr>
        <w:pStyle w:val="23"/>
        <w:snapToGrid w:val="0"/>
        <w:spacing w:line="406" w:lineRule="exact"/>
        <w:ind w:firstLine="420"/>
        <w:rPr>
          <w:color w:val="auto"/>
        </w:rPr>
      </w:pPr>
      <w:r>
        <w:rPr>
          <w:rFonts w:hAnsi="宋体"/>
          <w:color w:val="auto"/>
        </w:rPr>
        <w:t>2</w:t>
      </w:r>
      <w:r>
        <w:rPr>
          <w:rFonts w:hint="eastAsia" w:hAnsi="宋体"/>
          <w:color w:val="auto"/>
        </w:rPr>
        <w:t>供应商</w:t>
      </w:r>
      <w:r>
        <w:rPr>
          <w:rFonts w:hint="eastAsia"/>
          <w:color w:val="auto"/>
        </w:rPr>
        <w:t>必须就《项目需求》货物和服务的内容作完整唯一报价</w:t>
      </w:r>
      <w:r>
        <w:rPr>
          <w:rFonts w:hint="eastAsia" w:hAnsi="宋体"/>
          <w:color w:val="auto"/>
        </w:rPr>
        <w:t>，有选择的或有条件的报价视为无效响应文件。</w:t>
      </w:r>
    </w:p>
    <w:p>
      <w:pPr>
        <w:tabs>
          <w:tab w:val="left" w:pos="525"/>
        </w:tabs>
        <w:snapToGrid w:val="0"/>
        <w:spacing w:line="406" w:lineRule="exact"/>
        <w:ind w:firstLine="420"/>
        <w:rPr>
          <w:rFonts w:ascii="宋体" w:hAnsi="宋体"/>
          <w:color w:val="auto"/>
          <w:szCs w:val="21"/>
        </w:rPr>
      </w:pPr>
      <w:r>
        <w:rPr>
          <w:rFonts w:ascii="宋体" w:hAnsi="宋体"/>
          <w:color w:val="auto"/>
          <w:szCs w:val="21"/>
        </w:rPr>
        <w:t>3.</w:t>
      </w:r>
      <w:r>
        <w:rPr>
          <w:rFonts w:hint="eastAsia" w:ascii="宋体" w:hAnsi="宋体"/>
          <w:color w:val="auto"/>
          <w:szCs w:val="21"/>
        </w:rPr>
        <w:t>供应商的报价必须按采购文件或政府采购云平台规定的格式填写，并在规定时间内提交最后报价。</w:t>
      </w:r>
    </w:p>
    <w:p>
      <w:pPr>
        <w:tabs>
          <w:tab w:val="left" w:pos="525"/>
        </w:tabs>
        <w:snapToGrid w:val="0"/>
        <w:spacing w:line="406" w:lineRule="exact"/>
        <w:ind w:firstLine="420"/>
        <w:rPr>
          <w:rFonts w:ascii="宋体" w:hAnsi="宋体"/>
          <w:color w:val="auto"/>
          <w:szCs w:val="21"/>
        </w:rPr>
      </w:pPr>
      <w:r>
        <w:rPr>
          <w:rFonts w:ascii="宋体" w:hAnsi="宋体"/>
          <w:color w:val="auto"/>
          <w:szCs w:val="21"/>
        </w:rPr>
        <w:t>4.</w:t>
      </w:r>
      <w:r>
        <w:rPr>
          <w:rFonts w:hint="eastAsia" w:ascii="宋体" w:hAnsi="宋体"/>
          <w:color w:val="auto"/>
          <w:szCs w:val="21"/>
        </w:rPr>
        <w:t>最后报价是供应商响应文件的有效组成部分。</w:t>
      </w:r>
    </w:p>
    <w:p>
      <w:pPr>
        <w:spacing w:line="406" w:lineRule="exact"/>
        <w:ind w:firstLine="211" w:firstLineChars="100"/>
        <w:rPr>
          <w:b/>
          <w:bCs/>
          <w:color w:val="auto"/>
        </w:rPr>
      </w:pPr>
      <w:bookmarkStart w:id="127" w:name="_（六）磋商保证金"/>
      <w:bookmarkEnd w:id="127"/>
      <w:r>
        <w:rPr>
          <w:rFonts w:hint="eastAsia"/>
          <w:b/>
          <w:bCs/>
          <w:color w:val="auto"/>
        </w:rPr>
        <w:t>（</w:t>
      </w:r>
      <w:r>
        <w:rPr>
          <w:rFonts w:hint="eastAsia"/>
          <w:b/>
          <w:bCs/>
          <w:color w:val="auto"/>
          <w:lang w:val="en-US" w:eastAsia="zh-CN"/>
        </w:rPr>
        <w:t>六</w:t>
      </w:r>
      <w:r>
        <w:rPr>
          <w:rFonts w:hint="eastAsia"/>
          <w:b/>
          <w:bCs/>
          <w:color w:val="auto"/>
        </w:rPr>
        <w:t>）响应文件的上传、提交、修改、撤回</w:t>
      </w:r>
    </w:p>
    <w:p>
      <w:pPr>
        <w:snapToGrid w:val="0"/>
        <w:spacing w:line="406" w:lineRule="exact"/>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响应文件的上传和提交:供应商须将编制好的加密响应文件上传至政府采购云平台，并在响应文件提交截止时间前提交，否则</w:t>
      </w:r>
      <w:bookmarkStart w:id="128" w:name="_Hlk91772691"/>
      <w:r>
        <w:rPr>
          <w:rFonts w:hint="eastAsia" w:ascii="宋体" w:hAnsi="宋体"/>
          <w:color w:val="auto"/>
          <w:szCs w:val="21"/>
        </w:rPr>
        <w:t>政府采购云平台</w:t>
      </w:r>
      <w:bookmarkEnd w:id="128"/>
      <w:r>
        <w:rPr>
          <w:rFonts w:hint="eastAsia" w:ascii="宋体" w:hAnsi="宋体"/>
          <w:color w:val="auto"/>
          <w:szCs w:val="21"/>
        </w:rPr>
        <w:t>将予以拒收。</w:t>
      </w:r>
    </w:p>
    <w:p>
      <w:pPr>
        <w:snapToGrid w:val="0"/>
        <w:spacing w:line="406" w:lineRule="exact"/>
        <w:ind w:firstLine="420" w:firstLineChars="200"/>
        <w:rPr>
          <w:rFonts w:ascii="宋体" w:hAnsi="宋体"/>
          <w:color w:val="auto"/>
          <w:szCs w:val="21"/>
        </w:rPr>
      </w:pPr>
      <w:r>
        <w:rPr>
          <w:rFonts w:ascii="宋体" w:hAnsi="宋体"/>
          <w:color w:val="auto"/>
          <w:szCs w:val="21"/>
        </w:rPr>
        <w:t>2.</w:t>
      </w:r>
      <w:r>
        <w:rPr>
          <w:rFonts w:hint="eastAsia" w:ascii="宋体" w:hAnsi="宋体"/>
          <w:color w:val="auto"/>
          <w:szCs w:val="21"/>
        </w:rPr>
        <w:t>响应文件的修改和撤回：</w:t>
      </w:r>
      <w:r>
        <w:rPr>
          <w:rFonts w:hint="eastAsia"/>
          <w:color w:val="auto"/>
          <w:szCs w:val="21"/>
        </w:rPr>
        <w:t>供应商在提交响应文件截止时间前，可以对所提交的响应文件进行补充、修改或者撤回</w:t>
      </w:r>
      <w:r>
        <w:rPr>
          <w:rFonts w:hint="eastAsia" w:ascii="宋体" w:hAnsi="宋体"/>
          <w:color w:val="auto"/>
          <w:szCs w:val="21"/>
        </w:rPr>
        <w:t>。补充或者修改响应文件的，应当先行撤回原响应文件，补充、修改后重新上传、提交。响应文件提交截止时间前未完成重新提交的，视为撤回响应文件，响应文件提交截止时间后提交响应文件的，政府采购云平台将予以拒收。响应文件提交截止时间后，供应商不得撤回响应文件。</w:t>
      </w:r>
      <w:r>
        <w:rPr>
          <w:rFonts w:hint="eastAsia"/>
          <w:color w:val="auto"/>
          <w:szCs w:val="21"/>
        </w:rPr>
        <w:t>补充、修改的内容作为响应文件的组成部分。补充、修改的内容与响应文件不一致的，以补充、修改的内容为准。</w:t>
      </w:r>
    </w:p>
    <w:p>
      <w:pPr>
        <w:pStyle w:val="2"/>
        <w:spacing w:line="406" w:lineRule="exact"/>
        <w:rPr>
          <w:color w:val="auto"/>
        </w:rPr>
      </w:pPr>
      <w:bookmarkStart w:id="129" w:name="_四、响应文件开启"/>
      <w:bookmarkEnd w:id="129"/>
      <w:r>
        <w:rPr>
          <w:rFonts w:hint="eastAsia"/>
          <w:color w:val="auto"/>
        </w:rPr>
        <w:t>四、</w:t>
      </w:r>
      <w:bookmarkStart w:id="130" w:name="_Toc353785300"/>
      <w:bookmarkStart w:id="131" w:name="_Toc352700430"/>
      <w:r>
        <w:rPr>
          <w:rFonts w:hint="eastAsia"/>
          <w:color w:val="auto"/>
        </w:rPr>
        <w:t>响应文件开启</w:t>
      </w:r>
    </w:p>
    <w:bookmarkEnd w:id="130"/>
    <w:bookmarkEnd w:id="131"/>
    <w:p>
      <w:pPr>
        <w:spacing w:line="406" w:lineRule="exact"/>
        <w:ind w:firstLine="210" w:firstLineChars="100"/>
        <w:rPr>
          <w:rFonts w:ascii="方正小标宋_GBK" w:hAnsi="Arial" w:eastAsia="方正小标宋_GBK"/>
          <w:bCs/>
          <w:color w:val="auto"/>
          <w:sz w:val="24"/>
        </w:rPr>
      </w:pPr>
      <w:r>
        <w:rPr>
          <w:rFonts w:hint="eastAsia"/>
          <w:color w:val="auto"/>
        </w:rPr>
        <w:t>（一）本中心将在响应文件提交截止时间后在</w:t>
      </w:r>
      <w:bookmarkStart w:id="132" w:name="_Hlk90300735"/>
      <w:r>
        <w:rPr>
          <w:rFonts w:hint="eastAsia"/>
          <w:color w:val="auto"/>
        </w:rPr>
        <w:t>政采云远程开标大厅</w:t>
      </w:r>
      <w:bookmarkEnd w:id="132"/>
      <w:r>
        <w:rPr>
          <w:rFonts w:hint="eastAsia"/>
          <w:color w:val="auto"/>
        </w:rPr>
        <w:t>进行响应文件开启，供应商法定代表人或委托代理人须按时登录</w:t>
      </w:r>
      <w:bookmarkStart w:id="133" w:name="_Hlk90300780"/>
      <w:r>
        <w:rPr>
          <w:rFonts w:hint="eastAsia"/>
          <w:color w:val="auto"/>
        </w:rPr>
        <w:t>政采云远程开标大厅</w:t>
      </w:r>
      <w:bookmarkEnd w:id="133"/>
      <w:r>
        <w:rPr>
          <w:rFonts w:hint="eastAsia"/>
          <w:color w:val="auto"/>
        </w:rPr>
        <w:t>（政府采购云平台-应用中心-项目采购-开标评标），保持全程在线并关注评审、磋商进度，评审期间磋商小组提出澄清等要求时，供应商须在规定时间内进行应答，否则按采购文件或政采云平台的相关规定执行。</w:t>
      </w:r>
      <w:bookmarkStart w:id="134" w:name="_Toc352700431"/>
      <w:bookmarkStart w:id="135" w:name="_Toc353785301"/>
    </w:p>
    <w:p>
      <w:pPr>
        <w:spacing w:line="406" w:lineRule="exact"/>
        <w:ind w:firstLine="210" w:firstLineChars="100"/>
        <w:rPr>
          <w:rFonts w:ascii="方正小标宋_GBK" w:hAnsi="Arial" w:eastAsia="方正小标宋_GBK"/>
          <w:bCs/>
          <w:color w:val="auto"/>
          <w:sz w:val="24"/>
        </w:rPr>
      </w:pPr>
      <w:r>
        <w:rPr>
          <w:rFonts w:hint="eastAsia"/>
          <w:color w:val="auto"/>
        </w:rPr>
        <w:t>（二）</w:t>
      </w:r>
      <w:bookmarkEnd w:id="134"/>
      <w:bookmarkEnd w:id="135"/>
      <w:r>
        <w:rPr>
          <w:rFonts w:hint="eastAsia"/>
          <w:color w:val="auto"/>
        </w:rPr>
        <w:t>解密</w:t>
      </w:r>
    </w:p>
    <w:p>
      <w:pPr>
        <w:spacing w:line="406" w:lineRule="exact"/>
        <w:ind w:firstLine="420" w:firstLineChars="200"/>
        <w:rPr>
          <w:color w:val="auto"/>
        </w:rPr>
      </w:pPr>
      <w:r>
        <w:rPr>
          <w:rFonts w:hint="eastAsia"/>
          <w:color w:val="auto"/>
        </w:rPr>
        <w:t>响应文件提交时间截止后，我中心将向各提交响应文件的供应商发出电子加密响应文件解密通知，供应商代表应当在接到解密通知后30分钟内对已加密的电子响应文件进行在线解密。供应商未在规定时间内完成解密的，政府采购云平台视为供应商自主放弃磋商。</w:t>
      </w:r>
    </w:p>
    <w:p>
      <w:pPr>
        <w:spacing w:line="406" w:lineRule="exact"/>
        <w:ind w:firstLine="211" w:firstLineChars="100"/>
        <w:rPr>
          <w:b/>
          <w:bCs/>
          <w:color w:val="auto"/>
        </w:rPr>
      </w:pPr>
      <w:r>
        <w:rPr>
          <w:rFonts w:hint="eastAsia"/>
          <w:b/>
          <w:bCs/>
          <w:color w:val="auto"/>
        </w:rPr>
        <w:t>（三）资格审查</w:t>
      </w:r>
    </w:p>
    <w:p>
      <w:pPr>
        <w:spacing w:line="406" w:lineRule="exac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采购人依法对供应商的资格进行审查，资格性审查时，如发现下列情形之一的，响应文件将被视为无效：</w:t>
      </w:r>
    </w:p>
    <w:p>
      <w:pPr>
        <w:spacing w:line="406" w:lineRule="exact"/>
        <w:ind w:firstLine="420" w:firstLineChars="200"/>
        <w:rPr>
          <w:rFonts w:ascii="宋体" w:hAnsi="宋体"/>
          <w:color w:val="auto"/>
          <w:szCs w:val="21"/>
        </w:rPr>
      </w:pPr>
      <w:r>
        <w:rPr>
          <w:rFonts w:hint="eastAsia" w:ascii="宋体" w:hAnsi="宋体"/>
          <w:color w:val="auto"/>
          <w:szCs w:val="21"/>
        </w:rPr>
        <w:t>(1)超越了按照法律法规规定必须获得行政许可或者行政审批的经营范围的；</w:t>
      </w:r>
    </w:p>
    <w:p>
      <w:pPr>
        <w:spacing w:line="406" w:lineRule="exact"/>
        <w:ind w:firstLine="420" w:firstLineChars="200"/>
        <w:rPr>
          <w:rFonts w:ascii="宋体" w:hAnsi="宋体"/>
          <w:color w:val="auto"/>
          <w:szCs w:val="21"/>
        </w:rPr>
      </w:pPr>
      <w:r>
        <w:rPr>
          <w:rFonts w:hint="eastAsia" w:ascii="宋体" w:hAnsi="宋体"/>
          <w:color w:val="auto"/>
          <w:szCs w:val="21"/>
        </w:rPr>
        <w:t>(2)资格证明文件不全的，或者不符合采购文件标明的资格要求的。</w:t>
      </w:r>
    </w:p>
    <w:p>
      <w:pPr>
        <w:snapToGrid w:val="0"/>
        <w:spacing w:line="406" w:lineRule="exact"/>
        <w:ind w:firstLine="420" w:firstLineChars="200"/>
        <w:jc w:val="left"/>
        <w:rPr>
          <w:rFonts w:ascii="宋体" w:hAnsi="宋体"/>
          <w:color w:val="auto"/>
          <w:szCs w:val="21"/>
        </w:rPr>
      </w:pPr>
      <w:r>
        <w:rPr>
          <w:rFonts w:ascii="宋体" w:hAnsi="宋体"/>
          <w:color w:val="auto"/>
          <w:szCs w:val="21"/>
        </w:rPr>
        <w:t>2.</w:t>
      </w:r>
      <w:r>
        <w:rPr>
          <w:rFonts w:hint="eastAsia" w:ascii="宋体" w:hAnsi="宋体"/>
          <w:color w:val="auto"/>
          <w:szCs w:val="21"/>
        </w:rPr>
        <w:t>采购人或本中心将通过信用中国网站（www.creditchina.gov.cn）、中国政府采购网（www.ccgp.gov.cn）等渠道查询供应商的信用信息记录。供应商被列入失信被执行人、重大税收违法案件当事人名单、政府采购严重违法失信行为记录名单且有效期在响应文件递交截止时间的，将被拒绝参与本项目政府采购活动。</w:t>
      </w:r>
    </w:p>
    <w:p>
      <w:pPr>
        <w:pStyle w:val="2"/>
        <w:spacing w:line="406" w:lineRule="exact"/>
        <w:rPr>
          <w:rFonts w:ascii="宋体" w:hAnsi="宋体"/>
          <w:color w:val="auto"/>
          <w:szCs w:val="21"/>
        </w:rPr>
      </w:pPr>
      <w:bookmarkStart w:id="136" w:name="_五、评审与磋商"/>
      <w:bookmarkEnd w:id="136"/>
      <w:bookmarkStart w:id="137" w:name="_Toc254970545"/>
      <w:bookmarkStart w:id="138" w:name="_Toc353785302"/>
      <w:bookmarkStart w:id="139" w:name="_Toc352700432"/>
      <w:bookmarkStart w:id="140" w:name="_Toc254970686"/>
      <w:r>
        <w:rPr>
          <w:rFonts w:hint="eastAsia"/>
          <w:color w:val="auto"/>
        </w:rPr>
        <w:t>五、</w:t>
      </w:r>
      <w:bookmarkEnd w:id="137"/>
      <w:bookmarkEnd w:id="138"/>
      <w:bookmarkEnd w:id="139"/>
      <w:bookmarkEnd w:id="140"/>
      <w:r>
        <w:rPr>
          <w:rFonts w:hint="eastAsia" w:ascii="宋体" w:hAnsi="宋体"/>
          <w:color w:val="auto"/>
          <w:szCs w:val="21"/>
        </w:rPr>
        <w:t>评审与磋商</w:t>
      </w:r>
    </w:p>
    <w:p>
      <w:pPr>
        <w:snapToGrid w:val="0"/>
        <w:spacing w:line="406" w:lineRule="exact"/>
        <w:ind w:firstLine="211" w:firstLineChars="100"/>
        <w:rPr>
          <w:rFonts w:ascii="宋体" w:hAnsi="宋体"/>
          <w:b/>
          <w:bCs/>
          <w:color w:val="auto"/>
          <w:szCs w:val="21"/>
        </w:rPr>
      </w:pPr>
      <w:bookmarkStart w:id="141" w:name="_Toc353785303"/>
      <w:bookmarkStart w:id="142" w:name="_Toc352700433"/>
      <w:r>
        <w:rPr>
          <w:rFonts w:hint="eastAsia" w:ascii="宋体" w:hAnsi="宋体"/>
          <w:b/>
          <w:bCs/>
          <w:color w:val="auto"/>
          <w:szCs w:val="21"/>
        </w:rPr>
        <w:t>（一）评审原则：</w:t>
      </w:r>
    </w:p>
    <w:p>
      <w:pPr>
        <w:snapToGrid w:val="0"/>
        <w:spacing w:line="406" w:lineRule="exact"/>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磋商小组必须公平、公正、客观，不带任何倾向性和启发性；不得向外界透露任何与评审有关的内容；任何单位和个人不得干扰、影响评审的正常进行；磋商小组及有关工作人员不得私下接触供应商。</w:t>
      </w:r>
    </w:p>
    <w:p>
      <w:pPr>
        <w:snapToGrid w:val="0"/>
        <w:spacing w:line="406" w:lineRule="exact"/>
        <w:ind w:firstLine="420" w:firstLineChars="200"/>
        <w:rPr>
          <w:rFonts w:ascii="宋体" w:hAnsi="宋体" w:cs="Courier New"/>
          <w:color w:val="auto"/>
          <w:szCs w:val="21"/>
        </w:rPr>
      </w:pPr>
      <w:r>
        <w:rPr>
          <w:rFonts w:ascii="宋体" w:hAnsi="宋体"/>
          <w:color w:val="auto"/>
          <w:szCs w:val="21"/>
        </w:rPr>
        <w:t>2.</w:t>
      </w:r>
      <w:r>
        <w:rPr>
          <w:rFonts w:hint="eastAsia" w:ascii="宋体" w:hAnsi="宋体" w:cs="Courier New"/>
          <w:color w:val="auto"/>
          <w:szCs w:val="21"/>
        </w:rPr>
        <w:t>本项目采用不公开方式评审，评审的依据为采购文件和响应文件。</w:t>
      </w:r>
    </w:p>
    <w:p>
      <w:pPr>
        <w:snapToGrid w:val="0"/>
        <w:spacing w:line="406" w:lineRule="exact"/>
        <w:ind w:firstLine="211" w:firstLineChars="100"/>
        <w:rPr>
          <w:rFonts w:ascii="宋体" w:hAnsi="宋体"/>
          <w:b/>
          <w:bCs/>
          <w:color w:val="auto"/>
          <w:szCs w:val="21"/>
        </w:rPr>
      </w:pPr>
      <w:r>
        <w:rPr>
          <w:rFonts w:hint="eastAsia"/>
          <w:b/>
          <w:bCs/>
          <w:color w:val="auto"/>
        </w:rPr>
        <w:t>（二）成立磋商小组</w:t>
      </w:r>
    </w:p>
    <w:p>
      <w:pPr>
        <w:snapToGrid w:val="0"/>
        <w:spacing w:line="406" w:lineRule="exact"/>
        <w:ind w:firstLine="420" w:firstLineChars="200"/>
        <w:rPr>
          <w:rFonts w:ascii="宋体" w:hAnsi="宋体"/>
          <w:color w:val="auto"/>
          <w:szCs w:val="21"/>
        </w:rPr>
      </w:pPr>
      <w:r>
        <w:rPr>
          <w:rFonts w:hint="eastAsia" w:ascii="宋体" w:hAnsi="宋体" w:cs="Courier New"/>
          <w:bCs/>
          <w:color w:val="auto"/>
          <w:szCs w:val="21"/>
        </w:rPr>
        <w:t>磋商小组</w:t>
      </w:r>
      <w:bookmarkEnd w:id="141"/>
      <w:bookmarkEnd w:id="142"/>
      <w:r>
        <w:rPr>
          <w:rFonts w:hint="eastAsia" w:ascii="宋体" w:hAnsi="宋体" w:cs="Courier New"/>
          <w:bCs/>
          <w:color w:val="auto"/>
          <w:szCs w:val="21"/>
        </w:rPr>
        <w:t>由采购人代表和评审专家共3人以上单数组成，其中评审专家人数不得少于磋商小组成员总数的2/3。</w:t>
      </w:r>
    </w:p>
    <w:p>
      <w:pPr>
        <w:spacing w:line="406" w:lineRule="exact"/>
        <w:ind w:firstLine="211" w:firstLineChars="100"/>
        <w:rPr>
          <w:rFonts w:ascii="宋体" w:hAnsi="宋体" w:cs="Courier New"/>
          <w:color w:val="auto"/>
          <w:szCs w:val="21"/>
        </w:rPr>
      </w:pPr>
      <w:r>
        <w:rPr>
          <w:rFonts w:hint="eastAsia" w:ascii="宋体" w:hAnsi="宋体"/>
          <w:b/>
          <w:bCs/>
          <w:color w:val="auto"/>
          <w:szCs w:val="21"/>
        </w:rPr>
        <w:t>（三）实质性审查</w:t>
      </w:r>
    </w:p>
    <w:p>
      <w:pPr>
        <w:snapToGrid w:val="0"/>
        <w:spacing w:line="406" w:lineRule="exact"/>
        <w:ind w:firstLine="420" w:firstLineChars="200"/>
        <w:rPr>
          <w:rFonts w:ascii="宋体" w:hAnsi="宋体"/>
          <w:color w:val="auto"/>
          <w:szCs w:val="21"/>
        </w:rPr>
      </w:pPr>
      <w:r>
        <w:rPr>
          <w:rFonts w:hint="eastAsia" w:ascii="宋体" w:hAnsi="宋体"/>
          <w:color w:val="auto"/>
          <w:szCs w:val="21"/>
        </w:rPr>
        <w:t>1</w:t>
      </w:r>
      <w:r>
        <w:rPr>
          <w:rFonts w:ascii="宋体" w:hAnsi="宋体"/>
          <w:color w:val="auto"/>
          <w:szCs w:val="21"/>
        </w:rPr>
        <w:t>.</w:t>
      </w:r>
      <w:r>
        <w:rPr>
          <w:rFonts w:hint="eastAsia" w:ascii="宋体" w:hAnsi="宋体"/>
          <w:color w:val="auto"/>
          <w:szCs w:val="21"/>
        </w:rPr>
        <w:t>磋商小组成员根据磋商文件规定的评审程序、评审方法和评审标准进行独立评审。未实质性响应磋商文件的响应文件按无效响应处理，磋商小组应当告知提交响应文件的供应商。</w:t>
      </w:r>
    </w:p>
    <w:p>
      <w:pPr>
        <w:snapToGrid w:val="0"/>
        <w:spacing w:line="406" w:lineRule="exact"/>
        <w:ind w:firstLine="422" w:firstLineChars="200"/>
        <w:rPr>
          <w:rFonts w:ascii="宋体" w:hAnsi="宋体"/>
          <w:b/>
          <w:bCs/>
          <w:color w:val="auto"/>
          <w:szCs w:val="21"/>
        </w:rPr>
      </w:pPr>
      <w:r>
        <w:rPr>
          <w:rFonts w:hint="eastAsia" w:ascii="宋体" w:hAnsi="宋体"/>
          <w:b/>
          <w:bCs/>
          <w:color w:val="auto"/>
          <w:szCs w:val="21"/>
        </w:rPr>
        <w:t>2</w:t>
      </w:r>
      <w:r>
        <w:rPr>
          <w:rFonts w:ascii="宋体" w:hAnsi="宋体"/>
          <w:b/>
          <w:bCs/>
          <w:color w:val="auto"/>
          <w:szCs w:val="21"/>
        </w:rPr>
        <w:t>.</w:t>
      </w:r>
      <w:r>
        <w:rPr>
          <w:rFonts w:hint="eastAsia" w:ascii="宋体" w:hAnsi="宋体"/>
          <w:b/>
          <w:bCs/>
          <w:color w:val="auto"/>
          <w:szCs w:val="21"/>
        </w:rPr>
        <w:t>实质性审查时，如发现下列情形之一的，响应文件将被视为无效：</w:t>
      </w:r>
    </w:p>
    <w:p>
      <w:pPr>
        <w:snapToGrid w:val="0"/>
        <w:spacing w:line="406" w:lineRule="exact"/>
        <w:ind w:firstLine="525" w:firstLineChars="250"/>
        <w:rPr>
          <w:rFonts w:ascii="宋体" w:hAnsi="宋体"/>
          <w:color w:val="auto"/>
          <w:szCs w:val="21"/>
        </w:rPr>
      </w:pPr>
      <w:r>
        <w:rPr>
          <w:rFonts w:hint="eastAsia" w:ascii="宋体" w:hAnsi="宋体"/>
          <w:color w:val="auto"/>
          <w:szCs w:val="21"/>
          <w:lang w:val="en-US" w:eastAsia="zh-CN"/>
        </w:rPr>
        <w:t>①</w:t>
      </w:r>
      <w:r>
        <w:rPr>
          <w:rFonts w:hint="eastAsia" w:ascii="宋体" w:hAnsi="宋体"/>
          <w:color w:val="auto"/>
          <w:szCs w:val="21"/>
        </w:rPr>
        <w:t>响应文件未按响应文件编制要求提供或内容虚假的；</w:t>
      </w:r>
    </w:p>
    <w:p>
      <w:pPr>
        <w:snapToGrid w:val="0"/>
        <w:spacing w:line="406" w:lineRule="exact"/>
        <w:ind w:firstLine="525" w:firstLineChars="250"/>
        <w:rPr>
          <w:rFonts w:ascii="宋体" w:hAnsi="宋体"/>
          <w:color w:val="auto"/>
          <w:szCs w:val="21"/>
        </w:rPr>
      </w:pPr>
      <w:r>
        <w:rPr>
          <w:rFonts w:hint="eastAsia" w:ascii="宋体" w:hAnsi="宋体"/>
          <w:color w:val="auto"/>
          <w:szCs w:val="21"/>
          <w:lang w:val="en-US" w:eastAsia="zh-CN"/>
        </w:rPr>
        <w:t>②</w:t>
      </w:r>
      <w:r>
        <w:rPr>
          <w:rFonts w:hint="eastAsia" w:ascii="宋体" w:hAnsi="宋体"/>
          <w:color w:val="auto"/>
          <w:szCs w:val="21"/>
        </w:rPr>
        <w:t>响应文件无法定代表人或其委托代理人签署、未提供授权委托书，或未按规定盖章的；</w:t>
      </w:r>
    </w:p>
    <w:p>
      <w:pPr>
        <w:snapToGrid w:val="0"/>
        <w:spacing w:line="406" w:lineRule="exact"/>
        <w:ind w:firstLine="525" w:firstLineChars="250"/>
        <w:rPr>
          <w:rFonts w:ascii="宋体" w:hAnsi="宋体"/>
          <w:color w:val="auto"/>
          <w:szCs w:val="21"/>
        </w:rPr>
      </w:pPr>
      <w:r>
        <w:rPr>
          <w:rFonts w:hint="eastAsia" w:ascii="宋体" w:hAnsi="宋体"/>
          <w:color w:val="auto"/>
          <w:szCs w:val="21"/>
          <w:lang w:val="en-US" w:eastAsia="zh-CN"/>
        </w:rPr>
        <w:t>③</w:t>
      </w:r>
      <w:r>
        <w:rPr>
          <w:rFonts w:hint="eastAsia" w:ascii="宋体" w:hAnsi="宋体"/>
          <w:color w:val="auto"/>
          <w:szCs w:val="21"/>
        </w:rPr>
        <w:t>供应商代表未能出具身份证明或与法定代表人委托代理人身份不符的；</w:t>
      </w:r>
    </w:p>
    <w:p>
      <w:pPr>
        <w:snapToGrid w:val="0"/>
        <w:spacing w:line="406" w:lineRule="exact"/>
        <w:ind w:firstLine="525" w:firstLineChars="250"/>
        <w:rPr>
          <w:rFonts w:ascii="宋体" w:hAnsi="宋体"/>
          <w:color w:val="auto"/>
          <w:szCs w:val="21"/>
        </w:rPr>
      </w:pPr>
      <w:r>
        <w:rPr>
          <w:rFonts w:hint="eastAsia" w:ascii="宋体" w:hAnsi="宋体"/>
          <w:color w:val="auto"/>
          <w:szCs w:val="21"/>
          <w:lang w:val="en-US" w:eastAsia="zh-CN"/>
        </w:rPr>
        <w:t>④</w:t>
      </w:r>
      <w:r>
        <w:rPr>
          <w:rFonts w:hint="eastAsia" w:ascii="宋体" w:hAnsi="宋体"/>
          <w:color w:val="auto"/>
          <w:szCs w:val="21"/>
        </w:rPr>
        <w:t>经磋商未实质性响应采购文件采购需求的技术、服务要求的；</w:t>
      </w:r>
    </w:p>
    <w:p>
      <w:pPr>
        <w:snapToGrid w:val="0"/>
        <w:spacing w:line="406" w:lineRule="exact"/>
        <w:ind w:firstLine="525" w:firstLineChars="250"/>
        <w:rPr>
          <w:rFonts w:ascii="宋体" w:hAnsi="宋体"/>
          <w:color w:val="auto"/>
          <w:szCs w:val="21"/>
        </w:rPr>
      </w:pPr>
      <w:r>
        <w:rPr>
          <w:rFonts w:hint="eastAsia" w:ascii="宋体" w:hAnsi="宋体"/>
          <w:color w:val="auto"/>
          <w:szCs w:val="21"/>
          <w:lang w:val="en-US" w:eastAsia="zh-CN"/>
        </w:rPr>
        <w:t>⑤</w:t>
      </w:r>
      <w:r>
        <w:rPr>
          <w:rFonts w:hint="eastAsia" w:ascii="宋体" w:hAnsi="宋体"/>
          <w:color w:val="auto"/>
          <w:szCs w:val="21"/>
        </w:rPr>
        <w:t>经磋商</w:t>
      </w:r>
      <w:r>
        <w:rPr>
          <w:rFonts w:hint="eastAsia" w:ascii="宋体" w:hAnsi="宋体"/>
          <w:color w:val="auto"/>
          <w:spacing w:val="-4"/>
          <w:szCs w:val="21"/>
        </w:rPr>
        <w:t>不符合采购文件要求的质量标准，或者与采购文件中的技术指标、功能、服务事项发生较大偏离，已不符合采购人需求的；</w:t>
      </w:r>
    </w:p>
    <w:p>
      <w:pPr>
        <w:snapToGrid w:val="0"/>
        <w:spacing w:line="406" w:lineRule="exact"/>
        <w:ind w:firstLine="505" w:firstLineChars="250"/>
        <w:rPr>
          <w:rFonts w:ascii="宋体" w:hAnsi="宋体"/>
          <w:color w:val="auto"/>
          <w:szCs w:val="21"/>
        </w:rPr>
      </w:pPr>
      <w:r>
        <w:rPr>
          <w:rFonts w:hint="eastAsia" w:ascii="宋体" w:hAnsi="宋体"/>
          <w:color w:val="auto"/>
          <w:spacing w:val="-4"/>
          <w:szCs w:val="21"/>
          <w:lang w:val="en-US" w:eastAsia="zh-CN"/>
        </w:rPr>
        <w:t>⑥</w:t>
      </w:r>
      <w:r>
        <w:rPr>
          <w:rFonts w:hint="eastAsia" w:ascii="宋体" w:hAnsi="宋体"/>
          <w:color w:val="auto"/>
          <w:szCs w:val="21"/>
        </w:rPr>
        <w:t>响应文件有采购人不能接受的附加条件的；</w:t>
      </w:r>
    </w:p>
    <w:p>
      <w:pPr>
        <w:snapToGrid w:val="0"/>
        <w:spacing w:line="406" w:lineRule="exact"/>
        <w:ind w:firstLine="525" w:firstLineChars="250"/>
        <w:rPr>
          <w:rFonts w:ascii="宋体" w:hAnsi="宋体"/>
          <w:color w:val="auto"/>
          <w:spacing w:val="-4"/>
          <w:szCs w:val="21"/>
        </w:rPr>
      </w:pPr>
      <w:r>
        <w:rPr>
          <w:rFonts w:hint="eastAsia" w:ascii="宋体" w:hAnsi="宋体"/>
          <w:color w:val="auto"/>
          <w:szCs w:val="21"/>
          <w:lang w:val="en-US" w:eastAsia="zh-CN"/>
        </w:rPr>
        <w:t>⑦</w:t>
      </w:r>
      <w:r>
        <w:rPr>
          <w:rFonts w:hint="eastAsia" w:ascii="宋体" w:hAnsi="宋体"/>
          <w:color w:val="auto"/>
          <w:spacing w:val="-4"/>
          <w:szCs w:val="21"/>
        </w:rPr>
        <w:t>响应文件技术方案不明确，存在一个或一个以上备选(替代)响应方案的；</w:t>
      </w:r>
    </w:p>
    <w:p>
      <w:pPr>
        <w:snapToGrid w:val="0"/>
        <w:spacing w:line="406" w:lineRule="exact"/>
        <w:ind w:firstLine="505" w:firstLineChars="250"/>
        <w:rPr>
          <w:rFonts w:ascii="宋体" w:hAnsi="宋体"/>
          <w:color w:val="auto"/>
          <w:szCs w:val="21"/>
        </w:rPr>
      </w:pPr>
      <w:r>
        <w:rPr>
          <w:rFonts w:hint="eastAsia" w:ascii="宋体" w:hAnsi="宋体"/>
          <w:color w:val="auto"/>
          <w:spacing w:val="-4"/>
          <w:szCs w:val="21"/>
          <w:lang w:val="en-US" w:eastAsia="zh-CN"/>
        </w:rPr>
        <w:t>⑧</w:t>
      </w:r>
      <w:r>
        <w:rPr>
          <w:rFonts w:hint="eastAsia" w:ascii="宋体" w:hAnsi="宋体"/>
          <w:color w:val="auto"/>
          <w:szCs w:val="21"/>
        </w:rPr>
        <w:t>响应文件的实质性内容未使用中文表述、意思表述不明确、前后矛盾或者使用计量单位不符合采购文件要求的。</w:t>
      </w:r>
    </w:p>
    <w:p>
      <w:pPr>
        <w:spacing w:line="406" w:lineRule="exact"/>
        <w:ind w:firstLine="211" w:firstLineChars="100"/>
        <w:rPr>
          <w:b/>
          <w:bCs/>
          <w:color w:val="auto"/>
        </w:rPr>
      </w:pPr>
      <w:r>
        <w:rPr>
          <w:rFonts w:hint="eastAsia"/>
          <w:b/>
          <w:bCs/>
          <w:color w:val="auto"/>
        </w:rPr>
        <w:t>（四）磋商</w:t>
      </w:r>
    </w:p>
    <w:p>
      <w:pPr>
        <w:pStyle w:val="23"/>
        <w:spacing w:line="406" w:lineRule="exact"/>
        <w:ind w:firstLine="420" w:firstLineChars="200"/>
        <w:rPr>
          <w:rFonts w:hAnsi="宋体"/>
          <w:bCs/>
          <w:color w:val="auto"/>
        </w:rPr>
      </w:pPr>
      <w:r>
        <w:rPr>
          <w:rFonts w:hint="eastAsia" w:hAnsi="宋体"/>
          <w:bCs/>
          <w:color w:val="auto"/>
        </w:rPr>
        <w:t>1</w:t>
      </w:r>
      <w:r>
        <w:rPr>
          <w:rFonts w:hAnsi="宋体"/>
          <w:bCs/>
          <w:color w:val="auto"/>
        </w:rPr>
        <w:t>.</w:t>
      </w:r>
      <w:r>
        <w:rPr>
          <w:rFonts w:hint="eastAsia" w:hAnsi="宋体"/>
          <w:bCs/>
          <w:color w:val="auto"/>
        </w:rPr>
        <w:t>磋商小组所有成员应当集中与单一供应商分别进行磋商，并给予所有参加磋商的供应商平等的磋商机会。</w:t>
      </w:r>
    </w:p>
    <w:p>
      <w:pPr>
        <w:pStyle w:val="23"/>
        <w:spacing w:line="406" w:lineRule="exact"/>
        <w:ind w:firstLine="420" w:firstLineChars="200"/>
        <w:rPr>
          <w:rFonts w:hAnsi="宋体"/>
          <w:bCs/>
          <w:color w:val="auto"/>
        </w:rPr>
      </w:pPr>
      <w:r>
        <w:rPr>
          <w:rFonts w:hAnsi="宋体"/>
          <w:bCs/>
          <w:color w:val="auto"/>
        </w:rPr>
        <w:t>2.</w:t>
      </w:r>
      <w:r>
        <w:rPr>
          <w:rFonts w:hint="eastAsia" w:hAnsi="宋体"/>
          <w:bCs/>
          <w:color w:val="auto"/>
        </w:rPr>
        <w:t>磋商小组可以根据磋商文件和磋商情况实质性变动采购需求中的技术、服务要求以及合同草案条款，但不得变动磋商文件中的其他内容。实质性变动的内容，须经采购人代表确认。</w:t>
      </w:r>
    </w:p>
    <w:p>
      <w:pPr>
        <w:pStyle w:val="23"/>
        <w:spacing w:line="406" w:lineRule="exact"/>
        <w:ind w:firstLine="420" w:firstLineChars="200"/>
        <w:rPr>
          <w:rFonts w:hAnsi="宋体"/>
          <w:bCs/>
          <w:color w:val="auto"/>
        </w:rPr>
      </w:pPr>
      <w:r>
        <w:rPr>
          <w:rFonts w:hAnsi="宋体"/>
          <w:bCs/>
          <w:color w:val="auto"/>
        </w:rPr>
        <w:t>3.</w:t>
      </w:r>
      <w:r>
        <w:rPr>
          <w:rFonts w:hint="eastAsia" w:hAnsi="宋体"/>
          <w:bCs/>
          <w:color w:val="auto"/>
        </w:rPr>
        <w:t>对磋商文件作出的实质性变动是磋商文件的有效组成部分，磋商小组应当及时以书面形式同时通知所有参加磋商的供应商。</w:t>
      </w:r>
    </w:p>
    <w:p>
      <w:pPr>
        <w:pStyle w:val="23"/>
        <w:spacing w:line="406" w:lineRule="exact"/>
        <w:ind w:firstLine="420" w:firstLineChars="200"/>
        <w:rPr>
          <w:rFonts w:hAnsi="宋体"/>
          <w:bCs/>
          <w:color w:val="auto"/>
        </w:rPr>
      </w:pPr>
      <w:r>
        <w:rPr>
          <w:rFonts w:hAnsi="宋体"/>
          <w:bCs/>
          <w:color w:val="auto"/>
        </w:rPr>
        <w:t>4.</w:t>
      </w:r>
      <w:r>
        <w:rPr>
          <w:rFonts w:hint="eastAsia" w:hAnsi="宋体"/>
          <w:bCs/>
          <w:color w:val="auto"/>
        </w:rPr>
        <w:t>供应商应当按照磋商文件的变动情况和磋商小组的要求重新提交响应文件，并由其法定代表人或授权代表签名或者加盖公章。由授权代表签名的，应当附法定代表人授权书。供应商为自然人的，应当由本人签名并附身份证明。逾时不提交的，视同退出磋商。</w:t>
      </w:r>
    </w:p>
    <w:p>
      <w:pPr>
        <w:pStyle w:val="23"/>
        <w:spacing w:line="406" w:lineRule="exact"/>
        <w:ind w:firstLine="420" w:firstLineChars="200"/>
        <w:rPr>
          <w:rFonts w:hAnsi="宋体"/>
          <w:bCs/>
          <w:color w:val="auto"/>
        </w:rPr>
      </w:pPr>
      <w:r>
        <w:rPr>
          <w:rFonts w:hAnsi="宋体"/>
          <w:bCs/>
          <w:color w:val="auto"/>
        </w:rPr>
        <w:t>5.</w:t>
      </w:r>
      <w:r>
        <w:rPr>
          <w:rFonts w:hint="eastAsia" w:hAnsi="宋体"/>
          <w:bCs/>
          <w:color w:val="auto"/>
        </w:rPr>
        <w:t>已提交响应文件的供应商，在提交最后报价之前，可以根据磋商情况退出磋商。</w:t>
      </w:r>
    </w:p>
    <w:p>
      <w:pPr>
        <w:spacing w:line="406" w:lineRule="exact"/>
        <w:ind w:firstLine="211" w:firstLineChars="100"/>
        <w:rPr>
          <w:b/>
          <w:bCs/>
          <w:color w:val="auto"/>
        </w:rPr>
      </w:pPr>
      <w:r>
        <w:rPr>
          <w:rFonts w:hint="eastAsia"/>
          <w:b/>
          <w:bCs/>
          <w:color w:val="auto"/>
        </w:rPr>
        <w:t>（五）最后报价</w:t>
      </w:r>
    </w:p>
    <w:p>
      <w:pPr>
        <w:spacing w:line="406" w:lineRule="exact"/>
        <w:ind w:firstLine="420" w:firstLineChars="200"/>
        <w:rPr>
          <w:color w:val="auto"/>
        </w:rPr>
      </w:pPr>
      <w:r>
        <w:rPr>
          <w:color w:val="auto"/>
        </w:rPr>
        <w:t>1.</w:t>
      </w:r>
      <w:r>
        <w:rPr>
          <w:rFonts w:hint="eastAsia"/>
          <w:color w:val="auto"/>
        </w:rPr>
        <w:t>磋商文件能够详细列明采购标的的技术、服务要求的，磋商结束后，磋商小组应当要求所有实质性响应的供应商在规定时间内提交最后报价，提交最后报价的供应商不得少于3家。</w:t>
      </w:r>
    </w:p>
    <w:p>
      <w:pPr>
        <w:spacing w:line="406" w:lineRule="exact"/>
        <w:ind w:firstLine="420" w:firstLineChars="200"/>
        <w:rPr>
          <w:color w:val="auto"/>
        </w:rPr>
      </w:pPr>
      <w:r>
        <w:rPr>
          <w:rFonts w:hint="eastAsia"/>
          <w:color w:val="auto"/>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p>
    <w:p>
      <w:pPr>
        <w:spacing w:line="406" w:lineRule="exact"/>
        <w:ind w:firstLine="420" w:firstLineChars="200"/>
        <w:rPr>
          <w:color w:val="auto"/>
        </w:rPr>
      </w:pPr>
      <w:bookmarkStart w:id="143" w:name="_Hlk101270484"/>
      <w:r>
        <w:rPr>
          <w:rFonts w:hint="eastAsia"/>
          <w:color w:val="auto"/>
        </w:rPr>
        <w:t>市场竞争不充分的科研项目，以及需要扶持的科技成果转化项目</w:t>
      </w:r>
      <w:bookmarkEnd w:id="143"/>
      <w:r>
        <w:rPr>
          <w:rFonts w:hint="eastAsia"/>
          <w:color w:val="auto"/>
        </w:rPr>
        <w:t>提交最后报价的供应商可以为2家。</w:t>
      </w:r>
    </w:p>
    <w:p>
      <w:pPr>
        <w:spacing w:line="406" w:lineRule="exact"/>
        <w:ind w:firstLine="420" w:firstLineChars="200"/>
        <w:rPr>
          <w:color w:val="auto"/>
        </w:rPr>
      </w:pPr>
      <w:r>
        <w:rPr>
          <w:color w:val="auto"/>
        </w:rPr>
        <w:t>2.</w:t>
      </w:r>
      <w:r>
        <w:rPr>
          <w:rFonts w:hint="eastAsia"/>
          <w:color w:val="auto"/>
        </w:rPr>
        <w:t>最后报价应由其法定代表人或授权代表签名或者加盖公章，最后报价即是供应商响应报价。</w:t>
      </w:r>
    </w:p>
    <w:p>
      <w:pPr>
        <w:snapToGrid w:val="0"/>
        <w:spacing w:line="406" w:lineRule="exact"/>
        <w:ind w:firstLine="422" w:firstLineChars="200"/>
        <w:rPr>
          <w:rFonts w:ascii="宋体" w:hAnsi="宋体"/>
          <w:color w:val="auto"/>
          <w:szCs w:val="21"/>
        </w:rPr>
      </w:pPr>
      <w:r>
        <w:rPr>
          <w:rFonts w:hint="eastAsia"/>
          <w:b/>
          <w:bCs/>
          <w:color w:val="auto"/>
        </w:rPr>
        <w:t>3</w:t>
      </w:r>
      <w:r>
        <w:rPr>
          <w:b/>
          <w:bCs/>
          <w:color w:val="auto"/>
        </w:rPr>
        <w:t>.</w:t>
      </w:r>
      <w:r>
        <w:rPr>
          <w:rFonts w:hint="eastAsia" w:ascii="宋体" w:hAnsi="宋体" w:cs="Courier New"/>
          <w:b/>
          <w:color w:val="auto"/>
          <w:szCs w:val="21"/>
        </w:rPr>
        <w:t>在报价评审时，如发现下列情形之一的，响应文件将被视为无效：</w:t>
      </w:r>
    </w:p>
    <w:p>
      <w:pPr>
        <w:snapToGrid w:val="0"/>
        <w:spacing w:line="406" w:lineRule="exact"/>
        <w:ind w:firstLine="420" w:firstLineChars="200"/>
        <w:rPr>
          <w:rFonts w:ascii="宋体" w:hAnsi="宋体"/>
          <w:color w:val="auto"/>
          <w:szCs w:val="21"/>
        </w:rPr>
      </w:pPr>
      <w:r>
        <w:rPr>
          <w:rFonts w:hint="eastAsia" w:ascii="宋体" w:hAnsi="宋体"/>
          <w:color w:val="auto"/>
          <w:szCs w:val="21"/>
        </w:rPr>
        <w:t>(</w:t>
      </w:r>
      <w:r>
        <w:rPr>
          <w:rFonts w:ascii="宋体" w:hAnsi="宋体"/>
          <w:color w:val="auto"/>
          <w:szCs w:val="21"/>
        </w:rPr>
        <w:t>1)</w:t>
      </w:r>
      <w:r>
        <w:rPr>
          <w:rFonts w:hint="eastAsia" w:ascii="宋体" w:hAnsi="宋体"/>
          <w:color w:val="auto"/>
          <w:szCs w:val="21"/>
        </w:rPr>
        <w:t>报价未采用人民币或者未按照采购文件标明的币种报价的；</w:t>
      </w:r>
    </w:p>
    <w:p>
      <w:pPr>
        <w:snapToGrid w:val="0"/>
        <w:spacing w:line="406" w:lineRule="exact"/>
        <w:ind w:firstLine="420" w:firstLineChars="200"/>
        <w:rPr>
          <w:rFonts w:ascii="宋体" w:hAnsi="宋体"/>
          <w:color w:val="auto"/>
          <w:szCs w:val="21"/>
        </w:rPr>
      </w:pPr>
      <w:r>
        <w:rPr>
          <w:rFonts w:ascii="宋体" w:hAnsi="宋体"/>
          <w:color w:val="auto"/>
          <w:szCs w:val="21"/>
        </w:rPr>
        <w:t>(2)</w:t>
      </w:r>
      <w:r>
        <w:rPr>
          <w:rFonts w:hint="eastAsia" w:ascii="宋体" w:hAnsi="宋体"/>
          <w:color w:val="auto"/>
          <w:szCs w:val="21"/>
        </w:rPr>
        <w:t>报价明细表中货物品牌、规格、型号、服务事项未明确或与响应文件中相应内容不一致的；</w:t>
      </w:r>
    </w:p>
    <w:p>
      <w:pPr>
        <w:snapToGrid w:val="0"/>
        <w:spacing w:line="406" w:lineRule="exact"/>
        <w:ind w:firstLine="420" w:firstLineChars="200"/>
        <w:rPr>
          <w:rFonts w:ascii="宋体" w:hAnsi="宋体"/>
          <w:color w:val="auto"/>
          <w:szCs w:val="21"/>
        </w:rPr>
      </w:pPr>
      <w:r>
        <w:rPr>
          <w:rFonts w:ascii="宋体" w:hAnsi="宋体"/>
          <w:color w:val="auto"/>
          <w:szCs w:val="21"/>
        </w:rPr>
        <w:t>(3)</w:t>
      </w:r>
      <w:r>
        <w:rPr>
          <w:rFonts w:hint="eastAsia" w:ascii="宋体" w:hAnsi="宋体"/>
          <w:color w:val="auto"/>
          <w:szCs w:val="21"/>
        </w:rPr>
        <w:t>报价具有选择性的；</w:t>
      </w:r>
    </w:p>
    <w:p>
      <w:pPr>
        <w:snapToGrid w:val="0"/>
        <w:spacing w:line="406" w:lineRule="exact"/>
        <w:ind w:firstLine="420" w:firstLineChars="200"/>
        <w:rPr>
          <w:rFonts w:hint="eastAsia" w:ascii="宋体" w:hAnsi="宋体"/>
          <w:color w:val="auto"/>
          <w:szCs w:val="21"/>
        </w:rPr>
      </w:pPr>
      <w:r>
        <w:rPr>
          <w:rFonts w:ascii="宋体" w:hAnsi="宋体"/>
          <w:color w:val="auto"/>
          <w:szCs w:val="21"/>
        </w:rPr>
        <w:t>(4)</w:t>
      </w:r>
      <w:r>
        <w:rPr>
          <w:rFonts w:hint="eastAsia" w:ascii="宋体" w:hAnsi="宋体"/>
          <w:color w:val="auto"/>
          <w:szCs w:val="21"/>
        </w:rPr>
        <w:t>报价未按采购文件或政府采购云平台规定的格式填写，或未在规定时间内提交最后报价的。</w:t>
      </w:r>
    </w:p>
    <w:p>
      <w:pPr>
        <w:widowControl/>
        <w:spacing w:line="540" w:lineRule="exact"/>
        <w:ind w:firstLine="402" w:firstLineChars="200"/>
        <w:jc w:val="left"/>
        <w:rPr>
          <w:rFonts w:hint="eastAsia" w:ascii="宋体" w:hAnsi="宋体" w:eastAsia="宋体" w:cs="宋体"/>
          <w:b/>
          <w:bCs/>
          <w:color w:val="auto"/>
          <w:sz w:val="20"/>
          <w:szCs w:val="20"/>
        </w:rPr>
      </w:pPr>
      <w:r>
        <w:rPr>
          <w:rFonts w:hint="eastAsia" w:ascii="宋体" w:hAnsi="宋体" w:cs="宋体"/>
          <w:b/>
          <w:bCs/>
          <w:color w:val="auto"/>
          <w:sz w:val="20"/>
          <w:szCs w:val="20"/>
          <w:lang w:val="en-US" w:eastAsia="zh-CN"/>
        </w:rPr>
        <w:t>4.</w:t>
      </w:r>
      <w:r>
        <w:rPr>
          <w:rFonts w:hint="eastAsia" w:ascii="宋体" w:hAnsi="宋体" w:cs="宋体"/>
          <w:b/>
          <w:bCs/>
          <w:color w:val="auto"/>
          <w:sz w:val="20"/>
          <w:szCs w:val="20"/>
          <w:lang w:eastAsia="zh-CN"/>
        </w:rPr>
        <w:t>磋商小组</w:t>
      </w:r>
      <w:r>
        <w:rPr>
          <w:rFonts w:hint="eastAsia" w:ascii="宋体" w:hAnsi="宋体" w:eastAsia="宋体" w:cs="宋体"/>
          <w:b/>
          <w:bCs/>
          <w:color w:val="auto"/>
          <w:sz w:val="20"/>
          <w:szCs w:val="20"/>
        </w:rPr>
        <w:t>在评审中发现下列情形之一的，应当</w:t>
      </w:r>
      <w:bookmarkStart w:id="144" w:name="OLE_LINK2"/>
      <w:r>
        <w:rPr>
          <w:rFonts w:hint="eastAsia" w:ascii="宋体" w:hAnsi="宋体" w:eastAsia="宋体" w:cs="宋体"/>
          <w:b/>
          <w:bCs/>
          <w:color w:val="auto"/>
          <w:sz w:val="20"/>
          <w:szCs w:val="20"/>
        </w:rPr>
        <w:t>启动异常低价响应审查程序</w:t>
      </w:r>
      <w:bookmarkEnd w:id="144"/>
      <w:r>
        <w:rPr>
          <w:rFonts w:hint="eastAsia" w:ascii="宋体" w:hAnsi="宋体" w:eastAsia="宋体" w:cs="宋体"/>
          <w:b/>
          <w:bCs/>
          <w:color w:val="auto"/>
          <w:sz w:val="20"/>
          <w:szCs w:val="20"/>
        </w:rPr>
        <w:t>：</w:t>
      </w:r>
    </w:p>
    <w:p>
      <w:pPr>
        <w:pStyle w:val="23"/>
        <w:spacing w:line="406" w:lineRule="exact"/>
        <w:ind w:firstLine="420" w:firstLineChars="200"/>
        <w:rPr>
          <w:rFonts w:hint="eastAsia" w:hAnsi="宋体"/>
          <w:bCs/>
          <w:color w:val="auto"/>
        </w:rPr>
      </w:pPr>
      <w:r>
        <w:rPr>
          <w:rFonts w:hint="eastAsia" w:hAnsi="宋体"/>
          <w:bCs/>
          <w:color w:val="auto"/>
          <w:lang w:eastAsia="zh-CN"/>
        </w:rPr>
        <w:t>（</w:t>
      </w:r>
      <w:r>
        <w:rPr>
          <w:rFonts w:hint="eastAsia" w:hAnsi="宋体"/>
          <w:bCs/>
          <w:color w:val="auto"/>
          <w:lang w:val="en-US" w:eastAsia="zh-CN"/>
        </w:rPr>
        <w:t>1</w:t>
      </w:r>
      <w:r>
        <w:rPr>
          <w:rFonts w:hint="eastAsia" w:hAnsi="宋体"/>
          <w:bCs/>
          <w:color w:val="auto"/>
          <w:lang w:eastAsia="zh-CN"/>
        </w:rPr>
        <w:t>）响应报价</w:t>
      </w:r>
      <w:r>
        <w:rPr>
          <w:rFonts w:hint="eastAsia" w:hAnsi="宋体"/>
          <w:bCs/>
          <w:color w:val="auto"/>
        </w:rPr>
        <w:t>低于全部通过符合性审查供应商</w:t>
      </w:r>
      <w:r>
        <w:rPr>
          <w:rFonts w:hint="eastAsia" w:hAnsi="宋体"/>
          <w:bCs/>
          <w:color w:val="auto"/>
          <w:lang w:eastAsia="zh-CN"/>
        </w:rPr>
        <w:t>响应报价</w:t>
      </w:r>
      <w:r>
        <w:rPr>
          <w:rFonts w:hint="eastAsia" w:hAnsi="宋体"/>
          <w:bCs/>
          <w:color w:val="auto"/>
        </w:rPr>
        <w:t>平均值50%的，即</w:t>
      </w:r>
      <w:r>
        <w:rPr>
          <w:rFonts w:hint="eastAsia" w:hAnsi="宋体"/>
          <w:bCs/>
          <w:color w:val="auto"/>
          <w:lang w:eastAsia="zh-CN"/>
        </w:rPr>
        <w:t>响应报价</w:t>
      </w:r>
      <w:r>
        <w:rPr>
          <w:rFonts w:hint="eastAsia" w:hAnsi="宋体"/>
          <w:bCs/>
          <w:color w:val="auto"/>
        </w:rPr>
        <w:t>＜全部通过符合性审查供应商</w:t>
      </w:r>
      <w:r>
        <w:rPr>
          <w:rFonts w:hint="eastAsia" w:hAnsi="宋体"/>
          <w:bCs/>
          <w:color w:val="auto"/>
          <w:lang w:eastAsia="zh-CN"/>
        </w:rPr>
        <w:t>响应报价</w:t>
      </w:r>
      <w:r>
        <w:rPr>
          <w:rFonts w:hint="eastAsia" w:hAnsi="宋体"/>
          <w:bCs/>
          <w:color w:val="auto"/>
        </w:rPr>
        <w:t>平均值×50%；</w:t>
      </w:r>
    </w:p>
    <w:p>
      <w:pPr>
        <w:pStyle w:val="23"/>
        <w:spacing w:line="406" w:lineRule="exact"/>
        <w:ind w:firstLine="420" w:firstLineChars="200"/>
        <w:rPr>
          <w:rFonts w:hint="eastAsia" w:hAnsi="宋体"/>
          <w:bCs/>
          <w:color w:val="auto"/>
        </w:rPr>
      </w:pPr>
      <w:r>
        <w:rPr>
          <w:rFonts w:hint="eastAsia" w:hAnsi="宋体"/>
          <w:bCs/>
          <w:color w:val="auto"/>
          <w:lang w:eastAsia="zh-CN"/>
        </w:rPr>
        <w:t>（</w:t>
      </w:r>
      <w:r>
        <w:rPr>
          <w:rFonts w:hint="eastAsia" w:hAnsi="宋体"/>
          <w:bCs/>
          <w:color w:val="auto"/>
          <w:lang w:val="en-US" w:eastAsia="zh-CN"/>
        </w:rPr>
        <w:t>2</w:t>
      </w:r>
      <w:r>
        <w:rPr>
          <w:rFonts w:hint="eastAsia" w:hAnsi="宋体"/>
          <w:bCs/>
          <w:color w:val="auto"/>
          <w:lang w:eastAsia="zh-CN"/>
        </w:rPr>
        <w:t>）响应报价</w:t>
      </w:r>
      <w:r>
        <w:rPr>
          <w:rFonts w:hint="eastAsia" w:hAnsi="宋体"/>
          <w:bCs/>
          <w:color w:val="auto"/>
        </w:rPr>
        <w:t>低于通过符合性审查的次低报价供应商</w:t>
      </w:r>
      <w:r>
        <w:rPr>
          <w:rFonts w:hint="eastAsia" w:hAnsi="宋体"/>
          <w:bCs/>
          <w:color w:val="auto"/>
          <w:lang w:eastAsia="zh-CN"/>
        </w:rPr>
        <w:t>响应报价</w:t>
      </w:r>
      <w:r>
        <w:rPr>
          <w:rFonts w:hint="eastAsia" w:hAnsi="宋体"/>
          <w:bCs/>
          <w:color w:val="auto"/>
        </w:rPr>
        <w:t>50%的，即</w:t>
      </w:r>
      <w:r>
        <w:rPr>
          <w:rFonts w:hint="eastAsia" w:hAnsi="宋体"/>
          <w:bCs/>
          <w:color w:val="auto"/>
          <w:lang w:eastAsia="zh-CN"/>
        </w:rPr>
        <w:t>响应报价</w:t>
      </w:r>
      <w:r>
        <w:rPr>
          <w:rFonts w:hint="eastAsia" w:hAnsi="宋体"/>
          <w:bCs/>
          <w:color w:val="auto"/>
        </w:rPr>
        <w:t>＜通过符合性审查的次低报价供应商</w:t>
      </w:r>
      <w:r>
        <w:rPr>
          <w:rFonts w:hint="eastAsia" w:hAnsi="宋体"/>
          <w:bCs/>
          <w:color w:val="auto"/>
          <w:lang w:eastAsia="zh-CN"/>
        </w:rPr>
        <w:t>响应报价</w:t>
      </w:r>
      <w:r>
        <w:rPr>
          <w:rFonts w:hint="eastAsia" w:hAnsi="宋体"/>
          <w:bCs/>
          <w:color w:val="auto"/>
        </w:rPr>
        <w:t>×50%；</w:t>
      </w:r>
    </w:p>
    <w:p>
      <w:pPr>
        <w:pStyle w:val="23"/>
        <w:spacing w:line="406" w:lineRule="exact"/>
        <w:ind w:firstLine="420" w:firstLineChars="200"/>
        <w:rPr>
          <w:rFonts w:hint="eastAsia" w:hAnsi="宋体"/>
          <w:bCs/>
          <w:color w:val="auto"/>
        </w:rPr>
      </w:pPr>
      <w:r>
        <w:rPr>
          <w:rFonts w:hint="eastAsia" w:hAnsi="宋体"/>
          <w:bCs/>
          <w:color w:val="auto"/>
          <w:lang w:eastAsia="zh-CN"/>
        </w:rPr>
        <w:t>（</w:t>
      </w:r>
      <w:r>
        <w:rPr>
          <w:rFonts w:hint="eastAsia" w:hAnsi="宋体"/>
          <w:bCs/>
          <w:color w:val="auto"/>
          <w:lang w:val="en-US" w:eastAsia="zh-CN"/>
        </w:rPr>
        <w:t>3</w:t>
      </w:r>
      <w:r>
        <w:rPr>
          <w:rFonts w:hint="eastAsia" w:hAnsi="宋体"/>
          <w:bCs/>
          <w:color w:val="auto"/>
          <w:lang w:eastAsia="zh-CN"/>
        </w:rPr>
        <w:t>）响应报价</w:t>
      </w:r>
      <w:r>
        <w:rPr>
          <w:rFonts w:hint="eastAsia" w:hAnsi="宋体"/>
          <w:bCs/>
          <w:color w:val="auto"/>
        </w:rPr>
        <w:t>低于采购项目最高限价45%的，即</w:t>
      </w:r>
      <w:r>
        <w:rPr>
          <w:rFonts w:hint="eastAsia" w:hAnsi="宋体"/>
          <w:bCs/>
          <w:color w:val="auto"/>
          <w:lang w:eastAsia="zh-CN"/>
        </w:rPr>
        <w:t>响应报价</w:t>
      </w:r>
      <w:r>
        <w:rPr>
          <w:rFonts w:hint="eastAsia" w:hAnsi="宋体"/>
          <w:bCs/>
          <w:color w:val="auto"/>
        </w:rPr>
        <w:t>＜采购项目最高限价×45%；</w:t>
      </w:r>
    </w:p>
    <w:p>
      <w:pPr>
        <w:pStyle w:val="23"/>
        <w:spacing w:line="406" w:lineRule="exact"/>
        <w:ind w:firstLine="420" w:firstLineChars="200"/>
        <w:rPr>
          <w:rFonts w:hint="eastAsia" w:hAnsi="宋体"/>
          <w:bCs/>
          <w:color w:val="auto"/>
        </w:rPr>
      </w:pPr>
      <w:r>
        <w:rPr>
          <w:rFonts w:hint="eastAsia" w:hAnsi="宋体"/>
          <w:bCs/>
          <w:color w:val="auto"/>
          <w:lang w:eastAsia="zh-CN"/>
        </w:rPr>
        <w:t>（</w:t>
      </w:r>
      <w:r>
        <w:rPr>
          <w:rFonts w:hint="eastAsia" w:hAnsi="宋体"/>
          <w:bCs/>
          <w:color w:val="auto"/>
          <w:lang w:val="en-US" w:eastAsia="zh-CN"/>
        </w:rPr>
        <w:t>4</w:t>
      </w:r>
      <w:r>
        <w:rPr>
          <w:rFonts w:hint="eastAsia" w:hAnsi="宋体"/>
          <w:bCs/>
          <w:color w:val="auto"/>
          <w:lang w:eastAsia="zh-CN"/>
        </w:rPr>
        <w:t>）磋商小组</w:t>
      </w:r>
      <w:r>
        <w:rPr>
          <w:rFonts w:hint="eastAsia" w:hAnsi="宋体"/>
          <w:bCs/>
          <w:color w:val="auto"/>
        </w:rPr>
        <w:t>基于专业判断，认为供应商报价过低，有可能影响产品质量或者不能诚信履约的其他情形。</w:t>
      </w:r>
    </w:p>
    <w:p>
      <w:pPr>
        <w:pStyle w:val="23"/>
        <w:spacing w:line="406" w:lineRule="exact"/>
        <w:ind w:firstLine="420" w:firstLineChars="200"/>
        <w:rPr>
          <w:rFonts w:hint="eastAsia" w:hAnsi="宋体"/>
          <w:bCs/>
          <w:color w:val="auto"/>
        </w:rPr>
      </w:pPr>
      <w:r>
        <w:rPr>
          <w:rFonts w:hint="eastAsia" w:hAnsi="宋体"/>
          <w:bCs/>
          <w:color w:val="auto"/>
          <w:lang w:eastAsia="zh-CN"/>
        </w:rPr>
        <w:t>磋商小组</w:t>
      </w:r>
      <w:r>
        <w:rPr>
          <w:rFonts w:hint="eastAsia" w:hAnsi="宋体"/>
          <w:bCs/>
          <w:color w:val="auto"/>
        </w:rPr>
        <w:t>启动异常低价响应审查后，属于前述第</w:t>
      </w:r>
      <w:r>
        <w:rPr>
          <w:rFonts w:hint="eastAsia" w:hAnsi="宋体"/>
          <w:bCs/>
          <w:color w:val="auto"/>
          <w:lang w:eastAsia="zh-CN"/>
        </w:rPr>
        <w:t>（</w:t>
      </w:r>
      <w:r>
        <w:rPr>
          <w:rFonts w:hint="eastAsia" w:hAnsi="宋体"/>
          <w:bCs/>
          <w:color w:val="auto"/>
          <w:lang w:val="en-US" w:eastAsia="zh-CN"/>
        </w:rPr>
        <w:t>1</w:t>
      </w:r>
      <w:r>
        <w:rPr>
          <w:rFonts w:hint="eastAsia" w:hAnsi="宋体"/>
          <w:bCs/>
          <w:color w:val="auto"/>
          <w:lang w:eastAsia="zh-CN"/>
        </w:rPr>
        <w:t>）</w:t>
      </w:r>
      <w:r>
        <w:rPr>
          <w:rFonts w:hint="eastAsia" w:hAnsi="宋体"/>
          <w:bCs/>
          <w:color w:val="auto"/>
        </w:rPr>
        <w:t>项至第</w:t>
      </w:r>
      <w:r>
        <w:rPr>
          <w:rFonts w:hint="eastAsia" w:hAnsi="宋体"/>
          <w:bCs/>
          <w:color w:val="auto"/>
          <w:lang w:eastAsia="zh-CN"/>
        </w:rPr>
        <w:t>（</w:t>
      </w:r>
      <w:r>
        <w:rPr>
          <w:rFonts w:hint="eastAsia" w:hAnsi="宋体"/>
          <w:bCs/>
          <w:color w:val="auto"/>
          <w:lang w:val="en-US" w:eastAsia="zh-CN"/>
        </w:rPr>
        <w:t>4</w:t>
      </w:r>
      <w:r>
        <w:rPr>
          <w:rFonts w:hint="eastAsia" w:hAnsi="宋体"/>
          <w:bCs/>
          <w:color w:val="auto"/>
          <w:lang w:eastAsia="zh-CN"/>
        </w:rPr>
        <w:t>）</w:t>
      </w:r>
      <w:r>
        <w:rPr>
          <w:rFonts w:hint="eastAsia" w:hAnsi="宋体"/>
          <w:bCs/>
          <w:color w:val="auto"/>
        </w:rPr>
        <w:t>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hAnsi="宋体"/>
          <w:bCs/>
          <w:color w:val="auto"/>
          <w:lang w:eastAsia="zh-CN"/>
        </w:rPr>
        <w:t>（</w:t>
      </w:r>
      <w:r>
        <w:rPr>
          <w:rFonts w:hint="eastAsia" w:hAnsi="宋体"/>
          <w:bCs/>
          <w:color w:val="auto"/>
          <w:lang w:val="en-US" w:eastAsia="zh-CN"/>
        </w:rPr>
        <w:t>3</w:t>
      </w:r>
      <w:r>
        <w:rPr>
          <w:rFonts w:hint="eastAsia" w:hAnsi="宋体"/>
          <w:bCs/>
          <w:color w:val="auto"/>
          <w:lang w:eastAsia="zh-CN"/>
        </w:rPr>
        <w:t>）</w:t>
      </w:r>
      <w:r>
        <w:rPr>
          <w:rFonts w:hint="eastAsia" w:hAnsi="宋体"/>
          <w:bCs/>
          <w:color w:val="auto"/>
        </w:rPr>
        <w:t>项情形，供应商已随响应文件一并提交相关书面说明及必要的证明材料的，可不再重复提交。</w:t>
      </w:r>
    </w:p>
    <w:p>
      <w:pPr>
        <w:pStyle w:val="23"/>
        <w:spacing w:line="406" w:lineRule="exact"/>
        <w:ind w:firstLine="420" w:firstLineChars="200"/>
        <w:rPr>
          <w:rFonts w:hint="eastAsia" w:hAnsi="宋体"/>
          <w:b/>
          <w:bCs w:val="0"/>
          <w:color w:val="auto"/>
        </w:rPr>
      </w:pPr>
      <w:r>
        <w:rPr>
          <w:rFonts w:hint="eastAsia" w:hAnsi="宋体"/>
          <w:bCs/>
          <w:color w:val="auto"/>
          <w:lang w:eastAsia="zh-CN"/>
        </w:rPr>
        <w:t>磋商小组</w:t>
      </w:r>
      <w:r>
        <w:rPr>
          <w:rFonts w:hint="eastAsia" w:hAnsi="宋体"/>
          <w:bCs/>
          <w:color w:val="auto"/>
        </w:rPr>
        <w:t>依据专业经验，参考同类项目中标（成交）价格、类似产品市场价格水平、行业人工费用标准、国家有关部门指导行业协会发布的行业平均成本等情况，对报价合理性进行判断。</w:t>
      </w:r>
      <w:r>
        <w:rPr>
          <w:rFonts w:hint="eastAsia" w:hAnsi="宋体"/>
          <w:b/>
          <w:bCs w:val="0"/>
          <w:color w:val="auto"/>
        </w:rPr>
        <w:t>相关供应商不能提供书面说明、证明材料，或者提供的书面说明、证明材料不能证明其报价合理性的，</w:t>
      </w:r>
      <w:r>
        <w:rPr>
          <w:rFonts w:hint="eastAsia" w:hAnsi="宋体"/>
          <w:b/>
          <w:bCs w:val="0"/>
          <w:color w:val="auto"/>
          <w:lang w:eastAsia="zh-CN"/>
        </w:rPr>
        <w:t>磋商小组</w:t>
      </w:r>
      <w:r>
        <w:rPr>
          <w:rFonts w:hint="eastAsia" w:hAnsi="宋体"/>
          <w:b/>
          <w:bCs w:val="0"/>
          <w:color w:val="auto"/>
        </w:rPr>
        <w:t>应当将其作为无效响应处理。</w:t>
      </w:r>
    </w:p>
    <w:p>
      <w:pPr>
        <w:pStyle w:val="23"/>
        <w:spacing w:line="406" w:lineRule="exact"/>
        <w:ind w:firstLine="420" w:firstLineChars="200"/>
        <w:rPr>
          <w:rFonts w:hint="eastAsia" w:hAnsi="宋体"/>
          <w:bCs/>
          <w:color w:val="auto"/>
        </w:rPr>
      </w:pPr>
      <w:r>
        <w:rPr>
          <w:rFonts w:hint="eastAsia" w:hAnsi="宋体"/>
          <w:bCs/>
          <w:color w:val="auto"/>
        </w:rPr>
        <w:t>采购人、采购代理机构应当为</w:t>
      </w:r>
      <w:r>
        <w:rPr>
          <w:rFonts w:hint="eastAsia" w:hAnsi="宋体"/>
          <w:bCs/>
          <w:color w:val="auto"/>
          <w:lang w:eastAsia="zh-CN"/>
        </w:rPr>
        <w:t>磋商小组</w:t>
      </w:r>
      <w:r>
        <w:rPr>
          <w:rFonts w:hint="eastAsia" w:hAnsi="宋体"/>
          <w:bCs/>
          <w:color w:val="auto"/>
        </w:rPr>
        <w:t>在评审现场及时获取同类项目中标（成交）价格、类似产品市场价格水平、行业人工费用标准、国家有关部门指导行业协会发布的行业平均成本等相关信息资料提供便利。</w:t>
      </w:r>
      <w:r>
        <w:rPr>
          <w:rFonts w:hint="eastAsia" w:hAnsi="宋体"/>
          <w:bCs/>
          <w:color w:val="auto"/>
          <w:lang w:eastAsia="zh-CN"/>
        </w:rPr>
        <w:t>磋商小组</w:t>
      </w:r>
      <w:r>
        <w:rPr>
          <w:rFonts w:hint="eastAsia" w:hAnsi="宋体"/>
          <w:bCs/>
          <w:color w:val="auto"/>
        </w:rPr>
        <w:t>借助互联网等渠道查询相关信息的，应当严格遵守评审工作纪律，不得实施影响评审公正的行为。</w:t>
      </w:r>
    </w:p>
    <w:p>
      <w:pPr>
        <w:pStyle w:val="23"/>
        <w:spacing w:line="406" w:lineRule="exact"/>
        <w:ind w:firstLine="420" w:firstLineChars="200"/>
        <w:rPr>
          <w:rFonts w:hint="eastAsia" w:hAnsi="宋体"/>
          <w:bCs/>
          <w:color w:val="auto"/>
        </w:rPr>
      </w:pPr>
      <w:r>
        <w:rPr>
          <w:rFonts w:hint="eastAsia" w:hAnsi="宋体"/>
          <w:bCs/>
          <w:color w:val="auto"/>
        </w:rPr>
        <w:t>异常低价响应审查的启动原因、审查意见和审查结果应当在评审报告中记录，并随供应商提供的相关书面说明及证明材料，以及</w:t>
      </w:r>
      <w:r>
        <w:rPr>
          <w:rFonts w:hint="eastAsia" w:hAnsi="宋体"/>
          <w:bCs/>
          <w:color w:val="auto"/>
          <w:lang w:eastAsia="zh-CN"/>
        </w:rPr>
        <w:t>磋商小组</w:t>
      </w:r>
      <w:r>
        <w:rPr>
          <w:rFonts w:hint="eastAsia" w:hAnsi="宋体"/>
          <w:bCs/>
          <w:color w:val="auto"/>
        </w:rPr>
        <w:t>有关互联网浏览、查询历史一并归档。</w:t>
      </w:r>
    </w:p>
    <w:p>
      <w:pPr>
        <w:spacing w:line="406" w:lineRule="exact"/>
        <w:ind w:firstLine="211" w:firstLineChars="100"/>
        <w:rPr>
          <w:b/>
          <w:bCs/>
          <w:color w:val="auto"/>
        </w:rPr>
      </w:pPr>
      <w:r>
        <w:rPr>
          <w:rFonts w:hint="eastAsia"/>
          <w:b/>
          <w:bCs/>
          <w:color w:val="auto"/>
        </w:rPr>
        <w:t>（六）澄清、说明或者更正的形式</w:t>
      </w:r>
    </w:p>
    <w:p>
      <w:pPr>
        <w:pStyle w:val="23"/>
        <w:spacing w:line="406" w:lineRule="exact"/>
        <w:ind w:firstLine="420"/>
        <w:rPr>
          <w:rFonts w:hAnsi="宋体"/>
          <w:bCs/>
          <w:color w:val="auto"/>
        </w:rPr>
      </w:pPr>
      <w:r>
        <w:rPr>
          <w:rFonts w:hint="eastAsia" w:hAnsi="宋体"/>
          <w:bCs/>
          <w:color w:val="auto"/>
        </w:rPr>
        <w:t>1</w:t>
      </w:r>
      <w:r>
        <w:rPr>
          <w:rFonts w:hAnsi="宋体"/>
          <w:bCs/>
          <w:color w:val="auto"/>
        </w:rPr>
        <w:t>.</w:t>
      </w:r>
      <w:r>
        <w:rPr>
          <w:rFonts w:hint="eastAsia" w:hAnsi="宋体"/>
          <w:bCs/>
          <w:color w:val="auto"/>
        </w:rPr>
        <w:t>磋商小组在对响应文件的有效性、完整性和响应程度进行审查时，可以要求供应商对响应文件中含义不明确、同类问题表述不一致或者有明显文字和计算错误的内容等作出必要的</w:t>
      </w:r>
      <w:bookmarkStart w:id="145" w:name="_Hlk92462362"/>
      <w:r>
        <w:rPr>
          <w:rFonts w:hint="eastAsia" w:hAnsi="宋体"/>
          <w:bCs/>
          <w:color w:val="auto"/>
        </w:rPr>
        <w:t>澄清、说明或者更正</w:t>
      </w:r>
      <w:bookmarkEnd w:id="145"/>
      <w:r>
        <w:rPr>
          <w:rFonts w:hint="eastAsia" w:hAnsi="宋体"/>
          <w:bCs/>
          <w:color w:val="auto"/>
        </w:rPr>
        <w:t>。供应商的澄清、说明或者更正不得超出响应文件的范围或者改变响应文件的实质性内容。</w:t>
      </w:r>
    </w:p>
    <w:p>
      <w:pPr>
        <w:pStyle w:val="23"/>
        <w:spacing w:line="406" w:lineRule="exact"/>
        <w:ind w:firstLine="420"/>
        <w:rPr>
          <w:rFonts w:hAnsi="宋体"/>
          <w:bCs/>
          <w:color w:val="auto"/>
        </w:rPr>
      </w:pPr>
      <w:r>
        <w:rPr>
          <w:rFonts w:hint="eastAsia" w:hAnsi="宋体"/>
          <w:bCs/>
          <w:color w:val="auto"/>
        </w:rPr>
        <w:t>2</w:t>
      </w:r>
      <w:r>
        <w:rPr>
          <w:rFonts w:hAnsi="宋体"/>
          <w:bCs/>
          <w:color w:val="auto"/>
        </w:rPr>
        <w:t>.</w:t>
      </w:r>
      <w:r>
        <w:rPr>
          <w:rFonts w:hint="eastAsia" w:hAnsi="宋体"/>
          <w:bCs/>
          <w:color w:val="auto"/>
        </w:rPr>
        <w:t>磋商小组要求供应商澄清、说明或者更正响应文件应当以书面形式作出。供应商的澄清、说明或者更正应当由法定代表人或其授权代表签名或者加盖公章。由授权代表签名的，应当附法定代表人授权书。供应商为自然人的，应当由本人签名并附身份证明。</w:t>
      </w:r>
    </w:p>
    <w:p>
      <w:pPr>
        <w:spacing w:line="406" w:lineRule="exact"/>
        <w:ind w:firstLine="211" w:firstLineChars="100"/>
        <w:rPr>
          <w:b/>
          <w:bCs/>
          <w:color w:val="auto"/>
        </w:rPr>
      </w:pPr>
      <w:r>
        <w:rPr>
          <w:rFonts w:hint="eastAsia"/>
          <w:b/>
          <w:bCs/>
          <w:color w:val="auto"/>
        </w:rPr>
        <w:t>（七）综合评分</w:t>
      </w:r>
    </w:p>
    <w:p>
      <w:pPr>
        <w:spacing w:line="406" w:lineRule="exact"/>
        <w:ind w:firstLine="420" w:firstLineChars="200"/>
        <w:rPr>
          <w:rFonts w:ascii="宋体" w:hAnsi="Courier New" w:cs="Courier New"/>
          <w:color w:val="auto"/>
          <w:szCs w:val="21"/>
        </w:rPr>
      </w:pPr>
      <w:r>
        <w:rPr>
          <w:rFonts w:hint="eastAsia" w:ascii="宋体" w:hAnsi="Courier New" w:cs="Courier New"/>
          <w:color w:val="auto"/>
          <w:szCs w:val="21"/>
        </w:rPr>
        <w:t>1</w:t>
      </w:r>
      <w:r>
        <w:rPr>
          <w:rFonts w:ascii="宋体" w:hAnsi="Courier New" w:cs="Courier New"/>
          <w:color w:val="auto"/>
          <w:szCs w:val="21"/>
        </w:rPr>
        <w:t>.</w:t>
      </w:r>
      <w:r>
        <w:rPr>
          <w:rFonts w:hint="eastAsia" w:ascii="宋体" w:hAnsi="Courier New" w:cs="Courier New"/>
          <w:color w:val="auto"/>
          <w:szCs w:val="21"/>
        </w:rPr>
        <w:t>经磋商确定最终采购需求和提交最后报价的供应商后，由磋商小组采用综合评分法对提交最后报价的供应商的响应文件和最后报价进行综合评分。</w:t>
      </w:r>
    </w:p>
    <w:p>
      <w:pPr>
        <w:spacing w:line="406" w:lineRule="exact"/>
        <w:ind w:firstLine="420" w:firstLineChars="200"/>
        <w:rPr>
          <w:color w:val="auto"/>
        </w:rPr>
      </w:pPr>
      <w:r>
        <w:rPr>
          <w:rFonts w:hint="eastAsia" w:ascii="宋体" w:hAnsi="Courier New" w:cs="Courier New"/>
          <w:color w:val="auto"/>
          <w:szCs w:val="21"/>
        </w:rPr>
        <w:t>2</w:t>
      </w:r>
      <w:r>
        <w:rPr>
          <w:rFonts w:ascii="宋体" w:hAnsi="Courier New" w:cs="Courier New"/>
          <w:color w:val="auto"/>
          <w:szCs w:val="21"/>
        </w:rPr>
        <w:t>.</w:t>
      </w:r>
      <w:r>
        <w:rPr>
          <w:rFonts w:hint="eastAsia" w:ascii="宋体" w:hAnsi="Courier New" w:cs="Courier New"/>
          <w:color w:val="auto"/>
          <w:szCs w:val="21"/>
        </w:rPr>
        <w:t>综合评分法：响应文件满足磋商文件全部实质性要求且按评审因素的量化指标评审得分最高的供应商为成交候选供应商，详见第四章《评定标准及推荐原则》。</w:t>
      </w:r>
    </w:p>
    <w:p>
      <w:pPr>
        <w:pStyle w:val="23"/>
        <w:spacing w:line="406" w:lineRule="exact"/>
        <w:ind w:firstLine="211" w:firstLineChars="100"/>
        <w:rPr>
          <w:rFonts w:hAnsi="宋体"/>
          <w:b/>
          <w:color w:val="auto"/>
        </w:rPr>
      </w:pPr>
      <w:r>
        <w:rPr>
          <w:rFonts w:hint="eastAsia" w:hAnsi="宋体"/>
          <w:b/>
          <w:color w:val="auto"/>
        </w:rPr>
        <w:t>（八）供应商有下列情形之一的，属于恶意串通：</w:t>
      </w:r>
    </w:p>
    <w:p>
      <w:pPr>
        <w:pStyle w:val="23"/>
        <w:spacing w:line="406" w:lineRule="exact"/>
        <w:ind w:firstLine="420" w:firstLineChars="200"/>
        <w:rPr>
          <w:rFonts w:hAnsi="宋体" w:cs="Times New Roman"/>
          <w:color w:val="auto"/>
        </w:rPr>
      </w:pPr>
      <w:r>
        <w:rPr>
          <w:rFonts w:hint="eastAsia" w:hAnsi="宋体" w:cs="Times New Roman"/>
          <w:color w:val="auto"/>
        </w:rPr>
        <w:t>1</w:t>
      </w:r>
      <w:r>
        <w:rPr>
          <w:rFonts w:hAnsi="宋体" w:cs="Times New Roman"/>
          <w:color w:val="auto"/>
        </w:rPr>
        <w:t>.</w:t>
      </w:r>
      <w:r>
        <w:rPr>
          <w:rFonts w:hint="eastAsia" w:hAnsi="宋体" w:cs="Times New Roman"/>
          <w:color w:val="auto"/>
        </w:rPr>
        <w:t>供应商直接或者间接从采购人或者采购代理机构处获得其他供应商的相关情况并修改其响应文件；</w:t>
      </w:r>
    </w:p>
    <w:p>
      <w:pPr>
        <w:pStyle w:val="23"/>
        <w:spacing w:line="406" w:lineRule="exact"/>
        <w:ind w:firstLine="420" w:firstLineChars="200"/>
        <w:rPr>
          <w:rFonts w:hAnsi="宋体" w:cs="Times New Roman"/>
          <w:color w:val="auto"/>
        </w:rPr>
      </w:pPr>
      <w:r>
        <w:rPr>
          <w:rFonts w:hint="eastAsia" w:hAnsi="宋体" w:cs="Times New Roman"/>
          <w:color w:val="auto"/>
        </w:rPr>
        <w:t>2</w:t>
      </w:r>
      <w:r>
        <w:rPr>
          <w:rFonts w:hAnsi="宋体" w:cs="Times New Roman"/>
          <w:color w:val="auto"/>
        </w:rPr>
        <w:t>.</w:t>
      </w:r>
      <w:r>
        <w:rPr>
          <w:rFonts w:hint="eastAsia" w:hAnsi="宋体" w:cs="Times New Roman"/>
          <w:color w:val="auto"/>
        </w:rPr>
        <w:t>供应商按照采购人或者采购代理机构的授意撤换、修改响应文件；</w:t>
      </w:r>
    </w:p>
    <w:p>
      <w:pPr>
        <w:pStyle w:val="23"/>
        <w:spacing w:line="406" w:lineRule="exact"/>
        <w:ind w:firstLine="420" w:firstLineChars="200"/>
        <w:rPr>
          <w:rFonts w:hAnsi="宋体" w:cs="Times New Roman"/>
          <w:color w:val="auto"/>
        </w:rPr>
      </w:pPr>
      <w:r>
        <w:rPr>
          <w:rFonts w:hint="eastAsia" w:hAnsi="宋体" w:cs="Times New Roman"/>
          <w:color w:val="auto"/>
        </w:rPr>
        <w:t>3</w:t>
      </w:r>
      <w:r>
        <w:rPr>
          <w:rFonts w:hAnsi="宋体" w:cs="Times New Roman"/>
          <w:color w:val="auto"/>
        </w:rPr>
        <w:t>.</w:t>
      </w:r>
      <w:r>
        <w:rPr>
          <w:rFonts w:hint="eastAsia" w:hAnsi="宋体" w:cs="Times New Roman"/>
          <w:color w:val="auto"/>
        </w:rPr>
        <w:t>供应商之间协商报价、技术方案等响应文件的实质性内容；</w:t>
      </w:r>
    </w:p>
    <w:p>
      <w:pPr>
        <w:pStyle w:val="23"/>
        <w:spacing w:line="406" w:lineRule="exact"/>
        <w:ind w:firstLine="420" w:firstLineChars="200"/>
        <w:rPr>
          <w:rFonts w:hAnsi="宋体" w:cs="Times New Roman"/>
          <w:color w:val="auto"/>
        </w:rPr>
      </w:pPr>
      <w:r>
        <w:rPr>
          <w:rFonts w:hint="eastAsia" w:hAnsi="宋体" w:cs="Times New Roman"/>
          <w:color w:val="auto"/>
        </w:rPr>
        <w:t>4</w:t>
      </w:r>
      <w:r>
        <w:rPr>
          <w:rFonts w:hAnsi="宋体" w:cs="Times New Roman"/>
          <w:color w:val="auto"/>
        </w:rPr>
        <w:t>.</w:t>
      </w:r>
      <w:r>
        <w:rPr>
          <w:rFonts w:hint="eastAsia" w:hAnsi="宋体" w:cs="Times New Roman"/>
          <w:color w:val="auto"/>
        </w:rPr>
        <w:t>属于同一集团、协会、商会等组织成员的供应商按照该组织要求协同参加政府采购活动；</w:t>
      </w:r>
    </w:p>
    <w:p>
      <w:pPr>
        <w:pStyle w:val="23"/>
        <w:spacing w:line="406" w:lineRule="exact"/>
        <w:ind w:firstLine="420" w:firstLineChars="200"/>
        <w:rPr>
          <w:rFonts w:hAnsi="宋体" w:cs="Times New Roman"/>
          <w:color w:val="auto"/>
        </w:rPr>
      </w:pPr>
      <w:r>
        <w:rPr>
          <w:rFonts w:hint="eastAsia" w:hAnsi="宋体" w:cs="Times New Roman"/>
          <w:color w:val="auto"/>
        </w:rPr>
        <w:t>5</w:t>
      </w:r>
      <w:r>
        <w:rPr>
          <w:rFonts w:hAnsi="宋体" w:cs="Times New Roman"/>
          <w:color w:val="auto"/>
        </w:rPr>
        <w:t>.</w:t>
      </w:r>
      <w:r>
        <w:rPr>
          <w:rFonts w:hint="eastAsia" w:hAnsi="宋体" w:cs="Times New Roman"/>
          <w:color w:val="auto"/>
        </w:rPr>
        <w:t>供应商之间事先约定由某一特定供应商成交；</w:t>
      </w:r>
    </w:p>
    <w:p>
      <w:pPr>
        <w:pStyle w:val="23"/>
        <w:spacing w:line="406" w:lineRule="exact"/>
        <w:ind w:firstLine="420" w:firstLineChars="200"/>
        <w:rPr>
          <w:rFonts w:hAnsi="宋体" w:cs="Times New Roman"/>
          <w:color w:val="auto"/>
        </w:rPr>
      </w:pPr>
      <w:r>
        <w:rPr>
          <w:rFonts w:hint="eastAsia" w:hAnsi="宋体" w:cs="Times New Roman"/>
          <w:color w:val="auto"/>
        </w:rPr>
        <w:t>6</w:t>
      </w:r>
      <w:r>
        <w:rPr>
          <w:rFonts w:hAnsi="宋体" w:cs="Times New Roman"/>
          <w:color w:val="auto"/>
        </w:rPr>
        <w:t>.</w:t>
      </w:r>
      <w:r>
        <w:rPr>
          <w:rFonts w:hint="eastAsia" w:hAnsi="宋体" w:cs="Times New Roman"/>
          <w:color w:val="auto"/>
        </w:rPr>
        <w:t>供应商之间商定部分供应商放弃参加政府采购活动或者放弃成交；</w:t>
      </w:r>
    </w:p>
    <w:p>
      <w:pPr>
        <w:pStyle w:val="23"/>
        <w:spacing w:line="406" w:lineRule="exact"/>
        <w:ind w:firstLine="420" w:firstLineChars="200"/>
        <w:rPr>
          <w:rFonts w:hAnsi="宋体" w:cs="Times New Roman"/>
          <w:color w:val="auto"/>
        </w:rPr>
      </w:pPr>
      <w:r>
        <w:rPr>
          <w:rFonts w:hint="eastAsia" w:hAnsi="宋体" w:cs="Times New Roman"/>
          <w:color w:val="auto"/>
        </w:rPr>
        <w:t>7</w:t>
      </w:r>
      <w:r>
        <w:rPr>
          <w:rFonts w:hAnsi="宋体" w:cs="Times New Roman"/>
          <w:color w:val="auto"/>
        </w:rPr>
        <w:t>.</w:t>
      </w:r>
      <w:r>
        <w:rPr>
          <w:rFonts w:hint="eastAsia" w:hAnsi="宋体" w:cs="Times New Roman"/>
          <w:color w:val="auto"/>
        </w:rPr>
        <w:t>供应商与采购人或者采购代理机构之间、供应商相互之间，为谋求特定供应商成交或者排斥其他供应商的其他串通行为。</w:t>
      </w:r>
    </w:p>
    <w:p>
      <w:pPr>
        <w:pStyle w:val="23"/>
        <w:spacing w:line="406" w:lineRule="exact"/>
        <w:ind w:firstLine="211" w:firstLineChars="100"/>
        <w:rPr>
          <w:rFonts w:hAnsi="宋体"/>
          <w:b/>
          <w:color w:val="auto"/>
        </w:rPr>
      </w:pPr>
      <w:r>
        <w:rPr>
          <w:rFonts w:hint="eastAsia" w:hAnsi="宋体"/>
          <w:b/>
          <w:color w:val="auto"/>
        </w:rPr>
        <w:t>（九）评审报告</w:t>
      </w:r>
    </w:p>
    <w:p>
      <w:pPr>
        <w:widowControl/>
        <w:tabs>
          <w:tab w:val="left" w:pos="540"/>
        </w:tabs>
        <w:spacing w:line="406" w:lineRule="exact"/>
        <w:ind w:firstLine="420" w:firstLineChars="200"/>
        <w:jc w:val="left"/>
        <w:rPr>
          <w:color w:val="auto"/>
          <w:szCs w:val="21"/>
        </w:rPr>
      </w:pPr>
      <w:r>
        <w:rPr>
          <w:rFonts w:hint="eastAsia"/>
          <w:color w:val="auto"/>
          <w:szCs w:val="21"/>
        </w:rPr>
        <w:t>1</w:t>
      </w:r>
      <w:r>
        <w:rPr>
          <w:color w:val="auto"/>
          <w:szCs w:val="21"/>
        </w:rPr>
        <w:t>.</w:t>
      </w:r>
      <w:r>
        <w:rPr>
          <w:rFonts w:hint="eastAsia"/>
          <w:color w:val="auto"/>
          <w:szCs w:val="21"/>
        </w:rPr>
        <w:t>磋商小组应当根据评审记录和评审结果编写评审报告，主要内容包括：</w:t>
      </w:r>
    </w:p>
    <w:p>
      <w:pPr>
        <w:widowControl/>
        <w:tabs>
          <w:tab w:val="left" w:pos="540"/>
        </w:tabs>
        <w:spacing w:line="406" w:lineRule="exact"/>
        <w:ind w:firstLine="420" w:firstLineChars="200"/>
        <w:jc w:val="left"/>
        <w:rPr>
          <w:color w:val="auto"/>
          <w:szCs w:val="21"/>
        </w:rPr>
      </w:pPr>
      <w:r>
        <w:rPr>
          <w:rFonts w:hint="eastAsia"/>
          <w:color w:val="auto"/>
          <w:szCs w:val="21"/>
        </w:rPr>
        <w:t>(</w:t>
      </w:r>
      <w:r>
        <w:rPr>
          <w:color w:val="auto"/>
          <w:szCs w:val="21"/>
        </w:rPr>
        <w:t>1)</w:t>
      </w:r>
      <w:r>
        <w:rPr>
          <w:rFonts w:hint="eastAsia"/>
          <w:color w:val="auto"/>
          <w:szCs w:val="21"/>
        </w:rPr>
        <w:t>邀请供应商参加采购活动的具体方式和相关情况；</w:t>
      </w:r>
    </w:p>
    <w:p>
      <w:pPr>
        <w:widowControl/>
        <w:tabs>
          <w:tab w:val="left" w:pos="540"/>
        </w:tabs>
        <w:spacing w:line="406" w:lineRule="exact"/>
        <w:ind w:firstLine="420" w:firstLineChars="200"/>
        <w:jc w:val="left"/>
        <w:rPr>
          <w:color w:val="auto"/>
          <w:szCs w:val="21"/>
        </w:rPr>
      </w:pPr>
      <w:r>
        <w:rPr>
          <w:rFonts w:hint="eastAsia"/>
          <w:color w:val="auto"/>
          <w:szCs w:val="21"/>
        </w:rPr>
        <w:t>(</w:t>
      </w:r>
      <w:r>
        <w:rPr>
          <w:color w:val="auto"/>
          <w:szCs w:val="21"/>
        </w:rPr>
        <w:t>2)</w:t>
      </w:r>
      <w:r>
        <w:rPr>
          <w:rFonts w:hint="eastAsia"/>
          <w:color w:val="auto"/>
          <w:szCs w:val="21"/>
        </w:rPr>
        <w:t>响应文件开启日期和地点；</w:t>
      </w:r>
    </w:p>
    <w:p>
      <w:pPr>
        <w:widowControl/>
        <w:tabs>
          <w:tab w:val="left" w:pos="540"/>
        </w:tabs>
        <w:spacing w:line="406" w:lineRule="exact"/>
        <w:ind w:firstLine="420" w:firstLineChars="200"/>
        <w:jc w:val="left"/>
        <w:rPr>
          <w:color w:val="auto"/>
          <w:szCs w:val="21"/>
        </w:rPr>
      </w:pPr>
      <w:r>
        <w:rPr>
          <w:rFonts w:hint="eastAsia"/>
          <w:color w:val="auto"/>
          <w:szCs w:val="21"/>
        </w:rPr>
        <w:t>(</w:t>
      </w:r>
      <w:r>
        <w:rPr>
          <w:color w:val="auto"/>
          <w:szCs w:val="21"/>
        </w:rPr>
        <w:t>3)</w:t>
      </w:r>
      <w:r>
        <w:rPr>
          <w:rFonts w:hint="eastAsia"/>
          <w:color w:val="auto"/>
          <w:szCs w:val="21"/>
        </w:rPr>
        <w:t>获取磋商文件的供应商名单和磋商小组成员名单；</w:t>
      </w:r>
    </w:p>
    <w:p>
      <w:pPr>
        <w:widowControl/>
        <w:tabs>
          <w:tab w:val="left" w:pos="540"/>
        </w:tabs>
        <w:spacing w:line="406" w:lineRule="exact"/>
        <w:ind w:firstLine="420" w:firstLineChars="200"/>
        <w:jc w:val="left"/>
        <w:rPr>
          <w:color w:val="auto"/>
          <w:szCs w:val="21"/>
        </w:rPr>
      </w:pPr>
      <w:r>
        <w:rPr>
          <w:rFonts w:hint="eastAsia"/>
          <w:color w:val="auto"/>
          <w:szCs w:val="21"/>
        </w:rPr>
        <w:t>(</w:t>
      </w:r>
      <w:r>
        <w:rPr>
          <w:color w:val="auto"/>
          <w:szCs w:val="21"/>
        </w:rPr>
        <w:t>4)</w:t>
      </w:r>
      <w:r>
        <w:rPr>
          <w:rFonts w:hint="eastAsia"/>
          <w:color w:val="auto"/>
          <w:szCs w:val="21"/>
        </w:rPr>
        <w:t>评审情况记录和说明，包括对供应商的资格审查情况、供应商响应文件评审情况、磋商情况、报价情况等；</w:t>
      </w:r>
    </w:p>
    <w:p>
      <w:pPr>
        <w:widowControl/>
        <w:tabs>
          <w:tab w:val="left" w:pos="540"/>
        </w:tabs>
        <w:spacing w:line="406" w:lineRule="exact"/>
        <w:ind w:firstLine="420" w:firstLineChars="200"/>
        <w:jc w:val="left"/>
        <w:rPr>
          <w:color w:val="auto"/>
          <w:szCs w:val="21"/>
        </w:rPr>
      </w:pPr>
      <w:r>
        <w:rPr>
          <w:rFonts w:hint="eastAsia"/>
          <w:color w:val="auto"/>
          <w:szCs w:val="21"/>
        </w:rPr>
        <w:t>(</w:t>
      </w:r>
      <w:r>
        <w:rPr>
          <w:color w:val="auto"/>
          <w:szCs w:val="21"/>
        </w:rPr>
        <w:t>5)</w:t>
      </w:r>
      <w:r>
        <w:rPr>
          <w:rFonts w:hint="eastAsia"/>
          <w:color w:val="auto"/>
          <w:szCs w:val="21"/>
        </w:rPr>
        <w:t>提出的成交候选供应商的排序名单及理由。</w:t>
      </w:r>
    </w:p>
    <w:p>
      <w:pPr>
        <w:widowControl/>
        <w:tabs>
          <w:tab w:val="left" w:pos="540"/>
        </w:tabs>
        <w:spacing w:line="406" w:lineRule="exact"/>
        <w:ind w:firstLine="420" w:firstLineChars="200"/>
        <w:jc w:val="left"/>
        <w:rPr>
          <w:color w:val="auto"/>
          <w:szCs w:val="21"/>
        </w:rPr>
      </w:pPr>
      <w:r>
        <w:rPr>
          <w:rFonts w:hint="eastAsia"/>
          <w:color w:val="auto"/>
          <w:szCs w:val="21"/>
        </w:rPr>
        <w:t>2</w:t>
      </w:r>
      <w:r>
        <w:rPr>
          <w:color w:val="auto"/>
          <w:szCs w:val="21"/>
        </w:rPr>
        <w:t>.</w:t>
      </w:r>
      <w:r>
        <w:rPr>
          <w:rFonts w:hint="eastAsia"/>
          <w:color w:val="auto"/>
          <w:szCs w:val="21"/>
        </w:rPr>
        <w:t>评审报告应当由磋商小组全体人员签名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名又不书面说明其不同意见和理由的，视为同意评审报告。</w:t>
      </w:r>
    </w:p>
    <w:p>
      <w:pPr>
        <w:pStyle w:val="23"/>
        <w:spacing w:line="406" w:lineRule="exact"/>
        <w:ind w:firstLine="211" w:firstLineChars="100"/>
        <w:rPr>
          <w:rFonts w:hAnsi="宋体"/>
          <w:color w:val="auto"/>
        </w:rPr>
      </w:pPr>
      <w:r>
        <w:rPr>
          <w:rFonts w:hint="eastAsia" w:hAnsi="宋体"/>
          <w:b/>
          <w:bCs/>
          <w:color w:val="auto"/>
        </w:rPr>
        <w:t>（十）</w:t>
      </w:r>
      <w:r>
        <w:rPr>
          <w:rFonts w:hint="eastAsia" w:hAnsi="宋体"/>
          <w:b/>
          <w:color w:val="auto"/>
        </w:rPr>
        <w:t>出现下列情形之一的，本中心将终止竞争性磋商采购活动：</w:t>
      </w:r>
    </w:p>
    <w:p>
      <w:pPr>
        <w:pStyle w:val="23"/>
        <w:spacing w:line="406" w:lineRule="exact"/>
        <w:ind w:firstLine="420" w:firstLineChars="200"/>
        <w:rPr>
          <w:rFonts w:hAnsi="宋体"/>
          <w:color w:val="auto"/>
        </w:rPr>
      </w:pPr>
      <w:r>
        <w:rPr>
          <w:rFonts w:hint="eastAsia" w:hAnsi="宋体"/>
          <w:color w:val="auto"/>
        </w:rPr>
        <w:t>1</w:t>
      </w:r>
      <w:r>
        <w:rPr>
          <w:rFonts w:hAnsi="宋体"/>
          <w:color w:val="auto"/>
        </w:rPr>
        <w:t>.</w:t>
      </w:r>
      <w:r>
        <w:rPr>
          <w:rFonts w:hint="eastAsia" w:hAnsi="宋体"/>
          <w:color w:val="auto"/>
        </w:rPr>
        <w:t>因情况变化，不再符合规定的竞争性磋商</w:t>
      </w:r>
      <w:r>
        <w:rPr>
          <w:rFonts w:hint="eastAsia" w:hAnsi="宋体"/>
          <w:color w:val="auto"/>
          <w:lang w:eastAsia="zh-CN"/>
        </w:rPr>
        <w:t>采购人</w:t>
      </w:r>
      <w:r>
        <w:rPr>
          <w:rFonts w:hint="eastAsia" w:hAnsi="宋体"/>
          <w:color w:val="auto"/>
        </w:rPr>
        <w:t>式适用情形的；</w:t>
      </w:r>
    </w:p>
    <w:p>
      <w:pPr>
        <w:pStyle w:val="23"/>
        <w:spacing w:line="406" w:lineRule="exact"/>
        <w:ind w:firstLine="420" w:firstLineChars="200"/>
        <w:rPr>
          <w:rFonts w:hAnsi="宋体"/>
          <w:color w:val="auto"/>
        </w:rPr>
      </w:pPr>
      <w:r>
        <w:rPr>
          <w:rFonts w:hint="eastAsia" w:hAnsi="宋体"/>
          <w:color w:val="auto"/>
        </w:rPr>
        <w:t>2</w:t>
      </w:r>
      <w:r>
        <w:rPr>
          <w:rFonts w:hAnsi="宋体"/>
          <w:color w:val="auto"/>
        </w:rPr>
        <w:t>.</w:t>
      </w:r>
      <w:r>
        <w:rPr>
          <w:rFonts w:hint="eastAsia" w:hAnsi="宋体"/>
          <w:color w:val="auto"/>
        </w:rPr>
        <w:t>出现影响采购公正的违法、违规行为的；</w:t>
      </w:r>
    </w:p>
    <w:p>
      <w:pPr>
        <w:pStyle w:val="23"/>
        <w:spacing w:line="406" w:lineRule="exact"/>
        <w:ind w:firstLine="420" w:firstLineChars="200"/>
        <w:rPr>
          <w:rFonts w:hAnsi="宋体"/>
          <w:color w:val="auto"/>
        </w:rPr>
      </w:pPr>
      <w:r>
        <w:rPr>
          <w:rFonts w:hint="eastAsia" w:hAnsi="宋体"/>
          <w:color w:val="auto"/>
        </w:rPr>
        <w:t>3</w:t>
      </w:r>
      <w:r>
        <w:rPr>
          <w:rFonts w:hAnsi="宋体"/>
          <w:color w:val="auto"/>
        </w:rPr>
        <w:t>.</w:t>
      </w:r>
      <w:r>
        <w:rPr>
          <w:rFonts w:hint="eastAsia" w:hAnsi="宋体"/>
          <w:color w:val="auto"/>
        </w:rPr>
        <w:t>除特殊情况外，在采购过程中符合要求的供应商或者报价未超过采购预算的供应商不足3家的。</w:t>
      </w:r>
    </w:p>
    <w:p>
      <w:pPr>
        <w:pStyle w:val="2"/>
        <w:spacing w:line="406" w:lineRule="exact"/>
        <w:rPr>
          <w:color w:val="auto"/>
        </w:rPr>
      </w:pPr>
      <w:r>
        <w:rPr>
          <w:rFonts w:hint="eastAsia"/>
          <w:color w:val="auto"/>
        </w:rPr>
        <w:t>六、确定成交供应商</w:t>
      </w:r>
    </w:p>
    <w:p>
      <w:pPr>
        <w:pStyle w:val="23"/>
        <w:spacing w:line="406" w:lineRule="exact"/>
        <w:ind w:firstLine="420"/>
        <w:rPr>
          <w:rFonts w:hAnsi="宋体"/>
          <w:color w:val="auto"/>
        </w:rPr>
      </w:pPr>
      <w:r>
        <w:rPr>
          <w:rFonts w:hint="eastAsia" w:hAnsi="宋体"/>
          <w:color w:val="auto"/>
        </w:rPr>
        <w:t>1</w:t>
      </w:r>
      <w:r>
        <w:rPr>
          <w:rFonts w:hAnsi="宋体"/>
          <w:color w:val="auto"/>
        </w:rPr>
        <w:t>.</w:t>
      </w:r>
      <w:r>
        <w:rPr>
          <w:rFonts w:hint="eastAsia" w:hAnsi="宋体"/>
          <w:color w:val="auto"/>
        </w:rPr>
        <w:t>本中心应当在评审结束后2个工作日内将评审报告送采购人确认。</w:t>
      </w:r>
    </w:p>
    <w:p>
      <w:pPr>
        <w:pStyle w:val="23"/>
        <w:spacing w:line="406" w:lineRule="exact"/>
        <w:ind w:firstLine="420"/>
        <w:rPr>
          <w:rFonts w:hAnsi="宋体"/>
          <w:color w:val="auto"/>
        </w:rPr>
      </w:pPr>
      <w:r>
        <w:rPr>
          <w:rFonts w:hAnsi="宋体"/>
          <w:color w:val="auto"/>
        </w:rPr>
        <w:t>2.</w:t>
      </w:r>
      <w:r>
        <w:rPr>
          <w:rFonts w:hint="eastAsia" w:hAnsi="宋体"/>
          <w:color w:val="auto"/>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pStyle w:val="2"/>
        <w:spacing w:line="406" w:lineRule="exact"/>
        <w:rPr>
          <w:color w:val="auto"/>
        </w:rPr>
      </w:pPr>
      <w:r>
        <w:rPr>
          <w:rFonts w:hint="eastAsia"/>
          <w:color w:val="auto"/>
        </w:rPr>
        <w:t>七、结果公告</w:t>
      </w:r>
    </w:p>
    <w:p>
      <w:pPr>
        <w:pStyle w:val="23"/>
        <w:spacing w:line="406" w:lineRule="exact"/>
        <w:ind w:firstLine="420" w:firstLineChars="200"/>
        <w:rPr>
          <w:rFonts w:hAnsi="宋体"/>
          <w:color w:val="auto"/>
        </w:rPr>
      </w:pPr>
      <w:r>
        <w:rPr>
          <w:rFonts w:hint="eastAsia" w:hAnsi="宋体"/>
          <w:color w:val="auto"/>
        </w:rPr>
        <w:t>本中心在成交供应商确定后2个工作日内，</w:t>
      </w:r>
      <w:r>
        <w:rPr>
          <w:rFonts w:hint="eastAsia"/>
          <w:color w:val="auto"/>
        </w:rPr>
        <w:t>在省级以上财政部门指定的媒体上公告</w:t>
      </w:r>
      <w:r>
        <w:rPr>
          <w:rFonts w:hint="eastAsia" w:hAnsi="宋体"/>
          <w:color w:val="auto"/>
        </w:rPr>
        <w:t>成交结果，同时向成交供应商发出成交通知书。</w:t>
      </w:r>
    </w:p>
    <w:p>
      <w:pPr>
        <w:pStyle w:val="2"/>
        <w:spacing w:line="406" w:lineRule="exact"/>
        <w:rPr>
          <w:color w:val="auto"/>
        </w:rPr>
      </w:pPr>
      <w:r>
        <w:rPr>
          <w:rFonts w:hint="eastAsia"/>
          <w:color w:val="auto"/>
        </w:rPr>
        <w:t>八、签订合同</w:t>
      </w:r>
    </w:p>
    <w:p>
      <w:pPr>
        <w:spacing w:line="406" w:lineRule="exact"/>
        <w:ind w:firstLine="210" w:firstLineChars="100"/>
        <w:rPr>
          <w:rFonts w:ascii="宋体" w:hAnsi="宋体" w:cs="Courier New"/>
          <w:color w:val="auto"/>
          <w:szCs w:val="21"/>
        </w:rPr>
      </w:pPr>
      <w:r>
        <w:rPr>
          <w:rFonts w:hint="eastAsia" w:ascii="宋体" w:hAnsi="宋体"/>
          <w:color w:val="auto"/>
          <w:szCs w:val="21"/>
        </w:rPr>
        <w:t>（一）</w:t>
      </w:r>
      <w:r>
        <w:rPr>
          <w:rFonts w:hint="eastAsia" w:ascii="宋体" w:hAnsi="宋体" w:cs="Courier New"/>
          <w:color w:val="auto"/>
          <w:szCs w:val="21"/>
        </w:rPr>
        <w:t>采购人与成交供应商应当在成交通知书发出之日起</w:t>
      </w:r>
      <w:r>
        <w:rPr>
          <w:rFonts w:hint="eastAsia" w:ascii="宋体" w:hAnsi="宋体" w:cs="Courier New"/>
          <w:color w:val="auto"/>
          <w:szCs w:val="21"/>
          <w:lang w:val="en-US" w:eastAsia="zh-CN"/>
        </w:rPr>
        <w:t>15</w:t>
      </w:r>
      <w:r>
        <w:rPr>
          <w:rFonts w:hint="eastAsia" w:ascii="宋体" w:hAnsi="宋体" w:cs="Courier New"/>
          <w:color w:val="auto"/>
          <w:szCs w:val="21"/>
        </w:rPr>
        <w:t>日内，按照磋商文件确定的合同文本以及采购标的、规格型号、采购金额、采购数量、技术和服务要求等事项签订政府采购合同。</w:t>
      </w:r>
    </w:p>
    <w:p>
      <w:pPr>
        <w:widowControl/>
        <w:spacing w:line="406" w:lineRule="exact"/>
        <w:ind w:firstLine="210" w:firstLineChars="100"/>
        <w:jc w:val="left"/>
        <w:rPr>
          <w:rFonts w:ascii="宋体" w:hAnsi="宋体" w:cs="宋体"/>
          <w:color w:val="auto"/>
          <w:kern w:val="0"/>
          <w:szCs w:val="21"/>
        </w:rPr>
      </w:pPr>
      <w:r>
        <w:rPr>
          <w:rFonts w:hint="eastAsia" w:ascii="宋体" w:hAnsi="宋体" w:cs="Courier New"/>
          <w:color w:val="auto"/>
          <w:szCs w:val="21"/>
        </w:rPr>
        <w:t>（二）</w:t>
      </w:r>
      <w:r>
        <w:rPr>
          <w:rFonts w:hint="eastAsia" w:ascii="宋体" w:hAnsi="宋体" w:cs="宋体"/>
          <w:color w:val="auto"/>
          <w:kern w:val="0"/>
          <w:szCs w:val="21"/>
        </w:rPr>
        <w:t>采购人不得向成交供应商提出超出采购文件以外的任何要求作为签订合同的条件，不得与成交供应商订立背离采购文件确定的合同文本以及采购标的、规格型号、采购金额、采购数量、技术和服务要求等实质性内容的协议。</w:t>
      </w:r>
    </w:p>
    <w:p>
      <w:pPr>
        <w:widowControl/>
        <w:spacing w:line="406" w:lineRule="exact"/>
        <w:ind w:firstLine="210" w:firstLineChars="100"/>
        <w:jc w:val="left"/>
        <w:rPr>
          <w:rFonts w:hint="eastAsia" w:ascii="宋体" w:hAnsi="宋体" w:cs="宋体"/>
          <w:color w:val="auto"/>
          <w:kern w:val="0"/>
          <w:szCs w:val="21"/>
        </w:rPr>
      </w:pPr>
      <w:r>
        <w:rPr>
          <w:rFonts w:hint="eastAsia" w:ascii="宋体" w:hAnsi="宋体" w:cs="宋体"/>
          <w:color w:val="auto"/>
          <w:kern w:val="0"/>
          <w:szCs w:val="21"/>
        </w:rPr>
        <w:t>（三）供应商可凭成交通知书或政府采购合同等在内的相关材料、信息，通过中征应收账款融资服务平台向银行业金融机构在线申请“政采贷”融资。</w:t>
      </w:r>
    </w:p>
    <w:p>
      <w:pPr>
        <w:widowControl/>
        <w:spacing w:line="406" w:lineRule="exact"/>
        <w:ind w:firstLine="210" w:firstLineChars="100"/>
        <w:jc w:val="left"/>
        <w:rPr>
          <w:rFonts w:ascii="宋体" w:hAnsi="宋体" w:cs="宋体"/>
          <w:color w:val="auto"/>
          <w:kern w:val="0"/>
          <w:szCs w:val="21"/>
        </w:rPr>
      </w:pPr>
      <w:r>
        <w:rPr>
          <w:rFonts w:hint="eastAsia" w:ascii="宋体" w:hAnsi="宋体" w:cs="宋体"/>
          <w:color w:val="auto"/>
          <w:kern w:val="0"/>
          <w:szCs w:val="21"/>
        </w:rPr>
        <w:t>（四）除不可抗力等因素外，成交后无正当理由拒不与采购人签订政府采购合同的，应当承担相应的法律责任。</w:t>
      </w:r>
    </w:p>
    <w:p>
      <w:pPr>
        <w:widowControl/>
        <w:spacing w:line="406" w:lineRule="exact"/>
        <w:ind w:firstLine="210" w:firstLineChars="100"/>
        <w:jc w:val="left"/>
        <w:rPr>
          <w:rFonts w:ascii="宋体" w:hAnsi="宋体" w:cs="宋体"/>
          <w:color w:val="auto"/>
          <w:kern w:val="0"/>
          <w:szCs w:val="21"/>
        </w:rPr>
      </w:pPr>
      <w:r>
        <w:rPr>
          <w:rFonts w:hint="eastAsia" w:ascii="宋体" w:hAnsi="宋体" w:cs="宋体"/>
          <w:color w:val="auto"/>
          <w:kern w:val="0"/>
          <w:szCs w:val="21"/>
        </w:rPr>
        <w:t>（五）</w:t>
      </w:r>
      <w:r>
        <w:rPr>
          <w:rFonts w:ascii="Arial" w:hAnsi="Arial" w:cs="Arial"/>
          <w:color w:val="auto"/>
          <w:kern w:val="0"/>
          <w:szCs w:val="21"/>
        </w:rPr>
        <w:t>政府采购合同</w:t>
      </w:r>
      <w:r>
        <w:rPr>
          <w:rFonts w:hint="eastAsia" w:hAnsi="宋体"/>
          <w:color w:val="auto"/>
        </w:rPr>
        <w:t>适用《中华人民共和国民法典》</w:t>
      </w:r>
      <w:r>
        <w:rPr>
          <w:rFonts w:ascii="Arial" w:hAnsi="Arial" w:cs="Arial"/>
          <w:color w:val="auto"/>
          <w:kern w:val="0"/>
          <w:szCs w:val="21"/>
        </w:rPr>
        <w:t>。</w:t>
      </w:r>
    </w:p>
    <w:p>
      <w:pPr>
        <w:widowControl/>
        <w:spacing w:line="406" w:lineRule="exact"/>
        <w:ind w:firstLine="210" w:firstLineChars="100"/>
        <w:jc w:val="left"/>
        <w:rPr>
          <w:rFonts w:ascii="宋体" w:hAnsi="宋体" w:cs="宋体"/>
          <w:color w:val="auto"/>
          <w:kern w:val="0"/>
          <w:szCs w:val="21"/>
        </w:rPr>
      </w:pPr>
      <w:r>
        <w:rPr>
          <w:rFonts w:hint="eastAsia" w:ascii="宋体" w:hAnsi="宋体" w:cs="宋体"/>
          <w:color w:val="auto"/>
          <w:kern w:val="0"/>
          <w:szCs w:val="21"/>
        </w:rPr>
        <w:t>（六）成交供应商拒绝签订政府采购合同的，采购人可以按照推荐原则确定其他供应商作为成交供应商并签订政府采购合同，也可以重新开展采购活动。拒绝签订政府采购合同的成交供应商不得参加对该项目重新开展的采购活动。</w:t>
      </w:r>
    </w:p>
    <w:p>
      <w:pPr>
        <w:pStyle w:val="2"/>
        <w:spacing w:line="406" w:lineRule="exact"/>
        <w:rPr>
          <w:color w:val="auto"/>
        </w:rPr>
      </w:pPr>
      <w:r>
        <w:rPr>
          <w:rFonts w:hint="eastAsia"/>
          <w:color w:val="auto"/>
        </w:rPr>
        <w:t>九、适用法律</w:t>
      </w:r>
    </w:p>
    <w:p>
      <w:pPr>
        <w:spacing w:line="406" w:lineRule="exact"/>
        <w:ind w:firstLine="420" w:firstLineChars="200"/>
        <w:rPr>
          <w:rFonts w:ascii="宋体" w:hAnsi="宋体"/>
          <w:color w:val="auto"/>
          <w:szCs w:val="21"/>
        </w:rPr>
      </w:pPr>
      <w:bookmarkStart w:id="146" w:name="_Hlk92794186"/>
      <w:r>
        <w:rPr>
          <w:rFonts w:hint="eastAsia" w:ascii="宋体" w:hAnsi="宋体"/>
          <w:color w:val="auto"/>
          <w:szCs w:val="21"/>
        </w:rPr>
        <w:t>本项目采购活动适用于《中华人民共和国政府采购法》及其实施条例、《政府采购竞争性磋商</w:t>
      </w:r>
      <w:r>
        <w:rPr>
          <w:rFonts w:hint="eastAsia" w:ascii="宋体" w:hAnsi="宋体"/>
          <w:color w:val="auto"/>
          <w:szCs w:val="21"/>
          <w:lang w:eastAsia="zh-CN"/>
        </w:rPr>
        <w:t>采购人</w:t>
      </w:r>
      <w:r>
        <w:rPr>
          <w:rFonts w:hint="eastAsia" w:ascii="宋体" w:hAnsi="宋体"/>
          <w:color w:val="auto"/>
          <w:szCs w:val="21"/>
        </w:rPr>
        <w:t>式管理暂行办法》等规定。</w:t>
      </w:r>
    </w:p>
    <w:bookmarkEnd w:id="146"/>
    <w:p>
      <w:pPr>
        <w:pStyle w:val="2"/>
        <w:spacing w:line="406" w:lineRule="exact"/>
        <w:rPr>
          <w:color w:val="auto"/>
        </w:rPr>
      </w:pPr>
      <w:bookmarkStart w:id="147" w:name="_十、其他事项"/>
      <w:bookmarkEnd w:id="147"/>
      <w:r>
        <w:rPr>
          <w:rFonts w:hint="eastAsia"/>
          <w:color w:val="auto"/>
        </w:rPr>
        <w:t>十、其他事项</w:t>
      </w:r>
    </w:p>
    <w:p>
      <w:pPr>
        <w:spacing w:line="406" w:lineRule="exact"/>
        <w:ind w:firstLine="210" w:firstLineChars="100"/>
        <w:rPr>
          <w:rFonts w:hAnsi="宋体"/>
          <w:color w:val="auto"/>
        </w:rPr>
      </w:pPr>
      <w:bookmarkStart w:id="148" w:name="_Hlk94168058"/>
      <w:r>
        <w:rPr>
          <w:rFonts w:hint="eastAsia" w:hAnsi="宋体"/>
          <w:color w:val="auto"/>
        </w:rPr>
        <w:t>（一）</w:t>
      </w:r>
      <w:bookmarkEnd w:id="148"/>
      <w:r>
        <w:rPr>
          <w:rFonts w:hint="eastAsia" w:hAnsi="宋体"/>
          <w:color w:val="auto"/>
        </w:rPr>
        <w:t>代理服务费</w:t>
      </w:r>
    </w:p>
    <w:p>
      <w:pPr>
        <w:spacing w:line="406" w:lineRule="exact"/>
        <w:ind w:firstLine="420" w:firstLineChars="200"/>
        <w:rPr>
          <w:rFonts w:hAnsi="宋体"/>
          <w:color w:val="auto"/>
        </w:rPr>
      </w:pPr>
      <w:r>
        <w:rPr>
          <w:rFonts w:hint="eastAsia" w:hAnsi="宋体"/>
          <w:color w:val="auto"/>
        </w:rPr>
        <w:t>1</w:t>
      </w:r>
      <w:r>
        <w:rPr>
          <w:rFonts w:hAnsi="宋体"/>
          <w:color w:val="auto"/>
        </w:rPr>
        <w:t>.</w:t>
      </w:r>
      <w:r>
        <w:rPr>
          <w:rFonts w:hint="eastAsia" w:hAnsi="宋体"/>
          <w:color w:val="auto"/>
        </w:rPr>
        <w:t>本中心按钦州市物价局“钦市价费〔2013〕4号”文件规定向成交供应商收取代理服务费，成交供应商须向本中心一次付清代理服务费。</w:t>
      </w:r>
    </w:p>
    <w:p>
      <w:pPr>
        <w:spacing w:line="406" w:lineRule="exact"/>
        <w:ind w:firstLine="420" w:firstLineChars="200"/>
        <w:rPr>
          <w:rFonts w:hint="eastAsia" w:hAnsi="宋体"/>
          <w:bCs/>
          <w:color w:val="auto"/>
        </w:rPr>
      </w:pPr>
      <w:r>
        <w:rPr>
          <w:rFonts w:hint="eastAsia" w:hAnsi="宋体"/>
          <w:color w:val="auto"/>
        </w:rPr>
        <w:t>2</w:t>
      </w:r>
      <w:r>
        <w:rPr>
          <w:rFonts w:hAnsi="宋体"/>
          <w:color w:val="auto"/>
        </w:rPr>
        <w:t>.</w:t>
      </w:r>
      <w:r>
        <w:rPr>
          <w:rFonts w:hint="eastAsia" w:hAnsi="宋体"/>
          <w:bCs/>
          <w:color w:val="auto"/>
        </w:rPr>
        <w:t>代理服务收费标准：</w:t>
      </w:r>
    </w:p>
    <w:p>
      <w:pPr>
        <w:rPr>
          <w:color w:val="auto"/>
        </w:rPr>
      </w:pPr>
    </w:p>
    <w:tbl>
      <w:tblPr>
        <w:tblStyle w:val="39"/>
        <w:tblW w:w="9146"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38"/>
        <w:gridCol w:w="1932"/>
        <w:gridCol w:w="1800"/>
        <w:gridCol w:w="19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3438" w:type="dxa"/>
            <w:vMerge w:val="restart"/>
          </w:tcPr>
          <w:p>
            <w:pPr>
              <w:spacing w:line="330" w:lineRule="exact"/>
              <w:ind w:firstLine="2310" w:firstLineChars="1100"/>
              <w:rPr>
                <w:rFonts w:hAnsi="宋体"/>
                <w:color w:val="auto"/>
              </w:rPr>
            </w:pPr>
            <w:r>
              <w:rPr>
                <w:rFonts w:hAnsi="宋体"/>
                <w:color w:val="auto"/>
              </w:rPr>
              <mc:AlternateContent>
                <mc:Choice Requires="wps">
                  <w:drawing>
                    <wp:anchor distT="0" distB="0" distL="114300" distR="114300" simplePos="0" relativeHeight="251660288" behindDoc="0" locked="0" layoutInCell="1" allowOverlap="1">
                      <wp:simplePos x="0" y="0"/>
                      <wp:positionH relativeFrom="column">
                        <wp:posOffset>-85090</wp:posOffset>
                      </wp:positionH>
                      <wp:positionV relativeFrom="paragraph">
                        <wp:posOffset>21590</wp:posOffset>
                      </wp:positionV>
                      <wp:extent cx="2172335" cy="1444625"/>
                      <wp:effectExtent l="6350" t="5080" r="12065" b="7620"/>
                      <wp:wrapNone/>
                      <wp:docPr id="4" name="直线 3"/>
                      <wp:cNvGraphicFramePr/>
                      <a:graphic xmlns:a="http://schemas.openxmlformats.org/drawingml/2006/main">
                        <a:graphicData uri="http://schemas.microsoft.com/office/word/2010/wordprocessingShape">
                          <wps:wsp>
                            <wps:cNvCnPr>
                              <a:cxnSpLocks noChangeShapeType="1"/>
                            </wps:cNvCnPr>
                            <wps:spPr bwMode="auto">
                              <a:xfrm flipH="1" flipV="1">
                                <a:off x="0" y="0"/>
                                <a:ext cx="2172335" cy="1444625"/>
                              </a:xfrm>
                              <a:prstGeom prst="line">
                                <a:avLst/>
                              </a:prstGeom>
                              <a:noFill/>
                              <a:ln w="9525">
                                <a:solidFill>
                                  <a:srgbClr val="000000"/>
                                </a:solidFill>
                                <a:round/>
                              </a:ln>
                            </wps:spPr>
                            <wps:bodyPr/>
                          </wps:wsp>
                        </a:graphicData>
                      </a:graphic>
                    </wp:anchor>
                  </w:drawing>
                </mc:Choice>
                <mc:Fallback>
                  <w:pict>
                    <v:line id="直线 3" o:spid="_x0000_s1026" o:spt="20" style="position:absolute;left:0pt;flip:x y;margin-left:-6.7pt;margin-top:1.7pt;height:113.75pt;width:171.05pt;z-index:251660288;mso-width-relative:page;mso-height-relative:page;" filled="f" stroked="t" coordsize="21600,21600" o:gfxdata="UEsDBAoAAAAAAIdO4kAAAAAAAAAAAAAAAAAEAAAAZHJzL1BLAwQUAAAACACHTuJA9bw0+dUAAAAJ&#10;AQAADwAAAGRycy9kb3ducmV2LnhtbE2PwU7DMBBE70j8g7VI3Fo7CSIhZNNDpX5AC6o4urFJIux1&#10;iN2m/D3bE5xWqxnNvGk2V+/Exc5xDISQrRUIS10wI/UI72+7VQUiJk1Gu0AW4cdG2LT3d42uTVho&#10;by+H1AsOoVhrhCGlqZYydoP1Oq7DZIm1zzB7nfide2lmvXC4dzJX6ll6PRI3DHqy28F2X4ezR3CV&#10;qr6P23L52Btu2R3dQGWG+PiQqVcQyV7Tnxlu+IwOLTOdwplMFA5hlRVPbEW4HdaLvCpBnBDyQr2A&#10;bBv5f0H7C1BLAwQUAAAACACHTuJAdaZbsuYBAAC7AwAADgAAAGRycy9lMm9Eb2MueG1srVO9btsw&#10;EN4L9B0I7rVs2U5bwXIGG2mHtDWQNDtNURJRkkeQtCU/S1+jU5c+Tl4jR0p1frpkqAbifr+7++60&#10;uuy1IkfhvART0tlkSokwHCppmpJ+v71694ESH5ipmAIjSnoSnl6u375ZdbYQObSgKuEIghhfdLak&#10;bQi2yDLPW6GZn4AVBp01OM0Cqq7JKsc6RNcqy6fTi6wDV1kHXHiP1u3gpCOiew0g1LXkYgv8oIUJ&#10;A6oTigUcybfSerpO3da14OFbXXsRiCopThrSi0VQ3sc3W69Y0ThmW8nHFthrWngxk2bSYNEz1JYF&#10;Rg5O/gOlJXfgoQ4TDjobBkmM4BSz6QtublpmRZoFqfb2TLr/f7D863HniKxKuqDEMI0Lv//56/73&#10;HzKP3HTWFxiyMTsXp+O9ubHXwH94YmDTMtOI1OPtyWLiLGZkz1Ki4i1W2HdfoMIYdgiQiOprp0mt&#10;pP0cE5N0F6VYBmkhfdrR6bwj0QfC0ZjP3ufz+ZISjr7ZYrG4yJepLisiZEy3zodPAjSJQkmVNJFE&#10;VrDjtQ+xxceQaDZwJZVKh6AM6Ur6cYmQ0eNBySo6k+Ka/UY5cmTxlNI31n0W5uBgqqGIMiMdkYGB&#10;yz1Up537SxPuNHUz3l88mqd6yn7859Y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9bw0+dUAAAAJ&#10;AQAADwAAAAAAAAABACAAAAAiAAAAZHJzL2Rvd25yZXYueG1sUEsBAhQAFAAAAAgAh07iQHWmW7Lm&#10;AQAAuwMAAA4AAAAAAAAAAQAgAAAAJAEAAGRycy9lMm9Eb2MueG1sUEsFBgAAAAAGAAYAWQEAAHwF&#10;AAAAAA==&#10;">
                      <v:fill on="f" focussize="0,0"/>
                      <v:stroke color="#000000" joinstyle="round"/>
                      <v:imagedata o:title=""/>
                      <o:lock v:ext="edit" aspectratio="f"/>
                    </v:line>
                  </w:pict>
                </mc:Fallback>
              </mc:AlternateContent>
            </w:r>
            <w:r>
              <w:rPr>
                <w:rFonts w:hAnsi="宋体"/>
                <w:color w:val="auto"/>
              </w:rPr>
              <mc:AlternateContent>
                <mc:Choice Requires="wps">
                  <w:drawing>
                    <wp:anchor distT="0" distB="0" distL="114300" distR="114300" simplePos="0" relativeHeight="251659264" behindDoc="0" locked="0" layoutInCell="1" allowOverlap="1">
                      <wp:simplePos x="0" y="0"/>
                      <wp:positionH relativeFrom="column">
                        <wp:posOffset>940435</wp:posOffset>
                      </wp:positionH>
                      <wp:positionV relativeFrom="paragraph">
                        <wp:posOffset>19685</wp:posOffset>
                      </wp:positionV>
                      <wp:extent cx="1143635" cy="1444625"/>
                      <wp:effectExtent l="12700" t="12700" r="5715" b="9525"/>
                      <wp:wrapNone/>
                      <wp:docPr id="3" name="直线 4"/>
                      <wp:cNvGraphicFramePr/>
                      <a:graphic xmlns:a="http://schemas.openxmlformats.org/drawingml/2006/main">
                        <a:graphicData uri="http://schemas.microsoft.com/office/word/2010/wordprocessingShape">
                          <wps:wsp>
                            <wps:cNvCnPr>
                              <a:cxnSpLocks noChangeShapeType="1"/>
                            </wps:cNvCnPr>
                            <wps:spPr bwMode="auto">
                              <a:xfrm flipH="1" flipV="1">
                                <a:off x="0" y="0"/>
                                <a:ext cx="1143635" cy="1444625"/>
                              </a:xfrm>
                              <a:prstGeom prst="line">
                                <a:avLst/>
                              </a:prstGeom>
                              <a:noFill/>
                              <a:ln w="9525">
                                <a:solidFill>
                                  <a:srgbClr val="000000"/>
                                </a:solidFill>
                                <a:round/>
                              </a:ln>
                            </wps:spPr>
                            <wps:bodyPr/>
                          </wps:wsp>
                        </a:graphicData>
                      </a:graphic>
                    </wp:anchor>
                  </w:drawing>
                </mc:Choice>
                <mc:Fallback>
                  <w:pict>
                    <v:line id="直线 4" o:spid="_x0000_s1026" o:spt="20" style="position:absolute;left:0pt;flip:x y;margin-left:74.05pt;margin-top:1.55pt;height:113.75pt;width:90.05pt;z-index:251659264;mso-width-relative:page;mso-height-relative:page;" filled="f" stroked="t" coordsize="21600,21600" o:gfxdata="UEsDBAoAAAAAAIdO4kAAAAAAAAAAAAAAAAAEAAAAZHJzL1BLAwQUAAAACACHTuJA3rLLC9QAAAAJ&#10;AQAADwAAAGRycy9kb3ducmV2LnhtbE2PwU7DMBBE70j8g7VI3KidBLVWiNNDpX5AC6o4uvGSRNjr&#10;ELtN+XuWE5xWoxnNvG22t+DFFec0RjJQrBQIpC66kXoDb6/7Jw0iZUvO+kho4BsTbNv7u8bWLi50&#10;wOsx94JLKNXWwJDzVEuZugGDTas4IbH3EedgM8u5l262C5cHL0ul1jLYkXhhsBPuBuw+j5dgwGul&#10;v067zfJ+cLyyP/mBNoUxjw+FegGR8Zb/wvCLz+jQMtM5Xsgl4Vk/64KjBio+7FelLkGcDZSVWoNs&#10;G/n/g/YHUEsDBBQAAAAIAIdO4kDx+WcM5gEAALsDAAAOAAAAZHJzL2Uyb0RvYy54bWytU82O0zAQ&#10;viPxDpbvNE2bVhA13UOrhcMClXbZu+s4iYXtsWy3aZ+F1+DEhcfZ12DshO4Plz2QgzW/38x8M1ld&#10;nbQiR+G8BFPRfDKlRBgOtTRtRb/dXb97T4kPzNRMgREVPQtPr9Zv36x6W4oZdKBq4QiCGF/2tqJd&#10;CLbMMs87oZmfgBUGnQ04zQKqrs1qx3pE1yqbTafLrAdXWwdceI/W7eCkI6J7DSA0jeRiC/yghQkD&#10;qhOKBRzJd9J6uk7dNo3g4WvTeBGIqihOGtKLRVDexzdbr1jZOmY7yccW2GtaeDGTZtJg0QvUlgVG&#10;Dk7+A6Uld+ChCRMOOhsGSYzgFPn0BTe3HbMizYJUe3sh3f8/WP7luHNE1hWdU2KYxoU//Pj58Os3&#10;KSI3vfUlhmzMzsXp+Mnc2hvg3z0xsOmYaUXq8e5sMTGPGdmzlKh4ixX2/WeoMYYdAiSiTo3TpFHS&#10;foqJSbqPUiyDtJBT2tH5siNxCoSjMc+L+XK+oISjLy+KYjlbpLqsjJAx3TofPgrQJAoVVdJEElnJ&#10;jjc+xBYfQ6LZwLVUKh2CMqSv6IcFQkaPByXr6EyKa/cb5ciRxVNK31j3WZiDg6mHIsqMdEQGBi73&#10;UJ937i9NuNPUzXh/8Wie6in78Z9b/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esssL1AAAAAkB&#10;AAAPAAAAAAAAAAEAIAAAACIAAABkcnMvZG93bnJldi54bWxQSwECFAAUAAAACACHTuJA8flnDOYB&#10;AAC7AwAADgAAAAAAAAABACAAAAAjAQAAZHJzL2Uyb0RvYy54bWxQSwUGAAAAAAYABgBZAQAAewUA&#10;AAAA&#10;">
                      <v:fill on="f" focussize="0,0"/>
                      <v:stroke color="#000000" joinstyle="round"/>
                      <v:imagedata o:title=""/>
                      <o:lock v:ext="edit" aspectratio="f"/>
                    </v:line>
                  </w:pict>
                </mc:Fallback>
              </mc:AlternateContent>
            </w:r>
            <w:r>
              <w:rPr>
                <w:rFonts w:hint="eastAsia" w:hAnsi="宋体"/>
                <w:color w:val="auto"/>
              </w:rPr>
              <w:t>采购类型</w:t>
            </w:r>
          </w:p>
          <w:p>
            <w:pPr>
              <w:spacing w:line="330" w:lineRule="exact"/>
              <w:rPr>
                <w:rFonts w:hAnsi="宋体"/>
                <w:color w:val="auto"/>
              </w:rPr>
            </w:pPr>
          </w:p>
          <w:p>
            <w:pPr>
              <w:spacing w:line="330" w:lineRule="exact"/>
              <w:ind w:firstLine="1575" w:firstLineChars="750"/>
              <w:jc w:val="left"/>
              <w:rPr>
                <w:rFonts w:hAnsi="宋体"/>
                <w:color w:val="auto"/>
              </w:rPr>
            </w:pPr>
            <w:r>
              <w:rPr>
                <w:rFonts w:hint="eastAsia" w:hAnsi="宋体"/>
                <w:color w:val="auto"/>
              </w:rPr>
              <w:t>费率</w:t>
            </w:r>
          </w:p>
          <w:p>
            <w:pPr>
              <w:spacing w:line="330" w:lineRule="exact"/>
              <w:ind w:leftChars="-1" w:hanging="2" w:hangingChars="1"/>
              <w:jc w:val="left"/>
              <w:rPr>
                <w:rFonts w:hAnsi="宋体"/>
                <w:color w:val="auto"/>
              </w:rPr>
            </w:pPr>
          </w:p>
          <w:p>
            <w:pPr>
              <w:spacing w:line="330" w:lineRule="exact"/>
              <w:ind w:leftChars="-1" w:hanging="2" w:hangingChars="1"/>
              <w:jc w:val="left"/>
              <w:rPr>
                <w:rFonts w:hAnsi="宋体"/>
                <w:color w:val="auto"/>
              </w:rPr>
            </w:pPr>
          </w:p>
          <w:p>
            <w:pPr>
              <w:spacing w:line="330" w:lineRule="exact"/>
              <w:jc w:val="left"/>
              <w:rPr>
                <w:rFonts w:hAnsi="宋体"/>
                <w:color w:val="auto"/>
              </w:rPr>
            </w:pPr>
            <w:r>
              <w:rPr>
                <w:rFonts w:hint="eastAsia" w:hAnsi="宋体"/>
                <w:color w:val="auto"/>
              </w:rPr>
              <w:t>成交金额（万元）</w:t>
            </w:r>
          </w:p>
        </w:tc>
        <w:tc>
          <w:tcPr>
            <w:tcW w:w="5708" w:type="dxa"/>
            <w:gridSpan w:val="3"/>
            <w:vAlign w:val="center"/>
          </w:tcPr>
          <w:p>
            <w:pPr>
              <w:spacing w:line="330" w:lineRule="exact"/>
              <w:jc w:val="center"/>
              <w:rPr>
                <w:rFonts w:hAnsi="宋体"/>
                <w:color w:val="auto"/>
              </w:rPr>
            </w:pPr>
            <w:r>
              <w:rPr>
                <w:rFonts w:hint="eastAsia" w:hAnsi="宋体"/>
                <w:color w:val="auto"/>
              </w:rPr>
              <w:t>公开招标、邀请招标、竞争性谈判方式采购代理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2" w:hRule="atLeast"/>
        </w:trPr>
        <w:tc>
          <w:tcPr>
            <w:tcW w:w="3438" w:type="dxa"/>
            <w:vMerge w:val="continue"/>
          </w:tcPr>
          <w:p>
            <w:pPr>
              <w:spacing w:line="330" w:lineRule="exact"/>
              <w:ind w:firstLine="2620" w:firstLineChars="1248"/>
              <w:rPr>
                <w:rFonts w:hAnsi="宋体"/>
                <w:color w:val="auto"/>
              </w:rPr>
            </w:pPr>
          </w:p>
        </w:tc>
        <w:tc>
          <w:tcPr>
            <w:tcW w:w="1932" w:type="dxa"/>
            <w:vAlign w:val="center"/>
          </w:tcPr>
          <w:p>
            <w:pPr>
              <w:spacing w:line="330" w:lineRule="exact"/>
              <w:jc w:val="center"/>
              <w:rPr>
                <w:rFonts w:hAnsi="宋体"/>
                <w:color w:val="auto"/>
              </w:rPr>
            </w:pPr>
            <w:r>
              <w:rPr>
                <w:rFonts w:hint="eastAsia" w:hAnsi="宋体"/>
                <w:color w:val="auto"/>
              </w:rPr>
              <w:t>货物类</w:t>
            </w:r>
          </w:p>
        </w:tc>
        <w:tc>
          <w:tcPr>
            <w:tcW w:w="1800" w:type="dxa"/>
            <w:vAlign w:val="center"/>
          </w:tcPr>
          <w:p>
            <w:pPr>
              <w:spacing w:line="330" w:lineRule="exact"/>
              <w:jc w:val="center"/>
              <w:rPr>
                <w:rFonts w:hAnsi="宋体"/>
                <w:color w:val="auto"/>
              </w:rPr>
            </w:pPr>
            <w:r>
              <w:rPr>
                <w:rFonts w:hint="eastAsia" w:hAnsi="宋体"/>
                <w:color w:val="auto"/>
              </w:rPr>
              <w:t>服务类</w:t>
            </w:r>
          </w:p>
        </w:tc>
        <w:tc>
          <w:tcPr>
            <w:tcW w:w="1976" w:type="dxa"/>
            <w:vAlign w:val="center"/>
          </w:tcPr>
          <w:p>
            <w:pPr>
              <w:widowControl/>
              <w:spacing w:line="330" w:lineRule="exact"/>
              <w:jc w:val="center"/>
              <w:rPr>
                <w:rFonts w:hAnsi="宋体"/>
                <w:color w:val="auto"/>
              </w:rPr>
            </w:pPr>
            <w:r>
              <w:rPr>
                <w:rFonts w:hint="eastAsia" w:hAnsi="宋体"/>
                <w:color w:val="auto"/>
              </w:rPr>
              <w:t>工程类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3438" w:type="dxa"/>
            <w:vAlign w:val="center"/>
          </w:tcPr>
          <w:p>
            <w:pPr>
              <w:spacing w:line="330" w:lineRule="exact"/>
              <w:jc w:val="center"/>
              <w:rPr>
                <w:rFonts w:hAnsi="宋体"/>
                <w:color w:val="auto"/>
              </w:rPr>
            </w:pPr>
            <w:r>
              <w:rPr>
                <w:rFonts w:hint="eastAsia" w:hAnsi="宋体"/>
                <w:color w:val="auto"/>
              </w:rPr>
              <w:t>100以下</w:t>
            </w:r>
          </w:p>
        </w:tc>
        <w:tc>
          <w:tcPr>
            <w:tcW w:w="1932" w:type="dxa"/>
            <w:vAlign w:val="center"/>
          </w:tcPr>
          <w:p>
            <w:pPr>
              <w:spacing w:line="330" w:lineRule="exact"/>
              <w:jc w:val="center"/>
              <w:rPr>
                <w:rFonts w:hAnsi="宋体"/>
                <w:color w:val="auto"/>
              </w:rPr>
            </w:pPr>
            <w:r>
              <w:rPr>
                <w:rFonts w:hint="eastAsia" w:hAnsi="宋体"/>
                <w:color w:val="auto"/>
              </w:rPr>
              <w:t>1.2%</w:t>
            </w:r>
          </w:p>
        </w:tc>
        <w:tc>
          <w:tcPr>
            <w:tcW w:w="1800" w:type="dxa"/>
            <w:vAlign w:val="center"/>
          </w:tcPr>
          <w:p>
            <w:pPr>
              <w:spacing w:line="330" w:lineRule="exact"/>
              <w:jc w:val="center"/>
              <w:rPr>
                <w:rFonts w:hAnsi="宋体"/>
                <w:color w:val="auto"/>
              </w:rPr>
            </w:pPr>
            <w:r>
              <w:rPr>
                <w:rFonts w:hint="eastAsia" w:hAnsi="宋体"/>
                <w:color w:val="auto"/>
              </w:rPr>
              <w:t>1.2%</w:t>
            </w:r>
          </w:p>
        </w:tc>
        <w:tc>
          <w:tcPr>
            <w:tcW w:w="1976" w:type="dxa"/>
            <w:vAlign w:val="center"/>
          </w:tcPr>
          <w:p>
            <w:pPr>
              <w:spacing w:line="330" w:lineRule="exact"/>
              <w:jc w:val="center"/>
              <w:rPr>
                <w:rFonts w:hAnsi="宋体"/>
                <w:color w:val="auto"/>
              </w:rPr>
            </w:pPr>
            <w:r>
              <w:rPr>
                <w:rFonts w:hint="eastAsia" w:hAnsi="宋体"/>
                <w:color w:val="auto"/>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438" w:type="dxa"/>
            <w:vAlign w:val="center"/>
          </w:tcPr>
          <w:p>
            <w:pPr>
              <w:spacing w:line="330" w:lineRule="exact"/>
              <w:jc w:val="center"/>
              <w:rPr>
                <w:rFonts w:hAnsi="宋体"/>
                <w:color w:val="auto"/>
              </w:rPr>
            </w:pPr>
            <w:r>
              <w:rPr>
                <w:rFonts w:hint="eastAsia" w:hAnsi="宋体"/>
                <w:color w:val="auto"/>
              </w:rPr>
              <w:t>100-500</w:t>
            </w:r>
          </w:p>
        </w:tc>
        <w:tc>
          <w:tcPr>
            <w:tcW w:w="1932" w:type="dxa"/>
            <w:vAlign w:val="center"/>
          </w:tcPr>
          <w:p>
            <w:pPr>
              <w:spacing w:line="330" w:lineRule="exact"/>
              <w:jc w:val="center"/>
              <w:rPr>
                <w:rFonts w:hAnsi="宋体"/>
                <w:color w:val="auto"/>
              </w:rPr>
            </w:pPr>
            <w:r>
              <w:rPr>
                <w:rFonts w:hint="eastAsia" w:hAnsi="宋体"/>
                <w:color w:val="auto"/>
              </w:rPr>
              <w:t>0.88%</w:t>
            </w:r>
          </w:p>
        </w:tc>
        <w:tc>
          <w:tcPr>
            <w:tcW w:w="1800" w:type="dxa"/>
            <w:vAlign w:val="center"/>
          </w:tcPr>
          <w:p>
            <w:pPr>
              <w:spacing w:line="330" w:lineRule="exact"/>
              <w:jc w:val="center"/>
              <w:rPr>
                <w:rFonts w:hAnsi="宋体"/>
                <w:color w:val="auto"/>
              </w:rPr>
            </w:pPr>
            <w:r>
              <w:rPr>
                <w:rFonts w:hint="eastAsia" w:hAnsi="宋体"/>
                <w:color w:val="auto"/>
              </w:rPr>
              <w:t>0.64%</w:t>
            </w:r>
          </w:p>
        </w:tc>
        <w:tc>
          <w:tcPr>
            <w:tcW w:w="1976" w:type="dxa"/>
            <w:vAlign w:val="center"/>
          </w:tcPr>
          <w:p>
            <w:pPr>
              <w:spacing w:line="330" w:lineRule="exact"/>
              <w:jc w:val="center"/>
              <w:rPr>
                <w:rFonts w:hAnsi="宋体"/>
                <w:color w:val="auto"/>
              </w:rPr>
            </w:pPr>
            <w:r>
              <w:rPr>
                <w:rFonts w:hint="eastAsia" w:hAnsi="宋体"/>
                <w:color w:val="auto"/>
              </w:rPr>
              <w:t>0.56%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3438" w:type="dxa"/>
            <w:vAlign w:val="center"/>
          </w:tcPr>
          <w:p>
            <w:pPr>
              <w:spacing w:line="330" w:lineRule="exact"/>
              <w:jc w:val="center"/>
              <w:rPr>
                <w:rFonts w:hAnsi="宋体"/>
                <w:color w:val="auto"/>
              </w:rPr>
            </w:pPr>
            <w:r>
              <w:rPr>
                <w:rFonts w:hint="eastAsia" w:hAnsi="宋体"/>
                <w:color w:val="auto"/>
              </w:rPr>
              <w:t>500-1000</w:t>
            </w:r>
          </w:p>
        </w:tc>
        <w:tc>
          <w:tcPr>
            <w:tcW w:w="1932" w:type="dxa"/>
            <w:vAlign w:val="center"/>
          </w:tcPr>
          <w:p>
            <w:pPr>
              <w:spacing w:line="330" w:lineRule="exact"/>
              <w:jc w:val="center"/>
              <w:rPr>
                <w:rFonts w:hAnsi="宋体"/>
                <w:color w:val="auto"/>
              </w:rPr>
            </w:pPr>
            <w:r>
              <w:rPr>
                <w:rFonts w:hint="eastAsia" w:hAnsi="宋体"/>
                <w:color w:val="auto"/>
              </w:rPr>
              <w:t>0.64%</w:t>
            </w:r>
          </w:p>
        </w:tc>
        <w:tc>
          <w:tcPr>
            <w:tcW w:w="1800" w:type="dxa"/>
            <w:vAlign w:val="center"/>
          </w:tcPr>
          <w:p>
            <w:pPr>
              <w:spacing w:line="330" w:lineRule="exact"/>
              <w:jc w:val="center"/>
              <w:rPr>
                <w:rFonts w:hAnsi="宋体"/>
                <w:color w:val="auto"/>
              </w:rPr>
            </w:pPr>
            <w:r>
              <w:rPr>
                <w:rFonts w:hint="eastAsia" w:hAnsi="宋体"/>
                <w:color w:val="auto"/>
              </w:rPr>
              <w:t>0.36%</w:t>
            </w:r>
          </w:p>
        </w:tc>
        <w:tc>
          <w:tcPr>
            <w:tcW w:w="1976" w:type="dxa"/>
            <w:vAlign w:val="center"/>
          </w:tcPr>
          <w:p>
            <w:pPr>
              <w:spacing w:line="330" w:lineRule="exact"/>
              <w:jc w:val="center"/>
              <w:rPr>
                <w:rFonts w:hAnsi="宋体"/>
                <w:color w:val="auto"/>
              </w:rPr>
            </w:pPr>
            <w:r>
              <w:rPr>
                <w:rFonts w:hint="eastAsia" w:hAnsi="宋体"/>
                <w:color w:val="auto"/>
              </w:rPr>
              <w:t>0.44%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3438" w:type="dxa"/>
            <w:vAlign w:val="center"/>
          </w:tcPr>
          <w:p>
            <w:pPr>
              <w:spacing w:line="330" w:lineRule="exact"/>
              <w:jc w:val="center"/>
              <w:rPr>
                <w:rFonts w:hAnsi="宋体"/>
                <w:color w:val="auto"/>
              </w:rPr>
            </w:pPr>
            <w:r>
              <w:rPr>
                <w:rFonts w:hint="eastAsia" w:hAnsi="宋体"/>
                <w:color w:val="auto"/>
              </w:rPr>
              <w:t>1000-5000</w:t>
            </w:r>
          </w:p>
        </w:tc>
        <w:tc>
          <w:tcPr>
            <w:tcW w:w="1932" w:type="dxa"/>
            <w:vAlign w:val="center"/>
          </w:tcPr>
          <w:p>
            <w:pPr>
              <w:spacing w:line="330" w:lineRule="exact"/>
              <w:jc w:val="center"/>
              <w:rPr>
                <w:rFonts w:hAnsi="宋体"/>
                <w:color w:val="auto"/>
              </w:rPr>
            </w:pPr>
            <w:r>
              <w:rPr>
                <w:rFonts w:hint="eastAsia" w:hAnsi="宋体"/>
                <w:color w:val="auto"/>
              </w:rPr>
              <w:t>0.4%</w:t>
            </w:r>
          </w:p>
        </w:tc>
        <w:tc>
          <w:tcPr>
            <w:tcW w:w="1800" w:type="dxa"/>
            <w:vAlign w:val="center"/>
          </w:tcPr>
          <w:p>
            <w:pPr>
              <w:spacing w:line="330" w:lineRule="exact"/>
              <w:jc w:val="center"/>
              <w:rPr>
                <w:rFonts w:hAnsi="宋体"/>
                <w:color w:val="auto"/>
              </w:rPr>
            </w:pPr>
            <w:r>
              <w:rPr>
                <w:rFonts w:hint="eastAsia" w:hAnsi="宋体"/>
                <w:color w:val="auto"/>
              </w:rPr>
              <w:t>0.2%</w:t>
            </w:r>
          </w:p>
        </w:tc>
        <w:tc>
          <w:tcPr>
            <w:tcW w:w="1976" w:type="dxa"/>
            <w:vAlign w:val="center"/>
          </w:tcPr>
          <w:p>
            <w:pPr>
              <w:spacing w:line="330" w:lineRule="exact"/>
              <w:jc w:val="center"/>
              <w:rPr>
                <w:rFonts w:hAnsi="宋体"/>
                <w:color w:val="auto"/>
              </w:rPr>
            </w:pPr>
            <w:r>
              <w:rPr>
                <w:rFonts w:hint="eastAsia" w:hAnsi="宋体"/>
                <w:color w:val="auto"/>
              </w:rPr>
              <w:t>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3438" w:type="dxa"/>
            <w:vAlign w:val="center"/>
          </w:tcPr>
          <w:p>
            <w:pPr>
              <w:spacing w:line="330" w:lineRule="exact"/>
              <w:jc w:val="center"/>
              <w:rPr>
                <w:rFonts w:hAnsi="宋体"/>
                <w:color w:val="auto"/>
              </w:rPr>
            </w:pPr>
            <w:r>
              <w:rPr>
                <w:rFonts w:hint="eastAsia" w:hAnsi="宋体"/>
                <w:color w:val="auto"/>
              </w:rPr>
              <w:t>5000-10000</w:t>
            </w:r>
          </w:p>
        </w:tc>
        <w:tc>
          <w:tcPr>
            <w:tcW w:w="1932" w:type="dxa"/>
            <w:vAlign w:val="center"/>
          </w:tcPr>
          <w:p>
            <w:pPr>
              <w:spacing w:line="330" w:lineRule="exact"/>
              <w:jc w:val="center"/>
              <w:rPr>
                <w:rFonts w:hAnsi="宋体"/>
                <w:color w:val="auto"/>
              </w:rPr>
            </w:pPr>
            <w:r>
              <w:rPr>
                <w:rFonts w:hint="eastAsia" w:hAnsi="宋体"/>
                <w:color w:val="auto"/>
              </w:rPr>
              <w:t>0.2%</w:t>
            </w:r>
          </w:p>
        </w:tc>
        <w:tc>
          <w:tcPr>
            <w:tcW w:w="1800" w:type="dxa"/>
            <w:vAlign w:val="center"/>
          </w:tcPr>
          <w:p>
            <w:pPr>
              <w:spacing w:line="330" w:lineRule="exact"/>
              <w:jc w:val="center"/>
              <w:rPr>
                <w:rFonts w:hAnsi="宋体"/>
                <w:color w:val="auto"/>
              </w:rPr>
            </w:pPr>
            <w:r>
              <w:rPr>
                <w:rFonts w:hint="eastAsia" w:hAnsi="宋体"/>
                <w:color w:val="auto"/>
              </w:rPr>
              <w:t>0.08%</w:t>
            </w:r>
          </w:p>
        </w:tc>
        <w:tc>
          <w:tcPr>
            <w:tcW w:w="1976" w:type="dxa"/>
            <w:vAlign w:val="center"/>
          </w:tcPr>
          <w:p>
            <w:pPr>
              <w:spacing w:line="330" w:lineRule="exact"/>
              <w:jc w:val="center"/>
              <w:rPr>
                <w:rFonts w:hAnsi="宋体"/>
                <w:color w:val="auto"/>
              </w:rPr>
            </w:pPr>
            <w:r>
              <w:rPr>
                <w:rFonts w:hint="eastAsia" w:hAnsi="宋体"/>
                <w:color w:val="auto"/>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438" w:type="dxa"/>
            <w:vAlign w:val="center"/>
          </w:tcPr>
          <w:p>
            <w:pPr>
              <w:spacing w:line="330" w:lineRule="exact"/>
              <w:jc w:val="center"/>
              <w:rPr>
                <w:rFonts w:hAnsi="宋体"/>
                <w:color w:val="auto"/>
              </w:rPr>
            </w:pPr>
            <w:r>
              <w:rPr>
                <w:rFonts w:hint="eastAsia" w:hAnsi="宋体"/>
                <w:color w:val="auto"/>
              </w:rPr>
              <w:t>10000-100000</w:t>
            </w:r>
          </w:p>
        </w:tc>
        <w:tc>
          <w:tcPr>
            <w:tcW w:w="1932" w:type="dxa"/>
            <w:vAlign w:val="center"/>
          </w:tcPr>
          <w:p>
            <w:pPr>
              <w:spacing w:line="330" w:lineRule="exact"/>
              <w:jc w:val="center"/>
              <w:rPr>
                <w:rFonts w:hAnsi="宋体"/>
                <w:color w:val="auto"/>
              </w:rPr>
            </w:pPr>
            <w:r>
              <w:rPr>
                <w:rFonts w:hint="eastAsia" w:hAnsi="宋体"/>
                <w:color w:val="auto"/>
              </w:rPr>
              <w:t>0.04%</w:t>
            </w:r>
          </w:p>
        </w:tc>
        <w:tc>
          <w:tcPr>
            <w:tcW w:w="1800" w:type="dxa"/>
            <w:vAlign w:val="center"/>
          </w:tcPr>
          <w:p>
            <w:pPr>
              <w:spacing w:line="330" w:lineRule="exact"/>
              <w:jc w:val="center"/>
              <w:rPr>
                <w:rFonts w:hAnsi="宋体"/>
                <w:color w:val="auto"/>
              </w:rPr>
            </w:pPr>
            <w:r>
              <w:rPr>
                <w:rFonts w:hint="eastAsia" w:hAnsi="宋体"/>
                <w:color w:val="auto"/>
              </w:rPr>
              <w:t>0.04%</w:t>
            </w:r>
          </w:p>
        </w:tc>
        <w:tc>
          <w:tcPr>
            <w:tcW w:w="1976" w:type="dxa"/>
            <w:vAlign w:val="center"/>
          </w:tcPr>
          <w:p>
            <w:pPr>
              <w:spacing w:line="330" w:lineRule="exact"/>
              <w:jc w:val="center"/>
              <w:rPr>
                <w:rFonts w:hAnsi="宋体"/>
                <w:color w:val="auto"/>
              </w:rPr>
            </w:pPr>
            <w:r>
              <w:rPr>
                <w:rFonts w:hint="eastAsia" w:hAnsi="宋体"/>
                <w:color w:val="auto"/>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3438" w:type="dxa"/>
            <w:vAlign w:val="center"/>
          </w:tcPr>
          <w:p>
            <w:pPr>
              <w:spacing w:line="330" w:lineRule="exact"/>
              <w:jc w:val="center"/>
              <w:rPr>
                <w:rFonts w:hAnsi="宋体"/>
                <w:color w:val="auto"/>
              </w:rPr>
            </w:pPr>
            <w:r>
              <w:rPr>
                <w:rFonts w:hint="eastAsia" w:hAnsi="宋体"/>
                <w:color w:val="auto"/>
              </w:rPr>
              <w:t>100000以上</w:t>
            </w:r>
          </w:p>
        </w:tc>
        <w:tc>
          <w:tcPr>
            <w:tcW w:w="1932" w:type="dxa"/>
            <w:vAlign w:val="center"/>
          </w:tcPr>
          <w:p>
            <w:pPr>
              <w:spacing w:line="330" w:lineRule="exact"/>
              <w:jc w:val="center"/>
              <w:rPr>
                <w:rFonts w:hAnsi="宋体"/>
                <w:color w:val="auto"/>
              </w:rPr>
            </w:pPr>
            <w:r>
              <w:rPr>
                <w:rFonts w:hint="eastAsia" w:hAnsi="宋体"/>
                <w:color w:val="auto"/>
              </w:rPr>
              <w:t>0.008%</w:t>
            </w:r>
          </w:p>
        </w:tc>
        <w:tc>
          <w:tcPr>
            <w:tcW w:w="1800" w:type="dxa"/>
            <w:vAlign w:val="center"/>
          </w:tcPr>
          <w:p>
            <w:pPr>
              <w:spacing w:line="330" w:lineRule="exact"/>
              <w:jc w:val="center"/>
              <w:rPr>
                <w:rFonts w:hAnsi="宋体"/>
                <w:color w:val="auto"/>
              </w:rPr>
            </w:pPr>
            <w:r>
              <w:rPr>
                <w:rFonts w:hint="eastAsia" w:hAnsi="宋体"/>
                <w:color w:val="auto"/>
              </w:rPr>
              <w:t>0.008%</w:t>
            </w:r>
          </w:p>
        </w:tc>
        <w:tc>
          <w:tcPr>
            <w:tcW w:w="1976" w:type="dxa"/>
            <w:vAlign w:val="center"/>
          </w:tcPr>
          <w:p>
            <w:pPr>
              <w:spacing w:line="330" w:lineRule="exact"/>
              <w:jc w:val="center"/>
              <w:rPr>
                <w:rFonts w:hAnsi="宋体"/>
                <w:color w:val="auto"/>
              </w:rPr>
            </w:pPr>
            <w:r>
              <w:rPr>
                <w:rFonts w:hint="eastAsia" w:hAnsi="宋体"/>
                <w:color w:val="auto"/>
              </w:rPr>
              <w:t>0.008%</w:t>
            </w:r>
          </w:p>
        </w:tc>
      </w:tr>
    </w:tbl>
    <w:p>
      <w:pPr>
        <w:pStyle w:val="23"/>
        <w:spacing w:line="430" w:lineRule="exact"/>
        <w:ind w:firstLine="420" w:firstLineChars="200"/>
        <w:rPr>
          <w:rFonts w:hAnsi="宋体"/>
          <w:b/>
          <w:color w:val="auto"/>
        </w:rPr>
      </w:pPr>
      <w:r>
        <w:rPr>
          <w:rFonts w:hint="eastAsia" w:hAnsi="宋体"/>
          <w:color w:val="auto"/>
        </w:rPr>
        <w:t>注：代理服务收费按差额定率累进法计算，本项目收费标准按以上标准的60%执行</w:t>
      </w:r>
    </w:p>
    <w:p>
      <w:pPr>
        <w:pStyle w:val="23"/>
        <w:spacing w:line="430" w:lineRule="exact"/>
        <w:ind w:firstLine="210" w:firstLineChars="100"/>
        <w:rPr>
          <w:rFonts w:hAnsi="宋体"/>
          <w:color w:val="auto"/>
          <w:spacing w:val="-4"/>
        </w:rPr>
      </w:pPr>
      <w:r>
        <w:rPr>
          <w:rFonts w:hint="eastAsia" w:hAnsi="宋体"/>
          <w:bCs/>
          <w:color w:val="auto"/>
        </w:rPr>
        <w:t>（二）解释权：</w:t>
      </w:r>
      <w:r>
        <w:rPr>
          <w:rFonts w:hint="eastAsia" w:hAnsi="宋体"/>
          <w:color w:val="auto"/>
          <w:spacing w:val="-4"/>
        </w:rPr>
        <w:t>本采购文件解释权属本中心。</w:t>
      </w:r>
    </w:p>
    <w:p>
      <w:pPr>
        <w:pStyle w:val="23"/>
        <w:spacing w:line="430" w:lineRule="exact"/>
        <w:ind w:firstLine="210" w:firstLineChars="100"/>
        <w:rPr>
          <w:rFonts w:hAnsi="宋体"/>
          <w:color w:val="auto"/>
          <w:spacing w:val="-4"/>
        </w:rPr>
      </w:pPr>
      <w:r>
        <w:rPr>
          <w:rFonts w:hint="eastAsia" w:hAnsi="宋体"/>
          <w:bCs/>
          <w:color w:val="auto"/>
        </w:rPr>
        <w:t>（三）有关事宜</w:t>
      </w:r>
    </w:p>
    <w:p>
      <w:pPr>
        <w:spacing w:line="430" w:lineRule="exact"/>
        <w:ind w:firstLine="420" w:firstLineChars="200"/>
        <w:rPr>
          <w:color w:val="auto"/>
        </w:rPr>
      </w:pPr>
      <w:r>
        <w:rPr>
          <w:rFonts w:hint="eastAsia"/>
          <w:color w:val="auto"/>
        </w:rPr>
        <w:t>所有与采购文件有关的函件请按下列通讯地址联系：</w:t>
      </w:r>
    </w:p>
    <w:p>
      <w:pPr>
        <w:widowControl/>
        <w:spacing w:line="430" w:lineRule="exact"/>
        <w:ind w:firstLine="420" w:firstLineChars="200"/>
        <w:jc w:val="left"/>
        <w:rPr>
          <w:color w:val="auto"/>
        </w:rPr>
      </w:pPr>
      <w:r>
        <w:rPr>
          <w:rFonts w:hint="eastAsia"/>
          <w:color w:val="auto"/>
        </w:rPr>
        <w:t>钦州市政府采购中心</w:t>
      </w:r>
    </w:p>
    <w:p>
      <w:pPr>
        <w:widowControl/>
        <w:spacing w:line="430" w:lineRule="exact"/>
        <w:ind w:firstLine="420" w:firstLineChars="200"/>
        <w:jc w:val="left"/>
        <w:rPr>
          <w:color w:val="auto"/>
        </w:rPr>
      </w:pPr>
      <w:r>
        <w:rPr>
          <w:rFonts w:hint="eastAsia"/>
          <w:color w:val="auto"/>
        </w:rPr>
        <w:t>通讯地址：钦州市金海湾东大街8号</w:t>
      </w:r>
    </w:p>
    <w:p>
      <w:pPr>
        <w:widowControl/>
        <w:spacing w:line="430" w:lineRule="exact"/>
        <w:ind w:firstLine="420" w:firstLineChars="200"/>
        <w:jc w:val="left"/>
        <w:rPr>
          <w:color w:val="auto"/>
        </w:rPr>
      </w:pPr>
      <w:r>
        <w:rPr>
          <w:rFonts w:hint="eastAsia"/>
          <w:color w:val="auto"/>
        </w:rPr>
        <w:t>邮政编码：535000</w:t>
      </w:r>
    </w:p>
    <w:p>
      <w:pPr>
        <w:widowControl/>
        <w:spacing w:line="430" w:lineRule="exact"/>
        <w:ind w:firstLine="420" w:firstLineChars="200"/>
        <w:jc w:val="left"/>
        <w:rPr>
          <w:color w:val="auto"/>
        </w:rPr>
      </w:pPr>
      <w:bookmarkStart w:id="149" w:name="_Hlk108515537"/>
      <w:r>
        <w:rPr>
          <w:rFonts w:hint="eastAsia" w:hAnsi="宋体"/>
          <w:color w:val="auto"/>
        </w:rPr>
        <w:t>钦州市政府采购中心联系方式</w:t>
      </w:r>
      <w:r>
        <w:rPr>
          <w:rFonts w:hint="eastAsia"/>
          <w:color w:val="auto"/>
        </w:rPr>
        <w:t>：</w:t>
      </w:r>
    </w:p>
    <w:p>
      <w:pPr>
        <w:widowControl/>
        <w:spacing w:line="430" w:lineRule="exact"/>
        <w:ind w:firstLine="420" w:firstLineChars="200"/>
        <w:jc w:val="left"/>
        <w:rPr>
          <w:color w:val="auto"/>
        </w:rPr>
      </w:pPr>
      <w:r>
        <w:rPr>
          <w:rFonts w:hint="eastAsia"/>
          <w:color w:val="auto"/>
        </w:rPr>
        <w:t>(1)采购部(采购文件)</w:t>
      </w:r>
    </w:p>
    <w:p>
      <w:pPr>
        <w:widowControl/>
        <w:spacing w:line="430" w:lineRule="exact"/>
        <w:ind w:firstLine="420" w:firstLineChars="200"/>
        <w:jc w:val="left"/>
        <w:rPr>
          <w:color w:val="auto"/>
        </w:rPr>
      </w:pPr>
      <w:r>
        <w:rPr>
          <w:rFonts w:hint="eastAsia"/>
          <w:color w:val="auto"/>
        </w:rPr>
        <w:t>联系人：</w:t>
      </w:r>
      <w:r>
        <w:rPr>
          <w:rFonts w:hint="eastAsia"/>
          <w:color w:val="auto"/>
          <w:lang w:val="en-US" w:eastAsia="zh-CN"/>
        </w:rPr>
        <w:t>苏晓婷</w:t>
      </w:r>
      <w:r>
        <w:rPr>
          <w:rFonts w:hint="eastAsia"/>
          <w:color w:val="auto"/>
        </w:rPr>
        <w:t xml:space="preserve"> </w:t>
      </w:r>
      <w:r>
        <w:rPr>
          <w:color w:val="auto"/>
        </w:rPr>
        <w:t xml:space="preserve"> </w:t>
      </w:r>
      <w:r>
        <w:rPr>
          <w:rFonts w:hint="eastAsia"/>
          <w:color w:val="auto"/>
        </w:rPr>
        <w:t xml:space="preserve"> 联系方式：0777-2886022</w:t>
      </w:r>
    </w:p>
    <w:p>
      <w:pPr>
        <w:widowControl/>
        <w:spacing w:line="430" w:lineRule="exact"/>
        <w:ind w:firstLine="420" w:firstLineChars="200"/>
        <w:jc w:val="left"/>
        <w:rPr>
          <w:color w:val="auto"/>
        </w:rPr>
      </w:pPr>
      <w:r>
        <w:rPr>
          <w:rFonts w:hint="eastAsia"/>
          <w:color w:val="auto"/>
        </w:rPr>
        <w:t>(2)综合二部(评审、磋商、成交及合同管理)</w:t>
      </w:r>
    </w:p>
    <w:p>
      <w:pPr>
        <w:widowControl/>
        <w:spacing w:line="430" w:lineRule="exact"/>
        <w:ind w:firstLine="420" w:firstLineChars="200"/>
        <w:jc w:val="left"/>
        <w:rPr>
          <w:color w:val="auto"/>
        </w:rPr>
      </w:pPr>
      <w:r>
        <w:rPr>
          <w:rFonts w:hint="eastAsia"/>
          <w:color w:val="auto"/>
        </w:rPr>
        <w:t>联系人：</w:t>
      </w:r>
      <w:r>
        <w:rPr>
          <w:rFonts w:hint="eastAsia" w:hAnsi="宋体"/>
          <w:color w:val="auto"/>
        </w:rPr>
        <w:t>陈侃、陈启梅</w:t>
      </w:r>
      <w:r>
        <w:rPr>
          <w:rFonts w:hint="eastAsia"/>
          <w:color w:val="auto"/>
        </w:rPr>
        <w:t xml:space="preserve"> </w:t>
      </w:r>
      <w:r>
        <w:rPr>
          <w:color w:val="auto"/>
        </w:rPr>
        <w:t xml:space="preserve">  </w:t>
      </w:r>
      <w:r>
        <w:rPr>
          <w:rFonts w:hint="eastAsia"/>
          <w:color w:val="auto"/>
        </w:rPr>
        <w:t>联系方式：0777-2886006</w:t>
      </w:r>
    </w:p>
    <w:p>
      <w:pPr>
        <w:widowControl/>
        <w:spacing w:line="430" w:lineRule="exact"/>
        <w:ind w:firstLine="420" w:firstLineChars="200"/>
        <w:jc w:val="left"/>
        <w:rPr>
          <w:color w:val="auto"/>
        </w:rPr>
      </w:pPr>
      <w:r>
        <w:rPr>
          <w:color w:val="auto"/>
        </w:rPr>
        <w:t>(</w:t>
      </w:r>
      <w:r>
        <w:rPr>
          <w:rFonts w:hint="eastAsia"/>
          <w:color w:val="auto"/>
          <w:lang w:val="en-US" w:eastAsia="zh-CN"/>
        </w:rPr>
        <w:t>3</w:t>
      </w:r>
      <w:r>
        <w:rPr>
          <w:color w:val="auto"/>
        </w:rPr>
        <w:t>)</w:t>
      </w:r>
      <w:r>
        <w:rPr>
          <w:rFonts w:hint="eastAsia"/>
          <w:color w:val="auto"/>
        </w:rPr>
        <w:t>政采云技术支持热线：</w:t>
      </w:r>
      <w:r>
        <w:rPr>
          <w:rFonts w:hAnsi="宋体"/>
          <w:color w:val="auto"/>
        </w:rPr>
        <w:t>95763</w:t>
      </w:r>
    </w:p>
    <w:bookmarkEnd w:id="149"/>
    <w:p>
      <w:pPr>
        <w:widowControl/>
        <w:jc w:val="left"/>
        <w:rPr>
          <w:color w:val="auto"/>
        </w:rPr>
      </w:pPr>
      <w:r>
        <w:rPr>
          <w:color w:val="auto"/>
        </w:rPr>
        <w:br w:type="page"/>
      </w:r>
    </w:p>
    <w:p>
      <w:pPr>
        <w:widowControl/>
        <w:jc w:val="left"/>
        <w:rPr>
          <w:color w:val="auto"/>
        </w:rPr>
      </w:pPr>
    </w:p>
    <w:p>
      <w:pPr>
        <w:spacing w:line="320" w:lineRule="exact"/>
        <w:rPr>
          <w:color w:val="auto"/>
        </w:rPr>
      </w:pPr>
    </w:p>
    <w:p>
      <w:pPr>
        <w:widowControl/>
        <w:spacing w:line="320" w:lineRule="exact"/>
        <w:jc w:val="lef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spacing w:line="320" w:lineRule="exact"/>
        <w:rPr>
          <w:color w:val="auto"/>
        </w:rPr>
      </w:pPr>
    </w:p>
    <w:p>
      <w:pPr>
        <w:pStyle w:val="3"/>
        <w:spacing w:line="400" w:lineRule="exact"/>
        <w:rPr>
          <w:rFonts w:ascii="方正小标宋_GBK" w:hAnsi="宋体" w:eastAsia="方正小标宋_GBK"/>
          <w:color w:val="auto"/>
        </w:rPr>
      </w:pPr>
      <w:bookmarkStart w:id="150" w:name="_第四章__评定标准及推荐原则"/>
      <w:bookmarkEnd w:id="150"/>
      <w:bookmarkStart w:id="151" w:name="_Toc92355026"/>
      <w:r>
        <w:rPr>
          <w:rFonts w:hint="eastAsia" w:ascii="方正小标宋_GBK" w:hAnsi="宋体" w:eastAsia="方正小标宋_GBK"/>
          <w:color w:val="auto"/>
        </w:rPr>
        <w:t>第四章  评定标准及推荐原则</w:t>
      </w:r>
      <w:bookmarkEnd w:id="151"/>
    </w:p>
    <w:p>
      <w:pPr>
        <w:pStyle w:val="23"/>
        <w:spacing w:line="280" w:lineRule="exact"/>
        <w:jc w:val="center"/>
        <w:rPr>
          <w:rFonts w:hAnsi="宋体"/>
          <w:b/>
          <w:bCs/>
          <w:color w:val="auto"/>
          <w:sz w:val="30"/>
          <w:szCs w:val="30"/>
        </w:rPr>
      </w:pPr>
      <w:r>
        <w:rPr>
          <w:rFonts w:hAnsi="宋体"/>
          <w:b/>
          <w:bCs/>
          <w:color w:val="auto"/>
        </w:rPr>
        <w:br w:type="page"/>
      </w:r>
    </w:p>
    <w:p>
      <w:pPr>
        <w:pStyle w:val="23"/>
        <w:spacing w:line="500" w:lineRule="exact"/>
        <w:jc w:val="center"/>
        <w:rPr>
          <w:rFonts w:hAnsi="宋体"/>
          <w:b/>
          <w:bCs/>
          <w:color w:val="auto"/>
          <w:sz w:val="44"/>
          <w:szCs w:val="44"/>
          <w:highlight w:val="none"/>
        </w:rPr>
      </w:pPr>
      <w:bookmarkStart w:id="152" w:name="_Hlk92463826"/>
      <w:r>
        <w:rPr>
          <w:rFonts w:hint="eastAsia" w:hAnsi="宋体"/>
          <w:b/>
          <w:bCs/>
          <w:color w:val="auto"/>
          <w:sz w:val="44"/>
          <w:szCs w:val="44"/>
          <w:highlight w:val="none"/>
        </w:rPr>
        <w:t>评定标准及推荐原则</w:t>
      </w:r>
    </w:p>
    <w:bookmarkEnd w:id="152"/>
    <w:p>
      <w:pPr>
        <w:rPr>
          <w:color w:val="auto"/>
          <w:highlight w:val="none"/>
        </w:rPr>
      </w:pPr>
    </w:p>
    <w:p>
      <w:pPr>
        <w:spacing w:line="430" w:lineRule="exact"/>
        <w:rPr>
          <w:rFonts w:ascii="宋体" w:hAnsi="宋体"/>
          <w:color w:val="auto"/>
          <w:highlight w:val="none"/>
        </w:rPr>
      </w:pPr>
    </w:p>
    <w:p>
      <w:pPr>
        <w:pStyle w:val="23"/>
        <w:spacing w:line="460" w:lineRule="exact"/>
        <w:rPr>
          <w:rFonts w:hAnsi="宋体"/>
          <w:b/>
          <w:bCs/>
          <w:color w:val="auto"/>
          <w:highlight w:val="none"/>
        </w:rPr>
      </w:pPr>
      <w:r>
        <w:rPr>
          <w:rFonts w:hint="eastAsia" w:hAnsi="宋体"/>
          <w:b/>
          <w:bCs/>
          <w:color w:val="auto"/>
          <w:highlight w:val="none"/>
        </w:rPr>
        <w:t>一、评审原则</w:t>
      </w:r>
    </w:p>
    <w:p>
      <w:pPr>
        <w:pStyle w:val="23"/>
        <w:spacing w:line="460" w:lineRule="exact"/>
        <w:ind w:firstLine="210" w:firstLineChars="100"/>
        <w:rPr>
          <w:rFonts w:hAnsi="宋体"/>
          <w:bCs/>
          <w:color w:val="auto"/>
          <w:highlight w:val="none"/>
        </w:rPr>
      </w:pPr>
      <w:r>
        <w:rPr>
          <w:rFonts w:hint="eastAsia" w:hAnsi="宋体"/>
          <w:bCs/>
          <w:color w:val="auto"/>
          <w:highlight w:val="none"/>
        </w:rPr>
        <w:t>(一)</w:t>
      </w:r>
      <w:r>
        <w:rPr>
          <w:rFonts w:hint="eastAsia" w:hAnsi="宋体"/>
          <w:color w:val="auto"/>
          <w:highlight w:val="none"/>
        </w:rPr>
        <w:t>评审依据：</w:t>
      </w:r>
      <w:r>
        <w:rPr>
          <w:rFonts w:hint="eastAsia" w:hAnsi="宋体"/>
          <w:color w:val="auto"/>
          <w:highlight w:val="none"/>
          <w:lang w:val="en-US" w:eastAsia="zh-CN"/>
        </w:rPr>
        <w:t>磋商小组将</w:t>
      </w:r>
      <w:r>
        <w:rPr>
          <w:rFonts w:hint="eastAsia" w:hAnsi="宋体"/>
          <w:color w:val="auto"/>
          <w:highlight w:val="none"/>
        </w:rPr>
        <w:t>以竞争性磋商采购文件和响应文件为评定依据</w:t>
      </w:r>
      <w:r>
        <w:rPr>
          <w:rFonts w:hint="eastAsia" w:hAnsi="宋体"/>
          <w:color w:val="auto"/>
          <w:highlight w:val="none"/>
          <w:lang w:val="en-US" w:eastAsia="zh-CN"/>
        </w:rPr>
        <w:t>进行评审，对供应商的响应文件内容按百分制打分</w:t>
      </w:r>
      <w:r>
        <w:rPr>
          <w:rFonts w:hint="eastAsia" w:hAnsi="宋体"/>
          <w:color w:val="auto"/>
          <w:highlight w:val="none"/>
        </w:rPr>
        <w:t>。</w:t>
      </w:r>
    </w:p>
    <w:p>
      <w:pPr>
        <w:pStyle w:val="23"/>
        <w:spacing w:line="460" w:lineRule="exact"/>
        <w:ind w:firstLine="210" w:firstLineChars="100"/>
        <w:rPr>
          <w:rFonts w:hAnsi="宋体"/>
          <w:bCs/>
          <w:color w:val="auto"/>
          <w:highlight w:val="none"/>
        </w:rPr>
      </w:pPr>
      <w:r>
        <w:rPr>
          <w:rFonts w:hint="eastAsia" w:hAnsi="宋体"/>
          <w:bCs/>
          <w:color w:val="auto"/>
          <w:highlight w:val="none"/>
        </w:rPr>
        <w:t>(二)磋商小组</w:t>
      </w:r>
      <w:r>
        <w:rPr>
          <w:rFonts w:hint="eastAsia" w:hAnsi="宋体"/>
          <w:bCs/>
          <w:color w:val="auto"/>
          <w:highlight w:val="none"/>
          <w:lang w:val="en-US" w:eastAsia="zh-CN"/>
        </w:rPr>
        <w:t>构成</w:t>
      </w:r>
      <w:r>
        <w:rPr>
          <w:rFonts w:hint="eastAsia" w:hAnsi="宋体"/>
          <w:bCs/>
          <w:color w:val="auto"/>
          <w:highlight w:val="none"/>
        </w:rPr>
        <w:t>：由采购人代表和评审专家共3人以上单数组成，其中评审专家人数不得少于磋商小组成员总数的2/3。</w:t>
      </w:r>
    </w:p>
    <w:p>
      <w:pPr>
        <w:pStyle w:val="23"/>
        <w:spacing w:line="460" w:lineRule="exact"/>
        <w:ind w:firstLine="210" w:firstLineChars="100"/>
        <w:jc w:val="left"/>
        <w:rPr>
          <w:rFonts w:hAnsi="宋体"/>
          <w:color w:val="auto"/>
          <w:highlight w:val="none"/>
        </w:rPr>
      </w:pPr>
      <w:r>
        <w:rPr>
          <w:rFonts w:hint="eastAsia" w:hAnsi="宋体"/>
          <w:bCs/>
          <w:color w:val="auto"/>
          <w:highlight w:val="none"/>
        </w:rPr>
        <w:t>(三</w:t>
      </w:r>
      <w:r>
        <w:rPr>
          <w:rFonts w:hAnsi="宋体"/>
          <w:bCs/>
          <w:color w:val="auto"/>
          <w:highlight w:val="none"/>
        </w:rPr>
        <w:t>)</w:t>
      </w:r>
      <w:r>
        <w:rPr>
          <w:rFonts w:hint="eastAsia" w:hAnsi="宋体"/>
          <w:color w:val="auto"/>
          <w:highlight w:val="none"/>
        </w:rPr>
        <w:t>评分方式：</w:t>
      </w:r>
      <w:r>
        <w:rPr>
          <w:rFonts w:hint="eastAsia" w:hAnsi="宋体"/>
          <w:color w:val="auto"/>
          <w:highlight w:val="none"/>
          <w:lang w:val="en-US" w:eastAsia="zh-CN"/>
        </w:rPr>
        <w:t>以封闭方式进行。</w:t>
      </w:r>
      <w:r>
        <w:rPr>
          <w:rFonts w:hint="eastAsia" w:hAnsi="宋体"/>
          <w:color w:val="auto"/>
          <w:highlight w:val="none"/>
        </w:rPr>
        <w:t>磋商小组各成员独立对每个有效响应文件进行评价、打分，汇总每个供应商每项评分因素的得分。</w:t>
      </w:r>
    </w:p>
    <w:p>
      <w:pPr>
        <w:pStyle w:val="23"/>
        <w:spacing w:line="460" w:lineRule="exact"/>
        <w:rPr>
          <w:rFonts w:hint="eastAsia" w:hAnsi="宋体"/>
          <w:b/>
          <w:bCs/>
          <w:color w:val="auto"/>
          <w:highlight w:val="none"/>
        </w:rPr>
      </w:pPr>
      <w:r>
        <w:rPr>
          <w:rFonts w:hint="eastAsia" w:hAnsi="宋体"/>
          <w:b/>
          <w:bCs/>
          <w:color w:val="auto"/>
          <w:highlight w:val="none"/>
        </w:rPr>
        <w:t>二、评分细则</w:t>
      </w:r>
    </w:p>
    <w:p>
      <w:pPr>
        <w:pStyle w:val="23"/>
        <w:spacing w:line="460" w:lineRule="exact"/>
        <w:ind w:firstLine="420" w:firstLineChars="200"/>
        <w:jc w:val="left"/>
        <w:rPr>
          <w:rFonts w:hint="eastAsia" w:hAnsi="宋体"/>
          <w:b/>
          <w:bCs/>
          <w:color w:val="auto"/>
          <w:highlight w:val="none"/>
        </w:rPr>
      </w:pPr>
      <w:r>
        <w:rPr>
          <w:rFonts w:hint="eastAsia" w:hAnsi="宋体"/>
          <w:color w:val="auto"/>
          <w:highlight w:val="none"/>
        </w:rPr>
        <w:t>综合评分法：对满足</w:t>
      </w:r>
      <w:r>
        <w:rPr>
          <w:rFonts w:hint="eastAsia" w:hAnsi="宋体"/>
          <w:color w:val="auto"/>
          <w:highlight w:val="none"/>
          <w:lang w:eastAsia="zh-CN"/>
        </w:rPr>
        <w:t>采购文件</w:t>
      </w:r>
      <w:r>
        <w:rPr>
          <w:rFonts w:hint="eastAsia" w:hAnsi="宋体"/>
          <w:color w:val="auto"/>
          <w:highlight w:val="none"/>
        </w:rPr>
        <w:t>全部实质性要求的</w:t>
      </w:r>
      <w:r>
        <w:rPr>
          <w:rFonts w:hint="eastAsia" w:hAnsi="宋体"/>
          <w:color w:val="auto"/>
          <w:highlight w:val="none"/>
          <w:lang w:val="en-US" w:eastAsia="zh-CN"/>
        </w:rPr>
        <w:t>供应商响应</w:t>
      </w:r>
      <w:r>
        <w:rPr>
          <w:rFonts w:hint="eastAsia" w:hAnsi="宋体"/>
          <w:color w:val="auto"/>
          <w:highlight w:val="none"/>
        </w:rPr>
        <w:t>文件</w:t>
      </w:r>
      <w:r>
        <w:rPr>
          <w:rFonts w:hAnsi="宋体" w:cs="Arial"/>
          <w:color w:val="auto"/>
          <w:highlight w:val="none"/>
        </w:rPr>
        <w:t>按照评审因素的量化指标评审</w:t>
      </w:r>
      <w:r>
        <w:rPr>
          <w:rFonts w:hint="eastAsia" w:hAnsi="宋体" w:cs="Arial"/>
          <w:color w:val="auto"/>
          <w:highlight w:val="none"/>
        </w:rPr>
        <w:t>并汇总(</w:t>
      </w:r>
      <w:r>
        <w:rPr>
          <w:rFonts w:hint="eastAsia" w:hAnsi="宋体"/>
          <w:color w:val="auto"/>
          <w:highlight w:val="none"/>
        </w:rPr>
        <w:t>四舍五入取至百分位)。</w:t>
      </w:r>
    </w:p>
    <w:p>
      <w:pPr>
        <w:spacing w:line="430" w:lineRule="exact"/>
        <w:ind w:firstLine="211" w:firstLineChars="100"/>
        <w:rPr>
          <w:rFonts w:ascii="宋体" w:hAnsi="宋体"/>
          <w:b/>
          <w:bCs/>
          <w:color w:val="auto"/>
          <w:highlight w:val="none"/>
        </w:rPr>
      </w:pPr>
      <w:r>
        <w:rPr>
          <w:rFonts w:hint="eastAsia" w:ascii="宋体" w:hAnsi="宋体"/>
          <w:b/>
          <w:bCs/>
          <w:color w:val="auto"/>
          <w:highlight w:val="none"/>
          <w:lang w:val="en-US" w:eastAsia="zh-CN"/>
        </w:rPr>
        <w:t>1.</w:t>
      </w:r>
      <w:r>
        <w:rPr>
          <w:rFonts w:hint="eastAsia" w:ascii="宋体" w:hAnsi="宋体"/>
          <w:b/>
          <w:bCs/>
          <w:color w:val="auto"/>
          <w:highlight w:val="none"/>
        </w:rPr>
        <w:t>磋商报价得分（</w:t>
      </w:r>
      <w:r>
        <w:rPr>
          <w:rFonts w:hint="eastAsia" w:ascii="宋体" w:hAnsi="宋体"/>
          <w:b/>
          <w:bCs/>
          <w:color w:val="auto"/>
          <w:highlight w:val="none"/>
          <w:lang w:val="en-US" w:eastAsia="zh-CN"/>
        </w:rPr>
        <w:t>30</w:t>
      </w:r>
      <w:r>
        <w:rPr>
          <w:rFonts w:hint="eastAsia" w:ascii="宋体" w:hAnsi="宋体"/>
          <w:b/>
          <w:bCs/>
          <w:color w:val="auto"/>
          <w:highlight w:val="none"/>
        </w:rPr>
        <w:t>分）</w:t>
      </w:r>
    </w:p>
    <w:p>
      <w:pPr>
        <w:spacing w:line="360" w:lineRule="auto"/>
        <w:ind w:firstLine="420" w:firstLineChars="200"/>
        <w:jc w:val="left"/>
        <w:rPr>
          <w:rFonts w:ascii="宋体" w:hAnsi="宋体"/>
          <w:color w:val="auto"/>
          <w:highlight w:val="none"/>
        </w:rPr>
      </w:pPr>
      <w:r>
        <w:rPr>
          <w:rFonts w:hint="eastAsia" w:ascii="宋体" w:hAnsi="宋体"/>
          <w:color w:val="auto"/>
          <w:highlight w:val="none"/>
        </w:rPr>
        <w:t>（1）本项目为专门面向</w:t>
      </w:r>
      <w:r>
        <w:rPr>
          <w:rFonts w:hint="eastAsia" w:ascii="宋体" w:hAnsi="宋体"/>
          <w:color w:val="auto"/>
          <w:highlight w:val="none"/>
          <w:lang w:val="en-US" w:eastAsia="zh-CN"/>
        </w:rPr>
        <w:t>中小</w:t>
      </w:r>
      <w:r>
        <w:rPr>
          <w:rFonts w:hint="eastAsia" w:ascii="宋体" w:hAnsi="宋体"/>
          <w:color w:val="auto"/>
          <w:highlight w:val="none"/>
        </w:rPr>
        <w:t>企业采购的项目，不再执行价格评审优惠的扶持政策，但供应商必须提供《中小企业声明函》或《监狱企业证明》或《残疾人福利性单位声明函》等（格式见第六章），提供资料与事实不符的，依照《中华人民共和国政府采购法》第七十七条第一款的规定追究法律责任。</w:t>
      </w:r>
    </w:p>
    <w:p>
      <w:pPr>
        <w:spacing w:line="360" w:lineRule="auto"/>
        <w:ind w:firstLine="420" w:firstLineChars="200"/>
        <w:jc w:val="left"/>
        <w:rPr>
          <w:rFonts w:ascii="宋体" w:hAnsi="宋体"/>
          <w:color w:val="auto"/>
          <w:highlight w:val="none"/>
        </w:rPr>
      </w:pPr>
      <w:r>
        <w:rPr>
          <w:rFonts w:hint="eastAsia" w:ascii="宋体" w:hAnsi="宋体"/>
          <w:color w:val="auto"/>
          <w:highlight w:val="none"/>
        </w:rPr>
        <w:t>（2）</w:t>
      </w:r>
      <w:r>
        <w:rPr>
          <w:rFonts w:ascii="宋体" w:hAnsi="宋体" w:cs="Courier New"/>
          <w:color w:val="auto"/>
          <w:szCs w:val="21"/>
          <w:highlight w:val="none"/>
        </w:rPr>
        <w:t>满足磋商文件要求且最后报价最低的供应商的价格为磋商基准价，其价格分为满分</w:t>
      </w:r>
      <w:r>
        <w:rPr>
          <w:rFonts w:hint="eastAsia" w:ascii="宋体" w:hAnsi="宋体" w:cs="Courier New"/>
          <w:color w:val="auto"/>
          <w:szCs w:val="21"/>
          <w:highlight w:val="none"/>
          <w:lang w:val="en-US" w:eastAsia="zh-CN"/>
        </w:rPr>
        <w:t>30</w:t>
      </w:r>
      <w:r>
        <w:rPr>
          <w:rFonts w:hint="eastAsia" w:ascii="宋体" w:hAnsi="宋体" w:cs="Courier New"/>
          <w:color w:val="auto"/>
          <w:szCs w:val="21"/>
          <w:highlight w:val="none"/>
        </w:rPr>
        <w:t>分</w:t>
      </w:r>
      <w:r>
        <w:rPr>
          <w:rFonts w:ascii="宋体" w:hAnsi="宋体" w:cs="Courier New"/>
          <w:color w:val="auto"/>
          <w:szCs w:val="21"/>
          <w:highlight w:val="none"/>
        </w:rPr>
        <w:t>。其他供应商的价格分统一按照下列公式计算：</w:t>
      </w:r>
    </w:p>
    <w:p>
      <w:pPr>
        <w:spacing w:line="360" w:lineRule="auto"/>
        <w:ind w:firstLine="420" w:firstLineChars="200"/>
        <w:jc w:val="left"/>
        <w:rPr>
          <w:rFonts w:hint="eastAsia" w:ascii="宋体" w:hAnsi="宋体" w:cs="Courier New"/>
          <w:color w:val="auto"/>
          <w:szCs w:val="21"/>
          <w:highlight w:val="none"/>
        </w:rPr>
      </w:pPr>
      <w:r>
        <w:rPr>
          <w:rFonts w:ascii="宋体" w:hAnsi="宋体" w:cs="Courier New"/>
          <w:color w:val="auto"/>
          <w:szCs w:val="21"/>
          <w:highlight w:val="none"/>
        </w:rPr>
        <w:t>磋商报价得分=（磋商基准价/最后磋商报价）×</w:t>
      </w:r>
      <w:r>
        <w:rPr>
          <w:rFonts w:hint="eastAsia" w:ascii="宋体" w:hAnsi="宋体" w:cs="Courier New"/>
          <w:color w:val="auto"/>
          <w:szCs w:val="21"/>
          <w:highlight w:val="none"/>
          <w:lang w:val="en-US" w:eastAsia="zh-CN"/>
        </w:rPr>
        <w:t>30</w:t>
      </w:r>
      <w:r>
        <w:rPr>
          <w:rFonts w:hint="eastAsia" w:ascii="宋体" w:hAnsi="宋体" w:cs="Courier New"/>
          <w:color w:val="auto"/>
          <w:szCs w:val="21"/>
          <w:highlight w:val="none"/>
        </w:rPr>
        <w:t>分</w:t>
      </w:r>
    </w:p>
    <w:p>
      <w:pPr>
        <w:spacing w:line="440" w:lineRule="exact"/>
        <w:ind w:firstLine="422" w:firstLineChars="200"/>
        <w:rPr>
          <w:rFonts w:ascii="宋体" w:hAnsi="Courier New" w:cs="Courier New"/>
          <w:b/>
          <w:color w:val="auto"/>
          <w:szCs w:val="21"/>
          <w:highlight w:val="none"/>
        </w:rPr>
      </w:pPr>
      <w:r>
        <w:rPr>
          <w:rFonts w:hint="eastAsia" w:ascii="宋体" w:hAnsi="Courier New" w:cs="Courier New"/>
          <w:b/>
          <w:color w:val="auto"/>
          <w:szCs w:val="21"/>
          <w:highlight w:val="none"/>
          <w:lang w:val="en-US" w:eastAsia="zh-CN"/>
        </w:rPr>
        <w:t>2</w:t>
      </w:r>
      <w:r>
        <w:rPr>
          <w:rFonts w:hint="eastAsia" w:ascii="宋体" w:hAnsi="Courier New" w:cs="Courier New"/>
          <w:b/>
          <w:color w:val="auto"/>
          <w:szCs w:val="21"/>
          <w:highlight w:val="none"/>
        </w:rPr>
        <w:t>.技术分（满分</w:t>
      </w:r>
      <w:r>
        <w:rPr>
          <w:rFonts w:hint="eastAsia" w:ascii="宋体" w:hAnsi="Courier New" w:cs="Courier New"/>
          <w:b/>
          <w:color w:val="auto"/>
          <w:szCs w:val="21"/>
          <w:highlight w:val="none"/>
          <w:lang w:val="en-US" w:eastAsia="zh-CN"/>
        </w:rPr>
        <w:t>67</w:t>
      </w:r>
      <w:r>
        <w:rPr>
          <w:rFonts w:hint="eastAsia" w:ascii="宋体" w:hAnsi="Courier New" w:cs="Courier New"/>
          <w:b/>
          <w:color w:val="auto"/>
          <w:szCs w:val="21"/>
          <w:highlight w:val="none"/>
        </w:rPr>
        <w:t>分）</w:t>
      </w:r>
    </w:p>
    <w:p>
      <w:pPr>
        <w:spacing w:line="440" w:lineRule="exact"/>
        <w:ind w:firstLine="420"/>
        <w:rPr>
          <w:rFonts w:ascii="宋体" w:cs="Courier New"/>
          <w:b/>
          <w:bCs w:val="0"/>
          <w:color w:val="auto"/>
          <w:szCs w:val="21"/>
          <w:highlight w:val="none"/>
        </w:rPr>
      </w:pPr>
      <w:r>
        <w:rPr>
          <w:rFonts w:hint="eastAsia" w:ascii="宋体" w:cs="Courier New"/>
          <w:b/>
          <w:bCs w:val="0"/>
          <w:color w:val="auto"/>
          <w:szCs w:val="21"/>
          <w:highlight w:val="none"/>
          <w:lang w:val="en-US" w:eastAsia="zh-CN"/>
        </w:rPr>
        <w:t>2.1</w:t>
      </w:r>
      <w:r>
        <w:rPr>
          <w:rFonts w:hint="eastAsia"/>
          <w:b/>
          <w:bCs w:val="0"/>
          <w:color w:val="auto"/>
          <w:szCs w:val="21"/>
          <w:highlight w:val="none"/>
          <w:lang w:val="en-US" w:eastAsia="zh-CN"/>
        </w:rPr>
        <w:t>基本服务</w:t>
      </w:r>
      <w:r>
        <w:rPr>
          <w:rFonts w:hint="eastAsia" w:ascii="宋体" w:hAnsi="宋体" w:cs="宋体"/>
          <w:b/>
          <w:bCs w:val="0"/>
          <w:color w:val="auto"/>
          <w:szCs w:val="21"/>
          <w:highlight w:val="none"/>
        </w:rPr>
        <w:t>分（满分</w:t>
      </w:r>
      <w:r>
        <w:rPr>
          <w:rFonts w:hint="eastAsia" w:ascii="宋体" w:hAnsi="宋体" w:cs="宋体"/>
          <w:b/>
          <w:bCs w:val="0"/>
          <w:color w:val="auto"/>
          <w:szCs w:val="21"/>
          <w:highlight w:val="none"/>
          <w:lang w:val="en-US" w:eastAsia="zh-CN"/>
        </w:rPr>
        <w:t>18</w:t>
      </w:r>
      <w:r>
        <w:rPr>
          <w:rFonts w:hint="eastAsia" w:ascii="宋体" w:hAnsi="宋体" w:cs="宋体"/>
          <w:b/>
          <w:bCs w:val="0"/>
          <w:color w:val="auto"/>
          <w:szCs w:val="21"/>
          <w:highlight w:val="none"/>
        </w:rPr>
        <w:t>分）</w:t>
      </w:r>
    </w:p>
    <w:p>
      <w:pPr>
        <w:numPr>
          <w:ilvl w:val="0"/>
          <w:numId w:val="0"/>
        </w:numPr>
        <w:spacing w:line="360" w:lineRule="auto"/>
        <w:ind w:firstLine="420" w:firstLineChars="200"/>
        <w:jc w:val="left"/>
        <w:rPr>
          <w:rFonts w:hint="eastAsia"/>
          <w:lang w:val="en-US" w:eastAsia="zh-CN"/>
        </w:rPr>
      </w:pPr>
      <w:r>
        <w:rPr>
          <w:rFonts w:hint="eastAsia" w:ascii="宋体" w:hAnsi="宋体" w:cs="Courier New"/>
          <w:color w:val="auto"/>
          <w:szCs w:val="21"/>
          <w:highlight w:val="none"/>
          <w:lang w:val="en-US" w:eastAsia="zh-CN"/>
        </w:rPr>
        <w:t>供应商的基本服务包含采购文件</w:t>
      </w:r>
      <w:r>
        <w:rPr>
          <w:rFonts w:hint="eastAsia" w:ascii="宋体" w:hAnsi="宋体" w:cs="Courier New"/>
          <w:color w:val="auto"/>
          <w:szCs w:val="21"/>
          <w:highlight w:val="none"/>
        </w:rPr>
        <w:t>《</w:t>
      </w:r>
      <w:r>
        <w:rPr>
          <w:rFonts w:hint="eastAsia" w:ascii="宋体" w:hAnsi="宋体" w:cs="Courier New"/>
          <w:color w:val="auto"/>
          <w:szCs w:val="21"/>
          <w:highlight w:val="none"/>
          <w:lang w:val="en-US" w:eastAsia="zh-CN"/>
        </w:rPr>
        <w:t>项目需求</w:t>
      </w:r>
      <w:r>
        <w:rPr>
          <w:rFonts w:hint="eastAsia" w:ascii="宋体" w:hAnsi="宋体" w:cs="Courier New"/>
          <w:color w:val="auto"/>
          <w:szCs w:val="21"/>
          <w:highlight w:val="none"/>
        </w:rPr>
        <w:t>》中的</w:t>
      </w:r>
      <w:r>
        <w:rPr>
          <w:rFonts w:hint="eastAsia" w:ascii="宋体" w:hAnsi="宋体" w:cs="Courier New"/>
          <w:color w:val="auto"/>
          <w:szCs w:val="21"/>
          <w:highlight w:val="none"/>
          <w:lang w:val="en-US" w:eastAsia="zh-CN"/>
        </w:rPr>
        <w:t>3.1基本服务</w:t>
      </w:r>
      <w:r>
        <w:rPr>
          <w:rFonts w:hint="eastAsia" w:ascii="宋体" w:hAnsi="宋体" w:cs="Courier New"/>
          <w:color w:val="auto"/>
          <w:szCs w:val="21"/>
          <w:highlight w:val="none"/>
        </w:rPr>
        <w:t>要求的</w:t>
      </w:r>
      <w:r>
        <w:rPr>
          <w:rFonts w:hint="eastAsia" w:ascii="宋体" w:hAnsi="宋体" w:cs="Courier New"/>
          <w:color w:val="auto"/>
          <w:szCs w:val="21"/>
          <w:highlight w:val="none"/>
          <w:lang w:val="en-US" w:eastAsia="zh-CN"/>
        </w:rPr>
        <w:t>9项服务标准</w:t>
      </w:r>
      <w:r>
        <w:rPr>
          <w:rFonts w:hint="eastAsia" w:ascii="宋体" w:hAnsi="宋体" w:cs="Courier New"/>
          <w:color w:val="auto"/>
          <w:szCs w:val="21"/>
          <w:highlight w:val="none"/>
        </w:rPr>
        <w:t>的</w:t>
      </w:r>
      <w:r>
        <w:rPr>
          <w:rFonts w:hint="eastAsia" w:ascii="宋体" w:hAnsi="宋体" w:cs="Courier New"/>
          <w:color w:val="auto"/>
          <w:szCs w:val="21"/>
          <w:highlight w:val="none"/>
          <w:lang w:val="en-US" w:eastAsia="zh-CN"/>
        </w:rPr>
        <w:t>要点</w:t>
      </w:r>
      <w:r>
        <w:rPr>
          <w:rFonts w:hint="eastAsia" w:ascii="宋体" w:hAnsi="宋体" w:cs="Courier New"/>
          <w:color w:val="auto"/>
          <w:szCs w:val="21"/>
          <w:highlight w:val="none"/>
        </w:rPr>
        <w:t>，</w:t>
      </w:r>
      <w:r>
        <w:rPr>
          <w:rFonts w:hint="eastAsia" w:ascii="宋体" w:hAnsi="宋体" w:cs="Courier New"/>
          <w:color w:val="auto"/>
          <w:szCs w:val="21"/>
          <w:highlight w:val="none"/>
          <w:lang w:val="en-US" w:eastAsia="zh-CN"/>
        </w:rPr>
        <w:t>并对其进行阐述的，</w:t>
      </w:r>
      <w:r>
        <w:rPr>
          <w:rFonts w:hint="eastAsia" w:ascii="宋体" w:hAnsi="宋体" w:cs="Courier New"/>
          <w:color w:val="auto"/>
          <w:szCs w:val="21"/>
          <w:highlight w:val="none"/>
        </w:rPr>
        <w:t>每</w:t>
      </w:r>
      <w:r>
        <w:rPr>
          <w:rFonts w:hint="eastAsia" w:ascii="宋体" w:hAnsi="宋体" w:cs="Courier New"/>
          <w:color w:val="auto"/>
          <w:szCs w:val="21"/>
          <w:highlight w:val="none"/>
          <w:lang w:val="en-US" w:eastAsia="zh-CN"/>
        </w:rPr>
        <w:t>符合</w:t>
      </w:r>
      <w:r>
        <w:rPr>
          <w:rFonts w:hint="eastAsia" w:ascii="宋体" w:hAnsi="宋体" w:cs="Courier New"/>
          <w:color w:val="auto"/>
          <w:szCs w:val="21"/>
          <w:highlight w:val="none"/>
        </w:rPr>
        <w:t>1项</w:t>
      </w:r>
      <w:r>
        <w:rPr>
          <w:rFonts w:hint="eastAsia" w:ascii="宋体" w:hAnsi="宋体" w:cs="Courier New"/>
          <w:color w:val="auto"/>
          <w:szCs w:val="21"/>
          <w:highlight w:val="none"/>
          <w:lang w:val="en-US" w:eastAsia="zh-CN"/>
        </w:rPr>
        <w:t>得2</w:t>
      </w:r>
      <w:r>
        <w:rPr>
          <w:rFonts w:hint="eastAsia" w:ascii="宋体" w:hAnsi="宋体" w:cs="Courier New"/>
          <w:color w:val="auto"/>
          <w:szCs w:val="21"/>
          <w:highlight w:val="none"/>
        </w:rPr>
        <w:t>分，最高可</w:t>
      </w:r>
      <w:r>
        <w:rPr>
          <w:rFonts w:hint="eastAsia" w:ascii="宋体" w:hAnsi="宋体" w:cs="Courier New"/>
          <w:color w:val="auto"/>
          <w:szCs w:val="21"/>
          <w:highlight w:val="none"/>
          <w:lang w:val="en-US" w:eastAsia="zh-CN"/>
        </w:rPr>
        <w:t>得18</w:t>
      </w:r>
      <w:r>
        <w:rPr>
          <w:rFonts w:hint="eastAsia" w:ascii="宋体" w:hAnsi="宋体" w:cs="Courier New"/>
          <w:color w:val="auto"/>
          <w:szCs w:val="21"/>
          <w:highlight w:val="none"/>
        </w:rPr>
        <w:t>分。</w:t>
      </w:r>
    </w:p>
    <w:p>
      <w:pPr>
        <w:spacing w:line="440" w:lineRule="exact"/>
        <w:ind w:firstLine="420"/>
        <w:rPr>
          <w:rFonts w:ascii="宋体" w:cs="Courier New"/>
          <w:b/>
          <w:bCs w:val="0"/>
          <w:color w:val="auto"/>
          <w:szCs w:val="21"/>
          <w:highlight w:val="none"/>
        </w:rPr>
      </w:pPr>
      <w:r>
        <w:rPr>
          <w:rFonts w:hint="eastAsia" w:ascii="宋体" w:cs="Courier New"/>
          <w:b/>
          <w:bCs w:val="0"/>
          <w:color w:val="auto"/>
          <w:szCs w:val="21"/>
          <w:highlight w:val="none"/>
          <w:lang w:val="en-US" w:eastAsia="zh-CN"/>
        </w:rPr>
        <w:t>2.2</w:t>
      </w:r>
      <w:r>
        <w:rPr>
          <w:rFonts w:hint="eastAsia"/>
          <w:b/>
          <w:bCs w:val="0"/>
          <w:color w:val="auto"/>
          <w:szCs w:val="21"/>
          <w:highlight w:val="none"/>
          <w:lang w:val="en-US" w:eastAsia="zh-CN"/>
        </w:rPr>
        <w:t>共用设施设备消防管理服务</w:t>
      </w:r>
      <w:r>
        <w:rPr>
          <w:rFonts w:hint="eastAsia" w:ascii="宋体" w:hAnsi="宋体" w:cs="宋体"/>
          <w:b/>
          <w:bCs w:val="0"/>
          <w:color w:val="auto"/>
          <w:szCs w:val="21"/>
          <w:highlight w:val="none"/>
        </w:rPr>
        <w:t>分（满分</w:t>
      </w:r>
      <w:r>
        <w:rPr>
          <w:rFonts w:hint="eastAsia" w:ascii="宋体" w:hAnsi="宋体" w:cs="宋体"/>
          <w:b/>
          <w:bCs w:val="0"/>
          <w:color w:val="auto"/>
          <w:szCs w:val="21"/>
          <w:highlight w:val="none"/>
          <w:lang w:val="en-US" w:eastAsia="zh-CN"/>
        </w:rPr>
        <w:t>6</w:t>
      </w:r>
      <w:r>
        <w:rPr>
          <w:rFonts w:hint="eastAsia" w:ascii="宋体" w:hAnsi="宋体" w:cs="宋体"/>
          <w:b/>
          <w:bCs w:val="0"/>
          <w:color w:val="auto"/>
          <w:szCs w:val="21"/>
          <w:highlight w:val="none"/>
        </w:rPr>
        <w:t>分）</w:t>
      </w:r>
    </w:p>
    <w:p>
      <w:pPr>
        <w:numPr>
          <w:ilvl w:val="0"/>
          <w:numId w:val="0"/>
        </w:numPr>
        <w:spacing w:line="360" w:lineRule="auto"/>
        <w:ind w:firstLine="420" w:firstLineChars="200"/>
        <w:jc w:val="left"/>
        <w:rPr>
          <w:rFonts w:hint="eastAsia" w:ascii="宋体" w:cs="Courier New"/>
          <w:b/>
          <w:color w:val="auto"/>
          <w:szCs w:val="21"/>
          <w:highlight w:val="none"/>
          <w:lang w:val="en-US" w:eastAsia="zh-CN"/>
        </w:rPr>
      </w:pPr>
      <w:r>
        <w:rPr>
          <w:rFonts w:hint="eastAsia" w:ascii="宋体" w:hAnsi="宋体" w:cs="Courier New"/>
          <w:color w:val="auto"/>
          <w:szCs w:val="21"/>
          <w:highlight w:val="none"/>
          <w:lang w:val="en-US" w:eastAsia="zh-CN"/>
        </w:rPr>
        <w:t>供应商的共用设施设备消防管理服务包含采购文件</w:t>
      </w:r>
      <w:r>
        <w:rPr>
          <w:rFonts w:hint="eastAsia" w:ascii="宋体" w:hAnsi="宋体" w:cs="Courier New"/>
          <w:color w:val="auto"/>
          <w:szCs w:val="21"/>
          <w:highlight w:val="none"/>
        </w:rPr>
        <w:t>《</w:t>
      </w:r>
      <w:r>
        <w:rPr>
          <w:rFonts w:hint="eastAsia" w:ascii="宋体" w:hAnsi="宋体" w:cs="Courier New"/>
          <w:color w:val="auto"/>
          <w:szCs w:val="21"/>
          <w:highlight w:val="none"/>
          <w:lang w:val="en-US" w:eastAsia="zh-CN"/>
        </w:rPr>
        <w:t>项目需求</w:t>
      </w:r>
      <w:r>
        <w:rPr>
          <w:rFonts w:hint="eastAsia" w:ascii="宋体" w:hAnsi="宋体" w:cs="Courier New"/>
          <w:color w:val="auto"/>
          <w:szCs w:val="21"/>
          <w:highlight w:val="none"/>
        </w:rPr>
        <w:t>》中的</w:t>
      </w:r>
      <w:r>
        <w:rPr>
          <w:rFonts w:hint="eastAsia" w:ascii="宋体" w:hAnsi="宋体" w:cs="Courier New"/>
          <w:color w:val="auto"/>
          <w:szCs w:val="21"/>
          <w:highlight w:val="none"/>
          <w:lang w:val="en-US" w:eastAsia="zh-CN"/>
        </w:rPr>
        <w:t>3.2共用设施设备消防管理服务要</w:t>
      </w:r>
      <w:r>
        <w:rPr>
          <w:rFonts w:hint="eastAsia" w:ascii="宋体" w:hAnsi="宋体" w:cs="Courier New"/>
          <w:color w:val="auto"/>
          <w:szCs w:val="21"/>
          <w:highlight w:val="none"/>
        </w:rPr>
        <w:t>求的</w:t>
      </w:r>
      <w:r>
        <w:rPr>
          <w:rFonts w:hint="eastAsia" w:ascii="宋体" w:hAnsi="宋体" w:cs="Courier New"/>
          <w:color w:val="auto"/>
          <w:szCs w:val="21"/>
          <w:highlight w:val="none"/>
          <w:lang w:val="en-US" w:eastAsia="zh-CN"/>
        </w:rPr>
        <w:t>2项服务标准</w:t>
      </w:r>
      <w:r>
        <w:rPr>
          <w:rFonts w:hint="eastAsia" w:ascii="宋体" w:hAnsi="宋体" w:cs="Courier New"/>
          <w:color w:val="auto"/>
          <w:szCs w:val="21"/>
          <w:highlight w:val="none"/>
        </w:rPr>
        <w:t>的</w:t>
      </w:r>
      <w:r>
        <w:rPr>
          <w:rFonts w:hint="eastAsia" w:ascii="宋体" w:hAnsi="宋体" w:cs="Courier New"/>
          <w:color w:val="auto"/>
          <w:szCs w:val="21"/>
          <w:highlight w:val="none"/>
          <w:lang w:val="en-US" w:eastAsia="zh-CN"/>
        </w:rPr>
        <w:t>要点</w:t>
      </w:r>
      <w:r>
        <w:rPr>
          <w:rFonts w:hint="eastAsia" w:ascii="宋体" w:hAnsi="宋体" w:cs="Courier New"/>
          <w:color w:val="auto"/>
          <w:szCs w:val="21"/>
          <w:highlight w:val="none"/>
        </w:rPr>
        <w:t>，</w:t>
      </w:r>
      <w:r>
        <w:rPr>
          <w:rFonts w:hint="eastAsia" w:ascii="宋体" w:hAnsi="宋体" w:cs="Courier New"/>
          <w:color w:val="auto"/>
          <w:szCs w:val="21"/>
          <w:highlight w:val="none"/>
          <w:lang w:val="en-US" w:eastAsia="zh-CN"/>
        </w:rPr>
        <w:t>并对其进行阐述的，</w:t>
      </w:r>
      <w:r>
        <w:rPr>
          <w:rFonts w:hint="eastAsia" w:ascii="宋体" w:hAnsi="宋体" w:cs="Courier New"/>
          <w:color w:val="auto"/>
          <w:szCs w:val="21"/>
          <w:highlight w:val="none"/>
        </w:rPr>
        <w:t>每</w:t>
      </w:r>
      <w:r>
        <w:rPr>
          <w:rFonts w:hint="eastAsia" w:ascii="宋体" w:hAnsi="宋体" w:cs="Courier New"/>
          <w:color w:val="auto"/>
          <w:szCs w:val="21"/>
          <w:highlight w:val="none"/>
          <w:lang w:val="en-US" w:eastAsia="zh-CN"/>
        </w:rPr>
        <w:t>符合</w:t>
      </w:r>
      <w:r>
        <w:rPr>
          <w:rFonts w:hint="eastAsia" w:ascii="宋体" w:hAnsi="宋体" w:cs="Courier New"/>
          <w:color w:val="auto"/>
          <w:szCs w:val="21"/>
          <w:highlight w:val="none"/>
        </w:rPr>
        <w:t>1项</w:t>
      </w:r>
      <w:r>
        <w:rPr>
          <w:rFonts w:hint="eastAsia" w:ascii="宋体" w:hAnsi="宋体" w:cs="Courier New"/>
          <w:color w:val="auto"/>
          <w:szCs w:val="21"/>
          <w:highlight w:val="none"/>
          <w:lang w:val="en-US" w:eastAsia="zh-CN"/>
        </w:rPr>
        <w:t>得3</w:t>
      </w:r>
      <w:r>
        <w:rPr>
          <w:rFonts w:hint="eastAsia" w:ascii="宋体" w:hAnsi="宋体" w:cs="Courier New"/>
          <w:color w:val="auto"/>
          <w:szCs w:val="21"/>
          <w:highlight w:val="none"/>
        </w:rPr>
        <w:t>分，最高可</w:t>
      </w:r>
      <w:r>
        <w:rPr>
          <w:rFonts w:hint="eastAsia" w:ascii="宋体" w:hAnsi="宋体" w:cs="Courier New"/>
          <w:color w:val="auto"/>
          <w:szCs w:val="21"/>
          <w:highlight w:val="none"/>
          <w:lang w:val="en-US" w:eastAsia="zh-CN"/>
        </w:rPr>
        <w:t>得6</w:t>
      </w:r>
      <w:r>
        <w:rPr>
          <w:rFonts w:hint="eastAsia" w:ascii="宋体" w:hAnsi="宋体" w:cs="Courier New"/>
          <w:color w:val="auto"/>
          <w:szCs w:val="21"/>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422" w:firstLineChars="200"/>
        <w:rPr>
          <w:rFonts w:hint="eastAsia" w:ascii="宋体" w:hAnsi="宋体"/>
          <w:b/>
          <w:bCs w:val="0"/>
          <w:color w:val="auto"/>
          <w:szCs w:val="21"/>
          <w:highlight w:val="none"/>
        </w:rPr>
      </w:pPr>
      <w:r>
        <w:rPr>
          <w:rFonts w:hint="eastAsia" w:ascii="宋体" w:cs="Courier New"/>
          <w:b/>
          <w:color w:val="auto"/>
          <w:szCs w:val="21"/>
          <w:highlight w:val="none"/>
          <w:lang w:val="en-US" w:eastAsia="zh-CN"/>
        </w:rPr>
        <w:t>2.3</w:t>
      </w:r>
      <w:r>
        <w:rPr>
          <w:rFonts w:hint="eastAsia" w:ascii="宋体" w:hAnsi="宋体" w:cs="宋体"/>
          <w:b/>
          <w:bCs/>
          <w:color w:val="auto"/>
          <w:sz w:val="21"/>
          <w:szCs w:val="21"/>
          <w:highlight w:val="none"/>
          <w:lang w:val="en-US" w:eastAsia="zh-CN"/>
        </w:rPr>
        <w:t>保安服务</w:t>
      </w:r>
      <w:r>
        <w:rPr>
          <w:rFonts w:hint="eastAsia" w:ascii="宋体" w:hAnsi="宋体" w:cs="宋体"/>
          <w:b/>
          <w:bCs w:val="0"/>
          <w:color w:val="auto"/>
          <w:szCs w:val="21"/>
          <w:highlight w:val="none"/>
        </w:rPr>
        <w:t>分（满分</w:t>
      </w:r>
      <w:r>
        <w:rPr>
          <w:rFonts w:hint="eastAsia" w:ascii="宋体" w:hAnsi="宋体" w:cs="宋体"/>
          <w:b/>
          <w:bCs w:val="0"/>
          <w:color w:val="auto"/>
          <w:szCs w:val="21"/>
          <w:highlight w:val="none"/>
          <w:lang w:val="en-US" w:eastAsia="zh-CN"/>
        </w:rPr>
        <w:t>24</w:t>
      </w:r>
      <w:r>
        <w:rPr>
          <w:rFonts w:hint="eastAsia" w:ascii="宋体" w:hAnsi="宋体" w:cs="宋体"/>
          <w:b/>
          <w:bCs w:val="0"/>
          <w:color w:val="auto"/>
          <w:szCs w:val="21"/>
          <w:highlight w:val="none"/>
        </w:rPr>
        <w:t>分）</w:t>
      </w:r>
    </w:p>
    <w:p>
      <w:pPr>
        <w:spacing w:line="360" w:lineRule="auto"/>
        <w:ind w:firstLine="420" w:firstLineChars="200"/>
        <w:jc w:val="left"/>
        <w:rPr>
          <w:rFonts w:hint="eastAsia" w:ascii="宋体" w:hAnsi="宋体" w:cs="Courier New"/>
          <w:color w:val="auto"/>
          <w:szCs w:val="21"/>
          <w:highlight w:val="none"/>
          <w:lang w:val="en-US" w:eastAsia="zh-CN"/>
        </w:rPr>
      </w:pPr>
      <w:r>
        <w:rPr>
          <w:rFonts w:hint="eastAsia" w:ascii="宋体" w:hAnsi="宋体" w:cs="Courier New"/>
          <w:color w:val="auto"/>
          <w:szCs w:val="21"/>
          <w:highlight w:val="none"/>
          <w:lang w:val="en-US" w:eastAsia="zh-CN"/>
        </w:rPr>
        <w:t>（1）供应商的保安服务包含采购文件《项目需求》中的3.3保安服务要求的8项服务标准的要点，并对其进行阐述的，每符合1项得2分，最高可得16分。</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2</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供应商</w:t>
      </w:r>
      <w:r>
        <w:rPr>
          <w:rFonts w:hint="eastAsia" w:ascii="宋体" w:hAnsi="宋体" w:cs="宋体"/>
          <w:color w:val="auto"/>
          <w:sz w:val="21"/>
          <w:szCs w:val="21"/>
          <w:highlight w:val="none"/>
        </w:rPr>
        <w:t>提供了管理方案及内部考核制度</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满分8分</w:t>
      </w:r>
      <w:r>
        <w:rPr>
          <w:rFonts w:hint="eastAsia" w:ascii="宋体" w:hAnsi="宋体" w:cs="宋体"/>
          <w:color w:val="auto"/>
          <w:sz w:val="21"/>
          <w:szCs w:val="21"/>
          <w:highlight w:val="none"/>
          <w:lang w:eastAsia="zh-CN"/>
        </w:rPr>
        <w:t>）</w:t>
      </w:r>
    </w:p>
    <w:p>
      <w:pPr>
        <w:spacing w:line="360" w:lineRule="auto"/>
        <w:ind w:firstLine="420" w:firstLineChars="200"/>
        <w:rPr>
          <w:rFonts w:hint="eastAsia" w:ascii="宋体" w:hAnsi="宋体"/>
          <w:color w:val="auto"/>
          <w:sz w:val="21"/>
          <w:szCs w:val="21"/>
          <w:highlight w:val="none"/>
        </w:rPr>
      </w:pPr>
      <w:r>
        <w:rPr>
          <w:rFonts w:hint="eastAsia" w:ascii="宋体" w:hAnsi="宋体"/>
          <w:color w:val="auto"/>
          <w:sz w:val="21"/>
          <w:szCs w:val="21"/>
          <w:highlight w:val="none"/>
          <w:lang w:val="en-US" w:eastAsia="zh-CN"/>
        </w:rPr>
        <w:t>①</w:t>
      </w:r>
      <w:r>
        <w:rPr>
          <w:rFonts w:hint="eastAsia" w:ascii="宋体" w:hAnsi="宋体"/>
          <w:color w:val="auto"/>
          <w:sz w:val="21"/>
          <w:szCs w:val="21"/>
          <w:highlight w:val="none"/>
        </w:rPr>
        <w:t>提供针对本部分的管理方案，得</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分。</w:t>
      </w:r>
    </w:p>
    <w:p>
      <w:pPr>
        <w:spacing w:line="360" w:lineRule="auto"/>
        <w:ind w:firstLine="420" w:firstLineChars="200"/>
        <w:rPr>
          <w:rFonts w:ascii="宋体" w:hAnsi="宋体"/>
          <w:color w:val="auto"/>
          <w:sz w:val="21"/>
          <w:szCs w:val="21"/>
          <w:highlight w:val="none"/>
        </w:rPr>
      </w:pPr>
      <w:r>
        <w:rPr>
          <w:rFonts w:hint="eastAsia" w:ascii="宋体" w:hAnsi="宋体"/>
          <w:color w:val="auto"/>
          <w:sz w:val="21"/>
          <w:szCs w:val="21"/>
          <w:highlight w:val="none"/>
          <w:lang w:val="en-US" w:eastAsia="zh-CN"/>
        </w:rPr>
        <w:t>②</w:t>
      </w:r>
      <w:r>
        <w:rPr>
          <w:rFonts w:hint="eastAsia" w:ascii="宋体" w:hAnsi="宋体"/>
          <w:color w:val="auto"/>
          <w:sz w:val="21"/>
          <w:szCs w:val="21"/>
          <w:highlight w:val="none"/>
        </w:rPr>
        <w:t>有针对本部分内容的日常工作落实计划</w:t>
      </w:r>
      <w:r>
        <w:rPr>
          <w:rFonts w:hint="eastAsia" w:ascii="宋体" w:hAnsi="宋体"/>
          <w:bCs/>
          <w:color w:val="auto"/>
          <w:spacing w:val="-4"/>
          <w:sz w:val="21"/>
          <w:szCs w:val="21"/>
          <w:highlight w:val="none"/>
        </w:rPr>
        <w:t>，</w:t>
      </w:r>
      <w:r>
        <w:rPr>
          <w:rFonts w:hint="eastAsia" w:ascii="宋体" w:hAnsi="宋体"/>
          <w:color w:val="auto"/>
          <w:sz w:val="21"/>
          <w:szCs w:val="21"/>
          <w:highlight w:val="none"/>
        </w:rPr>
        <w:t>得</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rPr>
        <w:t>分。</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③</w:t>
      </w:r>
      <w:r>
        <w:rPr>
          <w:rFonts w:hint="eastAsia" w:ascii="宋体" w:hAnsi="宋体"/>
          <w:color w:val="auto"/>
          <w:szCs w:val="21"/>
          <w:highlight w:val="none"/>
        </w:rPr>
        <w:t>有针对本部分内容的内部考核制度，且依据考核要求制订了考核办法；得</w:t>
      </w:r>
      <w:r>
        <w:rPr>
          <w:rFonts w:hint="eastAsia" w:ascii="宋体" w:hAnsi="宋体"/>
          <w:color w:val="auto"/>
          <w:szCs w:val="21"/>
          <w:highlight w:val="none"/>
          <w:lang w:val="en-US" w:eastAsia="zh-CN"/>
        </w:rPr>
        <w:t>2</w:t>
      </w:r>
      <w:r>
        <w:rPr>
          <w:rFonts w:hint="eastAsia" w:ascii="宋体" w:hAnsi="宋体"/>
          <w:color w:val="auto"/>
          <w:szCs w:val="21"/>
          <w:highlight w:val="none"/>
        </w:rPr>
        <w:t>分。</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val="en-US" w:eastAsia="zh-CN"/>
        </w:rPr>
        <w:t>④</w:t>
      </w:r>
      <w:r>
        <w:rPr>
          <w:rFonts w:hint="eastAsia" w:ascii="宋体" w:hAnsi="宋体"/>
          <w:color w:val="auto"/>
          <w:szCs w:val="21"/>
          <w:highlight w:val="none"/>
        </w:rPr>
        <w:t>制订有针对考核结果的措施和奖惩办法；得</w:t>
      </w:r>
      <w:r>
        <w:rPr>
          <w:rFonts w:hint="eastAsia" w:ascii="宋体" w:hAnsi="宋体"/>
          <w:color w:val="auto"/>
          <w:szCs w:val="21"/>
          <w:highlight w:val="none"/>
          <w:lang w:val="en-US" w:eastAsia="zh-CN"/>
        </w:rPr>
        <w:t>2</w:t>
      </w:r>
      <w:r>
        <w:rPr>
          <w:rFonts w:hint="eastAsia" w:ascii="宋体" w:hAnsi="宋体"/>
          <w:color w:val="auto"/>
          <w:szCs w:val="21"/>
          <w:highlight w:val="none"/>
        </w:rPr>
        <w:t>分。</w:t>
      </w:r>
    </w:p>
    <w:p>
      <w:pPr>
        <w:spacing w:line="440" w:lineRule="exact"/>
        <w:ind w:firstLine="420"/>
        <w:rPr>
          <w:rFonts w:hint="eastAsia" w:ascii="宋体" w:hAnsi="宋体" w:cs="宋体"/>
          <w:b/>
          <w:bCs w:val="0"/>
          <w:color w:val="auto"/>
          <w:szCs w:val="21"/>
          <w:highlight w:val="none"/>
        </w:rPr>
      </w:pPr>
      <w:r>
        <w:rPr>
          <w:rFonts w:hint="eastAsia" w:ascii="宋体" w:cs="Courier New"/>
          <w:b/>
          <w:color w:val="auto"/>
          <w:szCs w:val="21"/>
          <w:highlight w:val="none"/>
          <w:lang w:val="en-US" w:eastAsia="zh-CN"/>
        </w:rPr>
        <w:t>2.4</w:t>
      </w:r>
      <w:r>
        <w:rPr>
          <w:rFonts w:hint="eastAsia"/>
          <w:b/>
          <w:bCs w:val="0"/>
          <w:color w:val="auto"/>
          <w:szCs w:val="21"/>
          <w:highlight w:val="none"/>
          <w:lang w:val="en-US" w:eastAsia="zh-CN"/>
        </w:rPr>
        <w:t>物资配备</w:t>
      </w:r>
      <w:r>
        <w:rPr>
          <w:rFonts w:hint="eastAsia" w:ascii="宋体" w:hAnsi="宋体" w:cs="宋体"/>
          <w:b/>
          <w:bCs w:val="0"/>
          <w:color w:val="auto"/>
          <w:szCs w:val="21"/>
          <w:highlight w:val="none"/>
        </w:rPr>
        <w:t>分（满分</w:t>
      </w:r>
      <w:r>
        <w:rPr>
          <w:rFonts w:hint="eastAsia" w:ascii="宋体" w:hAnsi="宋体" w:cs="宋体"/>
          <w:b/>
          <w:bCs w:val="0"/>
          <w:color w:val="auto"/>
          <w:szCs w:val="21"/>
          <w:highlight w:val="none"/>
          <w:lang w:val="en-US" w:eastAsia="zh-CN"/>
        </w:rPr>
        <w:t>8</w:t>
      </w:r>
      <w:r>
        <w:rPr>
          <w:rFonts w:hint="eastAsia" w:ascii="宋体" w:hAnsi="宋体" w:cs="宋体"/>
          <w:b/>
          <w:bCs w:val="0"/>
          <w:color w:val="auto"/>
          <w:szCs w:val="21"/>
          <w:highlight w:val="none"/>
        </w:rPr>
        <w:t>分）</w:t>
      </w:r>
    </w:p>
    <w:p>
      <w:pPr>
        <w:numPr>
          <w:ilvl w:val="0"/>
          <w:numId w:val="6"/>
        </w:numPr>
        <w:spacing w:line="360" w:lineRule="auto"/>
        <w:ind w:firstLine="420" w:firstLineChars="200"/>
        <w:rPr>
          <w:rFonts w:hint="eastAsia" w:ascii="宋体" w:hAnsi="宋体" w:cs="宋体"/>
          <w:color w:val="auto"/>
          <w:sz w:val="21"/>
          <w:szCs w:val="21"/>
          <w:highlight w:val="none"/>
          <w:lang w:val="en-US" w:eastAsia="zh-CN"/>
        </w:rPr>
      </w:pPr>
      <w:r>
        <w:rPr>
          <w:rFonts w:hint="eastAsia"/>
          <w:color w:val="auto"/>
          <w:lang w:val="en-US" w:eastAsia="zh-CN"/>
        </w:rPr>
        <w:t>供应商物资装备情况优于采购文件要求的，得2分。</w:t>
      </w:r>
    </w:p>
    <w:p>
      <w:pPr>
        <w:numPr>
          <w:ilvl w:val="0"/>
          <w:numId w:val="6"/>
        </w:numPr>
        <w:spacing w:line="360" w:lineRule="auto"/>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应急预案物资（4分）</w:t>
      </w:r>
    </w:p>
    <w:p>
      <w:pPr>
        <w:numPr>
          <w:ilvl w:val="0"/>
          <w:numId w:val="0"/>
        </w:numPr>
        <w:spacing w:line="360" w:lineRule="auto"/>
        <w:ind w:firstLine="420" w:firstLineChars="200"/>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供应商配备有应急物资，每覆盖一类风险点（如防汛、消防、停电、防疫）得1分，最高得4分。</w:t>
      </w:r>
    </w:p>
    <w:p>
      <w:pPr>
        <w:numPr>
          <w:ilvl w:val="0"/>
          <w:numId w:val="0"/>
        </w:numPr>
        <w:spacing w:line="360" w:lineRule="auto"/>
        <w:ind w:firstLine="420" w:firstLineChars="200"/>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（3）物资更新机制（2分）</w:t>
      </w:r>
    </w:p>
    <w:p>
      <w:pPr>
        <w:numPr>
          <w:ilvl w:val="0"/>
          <w:numId w:val="0"/>
        </w:numPr>
        <w:spacing w:line="360" w:lineRule="auto"/>
        <w:ind w:firstLine="420" w:firstLineChars="200"/>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供应商建立定期检查、更新制度，得2分。</w:t>
      </w:r>
    </w:p>
    <w:p>
      <w:pPr>
        <w:spacing w:line="440" w:lineRule="exact"/>
        <w:ind w:firstLine="420"/>
        <w:rPr>
          <w:rFonts w:hint="default" w:ascii="宋体" w:cs="Courier New"/>
          <w:b/>
          <w:color w:val="auto"/>
          <w:szCs w:val="21"/>
          <w:highlight w:val="none"/>
          <w:lang w:val="en-US" w:eastAsia="zh-CN"/>
        </w:rPr>
      </w:pPr>
      <w:r>
        <w:rPr>
          <w:rFonts w:hint="eastAsia" w:ascii="宋体" w:cs="Courier New"/>
          <w:b/>
          <w:color w:val="auto"/>
          <w:szCs w:val="21"/>
          <w:highlight w:val="none"/>
          <w:lang w:val="en-US" w:eastAsia="zh-CN"/>
        </w:rPr>
        <w:t>2.5</w:t>
      </w:r>
      <w:r>
        <w:rPr>
          <w:rFonts w:hint="eastAsia"/>
          <w:b/>
          <w:bCs w:val="0"/>
          <w:color w:val="auto"/>
          <w:szCs w:val="21"/>
          <w:highlight w:val="none"/>
          <w:lang w:val="en-US" w:eastAsia="zh-CN"/>
        </w:rPr>
        <w:t>人员配置</w:t>
      </w:r>
      <w:r>
        <w:rPr>
          <w:rFonts w:hint="eastAsia" w:ascii="宋体" w:hAnsi="宋体" w:cs="宋体"/>
          <w:b/>
          <w:bCs w:val="0"/>
          <w:color w:val="auto"/>
          <w:szCs w:val="21"/>
          <w:highlight w:val="none"/>
        </w:rPr>
        <w:t>分（满分</w:t>
      </w:r>
      <w:r>
        <w:rPr>
          <w:rFonts w:hint="eastAsia" w:ascii="宋体" w:hAnsi="宋体" w:cs="宋体"/>
          <w:b/>
          <w:bCs w:val="0"/>
          <w:color w:val="auto"/>
          <w:szCs w:val="21"/>
          <w:highlight w:val="none"/>
          <w:lang w:val="en-US" w:eastAsia="zh-CN"/>
        </w:rPr>
        <w:t>11</w:t>
      </w:r>
      <w:r>
        <w:rPr>
          <w:rFonts w:hint="eastAsia" w:ascii="宋体" w:hAnsi="宋体" w:cs="宋体"/>
          <w:b/>
          <w:bCs w:val="0"/>
          <w:color w:val="auto"/>
          <w:szCs w:val="21"/>
          <w:highlight w:val="none"/>
        </w:rPr>
        <w:t>分）</w:t>
      </w:r>
    </w:p>
    <w:p>
      <w:pPr>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w:t>
      </w:r>
      <w:r>
        <w:rPr>
          <w:rFonts w:hint="eastAsia" w:ascii="宋体" w:hAnsi="宋体"/>
          <w:color w:val="auto"/>
          <w:szCs w:val="21"/>
          <w:highlight w:val="none"/>
          <w:lang w:eastAsia="zh-CN"/>
        </w:rPr>
        <w:t>）</w:t>
      </w:r>
      <w:r>
        <w:rPr>
          <w:rFonts w:hint="eastAsia" w:ascii="宋体" w:hAnsi="宋体" w:cs="宋体"/>
          <w:color w:val="auto"/>
          <w:sz w:val="21"/>
          <w:szCs w:val="21"/>
          <w:highlight w:val="none"/>
          <w:lang w:val="en-US" w:eastAsia="zh-CN"/>
        </w:rPr>
        <w:t>供应商</w:t>
      </w:r>
      <w:r>
        <w:rPr>
          <w:rFonts w:hint="eastAsia" w:ascii="宋体" w:hAnsi="宋体"/>
          <w:color w:val="auto"/>
          <w:szCs w:val="21"/>
          <w:highlight w:val="none"/>
        </w:rPr>
        <w:t>提供针对本</w:t>
      </w:r>
      <w:r>
        <w:rPr>
          <w:rFonts w:hint="eastAsia" w:ascii="宋体" w:hAnsi="宋体"/>
          <w:color w:val="auto"/>
          <w:szCs w:val="21"/>
          <w:highlight w:val="none"/>
          <w:lang w:val="en-US" w:eastAsia="zh-CN"/>
        </w:rPr>
        <w:t>项目</w:t>
      </w:r>
      <w:r>
        <w:rPr>
          <w:rFonts w:hint="eastAsia" w:ascii="宋体" w:hAnsi="宋体"/>
          <w:color w:val="auto"/>
          <w:szCs w:val="21"/>
          <w:highlight w:val="none"/>
        </w:rPr>
        <w:t>的</w:t>
      </w:r>
      <w:r>
        <w:rPr>
          <w:rFonts w:hint="eastAsia" w:ascii="宋体" w:hAnsi="宋体"/>
          <w:color w:val="auto"/>
          <w:szCs w:val="21"/>
          <w:highlight w:val="none"/>
          <w:lang w:val="en-US" w:eastAsia="zh-CN"/>
        </w:rPr>
        <w:t>人员岗位职责</w:t>
      </w:r>
      <w:r>
        <w:rPr>
          <w:rFonts w:hint="eastAsia" w:ascii="宋体" w:hAnsi="宋体"/>
          <w:color w:val="auto"/>
          <w:szCs w:val="21"/>
          <w:highlight w:val="none"/>
        </w:rPr>
        <w:t>，得</w:t>
      </w:r>
      <w:r>
        <w:rPr>
          <w:rFonts w:hint="eastAsia" w:ascii="宋体" w:hAnsi="宋体"/>
          <w:color w:val="auto"/>
          <w:szCs w:val="21"/>
          <w:highlight w:val="none"/>
          <w:lang w:val="en-US" w:eastAsia="zh-CN"/>
        </w:rPr>
        <w:t>2</w:t>
      </w:r>
      <w:r>
        <w:rPr>
          <w:rFonts w:hint="eastAsia" w:ascii="宋体" w:hAnsi="宋体"/>
          <w:color w:val="auto"/>
          <w:szCs w:val="21"/>
          <w:highlight w:val="none"/>
        </w:rPr>
        <w:t>分。</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2</w:t>
      </w:r>
      <w:r>
        <w:rPr>
          <w:rFonts w:hint="eastAsia" w:ascii="宋体" w:hAnsi="宋体"/>
          <w:color w:val="auto"/>
          <w:szCs w:val="21"/>
          <w:highlight w:val="none"/>
          <w:lang w:eastAsia="zh-CN"/>
        </w:rPr>
        <w:t>）</w:t>
      </w:r>
      <w:r>
        <w:rPr>
          <w:rFonts w:hint="eastAsia" w:ascii="宋体" w:hAnsi="宋体" w:cs="宋体"/>
          <w:color w:val="auto"/>
          <w:sz w:val="21"/>
          <w:szCs w:val="21"/>
          <w:highlight w:val="none"/>
          <w:lang w:val="en-US" w:eastAsia="zh-CN"/>
        </w:rPr>
        <w:t>供应商</w:t>
      </w:r>
      <w:r>
        <w:rPr>
          <w:rFonts w:hint="eastAsia" w:ascii="宋体" w:hAnsi="宋体"/>
          <w:color w:val="auto"/>
          <w:szCs w:val="21"/>
          <w:highlight w:val="none"/>
        </w:rPr>
        <w:t>有针对本</w:t>
      </w:r>
      <w:r>
        <w:rPr>
          <w:rFonts w:hint="eastAsia" w:ascii="宋体" w:hAnsi="宋体"/>
          <w:color w:val="auto"/>
          <w:szCs w:val="21"/>
          <w:highlight w:val="none"/>
          <w:lang w:val="en-US" w:eastAsia="zh-CN"/>
        </w:rPr>
        <w:t>项目</w:t>
      </w:r>
      <w:r>
        <w:rPr>
          <w:rFonts w:hint="eastAsia" w:ascii="宋体" w:hAnsi="宋体"/>
          <w:color w:val="auto"/>
          <w:szCs w:val="21"/>
          <w:highlight w:val="none"/>
        </w:rPr>
        <w:t>的</w:t>
      </w:r>
      <w:r>
        <w:rPr>
          <w:rFonts w:hint="eastAsia" w:ascii="宋体" w:hAnsi="宋体"/>
          <w:color w:val="auto"/>
          <w:szCs w:val="21"/>
          <w:highlight w:val="none"/>
          <w:lang w:val="en-US" w:eastAsia="zh-CN"/>
        </w:rPr>
        <w:t>人员培训计划</w:t>
      </w:r>
      <w:r>
        <w:rPr>
          <w:rFonts w:hint="eastAsia" w:ascii="宋体" w:hAnsi="宋体"/>
          <w:bCs/>
          <w:color w:val="auto"/>
          <w:spacing w:val="-4"/>
          <w:szCs w:val="21"/>
          <w:highlight w:val="none"/>
        </w:rPr>
        <w:t>，</w:t>
      </w:r>
      <w:r>
        <w:rPr>
          <w:rFonts w:hint="eastAsia" w:ascii="宋体" w:hAnsi="宋体"/>
          <w:color w:val="auto"/>
          <w:szCs w:val="21"/>
          <w:highlight w:val="none"/>
        </w:rPr>
        <w:t>得</w:t>
      </w:r>
      <w:r>
        <w:rPr>
          <w:rFonts w:hint="eastAsia" w:ascii="宋体" w:hAnsi="宋体"/>
          <w:color w:val="auto"/>
          <w:szCs w:val="21"/>
          <w:highlight w:val="none"/>
          <w:lang w:val="en-US" w:eastAsia="zh-CN"/>
        </w:rPr>
        <w:t>2</w:t>
      </w:r>
      <w:r>
        <w:rPr>
          <w:rFonts w:hint="eastAsia" w:ascii="宋体" w:hAnsi="宋体"/>
          <w:color w:val="auto"/>
          <w:szCs w:val="21"/>
          <w:highlight w:val="none"/>
        </w:rPr>
        <w:t>分。</w:t>
      </w:r>
    </w:p>
    <w:p>
      <w:pPr>
        <w:spacing w:line="360" w:lineRule="auto"/>
        <w:ind w:firstLine="420" w:firstLineChars="200"/>
        <w:rPr>
          <w:rFonts w:ascii="宋体" w:hAnsi="宋体"/>
          <w:color w:val="auto"/>
          <w:szCs w:val="21"/>
          <w:highlight w:val="none"/>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3</w:t>
      </w:r>
      <w:r>
        <w:rPr>
          <w:rFonts w:hint="eastAsia" w:ascii="宋体" w:hAnsi="宋体"/>
          <w:color w:val="auto"/>
          <w:szCs w:val="21"/>
          <w:highlight w:val="none"/>
          <w:lang w:eastAsia="zh-CN"/>
        </w:rPr>
        <w:t>）</w:t>
      </w:r>
      <w:r>
        <w:rPr>
          <w:rFonts w:hint="eastAsia" w:ascii="宋体" w:hAnsi="宋体" w:cs="宋体"/>
          <w:color w:val="auto"/>
          <w:sz w:val="21"/>
          <w:szCs w:val="21"/>
          <w:highlight w:val="none"/>
          <w:lang w:val="en-US" w:eastAsia="zh-CN"/>
        </w:rPr>
        <w:t>供应商</w:t>
      </w:r>
      <w:r>
        <w:rPr>
          <w:rFonts w:hint="eastAsia" w:ascii="宋体" w:hAnsi="宋体"/>
          <w:color w:val="auto"/>
          <w:szCs w:val="21"/>
          <w:highlight w:val="none"/>
        </w:rPr>
        <w:t>有针对本</w:t>
      </w:r>
      <w:r>
        <w:rPr>
          <w:rFonts w:hint="eastAsia" w:ascii="宋体" w:hAnsi="宋体"/>
          <w:color w:val="auto"/>
          <w:szCs w:val="21"/>
          <w:highlight w:val="none"/>
          <w:lang w:val="en-US" w:eastAsia="zh-CN"/>
        </w:rPr>
        <w:t>项目</w:t>
      </w:r>
      <w:r>
        <w:rPr>
          <w:rFonts w:hint="eastAsia" w:ascii="宋体" w:hAnsi="宋体"/>
          <w:color w:val="auto"/>
          <w:szCs w:val="21"/>
          <w:highlight w:val="none"/>
        </w:rPr>
        <w:t>的人员管理规章制度</w:t>
      </w:r>
      <w:r>
        <w:rPr>
          <w:rFonts w:hint="eastAsia" w:ascii="宋体" w:hAnsi="宋体"/>
          <w:color w:val="auto"/>
          <w:szCs w:val="21"/>
          <w:highlight w:val="none"/>
          <w:lang w:eastAsia="zh-CN"/>
        </w:rPr>
        <w:t>，</w:t>
      </w:r>
      <w:r>
        <w:rPr>
          <w:rFonts w:hint="eastAsia" w:ascii="宋体" w:hAnsi="宋体"/>
          <w:color w:val="auto"/>
          <w:szCs w:val="21"/>
          <w:highlight w:val="none"/>
        </w:rPr>
        <w:t>得</w:t>
      </w:r>
      <w:r>
        <w:rPr>
          <w:rFonts w:hint="eastAsia" w:ascii="宋体" w:hAnsi="宋体"/>
          <w:color w:val="auto"/>
          <w:szCs w:val="21"/>
          <w:highlight w:val="none"/>
          <w:lang w:val="en-US" w:eastAsia="zh-CN"/>
        </w:rPr>
        <w:t>2</w:t>
      </w:r>
      <w:r>
        <w:rPr>
          <w:rFonts w:hint="eastAsia" w:ascii="宋体" w:hAnsi="宋体"/>
          <w:color w:val="auto"/>
          <w:szCs w:val="21"/>
          <w:highlight w:val="none"/>
        </w:rPr>
        <w:t>分。</w:t>
      </w:r>
    </w:p>
    <w:p>
      <w:pPr>
        <w:spacing w:line="360" w:lineRule="auto"/>
        <w:ind w:firstLine="420" w:firstLineChars="200"/>
        <w:rPr>
          <w:rFonts w:hint="eastAsia" w:ascii="宋体" w:hAnsi="宋体"/>
          <w:b w:val="0"/>
          <w:bCs w:val="0"/>
          <w:color w:val="auto"/>
          <w:szCs w:val="21"/>
          <w:highlight w:val="none"/>
          <w:lang w:val="en-US" w:eastAsia="zh-CN"/>
        </w:rPr>
      </w:pP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4</w:t>
      </w:r>
      <w:r>
        <w:rPr>
          <w:rFonts w:hint="eastAsia" w:ascii="宋体" w:hAnsi="宋体"/>
          <w:b w:val="0"/>
          <w:bCs w:val="0"/>
          <w:color w:val="auto"/>
          <w:szCs w:val="21"/>
          <w:highlight w:val="none"/>
          <w:lang w:eastAsia="zh-CN"/>
        </w:rPr>
        <w:t>）</w:t>
      </w:r>
      <w:r>
        <w:rPr>
          <w:rFonts w:hint="eastAsia" w:ascii="宋体" w:hAnsi="宋体" w:cs="宋体"/>
          <w:b w:val="0"/>
          <w:bCs w:val="0"/>
          <w:color w:val="auto"/>
          <w:sz w:val="21"/>
          <w:szCs w:val="21"/>
          <w:highlight w:val="none"/>
          <w:lang w:val="en-US" w:eastAsia="zh-CN"/>
        </w:rPr>
        <w:t>供应商</w:t>
      </w:r>
      <w:r>
        <w:rPr>
          <w:rFonts w:hint="eastAsia" w:ascii="宋体" w:hAnsi="宋体"/>
          <w:b w:val="0"/>
          <w:bCs w:val="0"/>
          <w:color w:val="auto"/>
          <w:szCs w:val="21"/>
          <w:highlight w:val="none"/>
          <w:lang w:val="en-US" w:eastAsia="zh-CN"/>
        </w:rPr>
        <w:t>制定</w:t>
      </w:r>
      <w:r>
        <w:rPr>
          <w:rFonts w:hint="eastAsia" w:ascii="宋体" w:hAnsi="宋体"/>
          <w:b w:val="0"/>
          <w:bCs w:val="0"/>
          <w:color w:val="auto"/>
          <w:szCs w:val="21"/>
          <w:highlight w:val="none"/>
        </w:rPr>
        <w:t>有针对本</w:t>
      </w:r>
      <w:r>
        <w:rPr>
          <w:rFonts w:hint="eastAsia" w:ascii="宋体" w:hAnsi="宋体"/>
          <w:b w:val="0"/>
          <w:bCs w:val="0"/>
          <w:color w:val="auto"/>
          <w:szCs w:val="21"/>
          <w:highlight w:val="none"/>
          <w:lang w:val="en-US" w:eastAsia="zh-CN"/>
        </w:rPr>
        <w:t>项目</w:t>
      </w:r>
      <w:r>
        <w:rPr>
          <w:rFonts w:hint="eastAsia" w:ascii="宋体" w:hAnsi="宋体"/>
          <w:b w:val="0"/>
          <w:bCs w:val="0"/>
          <w:color w:val="auto"/>
          <w:szCs w:val="21"/>
          <w:highlight w:val="none"/>
        </w:rPr>
        <w:t>的</w:t>
      </w:r>
      <w:r>
        <w:rPr>
          <w:rFonts w:hint="eastAsia" w:ascii="宋体" w:hAnsi="宋体"/>
          <w:b w:val="0"/>
          <w:bCs w:val="0"/>
          <w:color w:val="auto"/>
          <w:szCs w:val="21"/>
          <w:highlight w:val="none"/>
          <w:lang w:val="en-US" w:eastAsia="zh-CN"/>
        </w:rPr>
        <w:t>人员录用及考核机制</w:t>
      </w:r>
      <w:r>
        <w:rPr>
          <w:rFonts w:hint="eastAsia" w:ascii="宋体" w:hAnsi="宋体"/>
          <w:b w:val="0"/>
          <w:bCs w:val="0"/>
          <w:color w:val="auto"/>
          <w:szCs w:val="21"/>
          <w:highlight w:val="none"/>
          <w:lang w:eastAsia="zh-CN"/>
        </w:rPr>
        <w:t>，</w:t>
      </w:r>
      <w:r>
        <w:rPr>
          <w:rFonts w:hint="eastAsia" w:ascii="宋体" w:hAnsi="宋体"/>
          <w:b w:val="0"/>
          <w:bCs w:val="0"/>
          <w:color w:val="auto"/>
          <w:szCs w:val="21"/>
          <w:highlight w:val="none"/>
        </w:rPr>
        <w:t>得</w:t>
      </w:r>
      <w:r>
        <w:rPr>
          <w:rFonts w:hint="eastAsia" w:ascii="宋体" w:hAnsi="宋体"/>
          <w:b w:val="0"/>
          <w:bCs w:val="0"/>
          <w:color w:val="auto"/>
          <w:szCs w:val="21"/>
          <w:highlight w:val="none"/>
          <w:lang w:val="en-US" w:eastAsia="zh-CN"/>
        </w:rPr>
        <w:t>2</w:t>
      </w:r>
      <w:r>
        <w:rPr>
          <w:rFonts w:hint="eastAsia" w:ascii="宋体" w:hAnsi="宋体"/>
          <w:b w:val="0"/>
          <w:bCs w:val="0"/>
          <w:color w:val="auto"/>
          <w:szCs w:val="21"/>
          <w:highlight w:val="none"/>
        </w:rPr>
        <w:t>分。</w:t>
      </w:r>
    </w:p>
    <w:p>
      <w:pPr>
        <w:pStyle w:val="36"/>
        <w:rPr>
          <w:rFonts w:hint="default" w:hAnsi="宋体" w:cs="Times New Roman"/>
          <w:b w:val="0"/>
          <w:bCs w:val="0"/>
          <w:color w:val="auto"/>
          <w:kern w:val="2"/>
          <w:sz w:val="21"/>
          <w:szCs w:val="21"/>
          <w:highlight w:val="none"/>
          <w:lang w:val="en-US" w:eastAsia="zh-CN" w:bidi="ar-SA"/>
        </w:rPr>
      </w:pPr>
      <w:r>
        <w:rPr>
          <w:rFonts w:hint="eastAsia" w:ascii="宋体" w:eastAsia="宋体" w:cs="Times New Roman"/>
          <w:b w:val="0"/>
          <w:bCs w:val="0"/>
          <w:color w:val="auto"/>
          <w:highlight w:val="none"/>
          <w:lang w:eastAsia="zh-CN"/>
        </w:rPr>
        <w:t>（</w:t>
      </w:r>
      <w:r>
        <w:rPr>
          <w:rFonts w:hint="eastAsia" w:eastAsia="宋体" w:cs="Times New Roman"/>
          <w:b w:val="0"/>
          <w:bCs w:val="0"/>
          <w:color w:val="auto"/>
          <w:highlight w:val="none"/>
          <w:lang w:val="en-US" w:eastAsia="zh-CN"/>
        </w:rPr>
        <w:t>5</w:t>
      </w:r>
      <w:r>
        <w:rPr>
          <w:rFonts w:hint="eastAsia" w:ascii="宋体" w:eastAsia="宋体" w:cs="Times New Roman"/>
          <w:b w:val="0"/>
          <w:bCs w:val="0"/>
          <w:color w:val="auto"/>
          <w:highlight w:val="none"/>
          <w:lang w:eastAsia="zh-CN"/>
        </w:rPr>
        <w:t>）</w:t>
      </w:r>
      <w:r>
        <w:rPr>
          <w:rFonts w:hint="eastAsia" w:ascii="宋体" w:hAnsi="宋体" w:cs="宋体"/>
          <w:b w:val="0"/>
          <w:bCs w:val="0"/>
          <w:color w:val="auto"/>
          <w:sz w:val="21"/>
          <w:szCs w:val="21"/>
          <w:highlight w:val="none"/>
          <w:lang w:val="en-US" w:eastAsia="zh-CN"/>
        </w:rPr>
        <w:t>供应商</w:t>
      </w:r>
      <w:r>
        <w:rPr>
          <w:rFonts w:hint="eastAsia" w:ascii="宋体" w:eastAsia="宋体" w:cs="Times New Roman"/>
          <w:b w:val="0"/>
          <w:bCs w:val="0"/>
          <w:color w:val="auto"/>
          <w:highlight w:val="none"/>
        </w:rPr>
        <w:t>拟投入</w:t>
      </w:r>
      <w:r>
        <w:rPr>
          <w:rFonts w:hint="eastAsia" w:ascii="宋体" w:eastAsia="宋体" w:cs="Times New Roman"/>
          <w:b w:val="0"/>
          <w:bCs w:val="0"/>
          <w:color w:val="auto"/>
          <w:highlight w:val="none"/>
          <w:lang w:val="en-US" w:eastAsia="zh-CN"/>
        </w:rPr>
        <w:t>的</w:t>
      </w:r>
      <w:r>
        <w:rPr>
          <w:rFonts w:hint="eastAsia" w:ascii="宋体" w:hAnsi="宋体" w:eastAsia="宋体" w:cs="Times New Roman"/>
          <w:b w:val="0"/>
          <w:bCs w:val="0"/>
          <w:color w:val="auto"/>
          <w:kern w:val="2"/>
          <w:sz w:val="21"/>
          <w:szCs w:val="21"/>
          <w:highlight w:val="none"/>
          <w:lang w:val="en-US" w:eastAsia="zh-CN" w:bidi="ar-SA"/>
        </w:rPr>
        <w:t>本项目的人员</w:t>
      </w:r>
      <w:r>
        <w:rPr>
          <w:rFonts w:hint="eastAsia" w:hAnsi="宋体" w:cs="Times New Roman"/>
          <w:b w:val="0"/>
          <w:bCs w:val="0"/>
          <w:color w:val="auto"/>
          <w:kern w:val="2"/>
          <w:sz w:val="21"/>
          <w:szCs w:val="21"/>
          <w:highlight w:val="none"/>
          <w:lang w:val="en-US" w:eastAsia="zh-CN" w:bidi="ar-SA"/>
        </w:rPr>
        <w:t>在满足采购需求3人具有中级及以上消防设施操作员（职业方向：消防设施监控操作）证书的基础上，承诺每增加1人具有中级及以上消防设施操作员（职业方向：消防设施监控操作）证书的得1分，满分3分。</w:t>
      </w:r>
    </w:p>
    <w:p>
      <w:pPr>
        <w:rPr>
          <w:rFonts w:hint="eastAsia" w:ascii="宋体" w:hAnsi="宋体" w:eastAsia="宋体" w:cs="宋体"/>
          <w:color w:val="FF0000"/>
          <w:kern w:val="0"/>
          <w:sz w:val="21"/>
          <w:szCs w:val="21"/>
        </w:rPr>
      </w:pPr>
    </w:p>
    <w:p>
      <w:pPr>
        <w:spacing w:line="440" w:lineRule="exact"/>
        <w:ind w:firstLine="422" w:firstLineChars="200"/>
        <w:rPr>
          <w:rFonts w:hint="eastAsia" w:ascii="宋体" w:hAnsi="Courier New" w:cs="Courier New"/>
          <w:b/>
          <w:color w:val="auto"/>
          <w:szCs w:val="21"/>
          <w:highlight w:val="none"/>
        </w:rPr>
      </w:pPr>
      <w:r>
        <w:rPr>
          <w:rFonts w:hint="eastAsia" w:ascii="宋体" w:hAnsi="Courier New" w:cs="Courier New"/>
          <w:b/>
          <w:color w:val="auto"/>
          <w:szCs w:val="21"/>
          <w:highlight w:val="none"/>
          <w:lang w:val="en-US" w:eastAsia="zh-CN"/>
        </w:rPr>
        <w:t>3</w:t>
      </w:r>
      <w:r>
        <w:rPr>
          <w:rFonts w:ascii="宋体" w:hAnsi="Courier New" w:cs="Courier New"/>
          <w:b/>
          <w:color w:val="auto"/>
          <w:szCs w:val="21"/>
          <w:highlight w:val="none"/>
        </w:rPr>
        <w:t>.</w:t>
      </w:r>
      <w:r>
        <w:rPr>
          <w:rFonts w:hint="eastAsia" w:ascii="宋体" w:hAnsi="Courier New" w:cs="Courier New"/>
          <w:b/>
          <w:color w:val="auto"/>
          <w:szCs w:val="21"/>
          <w:highlight w:val="none"/>
          <w:lang w:val="en-US" w:eastAsia="zh-CN"/>
        </w:rPr>
        <w:t>商务</w:t>
      </w:r>
      <w:r>
        <w:rPr>
          <w:rFonts w:hint="eastAsia" w:ascii="宋体" w:hAnsi="Courier New" w:cs="Courier New"/>
          <w:b/>
          <w:color w:val="auto"/>
          <w:szCs w:val="21"/>
          <w:highlight w:val="none"/>
        </w:rPr>
        <w:t>分（满分</w:t>
      </w:r>
      <w:r>
        <w:rPr>
          <w:rFonts w:hint="eastAsia" w:ascii="宋体" w:hAnsi="Courier New" w:cs="Courier New"/>
          <w:b/>
          <w:color w:val="auto"/>
          <w:szCs w:val="21"/>
          <w:highlight w:val="none"/>
          <w:lang w:val="en-US" w:eastAsia="zh-CN"/>
        </w:rPr>
        <w:t>3</w:t>
      </w:r>
      <w:r>
        <w:rPr>
          <w:rFonts w:hint="eastAsia" w:ascii="宋体" w:hAnsi="Courier New" w:cs="Courier New"/>
          <w:b/>
          <w:color w:val="auto"/>
          <w:szCs w:val="21"/>
          <w:highlight w:val="none"/>
        </w:rPr>
        <w:t>分）</w:t>
      </w:r>
    </w:p>
    <w:p>
      <w:pPr>
        <w:widowControl/>
        <w:spacing w:line="360" w:lineRule="auto"/>
        <w:ind w:firstLine="420" w:firstLineChars="200"/>
        <w:jc w:val="left"/>
        <w:textAlignment w:val="baseline"/>
        <w:rPr>
          <w:rFonts w:hint="eastAsia" w:ascii="Times New Roman" w:hAnsi="Times New Roman" w:eastAsia="宋体" w:cs="Courier New"/>
          <w:b w:val="0"/>
          <w:color w:val="auto"/>
          <w:kern w:val="2"/>
          <w:sz w:val="21"/>
          <w:szCs w:val="21"/>
          <w:highlight w:val="none"/>
          <w:lang w:val="en-US" w:eastAsia="zh-CN" w:bidi="ar-SA"/>
        </w:rPr>
      </w:pPr>
      <w:r>
        <w:rPr>
          <w:rFonts w:hint="eastAsia" w:ascii="宋体" w:eastAsia="宋体" w:cs="Courier New"/>
          <w:b w:val="0"/>
          <w:color w:val="auto"/>
          <w:kern w:val="2"/>
          <w:sz w:val="21"/>
          <w:szCs w:val="21"/>
          <w:highlight w:val="none"/>
          <w:lang w:val="en-US" w:eastAsia="zh-CN" w:bidi="ar-SA"/>
        </w:rPr>
        <w:t>供应商</w:t>
      </w:r>
      <w:r>
        <w:rPr>
          <w:rFonts w:hint="eastAsia" w:cs="Courier New"/>
          <w:b w:val="0"/>
          <w:color w:val="auto"/>
          <w:kern w:val="2"/>
          <w:sz w:val="21"/>
          <w:szCs w:val="21"/>
          <w:highlight w:val="none"/>
          <w:lang w:val="en-US" w:eastAsia="zh-CN" w:bidi="ar-SA"/>
        </w:rPr>
        <w:t>2021</w:t>
      </w:r>
      <w:r>
        <w:rPr>
          <w:rFonts w:hint="eastAsia" w:ascii="宋体" w:hAnsi="Courier New" w:eastAsia="宋体" w:cs="Courier New"/>
          <w:b w:val="0"/>
          <w:color w:val="auto"/>
          <w:kern w:val="2"/>
          <w:sz w:val="21"/>
          <w:szCs w:val="21"/>
          <w:highlight w:val="none"/>
          <w:lang w:val="en-US" w:eastAsia="zh-CN" w:bidi="ar-SA"/>
        </w:rPr>
        <w:t>年以来承接</w:t>
      </w:r>
      <w:r>
        <w:rPr>
          <w:rFonts w:hint="eastAsia" w:ascii="宋体" w:hAnsi="Courier New" w:cs="Courier New"/>
          <w:b w:val="0"/>
          <w:color w:val="auto"/>
          <w:kern w:val="2"/>
          <w:sz w:val="21"/>
          <w:szCs w:val="21"/>
          <w:highlight w:val="none"/>
          <w:lang w:val="en-US" w:eastAsia="zh-CN" w:bidi="ar-SA"/>
        </w:rPr>
        <w:t>过</w:t>
      </w:r>
      <w:r>
        <w:rPr>
          <w:rFonts w:hint="eastAsia" w:ascii="宋体" w:hAnsi="Courier New" w:eastAsia="宋体" w:cs="Courier New"/>
          <w:b w:val="0"/>
          <w:color w:val="auto"/>
          <w:kern w:val="2"/>
          <w:sz w:val="21"/>
          <w:szCs w:val="21"/>
          <w:highlight w:val="none"/>
          <w:lang w:val="en-US" w:eastAsia="zh-CN" w:bidi="ar-SA"/>
        </w:rPr>
        <w:t>的</w:t>
      </w:r>
      <w:r>
        <w:rPr>
          <w:rFonts w:hint="eastAsia" w:cs="Courier New"/>
          <w:b w:val="0"/>
          <w:color w:val="auto"/>
          <w:kern w:val="2"/>
          <w:sz w:val="21"/>
          <w:szCs w:val="21"/>
          <w:highlight w:val="none"/>
          <w:lang w:val="en-US" w:eastAsia="zh-CN" w:bidi="ar-SA"/>
        </w:rPr>
        <w:t>类似项目</w:t>
      </w:r>
      <w:r>
        <w:rPr>
          <w:rFonts w:hint="eastAsia" w:ascii="宋体" w:hAnsi="Courier New" w:eastAsia="宋体" w:cs="Courier New"/>
          <w:b w:val="0"/>
          <w:color w:val="auto"/>
          <w:kern w:val="2"/>
          <w:sz w:val="21"/>
          <w:szCs w:val="21"/>
          <w:highlight w:val="none"/>
          <w:lang w:val="en-US" w:eastAsia="zh-CN" w:bidi="ar-SA"/>
        </w:rPr>
        <w:t>，每有一个得</w:t>
      </w:r>
      <w:r>
        <w:rPr>
          <w:rFonts w:hint="eastAsia" w:cs="Courier New"/>
          <w:b w:val="0"/>
          <w:color w:val="auto"/>
          <w:kern w:val="2"/>
          <w:sz w:val="21"/>
          <w:szCs w:val="21"/>
          <w:highlight w:val="none"/>
          <w:lang w:val="en-US" w:eastAsia="zh-CN" w:bidi="ar-SA"/>
        </w:rPr>
        <w:t>1</w:t>
      </w:r>
      <w:r>
        <w:rPr>
          <w:rFonts w:hint="eastAsia" w:ascii="宋体" w:hAnsi="Courier New" w:eastAsia="宋体" w:cs="Courier New"/>
          <w:b w:val="0"/>
          <w:color w:val="auto"/>
          <w:kern w:val="2"/>
          <w:sz w:val="21"/>
          <w:szCs w:val="21"/>
          <w:highlight w:val="none"/>
          <w:lang w:val="en-US" w:eastAsia="zh-CN" w:bidi="ar-SA"/>
        </w:rPr>
        <w:t>分，满分为</w:t>
      </w:r>
      <w:r>
        <w:rPr>
          <w:rFonts w:hint="eastAsia" w:cs="Courier New"/>
          <w:b w:val="0"/>
          <w:color w:val="auto"/>
          <w:kern w:val="2"/>
          <w:sz w:val="21"/>
          <w:szCs w:val="21"/>
          <w:highlight w:val="none"/>
          <w:lang w:val="en-US" w:eastAsia="zh-CN" w:bidi="ar-SA"/>
        </w:rPr>
        <w:t>3</w:t>
      </w:r>
      <w:r>
        <w:rPr>
          <w:rFonts w:hint="eastAsia" w:ascii="Times New Roman" w:hAnsi="Times New Roman" w:eastAsia="宋体" w:cs="Courier New"/>
          <w:b w:val="0"/>
          <w:color w:val="auto"/>
          <w:kern w:val="2"/>
          <w:sz w:val="21"/>
          <w:szCs w:val="21"/>
          <w:highlight w:val="none"/>
          <w:lang w:val="en-US" w:eastAsia="zh-CN" w:bidi="ar-SA"/>
        </w:rPr>
        <w:t>分。（需提供合同。）</w:t>
      </w:r>
    </w:p>
    <w:p>
      <w:pPr>
        <w:spacing w:line="440" w:lineRule="exact"/>
        <w:rPr>
          <w:rFonts w:hint="default" w:ascii="宋体" w:hAnsi="宋体" w:eastAsia="宋体" w:cs="宋体"/>
          <w:b/>
          <w:bCs/>
          <w:color w:val="auto"/>
          <w:szCs w:val="21"/>
          <w:highlight w:val="none"/>
          <w:lang w:val="en-US" w:eastAsia="zh-CN"/>
        </w:rPr>
      </w:pPr>
      <w:r>
        <w:rPr>
          <w:rFonts w:hint="eastAsia"/>
          <w:b/>
          <w:bCs/>
          <w:color w:val="auto"/>
          <w:highlight w:val="none"/>
        </w:rPr>
        <w:t>三、总得分=磋商报价得分+技术分</w:t>
      </w:r>
      <w:r>
        <w:rPr>
          <w:rFonts w:hint="eastAsia"/>
          <w:b/>
          <w:bCs/>
          <w:color w:val="auto"/>
          <w:highlight w:val="none"/>
          <w:lang w:val="en-US" w:eastAsia="zh-CN"/>
        </w:rPr>
        <w:t>+商务分</w:t>
      </w:r>
    </w:p>
    <w:p>
      <w:pPr>
        <w:pStyle w:val="23"/>
        <w:spacing w:line="460" w:lineRule="exact"/>
        <w:rPr>
          <w:rFonts w:hAnsi="宋体"/>
          <w:b/>
          <w:bCs/>
          <w:color w:val="auto"/>
          <w:highlight w:val="none"/>
        </w:rPr>
      </w:pPr>
      <w:r>
        <w:rPr>
          <w:rFonts w:hint="eastAsia"/>
          <w:b/>
          <w:bCs/>
          <w:color w:val="auto"/>
          <w:highlight w:val="none"/>
          <w:lang w:val="en-US" w:eastAsia="zh-CN"/>
        </w:rPr>
        <w:t>四</w:t>
      </w:r>
      <w:r>
        <w:rPr>
          <w:rFonts w:hint="eastAsia" w:hAnsi="宋体"/>
          <w:b/>
          <w:bCs/>
          <w:color w:val="auto"/>
          <w:highlight w:val="none"/>
        </w:rPr>
        <w:t>、成交供应商的推荐</w:t>
      </w:r>
    </w:p>
    <w:p>
      <w:pPr>
        <w:spacing w:line="440" w:lineRule="exact"/>
        <w:ind w:firstLine="420" w:firstLineChars="200"/>
        <w:rPr>
          <w:rFonts w:hint="eastAsia" w:ascii="宋体" w:cs="Courier New"/>
          <w:b/>
          <w:bCs/>
          <w:color w:val="auto"/>
          <w:szCs w:val="21"/>
          <w:highlight w:val="none"/>
        </w:rPr>
      </w:pPr>
      <w:r>
        <w:rPr>
          <w:rFonts w:hint="eastAsia"/>
          <w:color w:val="auto"/>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市场竞争不充分的科研项目，以及需要扶持的科技成果转化项目或政府购买服务项目，可以推荐2家成交候选供应商。</w:t>
      </w:r>
    </w:p>
    <w:p>
      <w:pPr>
        <w:spacing w:line="440" w:lineRule="exact"/>
        <w:ind w:firstLine="211" w:firstLineChars="100"/>
        <w:rPr>
          <w:rFonts w:hint="eastAsia" w:ascii="宋体" w:cs="Courier New"/>
          <w:b/>
          <w:bCs/>
          <w:color w:val="auto"/>
          <w:szCs w:val="21"/>
          <w:highlight w:val="none"/>
        </w:rPr>
      </w:pPr>
    </w:p>
    <w:p>
      <w:pPr>
        <w:rPr>
          <w:rFonts w:ascii="方正小标宋_GBK" w:eastAsia="方正小标宋_GBK"/>
          <w:color w:val="auto"/>
        </w:rPr>
      </w:pPr>
    </w:p>
    <w:p>
      <w:pPr>
        <w:rPr>
          <w:rFonts w:ascii="方正小标宋_GBK" w:eastAsia="方正小标宋_GBK"/>
          <w:color w:val="auto"/>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spacing w:line="440" w:lineRule="exact"/>
        <w:ind w:firstLine="211" w:firstLineChars="100"/>
        <w:rPr>
          <w:rFonts w:hint="eastAsia" w:ascii="宋体" w:cs="Courier New"/>
          <w:b/>
          <w:bCs/>
          <w:color w:val="auto"/>
          <w:szCs w:val="21"/>
        </w:rPr>
      </w:pPr>
    </w:p>
    <w:p>
      <w:pPr>
        <w:rPr>
          <w:color w:val="auto"/>
        </w:rPr>
      </w:pPr>
    </w:p>
    <w:p>
      <w:pPr>
        <w:rPr>
          <w:color w:val="auto"/>
        </w:rPr>
      </w:pPr>
    </w:p>
    <w:p>
      <w:pPr>
        <w:rPr>
          <w:color w:val="auto"/>
        </w:rPr>
      </w:pPr>
    </w:p>
    <w:p>
      <w:pPr>
        <w:pStyle w:val="3"/>
        <w:spacing w:line="400" w:lineRule="exact"/>
        <w:rPr>
          <w:rFonts w:ascii="方正小标宋_GBK" w:eastAsia="方正小标宋_GBK"/>
          <w:color w:val="auto"/>
        </w:rPr>
      </w:pPr>
      <w:bookmarkStart w:id="153" w:name="_Toc92355027"/>
      <w:r>
        <w:rPr>
          <w:rFonts w:hint="eastAsia" w:ascii="方正小标宋_GBK" w:eastAsia="方正小标宋_GBK"/>
          <w:color w:val="auto"/>
        </w:rPr>
        <w:t>第五章  合同文本</w:t>
      </w:r>
      <w:bookmarkEnd w:id="153"/>
    </w:p>
    <w:p>
      <w:pPr>
        <w:pStyle w:val="23"/>
        <w:jc w:val="center"/>
        <w:rPr>
          <w:rFonts w:ascii="Times New Roman" w:hAnsi="宋体"/>
          <w:b/>
          <w:bCs/>
          <w:color w:val="auto"/>
          <w:sz w:val="28"/>
          <w:szCs w:val="28"/>
        </w:rPr>
      </w:pPr>
      <w:r>
        <w:rPr>
          <w:rFonts w:hint="eastAsia" w:ascii="Times New Roman" w:hAnsi="宋体"/>
          <w:b/>
          <w:bCs/>
          <w:color w:val="auto"/>
          <w:sz w:val="28"/>
          <w:szCs w:val="28"/>
        </w:rPr>
        <w:t>（参考格式）</w:t>
      </w:r>
    </w:p>
    <w:p>
      <w:pPr>
        <w:pStyle w:val="23"/>
        <w:spacing w:line="340" w:lineRule="exact"/>
        <w:rPr>
          <w:rFonts w:ascii="宋体" w:hAnsi="宋体"/>
          <w:bCs/>
          <w:color w:val="auto"/>
          <w:szCs w:val="21"/>
        </w:rPr>
      </w:pPr>
      <w:r>
        <w:rPr>
          <w:rFonts w:ascii="宋体" w:hAnsi="宋体"/>
          <w:bCs/>
          <w:color w:val="auto"/>
          <w:szCs w:val="21"/>
        </w:rPr>
        <w:br w:type="page"/>
      </w:r>
    </w:p>
    <w:p>
      <w:pPr>
        <w:pStyle w:val="23"/>
        <w:spacing w:line="340" w:lineRule="exact"/>
        <w:rPr>
          <w:rFonts w:hint="eastAsia" w:ascii="宋体" w:hAnsi="宋体" w:eastAsia="宋体"/>
          <w:b/>
          <w:color w:val="auto"/>
        </w:rPr>
      </w:pPr>
      <w:r>
        <w:rPr>
          <w:rFonts w:hint="eastAsia" w:ascii="宋体" w:hAnsi="宋体" w:eastAsia="宋体"/>
          <w:b/>
          <w:color w:val="auto"/>
        </w:rPr>
        <w:t>说明：</w:t>
      </w:r>
    </w:p>
    <w:p>
      <w:pPr>
        <w:pStyle w:val="23"/>
        <w:spacing w:line="340" w:lineRule="exact"/>
        <w:rPr>
          <w:rFonts w:hint="eastAsia" w:ascii="宋体" w:hAnsi="宋体" w:eastAsia="宋体"/>
          <w:b/>
          <w:color w:val="auto"/>
        </w:rPr>
      </w:pPr>
      <w:r>
        <w:rPr>
          <w:rFonts w:hint="eastAsia" w:ascii="宋体" w:hAnsi="宋体" w:eastAsia="宋体"/>
          <w:b/>
          <w:color w:val="auto"/>
        </w:rPr>
        <w:t>1</w:t>
      </w:r>
      <w:r>
        <w:rPr>
          <w:rFonts w:hint="eastAsia" w:hAnsi="宋体"/>
          <w:b/>
          <w:color w:val="auto"/>
          <w:lang w:val="en-US" w:eastAsia="zh-CN"/>
        </w:rPr>
        <w:t>.</w:t>
      </w:r>
      <w:r>
        <w:rPr>
          <w:rFonts w:hint="eastAsia" w:ascii="宋体" w:hAnsi="宋体" w:eastAsia="宋体"/>
          <w:b/>
          <w:color w:val="auto"/>
        </w:rPr>
        <w:t>本合同书仅供签订正式合同时参考用。</w:t>
      </w:r>
    </w:p>
    <w:p>
      <w:pPr>
        <w:pStyle w:val="23"/>
        <w:spacing w:line="340" w:lineRule="exact"/>
        <w:rPr>
          <w:rFonts w:hint="eastAsia" w:ascii="宋体" w:hAnsi="宋体" w:eastAsia="宋体"/>
          <w:b/>
          <w:color w:val="auto"/>
        </w:rPr>
      </w:pPr>
      <w:r>
        <w:rPr>
          <w:rFonts w:hint="eastAsia" w:ascii="宋体" w:hAnsi="宋体" w:eastAsia="宋体"/>
          <w:b/>
          <w:color w:val="auto"/>
        </w:rPr>
        <w:t>2</w:t>
      </w:r>
      <w:r>
        <w:rPr>
          <w:rFonts w:hint="eastAsia" w:hAnsi="宋体"/>
          <w:b/>
          <w:color w:val="auto"/>
          <w:lang w:val="en-US" w:eastAsia="zh-CN"/>
        </w:rPr>
        <w:t>.</w:t>
      </w:r>
      <w:r>
        <w:rPr>
          <w:rFonts w:hint="eastAsia" w:ascii="宋体" w:hAnsi="宋体" w:eastAsia="宋体"/>
          <w:b/>
          <w:color w:val="auto"/>
        </w:rPr>
        <w:t>合同签订双方可根据项目的具体要求进行修订，但合同条款不得与采购文件和成交供应商响应文件有实质性偏离。</w:t>
      </w:r>
    </w:p>
    <w:p>
      <w:pPr>
        <w:pStyle w:val="23"/>
        <w:spacing w:line="340" w:lineRule="exact"/>
        <w:jc w:val="left"/>
        <w:rPr>
          <w:rFonts w:hint="eastAsia" w:ascii="方正小标宋简体" w:hAnsi="方正小标宋简体" w:eastAsia="方正小标宋简体" w:cs="方正小标宋简体"/>
          <w:bCs/>
          <w:color w:val="auto"/>
          <w:sz w:val="36"/>
          <w:szCs w:val="36"/>
          <w:u w:val="single"/>
          <w:lang w:val="en-US" w:eastAsia="zh-CN"/>
        </w:rPr>
      </w:pPr>
    </w:p>
    <w:p>
      <w:pPr>
        <w:pStyle w:val="23"/>
        <w:spacing w:line="340" w:lineRule="exact"/>
        <w:ind w:firstLine="2160" w:firstLineChars="600"/>
        <w:jc w:val="left"/>
        <w:rPr>
          <w:rFonts w:hint="eastAsia" w:ascii="宋体" w:hAnsi="宋体" w:cs="Courier New"/>
          <w:b/>
          <w:bCs/>
          <w:color w:val="auto"/>
          <w:kern w:val="0"/>
          <w:sz w:val="32"/>
          <w:szCs w:val="21"/>
        </w:rPr>
      </w:pPr>
      <w:r>
        <w:rPr>
          <w:rFonts w:hint="eastAsia" w:ascii="方正小标宋简体" w:hAnsi="方正小标宋简体" w:eastAsia="方正小标宋简体" w:cs="方正小标宋简体"/>
          <w:bCs/>
          <w:color w:val="auto"/>
          <w:sz w:val="36"/>
          <w:szCs w:val="36"/>
          <w:u w:val="single"/>
          <w:lang w:val="en-US" w:eastAsia="zh-CN"/>
        </w:rPr>
        <w:t xml:space="preserve">            </w:t>
      </w:r>
      <w:r>
        <w:rPr>
          <w:rFonts w:hint="eastAsia" w:ascii="方正小标宋简体" w:hAnsi="方正小标宋简体" w:eastAsia="方正小标宋简体" w:cs="方正小标宋简体"/>
          <w:bCs/>
          <w:color w:val="auto"/>
          <w:sz w:val="36"/>
          <w:szCs w:val="36"/>
        </w:rPr>
        <w:t>物业服务采购合同</w:t>
      </w:r>
      <w:r>
        <w:rPr>
          <w:rFonts w:hint="eastAsia" w:ascii="宋体" w:hAnsi="宋体" w:cs="Courier New"/>
          <w:b/>
          <w:bCs/>
          <w:color w:val="auto"/>
          <w:kern w:val="0"/>
          <w:sz w:val="32"/>
          <w:szCs w:val="21"/>
        </w:rPr>
        <w:t>（格式）</w:t>
      </w:r>
    </w:p>
    <w:p>
      <w:pPr>
        <w:pStyle w:val="12"/>
        <w:rPr>
          <w:color w:val="auto"/>
        </w:rPr>
      </w:pP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rPr>
        <w:t>合同编号：</w:t>
      </w:r>
      <w:r>
        <w:rPr>
          <w:rFonts w:hint="eastAsia" w:ascii="宋体" w:hAnsi="宋体" w:eastAsia="宋体" w:cs="宋体"/>
          <w:color w:val="auto"/>
          <w:sz w:val="21"/>
          <w:szCs w:val="21"/>
          <w:lang w:val="en-US" w:eastAsia="zh-CN"/>
        </w:rPr>
        <w:t>____________________________________________________</w:t>
      </w:r>
    </w:p>
    <w:p>
      <w:pPr>
        <w:pStyle w:val="160"/>
        <w:jc w:val="both"/>
        <w:rPr>
          <w:rFonts w:hint="eastAsia" w:ascii="宋体" w:hAnsi="宋体" w:eastAsia="宋体" w:cs="宋体"/>
          <w:color w:val="auto"/>
          <w:sz w:val="21"/>
          <w:szCs w:val="21"/>
          <w:u w:val="single"/>
        </w:rPr>
      </w:pPr>
      <w:r>
        <w:rPr>
          <w:rFonts w:hint="eastAsia" w:ascii="宋体" w:hAnsi="宋体" w:eastAsia="宋体" w:cs="宋体"/>
          <w:color w:val="auto"/>
          <w:sz w:val="21"/>
          <w:szCs w:val="21"/>
        </w:rPr>
        <w:t>采购项目编号：</w:t>
      </w:r>
      <w:r>
        <w:rPr>
          <w:rFonts w:hint="eastAsia" w:ascii="宋体" w:hAnsi="宋体" w:eastAsia="宋体" w:cs="宋体"/>
          <w:color w:val="auto"/>
          <w:sz w:val="21"/>
          <w:szCs w:val="21"/>
          <w:u w:val="single"/>
          <w:lang w:eastAsia="zh-CN"/>
        </w:rPr>
        <w:t>QZZC2026-C3-990309-QZSZ</w:t>
      </w:r>
      <w:r>
        <w:rPr>
          <w:rFonts w:hint="eastAsia" w:ascii="宋体" w:hAnsi="宋体" w:eastAsia="宋体" w:cs="宋体"/>
          <w:color w:val="auto"/>
          <w:sz w:val="21"/>
          <w:szCs w:val="21"/>
          <w:lang w:val="en-US" w:eastAsia="zh-CN"/>
        </w:rPr>
        <w:t>_________________________</w:t>
      </w:r>
    </w:p>
    <w:p>
      <w:pPr>
        <w:pStyle w:val="160"/>
        <w:jc w:val="both"/>
        <w:rPr>
          <w:rFonts w:hint="eastAsia" w:ascii="宋体" w:hAnsi="宋体" w:eastAsia="宋体" w:cs="宋体"/>
          <w:color w:val="auto"/>
          <w:sz w:val="21"/>
          <w:szCs w:val="21"/>
          <w:u w:val="single"/>
          <w:lang w:val="en-US" w:eastAsia="zh-CN"/>
        </w:rPr>
      </w:pPr>
      <w:r>
        <w:rPr>
          <w:rFonts w:hint="eastAsia" w:ascii="宋体" w:hAnsi="宋体" w:eastAsia="宋体" w:cs="宋体"/>
          <w:color w:val="auto"/>
          <w:sz w:val="21"/>
          <w:szCs w:val="21"/>
        </w:rPr>
        <w:t>采购人（甲方）：</w:t>
      </w:r>
      <w:r>
        <w:rPr>
          <w:rFonts w:hint="eastAsia" w:ascii="宋体" w:hAnsi="宋体" w:eastAsia="宋体" w:cs="宋体"/>
          <w:color w:val="auto"/>
          <w:sz w:val="21"/>
          <w:szCs w:val="21"/>
          <w:u w:val="single"/>
        </w:rPr>
        <w:t>钦州市儿童福利</w:t>
      </w:r>
      <w:r>
        <w:rPr>
          <w:rFonts w:hint="eastAsia" w:ascii="宋体" w:hAnsi="宋体" w:eastAsia="宋体" w:cs="宋体"/>
          <w:color w:val="auto"/>
          <w:sz w:val="21"/>
          <w:szCs w:val="21"/>
          <w:u w:val="single"/>
          <w:lang w:val="en-US" w:eastAsia="zh-CN"/>
        </w:rPr>
        <w:t>院</w:t>
      </w:r>
      <w:r>
        <w:rPr>
          <w:rFonts w:hint="eastAsia" w:ascii="宋体" w:hAnsi="宋体" w:eastAsia="宋体" w:cs="宋体"/>
          <w:color w:val="auto"/>
          <w:sz w:val="21"/>
          <w:szCs w:val="21"/>
          <w:lang w:val="en-US" w:eastAsia="zh-CN"/>
        </w:rPr>
        <w:t>_______________________________</w:t>
      </w:r>
    </w:p>
    <w:p>
      <w:pPr>
        <w:pStyle w:val="160"/>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供应商（乙方）：</w:t>
      </w:r>
      <w:r>
        <w:rPr>
          <w:rFonts w:hint="eastAsia" w:ascii="宋体" w:hAnsi="宋体" w:eastAsia="宋体" w:cs="宋体"/>
          <w:color w:val="auto"/>
          <w:sz w:val="21"/>
          <w:szCs w:val="21"/>
          <w:lang w:val="en-US" w:eastAsia="zh-CN"/>
        </w:rPr>
        <w:t>______________________________________________</w:t>
      </w:r>
    </w:p>
    <w:p>
      <w:pPr>
        <w:pStyle w:val="2"/>
        <w:jc w:val="both"/>
        <w:rPr>
          <w:rFonts w:hint="eastAsia" w:ascii="宋体" w:hAnsi="宋体" w:eastAsia="宋体" w:cs="宋体"/>
          <w:color w:val="auto"/>
          <w:sz w:val="21"/>
          <w:szCs w:val="21"/>
        </w:rPr>
      </w:pPr>
      <w:r>
        <w:rPr>
          <w:rFonts w:hint="eastAsia" w:ascii="宋体" w:hAnsi="宋体" w:eastAsia="宋体" w:cs="宋体"/>
          <w:color w:val="auto"/>
          <w:sz w:val="21"/>
          <w:szCs w:val="21"/>
        </w:rPr>
        <w:t>第一条 本合同当事人</w:t>
      </w:r>
    </w:p>
    <w:p>
      <w:pPr>
        <w:pStyle w:val="160"/>
        <w:jc w:val="both"/>
        <w:rPr>
          <w:rFonts w:hint="eastAsia" w:ascii="宋体" w:hAnsi="宋体" w:eastAsia="宋体" w:cs="宋体"/>
          <w:color w:val="auto"/>
          <w:sz w:val="21"/>
          <w:szCs w:val="21"/>
          <w:u w:val="single"/>
        </w:rPr>
      </w:pPr>
      <w:r>
        <w:rPr>
          <w:rFonts w:hint="eastAsia" w:ascii="宋体" w:hAnsi="宋体" w:eastAsia="宋体" w:cs="宋体"/>
          <w:color w:val="auto"/>
          <w:sz w:val="21"/>
          <w:szCs w:val="21"/>
        </w:rPr>
        <w:t>委托方（以下简称甲方）：</w:t>
      </w:r>
      <w:r>
        <w:rPr>
          <w:rFonts w:hint="eastAsia" w:ascii="宋体" w:hAnsi="宋体" w:eastAsia="宋体" w:cs="宋体"/>
          <w:color w:val="auto"/>
          <w:sz w:val="21"/>
          <w:szCs w:val="21"/>
          <w:u w:val="single"/>
        </w:rPr>
        <w:t>钦州市儿童福利院</w:t>
      </w:r>
    </w:p>
    <w:p>
      <w:pPr>
        <w:pStyle w:val="160"/>
        <w:jc w:val="both"/>
        <w:rPr>
          <w:rFonts w:hint="eastAsia" w:ascii="宋体" w:hAnsi="宋体" w:eastAsia="宋体" w:cs="宋体"/>
          <w:color w:val="auto"/>
          <w:sz w:val="21"/>
          <w:szCs w:val="21"/>
          <w:u w:val="none"/>
          <w:lang w:val="en-US" w:eastAsia="zh-CN"/>
        </w:rPr>
      </w:pPr>
      <w:r>
        <w:rPr>
          <w:rFonts w:hint="eastAsia" w:ascii="宋体" w:hAnsi="宋体" w:eastAsia="宋体" w:cs="宋体"/>
          <w:color w:val="auto"/>
          <w:sz w:val="21"/>
          <w:szCs w:val="21"/>
          <w:u w:val="none"/>
        </w:rPr>
        <w:t>受托方（以下简称乙方）：</w:t>
      </w:r>
      <w:r>
        <w:rPr>
          <w:rFonts w:hint="eastAsia" w:ascii="宋体" w:hAnsi="宋体" w:eastAsia="宋体" w:cs="宋体"/>
          <w:color w:val="auto"/>
          <w:sz w:val="21"/>
          <w:szCs w:val="21"/>
          <w:u w:val="none"/>
          <w:lang w:val="en-US" w:eastAsia="zh-CN"/>
        </w:rPr>
        <w:t>________________</w:t>
      </w:r>
    </w:p>
    <w:p>
      <w:pPr>
        <w:pStyle w:val="160"/>
        <w:ind w:firstLine="630" w:firstLineChars="30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根据《中华人民共和国政府采购法》《中华人民共和国民法典》《消防设施操作员国家职业技能标准》等国家、</w:t>
      </w:r>
      <w:r>
        <w:rPr>
          <w:rFonts w:hint="eastAsia" w:ascii="宋体" w:hAnsi="宋体" w:eastAsia="宋体" w:cs="宋体"/>
          <w:b w:val="0"/>
          <w:bCs w:val="0"/>
          <w:color w:val="auto"/>
          <w:sz w:val="21"/>
          <w:szCs w:val="21"/>
          <w:lang w:val="en-US" w:eastAsia="zh-CN"/>
        </w:rPr>
        <w:t>地方有关物业管理法律、法规和政策</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在</w:t>
      </w:r>
      <w:r>
        <w:rPr>
          <w:rFonts w:hint="eastAsia" w:ascii="宋体" w:hAnsi="宋体" w:eastAsia="宋体" w:cs="宋体"/>
          <w:b w:val="0"/>
          <w:bCs w:val="0"/>
          <w:color w:val="auto"/>
          <w:sz w:val="21"/>
          <w:szCs w:val="21"/>
        </w:rPr>
        <w:t>平等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自愿、协商一致的</w:t>
      </w:r>
      <w:r>
        <w:rPr>
          <w:rFonts w:hint="eastAsia" w:ascii="宋体" w:hAnsi="宋体" w:eastAsia="宋体" w:cs="宋体"/>
          <w:b w:val="0"/>
          <w:bCs w:val="0"/>
          <w:color w:val="auto"/>
          <w:sz w:val="21"/>
          <w:szCs w:val="21"/>
          <w:lang w:val="en-US" w:eastAsia="zh-CN"/>
        </w:rPr>
        <w:t>基础上</w:t>
      </w:r>
      <w:r>
        <w:rPr>
          <w:rFonts w:hint="eastAsia" w:ascii="宋体" w:hAnsi="宋体" w:eastAsia="宋体" w:cs="宋体"/>
          <w:b w:val="0"/>
          <w:bCs w:val="0"/>
          <w:color w:val="auto"/>
          <w:sz w:val="21"/>
          <w:szCs w:val="21"/>
        </w:rPr>
        <w:t>，就甲方委托乙方承接</w:t>
      </w:r>
      <w:r>
        <w:rPr>
          <w:rFonts w:hint="eastAsia" w:ascii="宋体" w:hAnsi="宋体" w:eastAsia="宋体" w:cs="宋体"/>
          <w:b w:val="0"/>
          <w:bCs w:val="0"/>
          <w:color w:val="auto"/>
          <w:sz w:val="21"/>
          <w:szCs w:val="21"/>
          <w:u w:val="single"/>
        </w:rPr>
        <w:t>钦州市儿童福利院康复特教中心物业管理服务事宜</w:t>
      </w:r>
      <w:r>
        <w:rPr>
          <w:rFonts w:hint="eastAsia" w:ascii="宋体" w:hAnsi="宋体" w:eastAsia="宋体" w:cs="宋体"/>
          <w:b w:val="0"/>
          <w:bCs w:val="0"/>
          <w:color w:val="auto"/>
          <w:sz w:val="21"/>
          <w:szCs w:val="21"/>
        </w:rPr>
        <w:t>，订立本合同。</w:t>
      </w:r>
    </w:p>
    <w:p>
      <w:pPr>
        <w:pStyle w:val="2"/>
        <w:jc w:val="both"/>
        <w:rPr>
          <w:rFonts w:hint="eastAsia" w:ascii="宋体" w:hAnsi="宋体" w:eastAsia="宋体" w:cs="宋体"/>
          <w:color w:val="auto"/>
          <w:sz w:val="21"/>
          <w:szCs w:val="21"/>
        </w:rPr>
      </w:pPr>
      <w:r>
        <w:rPr>
          <w:rFonts w:hint="eastAsia" w:ascii="宋体" w:hAnsi="宋体" w:eastAsia="宋体" w:cs="宋体"/>
          <w:color w:val="auto"/>
          <w:sz w:val="21"/>
          <w:szCs w:val="21"/>
        </w:rPr>
        <w:t>第二条 物业基本情况</w:t>
      </w:r>
    </w:p>
    <w:p>
      <w:pPr>
        <w:pStyle w:val="160"/>
        <w:numPr>
          <w:ilvl w:val="0"/>
          <w:numId w:val="0"/>
        </w:numPr>
        <w:ind w:leftChars="0"/>
        <w:jc w:val="both"/>
        <w:rPr>
          <w:rFonts w:hint="eastAsia" w:ascii="宋体" w:hAnsi="宋体" w:eastAsia="宋体" w:cs="宋体"/>
          <w:b w:val="0"/>
          <w:bCs w:val="0"/>
          <w:color w:val="auto"/>
          <w:sz w:val="21"/>
          <w:szCs w:val="21"/>
          <w:u w:val="single"/>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项目地点：</w:t>
      </w:r>
      <w:r>
        <w:rPr>
          <w:rFonts w:hint="eastAsia" w:ascii="宋体" w:hAnsi="宋体" w:eastAsia="宋体" w:cs="宋体"/>
          <w:b w:val="0"/>
          <w:bCs w:val="0"/>
          <w:color w:val="auto"/>
          <w:sz w:val="21"/>
          <w:szCs w:val="21"/>
          <w:u w:val="single"/>
        </w:rPr>
        <w:t>广西钦州市金华路8号（钦州市儿童福利院内）</w:t>
      </w:r>
    </w:p>
    <w:p>
      <w:pPr>
        <w:pStyle w:val="160"/>
        <w:numPr>
          <w:ilvl w:val="0"/>
          <w:numId w:val="0"/>
        </w:numPr>
        <w:ind w:leftChars="0"/>
        <w:jc w:val="both"/>
        <w:rPr>
          <w:rFonts w:hint="eastAsia" w:ascii="宋体" w:hAnsi="宋体" w:eastAsia="宋体" w:cs="宋体"/>
          <w:b w:val="0"/>
          <w:bCs w:val="0"/>
          <w:color w:val="auto"/>
          <w:sz w:val="21"/>
          <w:szCs w:val="21"/>
          <w:u w:val="single"/>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场所</w:t>
      </w:r>
      <w:r>
        <w:rPr>
          <w:rFonts w:hint="eastAsia" w:ascii="宋体" w:hAnsi="宋体" w:eastAsia="宋体" w:cs="宋体"/>
          <w:b w:val="0"/>
          <w:bCs w:val="0"/>
          <w:color w:val="auto"/>
          <w:sz w:val="21"/>
          <w:szCs w:val="21"/>
        </w:rPr>
        <w:t>服务规模：</w:t>
      </w:r>
      <w:r>
        <w:rPr>
          <w:rFonts w:hint="eastAsia" w:ascii="宋体" w:hAnsi="宋体" w:eastAsia="宋体" w:cs="宋体"/>
          <w:b w:val="0"/>
          <w:bCs w:val="0"/>
          <w:color w:val="auto"/>
          <w:sz w:val="21"/>
          <w:szCs w:val="21"/>
          <w:u w:val="single"/>
          <w:lang w:val="en-US" w:eastAsia="zh-CN"/>
        </w:rPr>
        <w:t>包括</w:t>
      </w:r>
      <w:r>
        <w:rPr>
          <w:rFonts w:hint="eastAsia" w:ascii="宋体" w:hAnsi="宋体" w:eastAsia="宋体" w:cs="宋体"/>
          <w:b w:val="0"/>
          <w:bCs w:val="0"/>
          <w:color w:val="auto"/>
          <w:sz w:val="21"/>
          <w:szCs w:val="21"/>
          <w:u w:val="single"/>
        </w:rPr>
        <w:t>儿童生活区、康复特教中心综合楼及院区全域范围。总建筑面积26572㎡（含地下室），室外服务面积6800㎡，院区绿化面积2700㎡；配备地下车位112个、地面车位25个、车行出入口2个、人行出入口2个、监控点位315个、电梯5台；配套完整消防系统、安防监控系统、门禁对讲系统、给排水、供配电等设施设备。</w:t>
      </w:r>
    </w:p>
    <w:p>
      <w:pPr>
        <w:pStyle w:val="160"/>
        <w:jc w:val="both"/>
        <w:rPr>
          <w:rFonts w:hint="eastAsia" w:ascii="宋体" w:hAnsi="宋体" w:eastAsia="宋体" w:cs="宋体"/>
          <w:b w:val="0"/>
          <w:bCs w:val="0"/>
          <w:color w:val="auto"/>
          <w:sz w:val="21"/>
          <w:szCs w:val="21"/>
          <w:u w:val="single"/>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服务内容：</w:t>
      </w:r>
      <w:r>
        <w:rPr>
          <w:rFonts w:hint="eastAsia" w:ascii="宋体" w:hAnsi="宋体" w:eastAsia="宋体" w:cs="宋体"/>
          <w:b w:val="0"/>
          <w:bCs w:val="0"/>
          <w:color w:val="auto"/>
          <w:sz w:val="21"/>
          <w:szCs w:val="21"/>
          <w:u w:val="single"/>
        </w:rPr>
        <w:t>本项目物业服务为24小时消防控制室值班+院区兼职安保一体化服务，不含设施设备大修、专项维保、绿化专业养护、设备更换等工作，具体包含：共用设施设备消防安防监控值守、设备异常巡查上报、院区出入管理、车辆秩序管控、院区巡逻值守、突发事件处置、重大活动保障、档案台账管理、应急演练配合、院区安全隐患排查上报等全部约定服务。</w:t>
      </w:r>
    </w:p>
    <w:p>
      <w:pPr>
        <w:adjustRightInd w:val="0"/>
        <w:snapToGrid w:val="0"/>
        <w:spacing w:line="430" w:lineRule="exact"/>
        <w:jc w:val="both"/>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rPr>
        <w:t>第三条  人员岗位配置及</w:t>
      </w:r>
      <w:r>
        <w:rPr>
          <w:rFonts w:hint="eastAsia" w:ascii="宋体" w:hAnsi="宋体" w:eastAsia="宋体" w:cs="宋体"/>
          <w:b/>
          <w:bCs/>
          <w:color w:val="auto"/>
          <w:sz w:val="21"/>
          <w:szCs w:val="21"/>
          <w:lang w:val="en-US" w:eastAsia="zh-CN"/>
        </w:rPr>
        <w:t>相关要求</w:t>
      </w:r>
    </w:p>
    <w:p>
      <w:pPr>
        <w:pStyle w:val="160"/>
        <w:numPr>
          <w:ilvl w:val="0"/>
          <w:numId w:val="0"/>
        </w:numPr>
        <w:ind w:leftChars="0" w:firstLine="210" w:firstLineChars="1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岗位名称</w:t>
      </w:r>
      <w:r>
        <w:rPr>
          <w:rFonts w:hint="eastAsia" w:ascii="宋体" w:hAnsi="宋体" w:eastAsia="宋体" w:cs="宋体"/>
          <w:b w:val="0"/>
          <w:bCs w:val="0"/>
          <w:color w:val="auto"/>
          <w:sz w:val="21"/>
          <w:szCs w:val="21"/>
          <w:lang w:val="en-US" w:eastAsia="zh-CN"/>
        </w:rPr>
        <w:t>与人员数量</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消防控制室值班（</w:t>
      </w:r>
      <w:r>
        <w:rPr>
          <w:rFonts w:hint="eastAsia" w:ascii="宋体" w:hAnsi="宋体" w:eastAsia="宋体" w:cs="宋体"/>
          <w:b w:val="0"/>
          <w:bCs w:val="0"/>
          <w:color w:val="auto"/>
          <w:sz w:val="21"/>
          <w:szCs w:val="21"/>
        </w:rPr>
        <w:t>兼</w:t>
      </w:r>
      <w:r>
        <w:rPr>
          <w:rFonts w:hint="eastAsia" w:ascii="宋体" w:hAnsi="宋体" w:eastAsia="宋体" w:cs="宋体"/>
          <w:b w:val="0"/>
          <w:bCs w:val="0"/>
          <w:color w:val="auto"/>
          <w:sz w:val="21"/>
          <w:szCs w:val="21"/>
          <w:lang w:val="en-US" w:eastAsia="zh-CN"/>
        </w:rPr>
        <w:t>职保安）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不少于6名</w:t>
      </w:r>
    </w:p>
    <w:p>
      <w:pPr>
        <w:pStyle w:val="160"/>
        <w:numPr>
          <w:ilvl w:val="0"/>
          <w:numId w:val="0"/>
        </w:numPr>
        <w:ind w:leftChars="0" w:firstLine="210" w:firstLineChars="10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在岗要求：实行24小时双人在岗值守，乙方须足额配齐轮岗人员，保障每班不少于2人、全年无间断在岗，总配置人数满足轮岗、调休、培训替补需求。</w:t>
      </w:r>
    </w:p>
    <w:p>
      <w:pPr>
        <w:pStyle w:val="160"/>
        <w:numPr>
          <w:ilvl w:val="0"/>
          <w:numId w:val="0"/>
        </w:numPr>
        <w:ind w:leftChars="0" w:firstLine="210" w:firstLineChars="100"/>
        <w:jc w:val="both"/>
        <w:rPr>
          <w:rFonts w:hint="eastAsia" w:ascii="宋体" w:hAnsi="宋体" w:eastAsia="宋体" w:cs="宋体"/>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人员资质条件</w:t>
      </w:r>
    </w:p>
    <w:p>
      <w:pPr>
        <w:pStyle w:val="160"/>
        <w:numPr>
          <w:ilvl w:val="0"/>
          <w:numId w:val="0"/>
        </w:numPr>
        <w:ind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所有在岗人员必须持有消防设施操作员（消防设施监控操作方向）有效证书，无证人员严禁上岗；</w:t>
      </w:r>
    </w:p>
    <w:p>
      <w:pPr>
        <w:pStyle w:val="160"/>
        <w:ind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学历：高中及以上学历；</w:t>
      </w:r>
    </w:p>
    <w:p>
      <w:pPr>
        <w:pStyle w:val="160"/>
        <w:ind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年龄：18-45周岁，业务能力优秀、工作表现良好者可放宽至50周岁；</w:t>
      </w:r>
    </w:p>
    <w:p>
      <w:pPr>
        <w:pStyle w:val="160"/>
        <w:ind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无任何违法犯罪记录、身体健康、无传染性疾病，具备1年以上消防控制室值班工作经验；</w:t>
      </w:r>
    </w:p>
    <w:p>
      <w:pPr>
        <w:pStyle w:val="160"/>
        <w:numPr>
          <w:ilvl w:val="0"/>
          <w:numId w:val="0"/>
        </w:numPr>
        <w:ind w:leftChars="0" w:firstLine="210" w:firstLineChars="100"/>
        <w:jc w:val="both"/>
        <w:rPr>
          <w:rFonts w:hint="eastAsia" w:ascii="宋体" w:hAnsi="宋体" w:eastAsia="宋体" w:cs="宋体"/>
          <w:b w:val="0"/>
          <w:bCs w:val="0"/>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热爱儿童福利服务工作，具备爱心、耐心、责任心，熟悉儿童群体安全防护及应急疏散流程。</w:t>
      </w:r>
    </w:p>
    <w:p>
      <w:pPr>
        <w:pStyle w:val="160"/>
        <w:numPr>
          <w:ilvl w:val="0"/>
          <w:numId w:val="0"/>
        </w:numPr>
        <w:ind w:leftChars="0" w:firstLine="210" w:firstLineChars="1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 xml:space="preserve"> （四）人员管理要求</w:t>
      </w:r>
    </w:p>
    <w:p>
      <w:pPr>
        <w:pStyle w:val="160"/>
        <w:numPr>
          <w:ilvl w:val="0"/>
          <w:numId w:val="0"/>
        </w:numPr>
        <w:ind w:leftChars="0"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所有服务人员不得兼职其他岗位，乙方须为全部派驻人员足额缴纳社会保险、购买人身意外伤害保险；</w:t>
      </w:r>
    </w:p>
    <w:p>
      <w:pPr>
        <w:pStyle w:val="160"/>
        <w:numPr>
          <w:ilvl w:val="0"/>
          <w:numId w:val="0"/>
        </w:numPr>
        <w:ind w:leftChars="0" w:firstLine="210" w:firstLineChars="100"/>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人员薪资标准严格执行《最低工资规定》及广西壮族自治区最新职工最低工资标准，合规发放加班费、福利费、补贴</w:t>
      </w:r>
      <w:r>
        <w:rPr>
          <w:rFonts w:hint="eastAsia" w:ascii="宋体" w:hAnsi="宋体" w:eastAsia="宋体" w:cs="宋体"/>
          <w:color w:val="auto"/>
          <w:sz w:val="21"/>
          <w:szCs w:val="21"/>
          <w:lang w:eastAsia="zh-CN"/>
        </w:rPr>
        <w:t>；</w:t>
      </w:r>
    </w:p>
    <w:p>
      <w:pPr>
        <w:pStyle w:val="160"/>
        <w:numPr>
          <w:ilvl w:val="0"/>
          <w:numId w:val="0"/>
        </w:numPr>
        <w:ind w:leftChars="0"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人员实行备案管理：乙方上岗前须将所有人员姓名、年龄、身份证号、执业证号、取证时间、联系方式及身份证、资格证复印件报送甲方备案；</w:t>
      </w:r>
    </w:p>
    <w:p>
      <w:pPr>
        <w:pStyle w:val="160"/>
        <w:numPr>
          <w:ilvl w:val="0"/>
          <w:numId w:val="0"/>
        </w:numPr>
        <w:ind w:leftChars="0"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在岗人员原则上不得随意更换，确需调整的，须经甲方书面同意，并及时更新备案信息；</w:t>
      </w:r>
    </w:p>
    <w:p>
      <w:pPr>
        <w:pStyle w:val="160"/>
        <w:ind w:firstLine="210" w:firstLineChars="100"/>
        <w:jc w:val="both"/>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每季度至少开展1次消防操作、应急处置、安保纪律、保密教育培训及考核，留存培训考核台账。</w:t>
      </w:r>
    </w:p>
    <w:p>
      <w:pPr>
        <w:pStyle w:val="160"/>
        <w:numPr>
          <w:ilvl w:val="0"/>
          <w:numId w:val="0"/>
        </w:numPr>
        <w:ind w:leftChars="0" w:firstLine="210" w:firstLineChars="10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（五）用工责任</w:t>
      </w:r>
    </w:p>
    <w:p>
      <w:pPr>
        <w:pStyle w:val="160"/>
        <w:numPr>
          <w:ilvl w:val="0"/>
          <w:numId w:val="0"/>
        </w:numPr>
        <w:ind w:leftChars="0" w:firstLine="210" w:firstLineChars="100"/>
        <w:jc w:val="both"/>
        <w:rPr>
          <w:rFonts w:hint="eastAsia" w:ascii="宋体" w:hAnsi="宋体" w:eastAsia="宋体" w:cs="宋体"/>
          <w:color w:val="auto"/>
          <w:sz w:val="21"/>
          <w:szCs w:val="21"/>
        </w:rPr>
      </w:pPr>
      <w:r>
        <w:rPr>
          <w:rFonts w:hint="eastAsia" w:ascii="宋体" w:hAnsi="宋体" w:eastAsia="宋体" w:cs="宋体"/>
          <w:color w:val="auto"/>
          <w:sz w:val="21"/>
          <w:szCs w:val="21"/>
        </w:rPr>
        <w:t>甲方与乙方派驻工作人员不存在劳动关系、劳务关系、劳务派遣关系，人员招录、管理、排班、薪资发放、劳动纠纷、工伤事故、人身意外等全部由乙方独立承担责任，与甲方无关。</w:t>
      </w:r>
    </w:p>
    <w:p>
      <w:pPr>
        <w:pStyle w:val="2"/>
        <w:jc w:val="both"/>
        <w:rPr>
          <w:rFonts w:hint="eastAsia" w:ascii="宋体" w:hAnsi="宋体" w:eastAsia="宋体" w:cs="宋体"/>
          <w:b/>
          <w:bCs/>
          <w:color w:val="auto"/>
          <w:sz w:val="21"/>
          <w:szCs w:val="21"/>
        </w:rPr>
      </w:pPr>
      <w:r>
        <w:rPr>
          <w:rFonts w:hint="eastAsia" w:ascii="宋体" w:hAnsi="宋体" w:eastAsia="宋体" w:cs="宋体"/>
          <w:b/>
          <w:bCs/>
          <w:color w:val="auto"/>
          <w:sz w:val="21"/>
          <w:szCs w:val="21"/>
        </w:rPr>
        <w:t>第</w:t>
      </w:r>
      <w:r>
        <w:rPr>
          <w:rFonts w:hint="eastAsia" w:ascii="宋体" w:hAnsi="宋体" w:eastAsia="宋体" w:cs="宋体"/>
          <w:b/>
          <w:bCs/>
          <w:color w:val="auto"/>
          <w:sz w:val="21"/>
          <w:szCs w:val="21"/>
          <w:lang w:val="en-US" w:eastAsia="zh-CN"/>
        </w:rPr>
        <w:t>四</w:t>
      </w:r>
      <w:r>
        <w:rPr>
          <w:rFonts w:hint="eastAsia" w:ascii="宋体" w:hAnsi="宋体" w:eastAsia="宋体" w:cs="宋体"/>
          <w:b/>
          <w:bCs/>
          <w:color w:val="auto"/>
          <w:sz w:val="21"/>
          <w:szCs w:val="21"/>
        </w:rPr>
        <w:t>条 服务期限</w:t>
      </w:r>
    </w:p>
    <w:p>
      <w:pPr>
        <w:pStyle w:val="16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本合同物业服务期限为12个月，自202____年____月____日起至202____年____月____日止。</w:t>
      </w:r>
    </w:p>
    <w:p>
      <w:pPr>
        <w:pStyle w:val="160"/>
        <w:jc w:val="both"/>
        <w:rPr>
          <w:rFonts w:hint="eastAsia" w:ascii="宋体" w:hAnsi="宋体" w:eastAsia="宋体" w:cs="宋体"/>
          <w:color w:val="auto"/>
          <w:sz w:val="21"/>
          <w:szCs w:val="21"/>
          <w:lang w:val="en-US" w:eastAsia="zh-CN"/>
        </w:rPr>
      </w:pPr>
      <w:r>
        <w:rPr>
          <w:rFonts w:hint="eastAsia" w:ascii="宋体" w:hAnsi="宋体" w:eastAsia="宋体" w:cs="宋体"/>
          <w:b w:val="0"/>
          <w:bCs w:val="0"/>
          <w:color w:val="auto"/>
          <w:sz w:val="21"/>
          <w:szCs w:val="21"/>
        </w:rPr>
        <w:t>合同期满自动终止，如需续约，双方另行协商签订补充协议；合同终止后乙方须无条件配合甲方完成全部交接工作。</w:t>
      </w:r>
    </w:p>
    <w:p>
      <w:pPr>
        <w:pStyle w:val="2"/>
        <w:jc w:val="both"/>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rPr>
        <w:t>第</w:t>
      </w:r>
      <w:r>
        <w:rPr>
          <w:rFonts w:hint="eastAsia" w:ascii="宋体" w:hAnsi="宋体" w:eastAsia="宋体" w:cs="宋体"/>
          <w:b/>
          <w:bCs/>
          <w:color w:val="auto"/>
          <w:sz w:val="21"/>
          <w:szCs w:val="21"/>
          <w:lang w:val="en-US" w:eastAsia="zh-CN"/>
        </w:rPr>
        <w:t>五</w:t>
      </w:r>
      <w:r>
        <w:rPr>
          <w:rFonts w:hint="eastAsia" w:ascii="宋体" w:hAnsi="宋体" w:eastAsia="宋体" w:cs="宋体"/>
          <w:b/>
          <w:bCs/>
          <w:color w:val="auto"/>
          <w:sz w:val="21"/>
          <w:szCs w:val="21"/>
        </w:rPr>
        <w:t>条 物业管理服务费用</w:t>
      </w:r>
      <w:r>
        <w:rPr>
          <w:rFonts w:hint="eastAsia" w:ascii="宋体" w:hAnsi="宋体" w:eastAsia="宋体" w:cs="宋体"/>
          <w:b/>
          <w:bCs/>
          <w:color w:val="auto"/>
          <w:sz w:val="21"/>
          <w:szCs w:val="21"/>
          <w:lang w:val="en-US" w:eastAsia="zh-CN"/>
        </w:rPr>
        <w:t>及支付方式</w:t>
      </w:r>
    </w:p>
    <w:p>
      <w:pPr>
        <w:pStyle w:val="16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（一）管理服务费用。</w:t>
      </w:r>
      <w:r>
        <w:rPr>
          <w:rFonts w:hint="eastAsia" w:ascii="宋体" w:hAnsi="宋体" w:eastAsia="宋体" w:cs="宋体"/>
          <w:color w:val="auto"/>
          <w:sz w:val="21"/>
          <w:szCs w:val="21"/>
        </w:rPr>
        <w:t>本合同物业管理</w:t>
      </w:r>
      <w:r>
        <w:rPr>
          <w:rFonts w:hint="eastAsia" w:ascii="宋体" w:hAnsi="宋体" w:eastAsia="宋体" w:cs="宋体"/>
          <w:color w:val="auto"/>
          <w:sz w:val="21"/>
          <w:szCs w:val="21"/>
          <w:lang w:val="en-US" w:eastAsia="zh-CN"/>
        </w:rPr>
        <w:t>费总价为</w:t>
      </w:r>
      <w:r>
        <w:rPr>
          <w:rFonts w:hint="eastAsia" w:ascii="宋体" w:hAnsi="宋体" w:eastAsia="宋体" w:cs="宋体"/>
          <w:color w:val="auto"/>
          <w:sz w:val="21"/>
          <w:szCs w:val="21"/>
        </w:rPr>
        <w:t>人民币</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元整（¥</w:t>
      </w:r>
      <w:r>
        <w:rPr>
          <w:rFonts w:hint="eastAsia" w:ascii="宋体" w:hAnsi="宋体" w:eastAsia="宋体" w:cs="宋体"/>
          <w:color w:val="auto"/>
          <w:sz w:val="21"/>
          <w:szCs w:val="21"/>
          <w:u w:val="single"/>
        </w:rPr>
        <w:t xml:space="preserve">  </w:t>
      </w:r>
      <w:r>
        <w:rPr>
          <w:rFonts w:hint="eastAsia" w:ascii="宋体" w:hAnsi="宋体" w:eastAsia="宋体" w:cs="宋体"/>
          <w:color w:val="auto"/>
          <w:sz w:val="21"/>
          <w:szCs w:val="21"/>
          <w:u w:val="single"/>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该合同</w:t>
      </w:r>
      <w:r>
        <w:rPr>
          <w:rFonts w:hint="eastAsia" w:ascii="宋体" w:hAnsi="宋体" w:eastAsia="宋体" w:cs="宋体"/>
          <w:color w:val="auto"/>
          <w:sz w:val="21"/>
          <w:szCs w:val="21"/>
        </w:rPr>
        <w:t>价格为固定包干总价，包含提供服务所需的人工成本，其中包含但不仅限于人员工资、工资附加及社会保险、人身意外保险费、管理费用、配置费用、员工餐费补贴、项目管理费、员工工作服费用、节日福利费、低值易耗品、加班费、培训费、专用工具、用品材料费、税费等所有费用。</w:t>
      </w:r>
    </w:p>
    <w:p>
      <w:pPr>
        <w:pStyle w:val="160"/>
        <w:jc w:val="both"/>
        <w:rPr>
          <w:rFonts w:hint="eastAsia" w:ascii="宋体" w:hAnsi="宋体" w:eastAsia="宋体" w:cs="宋体"/>
          <w:b/>
          <w:bCs/>
          <w:color w:val="auto"/>
          <w:kern w:val="0"/>
          <w:sz w:val="21"/>
          <w:szCs w:val="21"/>
        </w:rPr>
      </w:pPr>
      <w:r>
        <w:rPr>
          <w:rFonts w:hint="eastAsia" w:ascii="宋体" w:hAnsi="宋体" w:eastAsia="宋体" w:cs="宋体"/>
          <w:color w:val="auto"/>
          <w:sz w:val="21"/>
          <w:szCs w:val="21"/>
          <w:lang w:val="en-US" w:eastAsia="zh-CN"/>
        </w:rPr>
        <w:t>（二）支付方式。</w:t>
      </w:r>
      <w:r>
        <w:rPr>
          <w:rFonts w:hint="eastAsia" w:ascii="宋体" w:hAnsi="宋体" w:eastAsia="宋体" w:cs="宋体"/>
          <w:color w:val="auto"/>
          <w:sz w:val="21"/>
          <w:szCs w:val="21"/>
        </w:rPr>
        <w:t>款项分三期支付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预付款：合同签订生效后，支付合同总额40%，。</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进度款：合同签订当年12月份，甲方依据前期月度考核结果核算服务费，考核结果为合格的支付合同总额的40%。如考核出现履约基本合格、不合格、严重违约情形的，按规定核减费用后支付。</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尾款：合同履约完成，甲方依据前期月度考核结果核算服务费，考核结果为合格的支付合同总额的20%；如考核出现履约基本合格、不合格、严重违约情形的，按规定核减费用后支付。乙方在达到付款条件后需出具请款函给甲方向财政局请款，甲方在</w:t>
      </w:r>
      <w:r>
        <w:rPr>
          <w:rFonts w:hint="eastAsia" w:ascii="宋体" w:hAnsi="宋体" w:eastAsia="宋体" w:cs="宋体"/>
          <w:color w:val="auto"/>
          <w:sz w:val="21"/>
          <w:szCs w:val="21"/>
          <w:lang w:val="en-US" w:eastAsia="zh-CN"/>
        </w:rPr>
        <w:t>60</w:t>
      </w:r>
      <w:r>
        <w:rPr>
          <w:rFonts w:hint="eastAsia" w:ascii="宋体" w:hAnsi="宋体" w:eastAsia="宋体" w:cs="宋体"/>
          <w:color w:val="auto"/>
          <w:sz w:val="21"/>
          <w:szCs w:val="21"/>
        </w:rPr>
        <w:t>日内将款项支付到乙方账户，乙方开具普通发票给甲方。</w:t>
      </w:r>
    </w:p>
    <w:p>
      <w:pPr>
        <w:pStyle w:val="4"/>
        <w:numPr>
          <w:ilvl w:val="0"/>
          <w:numId w:val="0"/>
        </w:numPr>
        <w:jc w:val="both"/>
        <w:rPr>
          <w:rFonts w:hint="eastAsia" w:ascii="宋体" w:hAnsi="宋体" w:eastAsia="宋体" w:cs="宋体"/>
          <w:color w:val="auto"/>
          <w:sz w:val="21"/>
          <w:szCs w:val="21"/>
        </w:rPr>
      </w:pPr>
      <w:r>
        <w:rPr>
          <w:rFonts w:hint="eastAsia" w:ascii="宋体" w:hAnsi="宋体" w:eastAsia="宋体" w:cs="宋体"/>
          <w:color w:val="auto"/>
          <w:sz w:val="21"/>
          <w:szCs w:val="21"/>
        </w:rPr>
        <w:t>第六条 双方权利与义务</w:t>
      </w:r>
    </w:p>
    <w:p>
      <w:pPr>
        <w:pStyle w:val="4"/>
        <w:jc w:val="both"/>
        <w:rPr>
          <w:rFonts w:hint="eastAsia" w:ascii="宋体" w:hAnsi="宋体" w:eastAsia="宋体" w:cs="宋体"/>
          <w:color w:val="auto"/>
          <w:sz w:val="21"/>
          <w:szCs w:val="21"/>
        </w:rPr>
      </w:pPr>
      <w:r>
        <w:rPr>
          <w:rFonts w:hint="eastAsia" w:ascii="宋体" w:hAnsi="宋体" w:eastAsia="宋体" w:cs="宋体"/>
          <w:color w:val="auto"/>
          <w:sz w:val="21"/>
          <w:szCs w:val="21"/>
        </w:rPr>
        <w:t>一、甲方权利义务</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代表和维护院区、儿童及工作人员的合法权益，统筹管理本项目物业服务工作；</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审定乙方制定的值班制度、安保制度、应急预案、管理细则，为乙方正常履职提供必要协助；</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对乙方在岗值守、服务质量、台账记录、应急处置、人员在岗情况进行日常巡查、月度考核、年度验收；发现服务不达标、脱岗、操作不规范等问题，有权责令乙方立即整改；两次书面整改无效、乙方怠于履职的，甲方有权单方更换人员、扣除服务费、终止合同；</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审定乙方年度服务计划、培训计划、应急演练方案，对不合理内容有权要求调整；</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五</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协助乙方协调院区内部工作，配合乙方开展安全管理、隐患排查工作；</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六</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按照本合同约定，按期足额支付考核合格后的物业服务费用；</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根据院区工作需要，合理安排临时值守、活动保障等工作，乙方须无条件配合。</w:t>
      </w:r>
    </w:p>
    <w:p>
      <w:pPr>
        <w:pStyle w:val="4"/>
        <w:jc w:val="both"/>
        <w:rPr>
          <w:rFonts w:hint="eastAsia" w:ascii="宋体" w:hAnsi="宋体" w:eastAsia="宋体" w:cs="宋体"/>
          <w:color w:val="auto"/>
          <w:sz w:val="21"/>
          <w:szCs w:val="21"/>
        </w:rPr>
      </w:pPr>
      <w:r>
        <w:rPr>
          <w:rFonts w:hint="eastAsia" w:ascii="宋体" w:hAnsi="宋体" w:eastAsia="宋体" w:cs="宋体"/>
          <w:color w:val="auto"/>
          <w:sz w:val="21"/>
          <w:szCs w:val="21"/>
        </w:rPr>
        <w:t>二、乙方权利义务</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根据甲方的授权和有关法律、法规及本合同的约定，在本物业区域内实施24小时消控</w:t>
      </w:r>
      <w:r>
        <w:rPr>
          <w:rFonts w:hint="eastAsia" w:ascii="宋体" w:hAnsi="宋体" w:eastAsia="宋体" w:cs="宋体"/>
          <w:b w:val="0"/>
          <w:bCs w:val="0"/>
          <w:color w:val="auto"/>
          <w:sz w:val="21"/>
          <w:szCs w:val="21"/>
          <w:lang w:val="en-US" w:eastAsia="zh-CN"/>
        </w:rPr>
        <w:t>室</w:t>
      </w:r>
      <w:r>
        <w:rPr>
          <w:rFonts w:hint="eastAsia" w:ascii="宋体" w:hAnsi="宋体" w:eastAsia="宋体" w:cs="宋体"/>
          <w:b w:val="0"/>
          <w:bCs w:val="0"/>
          <w:color w:val="auto"/>
          <w:sz w:val="21"/>
          <w:szCs w:val="21"/>
        </w:rPr>
        <w:t>值班、安保值守、安全巡查</w:t>
      </w:r>
      <w:r>
        <w:rPr>
          <w:rFonts w:hint="eastAsia" w:ascii="宋体" w:hAnsi="宋体" w:eastAsia="宋体" w:cs="宋体"/>
          <w:b w:val="0"/>
          <w:bCs w:val="0"/>
          <w:color w:val="auto"/>
          <w:sz w:val="21"/>
          <w:szCs w:val="21"/>
          <w:lang w:val="en-US" w:eastAsia="zh-CN"/>
        </w:rPr>
        <w:t>等服务活动</w:t>
      </w:r>
      <w:r>
        <w:rPr>
          <w:rFonts w:hint="eastAsia" w:ascii="宋体" w:hAnsi="宋体" w:eastAsia="宋体" w:cs="宋体"/>
          <w:b w:val="0"/>
          <w:bCs w:val="0"/>
          <w:color w:val="auto"/>
          <w:sz w:val="21"/>
          <w:szCs w:val="21"/>
        </w:rPr>
        <w:t>，组织实施经甲方审定通过后的物业管理</w:t>
      </w:r>
      <w:r>
        <w:rPr>
          <w:rFonts w:hint="eastAsia" w:ascii="宋体" w:hAnsi="宋体" w:eastAsia="宋体" w:cs="宋体"/>
          <w:b w:val="0"/>
          <w:bCs w:val="0"/>
          <w:color w:val="auto"/>
          <w:sz w:val="21"/>
          <w:szCs w:val="21"/>
          <w:lang w:val="en-US" w:eastAsia="zh-CN"/>
        </w:rPr>
        <w:t>服务</w:t>
      </w:r>
      <w:r>
        <w:rPr>
          <w:rFonts w:hint="eastAsia" w:ascii="宋体" w:hAnsi="宋体" w:eastAsia="宋体" w:cs="宋体"/>
          <w:b w:val="0"/>
          <w:bCs w:val="0"/>
          <w:color w:val="auto"/>
          <w:sz w:val="21"/>
          <w:szCs w:val="21"/>
        </w:rPr>
        <w:t>活动和制度；</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对</w:t>
      </w:r>
      <w:r>
        <w:rPr>
          <w:rFonts w:hint="eastAsia" w:ascii="宋体" w:hAnsi="宋体" w:eastAsia="宋体" w:cs="宋体"/>
          <w:b w:val="0"/>
          <w:bCs w:val="0"/>
          <w:color w:val="auto"/>
          <w:sz w:val="21"/>
          <w:szCs w:val="21"/>
          <w:lang w:val="en-US" w:eastAsia="zh-CN"/>
        </w:rPr>
        <w:t>物业使用人</w:t>
      </w:r>
      <w:r>
        <w:rPr>
          <w:rFonts w:hint="eastAsia" w:ascii="宋体" w:hAnsi="宋体" w:eastAsia="宋体" w:cs="宋体"/>
          <w:b w:val="0"/>
          <w:bCs w:val="0"/>
          <w:color w:val="auto"/>
          <w:sz w:val="21"/>
          <w:szCs w:val="21"/>
        </w:rPr>
        <w:t>违反物业管理制度的行为，有权根据情节轻重，采取劝阻、制止、提请甲方处理等措施；</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向物业使用人告知物业的使用有关规定，并有权要求甲方及物业使用人配合乙方的管理服务行为</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严格执行院区出入管理制度，落实身份核验+实名登记制度，访客经院内部门确认方可进入，儿童外出必须有院内工作人员或监护人陪同登记，严禁无关人员、危险品进入院区；</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未经甲方书面同意，乙方不得将本物业的管理</w:t>
      </w:r>
      <w:r>
        <w:rPr>
          <w:rFonts w:hint="eastAsia" w:ascii="宋体" w:hAnsi="宋体" w:eastAsia="宋体" w:cs="宋体"/>
          <w:b w:val="0"/>
          <w:bCs w:val="0"/>
          <w:color w:val="auto"/>
          <w:sz w:val="21"/>
          <w:szCs w:val="21"/>
          <w:lang w:val="en-US" w:eastAsia="zh-CN"/>
        </w:rPr>
        <w:t>服务</w:t>
      </w:r>
      <w:r>
        <w:rPr>
          <w:rFonts w:hint="eastAsia" w:ascii="宋体" w:hAnsi="宋体" w:eastAsia="宋体" w:cs="宋体"/>
          <w:b w:val="0"/>
          <w:bCs w:val="0"/>
          <w:color w:val="auto"/>
          <w:sz w:val="21"/>
          <w:szCs w:val="21"/>
        </w:rPr>
        <w:t>责任转让给第三方，不允许乙方分包或转包甲方委托的管理事宜；</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五</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对所聘用人员严格审核，保证聘用人员无违法犯罪记录并进行严格体检，有上岗资格证；</w:t>
      </w:r>
    </w:p>
    <w:p>
      <w:pPr>
        <w:pStyle w:val="160"/>
        <w:numPr>
          <w:ilvl w:val="0"/>
          <w:numId w:val="0"/>
        </w:numPr>
        <w:ind w:leftChars="0"/>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六</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保证各类管理人员按岗位统一着装，佩带工作牌号，言行规范，文明礼貌，有良好的仪容仪表，公众形象；态度耐心、贴合儿童福利机构服务要求</w:t>
      </w:r>
      <w:r>
        <w:rPr>
          <w:rFonts w:hint="eastAsia" w:ascii="宋体" w:hAnsi="宋体" w:eastAsia="宋体" w:cs="宋体"/>
          <w:b w:val="0"/>
          <w:bCs w:val="0"/>
          <w:color w:val="auto"/>
          <w:sz w:val="21"/>
          <w:szCs w:val="21"/>
          <w:lang w:eastAsia="zh-CN"/>
        </w:rPr>
        <w:t>。</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七</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建立完善建立资料的收集、分类整理、归档管理制度</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完整留存值班记录、监控查阅记录、隐患巡查记录、应急演练记录、培训考核记录，台账保存完整，合同期满全部移交甲方；</w:t>
      </w:r>
    </w:p>
    <w:p>
      <w:pPr>
        <w:spacing w:before="120" w:after="120" w:line="288" w:lineRule="auto"/>
        <w:ind w:left="0" w:firstLine="0" w:firstLineChars="0"/>
        <w:jc w:val="left"/>
        <w:rPr>
          <w:rFonts w:hint="eastAsia" w:ascii="Times New Roman" w:hAnsi="Times New Roman" w:cs="Calibri"/>
          <w:color w:val="auto"/>
          <w:kern w:val="0"/>
          <w:sz w:val="21"/>
          <w:szCs w:val="21"/>
          <w:highlight w:val="none"/>
          <w:lang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八</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负责消防、安防、电梯、配电、给排水等共用设施设备24小时监控值守，落实巡查制度：</w:t>
      </w:r>
      <w:r>
        <w:rPr>
          <w:rFonts w:hint="eastAsia" w:ascii="Times New Roman" w:hAnsi="Times New Roman" w:cs="Calibri"/>
          <w:color w:val="auto"/>
          <w:kern w:val="0"/>
          <w:sz w:val="21"/>
          <w:szCs w:val="21"/>
          <w:highlight w:val="none"/>
          <w:lang w:val="en-US" w:eastAsia="zh-CN"/>
        </w:rPr>
        <w:t>.开展每日防火巡查，儿童居住区、公共活动用房、厨房等重点部位白天至少巡查2次，其他部位每日至少巡查1次。夜间至少每两小时巡查1次。</w:t>
      </w:r>
      <w:r>
        <w:rPr>
          <w:rFonts w:hint="eastAsia" w:ascii="宋体" w:hAnsi="宋体" w:cs="仿宋_GB2312"/>
          <w:color w:val="auto"/>
          <w:szCs w:val="21"/>
        </w:rPr>
        <w:t>负责</w:t>
      </w:r>
      <w:r>
        <w:rPr>
          <w:rFonts w:hint="eastAsia" w:ascii="宋体" w:hAnsi="宋体" w:cs="仿宋_GB2312"/>
          <w:color w:val="auto"/>
          <w:szCs w:val="21"/>
          <w:lang w:val="en-US" w:eastAsia="zh-CN"/>
        </w:rPr>
        <w:t>设施设备</w:t>
      </w:r>
      <w:r>
        <w:rPr>
          <w:rFonts w:hint="eastAsia" w:ascii="宋体" w:hAnsi="宋体" w:cs="仿宋_GB2312"/>
          <w:color w:val="auto"/>
          <w:szCs w:val="21"/>
        </w:rPr>
        <w:t>日常运行</w:t>
      </w:r>
      <w:r>
        <w:rPr>
          <w:rFonts w:hint="eastAsia" w:ascii="宋体" w:hAnsi="宋体" w:cs="仿宋_GB2312"/>
          <w:color w:val="auto"/>
          <w:szCs w:val="21"/>
          <w:lang w:eastAsia="zh-CN"/>
        </w:rPr>
        <w:t>、</w:t>
      </w:r>
      <w:r>
        <w:rPr>
          <w:rFonts w:hint="eastAsia" w:ascii="宋体" w:hAnsi="宋体" w:cs="仿宋_GB2312"/>
          <w:color w:val="auto"/>
          <w:szCs w:val="21"/>
        </w:rPr>
        <w:t>管理，定人、定时开、关设备，</w:t>
      </w:r>
      <w:r>
        <w:rPr>
          <w:rFonts w:hint="eastAsia" w:ascii="Times New Roman" w:hAnsi="Times New Roman" w:cs="Calibri"/>
          <w:b w:val="0"/>
          <w:bCs w:val="0"/>
          <w:color w:val="auto"/>
          <w:kern w:val="0"/>
          <w:szCs w:val="21"/>
          <w:highlight w:val="none"/>
          <w:lang w:val="en-US" w:eastAsia="zh-CN"/>
        </w:rPr>
        <w:t>确保共用设施设备运行正常。</w:t>
      </w:r>
      <w:r>
        <w:rPr>
          <w:rFonts w:hint="default" w:ascii="Calibri" w:hAnsi="Calibri" w:eastAsia="宋体" w:cs="Calibri"/>
          <w:color w:val="auto"/>
          <w:szCs w:val="21"/>
          <w:highlight w:val="none"/>
          <w:u w:val="none"/>
          <w:lang w:val="en-US" w:eastAsia="zh-CN"/>
        </w:rPr>
        <w:t>发现故障或损坏应在</w:t>
      </w:r>
      <w:r>
        <w:rPr>
          <w:rFonts w:hint="eastAsia" w:ascii="Calibri" w:hAnsi="Calibri" w:cs="Calibri"/>
          <w:color w:val="auto"/>
          <w:szCs w:val="21"/>
          <w:highlight w:val="none"/>
          <w:u w:val="none"/>
          <w:lang w:val="en-US" w:eastAsia="zh-CN"/>
        </w:rPr>
        <w:t>15</w:t>
      </w:r>
      <w:r>
        <w:rPr>
          <w:rFonts w:hint="default" w:ascii="Calibri" w:hAnsi="Calibri" w:eastAsia="宋体" w:cs="Calibri"/>
          <w:color w:val="auto"/>
          <w:szCs w:val="21"/>
          <w:highlight w:val="none"/>
          <w:u w:val="none"/>
          <w:lang w:val="en-US" w:eastAsia="zh-CN"/>
        </w:rPr>
        <w:t>分钟内</w:t>
      </w:r>
      <w:r>
        <w:rPr>
          <w:rFonts w:hint="eastAsia" w:ascii="Calibri" w:hAnsi="Calibri" w:cs="Calibri"/>
          <w:color w:val="auto"/>
          <w:szCs w:val="21"/>
          <w:highlight w:val="none"/>
          <w:u w:val="none"/>
          <w:lang w:val="en-US" w:eastAsia="zh-CN"/>
        </w:rPr>
        <w:t>上报处理</w:t>
      </w:r>
      <w:r>
        <w:rPr>
          <w:rFonts w:hint="default" w:ascii="Calibri" w:hAnsi="Calibri" w:eastAsia="宋体" w:cs="Calibri"/>
          <w:color w:val="auto"/>
          <w:szCs w:val="21"/>
          <w:highlight w:val="none"/>
          <w:u w:val="none"/>
          <w:lang w:val="en-US" w:eastAsia="zh-CN"/>
        </w:rPr>
        <w:t>，</w:t>
      </w:r>
      <w:r>
        <w:rPr>
          <w:rFonts w:hint="eastAsia" w:ascii="Times New Roman" w:hAnsi="Times New Roman" w:eastAsia="宋体" w:cs="Calibri"/>
          <w:color w:val="auto"/>
          <w:kern w:val="0"/>
          <w:sz w:val="21"/>
          <w:szCs w:val="21"/>
          <w:highlight w:val="none"/>
        </w:rPr>
        <w:t>火警信号</w:t>
      </w:r>
      <w:r>
        <w:rPr>
          <w:rFonts w:hint="eastAsia" w:ascii="Times New Roman" w:hAnsi="Times New Roman" w:eastAsia="宋体" w:cs="Calibri"/>
          <w:b w:val="0"/>
          <w:color w:val="auto"/>
          <w:kern w:val="0"/>
          <w:sz w:val="21"/>
          <w:szCs w:val="21"/>
          <w:highlight w:val="none"/>
        </w:rPr>
        <w:t>1 分钟内确认，3 分钟内上报处置</w:t>
      </w:r>
      <w:r>
        <w:rPr>
          <w:rFonts w:hint="eastAsia" w:ascii="Times New Roman" w:hAnsi="Times New Roman" w:cs="Calibri"/>
          <w:b w:val="0"/>
          <w:color w:val="auto"/>
          <w:kern w:val="0"/>
          <w:sz w:val="21"/>
          <w:szCs w:val="21"/>
          <w:highlight w:val="none"/>
          <w:lang w:eastAsia="zh-CN"/>
        </w:rPr>
        <w:t>。</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九</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独立承担乙方人员在岗期间的全部安全责任、工伤责任、意外事故责任、劳动纠纷责任，承担违章操作造成的设备损坏、财产损失赔偿责任；</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落实节能降耗措施，规范设备启停操作，降低院区能耗；</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不得擅自占用、改造院区公用设施及场地，如需调整服务设施使用方式，须经甲方书面同意；</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建立保密制度，全员签订保密协议，每季度开展保密教育，严禁泄露监控视频、院区信息、儿童隐私等涉密内容，严禁私自进入保密区域、操作非授权设备；</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设置24小时应急联络电话，突发事件快速响应，配合甲方开展消防演练、应急处置、重大活动秩序保障工作；</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十四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发现院区设施破损等隐患，及时拍照记录、上报甲方并配合后续处置。</w:t>
      </w:r>
    </w:p>
    <w:p>
      <w:pPr>
        <w:pStyle w:val="2"/>
        <w:jc w:val="both"/>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rPr>
        <w:t xml:space="preserve">第七条 </w:t>
      </w:r>
      <w:r>
        <w:rPr>
          <w:rFonts w:hint="eastAsia" w:ascii="宋体" w:hAnsi="宋体" w:eastAsia="宋体" w:cs="宋体"/>
          <w:b/>
          <w:bCs/>
          <w:color w:val="auto"/>
          <w:sz w:val="21"/>
          <w:szCs w:val="21"/>
          <w:lang w:val="en-US" w:eastAsia="zh-CN"/>
        </w:rPr>
        <w:t>验收标准与要求</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一</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甲方按照《物业消防控制室人员管理及考核办法》对乙方进行常态化考核，考核结果作为服务费支付、续约的依据；</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二</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乙方出现日常考核不达标、服务不规范、脱岗漏岗、有效投诉、应急处置不当、未按要求整改等违约行为，甲方有权扣减当期服务费用；</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乙方存在严重违约、有效投诉累计超3宗、重大管理失误、操作失当，造成甲方直接经济损失超10000元的，甲方有权单方无条件解除本合同；</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四</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因乙方履职不当、管理失误造成甲方财产损失、安全事故、不良社会影响的，乙方须全额赔偿甲方所有损失，甲方保留进一步追责权利，乙方自身损失自行承担；</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五</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合同终止、解除或期满后，乙方必须无条件、无偿配合甲方完成人员、台账、档案、工作交接，不得拖延、拒绝、刁难。</w:t>
      </w:r>
    </w:p>
    <w:p>
      <w:pPr>
        <w:pStyle w:val="2"/>
        <w:jc w:val="both"/>
        <w:rPr>
          <w:rFonts w:hint="eastAsia" w:ascii="宋体" w:hAnsi="宋体" w:eastAsia="宋体" w:cs="宋体"/>
          <w:b/>
          <w:bCs/>
          <w:color w:val="auto"/>
          <w:sz w:val="21"/>
          <w:szCs w:val="21"/>
        </w:rPr>
      </w:pPr>
      <w:r>
        <w:rPr>
          <w:rFonts w:hint="eastAsia" w:ascii="宋体" w:hAnsi="宋体" w:eastAsia="宋体" w:cs="宋体"/>
          <w:b/>
          <w:bCs/>
          <w:color w:val="auto"/>
          <w:sz w:val="21"/>
          <w:szCs w:val="21"/>
        </w:rPr>
        <w:t>第八条 其他约定事项</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乙方只负责物业管理区域范围设施的日常巡查及维护，设备维修、大修、更换、专项维保费用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由甲方</w:t>
      </w:r>
      <w:r>
        <w:rPr>
          <w:rFonts w:hint="eastAsia" w:ascii="宋体" w:hAnsi="宋体" w:eastAsia="宋体" w:cs="宋体"/>
          <w:color w:val="auto"/>
          <w:sz w:val="21"/>
          <w:szCs w:val="21"/>
          <w:lang w:val="en-US" w:eastAsia="zh-CN"/>
        </w:rPr>
        <w:t>另行支付</w:t>
      </w:r>
      <w:r>
        <w:rPr>
          <w:rFonts w:hint="eastAsia" w:ascii="宋体" w:hAnsi="宋体" w:eastAsia="宋体" w:cs="宋体"/>
          <w:color w:val="auto"/>
          <w:sz w:val="21"/>
          <w:szCs w:val="21"/>
        </w:rPr>
        <w:t>；</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乙方严格遵守国家、自治区、钦州市消防、物业、安全生产相关法律法规，适配最新行业规范，若合同期内国家更新消防、安防强制标准，乙方须无条件整改适配，拒不整改的甲方有权解除合同；</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甲方免费向乙方提供消防控制室值班用房、消防控制主机、监控设备、应急通讯设备、值班桌椅、照明、空调及基础台账记录表等设施物资。除上述物资外，项目服务所需的对讲机、手电、工作服、低值耗材、执勤装备等全部由乙方自行采购、承担费用。</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乙方自主制定值班制度、安保细则、应急预案、培训制度，报甲方审定后严格执行；</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乙方严禁擅自涨价、变相收费、少服务漏服务，严格按照合同包干价履约；</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乙方主动接受行业主管部门、应急消防部门、甲方的监督检查与指导；</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七</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乙方对公用设施不得擅自占用和改变使用功能。</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八</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乙方建立相关物业管理档案并负责及时记载有关变更情况。</w:t>
      </w:r>
    </w:p>
    <w:p>
      <w:pPr>
        <w:pStyle w:val="160"/>
        <w:numPr>
          <w:ilvl w:val="0"/>
          <w:numId w:val="0"/>
        </w:numPr>
        <w:ind w:leftChars="0"/>
        <w:jc w:val="both"/>
        <w:rPr>
          <w:rFonts w:hint="eastAsia" w:ascii="宋体" w:hAnsi="宋体" w:eastAsia="宋体" w:cs="宋体"/>
          <w:b w:val="0"/>
          <w:bCs w:val="0"/>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九</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甲方举办重大活动、应急保障工作时，</w:t>
      </w:r>
      <w:r>
        <w:rPr>
          <w:rFonts w:hint="eastAsia" w:ascii="宋体" w:hAnsi="宋体" w:eastAsia="宋体" w:cs="宋体"/>
          <w:b w:val="0"/>
          <w:bCs w:val="0"/>
          <w:color w:val="auto"/>
          <w:sz w:val="21"/>
          <w:szCs w:val="21"/>
        </w:rPr>
        <w:t>乙方须在服务范围内无偿派员值守、维护秩序，不计额外费用；</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十</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乙方所有办公作业设备、执勤器材自行配备、自行维护；</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十一</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因乙方人员违章操作、履职疏忽、个人原因造成甲方设备损坏、财产损失、安全事故的，由乙方全额赔付；</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十二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乙方签约前自行踏勘项目现场，踏勘费用、踏勘期间安全风险全部由乙方自行承担；</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（十三）</w:t>
      </w:r>
      <w:r>
        <w:rPr>
          <w:rFonts w:hint="eastAsia" w:ascii="宋体" w:hAnsi="宋体" w:eastAsia="宋体" w:cs="宋体"/>
          <w:color w:val="auto"/>
          <w:sz w:val="21"/>
          <w:szCs w:val="21"/>
        </w:rPr>
        <w:t>乙方人员在合同期内发生疾病、受伤、交通事故、意外事故等所有风险，全部由乙方负责，与甲方无任何关系；</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十四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乙方人员工资、社保、福利、保险、服装、培训、税费等全部成本，均包含在合同包干总价内，甲方不再另行支付。</w:t>
      </w:r>
    </w:p>
    <w:p>
      <w:pPr>
        <w:pStyle w:val="2"/>
        <w:jc w:val="both"/>
        <w:rPr>
          <w:rFonts w:hint="eastAsia" w:ascii="宋体" w:hAnsi="宋体" w:eastAsia="宋体" w:cs="宋体"/>
          <w:color w:val="auto"/>
          <w:sz w:val="21"/>
          <w:szCs w:val="21"/>
        </w:rPr>
      </w:pPr>
      <w:r>
        <w:rPr>
          <w:rFonts w:hint="eastAsia" w:ascii="宋体" w:hAnsi="宋体" w:eastAsia="宋体" w:cs="宋体"/>
          <w:color w:val="auto"/>
          <w:sz w:val="21"/>
          <w:szCs w:val="21"/>
        </w:rPr>
        <w:t>第九条 违约责任</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（一）因</w:t>
      </w:r>
      <w:r>
        <w:rPr>
          <w:rFonts w:hint="eastAsia" w:ascii="宋体" w:hAnsi="宋体" w:eastAsia="宋体" w:cs="宋体"/>
          <w:color w:val="auto"/>
          <w:sz w:val="21"/>
          <w:szCs w:val="21"/>
        </w:rPr>
        <w:t>甲方无故逾期支付合规服务费用，造成乙方无法正常履约的，乙方可书面催告甲方整改，逾期未整改的，乙方有权依法维权，甲方需承担相应违约责任；</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乙方未能按合同约定提供服务、或者未能达到服务质量标准的，或者以工资、成本上升等借口不履行本协议的，则视乙方违约，乙方要赔偿甲方所造成的经济损失；甲方有权要求乙方限期整改，乙方逾期未整改、或者存在其他严重违约情形的，甲方有权解除合同，乙方的行为给甲方造成经济损失的，乙方应给予甲方经济赔偿。</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任何一方无正当理由提前解除合同的，应向对方支付一个月的服务费作为违约金；应解除合同造成的经济损失超过违约金的，对超出部分还应给予赔偿。</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为维护公众、物业使用人的切身利益，在不可预见情况下，如发生煤气泄露、漏电、火灾、水淹、水管破裂、救助人命、协助公安机关执行任务等情况时，因乙方采取紧急避险措施而造成甲方财产损失的，乙方应当在事故发生后3日内向甲方报告并提供相关证明材料，经甲方核实符合法律规定紧急避险条件的，乙方可不承担赔偿责任。</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按合同约定或双方提前解除合同或合同期满时，乙方应将管理的全部技术资料及档案</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包括但不限于</w:t>
      </w:r>
      <w:r>
        <w:rPr>
          <w:rFonts w:hint="eastAsia" w:ascii="宋体" w:hAnsi="宋体" w:eastAsia="宋体" w:cs="宋体"/>
          <w:color w:val="auto"/>
          <w:sz w:val="21"/>
          <w:szCs w:val="21"/>
        </w:rPr>
        <w:t>全部值班台账、监控记录、设备档案、工作资料</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自合同解除之日起15日内移交给甲方，不得拖延。如因乙方逾期、缺失、隐匿资料的</w:t>
      </w:r>
      <w:r>
        <w:rPr>
          <w:rFonts w:hint="eastAsia" w:ascii="宋体" w:hAnsi="宋体" w:eastAsia="宋体" w:cs="宋体"/>
          <w:color w:val="auto"/>
          <w:sz w:val="21"/>
          <w:szCs w:val="21"/>
          <w:lang w:val="en-US" w:eastAsia="zh-CN"/>
        </w:rPr>
        <w:t>等</w:t>
      </w:r>
      <w:r>
        <w:rPr>
          <w:rFonts w:hint="eastAsia" w:ascii="宋体" w:hAnsi="宋体" w:eastAsia="宋体" w:cs="宋体"/>
          <w:color w:val="auto"/>
          <w:sz w:val="21"/>
          <w:szCs w:val="21"/>
        </w:rPr>
        <w:t>责任导致档案资料不能及时顺利移交，则甲方有权</w:t>
      </w:r>
      <w:r>
        <w:rPr>
          <w:rFonts w:hint="eastAsia" w:ascii="宋体" w:hAnsi="宋体" w:eastAsia="宋体" w:cs="宋体"/>
          <w:color w:val="auto"/>
          <w:sz w:val="21"/>
          <w:szCs w:val="21"/>
          <w:lang w:val="en-US" w:eastAsia="zh-CN"/>
        </w:rPr>
        <w:t>扣除相应合同费用，</w:t>
      </w:r>
      <w:r>
        <w:rPr>
          <w:rFonts w:hint="eastAsia" w:ascii="宋体" w:hAnsi="宋体" w:eastAsia="宋体" w:cs="宋体"/>
          <w:color w:val="auto"/>
          <w:sz w:val="21"/>
          <w:szCs w:val="21"/>
        </w:rPr>
        <w:t>由此产生的损失由乙方全部承担。</w:t>
      </w:r>
    </w:p>
    <w:p>
      <w:pPr>
        <w:pStyle w:val="2"/>
        <w:jc w:val="both"/>
        <w:rPr>
          <w:rFonts w:hint="eastAsia" w:ascii="宋体" w:hAnsi="宋体" w:eastAsia="宋体" w:cs="宋体"/>
          <w:color w:val="auto"/>
          <w:sz w:val="21"/>
          <w:szCs w:val="21"/>
        </w:rPr>
      </w:pPr>
      <w:r>
        <w:rPr>
          <w:rFonts w:hint="eastAsia" w:ascii="宋体" w:hAnsi="宋体" w:eastAsia="宋体" w:cs="宋体"/>
          <w:color w:val="auto"/>
          <w:sz w:val="21"/>
          <w:szCs w:val="21"/>
        </w:rPr>
        <w:t>第十条 附则</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一</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双方约定自本合同生效之日起30日内，根据甲方委托管理事项，办理接管验收手续。</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二</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本合同</w:t>
      </w:r>
      <w:r>
        <w:rPr>
          <w:rFonts w:hint="eastAsia" w:ascii="宋体" w:hAnsi="宋体" w:eastAsia="宋体" w:cs="宋体"/>
          <w:color w:val="auto"/>
          <w:sz w:val="21"/>
          <w:szCs w:val="21"/>
          <w:lang w:val="en-US" w:eastAsia="zh-CN"/>
        </w:rPr>
        <w:t>包括</w:t>
      </w:r>
      <w:r>
        <w:rPr>
          <w:rFonts w:hint="eastAsia" w:ascii="宋体" w:hAnsi="宋体" w:eastAsia="宋体" w:cs="宋体"/>
          <w:color w:val="auto"/>
          <w:sz w:val="21"/>
          <w:szCs w:val="21"/>
        </w:rPr>
        <w:t>：</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本合同条款；</w:t>
      </w:r>
    </w:p>
    <w:p>
      <w:pPr>
        <w:adjustRightInd w:val="0"/>
        <w:snapToGrid w:val="0"/>
        <w:spacing w:line="43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乙方的《响应文件》及其物业管理质量标准及服务承诺、各项管理制度、节能措施；</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采购文件</w:t>
      </w:r>
      <w:r>
        <w:rPr>
          <w:rFonts w:hint="eastAsia" w:ascii="宋体" w:hAnsi="宋体" w:eastAsia="宋体" w:cs="宋体"/>
          <w:color w:val="auto"/>
          <w:sz w:val="21"/>
          <w:szCs w:val="21"/>
          <w:lang w:val="en-US" w:eastAsia="zh-CN"/>
        </w:rPr>
        <w:t>和</w:t>
      </w:r>
      <w:r>
        <w:rPr>
          <w:rFonts w:hint="eastAsia" w:ascii="宋体" w:hAnsi="宋体" w:eastAsia="宋体" w:cs="宋体"/>
          <w:color w:val="auto"/>
          <w:sz w:val="21"/>
          <w:szCs w:val="21"/>
        </w:rPr>
        <w:t>成交通知书；</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4.物业</w:t>
      </w:r>
      <w:r>
        <w:rPr>
          <w:rFonts w:hint="eastAsia" w:ascii="宋体" w:hAnsi="宋体" w:eastAsia="宋体" w:cs="宋体"/>
          <w:color w:val="auto"/>
          <w:sz w:val="21"/>
          <w:szCs w:val="21"/>
        </w:rPr>
        <w:t>服务</w:t>
      </w:r>
      <w:r>
        <w:rPr>
          <w:rFonts w:hint="eastAsia" w:ascii="宋体" w:hAnsi="宋体" w:eastAsia="宋体" w:cs="宋体"/>
          <w:color w:val="auto"/>
          <w:sz w:val="21"/>
          <w:szCs w:val="21"/>
          <w:lang w:val="en-US" w:eastAsia="zh-CN"/>
        </w:rPr>
        <w:t>质量</w:t>
      </w:r>
      <w:r>
        <w:rPr>
          <w:rFonts w:hint="eastAsia" w:ascii="宋体" w:hAnsi="宋体" w:eastAsia="宋体" w:cs="宋体"/>
          <w:color w:val="auto"/>
          <w:sz w:val="21"/>
          <w:szCs w:val="21"/>
        </w:rPr>
        <w:t>承诺；</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甲方《物业消防控制室人员管理及考核办法》及</w:t>
      </w:r>
      <w:r>
        <w:rPr>
          <w:rFonts w:hint="eastAsia" w:ascii="宋体" w:hAnsi="宋体" w:eastAsia="宋体" w:cs="宋体"/>
          <w:color w:val="auto"/>
          <w:sz w:val="21"/>
          <w:szCs w:val="21"/>
          <w:lang w:val="en-US" w:eastAsia="zh-CN"/>
        </w:rPr>
        <w:t>其他</w:t>
      </w:r>
      <w:r>
        <w:rPr>
          <w:rFonts w:hint="eastAsia" w:ascii="宋体" w:hAnsi="宋体" w:eastAsia="宋体" w:cs="宋体"/>
          <w:color w:val="auto"/>
          <w:sz w:val="21"/>
          <w:szCs w:val="21"/>
        </w:rPr>
        <w:t>双方书面确认的补充文件；</w:t>
      </w:r>
    </w:p>
    <w:p>
      <w:pPr>
        <w:pStyle w:val="160"/>
        <w:numPr>
          <w:ilvl w:val="0"/>
          <w:numId w:val="0"/>
        </w:numPr>
        <w:ind w:leftChars="0"/>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三</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本合同一式______份，甲方执______份，乙方执______份，具有同等法律效力；</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四</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经双方协商同意，可对本合同的条款进行补充，以书面形式签订补充协议，补充协议与本合同具有同等效力。</w:t>
      </w:r>
    </w:p>
    <w:p>
      <w:pPr>
        <w:adjustRightInd w:val="0"/>
        <w:snapToGrid w:val="0"/>
        <w:spacing w:line="430" w:lineRule="exact"/>
        <w:jc w:val="both"/>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五</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本合同在履行中，如甲乙双方发生争议，应协商解决，协商不成时，通过</w:t>
      </w:r>
      <w:r>
        <w:rPr>
          <w:rFonts w:hint="eastAsia" w:ascii="宋体" w:hAnsi="宋体" w:eastAsia="宋体" w:cs="宋体"/>
          <w:color w:val="auto"/>
          <w:sz w:val="21"/>
          <w:szCs w:val="21"/>
          <w:lang w:val="en-US" w:eastAsia="zh-CN"/>
        </w:rPr>
        <w:t>钦北区</w:t>
      </w:r>
      <w:r>
        <w:rPr>
          <w:rFonts w:hint="eastAsia" w:ascii="宋体" w:hAnsi="宋体" w:eastAsia="宋体" w:cs="宋体"/>
          <w:color w:val="auto"/>
          <w:sz w:val="21"/>
          <w:szCs w:val="21"/>
        </w:rPr>
        <w:t>人民法院诉讼解决。</w:t>
      </w:r>
    </w:p>
    <w:p>
      <w:pPr>
        <w:adjustRightInd w:val="0"/>
        <w:snapToGrid w:val="0"/>
        <w:spacing w:line="430" w:lineRule="exact"/>
        <w:jc w:val="both"/>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六</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合同生效：本合同自双方签字盖章后生效。</w:t>
      </w:r>
    </w:p>
    <w:tbl>
      <w:tblPr>
        <w:tblStyle w:val="39"/>
        <w:tblW w:w="9632" w:type="dxa"/>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0"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 xml:space="preserve">甲方（章）           </w:t>
            </w:r>
          </w:p>
          <w:p>
            <w:pPr>
              <w:snapToGrid w:val="0"/>
              <w:spacing w:line="360" w:lineRule="atLeast"/>
              <w:ind w:firstLine="35" w:firstLineChars="17"/>
              <w:jc w:val="both"/>
              <w:rPr>
                <w:rFonts w:hint="eastAsia" w:ascii="宋体" w:hAnsi="宋体" w:eastAsia="宋体" w:cs="宋体"/>
                <w:color w:val="auto"/>
                <w:sz w:val="21"/>
                <w:szCs w:val="21"/>
              </w:rPr>
            </w:pPr>
          </w:p>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年   月   日</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 xml:space="preserve">乙方（章）              </w:t>
            </w:r>
          </w:p>
          <w:p>
            <w:pPr>
              <w:snapToGrid w:val="0"/>
              <w:spacing w:line="360" w:lineRule="atLeast"/>
              <w:ind w:firstLine="33" w:firstLineChars="16"/>
              <w:jc w:val="both"/>
              <w:rPr>
                <w:rFonts w:hint="eastAsia" w:ascii="宋体" w:hAnsi="宋体" w:eastAsia="宋体" w:cs="宋体"/>
                <w:color w:val="auto"/>
                <w:sz w:val="21"/>
                <w:szCs w:val="21"/>
              </w:rPr>
            </w:pPr>
          </w:p>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单位地址：</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单位地址：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法定代表人：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委托代理人：</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委托代理人：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传真：</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电子邮箱：</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电子邮箱：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开户银行：</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开户银行：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账号：</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纳税人识别号或统一社会信用代码：</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纳税人识别号或统一社会信用代码：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677"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5" w:firstLineChars="17"/>
              <w:jc w:val="both"/>
              <w:rPr>
                <w:rFonts w:hint="eastAsia" w:ascii="宋体" w:hAnsi="宋体" w:eastAsia="宋体" w:cs="宋体"/>
                <w:color w:val="auto"/>
                <w:sz w:val="21"/>
                <w:szCs w:val="21"/>
              </w:rPr>
            </w:pPr>
            <w:r>
              <w:rPr>
                <w:rFonts w:hint="eastAsia" w:ascii="宋体" w:hAnsi="宋体" w:eastAsia="宋体" w:cs="宋体"/>
                <w:color w:val="auto"/>
                <w:sz w:val="21"/>
                <w:szCs w:val="21"/>
              </w:rPr>
              <w:t>邮政编码：</w:t>
            </w:r>
          </w:p>
        </w:tc>
        <w:tc>
          <w:tcPr>
            <w:tcW w:w="4955" w:type="dxa"/>
            <w:tcBorders>
              <w:top w:val="single" w:color="auto" w:sz="4" w:space="0"/>
              <w:left w:val="single" w:color="auto" w:sz="4" w:space="0"/>
              <w:bottom w:val="single" w:color="auto" w:sz="4" w:space="0"/>
              <w:right w:val="single" w:color="auto" w:sz="4" w:space="0"/>
            </w:tcBorders>
            <w:noWrap/>
            <w:vAlign w:val="center"/>
          </w:tcPr>
          <w:p>
            <w:pPr>
              <w:snapToGrid w:val="0"/>
              <w:spacing w:line="360" w:lineRule="atLeast"/>
              <w:ind w:firstLine="33" w:firstLineChars="16"/>
              <w:jc w:val="both"/>
              <w:rPr>
                <w:rFonts w:hint="eastAsia" w:ascii="宋体" w:hAnsi="宋体" w:eastAsia="宋体" w:cs="宋体"/>
                <w:color w:val="auto"/>
                <w:sz w:val="21"/>
                <w:szCs w:val="21"/>
              </w:rPr>
            </w:pPr>
            <w:r>
              <w:rPr>
                <w:rFonts w:hint="eastAsia" w:ascii="宋体" w:hAnsi="宋体" w:eastAsia="宋体" w:cs="宋体"/>
                <w:color w:val="auto"/>
                <w:sz w:val="21"/>
                <w:szCs w:val="21"/>
              </w:rPr>
              <w:t>邮政编码：</w:t>
            </w:r>
          </w:p>
        </w:tc>
      </w:tr>
    </w:tbl>
    <w:p>
      <w:pPr>
        <w:pStyle w:val="160"/>
        <w:jc w:val="both"/>
        <w:rPr>
          <w:rFonts w:hint="eastAsia" w:ascii="宋体" w:hAnsi="宋体" w:eastAsia="宋体" w:cs="宋体"/>
          <w:color w:val="auto"/>
          <w:sz w:val="21"/>
          <w:szCs w:val="21"/>
        </w:rPr>
      </w:pPr>
    </w:p>
    <w:p>
      <w:pPr>
        <w:pStyle w:val="23"/>
        <w:spacing w:line="340" w:lineRule="exact"/>
        <w:rPr>
          <w:rFonts w:hint="eastAsia" w:ascii="宋体" w:hAnsi="宋体" w:eastAsia="宋体"/>
          <w:b/>
          <w:color w:val="auto"/>
        </w:rPr>
      </w:pPr>
    </w:p>
    <w:p>
      <w:pPr>
        <w:pStyle w:val="19"/>
        <w:rPr>
          <w:color w:val="auto"/>
        </w:rPr>
      </w:pPr>
    </w:p>
    <w:p>
      <w:pPr>
        <w:pStyle w:val="19"/>
        <w:rPr>
          <w:color w:val="auto"/>
        </w:rPr>
      </w:pPr>
    </w:p>
    <w:p>
      <w:pPr>
        <w:pStyle w:val="19"/>
        <w:rPr>
          <w:color w:val="auto"/>
        </w:rPr>
      </w:pPr>
    </w:p>
    <w:p>
      <w:pPr>
        <w:pStyle w:val="19"/>
        <w:rPr>
          <w:color w:val="auto"/>
        </w:rPr>
      </w:pPr>
    </w:p>
    <w:p>
      <w:pPr>
        <w:rPr>
          <w:color w:val="auto"/>
        </w:rPr>
      </w:pPr>
    </w:p>
    <w:p>
      <w:pPr>
        <w:rPr>
          <w:color w:val="auto"/>
        </w:rPr>
      </w:pPr>
    </w:p>
    <w:p>
      <w:pPr>
        <w:rPr>
          <w:color w:val="auto"/>
        </w:rPr>
      </w:pPr>
    </w:p>
    <w:p>
      <w:pPr>
        <w:rPr>
          <w:color w:val="auto"/>
        </w:rPr>
      </w:pPr>
    </w:p>
    <w:p>
      <w:pPr>
        <w:rPr>
          <w:color w:val="auto"/>
        </w:rPr>
      </w:pPr>
    </w:p>
    <w:p>
      <w:pPr>
        <w:pStyle w:val="3"/>
        <w:spacing w:line="400" w:lineRule="exact"/>
        <w:rPr>
          <w:rFonts w:hAnsi="宋体"/>
          <w:color w:val="auto"/>
          <w:sz w:val="36"/>
          <w:szCs w:val="36"/>
        </w:rPr>
      </w:pPr>
      <w:bookmarkStart w:id="154" w:name="_Toc397585460"/>
      <w:bookmarkStart w:id="155" w:name="_Toc92355028"/>
      <w:r>
        <w:rPr>
          <w:rFonts w:hint="eastAsia" w:ascii="方正小标宋_GBK" w:hAnsi="方正小标宋_GBK" w:eastAsia="方正小标宋_GBK"/>
          <w:color w:val="auto"/>
        </w:rPr>
        <w:t>第六章  响应文件格式</w:t>
      </w:r>
      <w:bookmarkEnd w:id="154"/>
      <w:bookmarkEnd w:id="155"/>
      <w:r>
        <w:rPr>
          <w:b/>
          <w:color w:val="auto"/>
          <w:sz w:val="30"/>
          <w:szCs w:val="30"/>
        </w:rPr>
        <w:br w:type="page"/>
      </w:r>
      <w:r>
        <w:rPr>
          <w:rFonts w:hint="eastAsia" w:ascii="仿宋_GB2312"/>
          <w:b/>
          <w:bCs/>
          <w:color w:val="auto"/>
          <w:sz w:val="36"/>
          <w:szCs w:val="36"/>
        </w:rPr>
        <w:t>一、供应商资格文件</w:t>
      </w:r>
    </w:p>
    <w:p>
      <w:pPr>
        <w:tabs>
          <w:tab w:val="left" w:pos="3402"/>
        </w:tabs>
        <w:rPr>
          <w:rFonts w:ascii="仿宋_GB2312" w:hAnsi="仿宋" w:eastAsia="仿宋_GB2312"/>
          <w:b/>
          <w:color w:val="auto"/>
          <w:spacing w:val="10"/>
          <w:szCs w:val="21"/>
        </w:rPr>
      </w:pPr>
      <w:bookmarkStart w:id="156" w:name="_Hlk108530892"/>
    </w:p>
    <w:p>
      <w:pPr>
        <w:tabs>
          <w:tab w:val="left" w:pos="3402"/>
        </w:tabs>
        <w:ind w:firstLine="602"/>
        <w:jc w:val="center"/>
        <w:rPr>
          <w:rFonts w:ascii="仿宋_GB2312" w:hAnsi="Adobe 仿宋 Std R" w:eastAsia="仿宋_GB2312"/>
          <w:b/>
          <w:color w:val="auto"/>
          <w:spacing w:val="10"/>
          <w:sz w:val="32"/>
          <w:szCs w:val="32"/>
        </w:rPr>
      </w:pPr>
      <w:bookmarkStart w:id="157" w:name="_Hlk147761258"/>
      <w:r>
        <w:rPr>
          <w:rFonts w:hint="eastAsia" w:ascii="仿宋_GB2312" w:hAnsi="Adobe 仿宋 Std R" w:eastAsia="仿宋_GB2312"/>
          <w:b/>
          <w:color w:val="auto"/>
          <w:spacing w:val="10"/>
          <w:sz w:val="32"/>
          <w:szCs w:val="32"/>
        </w:rPr>
        <w:t>供应商具备参加政府采购活动条件的承诺书</w:t>
      </w:r>
      <w:bookmarkEnd w:id="157"/>
      <w:r>
        <w:rPr>
          <w:rFonts w:hint="eastAsia" w:ascii="仿宋_GB2312" w:hAnsi="Adobe 仿宋 Std R" w:eastAsia="仿宋_GB2312" w:cs="黑体"/>
          <w:bCs/>
          <w:color w:val="auto"/>
          <w:sz w:val="24"/>
        </w:rPr>
        <w:t>(格式)</w:t>
      </w:r>
    </w:p>
    <w:p>
      <w:pPr>
        <w:tabs>
          <w:tab w:val="left" w:pos="3402"/>
        </w:tabs>
        <w:jc w:val="left"/>
        <w:rPr>
          <w:rFonts w:ascii="仿宋_GB2312" w:hAnsi="仿宋" w:eastAsia="仿宋_GB2312"/>
          <w:b/>
          <w:color w:val="auto"/>
          <w:spacing w:val="10"/>
          <w:szCs w:val="21"/>
        </w:rPr>
      </w:pPr>
    </w:p>
    <w:p>
      <w:pPr>
        <w:spacing w:line="520" w:lineRule="exact"/>
        <w:rPr>
          <w:rFonts w:ascii="宋体" w:hAnsi="宋体"/>
          <w:bCs/>
          <w:color w:val="auto"/>
          <w:szCs w:val="22"/>
        </w:rPr>
      </w:pPr>
      <w:r>
        <w:rPr>
          <w:rFonts w:hint="eastAsia" w:ascii="宋体" w:hAnsi="宋体"/>
          <w:bCs/>
          <w:color w:val="auto"/>
          <w:szCs w:val="22"/>
        </w:rPr>
        <w:t>钦州市政府采购中心：</w:t>
      </w:r>
    </w:p>
    <w:p>
      <w:pPr>
        <w:spacing w:line="520" w:lineRule="exact"/>
        <w:ind w:firstLine="420"/>
        <w:rPr>
          <w:rFonts w:ascii="宋体" w:hAnsi="宋体"/>
          <w:bCs/>
          <w:color w:val="auto"/>
          <w:szCs w:val="22"/>
        </w:rPr>
      </w:pPr>
      <w:r>
        <w:rPr>
          <w:rFonts w:hint="eastAsia" w:ascii="宋体" w:hAnsi="宋体" w:eastAsia="宋体" w:cs="Times New Roman"/>
          <w:bCs/>
          <w:color w:val="auto"/>
          <w:highlight w:val="none"/>
        </w:rPr>
        <w:t>根据《中华人民共和国政府采购法》第</w:t>
      </w:r>
      <w:r>
        <w:rPr>
          <w:rFonts w:hint="eastAsia" w:ascii="宋体" w:hAnsi="宋体" w:eastAsia="宋体" w:cs="Times New Roman"/>
          <w:bCs/>
          <w:color w:val="auto"/>
          <w:highlight w:val="none"/>
          <w:lang w:val="en-US" w:eastAsia="zh-CN"/>
        </w:rPr>
        <w:t>二十二</w:t>
      </w:r>
      <w:r>
        <w:rPr>
          <w:rFonts w:hint="eastAsia" w:ascii="宋体" w:hAnsi="宋体" w:eastAsia="宋体" w:cs="Times New Roman"/>
          <w:bCs/>
          <w:color w:val="auto"/>
          <w:highlight w:val="none"/>
        </w:rPr>
        <w:t>条</w:t>
      </w:r>
      <w:r>
        <w:rPr>
          <w:rFonts w:hint="eastAsia" w:ascii="宋体" w:hAnsi="宋体" w:eastAsia="宋体" w:cs="Times New Roman"/>
          <w:bCs/>
          <w:color w:val="auto"/>
          <w:highlight w:val="none"/>
          <w:lang w:eastAsia="zh-CN"/>
        </w:rPr>
        <w:t>、</w:t>
      </w:r>
      <w:r>
        <w:rPr>
          <w:rFonts w:hint="eastAsia" w:ascii="宋体" w:hAnsi="宋体"/>
          <w:bCs/>
          <w:color w:val="auto"/>
          <w:szCs w:val="22"/>
          <w:highlight w:val="none"/>
        </w:rPr>
        <w:t>《中华人民共和国政府采购法实施条例》第十七条</w:t>
      </w:r>
      <w:r>
        <w:rPr>
          <w:rFonts w:hint="eastAsia" w:ascii="宋体" w:hAnsi="宋体" w:eastAsia="宋体" w:cs="Times New Roman"/>
          <w:bCs/>
          <w:color w:val="auto"/>
          <w:highlight w:val="none"/>
        </w:rPr>
        <w:t>的规定，现郑重承诺：</w:t>
      </w:r>
    </w:p>
    <w:p>
      <w:pPr>
        <w:spacing w:line="520" w:lineRule="exact"/>
        <w:ind w:firstLine="420"/>
        <w:rPr>
          <w:rFonts w:ascii="宋体" w:hAnsi="宋体"/>
          <w:bCs/>
          <w:color w:val="auto"/>
          <w:szCs w:val="22"/>
        </w:rPr>
      </w:pPr>
      <w:r>
        <w:rPr>
          <w:rFonts w:ascii="宋体" w:hAnsi="宋体"/>
          <w:bCs/>
          <w:color w:val="auto"/>
          <w:szCs w:val="22"/>
          <w:u w:val="single"/>
        </w:rPr>
        <w:t>(</w:t>
      </w:r>
      <w:r>
        <w:rPr>
          <w:rFonts w:hint="eastAsia" w:ascii="宋体" w:hAnsi="宋体"/>
          <w:bCs/>
          <w:color w:val="auto"/>
          <w:szCs w:val="22"/>
          <w:u w:val="single"/>
        </w:rPr>
        <w:t>供应商名称)</w:t>
      </w:r>
      <w:r>
        <w:rPr>
          <w:rFonts w:hint="eastAsia" w:ascii="宋体" w:hAnsi="宋体"/>
          <w:bCs/>
          <w:color w:val="auto"/>
          <w:szCs w:val="22"/>
        </w:rPr>
        <w:t>具有良好的商业信誉和健全的财务会计制度，具有履行合同所必需的设备和专业技术能力，有依法缴纳税收和社会保障资金的良好记录。</w:t>
      </w:r>
    </w:p>
    <w:p>
      <w:pPr>
        <w:spacing w:line="520" w:lineRule="exact"/>
        <w:ind w:firstLine="420"/>
        <w:rPr>
          <w:rFonts w:ascii="宋体" w:hAnsi="宋体"/>
          <w:bCs/>
          <w:color w:val="auto"/>
          <w:szCs w:val="22"/>
        </w:rPr>
      </w:pPr>
      <w:r>
        <w:rPr>
          <w:rFonts w:hint="eastAsia" w:ascii="宋体" w:hAnsi="宋体"/>
          <w:bCs/>
          <w:color w:val="auto"/>
          <w:szCs w:val="22"/>
        </w:rPr>
        <w:t>本单位对上述承诺内容事项真实性负责，如有虚假，由我单位承担相关法律责任。</w:t>
      </w:r>
    </w:p>
    <w:p>
      <w:pPr>
        <w:spacing w:line="520" w:lineRule="exact"/>
        <w:ind w:firstLine="420"/>
        <w:rPr>
          <w:rFonts w:ascii="宋体" w:hAnsi="宋体"/>
          <w:bCs/>
          <w:color w:val="auto"/>
          <w:szCs w:val="22"/>
        </w:rPr>
      </w:pPr>
      <w:r>
        <w:rPr>
          <w:rFonts w:hint="eastAsia" w:ascii="宋体" w:hAnsi="宋体"/>
          <w:bCs/>
          <w:color w:val="auto"/>
          <w:szCs w:val="22"/>
        </w:rPr>
        <w:t>特此承诺。</w:t>
      </w:r>
    </w:p>
    <w:p>
      <w:pPr>
        <w:rPr>
          <w:color w:val="auto"/>
        </w:rPr>
      </w:pPr>
    </w:p>
    <w:p>
      <w:pPr>
        <w:rPr>
          <w:color w:val="auto"/>
        </w:rPr>
      </w:pPr>
    </w:p>
    <w:p>
      <w:pPr>
        <w:rPr>
          <w:color w:val="auto"/>
        </w:rPr>
      </w:pPr>
    </w:p>
    <w:p>
      <w:pPr>
        <w:spacing w:line="400" w:lineRule="exact"/>
        <w:ind w:right="1050" w:rightChars="500" w:firstLine="5103" w:firstLineChars="2430"/>
        <w:jc w:val="left"/>
        <w:rPr>
          <w:rFonts w:ascii="宋体" w:hAnsi="宋体"/>
          <w:bCs/>
          <w:color w:val="auto"/>
        </w:rPr>
      </w:pPr>
      <w:r>
        <w:rPr>
          <w:rFonts w:hint="eastAsia" w:ascii="宋体" w:hAnsi="宋体"/>
          <w:bCs/>
          <w:color w:val="auto"/>
          <w:szCs w:val="22"/>
        </w:rPr>
        <w:t xml:space="preserve"> </w:t>
      </w:r>
      <w:r>
        <w:rPr>
          <w:rFonts w:ascii="宋体" w:hAnsi="宋体"/>
          <w:bCs/>
          <w:color w:val="auto"/>
          <w:szCs w:val="22"/>
        </w:rPr>
        <w:t xml:space="preserve">     </w:t>
      </w:r>
      <w:r>
        <w:rPr>
          <w:rFonts w:hint="eastAsia" w:ascii="宋体" w:hAnsi="宋体"/>
          <w:bCs/>
          <w:color w:val="auto"/>
        </w:rPr>
        <w:t>供应商（盖章）：</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p>
    <w:p>
      <w:pPr>
        <w:spacing w:line="400" w:lineRule="exact"/>
        <w:ind w:right="1050" w:rightChars="500"/>
        <w:jc w:val="right"/>
        <w:rPr>
          <w:rFonts w:ascii="宋体" w:hAnsi="宋体"/>
          <w:bCs/>
          <w:color w:val="auto"/>
        </w:rPr>
      </w:pPr>
      <w:r>
        <w:rPr>
          <w:rFonts w:hint="eastAsia" w:ascii="宋体" w:hAnsi="宋体"/>
          <w:bCs/>
          <w:color w:val="auto"/>
        </w:rPr>
        <w:t>日期：</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hint="eastAsia" w:ascii="宋体" w:hAnsi="宋体"/>
          <w:bCs/>
          <w:color w:val="auto"/>
        </w:rPr>
        <w:t>年</w:t>
      </w:r>
      <w:r>
        <w:rPr>
          <w:rFonts w:hint="eastAsia" w:ascii="宋体" w:hAnsi="宋体"/>
          <w:bCs/>
          <w:color w:val="auto"/>
          <w:u w:val="single"/>
        </w:rPr>
        <w:t xml:space="preserve">   </w:t>
      </w:r>
      <w:r>
        <w:rPr>
          <w:rFonts w:hint="eastAsia" w:ascii="宋体" w:hAnsi="宋体"/>
          <w:bCs/>
          <w:color w:val="auto"/>
        </w:rPr>
        <w:t>月</w:t>
      </w:r>
      <w:r>
        <w:rPr>
          <w:rFonts w:hint="eastAsia" w:ascii="宋体" w:hAnsi="宋体"/>
          <w:bCs/>
          <w:color w:val="auto"/>
          <w:u w:val="single"/>
        </w:rPr>
        <w:t xml:space="preserve">   </w:t>
      </w:r>
      <w:r>
        <w:rPr>
          <w:rFonts w:hint="eastAsia" w:ascii="宋体" w:hAnsi="宋体"/>
          <w:bCs/>
          <w:color w:val="auto"/>
        </w:rPr>
        <w:t>日</w:t>
      </w:r>
    </w:p>
    <w:p>
      <w:pPr>
        <w:rPr>
          <w:color w:val="auto"/>
        </w:rPr>
      </w:pPr>
    </w:p>
    <w:p>
      <w:pPr>
        <w:pStyle w:val="4"/>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tabs>
          <w:tab w:val="left" w:pos="3402"/>
        </w:tabs>
        <w:spacing w:line="460" w:lineRule="exact"/>
        <w:jc w:val="center"/>
        <w:rPr>
          <w:rFonts w:ascii="仿宋_GB2312" w:hAnsi="仿宋" w:eastAsia="仿宋_GB2312"/>
          <w:b/>
          <w:color w:val="auto"/>
          <w:spacing w:val="10"/>
          <w:sz w:val="32"/>
          <w:szCs w:val="32"/>
        </w:rPr>
      </w:pPr>
      <w:r>
        <w:rPr>
          <w:rFonts w:hint="eastAsia" w:ascii="仿宋_GB2312" w:hAnsi="仿宋" w:eastAsia="仿宋_GB2312"/>
          <w:b/>
          <w:color w:val="auto"/>
          <w:spacing w:val="10"/>
          <w:sz w:val="32"/>
          <w:szCs w:val="32"/>
        </w:rPr>
        <w:t>无重大违法记录的书面声明</w:t>
      </w:r>
      <w:bookmarkStart w:id="158" w:name="_Hlk108528701"/>
      <w:r>
        <w:rPr>
          <w:rFonts w:hint="eastAsia" w:ascii="仿宋" w:hAnsi="仿宋" w:eastAsia="仿宋" w:cs="黑体"/>
          <w:bCs/>
          <w:color w:val="auto"/>
          <w:sz w:val="24"/>
        </w:rPr>
        <w:t>(格式</w:t>
      </w:r>
      <w:r>
        <w:rPr>
          <w:rFonts w:ascii="仿宋" w:hAnsi="仿宋" w:eastAsia="仿宋" w:cs="黑体"/>
          <w:bCs/>
          <w:color w:val="auto"/>
          <w:sz w:val="24"/>
        </w:rPr>
        <w:t>)</w:t>
      </w:r>
      <w:bookmarkEnd w:id="158"/>
    </w:p>
    <w:p>
      <w:pPr>
        <w:spacing w:line="400" w:lineRule="exact"/>
        <w:rPr>
          <w:rFonts w:ascii="宋体" w:hAnsi="宋体"/>
          <w:b/>
          <w:color w:val="auto"/>
        </w:rPr>
      </w:pPr>
    </w:p>
    <w:p>
      <w:pPr>
        <w:spacing w:line="520" w:lineRule="exact"/>
        <w:rPr>
          <w:rFonts w:ascii="宋体" w:hAnsi="宋体"/>
          <w:bCs/>
          <w:color w:val="auto"/>
        </w:rPr>
      </w:pPr>
      <w:r>
        <w:rPr>
          <w:rFonts w:hint="eastAsia" w:ascii="宋体" w:hAnsi="宋体"/>
          <w:bCs/>
          <w:color w:val="auto"/>
        </w:rPr>
        <w:t>钦州市政府采购中心：</w:t>
      </w:r>
    </w:p>
    <w:p>
      <w:pPr>
        <w:spacing w:line="520" w:lineRule="exact"/>
        <w:ind w:firstLine="420"/>
        <w:rPr>
          <w:rFonts w:ascii="宋体" w:hAnsi="宋体"/>
          <w:bCs/>
          <w:color w:val="auto"/>
        </w:rPr>
      </w:pPr>
      <w:r>
        <w:rPr>
          <w:rFonts w:hint="eastAsia" w:ascii="宋体" w:hAnsi="宋体" w:eastAsia="宋体" w:cs="Times New Roman"/>
          <w:bCs/>
          <w:color w:val="auto"/>
          <w:szCs w:val="24"/>
          <w:highlight w:val="none"/>
        </w:rPr>
        <w:t>根据</w:t>
      </w:r>
      <w:r>
        <w:rPr>
          <w:rFonts w:hint="eastAsia" w:ascii="宋体" w:hAnsi="宋体" w:eastAsia="宋体" w:cs="Times New Roman"/>
          <w:bCs/>
          <w:color w:val="auto"/>
          <w:highlight w:val="none"/>
        </w:rPr>
        <w:t>《中华人民共和国政府采购法》第</w:t>
      </w:r>
      <w:r>
        <w:rPr>
          <w:rFonts w:hint="eastAsia" w:ascii="宋体" w:hAnsi="宋体" w:eastAsia="宋体" w:cs="Times New Roman"/>
          <w:bCs/>
          <w:color w:val="auto"/>
          <w:highlight w:val="none"/>
          <w:lang w:val="en-US" w:eastAsia="zh-CN"/>
        </w:rPr>
        <w:t>二十二</w:t>
      </w:r>
      <w:r>
        <w:rPr>
          <w:rFonts w:hint="eastAsia" w:ascii="宋体" w:hAnsi="宋体" w:eastAsia="宋体" w:cs="Times New Roman"/>
          <w:bCs/>
          <w:color w:val="auto"/>
          <w:highlight w:val="none"/>
        </w:rPr>
        <w:t>条</w:t>
      </w:r>
      <w:r>
        <w:rPr>
          <w:rFonts w:hint="eastAsia" w:ascii="宋体" w:hAnsi="宋体" w:eastAsia="宋体" w:cs="Times New Roman"/>
          <w:bCs/>
          <w:color w:val="auto"/>
          <w:highlight w:val="none"/>
          <w:lang w:eastAsia="zh-CN"/>
        </w:rPr>
        <w:t>、</w:t>
      </w:r>
      <w:r>
        <w:rPr>
          <w:rFonts w:hint="eastAsia" w:ascii="宋体" w:hAnsi="宋体"/>
          <w:bCs/>
          <w:color w:val="auto"/>
          <w:szCs w:val="22"/>
          <w:highlight w:val="none"/>
        </w:rPr>
        <w:t>《中华人民共和国政府采购法实施条例》第十七条</w:t>
      </w:r>
      <w:r>
        <w:rPr>
          <w:rFonts w:hint="eastAsia" w:ascii="宋体" w:hAnsi="宋体" w:eastAsia="宋体" w:cs="Times New Roman"/>
          <w:bCs/>
          <w:color w:val="auto"/>
          <w:szCs w:val="24"/>
          <w:highlight w:val="none"/>
        </w:rPr>
        <w:t>的规定，</w:t>
      </w:r>
      <w:r>
        <w:rPr>
          <w:rFonts w:hint="eastAsia" w:ascii="宋体" w:hAnsi="宋体"/>
          <w:bCs/>
          <w:color w:val="auto"/>
        </w:rPr>
        <w:t>现郑重声明：</w:t>
      </w:r>
    </w:p>
    <w:p>
      <w:pPr>
        <w:spacing w:line="520" w:lineRule="exact"/>
        <w:ind w:firstLine="420"/>
        <w:rPr>
          <w:rFonts w:ascii="宋体" w:hAnsi="宋体"/>
          <w:bCs/>
          <w:color w:val="auto"/>
        </w:rPr>
      </w:pPr>
      <w:r>
        <w:rPr>
          <w:rFonts w:ascii="宋体" w:hAnsi="宋体"/>
          <w:bCs/>
          <w:color w:val="auto"/>
          <w:u w:val="single"/>
        </w:rPr>
        <w:t>(</w:t>
      </w:r>
      <w:r>
        <w:rPr>
          <w:rFonts w:hint="eastAsia" w:ascii="宋体" w:hAnsi="宋体"/>
          <w:bCs/>
          <w:color w:val="auto"/>
          <w:u w:val="single"/>
        </w:rPr>
        <w:t>供应商名称)</w:t>
      </w:r>
      <w:r>
        <w:rPr>
          <w:rFonts w:hint="eastAsia" w:ascii="宋体" w:hAnsi="宋体"/>
          <w:bCs/>
          <w:color w:val="auto"/>
        </w:rPr>
        <w:t>在参加本次政府采购活动前3年内在经营活动中没有重大违法记录（</w:t>
      </w:r>
      <w:r>
        <w:rPr>
          <w:rFonts w:hint="eastAsia" w:ascii="宋体" w:hAnsi="宋体"/>
          <w:bCs/>
          <w:color w:val="auto"/>
          <w:u w:val="single"/>
        </w:rPr>
        <w:t>即因违法经营受到刑事处罚或者责令停产停业、吊销许可证或者执照、较大数额罚款等行政处罚的行为</w:t>
      </w:r>
      <w:r>
        <w:rPr>
          <w:rFonts w:hint="eastAsia" w:ascii="宋体" w:hAnsi="宋体"/>
          <w:bCs/>
          <w:color w:val="auto"/>
        </w:rPr>
        <w:t>）。</w:t>
      </w:r>
    </w:p>
    <w:p>
      <w:pPr>
        <w:spacing w:line="520" w:lineRule="exact"/>
        <w:ind w:firstLine="420"/>
        <w:rPr>
          <w:rFonts w:ascii="宋体" w:hAnsi="宋体"/>
          <w:bCs/>
          <w:color w:val="auto"/>
        </w:rPr>
      </w:pPr>
      <w:r>
        <w:rPr>
          <w:rFonts w:hint="eastAsia" w:ascii="宋体" w:hAnsi="宋体"/>
          <w:bCs/>
          <w:color w:val="auto"/>
        </w:rPr>
        <w:t>本单位对上述声明内容事项真实性负责，如有虚假，由我单位承担相关法律责任。</w:t>
      </w:r>
    </w:p>
    <w:p>
      <w:pPr>
        <w:spacing w:line="520" w:lineRule="exact"/>
        <w:ind w:firstLine="420"/>
        <w:rPr>
          <w:rFonts w:ascii="宋体" w:hAnsi="宋体"/>
          <w:bCs/>
          <w:color w:val="auto"/>
        </w:rPr>
      </w:pPr>
      <w:r>
        <w:rPr>
          <w:rFonts w:hint="eastAsia" w:ascii="宋体" w:hAnsi="宋体"/>
          <w:bCs/>
          <w:color w:val="auto"/>
        </w:rPr>
        <w:t>特此声明。</w:t>
      </w:r>
    </w:p>
    <w:p>
      <w:pPr>
        <w:rPr>
          <w:color w:val="auto"/>
        </w:rPr>
      </w:pPr>
    </w:p>
    <w:p>
      <w:pPr>
        <w:rPr>
          <w:color w:val="auto"/>
        </w:rPr>
      </w:pPr>
    </w:p>
    <w:p>
      <w:pPr>
        <w:rPr>
          <w:color w:val="auto"/>
        </w:rPr>
      </w:pPr>
    </w:p>
    <w:p>
      <w:pPr>
        <w:spacing w:line="400" w:lineRule="exact"/>
        <w:ind w:right="1050" w:rightChars="500" w:firstLine="5810" w:firstLineChars="2767"/>
        <w:jc w:val="left"/>
        <w:rPr>
          <w:rFonts w:ascii="宋体" w:hAnsi="宋体"/>
          <w:bCs/>
          <w:color w:val="auto"/>
        </w:rPr>
      </w:pPr>
      <w:bookmarkStart w:id="159" w:name="_Hlk112311442"/>
      <w:r>
        <w:rPr>
          <w:rFonts w:hint="eastAsia" w:ascii="宋体" w:hAnsi="宋体"/>
          <w:bCs/>
          <w:color w:val="auto"/>
        </w:rPr>
        <w:t>供应商（盖章）：</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p>
    <w:p>
      <w:pPr>
        <w:spacing w:line="400" w:lineRule="exact"/>
        <w:ind w:right="735" w:rightChars="350" w:firstLine="5810" w:firstLineChars="2767"/>
        <w:jc w:val="left"/>
        <w:rPr>
          <w:rFonts w:ascii="宋体" w:hAnsi="宋体"/>
          <w:bCs/>
          <w:color w:val="auto"/>
        </w:rPr>
      </w:pPr>
      <w:r>
        <w:rPr>
          <w:rFonts w:hint="eastAsia" w:ascii="宋体" w:hAnsi="宋体"/>
          <w:bCs/>
          <w:color w:val="auto"/>
        </w:rPr>
        <w:t>日期：</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hint="eastAsia" w:ascii="宋体" w:hAnsi="宋体"/>
          <w:bCs/>
          <w:color w:val="auto"/>
        </w:rPr>
        <w:t>年</w:t>
      </w:r>
      <w:r>
        <w:rPr>
          <w:rFonts w:hint="eastAsia" w:ascii="宋体" w:hAnsi="宋体"/>
          <w:bCs/>
          <w:color w:val="auto"/>
          <w:u w:val="single"/>
        </w:rPr>
        <w:t xml:space="preserve">   </w:t>
      </w:r>
      <w:r>
        <w:rPr>
          <w:rFonts w:hint="eastAsia" w:ascii="宋体" w:hAnsi="宋体"/>
          <w:bCs/>
          <w:color w:val="auto"/>
        </w:rPr>
        <w:t>月</w:t>
      </w:r>
      <w:r>
        <w:rPr>
          <w:rFonts w:hint="eastAsia" w:ascii="宋体" w:hAnsi="宋体"/>
          <w:bCs/>
          <w:color w:val="auto"/>
          <w:u w:val="single"/>
        </w:rPr>
        <w:t xml:space="preserve">   </w:t>
      </w:r>
      <w:r>
        <w:rPr>
          <w:rFonts w:hint="eastAsia" w:ascii="宋体" w:hAnsi="宋体"/>
          <w:bCs/>
          <w:color w:val="auto"/>
        </w:rPr>
        <w:t>日</w:t>
      </w:r>
      <w:bookmarkEnd w:id="159"/>
      <w:r>
        <w:rPr>
          <w:color w:val="auto"/>
        </w:rPr>
        <w:br w:type="page"/>
      </w:r>
    </w:p>
    <w:p>
      <w:pPr>
        <w:rPr>
          <w:color w:val="auto"/>
        </w:rPr>
      </w:pPr>
    </w:p>
    <w:p>
      <w:pPr>
        <w:spacing w:line="440" w:lineRule="exact"/>
        <w:jc w:val="center"/>
        <w:rPr>
          <w:rFonts w:ascii="仿宋_GB2312" w:hAnsi="宋体" w:eastAsia="仿宋_GB2312"/>
          <w:b/>
          <w:color w:val="auto"/>
          <w:sz w:val="36"/>
          <w:szCs w:val="36"/>
        </w:rPr>
      </w:pPr>
      <w:r>
        <w:rPr>
          <w:rFonts w:hint="eastAsia" w:ascii="仿宋_GB2312" w:hAnsi="宋体" w:eastAsia="仿宋_GB2312"/>
          <w:b/>
          <w:color w:val="auto"/>
          <w:sz w:val="36"/>
          <w:szCs w:val="36"/>
        </w:rPr>
        <w:t>中小企业声明函</w:t>
      </w:r>
    </w:p>
    <w:p>
      <w:pPr>
        <w:spacing w:line="440" w:lineRule="exact"/>
        <w:jc w:val="left"/>
        <w:rPr>
          <w:rFonts w:hAnsi="宋体"/>
          <w:bCs/>
          <w:color w:val="auto"/>
          <w:szCs w:val="21"/>
        </w:rPr>
      </w:pPr>
    </w:p>
    <w:p>
      <w:pPr>
        <w:spacing w:line="600" w:lineRule="exact"/>
        <w:ind w:firstLine="294" w:firstLineChars="140"/>
        <w:jc w:val="left"/>
        <w:rPr>
          <w:rFonts w:ascii="宋体" w:hAnsi="宋体"/>
          <w:bCs/>
          <w:color w:val="auto"/>
          <w:szCs w:val="21"/>
        </w:rPr>
      </w:pPr>
      <w:r>
        <w:rPr>
          <w:rFonts w:hint="eastAsia" w:ascii="宋体" w:hAnsi="宋体"/>
          <w:bCs/>
          <w:color w:val="auto"/>
          <w:szCs w:val="21"/>
        </w:rPr>
        <w:t>本公司郑重声明，根据《政府采购促进中小企业发展管理办法》</w:t>
      </w:r>
      <w:bookmarkStart w:id="160" w:name="_Hlk60836554"/>
      <w:r>
        <w:rPr>
          <w:rFonts w:hint="eastAsia" w:ascii="宋体" w:hAnsi="宋体"/>
          <w:bCs/>
          <w:color w:val="auto"/>
          <w:szCs w:val="21"/>
        </w:rPr>
        <w:t>（财库〔2020〕46号）</w:t>
      </w:r>
      <w:bookmarkEnd w:id="160"/>
      <w:r>
        <w:rPr>
          <w:rFonts w:hint="eastAsia" w:ascii="宋体" w:hAnsi="宋体"/>
          <w:bCs/>
          <w:color w:val="auto"/>
          <w:szCs w:val="21"/>
        </w:rPr>
        <w:t>的规定，本公司参加（</w:t>
      </w:r>
      <w:r>
        <w:rPr>
          <w:rFonts w:hint="eastAsia" w:ascii="宋体" w:hAnsi="宋体"/>
          <w:bCs/>
          <w:color w:val="auto"/>
          <w:szCs w:val="21"/>
          <w:u w:val="single"/>
        </w:rPr>
        <w:t>单位名称</w:t>
      </w:r>
      <w:r>
        <w:rPr>
          <w:rFonts w:hint="eastAsia" w:ascii="宋体" w:hAnsi="宋体"/>
          <w:bCs/>
          <w:color w:val="auto"/>
          <w:szCs w:val="21"/>
        </w:rPr>
        <w:t>）的（</w:t>
      </w:r>
      <w:r>
        <w:rPr>
          <w:rFonts w:hint="eastAsia" w:ascii="宋体" w:hAnsi="宋体"/>
          <w:bCs/>
          <w:color w:val="auto"/>
          <w:szCs w:val="21"/>
          <w:u w:val="single"/>
        </w:rPr>
        <w:t>项目名称</w:t>
      </w:r>
      <w:r>
        <w:rPr>
          <w:rFonts w:hint="eastAsia" w:ascii="宋体" w:hAnsi="宋体"/>
          <w:bCs/>
          <w:color w:val="auto"/>
          <w:szCs w:val="21"/>
        </w:rPr>
        <w:t>）采购活动，</w:t>
      </w:r>
      <w:bookmarkStart w:id="161" w:name="_Hlk108682836"/>
      <w:r>
        <w:rPr>
          <w:rFonts w:hint="eastAsia" w:ascii="宋体" w:hAnsi="宋体"/>
          <w:bCs/>
          <w:color w:val="auto"/>
          <w:szCs w:val="21"/>
        </w:rPr>
        <w:t>服务全部由符合政策要求的中小企业承接</w:t>
      </w:r>
      <w:bookmarkEnd w:id="161"/>
      <w:r>
        <w:rPr>
          <w:rFonts w:hint="eastAsia" w:ascii="宋体" w:hAnsi="宋体"/>
          <w:bCs/>
          <w:color w:val="auto"/>
          <w:szCs w:val="21"/>
        </w:rPr>
        <w:t>。相关企业的具体情况如下：</w:t>
      </w:r>
    </w:p>
    <w:p>
      <w:pPr>
        <w:spacing w:line="600" w:lineRule="exact"/>
        <w:ind w:firstLine="294" w:firstLineChars="140"/>
        <w:jc w:val="left"/>
        <w:rPr>
          <w:rFonts w:ascii="宋体" w:hAnsi="宋体"/>
          <w:bCs/>
          <w:color w:val="auto"/>
          <w:szCs w:val="21"/>
        </w:rPr>
      </w:pPr>
      <w:r>
        <w:rPr>
          <w:rFonts w:hint="eastAsia" w:ascii="宋体" w:hAnsi="宋体"/>
          <w:bCs/>
          <w:color w:val="auto"/>
          <w:szCs w:val="21"/>
        </w:rPr>
        <w:t>1.</w:t>
      </w:r>
      <w:bookmarkStart w:id="162" w:name="_Hlk60836996"/>
      <w:r>
        <w:rPr>
          <w:rFonts w:hint="eastAsia" w:ascii="宋体" w:hAnsi="宋体"/>
          <w:bCs/>
          <w:color w:val="auto"/>
          <w:szCs w:val="21"/>
        </w:rPr>
        <w:t>（</w:t>
      </w:r>
      <w:r>
        <w:rPr>
          <w:rFonts w:hint="eastAsia" w:ascii="宋体" w:hAnsi="宋体"/>
          <w:bCs/>
          <w:color w:val="auto"/>
          <w:szCs w:val="21"/>
          <w:u w:val="single"/>
        </w:rPr>
        <w:t>标的名称</w:t>
      </w:r>
      <w:r>
        <w:rPr>
          <w:rFonts w:hint="eastAsia" w:ascii="宋体" w:hAnsi="宋体"/>
          <w:bCs/>
          <w:color w:val="auto"/>
          <w:szCs w:val="21"/>
        </w:rPr>
        <w:t>），属于（</w:t>
      </w:r>
      <w:r>
        <w:rPr>
          <w:rFonts w:hint="eastAsia" w:ascii="宋体" w:hAnsi="宋体"/>
          <w:bCs/>
          <w:color w:val="auto"/>
          <w:szCs w:val="21"/>
          <w:u w:val="single"/>
        </w:rPr>
        <w:t>采购文件中明确的所属行业</w:t>
      </w:r>
      <w:r>
        <w:rPr>
          <w:rFonts w:hint="eastAsia" w:ascii="宋体" w:hAnsi="宋体"/>
          <w:bCs/>
          <w:color w:val="auto"/>
          <w:szCs w:val="21"/>
        </w:rPr>
        <w:t>）行业；承接企业为（</w:t>
      </w:r>
      <w:r>
        <w:rPr>
          <w:rFonts w:hint="eastAsia" w:ascii="宋体" w:hAnsi="宋体"/>
          <w:bCs/>
          <w:color w:val="auto"/>
          <w:szCs w:val="21"/>
          <w:u w:val="single"/>
        </w:rPr>
        <w:t>企业名称</w:t>
      </w:r>
      <w:r>
        <w:rPr>
          <w:rFonts w:hint="eastAsia" w:ascii="宋体" w:hAnsi="宋体"/>
          <w:bCs/>
          <w:color w:val="auto"/>
          <w:szCs w:val="21"/>
        </w:rPr>
        <w:t>），从业人员</w:t>
      </w:r>
      <w:r>
        <w:rPr>
          <w:rFonts w:ascii="宋体" w:hAnsi="宋体"/>
          <w:bCs/>
          <w:color w:val="auto"/>
          <w:szCs w:val="21"/>
          <w:u w:val="single"/>
        </w:rPr>
        <w:t xml:space="preserve">  </w:t>
      </w:r>
      <w:r>
        <w:rPr>
          <w:rFonts w:hint="eastAsia" w:ascii="宋体" w:hAnsi="宋体"/>
          <w:bCs/>
          <w:color w:val="auto"/>
          <w:szCs w:val="21"/>
        </w:rPr>
        <w:t>人，营业收入为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万元，资产总额为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万元，属于（</w:t>
      </w:r>
      <w:r>
        <w:rPr>
          <w:rFonts w:hint="eastAsia" w:ascii="宋体" w:hAnsi="宋体"/>
          <w:bCs/>
          <w:color w:val="auto"/>
          <w:szCs w:val="21"/>
          <w:u w:val="single"/>
        </w:rPr>
        <w:t>中型企业、小型企业、微型企业</w:t>
      </w:r>
      <w:r>
        <w:rPr>
          <w:rFonts w:hint="eastAsia" w:ascii="宋体" w:hAnsi="宋体"/>
          <w:bCs/>
          <w:color w:val="auto"/>
          <w:szCs w:val="21"/>
        </w:rPr>
        <w:t>）；</w:t>
      </w:r>
      <w:bookmarkEnd w:id="162"/>
    </w:p>
    <w:p>
      <w:pPr>
        <w:spacing w:line="600" w:lineRule="exact"/>
        <w:ind w:firstLine="294" w:firstLineChars="140"/>
        <w:jc w:val="left"/>
        <w:rPr>
          <w:rFonts w:ascii="宋体" w:hAnsi="宋体"/>
          <w:bCs/>
          <w:color w:val="auto"/>
          <w:szCs w:val="21"/>
        </w:rPr>
      </w:pPr>
      <w:r>
        <w:rPr>
          <w:rFonts w:hint="eastAsia" w:ascii="宋体" w:hAnsi="宋体"/>
          <w:bCs/>
          <w:color w:val="auto"/>
          <w:szCs w:val="21"/>
        </w:rPr>
        <w:t>2.（</w:t>
      </w:r>
      <w:r>
        <w:rPr>
          <w:rFonts w:hint="eastAsia" w:ascii="宋体" w:hAnsi="宋体"/>
          <w:bCs/>
          <w:color w:val="auto"/>
          <w:szCs w:val="21"/>
          <w:u w:val="single"/>
        </w:rPr>
        <w:t>标的名称</w:t>
      </w:r>
      <w:r>
        <w:rPr>
          <w:rFonts w:hint="eastAsia" w:ascii="宋体" w:hAnsi="宋体"/>
          <w:bCs/>
          <w:color w:val="auto"/>
          <w:szCs w:val="21"/>
        </w:rPr>
        <w:t>），属于（</w:t>
      </w:r>
      <w:r>
        <w:rPr>
          <w:rFonts w:hint="eastAsia" w:ascii="宋体" w:hAnsi="宋体"/>
          <w:bCs/>
          <w:color w:val="auto"/>
          <w:szCs w:val="21"/>
          <w:u w:val="single"/>
        </w:rPr>
        <w:t>采购文件中明确的所属行业</w:t>
      </w:r>
      <w:r>
        <w:rPr>
          <w:rFonts w:hint="eastAsia" w:ascii="宋体" w:hAnsi="宋体"/>
          <w:bCs/>
          <w:color w:val="auto"/>
          <w:szCs w:val="21"/>
        </w:rPr>
        <w:t>）行业；承接企业为（</w:t>
      </w:r>
      <w:r>
        <w:rPr>
          <w:rFonts w:hint="eastAsia" w:ascii="宋体" w:hAnsi="宋体"/>
          <w:bCs/>
          <w:color w:val="auto"/>
          <w:szCs w:val="21"/>
          <w:u w:val="single"/>
        </w:rPr>
        <w:t>企业名称</w:t>
      </w:r>
      <w:r>
        <w:rPr>
          <w:rFonts w:hint="eastAsia" w:ascii="宋体" w:hAnsi="宋体"/>
          <w:bCs/>
          <w:color w:val="auto"/>
          <w:szCs w:val="21"/>
        </w:rPr>
        <w:t>），从业人员</w:t>
      </w:r>
      <w:r>
        <w:rPr>
          <w:rFonts w:ascii="宋体" w:hAnsi="宋体"/>
          <w:bCs/>
          <w:color w:val="auto"/>
          <w:szCs w:val="21"/>
          <w:u w:val="single"/>
        </w:rPr>
        <w:t xml:space="preserve">  </w:t>
      </w:r>
      <w:r>
        <w:rPr>
          <w:rFonts w:hint="eastAsia" w:ascii="宋体" w:hAnsi="宋体"/>
          <w:bCs/>
          <w:color w:val="auto"/>
          <w:szCs w:val="21"/>
        </w:rPr>
        <w:t>人，营业收入为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u w:val="single"/>
        </w:rPr>
        <w:t xml:space="preserve"> </w:t>
      </w:r>
      <w:r>
        <w:rPr>
          <w:rFonts w:hint="eastAsia" w:ascii="宋体" w:hAnsi="宋体"/>
          <w:bCs/>
          <w:color w:val="auto"/>
          <w:szCs w:val="21"/>
        </w:rPr>
        <w:t>万元，资产总额为</w:t>
      </w:r>
      <w:r>
        <w:rPr>
          <w:rFonts w:hint="eastAsia" w:ascii="宋体" w:hAnsi="宋体"/>
          <w:bCs/>
          <w:color w:val="auto"/>
          <w:szCs w:val="21"/>
          <w:u w:val="single"/>
        </w:rPr>
        <w:t xml:space="preserve"> </w:t>
      </w:r>
      <w:r>
        <w:rPr>
          <w:rFonts w:ascii="宋体" w:hAnsi="宋体"/>
          <w:bCs/>
          <w:color w:val="auto"/>
          <w:szCs w:val="21"/>
          <w:u w:val="single"/>
        </w:rPr>
        <w:t xml:space="preserve">   </w:t>
      </w:r>
      <w:r>
        <w:rPr>
          <w:rFonts w:hint="eastAsia" w:ascii="宋体" w:hAnsi="宋体"/>
          <w:bCs/>
          <w:color w:val="auto"/>
          <w:szCs w:val="21"/>
        </w:rPr>
        <w:t>万元，属于（</w:t>
      </w:r>
      <w:r>
        <w:rPr>
          <w:rFonts w:hint="eastAsia" w:ascii="宋体" w:hAnsi="宋体"/>
          <w:bCs/>
          <w:color w:val="auto"/>
          <w:szCs w:val="21"/>
          <w:u w:val="single"/>
        </w:rPr>
        <w:t>中型企业、小型企业、微型企业</w:t>
      </w:r>
      <w:r>
        <w:rPr>
          <w:rFonts w:hint="eastAsia" w:ascii="宋体" w:hAnsi="宋体"/>
          <w:bCs/>
          <w:color w:val="auto"/>
          <w:szCs w:val="21"/>
        </w:rPr>
        <w:t>）；</w:t>
      </w:r>
    </w:p>
    <w:p>
      <w:pPr>
        <w:spacing w:line="600" w:lineRule="exact"/>
        <w:ind w:firstLine="294" w:firstLineChars="140"/>
        <w:jc w:val="left"/>
        <w:rPr>
          <w:rFonts w:ascii="宋体" w:hAnsi="宋体"/>
          <w:bCs/>
          <w:color w:val="auto"/>
          <w:szCs w:val="21"/>
        </w:rPr>
      </w:pPr>
      <w:r>
        <w:rPr>
          <w:rFonts w:hint="eastAsia" w:ascii="宋体" w:hAnsi="宋体"/>
          <w:bCs/>
          <w:color w:val="auto"/>
          <w:szCs w:val="21"/>
        </w:rPr>
        <w:t>……</w:t>
      </w:r>
    </w:p>
    <w:p>
      <w:pPr>
        <w:spacing w:line="600" w:lineRule="exact"/>
        <w:ind w:firstLine="294" w:firstLineChars="140"/>
        <w:jc w:val="left"/>
        <w:rPr>
          <w:rFonts w:ascii="宋体" w:hAnsi="宋体"/>
          <w:bCs/>
          <w:color w:val="auto"/>
          <w:szCs w:val="21"/>
        </w:rPr>
      </w:pPr>
      <w:r>
        <w:rPr>
          <w:rFonts w:hint="eastAsia" w:ascii="宋体" w:hAnsi="宋体"/>
          <w:bCs/>
          <w:color w:val="auto"/>
          <w:szCs w:val="21"/>
        </w:rPr>
        <w:t>以上企业，不属于大企业的分支机构，不存在控股股东为大企业的情形，也不存在与大企业的负责人为同一人的情形。</w:t>
      </w:r>
    </w:p>
    <w:p>
      <w:pPr>
        <w:spacing w:line="600" w:lineRule="exact"/>
        <w:ind w:firstLine="294" w:firstLineChars="140"/>
        <w:jc w:val="left"/>
        <w:rPr>
          <w:rFonts w:ascii="宋体" w:hAnsi="宋体"/>
          <w:bCs/>
          <w:color w:val="auto"/>
          <w:szCs w:val="21"/>
        </w:rPr>
      </w:pPr>
      <w:r>
        <w:rPr>
          <w:rFonts w:hint="eastAsia" w:ascii="宋体" w:hAnsi="宋体"/>
          <w:bCs/>
          <w:color w:val="auto"/>
          <w:szCs w:val="21"/>
        </w:rPr>
        <w:t>本企业对上述声明内容的真实性负责。如有虚假，将依法承担相应责任。</w:t>
      </w:r>
    </w:p>
    <w:p>
      <w:pPr>
        <w:spacing w:line="400" w:lineRule="exact"/>
        <w:rPr>
          <w:color w:val="auto"/>
          <w:szCs w:val="21"/>
        </w:rPr>
      </w:pPr>
    </w:p>
    <w:p>
      <w:pPr>
        <w:spacing w:line="400" w:lineRule="exact"/>
        <w:rPr>
          <w:color w:val="auto"/>
          <w:szCs w:val="21"/>
        </w:rPr>
      </w:pPr>
    </w:p>
    <w:p>
      <w:pPr>
        <w:spacing w:line="400" w:lineRule="exact"/>
        <w:rPr>
          <w:color w:val="auto"/>
          <w:szCs w:val="21"/>
        </w:rPr>
      </w:pPr>
    </w:p>
    <w:p>
      <w:pPr>
        <w:spacing w:line="500" w:lineRule="exact"/>
        <w:ind w:right="451" w:rightChars="215" w:firstLine="3570" w:firstLineChars="1700"/>
        <w:jc w:val="center"/>
        <w:rPr>
          <w:rFonts w:ascii="宋体" w:hAnsi="宋体"/>
          <w:bCs/>
          <w:color w:val="auto"/>
          <w:szCs w:val="21"/>
        </w:rPr>
      </w:pPr>
      <w:r>
        <w:rPr>
          <w:rFonts w:hint="eastAsia" w:ascii="宋体" w:hAnsi="宋体"/>
          <w:bCs/>
          <w:color w:val="auto"/>
          <w:szCs w:val="21"/>
        </w:rPr>
        <w:t>企业名称（盖章）：</w:t>
      </w:r>
      <w:r>
        <w:rPr>
          <w:rFonts w:hint="eastAsia" w:ascii="宋体" w:hAnsi="宋体"/>
          <w:bCs/>
          <w:color w:val="auto"/>
          <w:szCs w:val="21"/>
          <w:u w:val="single"/>
        </w:rPr>
        <w:t xml:space="preserve"> </w:t>
      </w:r>
      <w:r>
        <w:rPr>
          <w:rFonts w:ascii="宋体" w:hAnsi="宋体"/>
          <w:bCs/>
          <w:color w:val="auto"/>
          <w:szCs w:val="21"/>
          <w:u w:val="single"/>
        </w:rPr>
        <w:t xml:space="preserve">                 </w:t>
      </w:r>
    </w:p>
    <w:p>
      <w:pPr>
        <w:spacing w:line="500" w:lineRule="exact"/>
        <w:ind w:right="309" w:rightChars="147" w:firstLine="5460" w:firstLineChars="2600"/>
        <w:rPr>
          <w:rFonts w:ascii="宋体" w:hAnsi="宋体"/>
          <w:bCs/>
          <w:color w:val="auto"/>
          <w:szCs w:val="21"/>
        </w:rPr>
      </w:pPr>
      <w:r>
        <w:rPr>
          <w:rFonts w:hint="eastAsia" w:ascii="宋体" w:hAnsi="宋体"/>
          <w:bCs/>
          <w:color w:val="auto"/>
          <w:szCs w:val="21"/>
        </w:rPr>
        <w:t>日 期：</w:t>
      </w:r>
      <w:r>
        <w:rPr>
          <w:rFonts w:hint="eastAsia" w:ascii="宋体" w:hAnsi="宋体"/>
          <w:bCs/>
          <w:color w:val="auto"/>
          <w:szCs w:val="21"/>
          <w:u w:val="single"/>
        </w:rPr>
        <w:t xml:space="preserve"> </w:t>
      </w:r>
      <w:r>
        <w:rPr>
          <w:rFonts w:ascii="宋体" w:hAnsi="宋体"/>
          <w:bCs/>
          <w:color w:val="auto"/>
          <w:szCs w:val="21"/>
          <w:u w:val="single"/>
        </w:rPr>
        <w:t xml:space="preserve">                           </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spacing w:line="320" w:lineRule="exact"/>
        <w:jc w:val="left"/>
        <w:rPr>
          <w:rFonts w:hAnsi="宋体"/>
          <w:bCs/>
          <w:color w:val="auto"/>
          <w:sz w:val="18"/>
          <w:szCs w:val="18"/>
        </w:rPr>
      </w:pPr>
      <w:bookmarkStart w:id="163" w:name="_Hlk82091879"/>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),从)</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),业)</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),人)</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),员)</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),营)</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),业)</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),收)</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),入)</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),资)</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),产)</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),总)</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),额)</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),填)</w:instrText>
      </w:r>
      <w:r>
        <w:rPr>
          <w:rFonts w:hAnsi="宋体"/>
          <w:bCs/>
          <w:color w:val="auto"/>
          <w:sz w:val="18"/>
          <w:szCs w:val="18"/>
        </w:rPr>
        <w:fldChar w:fldCharType="end"/>
      </w:r>
      <w:r>
        <w:rPr>
          <w:rFonts w:hAnsi="宋体"/>
          <w:bCs/>
          <w:color w:val="auto"/>
          <w:sz w:val="18"/>
          <w:szCs w:val="18"/>
        </w:rPr>
        <w:fldChar w:fldCharType="begin"/>
      </w:r>
      <w:r>
        <w:rPr>
          <w:rFonts w:hAnsi="宋体"/>
          <w:bCs/>
          <w:color w:val="auto"/>
          <w:sz w:val="18"/>
          <w:szCs w:val="18"/>
        </w:rPr>
        <w:instrText xml:space="preserve">EQ \* jc2 \* hps9 \o\ad(\s\up 8(</w:instrText>
      </w:r>
      <w:r>
        <w:rPr>
          <w:rFonts w:ascii="宋体" w:hAnsi="宋体"/>
          <w:bCs/>
          <w:color w:val="auto"/>
          <w:sz w:val="18"/>
          <w:szCs w:val="18"/>
        </w:rPr>
        <w:instrText xml:space="preserve">——</w:instrText>
      </w:r>
      <w:r>
        <w:rPr>
          <w:rFonts w:hAnsi="宋体"/>
          <w:bCs/>
          <w:color w:val="auto"/>
          <w:sz w:val="18"/>
          <w:szCs w:val="18"/>
        </w:rPr>
        <w:instrText xml:space="preserve">),报)</w:instrText>
      </w:r>
      <w:r>
        <w:rPr>
          <w:rFonts w:hAnsi="宋体"/>
          <w:bCs/>
          <w:color w:val="auto"/>
          <w:sz w:val="18"/>
          <w:szCs w:val="18"/>
        </w:rPr>
        <w:fldChar w:fldCharType="end"/>
      </w:r>
      <w:bookmarkEnd w:id="163"/>
      <w:r>
        <w:rPr>
          <w:rFonts w:hint="eastAsia" w:hAnsi="宋体"/>
          <w:bCs/>
          <w:color w:val="auto"/>
          <w:sz w:val="18"/>
          <w:szCs w:val="18"/>
        </w:rPr>
        <w:t>上一年度数据，无上一年度数据的新成立企业可不填报。</w:t>
      </w:r>
      <w:bookmarkEnd w:id="156"/>
    </w:p>
    <w:p>
      <w:pPr>
        <w:pStyle w:val="4"/>
        <w:rPr>
          <w:color w:val="auto"/>
        </w:rPr>
      </w:pPr>
      <w:r>
        <w:rPr>
          <w:color w:val="auto"/>
        </w:rPr>
        <w:br w:type="page"/>
      </w:r>
    </w:p>
    <w:tbl>
      <w:tblPr>
        <w:tblStyle w:val="39"/>
        <w:tblW w:w="9952" w:type="dxa"/>
        <w:tblInd w:w="150" w:type="dxa"/>
        <w:shd w:val="clear" w:color="auto" w:fill="FFFFFF"/>
        <w:tblLayout w:type="fixed"/>
        <w:tblCellMar>
          <w:top w:w="15" w:type="dxa"/>
          <w:left w:w="15" w:type="dxa"/>
          <w:bottom w:w="15" w:type="dxa"/>
          <w:right w:w="15" w:type="dxa"/>
        </w:tblCellMar>
      </w:tblPr>
      <w:tblGrid>
        <w:gridCol w:w="2127"/>
        <w:gridCol w:w="1413"/>
        <w:gridCol w:w="714"/>
        <w:gridCol w:w="1275"/>
        <w:gridCol w:w="1843"/>
        <w:gridCol w:w="1559"/>
        <w:gridCol w:w="1021"/>
      </w:tblGrid>
      <w:tr>
        <w:tblPrEx>
          <w:tblCellMar>
            <w:top w:w="15" w:type="dxa"/>
            <w:left w:w="15" w:type="dxa"/>
            <w:bottom w:w="15" w:type="dxa"/>
            <w:right w:w="15" w:type="dxa"/>
          </w:tblCellMar>
        </w:tblPrEx>
        <w:trPr>
          <w:trHeight w:val="330" w:hRule="atLeast"/>
        </w:trPr>
        <w:tc>
          <w:tcPr>
            <w:tcW w:w="9952" w:type="dxa"/>
            <w:gridSpan w:val="7"/>
            <w:tcBorders>
              <w:top w:val="nil"/>
              <w:left w:val="nil"/>
              <w:bottom w:val="single" w:color="auto" w:sz="6" w:space="0"/>
              <w:right w:val="nil"/>
            </w:tcBorders>
            <w:shd w:val="clear" w:color="auto" w:fill="FFFFFF"/>
            <w:tcMar>
              <w:top w:w="30" w:type="dxa"/>
              <w:left w:w="150" w:type="dxa"/>
              <w:bottom w:w="30" w:type="dxa"/>
              <w:right w:w="150" w:type="dxa"/>
            </w:tcMar>
            <w:vAlign w:val="center"/>
          </w:tcPr>
          <w:p>
            <w:pPr>
              <w:widowControl/>
              <w:spacing w:line="440" w:lineRule="exact"/>
              <w:jc w:val="center"/>
              <w:rPr>
                <w:rFonts w:ascii="Helvetica" w:hAnsi="Helvetica" w:cs="Helvetica"/>
                <w:b/>
                <w:bCs/>
                <w:color w:val="auto"/>
                <w:kern w:val="0"/>
                <w:szCs w:val="21"/>
              </w:rPr>
            </w:pPr>
            <w:bookmarkStart w:id="164" w:name="_Hlk147826091"/>
            <w:r>
              <w:rPr>
                <w:rFonts w:ascii="Helvetica" w:hAnsi="Helvetica" w:cs="Helvetica"/>
                <w:b/>
                <w:bCs/>
                <w:color w:val="auto"/>
                <w:kern w:val="0"/>
                <w:szCs w:val="21"/>
              </w:rPr>
              <w:t>大中小微型企业划分标准</w:t>
            </w:r>
          </w:p>
        </w:tc>
      </w:tr>
      <w:tr>
        <w:tblPrEx>
          <w:shd w:val="clear" w:color="auto" w:fill="FFFFFF"/>
          <w:tblCellMar>
            <w:top w:w="15" w:type="dxa"/>
            <w:left w:w="15" w:type="dxa"/>
            <w:bottom w:w="15" w:type="dxa"/>
            <w:right w:w="15" w:type="dxa"/>
          </w:tblCellMar>
        </w:tblPrEx>
        <w:trPr>
          <w:trHeight w:val="330" w:hRule="atLeast"/>
        </w:trPr>
        <w:tc>
          <w:tcPr>
            <w:tcW w:w="2127"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bookmarkStart w:id="165" w:name="_Hlk143699200"/>
            <w:r>
              <w:rPr>
                <w:rFonts w:ascii="Helvetica" w:hAnsi="Helvetica" w:cs="Helvetica"/>
                <w:b/>
                <w:bCs/>
                <w:color w:val="auto"/>
                <w:kern w:val="0"/>
                <w:sz w:val="18"/>
                <w:szCs w:val="18"/>
              </w:rPr>
              <w:t>行业名称</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指标名称</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计量</w:t>
            </w:r>
          </w:p>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单位</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大型</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中型</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小型</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b/>
                <w:bCs/>
                <w:color w:val="auto"/>
                <w:kern w:val="0"/>
                <w:sz w:val="18"/>
                <w:szCs w:val="18"/>
              </w:rPr>
              <w:t>微型</w:t>
            </w:r>
          </w:p>
        </w:tc>
      </w:tr>
      <w:tr>
        <w:tblPrEx>
          <w:shd w:val="clear" w:color="auto" w:fill="FFFFFF"/>
          <w:tblCellMar>
            <w:top w:w="15" w:type="dxa"/>
            <w:left w:w="15" w:type="dxa"/>
            <w:bottom w:w="15" w:type="dxa"/>
            <w:right w:w="15" w:type="dxa"/>
          </w:tblCellMar>
        </w:tblPrEx>
        <w:trPr>
          <w:trHeight w:val="330" w:hRule="atLeast"/>
        </w:trPr>
        <w:tc>
          <w:tcPr>
            <w:tcW w:w="2127"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农、林、牧、渔业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Y≥20000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500≤Y＜20000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50≤Y＜500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Y＜50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工业 *</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300≤X＜1000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20≤X＜300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Y≥40000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2000≤Y＜40000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300≤Y＜2000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Y＜300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建筑业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Y≥80000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6000≤Y＜80000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300≤Y＜6000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Y＜300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资产总额(Z)</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Z≥80000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5000≤Z＜80000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300≤Z＜5000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Z＜300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批发业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20≤X＜200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5≤X＜20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X＜5</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Y≥40000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5000≤Y＜40000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1000≤Y＜5000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零售业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10≤X＜50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Y≥20000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500≤Y＜20000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100≤Y＜500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交通运输业 *</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300≤X＜1000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20≤X＜300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Y≥30000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3000≤Y＜30000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200≤Y＜3000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Y＜200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仓储业*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100≤X＜200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Y≥30000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1000≤Y＜30000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100≤Y＜1000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邮政业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300≤X＜1000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20≤X＜300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Y≥30000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2000≤Y＜30000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100≤Y＜2000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住宿业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2000≤Y＜10000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100≤Y＜2000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餐饮业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2000≤Y＜10000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100≤Y＜2000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信息传输业 *</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X≥2000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100≤X＜2000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1000≤Y＜100000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100≤Y＜1000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软件和信息技术服务业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shd w:val="clear" w:color="auto" w:fill="FFFFFF"/>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1000≤Y＜10000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50≤Y＜1000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Y＜50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房地产开发经营</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Y≥200000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1000≤Y＜200000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100≤Y＜1000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Y＜100</w:t>
            </w:r>
          </w:p>
        </w:tc>
      </w:tr>
      <w:tr>
        <w:tblPrEx>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资产总额(Z)</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Z≥10000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5000≤Z＜10000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2000≤Z＜5000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Z＜2000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物业管理</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300≤X＜1000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X＜100</w:t>
            </w:r>
          </w:p>
        </w:tc>
      </w:tr>
      <w:tr>
        <w:tblPrEx>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营业收入(Y)</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Y≥5000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1000≤Y＜5000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500≤Y＜1000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Y＜500</w:t>
            </w:r>
          </w:p>
        </w:tc>
      </w:tr>
      <w:tr>
        <w:tblPrEx>
          <w:shd w:val="clear" w:color="auto" w:fill="FFFFFF"/>
          <w:tblCellMar>
            <w:top w:w="15" w:type="dxa"/>
            <w:left w:w="15" w:type="dxa"/>
            <w:bottom w:w="15" w:type="dxa"/>
            <w:right w:w="15" w:type="dxa"/>
          </w:tblCellMar>
        </w:tblPrEx>
        <w:trPr>
          <w:trHeight w:val="330" w:hRule="atLeast"/>
        </w:trPr>
        <w:tc>
          <w:tcPr>
            <w:tcW w:w="2127" w:type="dxa"/>
            <w:vMerge w:val="restart"/>
            <w:tcBorders>
              <w:top w:val="single" w:color="auto" w:sz="6" w:space="0"/>
              <w:left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租赁和商务服务业</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r>
        <w:tblPrEx>
          <w:tblCellMar>
            <w:top w:w="15" w:type="dxa"/>
            <w:left w:w="15" w:type="dxa"/>
            <w:bottom w:w="15" w:type="dxa"/>
            <w:right w:w="15" w:type="dxa"/>
          </w:tblCellMar>
        </w:tblPrEx>
        <w:trPr>
          <w:trHeight w:val="330" w:hRule="atLeast"/>
        </w:trPr>
        <w:tc>
          <w:tcPr>
            <w:tcW w:w="2127" w:type="dxa"/>
            <w:vMerge w:val="continue"/>
            <w:tcBorders>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资产总额(Z)</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万元</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Z≥120000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8000≤Z＜120000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100≤Z＜8000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Z＜100</w:t>
            </w:r>
          </w:p>
        </w:tc>
      </w:tr>
      <w:tr>
        <w:tblPrEx>
          <w:shd w:val="clear" w:color="auto" w:fill="FFFFFF"/>
          <w:tblCellMar>
            <w:top w:w="15" w:type="dxa"/>
            <w:left w:w="15" w:type="dxa"/>
            <w:bottom w:w="15" w:type="dxa"/>
            <w:right w:w="15" w:type="dxa"/>
          </w:tblCellMar>
        </w:tblPrEx>
        <w:trPr>
          <w:trHeight w:val="330" w:hRule="atLeast"/>
        </w:trPr>
        <w:tc>
          <w:tcPr>
            <w:tcW w:w="2127"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其他未列明行业 *</w:t>
            </w:r>
          </w:p>
        </w:tc>
        <w:tc>
          <w:tcPr>
            <w:tcW w:w="141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从业人员(X)</w:t>
            </w:r>
          </w:p>
        </w:tc>
        <w:tc>
          <w:tcPr>
            <w:tcW w:w="714"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人</w:t>
            </w:r>
          </w:p>
        </w:tc>
        <w:tc>
          <w:tcPr>
            <w:tcW w:w="1275"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X≥300</w:t>
            </w:r>
          </w:p>
        </w:tc>
        <w:tc>
          <w:tcPr>
            <w:tcW w:w="1843"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100≤X＜300</w:t>
            </w:r>
          </w:p>
        </w:tc>
        <w:tc>
          <w:tcPr>
            <w:tcW w:w="1559"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10≤X＜100</w:t>
            </w:r>
          </w:p>
        </w:tc>
        <w:tc>
          <w:tcPr>
            <w:tcW w:w="1021" w:type="dxa"/>
            <w:tcBorders>
              <w:top w:val="single" w:color="auto" w:sz="6" w:space="0"/>
              <w:left w:val="single" w:color="auto" w:sz="6" w:space="0"/>
              <w:bottom w:val="single" w:color="auto" w:sz="6" w:space="0"/>
              <w:right w:val="single" w:color="auto" w:sz="6" w:space="0"/>
            </w:tcBorders>
            <w:shd w:val="clear" w:color="auto" w:fill="FFFFFF"/>
            <w:tcMar>
              <w:top w:w="30" w:type="dxa"/>
              <w:left w:w="150" w:type="dxa"/>
              <w:bottom w:w="30" w:type="dxa"/>
              <w:right w:w="150" w:type="dxa"/>
            </w:tcMar>
            <w:vAlign w:val="center"/>
          </w:tcPr>
          <w:p>
            <w:pPr>
              <w:widowControl/>
              <w:spacing w:line="340" w:lineRule="exact"/>
              <w:jc w:val="center"/>
              <w:rPr>
                <w:rFonts w:ascii="Helvetica" w:hAnsi="Helvetica" w:cs="Helvetica"/>
                <w:color w:val="auto"/>
                <w:kern w:val="0"/>
                <w:sz w:val="18"/>
                <w:szCs w:val="18"/>
              </w:rPr>
            </w:pPr>
            <w:r>
              <w:rPr>
                <w:rFonts w:ascii="Helvetica" w:hAnsi="Helvetica" w:cs="Helvetica"/>
                <w:color w:val="auto"/>
                <w:kern w:val="0"/>
                <w:sz w:val="18"/>
                <w:szCs w:val="18"/>
              </w:rPr>
              <w:t>X＜10</w:t>
            </w:r>
          </w:p>
        </w:tc>
      </w:tr>
    </w:tbl>
    <w:p>
      <w:pPr>
        <w:widowControl/>
        <w:shd w:val="clear" w:color="auto" w:fill="FFFFFF"/>
        <w:spacing w:line="360" w:lineRule="atLeast"/>
        <w:jc w:val="left"/>
        <w:rPr>
          <w:rFonts w:ascii="Helvetica" w:hAnsi="Helvetica" w:cs="Helvetica"/>
          <w:color w:val="auto"/>
          <w:kern w:val="0"/>
          <w:szCs w:val="21"/>
        </w:rPr>
      </w:pPr>
    </w:p>
    <w:bookmarkEnd w:id="165"/>
    <w:p>
      <w:pPr>
        <w:widowControl/>
        <w:shd w:val="clear" w:color="auto" w:fill="FFFFFF"/>
        <w:spacing w:line="360" w:lineRule="atLeast"/>
        <w:jc w:val="left"/>
        <w:rPr>
          <w:rFonts w:ascii="Helvetica" w:hAnsi="Helvetica" w:cs="Helvetica"/>
          <w:color w:val="auto"/>
          <w:kern w:val="0"/>
          <w:sz w:val="18"/>
          <w:szCs w:val="18"/>
        </w:rPr>
      </w:pPr>
      <w:r>
        <w:rPr>
          <w:color w:val="auto"/>
        </w:rPr>
        <w:br w:type="page"/>
      </w:r>
      <w:r>
        <w:rPr>
          <w:rFonts w:ascii="Helvetica" w:hAnsi="Helvetica" w:cs="Helvetica"/>
          <w:color w:val="auto"/>
          <w:kern w:val="0"/>
          <w:sz w:val="18"/>
          <w:szCs w:val="18"/>
        </w:rPr>
        <w:t>说明：</w:t>
      </w:r>
    </w:p>
    <w:p>
      <w:pPr>
        <w:widowControl/>
        <w:shd w:val="clear" w:color="auto" w:fill="FFFFFF"/>
        <w:spacing w:line="360" w:lineRule="atLeast"/>
        <w:ind w:firstLine="480"/>
        <w:jc w:val="left"/>
        <w:rPr>
          <w:rFonts w:ascii="Helvetica" w:hAnsi="Helvetica" w:cs="Helvetica"/>
          <w:color w:val="auto"/>
          <w:kern w:val="0"/>
          <w:sz w:val="18"/>
          <w:szCs w:val="18"/>
        </w:rPr>
      </w:pPr>
      <w:r>
        <w:rPr>
          <w:rFonts w:ascii="Helvetica" w:hAnsi="Helvetica" w:cs="Helvetica"/>
          <w:color w:val="auto"/>
          <w:kern w:val="0"/>
          <w:sz w:val="18"/>
          <w:szCs w:val="18"/>
        </w:rPr>
        <w:t>1.大型、中型和小型企业须同时满足所列指标的下限，否则下划一档；微型企业只须满足所列指标中的一项即可。</w:t>
      </w:r>
    </w:p>
    <w:p>
      <w:pPr>
        <w:widowControl/>
        <w:shd w:val="clear" w:color="auto" w:fill="FFFFFF"/>
        <w:spacing w:line="360" w:lineRule="atLeast"/>
        <w:ind w:firstLine="480"/>
        <w:jc w:val="left"/>
        <w:rPr>
          <w:rFonts w:ascii="Helvetica" w:hAnsi="Helvetica" w:cs="Helvetica"/>
          <w:color w:val="auto"/>
          <w:kern w:val="0"/>
          <w:sz w:val="18"/>
          <w:szCs w:val="18"/>
        </w:rPr>
      </w:pPr>
      <w:r>
        <w:rPr>
          <w:rFonts w:ascii="Helvetica" w:hAnsi="Helvetica" w:cs="Helvetica"/>
          <w:color w:val="auto"/>
          <w:kern w:val="0"/>
          <w:sz w:val="18"/>
          <w:szCs w:val="18"/>
        </w:rPr>
        <w:t>2.附表中各行业的范围以《国民经济行业分类》（GB/T4754-2017）为准。带*的项为行业组合类别，其中，工业包括采矿业，制造业，电力、热力、燃气及水生产和供应业；交通运输业包括道路运输业，水上运输业，航空运输业，管道运输业，</w:t>
      </w:r>
      <w:r>
        <w:rPr>
          <w:color w:val="auto"/>
        </w:rPr>
        <w:fldChar w:fldCharType="begin"/>
      </w:r>
      <w:r>
        <w:rPr>
          <w:color w:val="auto"/>
        </w:rPr>
        <w:instrText xml:space="preserve"> HYPERLINK "https://baike.baidu.com/item/%E5%A4%9A%E5%BC%8F%E8%81%94%E8%BF%90/3342240?fromModule=lemma_inlink" \t "_blank" </w:instrText>
      </w:r>
      <w:r>
        <w:rPr>
          <w:color w:val="auto"/>
        </w:rPr>
        <w:fldChar w:fldCharType="separate"/>
      </w:r>
      <w:r>
        <w:rPr>
          <w:rFonts w:ascii="Helvetica" w:hAnsi="Helvetica" w:cs="Helvetica"/>
          <w:color w:val="auto"/>
          <w:kern w:val="0"/>
          <w:sz w:val="18"/>
          <w:szCs w:val="18"/>
          <w:u w:val="single"/>
        </w:rPr>
        <w:t>多式联运</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和运输代理业、</w:t>
      </w:r>
      <w:r>
        <w:rPr>
          <w:color w:val="auto"/>
        </w:rPr>
        <w:fldChar w:fldCharType="begin"/>
      </w:r>
      <w:r>
        <w:rPr>
          <w:color w:val="auto"/>
        </w:rPr>
        <w:instrText xml:space="preserve"> HYPERLINK "https://baike.baidu.com/item/%E8%A3%85%E5%8D%B8%E6%90%AC%E8%BF%90/6511400?fromModule=lemma_inlink" \t "_blank" </w:instrText>
      </w:r>
      <w:r>
        <w:rPr>
          <w:color w:val="auto"/>
        </w:rPr>
        <w:fldChar w:fldCharType="separate"/>
      </w:r>
      <w:r>
        <w:rPr>
          <w:rFonts w:ascii="Helvetica" w:hAnsi="Helvetica" w:cs="Helvetica"/>
          <w:color w:val="auto"/>
          <w:kern w:val="0"/>
          <w:sz w:val="18"/>
          <w:szCs w:val="18"/>
          <w:u w:val="single"/>
        </w:rPr>
        <w:t>装卸搬运</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，不包括铁路运输业；</w:t>
      </w:r>
      <w:r>
        <w:rPr>
          <w:color w:val="auto"/>
        </w:rPr>
        <w:fldChar w:fldCharType="begin"/>
      </w:r>
      <w:r>
        <w:rPr>
          <w:color w:val="auto"/>
        </w:rPr>
        <w:instrText xml:space="preserve"> HYPERLINK "https://baike.baidu.com/item/%E4%BB%93%E5%82%A8%E4%B8%9A/3487863?fromModule=lemma_inlink" \t "_blank" </w:instrText>
      </w:r>
      <w:r>
        <w:rPr>
          <w:color w:val="auto"/>
        </w:rPr>
        <w:fldChar w:fldCharType="separate"/>
      </w:r>
      <w:r>
        <w:rPr>
          <w:rFonts w:ascii="Helvetica" w:hAnsi="Helvetica" w:cs="Helvetica"/>
          <w:color w:val="auto"/>
          <w:kern w:val="0"/>
          <w:sz w:val="18"/>
          <w:szCs w:val="18"/>
          <w:u w:val="single"/>
        </w:rPr>
        <w:t>仓储业</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包括通用仓储，低温仓储，危险品仓储，谷物、棉花等农产品仓储，中药材仓储和其他仓储业;</w:t>
      </w:r>
      <w:r>
        <w:rPr>
          <w:color w:val="auto"/>
        </w:rPr>
        <w:fldChar w:fldCharType="begin"/>
      </w:r>
      <w:r>
        <w:rPr>
          <w:color w:val="auto"/>
        </w:rPr>
        <w:instrText xml:space="preserve"> HYPERLINK "https://baike.baidu.com/item/%E4%BF%A1%E6%81%AF%E4%BC%A0%E8%BE%93%E4%B8%9A/61331990?fromModule=lemma_inlink" \t "_blank" </w:instrText>
      </w:r>
      <w:r>
        <w:rPr>
          <w:color w:val="auto"/>
        </w:rPr>
        <w:fldChar w:fldCharType="separate"/>
      </w:r>
      <w:r>
        <w:rPr>
          <w:rFonts w:ascii="Helvetica" w:hAnsi="Helvetica" w:cs="Helvetica"/>
          <w:color w:val="auto"/>
          <w:kern w:val="0"/>
          <w:sz w:val="18"/>
          <w:szCs w:val="18"/>
          <w:u w:val="single"/>
        </w:rPr>
        <w:t>信息传输业</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spacing w:line="360" w:lineRule="atLeast"/>
        <w:ind w:firstLine="480"/>
        <w:jc w:val="left"/>
        <w:rPr>
          <w:rFonts w:ascii="Helvetica" w:hAnsi="Helvetica" w:cs="Helvetica"/>
          <w:color w:val="auto"/>
          <w:kern w:val="0"/>
          <w:sz w:val="18"/>
          <w:szCs w:val="18"/>
        </w:rPr>
      </w:pPr>
      <w:r>
        <w:rPr>
          <w:rFonts w:ascii="Helvetica" w:hAnsi="Helvetica" w:cs="Helvetica"/>
          <w:color w:val="auto"/>
          <w:kern w:val="0"/>
          <w:sz w:val="18"/>
          <w:szCs w:val="18"/>
        </w:rPr>
        <w:t>3.企业划分指标以现行</w:t>
      </w:r>
      <w:r>
        <w:rPr>
          <w:color w:val="auto"/>
        </w:rPr>
        <w:fldChar w:fldCharType="begin"/>
      </w:r>
      <w:r>
        <w:rPr>
          <w:color w:val="auto"/>
        </w:rPr>
        <w:instrText xml:space="preserve"> HYPERLINK "https://baike.baidu.com/item/%E7%BB%9F%E8%AE%A1%E5%88%B6%E5%BA%A6/917165?fromModule=lemma_inlink" \t "_blank" </w:instrText>
      </w:r>
      <w:r>
        <w:rPr>
          <w:color w:val="auto"/>
        </w:rPr>
        <w:fldChar w:fldCharType="separate"/>
      </w:r>
      <w:r>
        <w:rPr>
          <w:rFonts w:ascii="Helvetica" w:hAnsi="Helvetica" w:cs="Helvetica"/>
          <w:color w:val="auto"/>
          <w:kern w:val="0"/>
          <w:sz w:val="18"/>
          <w:szCs w:val="18"/>
          <w:u w:val="single"/>
        </w:rPr>
        <w:t>统计制度</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为准。（1）从业人员，是指期末从业人员数，没有期末从业人员数的，采用全年平均人员数代替。（2）</w:t>
      </w:r>
      <w:r>
        <w:rPr>
          <w:color w:val="auto"/>
        </w:rPr>
        <w:fldChar w:fldCharType="begin"/>
      </w:r>
      <w:r>
        <w:rPr>
          <w:color w:val="auto"/>
        </w:rPr>
        <w:instrText xml:space="preserve"> HYPERLINK "https://baike.baidu.com/item/%E8%90%A5%E4%B8%9A%E6%94%B6%E5%85%A5/5099832?fromModule=lemma_inlink" \t "_blank" </w:instrText>
      </w:r>
      <w:r>
        <w:rPr>
          <w:color w:val="auto"/>
        </w:rPr>
        <w:fldChar w:fldCharType="separate"/>
      </w:r>
      <w:r>
        <w:rPr>
          <w:rFonts w:ascii="Helvetica" w:hAnsi="Helvetica" w:cs="Helvetica"/>
          <w:color w:val="auto"/>
          <w:kern w:val="0"/>
          <w:sz w:val="18"/>
          <w:szCs w:val="18"/>
          <w:u w:val="single"/>
        </w:rPr>
        <w:t>营业收入</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w:t>
      </w:r>
      <w:r>
        <w:rPr>
          <w:color w:val="auto"/>
        </w:rPr>
        <w:fldChar w:fldCharType="begin"/>
      </w:r>
      <w:r>
        <w:rPr>
          <w:color w:val="auto"/>
        </w:rPr>
        <w:instrText xml:space="preserve"> HYPERLINK "https://baike.baidu.com/item/%E8%B5%84%E4%BA%A7%E6%80%BB%E9%A2%9D/716517?fromModule=lemma_inlink" \t "_blank" </w:instrText>
      </w:r>
      <w:r>
        <w:rPr>
          <w:color w:val="auto"/>
        </w:rPr>
        <w:fldChar w:fldCharType="separate"/>
      </w:r>
      <w:r>
        <w:rPr>
          <w:rFonts w:ascii="Helvetica" w:hAnsi="Helvetica" w:cs="Helvetica"/>
          <w:color w:val="auto"/>
          <w:kern w:val="0"/>
          <w:sz w:val="18"/>
          <w:szCs w:val="18"/>
          <w:u w:val="single"/>
        </w:rPr>
        <w:t>资产总额</w:t>
      </w:r>
      <w:r>
        <w:rPr>
          <w:rFonts w:ascii="Helvetica" w:hAnsi="Helvetica" w:cs="Helvetica"/>
          <w:color w:val="auto"/>
          <w:kern w:val="0"/>
          <w:sz w:val="18"/>
          <w:szCs w:val="18"/>
          <w:u w:val="single"/>
        </w:rPr>
        <w:fldChar w:fldCharType="end"/>
      </w:r>
      <w:r>
        <w:rPr>
          <w:rFonts w:ascii="Helvetica" w:hAnsi="Helvetica" w:cs="Helvetica"/>
          <w:color w:val="auto"/>
          <w:kern w:val="0"/>
          <w:sz w:val="18"/>
          <w:szCs w:val="18"/>
        </w:rPr>
        <w:t>，采用资产总计代替。</w:t>
      </w:r>
    </w:p>
    <w:bookmarkEnd w:id="164"/>
    <w:p>
      <w:pPr>
        <w:widowControl/>
        <w:jc w:val="left"/>
        <w:rPr>
          <w:b/>
          <w:bCs/>
          <w:color w:val="auto"/>
          <w:sz w:val="32"/>
          <w:szCs w:val="32"/>
        </w:rPr>
      </w:pPr>
      <w:r>
        <w:rPr>
          <w:color w:val="auto"/>
        </w:rPr>
        <w:br w:type="page"/>
      </w:r>
    </w:p>
    <w:p>
      <w:pPr>
        <w:spacing w:line="320" w:lineRule="exact"/>
        <w:jc w:val="left"/>
        <w:rPr>
          <w:rFonts w:hAnsi="宋体"/>
          <w:bCs/>
          <w:color w:val="auto"/>
          <w:sz w:val="18"/>
          <w:szCs w:val="18"/>
        </w:rPr>
      </w:pPr>
    </w:p>
    <w:p>
      <w:pPr>
        <w:pStyle w:val="23"/>
        <w:spacing w:line="440" w:lineRule="exact"/>
        <w:jc w:val="center"/>
        <w:rPr>
          <w:rFonts w:ascii="仿宋" w:hAnsi="仿宋" w:eastAsia="仿宋"/>
          <w:b/>
          <w:color w:val="auto"/>
          <w:kern w:val="0"/>
          <w:sz w:val="32"/>
          <w:szCs w:val="32"/>
        </w:rPr>
      </w:pPr>
      <w:r>
        <w:rPr>
          <w:rFonts w:hint="eastAsia" w:ascii="仿宋" w:hAnsi="仿宋" w:eastAsia="仿宋"/>
          <w:b/>
          <w:color w:val="auto"/>
          <w:kern w:val="0"/>
          <w:sz w:val="32"/>
          <w:szCs w:val="32"/>
        </w:rPr>
        <w:t>残疾人福利性单位声明函</w:t>
      </w:r>
    </w:p>
    <w:p>
      <w:pPr>
        <w:rPr>
          <w:color w:val="auto"/>
        </w:rPr>
      </w:pPr>
    </w:p>
    <w:p>
      <w:pPr>
        <w:spacing w:line="660" w:lineRule="exact"/>
        <w:ind w:firstLine="420" w:firstLineChars="200"/>
        <w:rPr>
          <w:rFonts w:ascii="宋体" w:hAnsi="宋体" w:cs="Courier New"/>
          <w:color w:val="auto"/>
          <w:kern w:val="0"/>
          <w:szCs w:val="21"/>
        </w:rPr>
      </w:pPr>
      <w:r>
        <w:rPr>
          <w:rFonts w:hint="eastAsia" w:ascii="宋体" w:hAnsi="宋体" w:cs="Courier New"/>
          <w:color w:val="auto"/>
          <w:kern w:val="0"/>
          <w:szCs w:val="21"/>
        </w:rPr>
        <w:t>本单位郑重声明，根据</w:t>
      </w:r>
      <w:bookmarkStart w:id="166" w:name="_Hlk82091361"/>
      <w:r>
        <w:rPr>
          <w:rFonts w:hint="eastAsia" w:ascii="宋体" w:hAnsi="宋体" w:cs="Courier New"/>
          <w:color w:val="auto"/>
          <w:kern w:val="0"/>
          <w:szCs w:val="21"/>
        </w:rPr>
        <w:t>《</w:t>
      </w:r>
      <w:r>
        <w:rPr>
          <w:color w:val="auto"/>
        </w:rPr>
        <w:fldChar w:fldCharType="begin"/>
      </w:r>
      <w:r>
        <w:rPr>
          <w:color w:val="auto"/>
        </w:rPr>
        <w:instrText xml:space="preserve"> HYPERLINK "http://www.mof.gov.cn/gp/xxgkml/gks/201709/t20170901_2689542.htm" </w:instrText>
      </w:r>
      <w:r>
        <w:rPr>
          <w:color w:val="auto"/>
        </w:rPr>
        <w:fldChar w:fldCharType="separate"/>
      </w:r>
      <w:r>
        <w:rPr>
          <w:rFonts w:hint="eastAsia" w:ascii="宋体" w:hAnsi="Courier New" w:cs="Courier New"/>
          <w:color w:val="auto"/>
          <w:kern w:val="0"/>
          <w:szCs w:val="21"/>
        </w:rPr>
        <w:t>财政部 民政部 中国残疾人联合会关于促进残疾人就业政府采购政策的通知》（财库〔2017〕141号）</w:t>
      </w:r>
      <w:r>
        <w:rPr>
          <w:rFonts w:hint="eastAsia" w:ascii="宋体" w:hAnsi="Courier New" w:cs="Courier New"/>
          <w:color w:val="auto"/>
          <w:kern w:val="0"/>
          <w:szCs w:val="21"/>
        </w:rPr>
        <w:fldChar w:fldCharType="end"/>
      </w:r>
      <w:bookmarkEnd w:id="166"/>
      <w:r>
        <w:rPr>
          <w:rFonts w:hint="eastAsia" w:ascii="宋体" w:hAnsi="宋体" w:cs="Courier New"/>
          <w:color w:val="auto"/>
          <w:kern w:val="0"/>
          <w:szCs w:val="21"/>
        </w:rPr>
        <w:t>的规定，本单位为符合条件的残疾人福利性单位，且本单位参加（</w:t>
      </w:r>
      <w:r>
        <w:rPr>
          <w:rFonts w:hint="eastAsia" w:ascii="宋体" w:hAnsi="宋体" w:cs="Courier New"/>
          <w:color w:val="auto"/>
          <w:kern w:val="0"/>
          <w:szCs w:val="21"/>
          <w:u w:val="single"/>
        </w:rPr>
        <w:t>单位名称</w:t>
      </w:r>
      <w:r>
        <w:rPr>
          <w:rFonts w:hint="eastAsia" w:ascii="宋体" w:hAnsi="宋体" w:cs="Courier New"/>
          <w:color w:val="auto"/>
          <w:kern w:val="0"/>
          <w:szCs w:val="21"/>
        </w:rPr>
        <w:t>）的（</w:t>
      </w:r>
      <w:r>
        <w:rPr>
          <w:rFonts w:hint="eastAsia" w:ascii="宋体" w:hAnsi="宋体" w:cs="Courier New"/>
          <w:color w:val="auto"/>
          <w:kern w:val="0"/>
          <w:szCs w:val="21"/>
          <w:u w:val="single"/>
        </w:rPr>
        <w:t>项目名称</w:t>
      </w:r>
      <w:r>
        <w:rPr>
          <w:rFonts w:hint="eastAsia" w:ascii="宋体" w:hAnsi="宋体" w:cs="Courier New"/>
          <w:color w:val="auto"/>
          <w:kern w:val="0"/>
          <w:szCs w:val="21"/>
        </w:rPr>
        <w:t>）采购活动提供本单位制造的货</w:t>
      </w:r>
      <w:r>
        <w:rPr>
          <w:rFonts w:hint="eastAsia" w:ascii="宋体" w:hAnsi="宋体" w:eastAsia="宋体" w:cs="Courier New"/>
          <w:color w:val="auto"/>
          <w:kern w:val="0"/>
          <w:szCs w:val="21"/>
        </w:rPr>
        <w:t>物（由本单位提供服务），或者提供</w:t>
      </w:r>
      <w:r>
        <w:rPr>
          <w:rFonts w:hint="eastAsia" w:ascii="宋体" w:hAnsi="宋体" w:cs="Courier New"/>
          <w:color w:val="auto"/>
          <w:kern w:val="0"/>
          <w:szCs w:val="21"/>
        </w:rPr>
        <w:t>其他残疾人福利性单位（</w:t>
      </w:r>
      <w:r>
        <w:rPr>
          <w:rFonts w:hint="eastAsia" w:ascii="宋体" w:hAnsi="宋体" w:cs="Courier New"/>
          <w:color w:val="auto"/>
          <w:kern w:val="0"/>
          <w:szCs w:val="21"/>
          <w:u w:val="single"/>
        </w:rPr>
        <w:t>请填写具体单位名称</w:t>
      </w:r>
      <w:r>
        <w:rPr>
          <w:rFonts w:hint="eastAsia" w:ascii="宋体" w:hAnsi="宋体" w:cs="Courier New"/>
          <w:color w:val="auto"/>
          <w:kern w:val="0"/>
          <w:szCs w:val="21"/>
        </w:rPr>
        <w:t>）制造的货物（不包括使用非残疾人福利性单位注册商标的货物）。</w:t>
      </w:r>
    </w:p>
    <w:p>
      <w:pPr>
        <w:spacing w:line="660" w:lineRule="exact"/>
        <w:ind w:firstLine="420" w:firstLineChars="200"/>
        <w:rPr>
          <w:rFonts w:ascii="宋体" w:hAnsi="宋体" w:cs="Courier New"/>
          <w:color w:val="auto"/>
          <w:kern w:val="0"/>
          <w:szCs w:val="21"/>
        </w:rPr>
      </w:pPr>
      <w:r>
        <w:rPr>
          <w:rFonts w:hint="eastAsia" w:ascii="宋体" w:hAnsi="宋体" w:cs="Courier New"/>
          <w:color w:val="auto"/>
          <w:kern w:val="0"/>
          <w:szCs w:val="21"/>
        </w:rPr>
        <w:t>本单位对上述声明的真实性负责。如有虚假，将依法承担相应责任。</w:t>
      </w:r>
    </w:p>
    <w:p>
      <w:pPr>
        <w:rPr>
          <w:color w:val="auto"/>
        </w:rPr>
      </w:pPr>
    </w:p>
    <w:p>
      <w:pPr>
        <w:rPr>
          <w:color w:val="auto"/>
        </w:rPr>
      </w:pPr>
    </w:p>
    <w:p>
      <w:pPr>
        <w:rPr>
          <w:color w:val="auto"/>
        </w:rPr>
      </w:pPr>
    </w:p>
    <w:p>
      <w:pPr>
        <w:spacing w:line="500" w:lineRule="exact"/>
        <w:ind w:firstLine="5250" w:firstLineChars="2500"/>
        <w:rPr>
          <w:rFonts w:ascii="宋体" w:hAnsi="宋体" w:cs="Courier New"/>
          <w:color w:val="auto"/>
          <w:kern w:val="0"/>
          <w:szCs w:val="21"/>
        </w:rPr>
      </w:pPr>
      <w:r>
        <w:rPr>
          <w:rFonts w:hint="eastAsia" w:ascii="宋体" w:hAnsi="宋体" w:cs="Courier New"/>
          <w:color w:val="auto"/>
          <w:kern w:val="0"/>
          <w:szCs w:val="21"/>
        </w:rPr>
        <w:t>单位名称（盖章）：</w:t>
      </w:r>
      <w:r>
        <w:rPr>
          <w:rFonts w:hint="eastAsia" w:ascii="宋体" w:hAnsi="宋体" w:cs="Courier New"/>
          <w:color w:val="auto"/>
          <w:szCs w:val="21"/>
          <w:u w:val="single"/>
        </w:rPr>
        <w:t xml:space="preserve"> </w:t>
      </w:r>
      <w:r>
        <w:rPr>
          <w:rFonts w:ascii="宋体" w:hAnsi="宋体" w:cs="Courier New"/>
          <w:color w:val="auto"/>
          <w:szCs w:val="21"/>
          <w:u w:val="single"/>
        </w:rPr>
        <w:t xml:space="preserve">             </w:t>
      </w:r>
    </w:p>
    <w:p>
      <w:pPr>
        <w:spacing w:line="500" w:lineRule="exact"/>
        <w:ind w:firstLine="5250" w:firstLineChars="2500"/>
        <w:rPr>
          <w:rFonts w:ascii="宋体" w:hAnsi="宋体" w:cs="Courier New"/>
          <w:color w:val="auto"/>
          <w:szCs w:val="21"/>
          <w:u w:val="single"/>
        </w:rPr>
      </w:pPr>
      <w:r>
        <w:rPr>
          <w:rFonts w:hint="eastAsia" w:ascii="宋体" w:hAnsi="宋体" w:cs="Courier New"/>
          <w:color w:val="auto"/>
          <w:kern w:val="0"/>
          <w:szCs w:val="21"/>
        </w:rPr>
        <w:t>日  期：</w:t>
      </w:r>
      <w:r>
        <w:rPr>
          <w:rFonts w:hint="eastAsia" w:ascii="宋体" w:hAnsi="宋体" w:cs="Courier New"/>
          <w:color w:val="auto"/>
          <w:szCs w:val="21"/>
          <w:u w:val="single"/>
        </w:rPr>
        <w:t xml:space="preserve"> </w:t>
      </w:r>
      <w:r>
        <w:rPr>
          <w:rFonts w:ascii="宋体" w:hAnsi="宋体" w:cs="Courier New"/>
          <w:color w:val="auto"/>
          <w:szCs w:val="21"/>
          <w:u w:val="single"/>
        </w:rPr>
        <w:t xml:space="preserve">                       </w:t>
      </w:r>
    </w:p>
    <w:p>
      <w:pPr>
        <w:widowControl/>
        <w:jc w:val="left"/>
        <w:rPr>
          <w:rFonts w:ascii="宋体" w:hAnsi="Courier New" w:cs="Courier New"/>
          <w:color w:val="auto"/>
          <w:sz w:val="18"/>
          <w:szCs w:val="18"/>
        </w:rPr>
      </w:pPr>
      <w:r>
        <w:rPr>
          <w:rFonts w:ascii="黑体" w:hAnsi="黑体" w:eastAsia="黑体" w:cs="黑体"/>
          <w:b/>
          <w:color w:val="auto"/>
          <w:sz w:val="32"/>
          <w:szCs w:val="32"/>
        </w:rPr>
        <w:br w:type="page"/>
      </w:r>
      <w:r>
        <w:rPr>
          <w:rFonts w:hint="eastAsia" w:ascii="仿宋" w:hAnsi="仿宋" w:eastAsia="仿宋"/>
          <w:b/>
          <w:color w:val="auto"/>
          <w:sz w:val="36"/>
          <w:szCs w:val="36"/>
        </w:rPr>
        <w:t>二、商务技术文件</w:t>
      </w:r>
    </w:p>
    <w:p>
      <w:pPr>
        <w:widowControl/>
        <w:jc w:val="center"/>
        <w:rPr>
          <w:rFonts w:ascii="仿宋" w:hAnsi="仿宋" w:eastAsia="仿宋" w:cs="黑体"/>
          <w:b/>
          <w:color w:val="auto"/>
          <w:sz w:val="32"/>
          <w:szCs w:val="32"/>
        </w:rPr>
      </w:pPr>
      <w:bookmarkStart w:id="167" w:name="_Hlk92702324"/>
      <w:r>
        <w:rPr>
          <w:rFonts w:hint="eastAsia" w:ascii="仿宋" w:hAnsi="仿宋" w:eastAsia="仿宋" w:cs="黑体"/>
          <w:b/>
          <w:color w:val="auto"/>
          <w:sz w:val="32"/>
          <w:szCs w:val="32"/>
        </w:rPr>
        <w:t>磋 商 函</w:t>
      </w:r>
      <w:bookmarkEnd w:id="167"/>
      <w:r>
        <w:rPr>
          <w:rFonts w:hint="eastAsia" w:ascii="仿宋" w:hAnsi="仿宋" w:eastAsia="仿宋" w:cs="黑体"/>
          <w:bCs/>
          <w:color w:val="auto"/>
          <w:sz w:val="24"/>
        </w:rPr>
        <w:t>(格式</w:t>
      </w:r>
      <w:r>
        <w:rPr>
          <w:rFonts w:ascii="仿宋" w:hAnsi="仿宋" w:eastAsia="仿宋" w:cs="黑体"/>
          <w:bCs/>
          <w:color w:val="auto"/>
          <w:sz w:val="24"/>
        </w:rPr>
        <w:t>)</w:t>
      </w:r>
    </w:p>
    <w:p>
      <w:pPr>
        <w:spacing w:line="360" w:lineRule="exact"/>
        <w:jc w:val="center"/>
        <w:rPr>
          <w:rFonts w:ascii="宋体" w:hAnsi="宋体"/>
          <w:b/>
          <w:color w:val="auto"/>
          <w:szCs w:val="21"/>
        </w:rPr>
      </w:pPr>
    </w:p>
    <w:p>
      <w:pPr>
        <w:spacing w:line="400" w:lineRule="exact"/>
        <w:rPr>
          <w:rFonts w:ascii="宋体" w:hAnsi="宋体"/>
          <w:color w:val="auto"/>
          <w:szCs w:val="21"/>
        </w:rPr>
      </w:pPr>
      <w:r>
        <w:rPr>
          <w:rFonts w:hint="eastAsia" w:ascii="宋体" w:hAnsi="宋体"/>
          <w:color w:val="auto"/>
          <w:szCs w:val="21"/>
        </w:rPr>
        <w:t>致：钦州市政府采购中心：</w:t>
      </w:r>
    </w:p>
    <w:p>
      <w:pPr>
        <w:pStyle w:val="23"/>
        <w:spacing w:line="480" w:lineRule="exact"/>
        <w:ind w:firstLine="420"/>
        <w:rPr>
          <w:rFonts w:hAnsi="宋体"/>
          <w:color w:val="auto"/>
        </w:rPr>
      </w:pPr>
      <w:r>
        <w:rPr>
          <w:rFonts w:hint="eastAsia" w:hAnsi="宋体"/>
          <w:color w:val="auto"/>
        </w:rPr>
        <w:t>依据贵方</w:t>
      </w:r>
      <w:r>
        <w:rPr>
          <w:rFonts w:hint="eastAsia" w:hAnsi="宋体"/>
          <w:color w:val="auto"/>
          <w:u w:val="single"/>
        </w:rPr>
        <w:t>（项目名称/文件编号）</w:t>
      </w:r>
      <w:r>
        <w:rPr>
          <w:rFonts w:hint="eastAsia" w:hAnsi="宋体"/>
          <w:color w:val="auto"/>
        </w:rPr>
        <w:t>项目竞争性磋商采购文件，我方</w:t>
      </w:r>
      <w:r>
        <w:rPr>
          <w:rFonts w:hint="eastAsia" w:hAnsi="宋体"/>
          <w:color w:val="auto"/>
          <w:u w:val="single"/>
        </w:rPr>
        <w:t xml:space="preserve"> （供应商名称） </w:t>
      </w:r>
      <w:r>
        <w:rPr>
          <w:rFonts w:hint="eastAsia" w:hAnsi="宋体"/>
          <w:color w:val="auto"/>
        </w:rPr>
        <w:t>经正式授权代表</w:t>
      </w:r>
      <w:r>
        <w:rPr>
          <w:rFonts w:hint="eastAsia" w:hAnsi="宋体"/>
          <w:color w:val="auto"/>
          <w:u w:val="single"/>
        </w:rPr>
        <w:t xml:space="preserve">   （被授权人）</w:t>
      </w:r>
      <w:r>
        <w:rPr>
          <w:rFonts w:hint="eastAsia" w:hAnsi="宋体"/>
          <w:color w:val="auto"/>
        </w:rPr>
        <w:t>提交响应文件。</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据此函，我公司承诺：</w:t>
      </w:r>
    </w:p>
    <w:p>
      <w:pPr>
        <w:snapToGrid w:val="0"/>
        <w:spacing w:line="360" w:lineRule="exact"/>
        <w:ind w:firstLine="420" w:firstLineChars="200"/>
        <w:rPr>
          <w:rFonts w:ascii="宋体" w:hAnsi="宋体"/>
          <w:color w:val="auto"/>
          <w:szCs w:val="21"/>
        </w:rPr>
      </w:pPr>
      <w:r>
        <w:rPr>
          <w:rFonts w:ascii="宋体" w:hAnsi="宋体"/>
          <w:color w:val="auto"/>
          <w:szCs w:val="21"/>
        </w:rPr>
        <w:t>1.</w:t>
      </w:r>
      <w:r>
        <w:rPr>
          <w:rFonts w:hint="eastAsia" w:ascii="宋体" w:hAnsi="宋体"/>
          <w:color w:val="auto"/>
          <w:szCs w:val="21"/>
        </w:rPr>
        <w:t>我方已详细审阅采购文件（包括澄清或者修改文件），已经了解我方对于采购文件、采购过程、采购结果有依法进行询问、质疑、投诉的权利及相关渠道和要求。</w:t>
      </w:r>
    </w:p>
    <w:p>
      <w:pPr>
        <w:snapToGrid w:val="0"/>
        <w:spacing w:line="360" w:lineRule="exact"/>
        <w:ind w:firstLine="420" w:firstLineChars="200"/>
        <w:rPr>
          <w:rFonts w:ascii="宋体" w:hAnsi="宋体"/>
          <w:color w:val="auto"/>
          <w:szCs w:val="21"/>
        </w:rPr>
      </w:pPr>
      <w:r>
        <w:rPr>
          <w:rFonts w:hint="eastAsia" w:ascii="宋体" w:hAnsi="宋体"/>
          <w:color w:val="auto"/>
          <w:szCs w:val="21"/>
        </w:rPr>
        <w:t>2.我方不是采购人的附属机构；在获知本项目采购信息后，与采购人聘请的为此项目提供咨询服务的公司及其附属机构没有任何联系。</w:t>
      </w:r>
    </w:p>
    <w:p>
      <w:pPr>
        <w:snapToGrid w:val="0"/>
        <w:spacing w:line="360" w:lineRule="exact"/>
        <w:ind w:firstLine="420" w:firstLineChars="200"/>
        <w:rPr>
          <w:rFonts w:ascii="宋体" w:hAnsi="宋体"/>
          <w:color w:val="auto"/>
          <w:szCs w:val="21"/>
        </w:rPr>
      </w:pPr>
      <w:r>
        <w:rPr>
          <w:rFonts w:ascii="宋体" w:hAnsi="宋体"/>
          <w:color w:val="auto"/>
          <w:szCs w:val="21"/>
        </w:rPr>
        <w:t>3.</w:t>
      </w:r>
      <w:r>
        <w:rPr>
          <w:rFonts w:hint="eastAsia" w:ascii="宋体" w:hAnsi="宋体"/>
          <w:color w:val="auto"/>
          <w:szCs w:val="21"/>
        </w:rPr>
        <w:t>我方在磋商之前已经与贵方进行了充分的沟通，完全理解并接受采购文件的各项规定和要求。</w:t>
      </w:r>
    </w:p>
    <w:p>
      <w:pPr>
        <w:spacing w:line="400" w:lineRule="exact"/>
        <w:rPr>
          <w:rFonts w:ascii="宋体" w:hAnsi="宋体"/>
          <w:color w:val="auto"/>
          <w:szCs w:val="21"/>
        </w:rPr>
      </w:pPr>
      <w:r>
        <w:rPr>
          <w:rFonts w:ascii="宋体" w:hAnsi="宋体"/>
          <w:color w:val="auto"/>
          <w:szCs w:val="21"/>
        </w:rPr>
        <w:tab/>
      </w:r>
      <w:r>
        <w:rPr>
          <w:rFonts w:ascii="宋体" w:hAnsi="宋体"/>
          <w:color w:val="auto"/>
          <w:szCs w:val="21"/>
        </w:rPr>
        <w:t>4</w:t>
      </w:r>
      <w:r>
        <w:rPr>
          <w:rFonts w:hint="eastAsia" w:ascii="宋体" w:hAnsi="宋体"/>
          <w:color w:val="auto"/>
          <w:szCs w:val="21"/>
        </w:rPr>
        <w:t>.我方根据采购文件的规定，承担完成合同的责任和义务。</w:t>
      </w:r>
    </w:p>
    <w:p>
      <w:pPr>
        <w:spacing w:line="400" w:lineRule="exact"/>
        <w:rPr>
          <w:rFonts w:ascii="宋体" w:hAnsi="宋体"/>
          <w:color w:val="auto"/>
          <w:szCs w:val="21"/>
        </w:rPr>
      </w:pPr>
      <w:r>
        <w:rPr>
          <w:rFonts w:ascii="宋体" w:hAnsi="宋体"/>
          <w:color w:val="auto"/>
          <w:szCs w:val="21"/>
        </w:rPr>
        <w:tab/>
      </w:r>
      <w:r>
        <w:rPr>
          <w:rFonts w:ascii="宋体" w:hAnsi="宋体"/>
          <w:color w:val="auto"/>
          <w:szCs w:val="21"/>
        </w:rPr>
        <w:t>5</w:t>
      </w:r>
      <w:r>
        <w:rPr>
          <w:rFonts w:hint="eastAsia" w:ascii="宋体" w:hAnsi="宋体"/>
          <w:color w:val="auto"/>
          <w:szCs w:val="21"/>
        </w:rPr>
        <w:t>.同意向贵方提供贵方可能要求的与本项目采购有关的人员、数据和资料。</w:t>
      </w:r>
    </w:p>
    <w:p>
      <w:pPr>
        <w:spacing w:line="400" w:lineRule="exact"/>
        <w:ind w:firstLine="424" w:firstLineChars="202"/>
        <w:rPr>
          <w:rFonts w:ascii="宋体" w:hAnsi="宋体"/>
          <w:color w:val="auto"/>
          <w:szCs w:val="21"/>
        </w:rPr>
      </w:pPr>
      <w:r>
        <w:rPr>
          <w:rFonts w:ascii="宋体" w:hAnsi="宋体"/>
          <w:color w:val="auto"/>
          <w:szCs w:val="21"/>
        </w:rPr>
        <w:t>6.</w:t>
      </w:r>
      <w:r>
        <w:rPr>
          <w:rFonts w:hint="eastAsia" w:ascii="宋体" w:hAnsi="宋体"/>
          <w:color w:val="auto"/>
          <w:szCs w:val="21"/>
        </w:rPr>
        <w:t>我方向贵方提交的所有响应文件、资料都是准确的和真实的。</w:t>
      </w:r>
    </w:p>
    <w:p>
      <w:pPr>
        <w:spacing w:line="400" w:lineRule="exact"/>
        <w:rPr>
          <w:rFonts w:ascii="宋体" w:hAnsi="宋体"/>
          <w:color w:val="auto"/>
          <w:szCs w:val="21"/>
        </w:rPr>
      </w:pPr>
    </w:p>
    <w:p>
      <w:pPr>
        <w:spacing w:line="400" w:lineRule="exact"/>
        <w:ind w:firstLine="426"/>
        <w:rPr>
          <w:rFonts w:ascii="宋体" w:hAnsi="宋体"/>
          <w:color w:val="auto"/>
          <w:szCs w:val="21"/>
        </w:rPr>
      </w:pPr>
      <w:r>
        <w:rPr>
          <w:rFonts w:hint="eastAsia" w:ascii="宋体" w:hAnsi="宋体"/>
          <w:color w:val="auto"/>
          <w:szCs w:val="21"/>
        </w:rPr>
        <w:t>与我公司有关的正式通讯方式：</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地址：</w:t>
      </w:r>
      <w:r>
        <w:rPr>
          <w:rFonts w:hint="eastAsia" w:ascii="宋体" w:hAnsi="宋体"/>
          <w:color w:val="auto"/>
          <w:szCs w:val="21"/>
          <w:u w:val="single"/>
        </w:rPr>
        <w:t xml:space="preserve">                                   </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邮政编码：</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电话、电报、传真或电传：</w:t>
      </w:r>
      <w:r>
        <w:rPr>
          <w:rFonts w:hint="eastAsia" w:ascii="宋体" w:hAnsi="宋体"/>
          <w:color w:val="auto"/>
          <w:szCs w:val="21"/>
          <w:u w:val="single"/>
        </w:rPr>
        <w:t xml:space="preserve">                 </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开户名称：</w:t>
      </w:r>
      <w:r>
        <w:rPr>
          <w:rFonts w:hint="eastAsia" w:ascii="宋体" w:hAnsi="宋体"/>
          <w:color w:val="auto"/>
          <w:szCs w:val="21"/>
          <w:u w:val="single"/>
        </w:rPr>
        <w:t xml:space="preserve">                               </w:t>
      </w:r>
    </w:p>
    <w:p>
      <w:pPr>
        <w:spacing w:line="400" w:lineRule="exact"/>
        <w:rPr>
          <w:rFonts w:ascii="宋体" w:hAnsi="宋体"/>
          <w:color w:val="auto"/>
          <w:szCs w:val="21"/>
        </w:rPr>
      </w:pPr>
      <w:r>
        <w:rPr>
          <w:rFonts w:ascii="宋体" w:hAnsi="宋体"/>
          <w:color w:val="auto"/>
          <w:szCs w:val="21"/>
        </w:rPr>
        <w:tab/>
      </w:r>
      <w:r>
        <w:rPr>
          <w:rFonts w:hint="eastAsia" w:ascii="宋体" w:hAnsi="宋体"/>
          <w:color w:val="auto"/>
          <w:szCs w:val="21"/>
        </w:rPr>
        <w:t>开户银行：</w:t>
      </w:r>
      <w:r>
        <w:rPr>
          <w:rFonts w:hint="eastAsia" w:ascii="宋体" w:hAnsi="宋体"/>
          <w:color w:val="auto"/>
          <w:szCs w:val="21"/>
          <w:u w:val="single"/>
        </w:rPr>
        <w:t xml:space="preserve">                               </w:t>
      </w:r>
    </w:p>
    <w:p>
      <w:pPr>
        <w:spacing w:line="400" w:lineRule="exact"/>
        <w:rPr>
          <w:rFonts w:ascii="宋体" w:hAnsi="宋体"/>
          <w:color w:val="auto"/>
          <w:szCs w:val="21"/>
          <w:u w:val="single"/>
        </w:rPr>
      </w:pPr>
      <w:r>
        <w:rPr>
          <w:rFonts w:ascii="宋体" w:hAnsi="宋体"/>
          <w:color w:val="auto"/>
          <w:szCs w:val="21"/>
        </w:rPr>
        <w:tab/>
      </w:r>
      <w:r>
        <w:rPr>
          <w:rFonts w:hint="eastAsia" w:ascii="宋体" w:hAnsi="宋体"/>
          <w:color w:val="auto"/>
          <w:szCs w:val="21"/>
        </w:rPr>
        <w:t>账    号：</w:t>
      </w:r>
      <w:r>
        <w:rPr>
          <w:rFonts w:hint="eastAsia" w:ascii="宋体" w:hAnsi="宋体"/>
          <w:color w:val="auto"/>
          <w:szCs w:val="21"/>
          <w:u w:val="single"/>
        </w:rPr>
        <w:t xml:space="preserve">                               </w:t>
      </w:r>
    </w:p>
    <w:p>
      <w:pPr>
        <w:rPr>
          <w:color w:val="auto"/>
        </w:rPr>
      </w:pPr>
    </w:p>
    <w:p>
      <w:pPr>
        <w:rPr>
          <w:color w:val="auto"/>
        </w:rPr>
      </w:pPr>
    </w:p>
    <w:p>
      <w:pPr>
        <w:rPr>
          <w:color w:val="auto"/>
        </w:rPr>
      </w:pPr>
    </w:p>
    <w:p>
      <w:pPr>
        <w:spacing w:line="400" w:lineRule="exact"/>
        <w:rPr>
          <w:rFonts w:ascii="宋体" w:hAnsi="宋体"/>
          <w:color w:val="auto"/>
          <w:szCs w:val="21"/>
        </w:rPr>
      </w:pPr>
      <w:r>
        <w:rPr>
          <w:rFonts w:ascii="宋体" w:hAnsi="宋体"/>
          <w:color w:val="auto"/>
          <w:szCs w:val="21"/>
        </w:rPr>
        <w:tab/>
      </w:r>
      <w:r>
        <w:rPr>
          <w:rFonts w:ascii="宋体" w:hAnsi="宋体"/>
          <w:color w:val="auto"/>
          <w:szCs w:val="21"/>
        </w:rPr>
        <w:t xml:space="preserve">                                  </w:t>
      </w:r>
    </w:p>
    <w:p>
      <w:pPr>
        <w:spacing w:line="400" w:lineRule="exact"/>
        <w:rPr>
          <w:rFonts w:ascii="宋体" w:hAnsi="宋体"/>
          <w:color w:val="auto"/>
          <w:szCs w:val="21"/>
        </w:rPr>
      </w:pPr>
      <w:r>
        <w:rPr>
          <w:rFonts w:ascii="宋体" w:hAnsi="宋体"/>
          <w:color w:val="auto"/>
          <w:szCs w:val="21"/>
        </w:rPr>
        <w:tab/>
      </w:r>
      <w:r>
        <w:rPr>
          <w:rFonts w:ascii="宋体" w:hAnsi="宋体"/>
          <w:color w:val="auto"/>
          <w:szCs w:val="21"/>
        </w:rPr>
        <w:t xml:space="preserve">                                              </w:t>
      </w:r>
      <w:r>
        <w:rPr>
          <w:rFonts w:hint="eastAsia" w:ascii="宋体" w:hAnsi="宋体"/>
          <w:color w:val="auto"/>
          <w:szCs w:val="21"/>
        </w:rPr>
        <w:t>供应商（盖章）：</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pPr>
        <w:spacing w:line="400" w:lineRule="exact"/>
        <w:rPr>
          <w:rFonts w:ascii="宋体" w:hAnsi="宋体"/>
          <w:color w:val="auto"/>
          <w:szCs w:val="21"/>
        </w:rPr>
      </w:pPr>
      <w:r>
        <w:rPr>
          <w:rFonts w:ascii="宋体" w:hAnsi="宋体"/>
          <w:color w:val="auto"/>
          <w:szCs w:val="21"/>
        </w:rPr>
        <w:tab/>
      </w:r>
      <w:r>
        <w:rPr>
          <w:rFonts w:ascii="宋体" w:hAnsi="宋体"/>
          <w:color w:val="auto"/>
          <w:szCs w:val="21"/>
        </w:rPr>
        <w:t xml:space="preserve">                                              </w:t>
      </w:r>
      <w:r>
        <w:rPr>
          <w:rFonts w:hint="eastAsia" w:ascii="宋体" w:hAnsi="宋体"/>
          <w:color w:val="auto"/>
          <w:szCs w:val="21"/>
        </w:rPr>
        <w:t>日期：</w:t>
      </w:r>
      <w:r>
        <w:rPr>
          <w:rFonts w:hint="eastAsia" w:ascii="宋体" w:hAnsi="宋体"/>
          <w:color w:val="auto"/>
          <w:szCs w:val="21"/>
          <w:u w:val="single"/>
        </w:rPr>
        <w:t xml:space="preserve">                    </w:t>
      </w:r>
      <w:r>
        <w:rPr>
          <w:rFonts w:ascii="宋体" w:hAnsi="宋体"/>
          <w:color w:val="auto"/>
          <w:szCs w:val="21"/>
          <w:u w:val="single"/>
        </w:rPr>
        <w:t xml:space="preserve">    </w:t>
      </w:r>
    </w:p>
    <w:p>
      <w:pPr>
        <w:widowControl/>
        <w:jc w:val="left"/>
        <w:rPr>
          <w:color w:val="auto"/>
        </w:rPr>
      </w:pPr>
      <w:r>
        <w:rPr>
          <w:color w:val="auto"/>
        </w:rPr>
        <w:br w:type="page"/>
      </w:r>
    </w:p>
    <w:p>
      <w:pPr>
        <w:rPr>
          <w:color w:val="auto"/>
        </w:rPr>
      </w:pPr>
    </w:p>
    <w:p>
      <w:pPr>
        <w:jc w:val="center"/>
        <w:rPr>
          <w:rFonts w:ascii="仿宋" w:hAnsi="仿宋" w:eastAsia="仿宋"/>
          <w:color w:val="auto"/>
          <w:sz w:val="32"/>
          <w:szCs w:val="32"/>
        </w:rPr>
      </w:pPr>
      <w:r>
        <w:rPr>
          <w:rFonts w:hint="eastAsia" w:ascii="仿宋" w:hAnsi="仿宋" w:eastAsia="仿宋"/>
          <w:b/>
          <w:color w:val="auto"/>
          <w:sz w:val="32"/>
          <w:szCs w:val="32"/>
        </w:rPr>
        <w:t>授权委托书</w:t>
      </w:r>
      <w:bookmarkStart w:id="168" w:name="_Hlk92703623"/>
      <w:r>
        <w:rPr>
          <w:rFonts w:hint="eastAsia" w:ascii="仿宋" w:hAnsi="仿宋" w:eastAsia="仿宋"/>
          <w:color w:val="auto"/>
          <w:sz w:val="24"/>
        </w:rPr>
        <w:t>(格式</w:t>
      </w:r>
      <w:r>
        <w:rPr>
          <w:rFonts w:ascii="仿宋" w:hAnsi="仿宋" w:eastAsia="仿宋"/>
          <w:color w:val="auto"/>
          <w:sz w:val="24"/>
        </w:rPr>
        <w:t>)</w:t>
      </w:r>
      <w:bookmarkEnd w:id="168"/>
    </w:p>
    <w:p>
      <w:pPr>
        <w:snapToGrid w:val="0"/>
        <w:spacing w:before="156" w:beforeLines="50" w:after="50" w:line="500" w:lineRule="exact"/>
        <w:rPr>
          <w:rFonts w:ascii="宋体" w:hAnsi="宋体"/>
          <w:b/>
          <w:bCs/>
          <w:color w:val="auto"/>
          <w:szCs w:val="21"/>
        </w:rPr>
      </w:pPr>
      <w:r>
        <w:rPr>
          <w:rFonts w:hint="eastAsia" w:ascii="宋体" w:hAnsi="宋体"/>
          <w:bCs/>
          <w:color w:val="auto"/>
          <w:szCs w:val="21"/>
        </w:rPr>
        <w:t>致：</w:t>
      </w:r>
      <w:r>
        <w:rPr>
          <w:rFonts w:hint="eastAsia"/>
          <w:color w:val="auto"/>
        </w:rPr>
        <w:t>钦州市政府采购中心</w:t>
      </w:r>
    </w:p>
    <w:p>
      <w:pPr>
        <w:snapToGrid w:val="0"/>
        <w:spacing w:before="156" w:beforeLines="50" w:after="50" w:line="500" w:lineRule="exact"/>
        <w:ind w:firstLine="420" w:firstLineChars="200"/>
        <w:rPr>
          <w:rFonts w:ascii="宋体" w:hAnsi="宋体"/>
          <w:color w:val="auto"/>
          <w:szCs w:val="21"/>
        </w:rPr>
      </w:pPr>
      <w:r>
        <w:rPr>
          <w:rFonts w:hint="eastAsia" w:ascii="宋体" w:hAnsi="宋体"/>
          <w:color w:val="auto"/>
          <w:szCs w:val="21"/>
        </w:rPr>
        <w:t>我</w:t>
      </w:r>
      <w:r>
        <w:rPr>
          <w:rFonts w:hint="eastAsia" w:ascii="宋体" w:hAnsi="宋体"/>
          <w:color w:val="auto"/>
          <w:szCs w:val="21"/>
          <w:u w:val="single"/>
        </w:rPr>
        <w:t>（姓名）</w:t>
      </w:r>
      <w:r>
        <w:rPr>
          <w:rFonts w:hint="eastAsia" w:ascii="宋体" w:hAnsi="宋体"/>
          <w:color w:val="auto"/>
          <w:szCs w:val="21"/>
        </w:rPr>
        <w:t>系</w:t>
      </w:r>
      <w:r>
        <w:rPr>
          <w:rFonts w:hint="eastAsia" w:ascii="宋体" w:hAnsi="宋体"/>
          <w:color w:val="auto"/>
          <w:szCs w:val="21"/>
          <w:u w:val="single"/>
        </w:rPr>
        <w:t>（供应商名称）</w:t>
      </w:r>
      <w:r>
        <w:rPr>
          <w:rFonts w:hint="eastAsia" w:ascii="宋体" w:hAnsi="宋体"/>
          <w:color w:val="auto"/>
          <w:szCs w:val="21"/>
        </w:rPr>
        <w:t>的法定代表人，现授权委托本单位在职职工</w:t>
      </w:r>
      <w:r>
        <w:rPr>
          <w:rFonts w:hint="eastAsia" w:ascii="宋体" w:hAnsi="宋体"/>
          <w:color w:val="auto"/>
          <w:szCs w:val="21"/>
          <w:u w:val="single"/>
        </w:rPr>
        <w:t>（姓名）</w:t>
      </w:r>
      <w:r>
        <w:rPr>
          <w:rFonts w:hint="eastAsia" w:ascii="宋体" w:hAnsi="宋体"/>
          <w:color w:val="auto"/>
          <w:szCs w:val="21"/>
        </w:rPr>
        <w:t>以我方的名义参加</w:t>
      </w:r>
      <w:r>
        <w:rPr>
          <w:rFonts w:hint="eastAsia" w:ascii="宋体" w:hAnsi="宋体"/>
          <w:color w:val="auto"/>
          <w:szCs w:val="21"/>
          <w:u w:val="single"/>
        </w:rPr>
        <w:t>（项目名称/项目编号）</w:t>
      </w:r>
      <w:r>
        <w:rPr>
          <w:rFonts w:hint="eastAsia" w:ascii="宋体" w:hAnsi="宋体"/>
          <w:color w:val="auto"/>
          <w:szCs w:val="21"/>
        </w:rPr>
        <w:t>的磋商活动，并代表我方全权办理针对上述项目的磋商、签约等具体事务和签署相关文件。</w:t>
      </w:r>
    </w:p>
    <w:p>
      <w:pPr>
        <w:snapToGrid w:val="0"/>
        <w:spacing w:before="156" w:beforeLines="50" w:after="50" w:line="500" w:lineRule="exact"/>
        <w:ind w:firstLine="420" w:firstLineChars="200"/>
        <w:rPr>
          <w:rFonts w:ascii="宋体" w:hAnsi="宋体"/>
          <w:color w:val="auto"/>
          <w:szCs w:val="21"/>
        </w:rPr>
      </w:pPr>
      <w:r>
        <w:rPr>
          <w:rFonts w:hint="eastAsia" w:ascii="宋体" w:hAnsi="宋体"/>
          <w:color w:val="auto"/>
          <w:szCs w:val="21"/>
        </w:rPr>
        <w:t>我方对被授权人的签名事项负全部责任。</w:t>
      </w:r>
    </w:p>
    <w:p>
      <w:pPr>
        <w:snapToGrid w:val="0"/>
        <w:spacing w:before="156" w:beforeLines="50" w:after="50" w:line="500" w:lineRule="exact"/>
        <w:ind w:firstLine="420" w:firstLineChars="200"/>
        <w:rPr>
          <w:rFonts w:ascii="宋体" w:hAnsi="宋体"/>
          <w:color w:val="auto"/>
          <w:szCs w:val="21"/>
        </w:rPr>
      </w:pPr>
      <w:r>
        <w:rPr>
          <w:rFonts w:hint="eastAsia" w:ascii="宋体" w:hAnsi="宋体"/>
          <w:color w:val="auto"/>
          <w:szCs w:val="21"/>
          <w:u w:val="single"/>
        </w:rPr>
        <w:t>在撤销授权的书面通知以前，本授权书一直有效</w:t>
      </w:r>
      <w:r>
        <w:rPr>
          <w:rFonts w:hint="eastAsia" w:ascii="宋体" w:hAnsi="宋体"/>
          <w:color w:val="auto"/>
          <w:szCs w:val="21"/>
        </w:rPr>
        <w:t>。被授权人在授权书有效期内签署的所有文件不因授权的撤销而失效。</w:t>
      </w:r>
    </w:p>
    <w:p>
      <w:pPr>
        <w:snapToGrid w:val="0"/>
        <w:spacing w:before="156" w:beforeLines="50" w:after="50" w:line="500" w:lineRule="exact"/>
        <w:ind w:firstLine="420" w:firstLineChars="200"/>
        <w:rPr>
          <w:rFonts w:ascii="宋体" w:hAnsi="宋体"/>
          <w:color w:val="auto"/>
          <w:szCs w:val="21"/>
        </w:rPr>
      </w:pPr>
      <w:r>
        <w:rPr>
          <w:rFonts w:hint="eastAsia" w:ascii="宋体" w:hAnsi="宋体"/>
          <w:color w:val="auto"/>
          <w:szCs w:val="21"/>
        </w:rPr>
        <w:t>被授权人无转委托权，特此委托。</w:t>
      </w:r>
    </w:p>
    <w:p>
      <w:pPr>
        <w:snapToGrid w:val="0"/>
        <w:spacing w:before="156" w:beforeLines="50" w:after="50" w:line="300" w:lineRule="exact"/>
        <w:ind w:firstLine="525" w:firstLineChars="250"/>
        <w:rPr>
          <w:rFonts w:ascii="宋体" w:hAnsi="宋体"/>
          <w:color w:val="auto"/>
          <w:szCs w:val="21"/>
        </w:rPr>
      </w:pPr>
    </w:p>
    <w:p>
      <w:pPr>
        <w:snapToGrid w:val="0"/>
        <w:spacing w:before="156" w:beforeLines="50" w:after="50" w:line="300" w:lineRule="exact"/>
        <w:ind w:firstLine="420" w:firstLineChars="200"/>
        <w:rPr>
          <w:rFonts w:ascii="宋体" w:hAnsi="宋体"/>
          <w:color w:val="auto"/>
          <w:szCs w:val="21"/>
        </w:rPr>
      </w:pPr>
      <w:r>
        <w:rPr>
          <w:rFonts w:hint="eastAsia" w:ascii="宋体" w:hAnsi="宋体"/>
          <w:color w:val="auto"/>
          <w:szCs w:val="21"/>
        </w:rPr>
        <w:t>所在部门职务：</w:t>
      </w:r>
      <w:r>
        <w:rPr>
          <w:rFonts w:hint="eastAsia" w:ascii="宋体" w:hAnsi="宋体"/>
          <w:color w:val="auto"/>
          <w:szCs w:val="21"/>
          <w:u w:val="single"/>
        </w:rPr>
        <w:t xml:space="preserve">                        </w:t>
      </w:r>
    </w:p>
    <w:p>
      <w:pPr>
        <w:snapToGrid w:val="0"/>
        <w:spacing w:before="156" w:beforeLines="50" w:after="50" w:line="300" w:lineRule="exact"/>
        <w:ind w:firstLine="420" w:firstLineChars="200"/>
        <w:rPr>
          <w:rFonts w:ascii="宋体" w:hAnsi="宋体"/>
          <w:color w:val="auto"/>
          <w:szCs w:val="21"/>
          <w:u w:val="single"/>
        </w:rPr>
      </w:pPr>
      <w:r>
        <w:rPr>
          <w:rFonts w:hint="eastAsia" w:ascii="宋体" w:hAnsi="宋体"/>
          <w:color w:val="auto"/>
          <w:szCs w:val="21"/>
        </w:rPr>
        <w:t>职务：</w:t>
      </w:r>
      <w:r>
        <w:rPr>
          <w:rFonts w:hint="eastAsia" w:ascii="宋体" w:hAnsi="宋体"/>
          <w:color w:val="auto"/>
          <w:szCs w:val="21"/>
          <w:u w:val="single"/>
        </w:rPr>
        <w:t xml:space="preserve">                                </w:t>
      </w:r>
    </w:p>
    <w:p>
      <w:pPr>
        <w:snapToGrid w:val="0"/>
        <w:spacing w:before="156" w:beforeLines="50" w:after="50" w:line="300" w:lineRule="exact"/>
        <w:ind w:firstLine="420" w:firstLineChars="200"/>
        <w:rPr>
          <w:rFonts w:ascii="宋体" w:hAnsi="宋体"/>
          <w:color w:val="auto"/>
          <w:szCs w:val="21"/>
        </w:rPr>
      </w:pPr>
      <w:r>
        <w:rPr>
          <w:rFonts w:hint="eastAsia" w:ascii="宋体" w:hAnsi="宋体"/>
          <w:color w:val="auto"/>
          <w:szCs w:val="21"/>
        </w:rPr>
        <w:t>被授权人身份证号码：</w:t>
      </w:r>
      <w:r>
        <w:rPr>
          <w:rFonts w:hint="eastAsia" w:ascii="宋体" w:hAnsi="宋体"/>
          <w:color w:val="auto"/>
          <w:szCs w:val="21"/>
          <w:u w:val="single"/>
        </w:rPr>
        <w:t xml:space="preserve">                  </w:t>
      </w:r>
    </w:p>
    <w:p>
      <w:pPr>
        <w:snapToGrid w:val="0"/>
        <w:spacing w:before="156" w:beforeLines="50" w:after="50" w:line="300" w:lineRule="exact"/>
        <w:ind w:firstLine="420" w:firstLineChars="200"/>
        <w:rPr>
          <w:rFonts w:hAnsi="宋体"/>
          <w:color w:val="auto"/>
        </w:rPr>
      </w:pPr>
      <w:r>
        <w:rPr>
          <w:rFonts w:hint="eastAsia" w:hAnsi="宋体"/>
          <w:color w:val="auto"/>
        </w:rPr>
        <w:t>附：委托代理人身份证(正反面</w:t>
      </w:r>
      <w:r>
        <w:rPr>
          <w:rFonts w:hAnsi="宋体"/>
          <w:color w:val="auto"/>
        </w:rPr>
        <w:t>)</w:t>
      </w:r>
    </w:p>
    <w:p>
      <w:pPr>
        <w:rPr>
          <w:color w:val="auto"/>
        </w:rPr>
      </w:pPr>
    </w:p>
    <w:p>
      <w:pPr>
        <w:rPr>
          <w:color w:val="auto"/>
        </w:rPr>
      </w:pPr>
    </w:p>
    <w:p>
      <w:pPr>
        <w:rPr>
          <w:color w:val="auto"/>
        </w:rPr>
      </w:pPr>
    </w:p>
    <w:p>
      <w:pPr>
        <w:rPr>
          <w:color w:val="auto"/>
        </w:rPr>
      </w:pPr>
    </w:p>
    <w:p>
      <w:pPr>
        <w:rPr>
          <w:color w:val="auto"/>
        </w:rPr>
      </w:pPr>
    </w:p>
    <w:p>
      <w:pPr>
        <w:snapToGrid w:val="0"/>
        <w:spacing w:before="156" w:beforeLines="50" w:after="50" w:line="200" w:lineRule="exact"/>
        <w:ind w:firstLine="4620" w:firstLineChars="2200"/>
        <w:rPr>
          <w:rFonts w:ascii="宋体" w:hAnsi="宋体"/>
          <w:color w:val="auto"/>
          <w:szCs w:val="21"/>
          <w:u w:val="single"/>
        </w:rPr>
      </w:pPr>
      <w:r>
        <w:rPr>
          <w:rFonts w:hint="eastAsia" w:ascii="宋体" w:hAnsi="宋体"/>
          <w:color w:val="auto"/>
          <w:szCs w:val="21"/>
        </w:rPr>
        <w:t xml:space="preserve">       供应商（盖章）：</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pPr>
        <w:snapToGrid w:val="0"/>
        <w:spacing w:before="156" w:beforeLines="50" w:after="50" w:line="200" w:lineRule="exact"/>
        <w:ind w:firstLine="5355" w:firstLineChars="2550"/>
        <w:rPr>
          <w:rFonts w:ascii="宋体" w:hAnsi="宋体"/>
          <w:color w:val="auto"/>
          <w:szCs w:val="21"/>
        </w:rPr>
      </w:pPr>
      <w:r>
        <w:rPr>
          <w:rFonts w:hint="eastAsia" w:ascii="宋体" w:hAnsi="宋体"/>
          <w:color w:val="auto"/>
          <w:szCs w:val="21"/>
        </w:rPr>
        <w:t>法定代表人签名或签章：</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pPr>
        <w:snapToGrid w:val="0"/>
        <w:spacing w:before="156" w:beforeLines="50" w:after="50" w:line="200" w:lineRule="exact"/>
        <w:ind w:firstLine="5355" w:firstLineChars="2550"/>
        <w:rPr>
          <w:rFonts w:ascii="宋体" w:hAnsi="宋体"/>
          <w:color w:val="auto"/>
          <w:szCs w:val="21"/>
        </w:rPr>
      </w:pPr>
      <w:r>
        <w:rPr>
          <w:rFonts w:hint="eastAsia" w:ascii="宋体" w:hAnsi="宋体"/>
          <w:color w:val="auto"/>
          <w:szCs w:val="21"/>
        </w:rPr>
        <w:t>日期：</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pPr>
        <w:widowControl/>
        <w:jc w:val="left"/>
        <w:rPr>
          <w:color w:val="auto"/>
        </w:rPr>
      </w:pPr>
      <w:r>
        <w:rPr>
          <w:b/>
          <w:bCs/>
          <w:color w:val="auto"/>
        </w:rPr>
        <w:br w:type="page"/>
      </w:r>
    </w:p>
    <w:p>
      <w:pPr>
        <w:snapToGrid w:val="0"/>
        <w:spacing w:before="156" w:beforeLines="50" w:after="50" w:line="360" w:lineRule="exact"/>
        <w:jc w:val="center"/>
        <w:rPr>
          <w:rFonts w:ascii="仿宋" w:hAnsi="仿宋" w:eastAsia="仿宋"/>
          <w:color w:val="auto"/>
          <w:sz w:val="24"/>
        </w:rPr>
      </w:pPr>
      <w:bookmarkStart w:id="169" w:name="_Hlk92702799"/>
      <w:r>
        <w:rPr>
          <w:rFonts w:hint="eastAsia" w:ascii="仿宋_GB2312" w:hAnsi="宋体" w:eastAsia="仿宋_GB2312"/>
          <w:b/>
          <w:color w:val="auto"/>
          <w:sz w:val="28"/>
          <w:szCs w:val="28"/>
        </w:rPr>
        <w:t>商务响应</w:t>
      </w:r>
      <w:r>
        <w:rPr>
          <w:rFonts w:hint="eastAsia" w:ascii="仿宋_GB2312" w:eastAsia="仿宋_GB2312"/>
          <w:b/>
          <w:color w:val="auto"/>
          <w:sz w:val="28"/>
          <w:szCs w:val="28"/>
        </w:rPr>
        <w:t>表</w:t>
      </w:r>
      <w:r>
        <w:rPr>
          <w:rFonts w:hint="eastAsia" w:ascii="仿宋" w:hAnsi="仿宋" w:eastAsia="仿宋"/>
          <w:color w:val="auto"/>
          <w:sz w:val="24"/>
        </w:rPr>
        <w:t>(格式</w:t>
      </w:r>
      <w:r>
        <w:rPr>
          <w:rFonts w:ascii="仿宋" w:hAnsi="仿宋" w:eastAsia="仿宋"/>
          <w:color w:val="auto"/>
          <w:sz w:val="24"/>
        </w:rPr>
        <w:t>)</w:t>
      </w:r>
    </w:p>
    <w:p>
      <w:pPr>
        <w:rPr>
          <w:color w:val="auto"/>
        </w:rPr>
      </w:pPr>
    </w:p>
    <w:tbl>
      <w:tblPr>
        <w:tblStyle w:val="39"/>
        <w:tblW w:w="94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08"/>
        <w:gridCol w:w="3240"/>
        <w:gridCol w:w="2748"/>
        <w:gridCol w:w="157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0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b/>
                <w:color w:val="auto"/>
                <w:szCs w:val="21"/>
              </w:rPr>
            </w:pPr>
            <w:r>
              <w:rPr>
                <w:rFonts w:hint="eastAsia" w:ascii="宋体" w:hAnsi="宋体"/>
                <w:b/>
                <w:color w:val="auto"/>
                <w:szCs w:val="21"/>
              </w:rPr>
              <w:t>项目</w:t>
            </w:r>
          </w:p>
        </w:tc>
        <w:tc>
          <w:tcPr>
            <w:tcW w:w="324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b/>
                <w:color w:val="auto"/>
                <w:szCs w:val="21"/>
              </w:rPr>
            </w:pPr>
            <w:r>
              <w:rPr>
                <w:rFonts w:hint="eastAsia" w:ascii="宋体" w:hAnsi="宋体"/>
                <w:b/>
                <w:color w:val="auto"/>
                <w:szCs w:val="21"/>
              </w:rPr>
              <w:t>采购文件</w:t>
            </w:r>
            <w:r>
              <w:rPr>
                <w:rFonts w:hint="eastAsia" w:ascii="宋体" w:hAnsi="宋体"/>
                <w:b/>
                <w:color w:val="auto"/>
                <w:szCs w:val="21"/>
                <w:lang w:val="en-US" w:eastAsia="zh-CN"/>
              </w:rPr>
              <w:t>商务</w:t>
            </w:r>
            <w:r>
              <w:rPr>
                <w:rFonts w:hint="eastAsia" w:ascii="宋体" w:hAnsi="宋体"/>
                <w:b/>
                <w:color w:val="auto"/>
                <w:szCs w:val="21"/>
              </w:rPr>
              <w:t>要求</w:t>
            </w:r>
          </w:p>
        </w:tc>
        <w:tc>
          <w:tcPr>
            <w:tcW w:w="27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b/>
                <w:color w:val="auto"/>
                <w:szCs w:val="21"/>
              </w:rPr>
            </w:pPr>
            <w:r>
              <w:rPr>
                <w:rFonts w:hint="eastAsia" w:ascii="宋体" w:hAnsi="宋体" w:eastAsia="宋体"/>
                <w:b/>
                <w:color w:val="auto"/>
                <w:szCs w:val="21"/>
                <w:lang w:val="en-US" w:eastAsia="zh-CN"/>
              </w:rPr>
              <w:t>供应商的</w:t>
            </w:r>
            <w:r>
              <w:rPr>
                <w:rFonts w:hint="eastAsia" w:ascii="宋体" w:hAnsi="宋体" w:eastAsia="宋体"/>
                <w:b/>
                <w:color w:val="auto"/>
                <w:szCs w:val="21"/>
              </w:rPr>
              <w:t>响应</w:t>
            </w:r>
          </w:p>
        </w:tc>
        <w:tc>
          <w:tcPr>
            <w:tcW w:w="157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b/>
                <w:color w:val="auto"/>
                <w:szCs w:val="21"/>
              </w:rPr>
            </w:pPr>
            <w:r>
              <w:rPr>
                <w:rFonts w:hint="eastAsia" w:ascii="宋体" w:hAnsi="宋体" w:eastAsia="宋体"/>
                <w:b/>
                <w:color w:val="auto"/>
                <w:szCs w:val="21"/>
              </w:rPr>
              <w:t>偏离说明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0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r>
              <w:rPr>
                <w:rFonts w:hint="eastAsia" w:ascii="宋体" w:hAnsi="宋体"/>
                <w:color w:val="auto"/>
                <w:szCs w:val="21"/>
              </w:rPr>
              <w:t>服务期</w:t>
            </w:r>
          </w:p>
        </w:tc>
        <w:tc>
          <w:tcPr>
            <w:tcW w:w="324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27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157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0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r>
              <w:rPr>
                <w:rFonts w:hint="eastAsia" w:ascii="宋体" w:hAnsi="宋体"/>
                <w:color w:val="auto"/>
                <w:szCs w:val="21"/>
              </w:rPr>
              <w:t>服务地点</w:t>
            </w:r>
          </w:p>
        </w:tc>
        <w:tc>
          <w:tcPr>
            <w:tcW w:w="324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27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ind w:left="43"/>
              <w:jc w:val="center"/>
              <w:rPr>
                <w:rFonts w:ascii="宋体" w:hAnsi="宋体"/>
                <w:color w:val="auto"/>
                <w:szCs w:val="21"/>
              </w:rPr>
            </w:pPr>
          </w:p>
        </w:tc>
        <w:tc>
          <w:tcPr>
            <w:tcW w:w="157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ind w:left="43"/>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0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r>
              <w:rPr>
                <w:rFonts w:hint="eastAsia" w:ascii="宋体" w:hAnsi="宋体"/>
                <w:color w:val="auto"/>
                <w:szCs w:val="21"/>
              </w:rPr>
              <w:t>付款条件</w:t>
            </w:r>
          </w:p>
        </w:tc>
        <w:tc>
          <w:tcPr>
            <w:tcW w:w="324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ind w:left="105"/>
              <w:jc w:val="center"/>
              <w:rPr>
                <w:rFonts w:ascii="宋体" w:hAnsi="宋体"/>
                <w:color w:val="auto"/>
                <w:szCs w:val="21"/>
              </w:rPr>
            </w:pPr>
          </w:p>
        </w:tc>
        <w:tc>
          <w:tcPr>
            <w:tcW w:w="27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157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0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r>
              <w:rPr>
                <w:rFonts w:hint="eastAsia" w:ascii="宋体" w:hAnsi="宋体"/>
                <w:color w:val="auto"/>
                <w:szCs w:val="21"/>
              </w:rPr>
              <w:t>…</w:t>
            </w:r>
          </w:p>
        </w:tc>
        <w:tc>
          <w:tcPr>
            <w:tcW w:w="3240"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2748"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c>
          <w:tcPr>
            <w:tcW w:w="1572" w:type="dxa"/>
            <w:tcBorders>
              <w:top w:val="single" w:color="auto" w:sz="4" w:space="0"/>
              <w:left w:val="single" w:color="auto" w:sz="4" w:space="0"/>
              <w:bottom w:val="single" w:color="auto" w:sz="4" w:space="0"/>
              <w:right w:val="single" w:color="auto" w:sz="4" w:space="0"/>
            </w:tcBorders>
            <w:vAlign w:val="center"/>
          </w:tcPr>
          <w:p>
            <w:pPr>
              <w:snapToGrid w:val="0"/>
              <w:spacing w:before="156" w:beforeLines="50" w:line="360" w:lineRule="exact"/>
              <w:jc w:val="center"/>
              <w:rPr>
                <w:rFonts w:ascii="宋体" w:hAnsi="宋体"/>
                <w:color w:val="auto"/>
                <w:szCs w:val="21"/>
              </w:rPr>
            </w:pPr>
          </w:p>
        </w:tc>
      </w:tr>
    </w:tbl>
    <w:p>
      <w:pPr>
        <w:tabs>
          <w:tab w:val="left" w:pos="3870"/>
          <w:tab w:val="left" w:pos="4085"/>
        </w:tabs>
        <w:snapToGrid w:val="0"/>
        <w:spacing w:line="360" w:lineRule="exact"/>
        <w:rPr>
          <w:rFonts w:ascii="宋体" w:hAnsi="宋体"/>
          <w:b/>
          <w:color w:val="auto"/>
          <w:szCs w:val="21"/>
        </w:rPr>
      </w:pPr>
    </w:p>
    <w:p>
      <w:pPr>
        <w:rPr>
          <w:rFonts w:hint="eastAsia"/>
          <w:color w:val="auto"/>
          <w:lang w:val="en-US" w:eastAsia="zh-CN"/>
        </w:rPr>
      </w:pPr>
      <w:r>
        <w:rPr>
          <w:rFonts w:hint="eastAsia"/>
          <w:color w:val="auto"/>
          <w:lang w:val="en-US" w:eastAsia="zh-CN"/>
        </w:rPr>
        <w:t>注：</w:t>
      </w:r>
    </w:p>
    <w:p>
      <w:pPr>
        <w:rPr>
          <w:rFonts w:hint="eastAsia" w:eastAsia="宋体"/>
          <w:b w:val="0"/>
          <w:bCs w:val="0"/>
          <w:color w:val="auto"/>
          <w:sz w:val="21"/>
          <w:szCs w:val="21"/>
          <w:lang w:val="en-US" w:eastAsia="zh-CN"/>
        </w:rPr>
      </w:pPr>
      <w:r>
        <w:rPr>
          <w:rFonts w:hint="eastAsia" w:eastAsia="宋体"/>
          <w:b w:val="0"/>
          <w:bCs w:val="0"/>
          <w:color w:val="auto"/>
          <w:sz w:val="21"/>
          <w:szCs w:val="21"/>
          <w:lang w:val="en-US" w:eastAsia="zh-CN"/>
        </w:rPr>
        <w:t>1.</w:t>
      </w:r>
      <w:r>
        <w:rPr>
          <w:rFonts w:hint="eastAsia" w:eastAsia="宋体"/>
          <w:b w:val="0"/>
          <w:bCs w:val="0"/>
          <w:color w:val="auto"/>
          <w:sz w:val="21"/>
          <w:szCs w:val="21"/>
        </w:rPr>
        <w:t>应</w:t>
      </w:r>
      <w:r>
        <w:rPr>
          <w:rFonts w:hint="eastAsia" w:eastAsia="宋体"/>
          <w:b w:val="0"/>
          <w:bCs w:val="0"/>
          <w:color w:val="auto"/>
          <w:sz w:val="21"/>
          <w:szCs w:val="21"/>
          <w:lang w:val="en-US" w:eastAsia="zh-CN"/>
        </w:rPr>
        <w:t>按采购</w:t>
      </w:r>
      <w:r>
        <w:rPr>
          <w:rFonts w:hint="eastAsia" w:eastAsia="宋体"/>
          <w:b w:val="0"/>
          <w:bCs w:val="0"/>
          <w:color w:val="auto"/>
          <w:sz w:val="21"/>
          <w:szCs w:val="21"/>
        </w:rPr>
        <w:t>文件“第二章 项目需求”中的商务要求</w:t>
      </w:r>
      <w:r>
        <w:rPr>
          <w:rFonts w:hint="eastAsia" w:eastAsia="宋体"/>
          <w:b w:val="0"/>
          <w:bCs w:val="0"/>
          <w:color w:val="auto"/>
          <w:sz w:val="21"/>
          <w:szCs w:val="21"/>
          <w:lang w:val="en-US" w:eastAsia="zh-CN"/>
        </w:rPr>
        <w:t>具体条款修改并</w:t>
      </w:r>
      <w:r>
        <w:rPr>
          <w:rFonts w:hint="eastAsia" w:eastAsia="宋体"/>
          <w:b w:val="0"/>
          <w:bCs w:val="0"/>
          <w:color w:val="auto"/>
          <w:sz w:val="21"/>
          <w:szCs w:val="21"/>
        </w:rPr>
        <w:t>逐条作明确的</w:t>
      </w:r>
      <w:r>
        <w:rPr>
          <w:rFonts w:hint="eastAsia" w:eastAsia="宋体"/>
          <w:b w:val="0"/>
          <w:bCs w:val="0"/>
          <w:color w:val="auto"/>
          <w:sz w:val="21"/>
          <w:szCs w:val="21"/>
          <w:lang w:val="en-US" w:eastAsia="zh-CN"/>
        </w:rPr>
        <w:t>竞标</w:t>
      </w:r>
      <w:r>
        <w:rPr>
          <w:rFonts w:hint="eastAsia" w:eastAsia="宋体"/>
          <w:b w:val="0"/>
          <w:bCs w:val="0"/>
          <w:color w:val="auto"/>
          <w:sz w:val="21"/>
          <w:szCs w:val="21"/>
        </w:rPr>
        <w:t>响应。</w:t>
      </w:r>
    </w:p>
    <w:p>
      <w:pPr>
        <w:rPr>
          <w:rFonts w:hint="eastAsia" w:eastAsia="宋体"/>
          <w:b w:val="0"/>
          <w:bCs w:val="0"/>
          <w:color w:val="auto"/>
          <w:sz w:val="21"/>
          <w:szCs w:val="21"/>
        </w:rPr>
      </w:pPr>
      <w:r>
        <w:rPr>
          <w:rFonts w:hint="eastAsia" w:eastAsia="宋体"/>
          <w:b w:val="0"/>
          <w:bCs w:val="0"/>
          <w:color w:val="auto"/>
          <w:sz w:val="21"/>
          <w:szCs w:val="21"/>
        </w:rPr>
        <w:t>2.供应商应根据自身的承诺，对照磋商文件要求，在“偏离说明”中注明“正偏离”、“负偏离”或者“无偏离”。既不属于“正偏离”也不属于“负偏离”即为“无偏离”。</w:t>
      </w:r>
    </w:p>
    <w:p>
      <w:pPr>
        <w:tabs>
          <w:tab w:val="left" w:pos="3870"/>
          <w:tab w:val="left" w:pos="4085"/>
        </w:tabs>
        <w:snapToGrid w:val="0"/>
        <w:spacing w:line="360" w:lineRule="exact"/>
        <w:rPr>
          <w:rFonts w:hint="default" w:ascii="宋体" w:hAnsi="宋体" w:eastAsia="宋体"/>
          <w:b/>
          <w:color w:val="auto"/>
          <w:szCs w:val="21"/>
          <w:lang w:val="en-US" w:eastAsia="zh-CN"/>
        </w:rPr>
      </w:pPr>
    </w:p>
    <w:p>
      <w:pPr>
        <w:spacing w:line="400" w:lineRule="exact"/>
        <w:ind w:left="6092" w:leftChars="2766" w:right="592" w:rightChars="282" w:hanging="283" w:hangingChars="135"/>
        <w:jc w:val="left"/>
        <w:rPr>
          <w:rFonts w:ascii="宋体" w:hAnsi="宋体"/>
          <w:bCs/>
          <w:color w:val="auto"/>
        </w:rPr>
      </w:pPr>
      <w:r>
        <w:rPr>
          <w:rFonts w:hint="eastAsia" w:ascii="宋体" w:hAnsi="宋体"/>
          <w:color w:val="auto"/>
          <w:szCs w:val="21"/>
        </w:rPr>
        <w:t xml:space="preserve"> </w:t>
      </w:r>
      <w:r>
        <w:rPr>
          <w:rFonts w:ascii="宋体" w:hAnsi="宋体"/>
          <w:color w:val="auto"/>
          <w:szCs w:val="21"/>
        </w:rPr>
        <w:t xml:space="preserve">                                                </w:t>
      </w:r>
      <w:bookmarkEnd w:id="169"/>
      <w:bookmarkStart w:id="170" w:name="_Hlk112311546"/>
      <w:r>
        <w:rPr>
          <w:rFonts w:hint="eastAsia" w:ascii="宋体" w:hAnsi="宋体"/>
          <w:bCs/>
          <w:color w:val="auto"/>
        </w:rPr>
        <w:t>供应商（盖章）：</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p>
    <w:p>
      <w:pPr>
        <w:snapToGrid w:val="0"/>
        <w:spacing w:before="50" w:after="50" w:line="350" w:lineRule="exact"/>
        <w:ind w:right="-817" w:rightChars="-389" w:firstLine="6090" w:firstLineChars="2900"/>
        <w:jc w:val="left"/>
        <w:rPr>
          <w:color w:val="auto"/>
        </w:rPr>
      </w:pPr>
      <w:r>
        <w:rPr>
          <w:rFonts w:hint="eastAsia" w:ascii="宋体" w:hAnsi="宋体"/>
          <w:bCs/>
          <w:color w:val="auto"/>
        </w:rPr>
        <w:t>日期：</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hint="eastAsia" w:ascii="宋体" w:hAnsi="宋体"/>
          <w:bCs/>
          <w:color w:val="auto"/>
        </w:rPr>
        <w:t>年</w:t>
      </w:r>
      <w:r>
        <w:rPr>
          <w:rFonts w:hint="eastAsia" w:ascii="宋体" w:hAnsi="宋体"/>
          <w:bCs/>
          <w:color w:val="auto"/>
          <w:u w:val="single"/>
        </w:rPr>
        <w:t xml:space="preserve">   </w:t>
      </w:r>
      <w:r>
        <w:rPr>
          <w:rFonts w:hint="eastAsia" w:ascii="宋体" w:hAnsi="宋体"/>
          <w:bCs/>
          <w:color w:val="auto"/>
        </w:rPr>
        <w:t>月</w:t>
      </w:r>
      <w:r>
        <w:rPr>
          <w:rFonts w:hint="eastAsia" w:ascii="宋体" w:hAnsi="宋体"/>
          <w:bCs/>
          <w:color w:val="auto"/>
          <w:u w:val="single"/>
        </w:rPr>
        <w:t xml:space="preserve">   </w:t>
      </w:r>
      <w:r>
        <w:rPr>
          <w:rFonts w:hint="eastAsia" w:ascii="宋体" w:hAnsi="宋体"/>
          <w:bCs/>
          <w:color w:val="auto"/>
        </w:rPr>
        <w:t>日</w:t>
      </w:r>
    </w:p>
    <w:bookmarkEnd w:id="170"/>
    <w:p>
      <w:pPr>
        <w:rPr>
          <w:color w:val="auto"/>
        </w:rPr>
      </w:pPr>
    </w:p>
    <w:p>
      <w:pPr>
        <w:shd w:val="clear"/>
        <w:adjustRightInd w:val="0"/>
        <w:snapToGrid w:val="0"/>
        <w:spacing w:line="300" w:lineRule="auto"/>
        <w:jc w:val="center"/>
        <w:rPr>
          <w:rFonts w:hint="eastAsia" w:ascii="仿宋_GB2312" w:hAnsi="宋体" w:eastAsia="仿宋_GB2312"/>
          <w:b/>
          <w:color w:val="auto"/>
          <w:sz w:val="28"/>
          <w:szCs w:val="28"/>
          <w:highlight w:val="none"/>
        </w:rPr>
      </w:pPr>
    </w:p>
    <w:p>
      <w:pPr>
        <w:shd w:val="clear"/>
        <w:adjustRightInd w:val="0"/>
        <w:snapToGrid w:val="0"/>
        <w:spacing w:line="300" w:lineRule="auto"/>
        <w:jc w:val="center"/>
        <w:rPr>
          <w:rFonts w:hint="eastAsia" w:ascii="仿宋_GB2312" w:hAnsi="宋体" w:eastAsia="仿宋_GB2312"/>
          <w:b/>
          <w:color w:val="auto"/>
          <w:sz w:val="28"/>
          <w:szCs w:val="28"/>
          <w:highlight w:val="none"/>
        </w:rPr>
      </w:pPr>
    </w:p>
    <w:p>
      <w:pPr>
        <w:shd w:val="clear"/>
        <w:adjustRightInd w:val="0"/>
        <w:snapToGrid w:val="0"/>
        <w:spacing w:line="300" w:lineRule="auto"/>
        <w:jc w:val="center"/>
        <w:rPr>
          <w:rFonts w:ascii="Arial Unicode MS" w:hAnsi="Arial Unicode MS" w:eastAsia="Arial Unicode MS" w:cs="Arial Unicode MS"/>
          <w:bCs/>
          <w:color w:val="auto"/>
          <w:sz w:val="44"/>
          <w:szCs w:val="44"/>
          <w:highlight w:val="none"/>
        </w:rPr>
      </w:pPr>
      <w:r>
        <w:rPr>
          <w:rFonts w:hint="eastAsia" w:ascii="仿宋_GB2312" w:hAnsi="宋体" w:eastAsia="仿宋_GB2312"/>
          <w:b/>
          <w:color w:val="auto"/>
          <w:sz w:val="28"/>
          <w:szCs w:val="28"/>
          <w:highlight w:val="none"/>
        </w:rPr>
        <w:t>技术响应</w:t>
      </w:r>
      <w:r>
        <w:rPr>
          <w:rFonts w:hint="eastAsia" w:ascii="仿宋_GB2312" w:eastAsia="仿宋_GB2312"/>
          <w:b/>
          <w:color w:val="auto"/>
          <w:sz w:val="28"/>
          <w:szCs w:val="28"/>
          <w:highlight w:val="none"/>
        </w:rPr>
        <w:t>表</w:t>
      </w:r>
      <w:r>
        <w:rPr>
          <w:rFonts w:hint="eastAsia" w:ascii="仿宋" w:hAnsi="仿宋" w:eastAsia="仿宋"/>
          <w:color w:val="auto"/>
          <w:sz w:val="24"/>
          <w:highlight w:val="none"/>
        </w:rPr>
        <w:t>(格式</w:t>
      </w:r>
      <w:r>
        <w:rPr>
          <w:rFonts w:ascii="仿宋" w:hAnsi="仿宋" w:eastAsia="仿宋"/>
          <w:color w:val="auto"/>
          <w:sz w:val="24"/>
          <w:highlight w:val="none"/>
        </w:rPr>
        <w:t>)</w:t>
      </w:r>
    </w:p>
    <w:tbl>
      <w:tblPr>
        <w:tblStyle w:val="39"/>
        <w:tblW w:w="852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57"/>
        <w:gridCol w:w="858"/>
        <w:gridCol w:w="2847"/>
        <w:gridCol w:w="2562"/>
        <w:gridCol w:w="1398"/>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vAlign w:val="center"/>
          </w:tcPr>
          <w:p>
            <w:pPr>
              <w:snapToGrid w:val="0"/>
              <w:spacing w:before="156" w:beforeLines="50" w:line="360" w:lineRule="exact"/>
              <w:jc w:val="center"/>
              <w:rPr>
                <w:rFonts w:hint="eastAsia" w:ascii="宋体" w:hAnsi="宋体" w:eastAsia="宋体"/>
                <w:b/>
                <w:color w:val="auto"/>
                <w:szCs w:val="21"/>
              </w:rPr>
            </w:pPr>
            <w:bookmarkStart w:id="171" w:name="_Toc295404981"/>
            <w:bookmarkStart w:id="172" w:name="_Toc297193185"/>
            <w:bookmarkStart w:id="173" w:name="_Toc373333689"/>
            <w:bookmarkStart w:id="174" w:name="_Toc173066401"/>
            <w:bookmarkStart w:id="175" w:name="_Toc254970588"/>
            <w:bookmarkStart w:id="176" w:name="_Toc301781611"/>
            <w:bookmarkStart w:id="177" w:name="_Toc383699906"/>
            <w:bookmarkStart w:id="178" w:name="_Toc173211900"/>
            <w:bookmarkStart w:id="179" w:name="_Toc254970729"/>
            <w:r>
              <w:rPr>
                <w:rFonts w:hint="eastAsia" w:ascii="宋体" w:hAnsi="宋体" w:eastAsia="宋体"/>
                <w:b/>
                <w:color w:val="auto"/>
                <w:szCs w:val="21"/>
              </w:rPr>
              <w:t>序号</w:t>
            </w:r>
            <w:bookmarkEnd w:id="171"/>
            <w:bookmarkEnd w:id="172"/>
            <w:bookmarkEnd w:id="173"/>
            <w:bookmarkEnd w:id="174"/>
            <w:bookmarkEnd w:id="175"/>
            <w:bookmarkEnd w:id="176"/>
            <w:bookmarkEnd w:id="177"/>
            <w:bookmarkEnd w:id="178"/>
            <w:bookmarkEnd w:id="179"/>
          </w:p>
        </w:tc>
        <w:tc>
          <w:tcPr>
            <w:tcW w:w="858" w:type="dxa"/>
            <w:tcBorders>
              <w:right w:val="single" w:color="auto" w:sz="4" w:space="0"/>
            </w:tcBorders>
            <w:vAlign w:val="center"/>
          </w:tcPr>
          <w:p>
            <w:pPr>
              <w:snapToGrid w:val="0"/>
              <w:spacing w:before="156" w:beforeLines="50" w:line="360" w:lineRule="exact"/>
              <w:jc w:val="center"/>
              <w:rPr>
                <w:rFonts w:hint="eastAsia" w:ascii="宋体" w:hAnsi="宋体" w:eastAsia="宋体"/>
                <w:b/>
                <w:color w:val="auto"/>
                <w:szCs w:val="21"/>
              </w:rPr>
            </w:pPr>
            <w:r>
              <w:rPr>
                <w:rFonts w:hint="eastAsia" w:ascii="宋体" w:hAnsi="宋体" w:eastAsia="宋体"/>
                <w:b/>
                <w:color w:val="auto"/>
                <w:szCs w:val="21"/>
              </w:rPr>
              <w:t>名称</w:t>
            </w:r>
          </w:p>
        </w:tc>
        <w:tc>
          <w:tcPr>
            <w:tcW w:w="2847" w:type="dxa"/>
            <w:tcBorders>
              <w:left w:val="single" w:color="auto" w:sz="4" w:space="0"/>
            </w:tcBorders>
            <w:vAlign w:val="center"/>
          </w:tcPr>
          <w:p>
            <w:pPr>
              <w:snapToGrid w:val="0"/>
              <w:spacing w:before="156" w:beforeLines="50" w:line="360" w:lineRule="exact"/>
              <w:jc w:val="center"/>
              <w:rPr>
                <w:rFonts w:hint="eastAsia" w:ascii="宋体" w:hAnsi="宋体" w:eastAsia="宋体"/>
                <w:b/>
                <w:color w:val="auto"/>
                <w:szCs w:val="21"/>
              </w:rPr>
            </w:pPr>
            <w:r>
              <w:rPr>
                <w:rFonts w:hint="eastAsia" w:ascii="宋体" w:hAnsi="宋体" w:eastAsia="宋体"/>
                <w:b/>
                <w:color w:val="auto"/>
                <w:szCs w:val="21"/>
              </w:rPr>
              <w:t>采购文件服务要求</w:t>
            </w:r>
          </w:p>
        </w:tc>
        <w:tc>
          <w:tcPr>
            <w:tcW w:w="2562" w:type="dxa"/>
            <w:vAlign w:val="center"/>
          </w:tcPr>
          <w:p>
            <w:pPr>
              <w:snapToGrid w:val="0"/>
              <w:spacing w:before="156" w:beforeLines="50" w:line="360" w:lineRule="exact"/>
              <w:jc w:val="center"/>
              <w:rPr>
                <w:rFonts w:hint="eastAsia" w:ascii="宋体" w:hAnsi="宋体" w:eastAsia="宋体"/>
                <w:b/>
                <w:color w:val="auto"/>
                <w:szCs w:val="21"/>
              </w:rPr>
            </w:pPr>
            <w:r>
              <w:rPr>
                <w:rFonts w:hint="eastAsia" w:ascii="宋体" w:hAnsi="宋体" w:eastAsia="宋体"/>
                <w:b/>
                <w:color w:val="auto"/>
                <w:szCs w:val="21"/>
                <w:lang w:val="en-US" w:eastAsia="zh-CN"/>
              </w:rPr>
              <w:t>供应商的</w:t>
            </w:r>
            <w:r>
              <w:rPr>
                <w:rFonts w:hint="eastAsia" w:ascii="宋体" w:hAnsi="宋体" w:eastAsia="宋体"/>
                <w:b/>
                <w:color w:val="auto"/>
                <w:szCs w:val="21"/>
              </w:rPr>
              <w:t>响应</w:t>
            </w:r>
          </w:p>
        </w:tc>
        <w:tc>
          <w:tcPr>
            <w:tcW w:w="1398" w:type="dxa"/>
            <w:vAlign w:val="center"/>
          </w:tcPr>
          <w:p>
            <w:pPr>
              <w:snapToGrid w:val="0"/>
              <w:spacing w:before="156" w:beforeLines="50" w:line="360" w:lineRule="exact"/>
              <w:jc w:val="center"/>
              <w:rPr>
                <w:rFonts w:hint="eastAsia" w:ascii="宋体" w:hAnsi="宋体" w:eastAsia="宋体"/>
                <w:b/>
                <w:color w:val="auto"/>
                <w:szCs w:val="21"/>
              </w:rPr>
            </w:pPr>
            <w:bookmarkStart w:id="180" w:name="_Toc295404984"/>
            <w:bookmarkStart w:id="181" w:name="_Toc254970732"/>
            <w:bookmarkStart w:id="182" w:name="_Toc173066404"/>
            <w:bookmarkStart w:id="183" w:name="_Toc373333692"/>
            <w:bookmarkStart w:id="184" w:name="_Toc173211903"/>
            <w:bookmarkStart w:id="185" w:name="_Toc297193188"/>
            <w:bookmarkStart w:id="186" w:name="_Toc301781614"/>
            <w:bookmarkStart w:id="187" w:name="_Toc254970591"/>
            <w:bookmarkStart w:id="188" w:name="_Toc383699909"/>
            <w:r>
              <w:rPr>
                <w:rFonts w:hint="eastAsia" w:ascii="宋体" w:hAnsi="宋体" w:eastAsia="宋体"/>
                <w:b/>
                <w:color w:val="auto"/>
                <w:szCs w:val="21"/>
              </w:rPr>
              <w:t>偏离</w:t>
            </w:r>
            <w:bookmarkEnd w:id="180"/>
            <w:bookmarkEnd w:id="181"/>
            <w:bookmarkEnd w:id="182"/>
            <w:bookmarkEnd w:id="183"/>
            <w:bookmarkEnd w:id="184"/>
            <w:bookmarkEnd w:id="185"/>
            <w:bookmarkEnd w:id="186"/>
            <w:bookmarkEnd w:id="187"/>
            <w:bookmarkEnd w:id="188"/>
            <w:bookmarkStart w:id="189" w:name="_Toc173211904"/>
            <w:bookmarkStart w:id="190" w:name="_Toc295404985"/>
            <w:bookmarkStart w:id="191" w:name="_Toc297193189"/>
            <w:bookmarkStart w:id="192" w:name="_Toc383699910"/>
            <w:bookmarkStart w:id="193" w:name="_Toc173066405"/>
            <w:bookmarkStart w:id="194" w:name="_Toc301781615"/>
            <w:bookmarkStart w:id="195" w:name="_Toc254970592"/>
            <w:bookmarkStart w:id="196" w:name="_Toc373333693"/>
            <w:bookmarkStart w:id="197" w:name="_Toc254970733"/>
            <w:r>
              <w:rPr>
                <w:rFonts w:hint="eastAsia" w:ascii="宋体" w:hAnsi="宋体" w:eastAsia="宋体"/>
                <w:b/>
                <w:color w:val="auto"/>
                <w:szCs w:val="21"/>
              </w:rPr>
              <w:t>说明</w:t>
            </w:r>
            <w:bookmarkEnd w:id="189"/>
            <w:bookmarkEnd w:id="190"/>
            <w:bookmarkEnd w:id="191"/>
            <w:bookmarkEnd w:id="192"/>
            <w:bookmarkEnd w:id="193"/>
            <w:bookmarkEnd w:id="194"/>
            <w:bookmarkEnd w:id="195"/>
            <w:bookmarkEnd w:id="196"/>
            <w:bookmarkEnd w:id="197"/>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bookmarkStart w:id="198" w:name="_Toc295404986"/>
            <w:bookmarkStart w:id="199" w:name="_Toc297193190"/>
            <w:bookmarkStart w:id="200" w:name="_Toc383699911"/>
            <w:bookmarkStart w:id="201" w:name="_Toc173066406"/>
            <w:bookmarkStart w:id="202" w:name="_Toc173211905"/>
            <w:bookmarkStart w:id="203" w:name="_Toc254970593"/>
            <w:bookmarkStart w:id="204" w:name="_Toc254970734"/>
            <w:bookmarkStart w:id="205" w:name="_Toc301781616"/>
            <w:bookmarkStart w:id="206" w:name="_Toc373333694"/>
            <w:r>
              <w:rPr>
                <w:rFonts w:hint="eastAsia" w:ascii="宋体" w:hAnsi="宋体" w:eastAsia="宋体" w:cs="仿宋_GB2312"/>
                <w:color w:val="auto"/>
                <w:sz w:val="21"/>
                <w:szCs w:val="21"/>
                <w:highlight w:val="none"/>
              </w:rPr>
              <w:t>1</w:t>
            </w:r>
            <w:bookmarkEnd w:id="198"/>
            <w:bookmarkEnd w:id="199"/>
            <w:bookmarkEnd w:id="200"/>
            <w:bookmarkEnd w:id="201"/>
            <w:bookmarkEnd w:id="202"/>
            <w:bookmarkEnd w:id="203"/>
            <w:bookmarkEnd w:id="204"/>
            <w:bookmarkEnd w:id="205"/>
            <w:bookmarkEnd w:id="206"/>
          </w:p>
        </w:tc>
        <w:tc>
          <w:tcPr>
            <w:tcW w:w="858" w:type="dxa"/>
            <w:tcBorders>
              <w:righ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847" w:type="dxa"/>
            <w:tcBorders>
              <w:lef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562"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1398"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bookmarkStart w:id="207" w:name="_Toc295404987"/>
            <w:bookmarkStart w:id="208" w:name="_Toc254970594"/>
            <w:bookmarkStart w:id="209" w:name="_Toc173066407"/>
            <w:bookmarkStart w:id="210" w:name="_Toc301781617"/>
            <w:bookmarkStart w:id="211" w:name="_Toc373333695"/>
            <w:bookmarkStart w:id="212" w:name="_Toc173211906"/>
            <w:bookmarkStart w:id="213" w:name="_Toc297193191"/>
            <w:bookmarkStart w:id="214" w:name="_Toc383699912"/>
            <w:bookmarkStart w:id="215" w:name="_Toc254970735"/>
            <w:r>
              <w:rPr>
                <w:rFonts w:hint="eastAsia" w:ascii="宋体" w:hAnsi="宋体" w:eastAsia="宋体" w:cs="仿宋_GB2312"/>
                <w:color w:val="auto"/>
                <w:sz w:val="21"/>
                <w:szCs w:val="21"/>
                <w:highlight w:val="none"/>
              </w:rPr>
              <w:t>2</w:t>
            </w:r>
            <w:bookmarkEnd w:id="207"/>
            <w:bookmarkEnd w:id="208"/>
            <w:bookmarkEnd w:id="209"/>
            <w:bookmarkEnd w:id="210"/>
            <w:bookmarkEnd w:id="211"/>
            <w:bookmarkEnd w:id="212"/>
            <w:bookmarkEnd w:id="213"/>
            <w:bookmarkEnd w:id="214"/>
            <w:bookmarkEnd w:id="215"/>
          </w:p>
        </w:tc>
        <w:tc>
          <w:tcPr>
            <w:tcW w:w="858" w:type="dxa"/>
            <w:tcBorders>
              <w:righ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847" w:type="dxa"/>
            <w:tcBorders>
              <w:lef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562"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1398"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857"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bookmarkStart w:id="216" w:name="_Toc301781618"/>
            <w:bookmarkStart w:id="217" w:name="_Toc254970736"/>
            <w:bookmarkStart w:id="218" w:name="_Toc173211907"/>
            <w:bookmarkStart w:id="219" w:name="_Toc383699913"/>
            <w:bookmarkStart w:id="220" w:name="_Toc173066408"/>
            <w:bookmarkStart w:id="221" w:name="_Toc254970595"/>
            <w:bookmarkStart w:id="222" w:name="_Toc297193192"/>
            <w:bookmarkStart w:id="223" w:name="_Toc373333696"/>
            <w:bookmarkStart w:id="224" w:name="_Toc295404988"/>
            <w:r>
              <w:rPr>
                <w:rFonts w:hint="eastAsia" w:ascii="宋体" w:hAnsi="宋体" w:eastAsia="宋体" w:cs="仿宋_GB2312"/>
                <w:color w:val="auto"/>
                <w:sz w:val="21"/>
                <w:szCs w:val="21"/>
                <w:highlight w:val="none"/>
              </w:rPr>
              <w:t>3</w:t>
            </w:r>
            <w:bookmarkEnd w:id="216"/>
            <w:bookmarkEnd w:id="217"/>
            <w:bookmarkEnd w:id="218"/>
            <w:bookmarkEnd w:id="219"/>
            <w:bookmarkEnd w:id="220"/>
            <w:bookmarkEnd w:id="221"/>
            <w:bookmarkEnd w:id="222"/>
            <w:bookmarkEnd w:id="223"/>
            <w:bookmarkEnd w:id="224"/>
          </w:p>
        </w:tc>
        <w:tc>
          <w:tcPr>
            <w:tcW w:w="858" w:type="dxa"/>
            <w:tcBorders>
              <w:righ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847" w:type="dxa"/>
            <w:tcBorders>
              <w:lef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562"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1398"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857"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bookmarkStart w:id="225" w:name="_Toc254970743"/>
            <w:bookmarkStart w:id="226" w:name="_Toc301781621"/>
            <w:bookmarkStart w:id="227" w:name="_Toc383699916"/>
            <w:bookmarkStart w:id="228" w:name="_Toc173211914"/>
            <w:bookmarkStart w:id="229" w:name="_Toc373333699"/>
            <w:bookmarkStart w:id="230" w:name="_Toc295404991"/>
            <w:bookmarkStart w:id="231" w:name="_Toc173066415"/>
            <w:bookmarkStart w:id="232" w:name="_Toc297193195"/>
            <w:bookmarkStart w:id="233" w:name="_Toc254970602"/>
            <w:r>
              <w:rPr>
                <w:rFonts w:hint="eastAsia" w:ascii="宋体" w:hAnsi="宋体" w:eastAsia="宋体" w:cs="仿宋_GB2312"/>
                <w:color w:val="auto"/>
                <w:sz w:val="21"/>
                <w:szCs w:val="21"/>
                <w:highlight w:val="none"/>
              </w:rPr>
              <w:t>…</w:t>
            </w:r>
            <w:bookmarkEnd w:id="225"/>
            <w:bookmarkEnd w:id="226"/>
            <w:bookmarkEnd w:id="227"/>
            <w:bookmarkEnd w:id="228"/>
            <w:bookmarkEnd w:id="229"/>
            <w:bookmarkEnd w:id="230"/>
            <w:bookmarkEnd w:id="231"/>
            <w:bookmarkEnd w:id="232"/>
            <w:bookmarkEnd w:id="233"/>
          </w:p>
        </w:tc>
        <w:tc>
          <w:tcPr>
            <w:tcW w:w="858" w:type="dxa"/>
            <w:tcBorders>
              <w:righ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847" w:type="dxa"/>
            <w:tcBorders>
              <w:lef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2562" w:type="dxa"/>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c>
          <w:tcPr>
            <w:tcW w:w="1398" w:type="dxa"/>
            <w:tcBorders>
              <w:right w:val="single" w:color="auto" w:sz="4" w:space="0"/>
            </w:tcBorders>
            <w:vAlign w:val="center"/>
          </w:tcPr>
          <w:p>
            <w:pPr>
              <w:pStyle w:val="20"/>
              <w:shd w:val="clear"/>
              <w:spacing w:line="360" w:lineRule="auto"/>
              <w:ind w:firstLine="0" w:firstLineChars="0"/>
              <w:contextualSpacing/>
              <w:jc w:val="center"/>
              <w:rPr>
                <w:rFonts w:ascii="宋体" w:hAnsi="宋体" w:eastAsia="宋体" w:cs="仿宋_GB2312"/>
                <w:color w:val="auto"/>
                <w:sz w:val="21"/>
                <w:szCs w:val="21"/>
                <w:highlight w:val="none"/>
              </w:rPr>
            </w:pPr>
          </w:p>
        </w:tc>
      </w:tr>
    </w:tbl>
    <w:p>
      <w:pPr>
        <w:rPr>
          <w:rFonts w:hint="eastAsia" w:eastAsia="宋体"/>
          <w:b w:val="0"/>
          <w:bCs w:val="0"/>
          <w:color w:val="auto"/>
          <w:sz w:val="21"/>
          <w:szCs w:val="21"/>
        </w:rPr>
      </w:pPr>
    </w:p>
    <w:p>
      <w:pPr>
        <w:rPr>
          <w:rFonts w:hint="eastAsia" w:eastAsia="宋体"/>
          <w:b w:val="0"/>
          <w:bCs w:val="0"/>
          <w:color w:val="auto"/>
          <w:sz w:val="21"/>
          <w:szCs w:val="21"/>
        </w:rPr>
      </w:pPr>
      <w:r>
        <w:rPr>
          <w:rFonts w:hint="eastAsia" w:eastAsia="宋体"/>
          <w:b w:val="0"/>
          <w:bCs w:val="0"/>
          <w:color w:val="auto"/>
          <w:sz w:val="21"/>
          <w:szCs w:val="21"/>
        </w:rPr>
        <w:t>注：</w:t>
      </w:r>
    </w:p>
    <w:p>
      <w:pPr>
        <w:rPr>
          <w:rFonts w:hint="eastAsia" w:eastAsia="宋体"/>
          <w:b w:val="0"/>
          <w:bCs w:val="0"/>
          <w:color w:val="auto"/>
          <w:sz w:val="21"/>
          <w:szCs w:val="21"/>
        </w:rPr>
      </w:pPr>
      <w:r>
        <w:rPr>
          <w:rFonts w:hint="eastAsia" w:eastAsia="宋体"/>
          <w:b w:val="0"/>
          <w:bCs w:val="0"/>
          <w:color w:val="auto"/>
          <w:sz w:val="21"/>
          <w:szCs w:val="21"/>
        </w:rPr>
        <w:t>1.应对照采购文件“第二章 项目需求”中的服务要求逐条作出明确响应，并作出偏离说明。</w:t>
      </w:r>
    </w:p>
    <w:p>
      <w:pPr>
        <w:rPr>
          <w:rFonts w:hint="eastAsia" w:eastAsia="宋体"/>
          <w:b w:val="0"/>
          <w:bCs w:val="0"/>
          <w:color w:val="auto"/>
          <w:sz w:val="21"/>
          <w:szCs w:val="21"/>
        </w:rPr>
      </w:pPr>
      <w:r>
        <w:rPr>
          <w:rFonts w:hint="eastAsia" w:eastAsia="宋体"/>
          <w:b w:val="0"/>
          <w:bCs w:val="0"/>
          <w:color w:val="auto"/>
          <w:sz w:val="21"/>
          <w:szCs w:val="21"/>
        </w:rPr>
        <w:t>2.供应商应根据自身的承诺，对照磋商文件要求，在“偏离说明”中注明“正偏离”、“负偏离”或者“无偏离”。既不属于“正偏离”也不属于“负偏离”即为“无偏离”。</w:t>
      </w:r>
    </w:p>
    <w:p>
      <w:pPr>
        <w:pStyle w:val="38"/>
        <w:shd w:val="clear"/>
        <w:ind w:firstLine="281"/>
        <w:rPr>
          <w:rFonts w:hAnsi="宋体"/>
          <w:b/>
          <w:color w:val="auto"/>
          <w:sz w:val="28"/>
          <w:szCs w:val="28"/>
          <w:highlight w:val="none"/>
        </w:rPr>
      </w:pPr>
    </w:p>
    <w:p>
      <w:pPr>
        <w:shd w:val="clear"/>
        <w:spacing w:line="400" w:lineRule="exact"/>
        <w:ind w:left="6092" w:leftChars="2766" w:right="592" w:rightChars="282" w:hanging="283" w:hangingChars="135"/>
        <w:jc w:val="left"/>
        <w:rPr>
          <w:rFonts w:ascii="宋体" w:hAnsi="宋体"/>
          <w:bCs/>
          <w:color w:val="auto"/>
          <w:highlight w:val="none"/>
        </w:rPr>
      </w:pPr>
      <w:r>
        <w:rPr>
          <w:rFonts w:hint="eastAsia" w:ascii="宋体" w:hAnsi="宋体"/>
          <w:bCs/>
          <w:color w:val="auto"/>
          <w:highlight w:val="none"/>
        </w:rPr>
        <w:t>供应商（盖章）：</w:t>
      </w:r>
      <w:r>
        <w:rPr>
          <w:rFonts w:hint="eastAsia" w:ascii="宋体" w:hAnsi="宋体"/>
          <w:bCs/>
          <w:color w:val="auto"/>
          <w:highlight w:val="none"/>
          <w:u w:val="single"/>
        </w:rPr>
        <w:t xml:space="preserve">     </w:t>
      </w:r>
      <w:r>
        <w:rPr>
          <w:rFonts w:ascii="宋体" w:hAnsi="宋体"/>
          <w:bCs/>
          <w:color w:val="auto"/>
          <w:highlight w:val="none"/>
          <w:u w:val="single"/>
        </w:rPr>
        <w:t xml:space="preserve"> </w:t>
      </w:r>
      <w:r>
        <w:rPr>
          <w:rFonts w:hint="eastAsia" w:ascii="宋体" w:hAnsi="宋体"/>
          <w:bCs/>
          <w:color w:val="auto"/>
          <w:highlight w:val="none"/>
          <w:u w:val="single"/>
        </w:rPr>
        <w:t xml:space="preserve">   </w:t>
      </w:r>
      <w:r>
        <w:rPr>
          <w:rFonts w:ascii="宋体" w:hAnsi="宋体"/>
          <w:bCs/>
          <w:color w:val="auto"/>
          <w:highlight w:val="none"/>
          <w:u w:val="single"/>
        </w:rPr>
        <w:t xml:space="preserve"> </w:t>
      </w:r>
      <w:r>
        <w:rPr>
          <w:rFonts w:hint="eastAsia" w:ascii="宋体" w:hAnsi="宋体"/>
          <w:bCs/>
          <w:color w:val="auto"/>
          <w:highlight w:val="none"/>
          <w:u w:val="single"/>
        </w:rPr>
        <w:t xml:space="preserve"> </w:t>
      </w:r>
    </w:p>
    <w:p>
      <w:pPr>
        <w:shd w:val="clear"/>
        <w:snapToGrid w:val="0"/>
        <w:spacing w:before="50" w:after="50" w:line="350" w:lineRule="exact"/>
        <w:ind w:right="-817" w:rightChars="-389" w:firstLine="6090" w:firstLineChars="2900"/>
        <w:jc w:val="left"/>
        <w:rPr>
          <w:color w:val="auto"/>
          <w:highlight w:val="none"/>
        </w:rPr>
      </w:pPr>
      <w:r>
        <w:rPr>
          <w:rFonts w:hint="eastAsia" w:ascii="宋体" w:hAnsi="宋体"/>
          <w:bCs/>
          <w:color w:val="auto"/>
          <w:highlight w:val="none"/>
        </w:rPr>
        <w:t>日期：</w:t>
      </w:r>
      <w:r>
        <w:rPr>
          <w:rFonts w:hint="eastAsia" w:ascii="宋体" w:hAnsi="宋体"/>
          <w:bCs/>
          <w:color w:val="auto"/>
          <w:highlight w:val="none"/>
          <w:u w:val="single"/>
        </w:rPr>
        <w:t xml:space="preserve">    </w:t>
      </w:r>
      <w:r>
        <w:rPr>
          <w:rFonts w:ascii="宋体" w:hAnsi="宋体"/>
          <w:bCs/>
          <w:color w:val="auto"/>
          <w:highlight w:val="none"/>
          <w:u w:val="single"/>
        </w:rPr>
        <w:t xml:space="preserve">  </w:t>
      </w:r>
      <w:r>
        <w:rPr>
          <w:rFonts w:hint="eastAsia" w:ascii="宋体" w:hAnsi="宋体"/>
          <w:bCs/>
          <w:color w:val="auto"/>
          <w:highlight w:val="none"/>
          <w:u w:val="single"/>
        </w:rPr>
        <w:t xml:space="preserve">  </w:t>
      </w:r>
      <w:r>
        <w:rPr>
          <w:rFonts w:hint="eastAsia" w:ascii="宋体" w:hAnsi="宋体"/>
          <w:bCs/>
          <w:color w:val="auto"/>
          <w:highlight w:val="none"/>
        </w:rPr>
        <w:t>年</w:t>
      </w:r>
      <w:r>
        <w:rPr>
          <w:rFonts w:hint="eastAsia" w:ascii="宋体" w:hAnsi="宋体"/>
          <w:bCs/>
          <w:color w:val="auto"/>
          <w:highlight w:val="none"/>
          <w:u w:val="single"/>
        </w:rPr>
        <w:t xml:space="preserve">   </w:t>
      </w:r>
      <w:r>
        <w:rPr>
          <w:rFonts w:hint="eastAsia" w:ascii="宋体" w:hAnsi="宋体"/>
          <w:bCs/>
          <w:color w:val="auto"/>
          <w:highlight w:val="none"/>
        </w:rPr>
        <w:t>月</w:t>
      </w:r>
      <w:r>
        <w:rPr>
          <w:rFonts w:hint="eastAsia" w:ascii="宋体" w:hAnsi="宋体"/>
          <w:bCs/>
          <w:color w:val="auto"/>
          <w:highlight w:val="none"/>
          <w:u w:val="single"/>
        </w:rPr>
        <w:t xml:space="preserve">   </w:t>
      </w:r>
      <w:r>
        <w:rPr>
          <w:rFonts w:hint="eastAsia" w:ascii="宋体" w:hAnsi="宋体"/>
          <w:bCs/>
          <w:color w:val="auto"/>
          <w:highlight w:val="none"/>
        </w:rPr>
        <w:t>日</w:t>
      </w:r>
    </w:p>
    <w:p>
      <w:pPr>
        <w:rPr>
          <w:color w:val="auto"/>
        </w:rPr>
      </w:pPr>
    </w:p>
    <w:p>
      <w:pPr>
        <w:snapToGrid w:val="0"/>
        <w:spacing w:line="700" w:lineRule="exact"/>
        <w:ind w:firstLine="0" w:firstLineChars="0"/>
        <w:jc w:val="center"/>
        <w:rPr>
          <w:color w:val="auto"/>
        </w:rPr>
      </w:pPr>
      <w:r>
        <w:rPr>
          <w:rFonts w:hint="eastAsia" w:ascii="仿宋_GB2312" w:hAnsi="宋体" w:eastAsia="仿宋_GB2312"/>
          <w:b/>
          <w:color w:val="auto"/>
          <w:sz w:val="32"/>
          <w:szCs w:val="32"/>
        </w:rPr>
        <w:t>项目实施人员一览表</w:t>
      </w:r>
      <w:r>
        <w:rPr>
          <w:rFonts w:hint="eastAsia" w:ascii="仿宋_GB2312" w:eastAsia="仿宋_GB2312"/>
          <w:bCs/>
          <w:color w:val="auto"/>
          <w:sz w:val="24"/>
        </w:rPr>
        <w:t>（格式）</w:t>
      </w:r>
    </w:p>
    <w:tbl>
      <w:tblPr>
        <w:tblStyle w:val="39"/>
        <w:tblW w:w="10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650"/>
        <w:gridCol w:w="960"/>
        <w:gridCol w:w="990"/>
        <w:gridCol w:w="1004"/>
        <w:gridCol w:w="2108"/>
        <w:gridCol w:w="1614"/>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95"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650"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姓名</w:t>
            </w:r>
          </w:p>
        </w:tc>
        <w:tc>
          <w:tcPr>
            <w:tcW w:w="960"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年龄</w:t>
            </w:r>
          </w:p>
        </w:tc>
        <w:tc>
          <w:tcPr>
            <w:tcW w:w="990"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性别</w:t>
            </w:r>
          </w:p>
        </w:tc>
        <w:tc>
          <w:tcPr>
            <w:tcW w:w="1004" w:type="dxa"/>
            <w:vAlign w:val="center"/>
          </w:tcPr>
          <w:p>
            <w:pPr>
              <w:shd w:val="clear"/>
              <w:snapToGrid w:val="0"/>
              <w:spacing w:before="50" w:afterLines="5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学历</w:t>
            </w:r>
          </w:p>
        </w:tc>
        <w:tc>
          <w:tcPr>
            <w:tcW w:w="2108"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职务</w:t>
            </w:r>
          </w:p>
        </w:tc>
        <w:tc>
          <w:tcPr>
            <w:tcW w:w="1614" w:type="dxa"/>
            <w:vAlign w:val="center"/>
          </w:tcPr>
          <w:p>
            <w:pPr>
              <w:shd w:val="clear"/>
              <w:snapToGrid w:val="0"/>
              <w:spacing w:before="50" w:afterLines="5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rPr>
              <w:t>专业技术资格</w:t>
            </w:r>
            <w:r>
              <w:rPr>
                <w:rFonts w:hint="eastAsia" w:ascii="宋体" w:hAnsi="宋体" w:eastAsia="宋体" w:cs="宋体"/>
                <w:color w:val="auto"/>
                <w:szCs w:val="21"/>
                <w:highlight w:val="none"/>
                <w:lang w:val="en-US" w:eastAsia="zh-CN"/>
              </w:rPr>
              <w:t>或职称</w:t>
            </w:r>
          </w:p>
        </w:tc>
        <w:tc>
          <w:tcPr>
            <w:tcW w:w="1197" w:type="dxa"/>
            <w:vAlign w:val="center"/>
          </w:tcPr>
          <w:p>
            <w:pPr>
              <w:shd w:val="clear"/>
              <w:snapToGrid w:val="0"/>
              <w:spacing w:before="5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95" w:type="dxa"/>
            <w:vAlign w:val="center"/>
          </w:tcPr>
          <w:p>
            <w:pPr>
              <w:widowControl/>
              <w:shd w:val="clear"/>
              <w:jc w:val="center"/>
              <w:textAlignment w:val="center"/>
              <w:rPr>
                <w:rFonts w:ascii="宋体" w:hAnsi="宋体" w:cs="宋体"/>
                <w:color w:val="auto"/>
                <w:kern w:val="0"/>
                <w:szCs w:val="21"/>
                <w:highlight w:val="none"/>
              </w:rPr>
            </w:pPr>
          </w:p>
        </w:tc>
        <w:tc>
          <w:tcPr>
            <w:tcW w:w="1650" w:type="dxa"/>
            <w:vAlign w:val="center"/>
          </w:tcPr>
          <w:p>
            <w:pPr>
              <w:widowControl/>
              <w:shd w:val="clear"/>
              <w:jc w:val="center"/>
              <w:textAlignment w:val="center"/>
              <w:rPr>
                <w:rFonts w:ascii="宋体" w:hAnsi="宋体" w:cs="宋体"/>
                <w:color w:val="auto"/>
                <w:szCs w:val="21"/>
                <w:highlight w:val="none"/>
              </w:rPr>
            </w:pPr>
          </w:p>
        </w:tc>
        <w:tc>
          <w:tcPr>
            <w:tcW w:w="960" w:type="dxa"/>
            <w:vAlign w:val="center"/>
          </w:tcPr>
          <w:p>
            <w:pPr>
              <w:shd w:val="clear"/>
              <w:jc w:val="center"/>
              <w:rPr>
                <w:rFonts w:ascii="宋体" w:hAnsi="宋体" w:cs="宋体"/>
                <w:color w:val="auto"/>
                <w:kern w:val="1"/>
                <w:szCs w:val="21"/>
                <w:highlight w:val="none"/>
              </w:rPr>
            </w:pPr>
          </w:p>
        </w:tc>
        <w:tc>
          <w:tcPr>
            <w:tcW w:w="990" w:type="dxa"/>
            <w:vAlign w:val="center"/>
          </w:tcPr>
          <w:p>
            <w:pPr>
              <w:shd w:val="clear"/>
              <w:jc w:val="center"/>
              <w:rPr>
                <w:rFonts w:ascii="宋体" w:hAnsi="宋体" w:cs="宋体"/>
                <w:color w:val="auto"/>
                <w:kern w:val="1"/>
                <w:szCs w:val="21"/>
                <w:highlight w:val="none"/>
              </w:rPr>
            </w:pPr>
          </w:p>
        </w:tc>
        <w:tc>
          <w:tcPr>
            <w:tcW w:w="1004" w:type="dxa"/>
            <w:vAlign w:val="center"/>
          </w:tcPr>
          <w:p>
            <w:pPr>
              <w:shd w:val="clear"/>
              <w:jc w:val="center"/>
              <w:rPr>
                <w:rFonts w:ascii="宋体" w:hAnsi="宋体" w:cs="宋体"/>
                <w:color w:val="auto"/>
                <w:kern w:val="1"/>
                <w:szCs w:val="21"/>
                <w:highlight w:val="none"/>
              </w:rPr>
            </w:pPr>
          </w:p>
        </w:tc>
        <w:tc>
          <w:tcPr>
            <w:tcW w:w="2108" w:type="dxa"/>
            <w:vAlign w:val="center"/>
          </w:tcPr>
          <w:p>
            <w:pPr>
              <w:widowControl/>
              <w:shd w:val="clear"/>
              <w:jc w:val="center"/>
              <w:textAlignment w:val="center"/>
              <w:rPr>
                <w:rFonts w:ascii="宋体" w:hAnsi="宋体" w:cs="宋体"/>
                <w:color w:val="auto"/>
                <w:kern w:val="0"/>
                <w:szCs w:val="21"/>
                <w:highlight w:val="none"/>
              </w:rPr>
            </w:pPr>
          </w:p>
        </w:tc>
        <w:tc>
          <w:tcPr>
            <w:tcW w:w="1614" w:type="dxa"/>
            <w:vAlign w:val="center"/>
          </w:tcPr>
          <w:p>
            <w:pPr>
              <w:widowControl/>
              <w:shd w:val="clear"/>
              <w:jc w:val="center"/>
              <w:textAlignment w:val="center"/>
              <w:rPr>
                <w:rFonts w:ascii="宋体" w:hAnsi="宋体" w:cs="宋体"/>
                <w:color w:val="auto"/>
                <w:kern w:val="0"/>
                <w:szCs w:val="21"/>
                <w:highlight w:val="none"/>
              </w:rPr>
            </w:pPr>
          </w:p>
        </w:tc>
        <w:tc>
          <w:tcPr>
            <w:tcW w:w="1197" w:type="dxa"/>
            <w:vAlign w:val="center"/>
          </w:tcPr>
          <w:p>
            <w:pPr>
              <w:shd w:val="clear"/>
              <w:snapToGrid w:val="0"/>
              <w:spacing w:before="50" w:afterLines="50"/>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95" w:type="dxa"/>
            <w:vAlign w:val="center"/>
          </w:tcPr>
          <w:p>
            <w:pPr>
              <w:widowControl/>
              <w:shd w:val="clear"/>
              <w:jc w:val="center"/>
              <w:textAlignment w:val="center"/>
              <w:rPr>
                <w:rFonts w:ascii="宋体" w:hAnsi="宋体" w:cs="宋体"/>
                <w:color w:val="auto"/>
                <w:kern w:val="0"/>
                <w:szCs w:val="21"/>
                <w:highlight w:val="none"/>
              </w:rPr>
            </w:pPr>
          </w:p>
        </w:tc>
        <w:tc>
          <w:tcPr>
            <w:tcW w:w="1650" w:type="dxa"/>
            <w:vAlign w:val="center"/>
          </w:tcPr>
          <w:p>
            <w:pPr>
              <w:widowControl/>
              <w:shd w:val="clear"/>
              <w:jc w:val="center"/>
              <w:textAlignment w:val="center"/>
              <w:rPr>
                <w:rFonts w:ascii="宋体" w:hAnsi="宋体" w:cs="宋体"/>
                <w:color w:val="auto"/>
                <w:szCs w:val="21"/>
                <w:highlight w:val="none"/>
              </w:rPr>
            </w:pPr>
          </w:p>
        </w:tc>
        <w:tc>
          <w:tcPr>
            <w:tcW w:w="960" w:type="dxa"/>
            <w:vAlign w:val="center"/>
          </w:tcPr>
          <w:p>
            <w:pPr>
              <w:shd w:val="clear"/>
              <w:jc w:val="center"/>
              <w:rPr>
                <w:rFonts w:ascii="宋体" w:hAnsi="宋体" w:cs="宋体"/>
                <w:color w:val="auto"/>
                <w:kern w:val="1"/>
                <w:szCs w:val="21"/>
                <w:highlight w:val="none"/>
              </w:rPr>
            </w:pPr>
          </w:p>
        </w:tc>
        <w:tc>
          <w:tcPr>
            <w:tcW w:w="990" w:type="dxa"/>
            <w:vAlign w:val="center"/>
          </w:tcPr>
          <w:p>
            <w:pPr>
              <w:shd w:val="clear"/>
              <w:jc w:val="center"/>
              <w:rPr>
                <w:rFonts w:ascii="宋体" w:hAnsi="宋体" w:cs="宋体"/>
                <w:color w:val="auto"/>
                <w:kern w:val="1"/>
                <w:szCs w:val="21"/>
                <w:highlight w:val="none"/>
              </w:rPr>
            </w:pPr>
          </w:p>
        </w:tc>
        <w:tc>
          <w:tcPr>
            <w:tcW w:w="1004" w:type="dxa"/>
            <w:vAlign w:val="center"/>
          </w:tcPr>
          <w:p>
            <w:pPr>
              <w:shd w:val="clear"/>
              <w:jc w:val="center"/>
              <w:rPr>
                <w:rFonts w:ascii="宋体" w:hAnsi="宋体" w:cs="宋体"/>
                <w:color w:val="auto"/>
                <w:kern w:val="1"/>
                <w:szCs w:val="21"/>
                <w:highlight w:val="none"/>
              </w:rPr>
            </w:pPr>
          </w:p>
        </w:tc>
        <w:tc>
          <w:tcPr>
            <w:tcW w:w="2108" w:type="dxa"/>
            <w:vAlign w:val="center"/>
          </w:tcPr>
          <w:p>
            <w:pPr>
              <w:widowControl/>
              <w:shd w:val="clear"/>
              <w:jc w:val="center"/>
              <w:textAlignment w:val="center"/>
              <w:rPr>
                <w:rFonts w:ascii="宋体" w:hAnsi="宋体" w:cs="宋体"/>
                <w:color w:val="auto"/>
                <w:kern w:val="0"/>
                <w:szCs w:val="21"/>
                <w:highlight w:val="none"/>
              </w:rPr>
            </w:pPr>
          </w:p>
        </w:tc>
        <w:tc>
          <w:tcPr>
            <w:tcW w:w="1614" w:type="dxa"/>
            <w:vAlign w:val="center"/>
          </w:tcPr>
          <w:p>
            <w:pPr>
              <w:widowControl/>
              <w:shd w:val="clear"/>
              <w:jc w:val="center"/>
              <w:textAlignment w:val="center"/>
              <w:rPr>
                <w:rFonts w:ascii="宋体" w:hAnsi="宋体" w:cs="宋体"/>
                <w:color w:val="auto"/>
                <w:kern w:val="0"/>
                <w:szCs w:val="21"/>
                <w:highlight w:val="none"/>
              </w:rPr>
            </w:pPr>
          </w:p>
        </w:tc>
        <w:tc>
          <w:tcPr>
            <w:tcW w:w="1197" w:type="dxa"/>
            <w:vAlign w:val="center"/>
          </w:tcPr>
          <w:p>
            <w:pPr>
              <w:shd w:val="clear"/>
              <w:snapToGrid w:val="0"/>
              <w:spacing w:before="50" w:afterLines="50"/>
              <w:jc w:val="center"/>
              <w:rPr>
                <w:rFonts w:ascii="宋体" w:hAnsi="宋体" w:cs="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95" w:type="dxa"/>
            <w:vAlign w:val="center"/>
          </w:tcPr>
          <w:p>
            <w:pPr>
              <w:widowControl/>
              <w:shd w:val="clear"/>
              <w:jc w:val="center"/>
              <w:textAlignment w:val="center"/>
              <w:rPr>
                <w:rFonts w:ascii="宋体" w:hAnsi="宋体" w:cs="宋体"/>
                <w:color w:val="auto"/>
                <w:kern w:val="0"/>
                <w:szCs w:val="21"/>
                <w:highlight w:val="none"/>
              </w:rPr>
            </w:pPr>
          </w:p>
        </w:tc>
        <w:tc>
          <w:tcPr>
            <w:tcW w:w="1650" w:type="dxa"/>
            <w:vAlign w:val="center"/>
          </w:tcPr>
          <w:p>
            <w:pPr>
              <w:widowControl/>
              <w:shd w:val="clear"/>
              <w:jc w:val="center"/>
              <w:textAlignment w:val="center"/>
              <w:rPr>
                <w:rFonts w:ascii="宋体" w:hAnsi="宋体" w:cs="宋体"/>
                <w:color w:val="auto"/>
                <w:szCs w:val="21"/>
                <w:highlight w:val="none"/>
              </w:rPr>
            </w:pPr>
          </w:p>
        </w:tc>
        <w:tc>
          <w:tcPr>
            <w:tcW w:w="960" w:type="dxa"/>
            <w:vAlign w:val="center"/>
          </w:tcPr>
          <w:p>
            <w:pPr>
              <w:shd w:val="clear"/>
              <w:jc w:val="center"/>
              <w:rPr>
                <w:rFonts w:ascii="宋体" w:hAnsi="宋体" w:cs="宋体"/>
                <w:color w:val="auto"/>
                <w:kern w:val="1"/>
                <w:szCs w:val="21"/>
                <w:highlight w:val="none"/>
              </w:rPr>
            </w:pPr>
          </w:p>
        </w:tc>
        <w:tc>
          <w:tcPr>
            <w:tcW w:w="990" w:type="dxa"/>
            <w:vAlign w:val="center"/>
          </w:tcPr>
          <w:p>
            <w:pPr>
              <w:shd w:val="clear"/>
              <w:jc w:val="center"/>
              <w:rPr>
                <w:rFonts w:ascii="宋体" w:hAnsi="宋体" w:cs="宋体"/>
                <w:color w:val="auto"/>
                <w:kern w:val="1"/>
                <w:szCs w:val="21"/>
                <w:highlight w:val="none"/>
              </w:rPr>
            </w:pPr>
          </w:p>
        </w:tc>
        <w:tc>
          <w:tcPr>
            <w:tcW w:w="1004" w:type="dxa"/>
            <w:vAlign w:val="center"/>
          </w:tcPr>
          <w:p>
            <w:pPr>
              <w:shd w:val="clear"/>
              <w:jc w:val="center"/>
              <w:rPr>
                <w:rFonts w:ascii="宋体" w:hAnsi="宋体" w:cs="宋体"/>
                <w:color w:val="auto"/>
                <w:kern w:val="1"/>
                <w:szCs w:val="21"/>
                <w:highlight w:val="none"/>
              </w:rPr>
            </w:pPr>
          </w:p>
        </w:tc>
        <w:tc>
          <w:tcPr>
            <w:tcW w:w="2108" w:type="dxa"/>
            <w:vAlign w:val="center"/>
          </w:tcPr>
          <w:p>
            <w:pPr>
              <w:widowControl/>
              <w:shd w:val="clear"/>
              <w:jc w:val="center"/>
              <w:textAlignment w:val="center"/>
              <w:rPr>
                <w:rFonts w:ascii="宋体" w:hAnsi="宋体" w:cs="宋体"/>
                <w:color w:val="auto"/>
                <w:kern w:val="0"/>
                <w:szCs w:val="21"/>
                <w:highlight w:val="none"/>
              </w:rPr>
            </w:pPr>
          </w:p>
        </w:tc>
        <w:tc>
          <w:tcPr>
            <w:tcW w:w="1614" w:type="dxa"/>
            <w:vAlign w:val="center"/>
          </w:tcPr>
          <w:p>
            <w:pPr>
              <w:widowControl/>
              <w:shd w:val="clear"/>
              <w:jc w:val="center"/>
              <w:textAlignment w:val="center"/>
              <w:rPr>
                <w:rFonts w:ascii="宋体" w:hAnsi="宋体" w:cs="宋体"/>
                <w:color w:val="auto"/>
                <w:kern w:val="0"/>
                <w:szCs w:val="21"/>
                <w:highlight w:val="none"/>
              </w:rPr>
            </w:pPr>
          </w:p>
        </w:tc>
        <w:tc>
          <w:tcPr>
            <w:tcW w:w="1197" w:type="dxa"/>
            <w:vAlign w:val="center"/>
          </w:tcPr>
          <w:p>
            <w:pPr>
              <w:shd w:val="clear"/>
              <w:snapToGrid w:val="0"/>
              <w:spacing w:before="50" w:afterLines="50"/>
              <w:jc w:val="center"/>
              <w:rPr>
                <w:rFonts w:ascii="宋体" w:hAnsi="宋体" w:cs="宋体"/>
                <w:color w:val="auto"/>
                <w:szCs w:val="21"/>
                <w:highlight w:val="none"/>
              </w:rPr>
            </w:pPr>
          </w:p>
        </w:tc>
      </w:tr>
    </w:tbl>
    <w:p>
      <w:pPr>
        <w:pStyle w:val="17"/>
        <w:spacing w:line="380" w:lineRule="exact"/>
        <w:ind w:firstLine="0" w:firstLineChars="0"/>
        <w:rPr>
          <w:rFonts w:hint="eastAsia"/>
          <w:b w:val="0"/>
          <w:bCs w:val="0"/>
          <w:color w:val="auto"/>
          <w:sz w:val="21"/>
          <w:szCs w:val="21"/>
        </w:rPr>
      </w:pPr>
      <w:r>
        <w:rPr>
          <w:rFonts w:hint="eastAsia"/>
          <w:b w:val="0"/>
          <w:bCs w:val="0"/>
          <w:color w:val="auto"/>
          <w:sz w:val="21"/>
          <w:szCs w:val="21"/>
        </w:rPr>
        <w:t>注：</w:t>
      </w:r>
    </w:p>
    <w:p>
      <w:pPr>
        <w:pStyle w:val="17"/>
        <w:spacing w:line="380" w:lineRule="exact"/>
        <w:ind w:firstLine="0" w:firstLineChars="0"/>
        <w:rPr>
          <w:rFonts w:hint="eastAsia"/>
          <w:b w:val="0"/>
          <w:bCs w:val="0"/>
          <w:color w:val="auto"/>
          <w:sz w:val="21"/>
          <w:szCs w:val="21"/>
        </w:rPr>
      </w:pPr>
      <w:r>
        <w:rPr>
          <w:rFonts w:hint="eastAsia"/>
          <w:b w:val="0"/>
          <w:bCs w:val="0"/>
          <w:color w:val="auto"/>
          <w:sz w:val="21"/>
          <w:szCs w:val="21"/>
        </w:rPr>
        <w:t>1.在填写时，如本表格不适合供应商的实际情况，可根据本表格式自行制表填写。</w:t>
      </w:r>
    </w:p>
    <w:p>
      <w:pPr>
        <w:pStyle w:val="17"/>
        <w:spacing w:line="380" w:lineRule="exact"/>
        <w:ind w:firstLine="0" w:firstLineChars="0"/>
        <w:rPr>
          <w:rFonts w:hint="eastAsia"/>
          <w:b w:val="0"/>
          <w:bCs w:val="0"/>
          <w:color w:val="auto"/>
          <w:sz w:val="21"/>
          <w:szCs w:val="21"/>
        </w:rPr>
      </w:pPr>
      <w:r>
        <w:rPr>
          <w:rFonts w:hint="eastAsia"/>
          <w:b w:val="0"/>
          <w:bCs w:val="0"/>
          <w:color w:val="auto"/>
          <w:sz w:val="21"/>
          <w:szCs w:val="21"/>
        </w:rPr>
        <w:t>2.</w:t>
      </w:r>
      <w:r>
        <w:rPr>
          <w:rFonts w:hint="eastAsia"/>
          <w:b w:val="0"/>
          <w:bCs w:val="0"/>
          <w:color w:val="auto"/>
          <w:sz w:val="21"/>
          <w:szCs w:val="21"/>
          <w:lang w:eastAsia="zh-CN"/>
        </w:rPr>
        <w:t>供应商</w:t>
      </w:r>
      <w:r>
        <w:rPr>
          <w:rFonts w:hint="eastAsia"/>
          <w:b w:val="0"/>
          <w:bCs w:val="0"/>
          <w:color w:val="auto"/>
          <w:sz w:val="21"/>
          <w:szCs w:val="21"/>
        </w:rPr>
        <w:t>应当附本表所列证书的复印件并加盖</w:t>
      </w:r>
      <w:r>
        <w:rPr>
          <w:rFonts w:hint="eastAsia"/>
          <w:b w:val="0"/>
          <w:bCs w:val="0"/>
          <w:color w:val="auto"/>
          <w:sz w:val="21"/>
          <w:szCs w:val="21"/>
          <w:lang w:val="en-US" w:eastAsia="zh-CN"/>
        </w:rPr>
        <w:t>供应商</w:t>
      </w:r>
      <w:r>
        <w:rPr>
          <w:rFonts w:hint="eastAsia"/>
          <w:b w:val="0"/>
          <w:bCs w:val="0"/>
          <w:color w:val="auto"/>
          <w:sz w:val="21"/>
          <w:szCs w:val="21"/>
        </w:rPr>
        <w:t>公章。</w:t>
      </w:r>
    </w:p>
    <w:p>
      <w:pPr>
        <w:snapToGrid w:val="0"/>
        <w:spacing w:before="50" w:after="50" w:line="400" w:lineRule="exact"/>
        <w:ind w:right="-817" w:rightChars="-389"/>
        <w:rPr>
          <w:rFonts w:ascii="宋体" w:hAnsi="宋体"/>
          <w:bCs/>
          <w:color w:val="auto"/>
        </w:rPr>
      </w:pPr>
    </w:p>
    <w:p>
      <w:pPr>
        <w:snapToGrid w:val="0"/>
        <w:spacing w:before="50" w:after="50" w:line="320" w:lineRule="exact"/>
        <w:ind w:right="-817" w:rightChars="-389"/>
        <w:rPr>
          <w:rFonts w:ascii="宋体" w:hAnsi="宋体"/>
          <w:color w:val="auto"/>
          <w:szCs w:val="21"/>
        </w:rPr>
      </w:pPr>
    </w:p>
    <w:p>
      <w:pPr>
        <w:rPr>
          <w:color w:val="auto"/>
        </w:rPr>
      </w:pPr>
    </w:p>
    <w:p>
      <w:pPr>
        <w:spacing w:line="400" w:lineRule="exact"/>
        <w:ind w:left="6090" w:leftChars="2900" w:right="592" w:rightChars="282" w:firstLine="2" w:firstLineChars="1"/>
        <w:jc w:val="left"/>
        <w:rPr>
          <w:rFonts w:ascii="宋体" w:hAnsi="宋体"/>
          <w:bCs/>
          <w:color w:val="auto"/>
        </w:rPr>
      </w:pPr>
      <w:r>
        <w:rPr>
          <w:rFonts w:hint="eastAsia" w:ascii="宋体" w:hAnsi="宋体"/>
          <w:bCs/>
          <w:color w:val="auto"/>
        </w:rPr>
        <w:t>供应商（盖章）：</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p>
    <w:p>
      <w:pPr>
        <w:snapToGrid w:val="0"/>
        <w:spacing w:before="50" w:after="50" w:line="350" w:lineRule="exact"/>
        <w:ind w:right="-817" w:rightChars="-389" w:firstLine="6090" w:firstLineChars="2900"/>
        <w:jc w:val="left"/>
        <w:rPr>
          <w:color w:val="auto"/>
        </w:rPr>
      </w:pPr>
      <w:r>
        <w:rPr>
          <w:rFonts w:hint="eastAsia" w:ascii="宋体" w:hAnsi="宋体"/>
          <w:bCs/>
          <w:color w:val="auto"/>
        </w:rPr>
        <w:t>日期：</w:t>
      </w:r>
      <w:r>
        <w:rPr>
          <w:rFonts w:hint="eastAsia" w:ascii="宋体" w:hAnsi="宋体"/>
          <w:bCs/>
          <w:color w:val="auto"/>
          <w:u w:val="single"/>
        </w:rPr>
        <w:t xml:space="preserve">    </w:t>
      </w:r>
      <w:r>
        <w:rPr>
          <w:rFonts w:ascii="宋体" w:hAnsi="宋体"/>
          <w:bCs/>
          <w:color w:val="auto"/>
          <w:u w:val="single"/>
        </w:rPr>
        <w:t xml:space="preserve">  </w:t>
      </w:r>
      <w:r>
        <w:rPr>
          <w:rFonts w:hint="eastAsia" w:ascii="宋体" w:hAnsi="宋体"/>
          <w:bCs/>
          <w:color w:val="auto"/>
          <w:u w:val="single"/>
        </w:rPr>
        <w:t xml:space="preserve">  </w:t>
      </w:r>
      <w:r>
        <w:rPr>
          <w:rFonts w:hint="eastAsia" w:ascii="宋体" w:hAnsi="宋体"/>
          <w:bCs/>
          <w:color w:val="auto"/>
        </w:rPr>
        <w:t>年</w:t>
      </w:r>
      <w:r>
        <w:rPr>
          <w:rFonts w:hint="eastAsia" w:ascii="宋体" w:hAnsi="宋体"/>
          <w:bCs/>
          <w:color w:val="auto"/>
          <w:u w:val="single"/>
        </w:rPr>
        <w:t xml:space="preserve">   </w:t>
      </w:r>
      <w:r>
        <w:rPr>
          <w:rFonts w:hint="eastAsia" w:ascii="宋体" w:hAnsi="宋体"/>
          <w:bCs/>
          <w:color w:val="auto"/>
        </w:rPr>
        <w:t>月</w:t>
      </w:r>
      <w:r>
        <w:rPr>
          <w:rFonts w:hint="eastAsia" w:ascii="宋体" w:hAnsi="宋体"/>
          <w:bCs/>
          <w:color w:val="auto"/>
          <w:u w:val="single"/>
        </w:rPr>
        <w:t xml:space="preserve">   </w:t>
      </w:r>
      <w:r>
        <w:rPr>
          <w:rFonts w:hint="eastAsia" w:ascii="宋体" w:hAnsi="宋体"/>
          <w:bCs/>
          <w:color w:val="auto"/>
        </w:rPr>
        <w:t>日</w:t>
      </w:r>
    </w:p>
    <w:p>
      <w:pPr>
        <w:pStyle w:val="103"/>
        <w:rPr>
          <w:rFonts w:ascii="宋体" w:hAnsi="宋体" w:cs="宋体"/>
          <w:color w:val="auto"/>
          <w:sz w:val="21"/>
          <w:szCs w:val="21"/>
        </w:rPr>
      </w:pPr>
    </w:p>
    <w:p>
      <w:pPr>
        <w:pStyle w:val="103"/>
        <w:rPr>
          <w:rFonts w:ascii="宋体" w:hAnsi="宋体" w:cs="宋体"/>
          <w:color w:val="auto"/>
          <w:sz w:val="21"/>
          <w:szCs w:val="21"/>
        </w:rPr>
      </w:pPr>
    </w:p>
    <w:bookmarkEnd w:id="78"/>
    <w:bookmarkEnd w:id="79"/>
    <w:bookmarkEnd w:id="80"/>
    <w:bookmarkEnd w:id="81"/>
    <w:p>
      <w:pPr>
        <w:spacing w:line="320" w:lineRule="exact"/>
        <w:jc w:val="left"/>
        <w:rPr>
          <w:color w:val="auto"/>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hint="eastAsia" w:ascii="宋体" w:hAnsi="宋体"/>
          <w:b/>
          <w:bCs/>
          <w:color w:val="auto"/>
          <w:sz w:val="36"/>
          <w:szCs w:val="36"/>
        </w:rPr>
      </w:pPr>
    </w:p>
    <w:p>
      <w:pPr>
        <w:jc w:val="left"/>
        <w:rPr>
          <w:rFonts w:ascii="宋体" w:hAnsi="宋体"/>
          <w:b/>
          <w:bCs/>
          <w:color w:val="auto"/>
          <w:sz w:val="36"/>
          <w:szCs w:val="36"/>
        </w:rPr>
      </w:pPr>
      <w:r>
        <w:rPr>
          <w:rFonts w:hint="eastAsia" w:ascii="宋体" w:hAnsi="宋体"/>
          <w:b/>
          <w:bCs/>
          <w:color w:val="auto"/>
          <w:sz w:val="36"/>
          <w:szCs w:val="36"/>
        </w:rPr>
        <w:t>三、报价文件</w:t>
      </w:r>
    </w:p>
    <w:p>
      <w:pPr>
        <w:jc w:val="center"/>
        <w:rPr>
          <w:rFonts w:ascii="仿宋" w:hAnsi="仿宋" w:eastAsia="仿宋"/>
          <w:b/>
          <w:bCs/>
          <w:color w:val="auto"/>
          <w:sz w:val="30"/>
          <w:szCs w:val="30"/>
        </w:rPr>
      </w:pPr>
      <w:r>
        <w:rPr>
          <w:rFonts w:hint="eastAsia" w:ascii="仿宋" w:hAnsi="仿宋" w:eastAsia="仿宋"/>
          <w:b/>
          <w:bCs/>
          <w:color w:val="auto"/>
          <w:sz w:val="32"/>
          <w:szCs w:val="32"/>
        </w:rPr>
        <w:t>报价明细表</w:t>
      </w:r>
      <w:r>
        <w:rPr>
          <w:rFonts w:hint="eastAsia" w:ascii="仿宋" w:hAnsi="仿宋" w:eastAsia="仿宋"/>
          <w:color w:val="auto"/>
          <w:sz w:val="24"/>
        </w:rPr>
        <w:t>(格式</w:t>
      </w:r>
      <w:r>
        <w:rPr>
          <w:rFonts w:ascii="仿宋" w:hAnsi="仿宋" w:eastAsia="仿宋"/>
          <w:color w:val="auto"/>
          <w:sz w:val="24"/>
        </w:rPr>
        <w:t>)</w:t>
      </w:r>
    </w:p>
    <w:p>
      <w:pPr>
        <w:rPr>
          <w:color w:val="auto"/>
        </w:rPr>
      </w:pPr>
    </w:p>
    <w:p>
      <w:pPr>
        <w:spacing w:line="400" w:lineRule="exact"/>
        <w:jc w:val="left"/>
        <w:rPr>
          <w:rFonts w:ascii="宋体" w:hAnsi="宋体"/>
          <w:color w:val="auto"/>
          <w:szCs w:val="21"/>
        </w:rPr>
      </w:pPr>
      <w:r>
        <w:rPr>
          <w:rFonts w:hint="eastAsia" w:ascii="宋体" w:hAnsi="宋体"/>
          <w:color w:val="auto"/>
          <w:szCs w:val="21"/>
        </w:rPr>
        <w:t>项目编号：</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p>
      <w:pPr>
        <w:spacing w:line="400" w:lineRule="exact"/>
        <w:jc w:val="left"/>
        <w:rPr>
          <w:rFonts w:ascii="宋体" w:hAnsi="宋体"/>
          <w:color w:val="auto"/>
          <w:szCs w:val="21"/>
          <w:u w:val="single"/>
        </w:rPr>
      </w:pPr>
      <w:r>
        <w:rPr>
          <w:rFonts w:hint="eastAsia" w:ascii="宋体" w:hAnsi="宋体"/>
          <w:color w:val="auto"/>
          <w:szCs w:val="21"/>
        </w:rPr>
        <w:t>项目名称：</w:t>
      </w:r>
      <w:r>
        <w:rPr>
          <w:rFonts w:hint="eastAsia" w:ascii="宋体" w:hAnsi="宋体"/>
          <w:color w:val="auto"/>
          <w:szCs w:val="21"/>
          <w:u w:val="single"/>
        </w:rPr>
        <w:t xml:space="preserve">              </w:t>
      </w:r>
      <w:r>
        <w:rPr>
          <w:rFonts w:ascii="宋体" w:hAnsi="宋体"/>
          <w:color w:val="auto"/>
          <w:szCs w:val="21"/>
          <w:u w:val="single"/>
        </w:rPr>
        <w:t xml:space="preserve">    </w:t>
      </w:r>
      <w:r>
        <w:rPr>
          <w:rFonts w:hint="eastAsia" w:ascii="宋体" w:hAnsi="宋体"/>
          <w:color w:val="auto"/>
          <w:szCs w:val="21"/>
          <w:u w:val="single"/>
        </w:rPr>
        <w:t xml:space="preserve">   </w:t>
      </w:r>
    </w:p>
    <w:tbl>
      <w:tblPr>
        <w:tblStyle w:val="39"/>
        <w:tblW w:w="9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3822"/>
        <w:gridCol w:w="3378"/>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709" w:type="dxa"/>
            <w:vAlign w:val="center"/>
          </w:tcPr>
          <w:p>
            <w:pPr>
              <w:widowControl/>
              <w:jc w:val="center"/>
              <w:rPr>
                <w:rFonts w:ascii="宋体" w:hAnsi="宋体" w:cs="宋体"/>
                <w:b/>
                <w:color w:val="auto"/>
                <w:kern w:val="0"/>
                <w:sz w:val="22"/>
                <w:szCs w:val="22"/>
              </w:rPr>
            </w:pPr>
            <w:r>
              <w:rPr>
                <w:rFonts w:hint="eastAsia" w:ascii="宋体" w:hAnsi="宋体" w:cs="宋体"/>
                <w:b/>
                <w:color w:val="auto"/>
                <w:kern w:val="0"/>
                <w:sz w:val="22"/>
                <w:szCs w:val="22"/>
              </w:rPr>
              <w:t>序号</w:t>
            </w:r>
          </w:p>
        </w:tc>
        <w:tc>
          <w:tcPr>
            <w:tcW w:w="3822" w:type="dxa"/>
            <w:vAlign w:val="center"/>
          </w:tcPr>
          <w:p>
            <w:pPr>
              <w:widowControl/>
              <w:jc w:val="center"/>
              <w:rPr>
                <w:rFonts w:hint="default" w:ascii="宋体" w:hAnsi="宋体" w:eastAsia="宋体" w:cs="宋体"/>
                <w:b/>
                <w:color w:val="auto"/>
                <w:kern w:val="0"/>
                <w:sz w:val="22"/>
                <w:szCs w:val="22"/>
                <w:lang w:val="en-US" w:eastAsia="zh-CN"/>
              </w:rPr>
            </w:pPr>
            <w:r>
              <w:rPr>
                <w:rFonts w:hint="eastAsia" w:ascii="宋体" w:hAnsi="宋体" w:cs="宋体"/>
                <w:b/>
                <w:color w:val="auto"/>
                <w:kern w:val="0"/>
                <w:sz w:val="22"/>
                <w:szCs w:val="22"/>
                <w:lang w:val="en-US" w:eastAsia="zh-CN"/>
              </w:rPr>
              <w:t>标的名称</w:t>
            </w:r>
          </w:p>
        </w:tc>
        <w:tc>
          <w:tcPr>
            <w:tcW w:w="3378" w:type="dxa"/>
            <w:vAlign w:val="center"/>
          </w:tcPr>
          <w:p>
            <w:pPr>
              <w:widowControl/>
              <w:jc w:val="center"/>
              <w:rPr>
                <w:rFonts w:ascii="宋体" w:hAnsi="宋体" w:cs="宋体"/>
                <w:b/>
                <w:color w:val="auto"/>
                <w:kern w:val="0"/>
                <w:szCs w:val="21"/>
              </w:rPr>
            </w:pPr>
            <w:r>
              <w:rPr>
                <w:rFonts w:hint="eastAsia" w:ascii="宋体" w:hAnsi="宋体" w:cs="宋体"/>
                <w:b/>
                <w:color w:val="auto"/>
                <w:kern w:val="0"/>
                <w:szCs w:val="21"/>
              </w:rPr>
              <w:t>报价</w:t>
            </w:r>
          </w:p>
        </w:tc>
        <w:tc>
          <w:tcPr>
            <w:tcW w:w="1386" w:type="dxa"/>
            <w:vAlign w:val="center"/>
          </w:tcPr>
          <w:p>
            <w:pPr>
              <w:widowControl/>
              <w:jc w:val="center"/>
              <w:rPr>
                <w:rFonts w:ascii="宋体" w:hAnsi="宋体" w:cs="宋体"/>
                <w:b/>
                <w:color w:val="auto"/>
                <w:kern w:val="0"/>
                <w:szCs w:val="21"/>
              </w:rPr>
            </w:pPr>
            <w:r>
              <w:rPr>
                <w:rFonts w:hint="eastAsia" w:ascii="宋体" w:hAnsi="宋体" w:cs="宋体"/>
                <w:b/>
                <w:color w:val="auto"/>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0" w:hRule="atLeast"/>
          <w:jc w:val="center"/>
        </w:trPr>
        <w:tc>
          <w:tcPr>
            <w:tcW w:w="709" w:type="dxa"/>
            <w:vAlign w:val="center"/>
          </w:tcPr>
          <w:p>
            <w:pPr>
              <w:widowControl/>
              <w:jc w:val="center"/>
              <w:rPr>
                <w:rFonts w:ascii="宋体" w:hAnsi="宋体" w:cs="宋体"/>
                <w:color w:val="auto"/>
                <w:kern w:val="0"/>
                <w:sz w:val="22"/>
                <w:szCs w:val="22"/>
              </w:rPr>
            </w:pPr>
            <w:r>
              <w:rPr>
                <w:rFonts w:hint="eastAsia" w:ascii="宋体" w:hAnsi="宋体" w:cs="宋体"/>
                <w:color w:val="auto"/>
                <w:kern w:val="0"/>
                <w:sz w:val="22"/>
                <w:szCs w:val="22"/>
              </w:rPr>
              <w:t>1</w:t>
            </w:r>
          </w:p>
        </w:tc>
        <w:tc>
          <w:tcPr>
            <w:tcW w:w="3822" w:type="dxa"/>
            <w:vAlign w:val="center"/>
          </w:tcPr>
          <w:p>
            <w:pPr>
              <w:widowControl/>
              <w:jc w:val="center"/>
              <w:rPr>
                <w:rFonts w:ascii="宋体" w:hAnsi="宋体"/>
                <w:bCs/>
                <w:color w:val="auto"/>
              </w:rPr>
            </w:pPr>
            <w:r>
              <w:rPr>
                <w:rFonts w:hint="eastAsia" w:ascii="宋体" w:hAnsi="宋体"/>
                <w:color w:val="auto"/>
                <w:szCs w:val="21"/>
                <w:lang w:val="en-US" w:eastAsia="zh-CN"/>
              </w:rPr>
              <w:t>钦州市儿童福利院康复特教中心物业管理服务</w:t>
            </w:r>
          </w:p>
        </w:tc>
        <w:tc>
          <w:tcPr>
            <w:tcW w:w="3378" w:type="dxa"/>
            <w:vAlign w:val="center"/>
          </w:tcPr>
          <w:p>
            <w:pPr>
              <w:widowControl/>
              <w:spacing w:line="500" w:lineRule="exact"/>
              <w:jc w:val="center"/>
              <w:rPr>
                <w:rFonts w:ascii="宋体" w:hAnsi="宋体" w:cs="宋体"/>
                <w:color w:val="auto"/>
                <w:kern w:val="0"/>
                <w:szCs w:val="21"/>
                <w:u w:val="single"/>
              </w:rPr>
            </w:pPr>
            <w:r>
              <w:rPr>
                <w:rFonts w:hint="eastAsia" w:ascii="宋体" w:hAnsi="宋体" w:cs="宋体"/>
                <w:color w:val="auto"/>
                <w:kern w:val="0"/>
                <w:szCs w:val="21"/>
              </w:rPr>
              <w:t>大写：</w:t>
            </w:r>
            <w:r>
              <w:rPr>
                <w:rFonts w:hint="eastAsia" w:ascii="宋体" w:hAnsi="宋体" w:cs="宋体"/>
                <w:color w:val="auto"/>
                <w:kern w:val="0"/>
                <w:szCs w:val="21"/>
                <w:u w:val="single"/>
              </w:rPr>
              <w:t xml:space="preserve">                   元整</w:t>
            </w:r>
          </w:p>
          <w:p>
            <w:pPr>
              <w:widowControl/>
              <w:spacing w:line="500" w:lineRule="exact"/>
              <w:rPr>
                <w:rFonts w:ascii="宋体" w:hAnsi="宋体" w:cs="宋体"/>
                <w:color w:val="auto"/>
                <w:kern w:val="0"/>
                <w:szCs w:val="21"/>
                <w:u w:val="single"/>
              </w:rPr>
            </w:pPr>
            <w:r>
              <w:rPr>
                <w:rFonts w:hint="eastAsia" w:ascii="宋体" w:hAnsi="宋体" w:cs="宋体"/>
                <w:color w:val="auto"/>
                <w:kern w:val="0"/>
                <w:szCs w:val="21"/>
              </w:rPr>
              <w:t>小写：</w:t>
            </w:r>
            <w:r>
              <w:rPr>
                <w:rFonts w:hint="eastAsia" w:ascii="宋体" w:hAnsi="宋体" w:cs="宋体"/>
                <w:color w:val="auto"/>
                <w:kern w:val="0"/>
                <w:szCs w:val="21"/>
                <w:u w:val="single"/>
              </w:rPr>
              <w:t xml:space="preserve">￥          </w:t>
            </w:r>
            <w:r>
              <w:rPr>
                <w:rFonts w:ascii="宋体" w:hAnsi="宋体" w:cs="宋体"/>
                <w:color w:val="auto"/>
                <w:kern w:val="0"/>
                <w:szCs w:val="21"/>
                <w:u w:val="single"/>
              </w:rPr>
              <w:t xml:space="preserve"> </w:t>
            </w:r>
            <w:r>
              <w:rPr>
                <w:rFonts w:hint="eastAsia" w:ascii="宋体" w:hAnsi="宋体" w:cs="宋体"/>
                <w:color w:val="auto"/>
                <w:kern w:val="0"/>
                <w:szCs w:val="21"/>
                <w:u w:val="single"/>
              </w:rPr>
              <w:t xml:space="preserve">          </w:t>
            </w:r>
          </w:p>
        </w:tc>
        <w:tc>
          <w:tcPr>
            <w:tcW w:w="1386" w:type="dxa"/>
            <w:vAlign w:val="center"/>
          </w:tcPr>
          <w:p>
            <w:pPr>
              <w:widowControl/>
              <w:jc w:val="center"/>
              <w:rPr>
                <w:rFonts w:ascii="宋体" w:hAnsi="宋体" w:cs="宋体"/>
                <w:color w:val="auto"/>
                <w:kern w:val="0"/>
                <w:szCs w:val="21"/>
              </w:rPr>
            </w:pPr>
          </w:p>
        </w:tc>
      </w:tr>
    </w:tbl>
    <w:p>
      <w:pPr>
        <w:spacing w:line="440" w:lineRule="exact"/>
        <w:rPr>
          <w:rFonts w:ascii="宋体" w:hAnsi="宋体"/>
          <w:color w:val="auto"/>
          <w:szCs w:val="21"/>
        </w:rPr>
      </w:pPr>
      <w:r>
        <w:rPr>
          <w:rFonts w:hint="eastAsia" w:ascii="宋体" w:hAnsi="宋体"/>
          <w:color w:val="auto"/>
          <w:szCs w:val="21"/>
        </w:rPr>
        <w:t>注：所有价格均用人民币表示，单位为元，精确到个数位。</w:t>
      </w:r>
    </w:p>
    <w:p>
      <w:pPr>
        <w:pStyle w:val="23"/>
        <w:spacing w:before="50" w:after="50" w:line="360" w:lineRule="exact"/>
        <w:ind w:firstLine="420"/>
        <w:rPr>
          <w:color w:val="auto"/>
        </w:rPr>
      </w:pPr>
      <w:r>
        <w:rPr>
          <w:rFonts w:hint="eastAsia" w:ascii="宋体" w:hAnsi="宋体"/>
          <w:color w:val="auto"/>
          <w:szCs w:val="21"/>
        </w:rPr>
        <w:t xml:space="preserve">   </w:t>
      </w:r>
    </w:p>
    <w:p>
      <w:pPr>
        <w:rPr>
          <w:color w:val="auto"/>
        </w:rPr>
      </w:pPr>
    </w:p>
    <w:p>
      <w:pPr>
        <w:rPr>
          <w:color w:val="auto"/>
        </w:rPr>
      </w:pPr>
    </w:p>
    <w:p>
      <w:pPr>
        <w:rPr>
          <w:color w:val="auto"/>
        </w:rPr>
      </w:pPr>
    </w:p>
    <w:p>
      <w:pPr>
        <w:pStyle w:val="23"/>
        <w:spacing w:line="440" w:lineRule="exact"/>
        <w:ind w:firstLine="3675" w:firstLineChars="1750"/>
        <w:rPr>
          <w:rFonts w:hAnsi="宋体"/>
          <w:color w:val="auto"/>
          <w:u w:val="single"/>
        </w:rPr>
      </w:pPr>
      <w:r>
        <w:rPr>
          <w:rFonts w:hint="eastAsia" w:hAnsi="宋体"/>
          <w:color w:val="auto"/>
        </w:rPr>
        <w:t>供应商（盖章）：</w:t>
      </w:r>
      <w:r>
        <w:rPr>
          <w:rFonts w:hint="eastAsia" w:hAnsi="宋体"/>
          <w:color w:val="auto"/>
          <w:u w:val="single"/>
        </w:rPr>
        <w:t xml:space="preserve">    </w:t>
      </w:r>
      <w:r>
        <w:rPr>
          <w:rFonts w:hAnsi="宋体"/>
          <w:color w:val="auto"/>
          <w:u w:val="single"/>
        </w:rPr>
        <w:t xml:space="preserve">    </w:t>
      </w:r>
      <w:r>
        <w:rPr>
          <w:rFonts w:hint="eastAsia" w:hAnsi="宋体"/>
          <w:color w:val="auto"/>
          <w:u w:val="single"/>
        </w:rPr>
        <w:t xml:space="preserve">       </w:t>
      </w:r>
      <w:r>
        <w:rPr>
          <w:rFonts w:hAnsi="宋体"/>
          <w:color w:val="auto"/>
          <w:u w:val="single"/>
        </w:rPr>
        <w:t xml:space="preserve">    </w:t>
      </w:r>
      <w:r>
        <w:rPr>
          <w:rFonts w:hint="eastAsia" w:hAnsi="宋体"/>
          <w:color w:val="auto"/>
          <w:u w:val="single"/>
        </w:rPr>
        <w:t xml:space="preserve">            </w:t>
      </w:r>
    </w:p>
    <w:p>
      <w:pPr>
        <w:spacing w:line="440" w:lineRule="exact"/>
        <w:ind w:firstLine="3675" w:firstLineChars="1750"/>
        <w:rPr>
          <w:rFonts w:ascii="宋体" w:hAnsi="宋体"/>
          <w:color w:val="auto"/>
          <w:szCs w:val="21"/>
        </w:rPr>
      </w:pPr>
      <w:r>
        <w:rPr>
          <w:rFonts w:hint="eastAsia" w:hAnsi="宋体"/>
          <w:color w:val="auto"/>
        </w:rPr>
        <w:t>日期：</w:t>
      </w:r>
      <w:r>
        <w:rPr>
          <w:rFonts w:hint="eastAsia" w:hAnsi="宋体"/>
          <w:color w:val="auto"/>
          <w:u w:val="single"/>
        </w:rPr>
        <w:t xml:space="preserve">    </w:t>
      </w:r>
      <w:r>
        <w:rPr>
          <w:rFonts w:hAnsi="宋体"/>
          <w:color w:val="auto"/>
          <w:u w:val="single"/>
        </w:rPr>
        <w:t xml:space="preserve">  </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Ansi="宋体"/>
          <w:color w:val="auto"/>
          <w:u w:val="single"/>
        </w:rPr>
        <w:t xml:space="preserve"> </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Ansi="宋体"/>
          <w:color w:val="auto"/>
          <w:u w:val="single"/>
        </w:rPr>
        <w:t xml:space="preserve"> </w:t>
      </w:r>
      <w:r>
        <w:rPr>
          <w:rFonts w:hint="eastAsia" w:hAnsi="宋体"/>
          <w:color w:val="auto"/>
          <w:u w:val="single"/>
        </w:rPr>
        <w:t xml:space="preserve">  </w:t>
      </w:r>
      <w:r>
        <w:rPr>
          <w:rFonts w:hint="eastAsia" w:hAnsi="宋体"/>
          <w:color w:val="auto"/>
        </w:rPr>
        <w:t>日</w:t>
      </w:r>
    </w:p>
    <w:sectPr>
      <w:headerReference r:id="rId5" w:type="default"/>
      <w:footerReference r:id="rId6" w:type="default"/>
      <w:pgSz w:w="11906" w:h="16838"/>
      <w:pgMar w:top="936" w:right="991" w:bottom="1135" w:left="993"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Adobe 仿宋 Std R">
    <w:altName w:val="仿宋"/>
    <w:panose1 w:val="02020400000000000000"/>
    <w:charset w:val="86"/>
    <w:family w:val="roman"/>
    <w:pitch w:val="default"/>
    <w:sig w:usb0="00000000" w:usb1="00000000" w:usb2="00000016" w:usb3="00000000" w:csb0="00060007"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center"/>
    </w:pPr>
  </w:p>
  <w:p>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1mLBgMCAAAEBAAADgAAAGRycy9lMm9Eb2MueG1srVNLbtswEN0X6B0I&#10;7mvZXhSGYDlIY7gokH6AtAcYU5RFVOQQQ9qSe4D2Bl11033P5XNkKFlOmm6y6IYYDodv3nscLq86&#10;24iDpmDQFXI2mUqhncLSuF0hv3zevFpIESK4Ehp0upBHHeTV6uWLZetzPccam1KTYBAX8tYXso7R&#10;51kWVK0thAl67fiwQrIQeUu7rCRoGd022Xw6fZ21SKUnVDoEzq6HQ3lGpOcAYlUZpdeo9la7OKCS&#10;biCypFAbH+SqZ1tVWsWPVRV0FE0hWWnsV27C8Tat2WoJ+Y7A10adKcBzKDzRZME4bnqBWkMEsSfz&#10;D5Q1ijBgFScKbTYI6R1hFbPpE2/uavC618JWB38xPfw/WPXh8ImEKXkSpHBg+cFPP3+cfv05/f4u&#10;5sme1oecq+4818XuDXapNEkN/hbV1yAc3tTgdvqaCNtaQ8n0Zulm9ujqgBMSyLZ9jyX3gX3EHqir&#10;yCZAdkMwOj/N8fI0uotCpZaL+WIx5SPFZ+Mm9YB8vO4pxLcarUhBIYnfvoeHw22IQ+lYkro53Jim&#10;4TzkjfsrwZgp09NPjAfusdt2XJ00bbE8shDCYZz4M3FQI32TouVRKqTjnyNF886xFWnqxoDGYDsG&#10;4BRfLGSUYghv4jCde09mVzPuaPY127UxvZAHDmeWPBy9FedBTtP3eN9XPXze1T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OqXm5zwAAAAUBAAAPAAAAAAAAAAEAIAAAACIAAABkcnMvZG93bnJldi54&#10;bWxQSwECFAAUAAAACACHTuJAf1mLBgMCAAAEBAAADgAAAAAAAAABACAAAAAeAQAAZHJzL2Uyb0Rv&#10;Yy54bWxQSwUGAAAAAAYABgBZAQAAkw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w:t>
                    </w:r>
                    <w:r>
                      <w:rPr>
                        <w:rFonts w:hint="eastAsia"/>
                        <w:sz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02564419"/>
    </w:sdtPr>
    <w:sdtContent>
      <w:p>
        <w:pPr>
          <w:pStyle w:val="27"/>
          <w:jc w:val="center"/>
        </w:pPr>
        <w:r>
          <w:fldChar w:fldCharType="begin"/>
        </w:r>
        <w:r>
          <w:instrText xml:space="preserve">PAGE   \* MERGEFORMAT</w:instrText>
        </w:r>
        <w:r>
          <w:fldChar w:fldCharType="separate"/>
        </w:r>
        <w:r>
          <w:t>2</w:t>
        </w:r>
        <w:r>
          <w:fldChar w:fldCharType="end"/>
        </w:r>
      </w:p>
    </w:sdtContent>
  </w:sdt>
  <w:p>
    <w:pPr>
      <w:pStyle w:val="2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hint="eastAsia"/>
        <w:lang w:eastAsia="zh-CN"/>
      </w:rPr>
    </w:pPr>
    <w:r>
      <w:rPr>
        <w:rFonts w:hint="eastAsia"/>
      </w:rPr>
      <w:t xml:space="preserve">钦州市政府采购中心     </w:t>
    </w:r>
    <w:r>
      <w:rPr>
        <w:rFonts w:hint="eastAsia"/>
        <w:lang w:val="en-US" w:eastAsia="zh-CN"/>
      </w:rPr>
      <w:t xml:space="preserve">         </w:t>
    </w:r>
    <w:bookmarkStart w:id="234" w:name="OLE_LINK5"/>
    <w:r>
      <w:rPr>
        <w:rFonts w:hint="eastAsia" w:ascii="宋体" w:hAnsi="宋体"/>
        <w:color w:val="auto"/>
        <w:szCs w:val="21"/>
        <w:lang w:val="en-US" w:eastAsia="zh-CN"/>
      </w:rPr>
      <w:t>钦州市儿童福利院康复特教中心物业管理服务</w:t>
    </w:r>
    <w:bookmarkEnd w:id="234"/>
    <w:r>
      <w:rPr>
        <w:rFonts w:hint="eastAsia"/>
        <w:lang w:eastAsia="zh-CN"/>
      </w:rPr>
      <w:t>(QZZC2026-C3-990309-QZSZ)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chineseCountingThousand"/>
      <w:pStyle w:val="21"/>
      <w:suff w:val="nothing"/>
      <w:lvlText w:val="第%1章"/>
      <w:lvlJc w:val="left"/>
      <w:pPr>
        <w:ind w:left="142" w:firstLine="0"/>
      </w:pPr>
      <w:rPr>
        <w:rFonts w:hint="eastAsia" w:ascii="仿宋_GB2312" w:eastAsia="仿宋_GB2312"/>
        <w:sz w:val="44"/>
      </w:rPr>
    </w:lvl>
    <w:lvl w:ilvl="1" w:tentative="0">
      <w:start w:val="1"/>
      <w:numFmt w:val="none"/>
      <w:suff w:val="nothing"/>
      <w:lvlText w:val=""/>
      <w:lvlJc w:val="left"/>
      <w:pPr>
        <w:ind w:left="142" w:firstLine="0"/>
      </w:pPr>
      <w:rPr>
        <w:rFonts w:hint="eastAsia"/>
      </w:rPr>
    </w:lvl>
    <w:lvl w:ilvl="2" w:tentative="0">
      <w:start w:val="1"/>
      <w:numFmt w:val="none"/>
      <w:suff w:val="nothing"/>
      <w:lvlText w:val=""/>
      <w:lvlJc w:val="left"/>
      <w:pPr>
        <w:ind w:left="142" w:firstLine="0"/>
      </w:pPr>
      <w:rPr>
        <w:rFonts w:hint="eastAsia"/>
      </w:rPr>
    </w:lvl>
    <w:lvl w:ilvl="3" w:tentative="0">
      <w:start w:val="1"/>
      <w:numFmt w:val="none"/>
      <w:suff w:val="nothing"/>
      <w:lvlText w:val=""/>
      <w:lvlJc w:val="left"/>
      <w:pPr>
        <w:ind w:left="142" w:firstLine="0"/>
      </w:pPr>
      <w:rPr>
        <w:rFonts w:hint="eastAsia"/>
      </w:rPr>
    </w:lvl>
    <w:lvl w:ilvl="4" w:tentative="0">
      <w:start w:val="1"/>
      <w:numFmt w:val="none"/>
      <w:pStyle w:val="6"/>
      <w:suff w:val="nothing"/>
      <w:lvlText w:val=""/>
      <w:lvlJc w:val="left"/>
      <w:pPr>
        <w:ind w:left="142" w:firstLine="0"/>
      </w:pPr>
      <w:rPr>
        <w:rFonts w:hint="eastAsia"/>
      </w:rPr>
    </w:lvl>
    <w:lvl w:ilvl="5" w:tentative="0">
      <w:start w:val="1"/>
      <w:numFmt w:val="none"/>
      <w:pStyle w:val="8"/>
      <w:suff w:val="nothing"/>
      <w:lvlText w:val=""/>
      <w:lvlJc w:val="left"/>
      <w:pPr>
        <w:ind w:left="142" w:firstLine="0"/>
      </w:pPr>
      <w:rPr>
        <w:rFonts w:hint="eastAsia"/>
      </w:rPr>
    </w:lvl>
    <w:lvl w:ilvl="6" w:tentative="0">
      <w:start w:val="1"/>
      <w:numFmt w:val="none"/>
      <w:pStyle w:val="9"/>
      <w:suff w:val="nothing"/>
      <w:lvlText w:val=""/>
      <w:lvlJc w:val="left"/>
      <w:pPr>
        <w:ind w:left="142" w:firstLine="0"/>
      </w:pPr>
      <w:rPr>
        <w:rFonts w:hint="eastAsia"/>
      </w:rPr>
    </w:lvl>
    <w:lvl w:ilvl="7" w:tentative="0">
      <w:start w:val="1"/>
      <w:numFmt w:val="none"/>
      <w:pStyle w:val="10"/>
      <w:suff w:val="nothing"/>
      <w:lvlText w:val=""/>
      <w:lvlJc w:val="left"/>
      <w:pPr>
        <w:ind w:left="142" w:firstLine="0"/>
      </w:pPr>
      <w:rPr>
        <w:rFonts w:hint="eastAsia"/>
      </w:rPr>
    </w:lvl>
    <w:lvl w:ilvl="8" w:tentative="0">
      <w:start w:val="1"/>
      <w:numFmt w:val="none"/>
      <w:pStyle w:val="11"/>
      <w:suff w:val="nothing"/>
      <w:lvlText w:val=""/>
      <w:lvlJc w:val="left"/>
      <w:pPr>
        <w:ind w:left="142" w:firstLine="0"/>
      </w:pPr>
      <w:rPr>
        <w:rFonts w:hint="eastAsia"/>
      </w:rPr>
    </w:lvl>
  </w:abstractNum>
  <w:abstractNum w:abstractNumId="1">
    <w:nsid w:val="10623B36"/>
    <w:multiLevelType w:val="singleLevel"/>
    <w:tmpl w:val="10623B36"/>
    <w:lvl w:ilvl="0" w:tentative="0">
      <w:start w:val="1"/>
      <w:numFmt w:val="decimal"/>
      <w:suff w:val="nothing"/>
      <w:lvlText w:val="（%1）"/>
      <w:lvlJc w:val="left"/>
    </w:lvl>
  </w:abstractNum>
  <w:abstractNum w:abstractNumId="2">
    <w:nsid w:val="34F2DE46"/>
    <w:multiLevelType w:val="singleLevel"/>
    <w:tmpl w:val="34F2DE46"/>
    <w:lvl w:ilvl="0" w:tentative="0">
      <w:start w:val="1"/>
      <w:numFmt w:val="decimal"/>
      <w:lvlText w:val="%1."/>
      <w:lvlJc w:val="left"/>
      <w:pPr>
        <w:tabs>
          <w:tab w:val="left" w:pos="312"/>
        </w:tabs>
      </w:pPr>
    </w:lvl>
  </w:abstractNum>
  <w:abstractNum w:abstractNumId="3">
    <w:nsid w:val="625CDDDB"/>
    <w:multiLevelType w:val="singleLevel"/>
    <w:tmpl w:val="625CDDDB"/>
    <w:lvl w:ilvl="0" w:tentative="0">
      <w:start w:val="1"/>
      <w:numFmt w:val="decimal"/>
      <w:lvlText w:val="%1."/>
      <w:lvlJc w:val="left"/>
      <w:pPr>
        <w:tabs>
          <w:tab w:val="left" w:pos="312"/>
        </w:tabs>
      </w:pPr>
    </w:lvl>
  </w:abstractNum>
  <w:abstractNum w:abstractNumId="4">
    <w:nsid w:val="65C333B0"/>
    <w:multiLevelType w:val="singleLevel"/>
    <w:tmpl w:val="65C333B0"/>
    <w:lvl w:ilvl="0" w:tentative="0">
      <w:start w:val="1"/>
      <w:numFmt w:val="decimal"/>
      <w:lvlText w:val="%1."/>
      <w:lvlJc w:val="left"/>
      <w:pPr>
        <w:tabs>
          <w:tab w:val="left" w:pos="312"/>
        </w:tabs>
      </w:pPr>
    </w:lvl>
  </w:abstractNum>
  <w:abstractNum w:abstractNumId="5">
    <w:nsid w:val="7F065535"/>
    <w:multiLevelType w:val="singleLevel"/>
    <w:tmpl w:val="7F065535"/>
    <w:lvl w:ilvl="0" w:tentative="0">
      <w:start w:val="6"/>
      <w:numFmt w:val="decimal"/>
      <w:suff w:val="space"/>
      <w:lvlText w:val="%1."/>
      <w:lvlJc w:val="left"/>
    </w:lvl>
  </w:abstractNum>
  <w:num w:numId="1">
    <w:abstractNumId w:val="0"/>
  </w:num>
  <w:num w:numId="2">
    <w:abstractNumId w:val="4"/>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VkNzJhNGEyYjhiNDFiNDYzNDU5NTVhNjlhMWNjM2MifQ=="/>
  </w:docVars>
  <w:rsids>
    <w:rsidRoot w:val="00172A27"/>
    <w:rsid w:val="0000046D"/>
    <w:rsid w:val="000009A4"/>
    <w:rsid w:val="0000182C"/>
    <w:rsid w:val="00001C30"/>
    <w:rsid w:val="00001F66"/>
    <w:rsid w:val="00002715"/>
    <w:rsid w:val="0000296D"/>
    <w:rsid w:val="00002E66"/>
    <w:rsid w:val="00003781"/>
    <w:rsid w:val="00003F3C"/>
    <w:rsid w:val="0000486E"/>
    <w:rsid w:val="00004CB0"/>
    <w:rsid w:val="00004CDE"/>
    <w:rsid w:val="00005328"/>
    <w:rsid w:val="00007E2F"/>
    <w:rsid w:val="00007E51"/>
    <w:rsid w:val="000104B5"/>
    <w:rsid w:val="00010E05"/>
    <w:rsid w:val="00012061"/>
    <w:rsid w:val="000123EC"/>
    <w:rsid w:val="000125C2"/>
    <w:rsid w:val="00013AC8"/>
    <w:rsid w:val="00013C7F"/>
    <w:rsid w:val="00014132"/>
    <w:rsid w:val="00014488"/>
    <w:rsid w:val="000149E9"/>
    <w:rsid w:val="00016092"/>
    <w:rsid w:val="00016829"/>
    <w:rsid w:val="00017A2B"/>
    <w:rsid w:val="00020517"/>
    <w:rsid w:val="000207E1"/>
    <w:rsid w:val="00020DBA"/>
    <w:rsid w:val="00021054"/>
    <w:rsid w:val="000216CC"/>
    <w:rsid w:val="00021A62"/>
    <w:rsid w:val="00022909"/>
    <w:rsid w:val="00022CE2"/>
    <w:rsid w:val="00023813"/>
    <w:rsid w:val="000244C1"/>
    <w:rsid w:val="000248E5"/>
    <w:rsid w:val="00025985"/>
    <w:rsid w:val="00025AC0"/>
    <w:rsid w:val="00027018"/>
    <w:rsid w:val="000272D2"/>
    <w:rsid w:val="0002754E"/>
    <w:rsid w:val="00027BD3"/>
    <w:rsid w:val="0003177E"/>
    <w:rsid w:val="00032229"/>
    <w:rsid w:val="00032A59"/>
    <w:rsid w:val="00032B1F"/>
    <w:rsid w:val="00032F50"/>
    <w:rsid w:val="00033214"/>
    <w:rsid w:val="000344F4"/>
    <w:rsid w:val="0003479C"/>
    <w:rsid w:val="00034B7D"/>
    <w:rsid w:val="00035002"/>
    <w:rsid w:val="0003509E"/>
    <w:rsid w:val="00036EC4"/>
    <w:rsid w:val="00037318"/>
    <w:rsid w:val="00037EEA"/>
    <w:rsid w:val="000400F8"/>
    <w:rsid w:val="0004027B"/>
    <w:rsid w:val="00040DCA"/>
    <w:rsid w:val="000417D5"/>
    <w:rsid w:val="000419B7"/>
    <w:rsid w:val="00041EAA"/>
    <w:rsid w:val="00041FD1"/>
    <w:rsid w:val="00042DEF"/>
    <w:rsid w:val="00044162"/>
    <w:rsid w:val="00044278"/>
    <w:rsid w:val="000445D1"/>
    <w:rsid w:val="000448E0"/>
    <w:rsid w:val="00045285"/>
    <w:rsid w:val="0004535A"/>
    <w:rsid w:val="00045CF3"/>
    <w:rsid w:val="00045D3B"/>
    <w:rsid w:val="00046ED2"/>
    <w:rsid w:val="00050908"/>
    <w:rsid w:val="00050B4D"/>
    <w:rsid w:val="00051B41"/>
    <w:rsid w:val="000521BA"/>
    <w:rsid w:val="00052C3B"/>
    <w:rsid w:val="00053067"/>
    <w:rsid w:val="000530C2"/>
    <w:rsid w:val="00053FFD"/>
    <w:rsid w:val="00054058"/>
    <w:rsid w:val="000548EF"/>
    <w:rsid w:val="00054C4F"/>
    <w:rsid w:val="00054D61"/>
    <w:rsid w:val="00054F2A"/>
    <w:rsid w:val="00055319"/>
    <w:rsid w:val="00055AA6"/>
    <w:rsid w:val="0005758A"/>
    <w:rsid w:val="000576C1"/>
    <w:rsid w:val="00060064"/>
    <w:rsid w:val="0006170C"/>
    <w:rsid w:val="00061972"/>
    <w:rsid w:val="000619FC"/>
    <w:rsid w:val="00061AC4"/>
    <w:rsid w:val="0006223A"/>
    <w:rsid w:val="00063151"/>
    <w:rsid w:val="00064127"/>
    <w:rsid w:val="00064B46"/>
    <w:rsid w:val="0006699C"/>
    <w:rsid w:val="000670F3"/>
    <w:rsid w:val="000675EC"/>
    <w:rsid w:val="00067C97"/>
    <w:rsid w:val="000700B4"/>
    <w:rsid w:val="000707DE"/>
    <w:rsid w:val="000709DB"/>
    <w:rsid w:val="000714E8"/>
    <w:rsid w:val="00071DBC"/>
    <w:rsid w:val="00072665"/>
    <w:rsid w:val="0007297B"/>
    <w:rsid w:val="00072ABB"/>
    <w:rsid w:val="00074159"/>
    <w:rsid w:val="000749B7"/>
    <w:rsid w:val="000753D2"/>
    <w:rsid w:val="00075494"/>
    <w:rsid w:val="0007550C"/>
    <w:rsid w:val="00075C45"/>
    <w:rsid w:val="00076CDB"/>
    <w:rsid w:val="00077B75"/>
    <w:rsid w:val="00077E54"/>
    <w:rsid w:val="000813F4"/>
    <w:rsid w:val="000817C6"/>
    <w:rsid w:val="00081921"/>
    <w:rsid w:val="00081A1B"/>
    <w:rsid w:val="00082980"/>
    <w:rsid w:val="00083D28"/>
    <w:rsid w:val="00083D58"/>
    <w:rsid w:val="00084EA9"/>
    <w:rsid w:val="00084EC7"/>
    <w:rsid w:val="00085936"/>
    <w:rsid w:val="00085C49"/>
    <w:rsid w:val="00085CBC"/>
    <w:rsid w:val="00085EEB"/>
    <w:rsid w:val="000867B0"/>
    <w:rsid w:val="00086B70"/>
    <w:rsid w:val="00087668"/>
    <w:rsid w:val="000904A2"/>
    <w:rsid w:val="00090AF0"/>
    <w:rsid w:val="000910C5"/>
    <w:rsid w:val="00092839"/>
    <w:rsid w:val="00093C1A"/>
    <w:rsid w:val="00093E79"/>
    <w:rsid w:val="00093F41"/>
    <w:rsid w:val="00094441"/>
    <w:rsid w:val="00094BC6"/>
    <w:rsid w:val="000953A5"/>
    <w:rsid w:val="00096670"/>
    <w:rsid w:val="00096B4A"/>
    <w:rsid w:val="00096DE8"/>
    <w:rsid w:val="00097C9E"/>
    <w:rsid w:val="000A0911"/>
    <w:rsid w:val="000A124F"/>
    <w:rsid w:val="000A139A"/>
    <w:rsid w:val="000A2431"/>
    <w:rsid w:val="000A2A30"/>
    <w:rsid w:val="000A358F"/>
    <w:rsid w:val="000A38A0"/>
    <w:rsid w:val="000A3C64"/>
    <w:rsid w:val="000A4362"/>
    <w:rsid w:val="000A5274"/>
    <w:rsid w:val="000A61B8"/>
    <w:rsid w:val="000A62BD"/>
    <w:rsid w:val="000A6603"/>
    <w:rsid w:val="000A679A"/>
    <w:rsid w:val="000A6A7F"/>
    <w:rsid w:val="000A6F98"/>
    <w:rsid w:val="000A74E0"/>
    <w:rsid w:val="000A74F6"/>
    <w:rsid w:val="000A7B98"/>
    <w:rsid w:val="000B1427"/>
    <w:rsid w:val="000B1905"/>
    <w:rsid w:val="000B1CCA"/>
    <w:rsid w:val="000B200B"/>
    <w:rsid w:val="000B3976"/>
    <w:rsid w:val="000B3C2D"/>
    <w:rsid w:val="000B470D"/>
    <w:rsid w:val="000B5395"/>
    <w:rsid w:val="000B62CB"/>
    <w:rsid w:val="000B6350"/>
    <w:rsid w:val="000B678F"/>
    <w:rsid w:val="000B6FEF"/>
    <w:rsid w:val="000B7F9A"/>
    <w:rsid w:val="000C0328"/>
    <w:rsid w:val="000C03D4"/>
    <w:rsid w:val="000C0D86"/>
    <w:rsid w:val="000C1621"/>
    <w:rsid w:val="000C1CD7"/>
    <w:rsid w:val="000C2778"/>
    <w:rsid w:val="000C2784"/>
    <w:rsid w:val="000C32AE"/>
    <w:rsid w:val="000C3380"/>
    <w:rsid w:val="000C4807"/>
    <w:rsid w:val="000C4C6A"/>
    <w:rsid w:val="000C5751"/>
    <w:rsid w:val="000C57F9"/>
    <w:rsid w:val="000C598C"/>
    <w:rsid w:val="000C618E"/>
    <w:rsid w:val="000C6342"/>
    <w:rsid w:val="000C6CE1"/>
    <w:rsid w:val="000C7B9D"/>
    <w:rsid w:val="000D02E9"/>
    <w:rsid w:val="000D1274"/>
    <w:rsid w:val="000D1597"/>
    <w:rsid w:val="000D16A7"/>
    <w:rsid w:val="000D1C6A"/>
    <w:rsid w:val="000D1F8D"/>
    <w:rsid w:val="000D22BD"/>
    <w:rsid w:val="000D26E7"/>
    <w:rsid w:val="000D53F2"/>
    <w:rsid w:val="000D5748"/>
    <w:rsid w:val="000D5C8A"/>
    <w:rsid w:val="000D6C9D"/>
    <w:rsid w:val="000D78E6"/>
    <w:rsid w:val="000E0487"/>
    <w:rsid w:val="000E088E"/>
    <w:rsid w:val="000E232F"/>
    <w:rsid w:val="000E285B"/>
    <w:rsid w:val="000E2DB0"/>
    <w:rsid w:val="000E348C"/>
    <w:rsid w:val="000E4D22"/>
    <w:rsid w:val="000E545D"/>
    <w:rsid w:val="000F0150"/>
    <w:rsid w:val="000F03FE"/>
    <w:rsid w:val="000F152C"/>
    <w:rsid w:val="000F17C9"/>
    <w:rsid w:val="000F3668"/>
    <w:rsid w:val="000F383E"/>
    <w:rsid w:val="000F38CF"/>
    <w:rsid w:val="000F3F16"/>
    <w:rsid w:val="000F449F"/>
    <w:rsid w:val="000F48C9"/>
    <w:rsid w:val="000F6024"/>
    <w:rsid w:val="00100B14"/>
    <w:rsid w:val="00100EB7"/>
    <w:rsid w:val="0010174C"/>
    <w:rsid w:val="0010201F"/>
    <w:rsid w:val="0010254F"/>
    <w:rsid w:val="00102B73"/>
    <w:rsid w:val="00102C51"/>
    <w:rsid w:val="00103216"/>
    <w:rsid w:val="0010330D"/>
    <w:rsid w:val="001039BF"/>
    <w:rsid w:val="00103CB4"/>
    <w:rsid w:val="00103D6B"/>
    <w:rsid w:val="00107F42"/>
    <w:rsid w:val="00110401"/>
    <w:rsid w:val="00110E22"/>
    <w:rsid w:val="001110F1"/>
    <w:rsid w:val="0011195C"/>
    <w:rsid w:val="00112E30"/>
    <w:rsid w:val="001138CB"/>
    <w:rsid w:val="00115CAC"/>
    <w:rsid w:val="001160DE"/>
    <w:rsid w:val="00116718"/>
    <w:rsid w:val="00116FC8"/>
    <w:rsid w:val="00117835"/>
    <w:rsid w:val="0012024C"/>
    <w:rsid w:val="00120493"/>
    <w:rsid w:val="00120DFA"/>
    <w:rsid w:val="00121726"/>
    <w:rsid w:val="001218FE"/>
    <w:rsid w:val="00121CC1"/>
    <w:rsid w:val="001221BE"/>
    <w:rsid w:val="00123679"/>
    <w:rsid w:val="001236BF"/>
    <w:rsid w:val="001236EB"/>
    <w:rsid w:val="00123ACC"/>
    <w:rsid w:val="00124792"/>
    <w:rsid w:val="00124CEA"/>
    <w:rsid w:val="00124CF0"/>
    <w:rsid w:val="00125726"/>
    <w:rsid w:val="001258B7"/>
    <w:rsid w:val="001267FF"/>
    <w:rsid w:val="00127F9D"/>
    <w:rsid w:val="0013084E"/>
    <w:rsid w:val="001315D8"/>
    <w:rsid w:val="00131845"/>
    <w:rsid w:val="00132B8C"/>
    <w:rsid w:val="0013360D"/>
    <w:rsid w:val="001339B4"/>
    <w:rsid w:val="00133E41"/>
    <w:rsid w:val="00133E7C"/>
    <w:rsid w:val="00134D7F"/>
    <w:rsid w:val="00134F05"/>
    <w:rsid w:val="00134F65"/>
    <w:rsid w:val="0013526C"/>
    <w:rsid w:val="001356B6"/>
    <w:rsid w:val="0013661A"/>
    <w:rsid w:val="00136E07"/>
    <w:rsid w:val="00136F43"/>
    <w:rsid w:val="001372D1"/>
    <w:rsid w:val="001374A2"/>
    <w:rsid w:val="00141121"/>
    <w:rsid w:val="001429D7"/>
    <w:rsid w:val="00143437"/>
    <w:rsid w:val="00143891"/>
    <w:rsid w:val="00145073"/>
    <w:rsid w:val="0014515E"/>
    <w:rsid w:val="0014559E"/>
    <w:rsid w:val="00145749"/>
    <w:rsid w:val="00145EF0"/>
    <w:rsid w:val="001462D6"/>
    <w:rsid w:val="001464A7"/>
    <w:rsid w:val="00147344"/>
    <w:rsid w:val="001477F2"/>
    <w:rsid w:val="0015059D"/>
    <w:rsid w:val="00151322"/>
    <w:rsid w:val="00151A22"/>
    <w:rsid w:val="00152576"/>
    <w:rsid w:val="00152C66"/>
    <w:rsid w:val="00153A5A"/>
    <w:rsid w:val="00153EDA"/>
    <w:rsid w:val="001547CA"/>
    <w:rsid w:val="00154C02"/>
    <w:rsid w:val="00154C69"/>
    <w:rsid w:val="0015529D"/>
    <w:rsid w:val="00156328"/>
    <w:rsid w:val="00156678"/>
    <w:rsid w:val="00156E9D"/>
    <w:rsid w:val="001573B4"/>
    <w:rsid w:val="00157B9D"/>
    <w:rsid w:val="00157E30"/>
    <w:rsid w:val="001600BF"/>
    <w:rsid w:val="001601A2"/>
    <w:rsid w:val="00160295"/>
    <w:rsid w:val="001607B6"/>
    <w:rsid w:val="001625C2"/>
    <w:rsid w:val="00162969"/>
    <w:rsid w:val="00162E86"/>
    <w:rsid w:val="00163D73"/>
    <w:rsid w:val="00163D88"/>
    <w:rsid w:val="00164096"/>
    <w:rsid w:val="0016529E"/>
    <w:rsid w:val="00165B1C"/>
    <w:rsid w:val="00166036"/>
    <w:rsid w:val="001662BD"/>
    <w:rsid w:val="001675A5"/>
    <w:rsid w:val="00170111"/>
    <w:rsid w:val="00170697"/>
    <w:rsid w:val="00171C1A"/>
    <w:rsid w:val="00172708"/>
    <w:rsid w:val="001727B0"/>
    <w:rsid w:val="00172A27"/>
    <w:rsid w:val="00172E97"/>
    <w:rsid w:val="00173260"/>
    <w:rsid w:val="00173C43"/>
    <w:rsid w:val="00174BEA"/>
    <w:rsid w:val="0017537B"/>
    <w:rsid w:val="001759CF"/>
    <w:rsid w:val="00175B5D"/>
    <w:rsid w:val="00176197"/>
    <w:rsid w:val="00176986"/>
    <w:rsid w:val="00176B7D"/>
    <w:rsid w:val="00177FB1"/>
    <w:rsid w:val="001809EC"/>
    <w:rsid w:val="00180D02"/>
    <w:rsid w:val="00181809"/>
    <w:rsid w:val="00182FF5"/>
    <w:rsid w:val="0018316B"/>
    <w:rsid w:val="001837AA"/>
    <w:rsid w:val="00183BC0"/>
    <w:rsid w:val="0018456A"/>
    <w:rsid w:val="00184681"/>
    <w:rsid w:val="001847DB"/>
    <w:rsid w:val="00185C46"/>
    <w:rsid w:val="00185D1E"/>
    <w:rsid w:val="00185D2D"/>
    <w:rsid w:val="00185EF5"/>
    <w:rsid w:val="00185F81"/>
    <w:rsid w:val="001863BC"/>
    <w:rsid w:val="0018652D"/>
    <w:rsid w:val="00186AA0"/>
    <w:rsid w:val="00187828"/>
    <w:rsid w:val="00187EAA"/>
    <w:rsid w:val="00190B5F"/>
    <w:rsid w:val="001912D2"/>
    <w:rsid w:val="00191575"/>
    <w:rsid w:val="00191DE6"/>
    <w:rsid w:val="00191FD8"/>
    <w:rsid w:val="0019224F"/>
    <w:rsid w:val="0019227A"/>
    <w:rsid w:val="001923BA"/>
    <w:rsid w:val="0019338C"/>
    <w:rsid w:val="00194C01"/>
    <w:rsid w:val="00196AD9"/>
    <w:rsid w:val="00197F91"/>
    <w:rsid w:val="001A0381"/>
    <w:rsid w:val="001A04B7"/>
    <w:rsid w:val="001A10F0"/>
    <w:rsid w:val="001A24D5"/>
    <w:rsid w:val="001A2637"/>
    <w:rsid w:val="001A270B"/>
    <w:rsid w:val="001A2CE9"/>
    <w:rsid w:val="001A37A7"/>
    <w:rsid w:val="001A397E"/>
    <w:rsid w:val="001A3D56"/>
    <w:rsid w:val="001A3E22"/>
    <w:rsid w:val="001A4A03"/>
    <w:rsid w:val="001A4DEE"/>
    <w:rsid w:val="001A51A4"/>
    <w:rsid w:val="001A52EC"/>
    <w:rsid w:val="001A592E"/>
    <w:rsid w:val="001A5B3D"/>
    <w:rsid w:val="001A608D"/>
    <w:rsid w:val="001A64AB"/>
    <w:rsid w:val="001A69D0"/>
    <w:rsid w:val="001A7510"/>
    <w:rsid w:val="001A79FC"/>
    <w:rsid w:val="001B0FFF"/>
    <w:rsid w:val="001B1422"/>
    <w:rsid w:val="001B1780"/>
    <w:rsid w:val="001B2789"/>
    <w:rsid w:val="001B3396"/>
    <w:rsid w:val="001B45AC"/>
    <w:rsid w:val="001B4641"/>
    <w:rsid w:val="001B49B9"/>
    <w:rsid w:val="001B4AC9"/>
    <w:rsid w:val="001B53CE"/>
    <w:rsid w:val="001B5555"/>
    <w:rsid w:val="001B5A4E"/>
    <w:rsid w:val="001B621A"/>
    <w:rsid w:val="001B639B"/>
    <w:rsid w:val="001B66C9"/>
    <w:rsid w:val="001B7226"/>
    <w:rsid w:val="001B79CA"/>
    <w:rsid w:val="001C006C"/>
    <w:rsid w:val="001C046C"/>
    <w:rsid w:val="001C0792"/>
    <w:rsid w:val="001C111E"/>
    <w:rsid w:val="001C1954"/>
    <w:rsid w:val="001C1CB6"/>
    <w:rsid w:val="001C2637"/>
    <w:rsid w:val="001C2856"/>
    <w:rsid w:val="001C36F2"/>
    <w:rsid w:val="001C37B8"/>
    <w:rsid w:val="001C3997"/>
    <w:rsid w:val="001C4006"/>
    <w:rsid w:val="001C4264"/>
    <w:rsid w:val="001C5049"/>
    <w:rsid w:val="001C5A88"/>
    <w:rsid w:val="001C5F33"/>
    <w:rsid w:val="001D131F"/>
    <w:rsid w:val="001D145B"/>
    <w:rsid w:val="001D1E0C"/>
    <w:rsid w:val="001D2BC7"/>
    <w:rsid w:val="001D32DF"/>
    <w:rsid w:val="001D3347"/>
    <w:rsid w:val="001D342C"/>
    <w:rsid w:val="001D3D7A"/>
    <w:rsid w:val="001D3D91"/>
    <w:rsid w:val="001D3FE6"/>
    <w:rsid w:val="001D426E"/>
    <w:rsid w:val="001D47A2"/>
    <w:rsid w:val="001D4CB2"/>
    <w:rsid w:val="001D5364"/>
    <w:rsid w:val="001D542E"/>
    <w:rsid w:val="001D5AB1"/>
    <w:rsid w:val="001D6B41"/>
    <w:rsid w:val="001D6B43"/>
    <w:rsid w:val="001D6C9C"/>
    <w:rsid w:val="001D7C0A"/>
    <w:rsid w:val="001E135A"/>
    <w:rsid w:val="001E1B96"/>
    <w:rsid w:val="001E3151"/>
    <w:rsid w:val="001E33E7"/>
    <w:rsid w:val="001E3A70"/>
    <w:rsid w:val="001E4160"/>
    <w:rsid w:val="001E4638"/>
    <w:rsid w:val="001E4649"/>
    <w:rsid w:val="001E4806"/>
    <w:rsid w:val="001E4F61"/>
    <w:rsid w:val="001E5228"/>
    <w:rsid w:val="001E56BE"/>
    <w:rsid w:val="001E5D7F"/>
    <w:rsid w:val="001E606C"/>
    <w:rsid w:val="001E6E0F"/>
    <w:rsid w:val="001E7383"/>
    <w:rsid w:val="001E7A45"/>
    <w:rsid w:val="001F0090"/>
    <w:rsid w:val="001F01FC"/>
    <w:rsid w:val="001F145B"/>
    <w:rsid w:val="001F1B44"/>
    <w:rsid w:val="001F220E"/>
    <w:rsid w:val="001F299F"/>
    <w:rsid w:val="001F409D"/>
    <w:rsid w:val="001F4364"/>
    <w:rsid w:val="001F4B03"/>
    <w:rsid w:val="001F53DC"/>
    <w:rsid w:val="001F612B"/>
    <w:rsid w:val="001F69C1"/>
    <w:rsid w:val="001F7194"/>
    <w:rsid w:val="001F78C9"/>
    <w:rsid w:val="00200210"/>
    <w:rsid w:val="002005D7"/>
    <w:rsid w:val="00200C07"/>
    <w:rsid w:val="00201D62"/>
    <w:rsid w:val="002030D5"/>
    <w:rsid w:val="00203236"/>
    <w:rsid w:val="00203374"/>
    <w:rsid w:val="002047A7"/>
    <w:rsid w:val="00204832"/>
    <w:rsid w:val="00205192"/>
    <w:rsid w:val="002069C4"/>
    <w:rsid w:val="00207574"/>
    <w:rsid w:val="00207788"/>
    <w:rsid w:val="00207BB0"/>
    <w:rsid w:val="00210236"/>
    <w:rsid w:val="00210822"/>
    <w:rsid w:val="00210837"/>
    <w:rsid w:val="00210B9B"/>
    <w:rsid w:val="002119E2"/>
    <w:rsid w:val="00213134"/>
    <w:rsid w:val="00213C7B"/>
    <w:rsid w:val="00213CE3"/>
    <w:rsid w:val="00214AE1"/>
    <w:rsid w:val="00215B9B"/>
    <w:rsid w:val="00215DE3"/>
    <w:rsid w:val="0021617D"/>
    <w:rsid w:val="00216288"/>
    <w:rsid w:val="002168F3"/>
    <w:rsid w:val="00216ACD"/>
    <w:rsid w:val="00217785"/>
    <w:rsid w:val="00217AA5"/>
    <w:rsid w:val="00220B21"/>
    <w:rsid w:val="00220BFA"/>
    <w:rsid w:val="00220CA4"/>
    <w:rsid w:val="00221ADA"/>
    <w:rsid w:val="00221C35"/>
    <w:rsid w:val="00221E2F"/>
    <w:rsid w:val="00223AA0"/>
    <w:rsid w:val="00223AE2"/>
    <w:rsid w:val="00223DA7"/>
    <w:rsid w:val="002255D4"/>
    <w:rsid w:val="00225CAB"/>
    <w:rsid w:val="002262D7"/>
    <w:rsid w:val="002263C7"/>
    <w:rsid w:val="0022681A"/>
    <w:rsid w:val="00226A6D"/>
    <w:rsid w:val="00226C7E"/>
    <w:rsid w:val="00226F54"/>
    <w:rsid w:val="00230B9C"/>
    <w:rsid w:val="0023120C"/>
    <w:rsid w:val="002313E0"/>
    <w:rsid w:val="002313FE"/>
    <w:rsid w:val="002314F8"/>
    <w:rsid w:val="002323C0"/>
    <w:rsid w:val="00232AAB"/>
    <w:rsid w:val="00232BF8"/>
    <w:rsid w:val="0023312F"/>
    <w:rsid w:val="00233272"/>
    <w:rsid w:val="002332E7"/>
    <w:rsid w:val="00235CBD"/>
    <w:rsid w:val="00235F11"/>
    <w:rsid w:val="00235F5D"/>
    <w:rsid w:val="00236110"/>
    <w:rsid w:val="00236A1E"/>
    <w:rsid w:val="0023765F"/>
    <w:rsid w:val="00240C76"/>
    <w:rsid w:val="002420BD"/>
    <w:rsid w:val="002428DE"/>
    <w:rsid w:val="00244795"/>
    <w:rsid w:val="00244A39"/>
    <w:rsid w:val="00244F4D"/>
    <w:rsid w:val="00245C72"/>
    <w:rsid w:val="002460FA"/>
    <w:rsid w:val="00246576"/>
    <w:rsid w:val="00247748"/>
    <w:rsid w:val="00247F10"/>
    <w:rsid w:val="00247FE9"/>
    <w:rsid w:val="00250620"/>
    <w:rsid w:val="002518C7"/>
    <w:rsid w:val="00251E58"/>
    <w:rsid w:val="00253905"/>
    <w:rsid w:val="00253AB5"/>
    <w:rsid w:val="00253B1F"/>
    <w:rsid w:val="00253BF2"/>
    <w:rsid w:val="00254615"/>
    <w:rsid w:val="00254CE6"/>
    <w:rsid w:val="00254EAD"/>
    <w:rsid w:val="002554CD"/>
    <w:rsid w:val="00255AD8"/>
    <w:rsid w:val="00256102"/>
    <w:rsid w:val="00256160"/>
    <w:rsid w:val="00256BBA"/>
    <w:rsid w:val="00257F6D"/>
    <w:rsid w:val="00260023"/>
    <w:rsid w:val="0026021A"/>
    <w:rsid w:val="00260547"/>
    <w:rsid w:val="00260C1C"/>
    <w:rsid w:val="002617CC"/>
    <w:rsid w:val="0026186B"/>
    <w:rsid w:val="00261A0E"/>
    <w:rsid w:val="002625CB"/>
    <w:rsid w:val="00263DEF"/>
    <w:rsid w:val="00263F53"/>
    <w:rsid w:val="00264009"/>
    <w:rsid w:val="00264B45"/>
    <w:rsid w:val="002652AD"/>
    <w:rsid w:val="00266004"/>
    <w:rsid w:val="00267D9A"/>
    <w:rsid w:val="00270584"/>
    <w:rsid w:val="00270EA2"/>
    <w:rsid w:val="00271121"/>
    <w:rsid w:val="00272DFC"/>
    <w:rsid w:val="00275E57"/>
    <w:rsid w:val="0027616F"/>
    <w:rsid w:val="00276544"/>
    <w:rsid w:val="002767BF"/>
    <w:rsid w:val="00276976"/>
    <w:rsid w:val="00280525"/>
    <w:rsid w:val="00280656"/>
    <w:rsid w:val="00280870"/>
    <w:rsid w:val="002833C1"/>
    <w:rsid w:val="00284030"/>
    <w:rsid w:val="002846C4"/>
    <w:rsid w:val="00284927"/>
    <w:rsid w:val="00284BF6"/>
    <w:rsid w:val="00284C89"/>
    <w:rsid w:val="0028576F"/>
    <w:rsid w:val="00286B67"/>
    <w:rsid w:val="00287246"/>
    <w:rsid w:val="002906BB"/>
    <w:rsid w:val="00290940"/>
    <w:rsid w:val="00290E68"/>
    <w:rsid w:val="002910C9"/>
    <w:rsid w:val="00291975"/>
    <w:rsid w:val="00291DAD"/>
    <w:rsid w:val="00292529"/>
    <w:rsid w:val="00293C98"/>
    <w:rsid w:val="00293EC9"/>
    <w:rsid w:val="00294080"/>
    <w:rsid w:val="00294418"/>
    <w:rsid w:val="00294552"/>
    <w:rsid w:val="00294950"/>
    <w:rsid w:val="00295227"/>
    <w:rsid w:val="00295F39"/>
    <w:rsid w:val="00295F45"/>
    <w:rsid w:val="00296775"/>
    <w:rsid w:val="00296DDD"/>
    <w:rsid w:val="00297942"/>
    <w:rsid w:val="00297DE3"/>
    <w:rsid w:val="002A0ED2"/>
    <w:rsid w:val="002A135C"/>
    <w:rsid w:val="002A181B"/>
    <w:rsid w:val="002A1BC6"/>
    <w:rsid w:val="002A267D"/>
    <w:rsid w:val="002A270F"/>
    <w:rsid w:val="002A2B15"/>
    <w:rsid w:val="002A2B1E"/>
    <w:rsid w:val="002A323D"/>
    <w:rsid w:val="002A40F2"/>
    <w:rsid w:val="002A4A6F"/>
    <w:rsid w:val="002A5325"/>
    <w:rsid w:val="002A724F"/>
    <w:rsid w:val="002A7B53"/>
    <w:rsid w:val="002B05B1"/>
    <w:rsid w:val="002B0C56"/>
    <w:rsid w:val="002B128E"/>
    <w:rsid w:val="002B1B6D"/>
    <w:rsid w:val="002B213F"/>
    <w:rsid w:val="002B278C"/>
    <w:rsid w:val="002B2D48"/>
    <w:rsid w:val="002B4C67"/>
    <w:rsid w:val="002B4F5A"/>
    <w:rsid w:val="002B5256"/>
    <w:rsid w:val="002B56E3"/>
    <w:rsid w:val="002B5792"/>
    <w:rsid w:val="002B6DF3"/>
    <w:rsid w:val="002B7809"/>
    <w:rsid w:val="002C0FD0"/>
    <w:rsid w:val="002C2AE1"/>
    <w:rsid w:val="002C35C5"/>
    <w:rsid w:val="002C37C7"/>
    <w:rsid w:val="002C3950"/>
    <w:rsid w:val="002C3E69"/>
    <w:rsid w:val="002C4303"/>
    <w:rsid w:val="002C4472"/>
    <w:rsid w:val="002C5B91"/>
    <w:rsid w:val="002C6C98"/>
    <w:rsid w:val="002C6F15"/>
    <w:rsid w:val="002D00D0"/>
    <w:rsid w:val="002D00D7"/>
    <w:rsid w:val="002D04B3"/>
    <w:rsid w:val="002D0A76"/>
    <w:rsid w:val="002D12D5"/>
    <w:rsid w:val="002D19C8"/>
    <w:rsid w:val="002D25AB"/>
    <w:rsid w:val="002D2CFB"/>
    <w:rsid w:val="002D3C69"/>
    <w:rsid w:val="002D4074"/>
    <w:rsid w:val="002D4855"/>
    <w:rsid w:val="002D4F1C"/>
    <w:rsid w:val="002D5561"/>
    <w:rsid w:val="002D5749"/>
    <w:rsid w:val="002D681C"/>
    <w:rsid w:val="002D750B"/>
    <w:rsid w:val="002D7B35"/>
    <w:rsid w:val="002D7B63"/>
    <w:rsid w:val="002E0070"/>
    <w:rsid w:val="002E08D4"/>
    <w:rsid w:val="002E0964"/>
    <w:rsid w:val="002E0DD0"/>
    <w:rsid w:val="002E0E77"/>
    <w:rsid w:val="002E1625"/>
    <w:rsid w:val="002E30CD"/>
    <w:rsid w:val="002E334E"/>
    <w:rsid w:val="002E33C3"/>
    <w:rsid w:val="002E3AE8"/>
    <w:rsid w:val="002E3FFE"/>
    <w:rsid w:val="002E4E50"/>
    <w:rsid w:val="002E53D0"/>
    <w:rsid w:val="002E5625"/>
    <w:rsid w:val="002E5931"/>
    <w:rsid w:val="002E5C58"/>
    <w:rsid w:val="002E6A86"/>
    <w:rsid w:val="002E6E46"/>
    <w:rsid w:val="002E7D58"/>
    <w:rsid w:val="002F00FE"/>
    <w:rsid w:val="002F0609"/>
    <w:rsid w:val="002F1457"/>
    <w:rsid w:val="002F1614"/>
    <w:rsid w:val="002F17EB"/>
    <w:rsid w:val="002F1947"/>
    <w:rsid w:val="002F1B84"/>
    <w:rsid w:val="002F1D85"/>
    <w:rsid w:val="002F25D7"/>
    <w:rsid w:val="002F284C"/>
    <w:rsid w:val="002F2B81"/>
    <w:rsid w:val="002F3352"/>
    <w:rsid w:val="002F36AE"/>
    <w:rsid w:val="002F4DAB"/>
    <w:rsid w:val="002F5103"/>
    <w:rsid w:val="002F5779"/>
    <w:rsid w:val="002F5C8F"/>
    <w:rsid w:val="002F703B"/>
    <w:rsid w:val="0030040F"/>
    <w:rsid w:val="00301558"/>
    <w:rsid w:val="003023C6"/>
    <w:rsid w:val="00302CF7"/>
    <w:rsid w:val="00302D27"/>
    <w:rsid w:val="00302E1C"/>
    <w:rsid w:val="00303D3C"/>
    <w:rsid w:val="0030429A"/>
    <w:rsid w:val="003052AB"/>
    <w:rsid w:val="00305F0B"/>
    <w:rsid w:val="003060C4"/>
    <w:rsid w:val="0030668D"/>
    <w:rsid w:val="003069D9"/>
    <w:rsid w:val="00307BA1"/>
    <w:rsid w:val="003100DF"/>
    <w:rsid w:val="00311611"/>
    <w:rsid w:val="00311B0A"/>
    <w:rsid w:val="003137D4"/>
    <w:rsid w:val="00314227"/>
    <w:rsid w:val="00314DBA"/>
    <w:rsid w:val="00314EFA"/>
    <w:rsid w:val="00315AB3"/>
    <w:rsid w:val="0031608D"/>
    <w:rsid w:val="003164A3"/>
    <w:rsid w:val="00317A63"/>
    <w:rsid w:val="00317BA9"/>
    <w:rsid w:val="003200AE"/>
    <w:rsid w:val="0032034B"/>
    <w:rsid w:val="00320397"/>
    <w:rsid w:val="00320BF6"/>
    <w:rsid w:val="00320EFA"/>
    <w:rsid w:val="00321E23"/>
    <w:rsid w:val="0032215C"/>
    <w:rsid w:val="00322259"/>
    <w:rsid w:val="00322312"/>
    <w:rsid w:val="003255F1"/>
    <w:rsid w:val="00325789"/>
    <w:rsid w:val="00325A5A"/>
    <w:rsid w:val="00325A89"/>
    <w:rsid w:val="00326A2E"/>
    <w:rsid w:val="003272E3"/>
    <w:rsid w:val="00327843"/>
    <w:rsid w:val="00327CF0"/>
    <w:rsid w:val="00330325"/>
    <w:rsid w:val="00331922"/>
    <w:rsid w:val="00331AFB"/>
    <w:rsid w:val="0033295D"/>
    <w:rsid w:val="00332B79"/>
    <w:rsid w:val="00333CAB"/>
    <w:rsid w:val="00333D3B"/>
    <w:rsid w:val="00334C5E"/>
    <w:rsid w:val="00336AC2"/>
    <w:rsid w:val="00336FD3"/>
    <w:rsid w:val="00337B76"/>
    <w:rsid w:val="00337BB7"/>
    <w:rsid w:val="00337C26"/>
    <w:rsid w:val="00341DE7"/>
    <w:rsid w:val="003430E1"/>
    <w:rsid w:val="00345199"/>
    <w:rsid w:val="003451FE"/>
    <w:rsid w:val="003462BA"/>
    <w:rsid w:val="00346B52"/>
    <w:rsid w:val="00346C19"/>
    <w:rsid w:val="00346E53"/>
    <w:rsid w:val="003471EA"/>
    <w:rsid w:val="0034781A"/>
    <w:rsid w:val="00350096"/>
    <w:rsid w:val="00350421"/>
    <w:rsid w:val="0035042D"/>
    <w:rsid w:val="00350759"/>
    <w:rsid w:val="0035088B"/>
    <w:rsid w:val="00350FBD"/>
    <w:rsid w:val="003510DF"/>
    <w:rsid w:val="003511E3"/>
    <w:rsid w:val="0035181E"/>
    <w:rsid w:val="00352162"/>
    <w:rsid w:val="0035252E"/>
    <w:rsid w:val="00353C02"/>
    <w:rsid w:val="00353F48"/>
    <w:rsid w:val="0035422F"/>
    <w:rsid w:val="00354301"/>
    <w:rsid w:val="003544A3"/>
    <w:rsid w:val="00354632"/>
    <w:rsid w:val="00354AC8"/>
    <w:rsid w:val="0035571F"/>
    <w:rsid w:val="00355FB1"/>
    <w:rsid w:val="003560A3"/>
    <w:rsid w:val="00356A1A"/>
    <w:rsid w:val="00357768"/>
    <w:rsid w:val="003579C1"/>
    <w:rsid w:val="00357A6C"/>
    <w:rsid w:val="00360B24"/>
    <w:rsid w:val="00360B88"/>
    <w:rsid w:val="00361478"/>
    <w:rsid w:val="003621B0"/>
    <w:rsid w:val="00363105"/>
    <w:rsid w:val="00363317"/>
    <w:rsid w:val="00363BEF"/>
    <w:rsid w:val="00365288"/>
    <w:rsid w:val="00366C33"/>
    <w:rsid w:val="0036705C"/>
    <w:rsid w:val="003673C9"/>
    <w:rsid w:val="00370782"/>
    <w:rsid w:val="003735E7"/>
    <w:rsid w:val="003737B0"/>
    <w:rsid w:val="003743F8"/>
    <w:rsid w:val="00374B13"/>
    <w:rsid w:val="00374FC1"/>
    <w:rsid w:val="003756A2"/>
    <w:rsid w:val="0037677A"/>
    <w:rsid w:val="00376DED"/>
    <w:rsid w:val="003774A0"/>
    <w:rsid w:val="0037767D"/>
    <w:rsid w:val="003810DB"/>
    <w:rsid w:val="00381624"/>
    <w:rsid w:val="003816C1"/>
    <w:rsid w:val="00381985"/>
    <w:rsid w:val="00382571"/>
    <w:rsid w:val="0038489B"/>
    <w:rsid w:val="003849B0"/>
    <w:rsid w:val="003857D9"/>
    <w:rsid w:val="003862DF"/>
    <w:rsid w:val="003863BE"/>
    <w:rsid w:val="00386566"/>
    <w:rsid w:val="00386647"/>
    <w:rsid w:val="00386A94"/>
    <w:rsid w:val="00387330"/>
    <w:rsid w:val="003876FF"/>
    <w:rsid w:val="00392FC0"/>
    <w:rsid w:val="003942E8"/>
    <w:rsid w:val="00394ECF"/>
    <w:rsid w:val="003955B2"/>
    <w:rsid w:val="00395890"/>
    <w:rsid w:val="003959A5"/>
    <w:rsid w:val="00395F26"/>
    <w:rsid w:val="00395FAA"/>
    <w:rsid w:val="00397827"/>
    <w:rsid w:val="003A063A"/>
    <w:rsid w:val="003A0B73"/>
    <w:rsid w:val="003A104E"/>
    <w:rsid w:val="003A13C4"/>
    <w:rsid w:val="003A2DD9"/>
    <w:rsid w:val="003A32F3"/>
    <w:rsid w:val="003A3817"/>
    <w:rsid w:val="003A384F"/>
    <w:rsid w:val="003A3985"/>
    <w:rsid w:val="003A50D9"/>
    <w:rsid w:val="003A543D"/>
    <w:rsid w:val="003A62CE"/>
    <w:rsid w:val="003A7AC8"/>
    <w:rsid w:val="003A7CFF"/>
    <w:rsid w:val="003B01F4"/>
    <w:rsid w:val="003B06DA"/>
    <w:rsid w:val="003B16AA"/>
    <w:rsid w:val="003B188F"/>
    <w:rsid w:val="003B1BEC"/>
    <w:rsid w:val="003B1D0C"/>
    <w:rsid w:val="003B2BA8"/>
    <w:rsid w:val="003B2DEE"/>
    <w:rsid w:val="003B3AF7"/>
    <w:rsid w:val="003B4180"/>
    <w:rsid w:val="003B4356"/>
    <w:rsid w:val="003B449D"/>
    <w:rsid w:val="003B453B"/>
    <w:rsid w:val="003B481F"/>
    <w:rsid w:val="003B536B"/>
    <w:rsid w:val="003B71F0"/>
    <w:rsid w:val="003B7A06"/>
    <w:rsid w:val="003B7BF7"/>
    <w:rsid w:val="003C15D0"/>
    <w:rsid w:val="003C2435"/>
    <w:rsid w:val="003C2CE0"/>
    <w:rsid w:val="003C2F76"/>
    <w:rsid w:val="003C4C71"/>
    <w:rsid w:val="003C4DC7"/>
    <w:rsid w:val="003C5558"/>
    <w:rsid w:val="003C738A"/>
    <w:rsid w:val="003D06B5"/>
    <w:rsid w:val="003D1898"/>
    <w:rsid w:val="003D1F0B"/>
    <w:rsid w:val="003D22D7"/>
    <w:rsid w:val="003D3096"/>
    <w:rsid w:val="003D3994"/>
    <w:rsid w:val="003D3D95"/>
    <w:rsid w:val="003D3EC0"/>
    <w:rsid w:val="003D519A"/>
    <w:rsid w:val="003D73AB"/>
    <w:rsid w:val="003D7CDF"/>
    <w:rsid w:val="003D7CEB"/>
    <w:rsid w:val="003E00AC"/>
    <w:rsid w:val="003E095B"/>
    <w:rsid w:val="003E0FA5"/>
    <w:rsid w:val="003E1840"/>
    <w:rsid w:val="003E1962"/>
    <w:rsid w:val="003E1E97"/>
    <w:rsid w:val="003E2F30"/>
    <w:rsid w:val="003E30A3"/>
    <w:rsid w:val="003E39C3"/>
    <w:rsid w:val="003E3D24"/>
    <w:rsid w:val="003E414B"/>
    <w:rsid w:val="003E431F"/>
    <w:rsid w:val="003E5349"/>
    <w:rsid w:val="003E5810"/>
    <w:rsid w:val="003E5A25"/>
    <w:rsid w:val="003E5D32"/>
    <w:rsid w:val="003E607E"/>
    <w:rsid w:val="003E691B"/>
    <w:rsid w:val="003E6E97"/>
    <w:rsid w:val="003E778E"/>
    <w:rsid w:val="003E78F0"/>
    <w:rsid w:val="003E79D7"/>
    <w:rsid w:val="003E7F3F"/>
    <w:rsid w:val="003F0FAD"/>
    <w:rsid w:val="003F0FC1"/>
    <w:rsid w:val="003F1894"/>
    <w:rsid w:val="003F1C77"/>
    <w:rsid w:val="003F3898"/>
    <w:rsid w:val="003F3A1B"/>
    <w:rsid w:val="003F3D0B"/>
    <w:rsid w:val="003F3E3F"/>
    <w:rsid w:val="003F42B8"/>
    <w:rsid w:val="003F4E50"/>
    <w:rsid w:val="003F4EDF"/>
    <w:rsid w:val="003F572D"/>
    <w:rsid w:val="003F5758"/>
    <w:rsid w:val="003F5D0D"/>
    <w:rsid w:val="003F6A41"/>
    <w:rsid w:val="003F6B54"/>
    <w:rsid w:val="003F6CAD"/>
    <w:rsid w:val="003F7235"/>
    <w:rsid w:val="004003FD"/>
    <w:rsid w:val="00402496"/>
    <w:rsid w:val="00402A13"/>
    <w:rsid w:val="0040368D"/>
    <w:rsid w:val="00403A8C"/>
    <w:rsid w:val="0040409E"/>
    <w:rsid w:val="004049EE"/>
    <w:rsid w:val="00404D01"/>
    <w:rsid w:val="00404D50"/>
    <w:rsid w:val="00404ECC"/>
    <w:rsid w:val="004051A6"/>
    <w:rsid w:val="0040652E"/>
    <w:rsid w:val="004071FD"/>
    <w:rsid w:val="0040738B"/>
    <w:rsid w:val="0041009D"/>
    <w:rsid w:val="004112F1"/>
    <w:rsid w:val="00411E8B"/>
    <w:rsid w:val="004122FB"/>
    <w:rsid w:val="0041282D"/>
    <w:rsid w:val="00412F73"/>
    <w:rsid w:val="00413F7A"/>
    <w:rsid w:val="004143DC"/>
    <w:rsid w:val="004147E2"/>
    <w:rsid w:val="00414CF4"/>
    <w:rsid w:val="00416802"/>
    <w:rsid w:val="00416812"/>
    <w:rsid w:val="00416BBD"/>
    <w:rsid w:val="00416D0A"/>
    <w:rsid w:val="00417112"/>
    <w:rsid w:val="00417637"/>
    <w:rsid w:val="00420B78"/>
    <w:rsid w:val="00420E3D"/>
    <w:rsid w:val="0042141A"/>
    <w:rsid w:val="00421E05"/>
    <w:rsid w:val="00422223"/>
    <w:rsid w:val="00422AB4"/>
    <w:rsid w:val="00422E58"/>
    <w:rsid w:val="0042311F"/>
    <w:rsid w:val="004234EC"/>
    <w:rsid w:val="004235E3"/>
    <w:rsid w:val="00423606"/>
    <w:rsid w:val="00424647"/>
    <w:rsid w:val="00424703"/>
    <w:rsid w:val="00424934"/>
    <w:rsid w:val="00425C37"/>
    <w:rsid w:val="0042603F"/>
    <w:rsid w:val="004261BD"/>
    <w:rsid w:val="004274AD"/>
    <w:rsid w:val="00427703"/>
    <w:rsid w:val="00430C76"/>
    <w:rsid w:val="00430F20"/>
    <w:rsid w:val="00431332"/>
    <w:rsid w:val="00431CF2"/>
    <w:rsid w:val="00431D90"/>
    <w:rsid w:val="00431E46"/>
    <w:rsid w:val="004329FE"/>
    <w:rsid w:val="00432A04"/>
    <w:rsid w:val="0043402A"/>
    <w:rsid w:val="00434769"/>
    <w:rsid w:val="0043518D"/>
    <w:rsid w:val="004351DE"/>
    <w:rsid w:val="00436611"/>
    <w:rsid w:val="00437A2F"/>
    <w:rsid w:val="00437D58"/>
    <w:rsid w:val="00440164"/>
    <w:rsid w:val="004405EC"/>
    <w:rsid w:val="00440E18"/>
    <w:rsid w:val="004426B7"/>
    <w:rsid w:val="00442FF5"/>
    <w:rsid w:val="00443834"/>
    <w:rsid w:val="00444140"/>
    <w:rsid w:val="00444ACC"/>
    <w:rsid w:val="00444B3E"/>
    <w:rsid w:val="00445234"/>
    <w:rsid w:val="00446DAE"/>
    <w:rsid w:val="00446E47"/>
    <w:rsid w:val="004476FB"/>
    <w:rsid w:val="00447854"/>
    <w:rsid w:val="00447B58"/>
    <w:rsid w:val="00450013"/>
    <w:rsid w:val="00450709"/>
    <w:rsid w:val="004508C5"/>
    <w:rsid w:val="00450A8E"/>
    <w:rsid w:val="00450C55"/>
    <w:rsid w:val="004514E0"/>
    <w:rsid w:val="004516ED"/>
    <w:rsid w:val="004531AD"/>
    <w:rsid w:val="004532BB"/>
    <w:rsid w:val="004534D6"/>
    <w:rsid w:val="00453696"/>
    <w:rsid w:val="0045377E"/>
    <w:rsid w:val="00453CE9"/>
    <w:rsid w:val="004540DE"/>
    <w:rsid w:val="00454961"/>
    <w:rsid w:val="004551EE"/>
    <w:rsid w:val="00455682"/>
    <w:rsid w:val="00455922"/>
    <w:rsid w:val="00456610"/>
    <w:rsid w:val="00456BE9"/>
    <w:rsid w:val="00460061"/>
    <w:rsid w:val="004603B8"/>
    <w:rsid w:val="004610FB"/>
    <w:rsid w:val="00461667"/>
    <w:rsid w:val="00461CAB"/>
    <w:rsid w:val="00463040"/>
    <w:rsid w:val="00463317"/>
    <w:rsid w:val="00463E66"/>
    <w:rsid w:val="00463FE3"/>
    <w:rsid w:val="0046562A"/>
    <w:rsid w:val="00465DDA"/>
    <w:rsid w:val="00465E8B"/>
    <w:rsid w:val="0046640E"/>
    <w:rsid w:val="004665CA"/>
    <w:rsid w:val="00467256"/>
    <w:rsid w:val="00467674"/>
    <w:rsid w:val="00467A24"/>
    <w:rsid w:val="00470652"/>
    <w:rsid w:val="00470A24"/>
    <w:rsid w:val="0047201A"/>
    <w:rsid w:val="004729B4"/>
    <w:rsid w:val="0047427E"/>
    <w:rsid w:val="004742C1"/>
    <w:rsid w:val="00475FDF"/>
    <w:rsid w:val="00477289"/>
    <w:rsid w:val="00477456"/>
    <w:rsid w:val="00477793"/>
    <w:rsid w:val="00477A00"/>
    <w:rsid w:val="00480059"/>
    <w:rsid w:val="00480DC1"/>
    <w:rsid w:val="00480DE2"/>
    <w:rsid w:val="00481480"/>
    <w:rsid w:val="00481D6F"/>
    <w:rsid w:val="00482162"/>
    <w:rsid w:val="0048291E"/>
    <w:rsid w:val="00482A59"/>
    <w:rsid w:val="00483652"/>
    <w:rsid w:val="00483666"/>
    <w:rsid w:val="004843A9"/>
    <w:rsid w:val="0048472A"/>
    <w:rsid w:val="00484B49"/>
    <w:rsid w:val="00484D59"/>
    <w:rsid w:val="00485526"/>
    <w:rsid w:val="00485B21"/>
    <w:rsid w:val="00485F07"/>
    <w:rsid w:val="00486428"/>
    <w:rsid w:val="00486503"/>
    <w:rsid w:val="004866D8"/>
    <w:rsid w:val="00486987"/>
    <w:rsid w:val="00487537"/>
    <w:rsid w:val="00491CDE"/>
    <w:rsid w:val="00491EB1"/>
    <w:rsid w:val="00492566"/>
    <w:rsid w:val="00492C10"/>
    <w:rsid w:val="00492E53"/>
    <w:rsid w:val="004931AE"/>
    <w:rsid w:val="004933FA"/>
    <w:rsid w:val="004935EE"/>
    <w:rsid w:val="00493F1E"/>
    <w:rsid w:val="00493F29"/>
    <w:rsid w:val="00494354"/>
    <w:rsid w:val="00494902"/>
    <w:rsid w:val="00494E82"/>
    <w:rsid w:val="00495886"/>
    <w:rsid w:val="00496444"/>
    <w:rsid w:val="0049662F"/>
    <w:rsid w:val="00496E76"/>
    <w:rsid w:val="00497018"/>
    <w:rsid w:val="00497A39"/>
    <w:rsid w:val="004A0666"/>
    <w:rsid w:val="004A19F6"/>
    <w:rsid w:val="004A1CF8"/>
    <w:rsid w:val="004A1F56"/>
    <w:rsid w:val="004A259D"/>
    <w:rsid w:val="004A2E1F"/>
    <w:rsid w:val="004A3892"/>
    <w:rsid w:val="004A487F"/>
    <w:rsid w:val="004A4B9D"/>
    <w:rsid w:val="004A4CA4"/>
    <w:rsid w:val="004A54AA"/>
    <w:rsid w:val="004A6F45"/>
    <w:rsid w:val="004A7062"/>
    <w:rsid w:val="004A78CA"/>
    <w:rsid w:val="004B02A4"/>
    <w:rsid w:val="004B0356"/>
    <w:rsid w:val="004B06C5"/>
    <w:rsid w:val="004B0916"/>
    <w:rsid w:val="004B1C66"/>
    <w:rsid w:val="004B1FAC"/>
    <w:rsid w:val="004B2291"/>
    <w:rsid w:val="004B2624"/>
    <w:rsid w:val="004B2A6A"/>
    <w:rsid w:val="004B2E7D"/>
    <w:rsid w:val="004B317D"/>
    <w:rsid w:val="004B40A3"/>
    <w:rsid w:val="004B4463"/>
    <w:rsid w:val="004B4B08"/>
    <w:rsid w:val="004B53FF"/>
    <w:rsid w:val="004B6418"/>
    <w:rsid w:val="004B666A"/>
    <w:rsid w:val="004B6989"/>
    <w:rsid w:val="004B763D"/>
    <w:rsid w:val="004C0192"/>
    <w:rsid w:val="004C04BD"/>
    <w:rsid w:val="004C0E2B"/>
    <w:rsid w:val="004C1270"/>
    <w:rsid w:val="004C1B57"/>
    <w:rsid w:val="004C1E9C"/>
    <w:rsid w:val="004C36A9"/>
    <w:rsid w:val="004C497E"/>
    <w:rsid w:val="004C4AD3"/>
    <w:rsid w:val="004C53C4"/>
    <w:rsid w:val="004C5844"/>
    <w:rsid w:val="004C6AD2"/>
    <w:rsid w:val="004C7513"/>
    <w:rsid w:val="004C782F"/>
    <w:rsid w:val="004D00C0"/>
    <w:rsid w:val="004D01EE"/>
    <w:rsid w:val="004D0448"/>
    <w:rsid w:val="004D0BA0"/>
    <w:rsid w:val="004D0BD0"/>
    <w:rsid w:val="004D1D79"/>
    <w:rsid w:val="004D34C3"/>
    <w:rsid w:val="004D45C4"/>
    <w:rsid w:val="004D4841"/>
    <w:rsid w:val="004D487B"/>
    <w:rsid w:val="004D4D09"/>
    <w:rsid w:val="004D5792"/>
    <w:rsid w:val="004D6A43"/>
    <w:rsid w:val="004D7C59"/>
    <w:rsid w:val="004E0137"/>
    <w:rsid w:val="004E02E5"/>
    <w:rsid w:val="004E15D4"/>
    <w:rsid w:val="004E16F7"/>
    <w:rsid w:val="004E2127"/>
    <w:rsid w:val="004E296C"/>
    <w:rsid w:val="004E2AE2"/>
    <w:rsid w:val="004E33F3"/>
    <w:rsid w:val="004E3597"/>
    <w:rsid w:val="004E3A28"/>
    <w:rsid w:val="004E3C34"/>
    <w:rsid w:val="004E3CE1"/>
    <w:rsid w:val="004E3FF1"/>
    <w:rsid w:val="004E41E2"/>
    <w:rsid w:val="004E55B7"/>
    <w:rsid w:val="004E56D9"/>
    <w:rsid w:val="004E5DCB"/>
    <w:rsid w:val="004E637C"/>
    <w:rsid w:val="004E662F"/>
    <w:rsid w:val="004E725F"/>
    <w:rsid w:val="004E75BB"/>
    <w:rsid w:val="004E790B"/>
    <w:rsid w:val="004E798E"/>
    <w:rsid w:val="004E7D1F"/>
    <w:rsid w:val="004F0307"/>
    <w:rsid w:val="004F057A"/>
    <w:rsid w:val="004F0C75"/>
    <w:rsid w:val="004F1517"/>
    <w:rsid w:val="004F1523"/>
    <w:rsid w:val="004F1EF0"/>
    <w:rsid w:val="004F2892"/>
    <w:rsid w:val="004F29DC"/>
    <w:rsid w:val="004F362E"/>
    <w:rsid w:val="004F3ECB"/>
    <w:rsid w:val="004F45A5"/>
    <w:rsid w:val="004F49AE"/>
    <w:rsid w:val="004F4D44"/>
    <w:rsid w:val="004F6534"/>
    <w:rsid w:val="004F6880"/>
    <w:rsid w:val="004F6EB3"/>
    <w:rsid w:val="004F6FCA"/>
    <w:rsid w:val="004F7453"/>
    <w:rsid w:val="004F78BC"/>
    <w:rsid w:val="005005A1"/>
    <w:rsid w:val="00501299"/>
    <w:rsid w:val="0050150A"/>
    <w:rsid w:val="005017CC"/>
    <w:rsid w:val="00501BFD"/>
    <w:rsid w:val="005027F1"/>
    <w:rsid w:val="00502B48"/>
    <w:rsid w:val="00503DD2"/>
    <w:rsid w:val="005048DA"/>
    <w:rsid w:val="00504C15"/>
    <w:rsid w:val="00505537"/>
    <w:rsid w:val="00506C1E"/>
    <w:rsid w:val="00506CCD"/>
    <w:rsid w:val="0050717B"/>
    <w:rsid w:val="00507647"/>
    <w:rsid w:val="0051007E"/>
    <w:rsid w:val="00510BB6"/>
    <w:rsid w:val="00511D79"/>
    <w:rsid w:val="00512B4C"/>
    <w:rsid w:val="0051432D"/>
    <w:rsid w:val="005154AD"/>
    <w:rsid w:val="00515628"/>
    <w:rsid w:val="00515BE6"/>
    <w:rsid w:val="005160F6"/>
    <w:rsid w:val="00516D87"/>
    <w:rsid w:val="005173B6"/>
    <w:rsid w:val="00520280"/>
    <w:rsid w:val="00520497"/>
    <w:rsid w:val="00520520"/>
    <w:rsid w:val="00520CEA"/>
    <w:rsid w:val="005213D0"/>
    <w:rsid w:val="00521423"/>
    <w:rsid w:val="005229B8"/>
    <w:rsid w:val="00523135"/>
    <w:rsid w:val="0052318E"/>
    <w:rsid w:val="00523C54"/>
    <w:rsid w:val="00524020"/>
    <w:rsid w:val="0052466B"/>
    <w:rsid w:val="005248DE"/>
    <w:rsid w:val="00525D3A"/>
    <w:rsid w:val="005262E7"/>
    <w:rsid w:val="00526A26"/>
    <w:rsid w:val="0053207B"/>
    <w:rsid w:val="00532381"/>
    <w:rsid w:val="005323FA"/>
    <w:rsid w:val="0053380D"/>
    <w:rsid w:val="00533837"/>
    <w:rsid w:val="005342AD"/>
    <w:rsid w:val="00534688"/>
    <w:rsid w:val="00534A8F"/>
    <w:rsid w:val="00535A75"/>
    <w:rsid w:val="0053617F"/>
    <w:rsid w:val="0053654A"/>
    <w:rsid w:val="00536689"/>
    <w:rsid w:val="00536855"/>
    <w:rsid w:val="00536872"/>
    <w:rsid w:val="00536D50"/>
    <w:rsid w:val="00536D89"/>
    <w:rsid w:val="00536F4A"/>
    <w:rsid w:val="00537C9C"/>
    <w:rsid w:val="0054163B"/>
    <w:rsid w:val="00541E60"/>
    <w:rsid w:val="00542B31"/>
    <w:rsid w:val="00545239"/>
    <w:rsid w:val="005454E5"/>
    <w:rsid w:val="00547244"/>
    <w:rsid w:val="0055098D"/>
    <w:rsid w:val="00550B24"/>
    <w:rsid w:val="00550FD2"/>
    <w:rsid w:val="005513B4"/>
    <w:rsid w:val="00552031"/>
    <w:rsid w:val="005528E7"/>
    <w:rsid w:val="00553018"/>
    <w:rsid w:val="0055382B"/>
    <w:rsid w:val="0055412E"/>
    <w:rsid w:val="0055419D"/>
    <w:rsid w:val="00554866"/>
    <w:rsid w:val="0055491D"/>
    <w:rsid w:val="00554B9E"/>
    <w:rsid w:val="0055583F"/>
    <w:rsid w:val="00555B53"/>
    <w:rsid w:val="00557ED9"/>
    <w:rsid w:val="005601C1"/>
    <w:rsid w:val="005603EF"/>
    <w:rsid w:val="00560A56"/>
    <w:rsid w:val="00560B40"/>
    <w:rsid w:val="00560CD8"/>
    <w:rsid w:val="005611CE"/>
    <w:rsid w:val="00561575"/>
    <w:rsid w:val="0056201F"/>
    <w:rsid w:val="005627B1"/>
    <w:rsid w:val="005631C0"/>
    <w:rsid w:val="0056408D"/>
    <w:rsid w:val="005651D0"/>
    <w:rsid w:val="00565220"/>
    <w:rsid w:val="00565370"/>
    <w:rsid w:val="00565470"/>
    <w:rsid w:val="0056586E"/>
    <w:rsid w:val="005658E3"/>
    <w:rsid w:val="00566941"/>
    <w:rsid w:val="00566DB4"/>
    <w:rsid w:val="005670F9"/>
    <w:rsid w:val="005672F2"/>
    <w:rsid w:val="005678DE"/>
    <w:rsid w:val="0056793E"/>
    <w:rsid w:val="00567C83"/>
    <w:rsid w:val="005700B8"/>
    <w:rsid w:val="0057024B"/>
    <w:rsid w:val="00570292"/>
    <w:rsid w:val="0057092B"/>
    <w:rsid w:val="0057110F"/>
    <w:rsid w:val="00571B2A"/>
    <w:rsid w:val="00571FC5"/>
    <w:rsid w:val="00572145"/>
    <w:rsid w:val="00572CE9"/>
    <w:rsid w:val="00573A2D"/>
    <w:rsid w:val="005749DA"/>
    <w:rsid w:val="0057769E"/>
    <w:rsid w:val="005805B7"/>
    <w:rsid w:val="00580751"/>
    <w:rsid w:val="005812C5"/>
    <w:rsid w:val="00581990"/>
    <w:rsid w:val="0058223C"/>
    <w:rsid w:val="0058260F"/>
    <w:rsid w:val="00583EF1"/>
    <w:rsid w:val="005865CB"/>
    <w:rsid w:val="00586784"/>
    <w:rsid w:val="00586C4A"/>
    <w:rsid w:val="005871CB"/>
    <w:rsid w:val="00587424"/>
    <w:rsid w:val="005878DB"/>
    <w:rsid w:val="00587E29"/>
    <w:rsid w:val="00590967"/>
    <w:rsid w:val="005927A5"/>
    <w:rsid w:val="005936F6"/>
    <w:rsid w:val="00593785"/>
    <w:rsid w:val="005938A2"/>
    <w:rsid w:val="005940FD"/>
    <w:rsid w:val="00595AA4"/>
    <w:rsid w:val="00595B4C"/>
    <w:rsid w:val="0059666A"/>
    <w:rsid w:val="00596851"/>
    <w:rsid w:val="00597444"/>
    <w:rsid w:val="005A00B5"/>
    <w:rsid w:val="005A08EF"/>
    <w:rsid w:val="005A0AC7"/>
    <w:rsid w:val="005A0E6F"/>
    <w:rsid w:val="005A1051"/>
    <w:rsid w:val="005A16C7"/>
    <w:rsid w:val="005A299D"/>
    <w:rsid w:val="005A3906"/>
    <w:rsid w:val="005A3AC4"/>
    <w:rsid w:val="005A4B7F"/>
    <w:rsid w:val="005A5AC3"/>
    <w:rsid w:val="005A5B4C"/>
    <w:rsid w:val="005A5BE3"/>
    <w:rsid w:val="005A691E"/>
    <w:rsid w:val="005A6A43"/>
    <w:rsid w:val="005A6F87"/>
    <w:rsid w:val="005A70AD"/>
    <w:rsid w:val="005A797A"/>
    <w:rsid w:val="005B0BD6"/>
    <w:rsid w:val="005B13FA"/>
    <w:rsid w:val="005B197A"/>
    <w:rsid w:val="005B201E"/>
    <w:rsid w:val="005B23DC"/>
    <w:rsid w:val="005B2ADA"/>
    <w:rsid w:val="005B321C"/>
    <w:rsid w:val="005B35AB"/>
    <w:rsid w:val="005B37F7"/>
    <w:rsid w:val="005B4362"/>
    <w:rsid w:val="005B535B"/>
    <w:rsid w:val="005B59CB"/>
    <w:rsid w:val="005B5DAB"/>
    <w:rsid w:val="005B6794"/>
    <w:rsid w:val="005B6827"/>
    <w:rsid w:val="005B775D"/>
    <w:rsid w:val="005B790D"/>
    <w:rsid w:val="005C0C8C"/>
    <w:rsid w:val="005C1213"/>
    <w:rsid w:val="005C1661"/>
    <w:rsid w:val="005C17AA"/>
    <w:rsid w:val="005C27A6"/>
    <w:rsid w:val="005C3507"/>
    <w:rsid w:val="005C373C"/>
    <w:rsid w:val="005C3DFA"/>
    <w:rsid w:val="005C4574"/>
    <w:rsid w:val="005C4AFE"/>
    <w:rsid w:val="005C5AC6"/>
    <w:rsid w:val="005C5F92"/>
    <w:rsid w:val="005C684D"/>
    <w:rsid w:val="005C6997"/>
    <w:rsid w:val="005C7210"/>
    <w:rsid w:val="005C784C"/>
    <w:rsid w:val="005C79C9"/>
    <w:rsid w:val="005C7AFE"/>
    <w:rsid w:val="005D02BA"/>
    <w:rsid w:val="005D0A54"/>
    <w:rsid w:val="005D0B56"/>
    <w:rsid w:val="005D10E6"/>
    <w:rsid w:val="005D1294"/>
    <w:rsid w:val="005D25F9"/>
    <w:rsid w:val="005D3885"/>
    <w:rsid w:val="005D3F38"/>
    <w:rsid w:val="005D500D"/>
    <w:rsid w:val="005D51FF"/>
    <w:rsid w:val="005D55D6"/>
    <w:rsid w:val="005D5CE7"/>
    <w:rsid w:val="005D6D4B"/>
    <w:rsid w:val="005D70FE"/>
    <w:rsid w:val="005E11B5"/>
    <w:rsid w:val="005E2AFF"/>
    <w:rsid w:val="005E2E57"/>
    <w:rsid w:val="005E3430"/>
    <w:rsid w:val="005E396E"/>
    <w:rsid w:val="005E477F"/>
    <w:rsid w:val="005E4D25"/>
    <w:rsid w:val="005E4DCC"/>
    <w:rsid w:val="005E5151"/>
    <w:rsid w:val="005E5BA1"/>
    <w:rsid w:val="005E5F08"/>
    <w:rsid w:val="005E658F"/>
    <w:rsid w:val="005E73BB"/>
    <w:rsid w:val="005E7885"/>
    <w:rsid w:val="005F0613"/>
    <w:rsid w:val="005F0850"/>
    <w:rsid w:val="005F0F9C"/>
    <w:rsid w:val="005F101C"/>
    <w:rsid w:val="005F12E1"/>
    <w:rsid w:val="005F1F1F"/>
    <w:rsid w:val="005F1F64"/>
    <w:rsid w:val="005F21AB"/>
    <w:rsid w:val="005F29AA"/>
    <w:rsid w:val="005F2E3B"/>
    <w:rsid w:val="005F38B1"/>
    <w:rsid w:val="005F3B90"/>
    <w:rsid w:val="005F3BC1"/>
    <w:rsid w:val="005F4276"/>
    <w:rsid w:val="005F4746"/>
    <w:rsid w:val="005F4C6B"/>
    <w:rsid w:val="005F4CCA"/>
    <w:rsid w:val="005F50F3"/>
    <w:rsid w:val="005F55C1"/>
    <w:rsid w:val="005F5C1E"/>
    <w:rsid w:val="005F5EAC"/>
    <w:rsid w:val="005F5FB6"/>
    <w:rsid w:val="005F61AE"/>
    <w:rsid w:val="005F6F92"/>
    <w:rsid w:val="005F7C3B"/>
    <w:rsid w:val="005F7E8D"/>
    <w:rsid w:val="00600398"/>
    <w:rsid w:val="00600DCD"/>
    <w:rsid w:val="0060129B"/>
    <w:rsid w:val="006017EB"/>
    <w:rsid w:val="006020AC"/>
    <w:rsid w:val="006026C2"/>
    <w:rsid w:val="00602E24"/>
    <w:rsid w:val="00602E6A"/>
    <w:rsid w:val="006046C8"/>
    <w:rsid w:val="00604E35"/>
    <w:rsid w:val="0060528E"/>
    <w:rsid w:val="006072E7"/>
    <w:rsid w:val="0061131E"/>
    <w:rsid w:val="00611B2A"/>
    <w:rsid w:val="006122AE"/>
    <w:rsid w:val="006130AE"/>
    <w:rsid w:val="00613CB7"/>
    <w:rsid w:val="00613E1F"/>
    <w:rsid w:val="0061448D"/>
    <w:rsid w:val="00614C4F"/>
    <w:rsid w:val="00614DC7"/>
    <w:rsid w:val="00615AA2"/>
    <w:rsid w:val="00616395"/>
    <w:rsid w:val="0062044E"/>
    <w:rsid w:val="00620606"/>
    <w:rsid w:val="00620639"/>
    <w:rsid w:val="00620EE7"/>
    <w:rsid w:val="00621018"/>
    <w:rsid w:val="0062169F"/>
    <w:rsid w:val="00621D10"/>
    <w:rsid w:val="00623A30"/>
    <w:rsid w:val="00623DA7"/>
    <w:rsid w:val="006248E6"/>
    <w:rsid w:val="00624EC6"/>
    <w:rsid w:val="0062534F"/>
    <w:rsid w:val="0062625A"/>
    <w:rsid w:val="00626E73"/>
    <w:rsid w:val="006270FF"/>
    <w:rsid w:val="006279E4"/>
    <w:rsid w:val="00627E13"/>
    <w:rsid w:val="00630222"/>
    <w:rsid w:val="00630459"/>
    <w:rsid w:val="00630F6F"/>
    <w:rsid w:val="00631505"/>
    <w:rsid w:val="00632245"/>
    <w:rsid w:val="0063225C"/>
    <w:rsid w:val="00632301"/>
    <w:rsid w:val="006327BB"/>
    <w:rsid w:val="006335EF"/>
    <w:rsid w:val="006348C2"/>
    <w:rsid w:val="00634A4C"/>
    <w:rsid w:val="00634DE6"/>
    <w:rsid w:val="006372BF"/>
    <w:rsid w:val="00637322"/>
    <w:rsid w:val="00637434"/>
    <w:rsid w:val="0063785D"/>
    <w:rsid w:val="0064076F"/>
    <w:rsid w:val="00640A1C"/>
    <w:rsid w:val="00640CA8"/>
    <w:rsid w:val="006418E5"/>
    <w:rsid w:val="006421EA"/>
    <w:rsid w:val="00642772"/>
    <w:rsid w:val="00642ED3"/>
    <w:rsid w:val="006439AE"/>
    <w:rsid w:val="006446BC"/>
    <w:rsid w:val="0064578A"/>
    <w:rsid w:val="00645953"/>
    <w:rsid w:val="00646614"/>
    <w:rsid w:val="00646BC6"/>
    <w:rsid w:val="00646D03"/>
    <w:rsid w:val="00651109"/>
    <w:rsid w:val="006517A0"/>
    <w:rsid w:val="00651A1C"/>
    <w:rsid w:val="0065304D"/>
    <w:rsid w:val="00653283"/>
    <w:rsid w:val="006536AF"/>
    <w:rsid w:val="00654230"/>
    <w:rsid w:val="00655371"/>
    <w:rsid w:val="00655DFD"/>
    <w:rsid w:val="006562D8"/>
    <w:rsid w:val="006568A3"/>
    <w:rsid w:val="00656B88"/>
    <w:rsid w:val="00657332"/>
    <w:rsid w:val="00657A01"/>
    <w:rsid w:val="00657C33"/>
    <w:rsid w:val="006605F9"/>
    <w:rsid w:val="00660999"/>
    <w:rsid w:val="00661E42"/>
    <w:rsid w:val="006620E0"/>
    <w:rsid w:val="00664805"/>
    <w:rsid w:val="00664B10"/>
    <w:rsid w:val="00664E88"/>
    <w:rsid w:val="006650D3"/>
    <w:rsid w:val="006653B3"/>
    <w:rsid w:val="006654A9"/>
    <w:rsid w:val="00665A41"/>
    <w:rsid w:val="006667E1"/>
    <w:rsid w:val="00670317"/>
    <w:rsid w:val="006707F6"/>
    <w:rsid w:val="0067093E"/>
    <w:rsid w:val="006713AB"/>
    <w:rsid w:val="00671976"/>
    <w:rsid w:val="00672890"/>
    <w:rsid w:val="00672B19"/>
    <w:rsid w:val="0067455D"/>
    <w:rsid w:val="0067474A"/>
    <w:rsid w:val="00674A59"/>
    <w:rsid w:val="00675260"/>
    <w:rsid w:val="006761E3"/>
    <w:rsid w:val="0067646D"/>
    <w:rsid w:val="0067650E"/>
    <w:rsid w:val="00676E14"/>
    <w:rsid w:val="00676F2E"/>
    <w:rsid w:val="00677896"/>
    <w:rsid w:val="00677AAE"/>
    <w:rsid w:val="00677ABE"/>
    <w:rsid w:val="00677DB8"/>
    <w:rsid w:val="00680FCC"/>
    <w:rsid w:val="006811FF"/>
    <w:rsid w:val="00681B16"/>
    <w:rsid w:val="00682287"/>
    <w:rsid w:val="006822B5"/>
    <w:rsid w:val="0068317C"/>
    <w:rsid w:val="006832D6"/>
    <w:rsid w:val="00683CE9"/>
    <w:rsid w:val="006845A4"/>
    <w:rsid w:val="00684DB1"/>
    <w:rsid w:val="006872CF"/>
    <w:rsid w:val="0069127B"/>
    <w:rsid w:val="006914EA"/>
    <w:rsid w:val="00691B91"/>
    <w:rsid w:val="006928AC"/>
    <w:rsid w:val="00692BB2"/>
    <w:rsid w:val="00692BFF"/>
    <w:rsid w:val="00693091"/>
    <w:rsid w:val="006948AC"/>
    <w:rsid w:val="00694D39"/>
    <w:rsid w:val="006953CA"/>
    <w:rsid w:val="006954EC"/>
    <w:rsid w:val="006955A9"/>
    <w:rsid w:val="006959D6"/>
    <w:rsid w:val="00695EC8"/>
    <w:rsid w:val="00696909"/>
    <w:rsid w:val="00697114"/>
    <w:rsid w:val="00697BC6"/>
    <w:rsid w:val="006A1B84"/>
    <w:rsid w:val="006A1FEF"/>
    <w:rsid w:val="006A27C2"/>
    <w:rsid w:val="006A2EBD"/>
    <w:rsid w:val="006A3009"/>
    <w:rsid w:val="006A3E7B"/>
    <w:rsid w:val="006A4D9B"/>
    <w:rsid w:val="006A5155"/>
    <w:rsid w:val="006A54E2"/>
    <w:rsid w:val="006A6950"/>
    <w:rsid w:val="006A7210"/>
    <w:rsid w:val="006A757D"/>
    <w:rsid w:val="006A7B32"/>
    <w:rsid w:val="006B002A"/>
    <w:rsid w:val="006B130C"/>
    <w:rsid w:val="006B308F"/>
    <w:rsid w:val="006B32C8"/>
    <w:rsid w:val="006B3A46"/>
    <w:rsid w:val="006B5301"/>
    <w:rsid w:val="006B698B"/>
    <w:rsid w:val="006B7C2C"/>
    <w:rsid w:val="006C1A19"/>
    <w:rsid w:val="006C221E"/>
    <w:rsid w:val="006C34B4"/>
    <w:rsid w:val="006C376B"/>
    <w:rsid w:val="006C4319"/>
    <w:rsid w:val="006C440B"/>
    <w:rsid w:val="006C453C"/>
    <w:rsid w:val="006C45C7"/>
    <w:rsid w:val="006C4BC0"/>
    <w:rsid w:val="006C50E7"/>
    <w:rsid w:val="006C5C73"/>
    <w:rsid w:val="006C5DC3"/>
    <w:rsid w:val="006C616B"/>
    <w:rsid w:val="006C63FB"/>
    <w:rsid w:val="006C6A46"/>
    <w:rsid w:val="006C6D72"/>
    <w:rsid w:val="006C7447"/>
    <w:rsid w:val="006C7ACB"/>
    <w:rsid w:val="006D0115"/>
    <w:rsid w:val="006D03DF"/>
    <w:rsid w:val="006D12E3"/>
    <w:rsid w:val="006D1327"/>
    <w:rsid w:val="006D1F03"/>
    <w:rsid w:val="006D2971"/>
    <w:rsid w:val="006D4A4A"/>
    <w:rsid w:val="006D4ADB"/>
    <w:rsid w:val="006D4D36"/>
    <w:rsid w:val="006D6E79"/>
    <w:rsid w:val="006D7DC0"/>
    <w:rsid w:val="006D7DEA"/>
    <w:rsid w:val="006E017B"/>
    <w:rsid w:val="006E06A9"/>
    <w:rsid w:val="006E0888"/>
    <w:rsid w:val="006E097F"/>
    <w:rsid w:val="006E0E4A"/>
    <w:rsid w:val="006E1778"/>
    <w:rsid w:val="006E1795"/>
    <w:rsid w:val="006E17B0"/>
    <w:rsid w:val="006E1A8C"/>
    <w:rsid w:val="006E1C39"/>
    <w:rsid w:val="006E1E63"/>
    <w:rsid w:val="006E2595"/>
    <w:rsid w:val="006E2694"/>
    <w:rsid w:val="006E2A1F"/>
    <w:rsid w:val="006E2A78"/>
    <w:rsid w:val="006E4ED0"/>
    <w:rsid w:val="006E53A0"/>
    <w:rsid w:val="006E5500"/>
    <w:rsid w:val="006E58AF"/>
    <w:rsid w:val="006E5D0E"/>
    <w:rsid w:val="006E608C"/>
    <w:rsid w:val="006E6261"/>
    <w:rsid w:val="006E6540"/>
    <w:rsid w:val="006E65F8"/>
    <w:rsid w:val="006E6843"/>
    <w:rsid w:val="006E6AC7"/>
    <w:rsid w:val="006E6B4F"/>
    <w:rsid w:val="006E6DD4"/>
    <w:rsid w:val="006E7651"/>
    <w:rsid w:val="006E7C40"/>
    <w:rsid w:val="006E7F60"/>
    <w:rsid w:val="006F0181"/>
    <w:rsid w:val="006F03E3"/>
    <w:rsid w:val="006F0660"/>
    <w:rsid w:val="006F0A1F"/>
    <w:rsid w:val="006F0EA8"/>
    <w:rsid w:val="006F0F5F"/>
    <w:rsid w:val="006F150D"/>
    <w:rsid w:val="006F1654"/>
    <w:rsid w:val="006F222F"/>
    <w:rsid w:val="006F26F3"/>
    <w:rsid w:val="006F2CF3"/>
    <w:rsid w:val="006F3059"/>
    <w:rsid w:val="006F3A64"/>
    <w:rsid w:val="006F5987"/>
    <w:rsid w:val="006F5F1A"/>
    <w:rsid w:val="006F6C67"/>
    <w:rsid w:val="006F6EB9"/>
    <w:rsid w:val="006F7078"/>
    <w:rsid w:val="00700222"/>
    <w:rsid w:val="0070040B"/>
    <w:rsid w:val="007008C7"/>
    <w:rsid w:val="007008D0"/>
    <w:rsid w:val="00701188"/>
    <w:rsid w:val="0070137E"/>
    <w:rsid w:val="0070287D"/>
    <w:rsid w:val="00702DB9"/>
    <w:rsid w:val="00702E2E"/>
    <w:rsid w:val="00703F39"/>
    <w:rsid w:val="00704B8B"/>
    <w:rsid w:val="00705942"/>
    <w:rsid w:val="00705AB2"/>
    <w:rsid w:val="0070619A"/>
    <w:rsid w:val="0070678A"/>
    <w:rsid w:val="00707173"/>
    <w:rsid w:val="00707607"/>
    <w:rsid w:val="0071055F"/>
    <w:rsid w:val="0071095F"/>
    <w:rsid w:val="007118EB"/>
    <w:rsid w:val="00712C57"/>
    <w:rsid w:val="007136CC"/>
    <w:rsid w:val="00713902"/>
    <w:rsid w:val="00713B9A"/>
    <w:rsid w:val="00714281"/>
    <w:rsid w:val="00714BEF"/>
    <w:rsid w:val="007157C8"/>
    <w:rsid w:val="007161CE"/>
    <w:rsid w:val="00716B38"/>
    <w:rsid w:val="00717EE2"/>
    <w:rsid w:val="0072159A"/>
    <w:rsid w:val="00721BEF"/>
    <w:rsid w:val="00722055"/>
    <w:rsid w:val="007228F2"/>
    <w:rsid w:val="00722C23"/>
    <w:rsid w:val="007246ED"/>
    <w:rsid w:val="00725A8D"/>
    <w:rsid w:val="00727851"/>
    <w:rsid w:val="00727B18"/>
    <w:rsid w:val="00727D5D"/>
    <w:rsid w:val="00727FA5"/>
    <w:rsid w:val="007314A9"/>
    <w:rsid w:val="007318E5"/>
    <w:rsid w:val="00732369"/>
    <w:rsid w:val="00732EA3"/>
    <w:rsid w:val="00733157"/>
    <w:rsid w:val="007333F4"/>
    <w:rsid w:val="00733EE3"/>
    <w:rsid w:val="00733F89"/>
    <w:rsid w:val="00734A03"/>
    <w:rsid w:val="007350F7"/>
    <w:rsid w:val="007372F4"/>
    <w:rsid w:val="00737FDC"/>
    <w:rsid w:val="007400AC"/>
    <w:rsid w:val="0074036B"/>
    <w:rsid w:val="007406F0"/>
    <w:rsid w:val="0074189A"/>
    <w:rsid w:val="00741BAA"/>
    <w:rsid w:val="00741E2A"/>
    <w:rsid w:val="007421DB"/>
    <w:rsid w:val="0074274E"/>
    <w:rsid w:val="00744BA5"/>
    <w:rsid w:val="00744E09"/>
    <w:rsid w:val="00745567"/>
    <w:rsid w:val="00745D02"/>
    <w:rsid w:val="00745F54"/>
    <w:rsid w:val="007461D4"/>
    <w:rsid w:val="007463A4"/>
    <w:rsid w:val="00746C32"/>
    <w:rsid w:val="00747802"/>
    <w:rsid w:val="00747E9F"/>
    <w:rsid w:val="00747F86"/>
    <w:rsid w:val="00750184"/>
    <w:rsid w:val="007520CE"/>
    <w:rsid w:val="00752414"/>
    <w:rsid w:val="00752573"/>
    <w:rsid w:val="007548EC"/>
    <w:rsid w:val="00754B63"/>
    <w:rsid w:val="00756180"/>
    <w:rsid w:val="00756636"/>
    <w:rsid w:val="007566F3"/>
    <w:rsid w:val="00756BC6"/>
    <w:rsid w:val="00756F23"/>
    <w:rsid w:val="00760777"/>
    <w:rsid w:val="00762B3F"/>
    <w:rsid w:val="00762B7E"/>
    <w:rsid w:val="007637A9"/>
    <w:rsid w:val="00763B8B"/>
    <w:rsid w:val="0076417B"/>
    <w:rsid w:val="00764C92"/>
    <w:rsid w:val="007651DB"/>
    <w:rsid w:val="0076552A"/>
    <w:rsid w:val="00765ED1"/>
    <w:rsid w:val="007674EC"/>
    <w:rsid w:val="00770158"/>
    <w:rsid w:val="00770B56"/>
    <w:rsid w:val="00770EC4"/>
    <w:rsid w:val="007710A5"/>
    <w:rsid w:val="00771615"/>
    <w:rsid w:val="007717BF"/>
    <w:rsid w:val="0077225D"/>
    <w:rsid w:val="00772E28"/>
    <w:rsid w:val="007734C9"/>
    <w:rsid w:val="007736D0"/>
    <w:rsid w:val="007737B8"/>
    <w:rsid w:val="0077463A"/>
    <w:rsid w:val="00776341"/>
    <w:rsid w:val="00776BC9"/>
    <w:rsid w:val="00777325"/>
    <w:rsid w:val="0077753D"/>
    <w:rsid w:val="0077786E"/>
    <w:rsid w:val="00777E53"/>
    <w:rsid w:val="007801E4"/>
    <w:rsid w:val="00780A67"/>
    <w:rsid w:val="00780A9A"/>
    <w:rsid w:val="00780AC7"/>
    <w:rsid w:val="00780AE8"/>
    <w:rsid w:val="00781105"/>
    <w:rsid w:val="007816AC"/>
    <w:rsid w:val="007823ED"/>
    <w:rsid w:val="007839AA"/>
    <w:rsid w:val="00783C5E"/>
    <w:rsid w:val="00784784"/>
    <w:rsid w:val="0078491B"/>
    <w:rsid w:val="00784D14"/>
    <w:rsid w:val="00784F1D"/>
    <w:rsid w:val="00787636"/>
    <w:rsid w:val="007906B4"/>
    <w:rsid w:val="00790975"/>
    <w:rsid w:val="007916AA"/>
    <w:rsid w:val="007919DB"/>
    <w:rsid w:val="00791A91"/>
    <w:rsid w:val="007929EE"/>
    <w:rsid w:val="00792E68"/>
    <w:rsid w:val="007930CD"/>
    <w:rsid w:val="00794302"/>
    <w:rsid w:val="0079532A"/>
    <w:rsid w:val="007957DD"/>
    <w:rsid w:val="00795D00"/>
    <w:rsid w:val="0079678C"/>
    <w:rsid w:val="007972C6"/>
    <w:rsid w:val="00797A09"/>
    <w:rsid w:val="00797CE7"/>
    <w:rsid w:val="007A0950"/>
    <w:rsid w:val="007A2429"/>
    <w:rsid w:val="007A27C4"/>
    <w:rsid w:val="007A34D9"/>
    <w:rsid w:val="007A3771"/>
    <w:rsid w:val="007A39B7"/>
    <w:rsid w:val="007A3A5D"/>
    <w:rsid w:val="007A41EC"/>
    <w:rsid w:val="007A5446"/>
    <w:rsid w:val="007A5863"/>
    <w:rsid w:val="007A5F29"/>
    <w:rsid w:val="007A6883"/>
    <w:rsid w:val="007A6D85"/>
    <w:rsid w:val="007A6E92"/>
    <w:rsid w:val="007A7F00"/>
    <w:rsid w:val="007B1015"/>
    <w:rsid w:val="007B1A5C"/>
    <w:rsid w:val="007B1F05"/>
    <w:rsid w:val="007B3AB0"/>
    <w:rsid w:val="007B433E"/>
    <w:rsid w:val="007B4961"/>
    <w:rsid w:val="007B4AB9"/>
    <w:rsid w:val="007B5BF6"/>
    <w:rsid w:val="007B5C2D"/>
    <w:rsid w:val="007B7058"/>
    <w:rsid w:val="007B709A"/>
    <w:rsid w:val="007B74E0"/>
    <w:rsid w:val="007B785D"/>
    <w:rsid w:val="007C164A"/>
    <w:rsid w:val="007C236F"/>
    <w:rsid w:val="007C24AA"/>
    <w:rsid w:val="007C2738"/>
    <w:rsid w:val="007C2746"/>
    <w:rsid w:val="007C2BCF"/>
    <w:rsid w:val="007C3645"/>
    <w:rsid w:val="007C429E"/>
    <w:rsid w:val="007C445E"/>
    <w:rsid w:val="007C4B10"/>
    <w:rsid w:val="007C56A9"/>
    <w:rsid w:val="007C5785"/>
    <w:rsid w:val="007C627E"/>
    <w:rsid w:val="007C6C74"/>
    <w:rsid w:val="007D0A66"/>
    <w:rsid w:val="007D2842"/>
    <w:rsid w:val="007D3061"/>
    <w:rsid w:val="007D376D"/>
    <w:rsid w:val="007D3BA1"/>
    <w:rsid w:val="007D401F"/>
    <w:rsid w:val="007D4F2C"/>
    <w:rsid w:val="007D5151"/>
    <w:rsid w:val="007D6F47"/>
    <w:rsid w:val="007D7383"/>
    <w:rsid w:val="007D7E2A"/>
    <w:rsid w:val="007E00C8"/>
    <w:rsid w:val="007E1113"/>
    <w:rsid w:val="007E1347"/>
    <w:rsid w:val="007E155F"/>
    <w:rsid w:val="007E1BDD"/>
    <w:rsid w:val="007E1CEA"/>
    <w:rsid w:val="007E20BA"/>
    <w:rsid w:val="007E28AC"/>
    <w:rsid w:val="007E2928"/>
    <w:rsid w:val="007E2C07"/>
    <w:rsid w:val="007E3151"/>
    <w:rsid w:val="007E3350"/>
    <w:rsid w:val="007E3ABE"/>
    <w:rsid w:val="007E455D"/>
    <w:rsid w:val="007E467A"/>
    <w:rsid w:val="007E4CB1"/>
    <w:rsid w:val="007E51A5"/>
    <w:rsid w:val="007E5E3C"/>
    <w:rsid w:val="007E65BE"/>
    <w:rsid w:val="007E69AB"/>
    <w:rsid w:val="007F042F"/>
    <w:rsid w:val="007F0A0A"/>
    <w:rsid w:val="007F1727"/>
    <w:rsid w:val="007F1E8C"/>
    <w:rsid w:val="007F248C"/>
    <w:rsid w:val="007F3C2C"/>
    <w:rsid w:val="007F441B"/>
    <w:rsid w:val="007F5555"/>
    <w:rsid w:val="007F5AD1"/>
    <w:rsid w:val="007F6A57"/>
    <w:rsid w:val="007F6BBF"/>
    <w:rsid w:val="007F6EAA"/>
    <w:rsid w:val="007F782D"/>
    <w:rsid w:val="00800575"/>
    <w:rsid w:val="00801CCA"/>
    <w:rsid w:val="00802783"/>
    <w:rsid w:val="0080290B"/>
    <w:rsid w:val="0080417F"/>
    <w:rsid w:val="008043A1"/>
    <w:rsid w:val="008045E4"/>
    <w:rsid w:val="008051C9"/>
    <w:rsid w:val="00806D25"/>
    <w:rsid w:val="008110DA"/>
    <w:rsid w:val="0081135B"/>
    <w:rsid w:val="00811AA7"/>
    <w:rsid w:val="00811DAF"/>
    <w:rsid w:val="0081210A"/>
    <w:rsid w:val="0081304C"/>
    <w:rsid w:val="00813373"/>
    <w:rsid w:val="0081353E"/>
    <w:rsid w:val="0081363A"/>
    <w:rsid w:val="00814CE6"/>
    <w:rsid w:val="0081696A"/>
    <w:rsid w:val="00816EBB"/>
    <w:rsid w:val="00817642"/>
    <w:rsid w:val="00821D78"/>
    <w:rsid w:val="0082313D"/>
    <w:rsid w:val="00823153"/>
    <w:rsid w:val="008235A6"/>
    <w:rsid w:val="00823E72"/>
    <w:rsid w:val="00824186"/>
    <w:rsid w:val="008248CE"/>
    <w:rsid w:val="00824C2F"/>
    <w:rsid w:val="00826265"/>
    <w:rsid w:val="00826288"/>
    <w:rsid w:val="00826980"/>
    <w:rsid w:val="00826AD7"/>
    <w:rsid w:val="008277D5"/>
    <w:rsid w:val="008301CA"/>
    <w:rsid w:val="008303D2"/>
    <w:rsid w:val="008313D1"/>
    <w:rsid w:val="008325BF"/>
    <w:rsid w:val="00832658"/>
    <w:rsid w:val="00832E14"/>
    <w:rsid w:val="00833150"/>
    <w:rsid w:val="00834231"/>
    <w:rsid w:val="008344B3"/>
    <w:rsid w:val="00834CEE"/>
    <w:rsid w:val="00834EA0"/>
    <w:rsid w:val="00836163"/>
    <w:rsid w:val="008368E9"/>
    <w:rsid w:val="008369C3"/>
    <w:rsid w:val="00837134"/>
    <w:rsid w:val="0083735B"/>
    <w:rsid w:val="008377B6"/>
    <w:rsid w:val="0083787C"/>
    <w:rsid w:val="008378CA"/>
    <w:rsid w:val="00840131"/>
    <w:rsid w:val="008403BF"/>
    <w:rsid w:val="00840A7D"/>
    <w:rsid w:val="00841D48"/>
    <w:rsid w:val="0084355E"/>
    <w:rsid w:val="00844042"/>
    <w:rsid w:val="0084528D"/>
    <w:rsid w:val="00845C10"/>
    <w:rsid w:val="008464F6"/>
    <w:rsid w:val="00846FC6"/>
    <w:rsid w:val="0084736E"/>
    <w:rsid w:val="00847BDD"/>
    <w:rsid w:val="00850C01"/>
    <w:rsid w:val="00851BBA"/>
    <w:rsid w:val="0085254F"/>
    <w:rsid w:val="00852DE2"/>
    <w:rsid w:val="008540D0"/>
    <w:rsid w:val="00854918"/>
    <w:rsid w:val="008553AA"/>
    <w:rsid w:val="00856DFA"/>
    <w:rsid w:val="00857B23"/>
    <w:rsid w:val="0086027E"/>
    <w:rsid w:val="008603B7"/>
    <w:rsid w:val="00861681"/>
    <w:rsid w:val="00861B04"/>
    <w:rsid w:val="00862432"/>
    <w:rsid w:val="00863552"/>
    <w:rsid w:val="00863A44"/>
    <w:rsid w:val="00864042"/>
    <w:rsid w:val="00864B06"/>
    <w:rsid w:val="00865BC3"/>
    <w:rsid w:val="0086628D"/>
    <w:rsid w:val="0086762E"/>
    <w:rsid w:val="00867691"/>
    <w:rsid w:val="00867E3B"/>
    <w:rsid w:val="00870161"/>
    <w:rsid w:val="00870708"/>
    <w:rsid w:val="008707B8"/>
    <w:rsid w:val="00871C82"/>
    <w:rsid w:val="00871DC4"/>
    <w:rsid w:val="008723AE"/>
    <w:rsid w:val="008726D6"/>
    <w:rsid w:val="008732ED"/>
    <w:rsid w:val="008733D7"/>
    <w:rsid w:val="008737F3"/>
    <w:rsid w:val="00873938"/>
    <w:rsid w:val="00873A79"/>
    <w:rsid w:val="00874A02"/>
    <w:rsid w:val="00874D4F"/>
    <w:rsid w:val="008755B8"/>
    <w:rsid w:val="00875AAC"/>
    <w:rsid w:val="00875D0E"/>
    <w:rsid w:val="00875EFD"/>
    <w:rsid w:val="00876641"/>
    <w:rsid w:val="008771EE"/>
    <w:rsid w:val="0087737B"/>
    <w:rsid w:val="00880E16"/>
    <w:rsid w:val="00880F2B"/>
    <w:rsid w:val="00881330"/>
    <w:rsid w:val="008817D2"/>
    <w:rsid w:val="00881C8C"/>
    <w:rsid w:val="00882464"/>
    <w:rsid w:val="00882833"/>
    <w:rsid w:val="00882FC1"/>
    <w:rsid w:val="00883CEE"/>
    <w:rsid w:val="00883D25"/>
    <w:rsid w:val="008842C2"/>
    <w:rsid w:val="00884A53"/>
    <w:rsid w:val="00884E17"/>
    <w:rsid w:val="0088507D"/>
    <w:rsid w:val="008853ED"/>
    <w:rsid w:val="0088545D"/>
    <w:rsid w:val="00885EAC"/>
    <w:rsid w:val="00885F21"/>
    <w:rsid w:val="008860D2"/>
    <w:rsid w:val="0088628D"/>
    <w:rsid w:val="008863A2"/>
    <w:rsid w:val="00887DF6"/>
    <w:rsid w:val="00890810"/>
    <w:rsid w:val="00890C62"/>
    <w:rsid w:val="00891E31"/>
    <w:rsid w:val="00892ADB"/>
    <w:rsid w:val="008933B8"/>
    <w:rsid w:val="0089360E"/>
    <w:rsid w:val="00893671"/>
    <w:rsid w:val="00893ACE"/>
    <w:rsid w:val="00893D30"/>
    <w:rsid w:val="00894B07"/>
    <w:rsid w:val="00894D05"/>
    <w:rsid w:val="0089507F"/>
    <w:rsid w:val="00896C03"/>
    <w:rsid w:val="00896EFD"/>
    <w:rsid w:val="00897F5D"/>
    <w:rsid w:val="008A01B8"/>
    <w:rsid w:val="008A0F38"/>
    <w:rsid w:val="008A1BF8"/>
    <w:rsid w:val="008A1E13"/>
    <w:rsid w:val="008A353B"/>
    <w:rsid w:val="008A54E7"/>
    <w:rsid w:val="008A55CE"/>
    <w:rsid w:val="008A5BDF"/>
    <w:rsid w:val="008A6BAF"/>
    <w:rsid w:val="008A6F28"/>
    <w:rsid w:val="008A7640"/>
    <w:rsid w:val="008A7E44"/>
    <w:rsid w:val="008B08A8"/>
    <w:rsid w:val="008B0934"/>
    <w:rsid w:val="008B09E4"/>
    <w:rsid w:val="008B10CB"/>
    <w:rsid w:val="008B17E9"/>
    <w:rsid w:val="008B1FA5"/>
    <w:rsid w:val="008B2BA3"/>
    <w:rsid w:val="008B3133"/>
    <w:rsid w:val="008B33AC"/>
    <w:rsid w:val="008B3900"/>
    <w:rsid w:val="008B3CB6"/>
    <w:rsid w:val="008B4B66"/>
    <w:rsid w:val="008B562D"/>
    <w:rsid w:val="008B643D"/>
    <w:rsid w:val="008B69BE"/>
    <w:rsid w:val="008B6CA7"/>
    <w:rsid w:val="008B7868"/>
    <w:rsid w:val="008B7DFC"/>
    <w:rsid w:val="008C021D"/>
    <w:rsid w:val="008C0654"/>
    <w:rsid w:val="008C0853"/>
    <w:rsid w:val="008C0948"/>
    <w:rsid w:val="008C2088"/>
    <w:rsid w:val="008C3975"/>
    <w:rsid w:val="008C47BA"/>
    <w:rsid w:val="008C5185"/>
    <w:rsid w:val="008C55CB"/>
    <w:rsid w:val="008C55EB"/>
    <w:rsid w:val="008C67E5"/>
    <w:rsid w:val="008C6C0B"/>
    <w:rsid w:val="008D0819"/>
    <w:rsid w:val="008D0859"/>
    <w:rsid w:val="008D0EF4"/>
    <w:rsid w:val="008D14CF"/>
    <w:rsid w:val="008D297A"/>
    <w:rsid w:val="008D2B08"/>
    <w:rsid w:val="008D35B1"/>
    <w:rsid w:val="008D39D3"/>
    <w:rsid w:val="008D4205"/>
    <w:rsid w:val="008D49C9"/>
    <w:rsid w:val="008D6020"/>
    <w:rsid w:val="008D63E9"/>
    <w:rsid w:val="008D6BBC"/>
    <w:rsid w:val="008D742C"/>
    <w:rsid w:val="008D7455"/>
    <w:rsid w:val="008D74D0"/>
    <w:rsid w:val="008D74EB"/>
    <w:rsid w:val="008D7BCB"/>
    <w:rsid w:val="008E0C42"/>
    <w:rsid w:val="008E15EA"/>
    <w:rsid w:val="008E1B5A"/>
    <w:rsid w:val="008E2F74"/>
    <w:rsid w:val="008E3532"/>
    <w:rsid w:val="008E3E3E"/>
    <w:rsid w:val="008E4681"/>
    <w:rsid w:val="008E4FC0"/>
    <w:rsid w:val="008E5216"/>
    <w:rsid w:val="008E68A7"/>
    <w:rsid w:val="008E728C"/>
    <w:rsid w:val="008E7327"/>
    <w:rsid w:val="008E78BF"/>
    <w:rsid w:val="008F03CC"/>
    <w:rsid w:val="008F066D"/>
    <w:rsid w:val="008F087E"/>
    <w:rsid w:val="008F189D"/>
    <w:rsid w:val="008F1B54"/>
    <w:rsid w:val="008F255D"/>
    <w:rsid w:val="008F2853"/>
    <w:rsid w:val="008F3209"/>
    <w:rsid w:val="008F3A03"/>
    <w:rsid w:val="008F3FDD"/>
    <w:rsid w:val="008F5F92"/>
    <w:rsid w:val="008F702F"/>
    <w:rsid w:val="008F70E1"/>
    <w:rsid w:val="008F735D"/>
    <w:rsid w:val="008F78C0"/>
    <w:rsid w:val="009012A5"/>
    <w:rsid w:val="00901A8A"/>
    <w:rsid w:val="0090208D"/>
    <w:rsid w:val="009024C4"/>
    <w:rsid w:val="00902603"/>
    <w:rsid w:val="0090316E"/>
    <w:rsid w:val="009032CC"/>
    <w:rsid w:val="0090353B"/>
    <w:rsid w:val="009040EB"/>
    <w:rsid w:val="009045E3"/>
    <w:rsid w:val="0090627F"/>
    <w:rsid w:val="0090766A"/>
    <w:rsid w:val="00907B64"/>
    <w:rsid w:val="009101A1"/>
    <w:rsid w:val="0091055F"/>
    <w:rsid w:val="009115D6"/>
    <w:rsid w:val="00911B31"/>
    <w:rsid w:val="00912148"/>
    <w:rsid w:val="00912AAC"/>
    <w:rsid w:val="00913442"/>
    <w:rsid w:val="00913C5A"/>
    <w:rsid w:val="00913CB2"/>
    <w:rsid w:val="00913E0F"/>
    <w:rsid w:val="00915D22"/>
    <w:rsid w:val="00915ECE"/>
    <w:rsid w:val="0091610D"/>
    <w:rsid w:val="009163AD"/>
    <w:rsid w:val="009166B8"/>
    <w:rsid w:val="00916EFB"/>
    <w:rsid w:val="00920771"/>
    <w:rsid w:val="009209BD"/>
    <w:rsid w:val="009212C2"/>
    <w:rsid w:val="00921361"/>
    <w:rsid w:val="0092191C"/>
    <w:rsid w:val="00922464"/>
    <w:rsid w:val="00923600"/>
    <w:rsid w:val="0092394D"/>
    <w:rsid w:val="009239BF"/>
    <w:rsid w:val="00923AC1"/>
    <w:rsid w:val="00923BAC"/>
    <w:rsid w:val="00923E7D"/>
    <w:rsid w:val="00925FA1"/>
    <w:rsid w:val="00926019"/>
    <w:rsid w:val="00926A42"/>
    <w:rsid w:val="009276B1"/>
    <w:rsid w:val="009303CF"/>
    <w:rsid w:val="00930F58"/>
    <w:rsid w:val="00932182"/>
    <w:rsid w:val="00932A54"/>
    <w:rsid w:val="00932C21"/>
    <w:rsid w:val="00933057"/>
    <w:rsid w:val="009333DA"/>
    <w:rsid w:val="0093379B"/>
    <w:rsid w:val="00933B5D"/>
    <w:rsid w:val="00933BE8"/>
    <w:rsid w:val="00933CA9"/>
    <w:rsid w:val="00934CDB"/>
    <w:rsid w:val="00937046"/>
    <w:rsid w:val="009370FF"/>
    <w:rsid w:val="009375FD"/>
    <w:rsid w:val="00937911"/>
    <w:rsid w:val="00937B5D"/>
    <w:rsid w:val="00941CE3"/>
    <w:rsid w:val="00941D08"/>
    <w:rsid w:val="009421F9"/>
    <w:rsid w:val="009425DC"/>
    <w:rsid w:val="00942B91"/>
    <w:rsid w:val="00943A37"/>
    <w:rsid w:val="00944258"/>
    <w:rsid w:val="00944518"/>
    <w:rsid w:val="00944F09"/>
    <w:rsid w:val="0094537C"/>
    <w:rsid w:val="009453F9"/>
    <w:rsid w:val="00945899"/>
    <w:rsid w:val="009460D9"/>
    <w:rsid w:val="00946B3E"/>
    <w:rsid w:val="00946D21"/>
    <w:rsid w:val="009474A0"/>
    <w:rsid w:val="00950865"/>
    <w:rsid w:val="00950BB6"/>
    <w:rsid w:val="00950C35"/>
    <w:rsid w:val="00951444"/>
    <w:rsid w:val="0095152B"/>
    <w:rsid w:val="00951816"/>
    <w:rsid w:val="00952517"/>
    <w:rsid w:val="0095273E"/>
    <w:rsid w:val="00952A67"/>
    <w:rsid w:val="00952C40"/>
    <w:rsid w:val="00953589"/>
    <w:rsid w:val="009535F6"/>
    <w:rsid w:val="00953A15"/>
    <w:rsid w:val="00954DB3"/>
    <w:rsid w:val="00955755"/>
    <w:rsid w:val="00956091"/>
    <w:rsid w:val="009564B0"/>
    <w:rsid w:val="00957D5A"/>
    <w:rsid w:val="0096023A"/>
    <w:rsid w:val="009602F2"/>
    <w:rsid w:val="00960379"/>
    <w:rsid w:val="0096139B"/>
    <w:rsid w:val="00961AFF"/>
    <w:rsid w:val="0096394B"/>
    <w:rsid w:val="009640D3"/>
    <w:rsid w:val="00964D5A"/>
    <w:rsid w:val="00965C2C"/>
    <w:rsid w:val="00966078"/>
    <w:rsid w:val="00966CA6"/>
    <w:rsid w:val="00970C34"/>
    <w:rsid w:val="0097102C"/>
    <w:rsid w:val="00972702"/>
    <w:rsid w:val="0097275B"/>
    <w:rsid w:val="0097285E"/>
    <w:rsid w:val="00972AFF"/>
    <w:rsid w:val="00972EBA"/>
    <w:rsid w:val="00973519"/>
    <w:rsid w:val="00973A11"/>
    <w:rsid w:val="0097578C"/>
    <w:rsid w:val="00975B95"/>
    <w:rsid w:val="00976F30"/>
    <w:rsid w:val="00976F92"/>
    <w:rsid w:val="00977A76"/>
    <w:rsid w:val="00980019"/>
    <w:rsid w:val="009804CB"/>
    <w:rsid w:val="009806F1"/>
    <w:rsid w:val="00980C8D"/>
    <w:rsid w:val="009811F7"/>
    <w:rsid w:val="0098154C"/>
    <w:rsid w:val="0098199C"/>
    <w:rsid w:val="00983CFE"/>
    <w:rsid w:val="009842DC"/>
    <w:rsid w:val="0098438F"/>
    <w:rsid w:val="00984EEA"/>
    <w:rsid w:val="00984FC0"/>
    <w:rsid w:val="0098554F"/>
    <w:rsid w:val="009855AE"/>
    <w:rsid w:val="00985CD1"/>
    <w:rsid w:val="00986287"/>
    <w:rsid w:val="009875FA"/>
    <w:rsid w:val="0098764F"/>
    <w:rsid w:val="0098784D"/>
    <w:rsid w:val="009878CD"/>
    <w:rsid w:val="00987C93"/>
    <w:rsid w:val="00987EA5"/>
    <w:rsid w:val="0099021E"/>
    <w:rsid w:val="009909C3"/>
    <w:rsid w:val="00991216"/>
    <w:rsid w:val="00991349"/>
    <w:rsid w:val="00991354"/>
    <w:rsid w:val="009913D2"/>
    <w:rsid w:val="00991A65"/>
    <w:rsid w:val="009924AE"/>
    <w:rsid w:val="009935C1"/>
    <w:rsid w:val="00993943"/>
    <w:rsid w:val="00994035"/>
    <w:rsid w:val="0099441A"/>
    <w:rsid w:val="0099476D"/>
    <w:rsid w:val="0099566A"/>
    <w:rsid w:val="00996724"/>
    <w:rsid w:val="00996779"/>
    <w:rsid w:val="009A0607"/>
    <w:rsid w:val="009A1A23"/>
    <w:rsid w:val="009A357E"/>
    <w:rsid w:val="009A368D"/>
    <w:rsid w:val="009A3C7B"/>
    <w:rsid w:val="009A3D96"/>
    <w:rsid w:val="009A3E02"/>
    <w:rsid w:val="009A4829"/>
    <w:rsid w:val="009A4ACF"/>
    <w:rsid w:val="009A621B"/>
    <w:rsid w:val="009A6ECD"/>
    <w:rsid w:val="009A6EFC"/>
    <w:rsid w:val="009A7672"/>
    <w:rsid w:val="009A7E33"/>
    <w:rsid w:val="009B11D0"/>
    <w:rsid w:val="009B13CF"/>
    <w:rsid w:val="009B16B7"/>
    <w:rsid w:val="009B21D3"/>
    <w:rsid w:val="009B2D7F"/>
    <w:rsid w:val="009B2E9F"/>
    <w:rsid w:val="009B414C"/>
    <w:rsid w:val="009B498F"/>
    <w:rsid w:val="009B4D6E"/>
    <w:rsid w:val="009B53E1"/>
    <w:rsid w:val="009B5586"/>
    <w:rsid w:val="009B5934"/>
    <w:rsid w:val="009B6EEB"/>
    <w:rsid w:val="009B7205"/>
    <w:rsid w:val="009B72F3"/>
    <w:rsid w:val="009B7639"/>
    <w:rsid w:val="009C0449"/>
    <w:rsid w:val="009C04C6"/>
    <w:rsid w:val="009C06A2"/>
    <w:rsid w:val="009C0C34"/>
    <w:rsid w:val="009C0E53"/>
    <w:rsid w:val="009C14DE"/>
    <w:rsid w:val="009C20F0"/>
    <w:rsid w:val="009C336E"/>
    <w:rsid w:val="009C3DE4"/>
    <w:rsid w:val="009C49F0"/>
    <w:rsid w:val="009C4C7E"/>
    <w:rsid w:val="009C517F"/>
    <w:rsid w:val="009C5240"/>
    <w:rsid w:val="009C566F"/>
    <w:rsid w:val="009C56FC"/>
    <w:rsid w:val="009C5ABE"/>
    <w:rsid w:val="009C6600"/>
    <w:rsid w:val="009C72E1"/>
    <w:rsid w:val="009C7776"/>
    <w:rsid w:val="009D02B7"/>
    <w:rsid w:val="009D2726"/>
    <w:rsid w:val="009D2834"/>
    <w:rsid w:val="009D2AE9"/>
    <w:rsid w:val="009D4FAE"/>
    <w:rsid w:val="009D7292"/>
    <w:rsid w:val="009E0B58"/>
    <w:rsid w:val="009E147D"/>
    <w:rsid w:val="009E1650"/>
    <w:rsid w:val="009E1BC1"/>
    <w:rsid w:val="009E1BF4"/>
    <w:rsid w:val="009E1F8D"/>
    <w:rsid w:val="009E21C8"/>
    <w:rsid w:val="009E27AA"/>
    <w:rsid w:val="009E3247"/>
    <w:rsid w:val="009E431F"/>
    <w:rsid w:val="009E47C1"/>
    <w:rsid w:val="009E4F4F"/>
    <w:rsid w:val="009E501C"/>
    <w:rsid w:val="009E521F"/>
    <w:rsid w:val="009E55ED"/>
    <w:rsid w:val="009E56E2"/>
    <w:rsid w:val="009E5CBF"/>
    <w:rsid w:val="009E621E"/>
    <w:rsid w:val="009E654F"/>
    <w:rsid w:val="009E6BBC"/>
    <w:rsid w:val="009F0826"/>
    <w:rsid w:val="009F15A7"/>
    <w:rsid w:val="009F1638"/>
    <w:rsid w:val="009F19E1"/>
    <w:rsid w:val="009F287D"/>
    <w:rsid w:val="009F3454"/>
    <w:rsid w:val="009F3BBB"/>
    <w:rsid w:val="009F44FF"/>
    <w:rsid w:val="009F50E1"/>
    <w:rsid w:val="009F57EC"/>
    <w:rsid w:val="009F6076"/>
    <w:rsid w:val="009F68AA"/>
    <w:rsid w:val="009F695B"/>
    <w:rsid w:val="009F6F83"/>
    <w:rsid w:val="00A0011F"/>
    <w:rsid w:val="00A00A2A"/>
    <w:rsid w:val="00A02DDE"/>
    <w:rsid w:val="00A0317A"/>
    <w:rsid w:val="00A035A2"/>
    <w:rsid w:val="00A0362D"/>
    <w:rsid w:val="00A037BD"/>
    <w:rsid w:val="00A0384A"/>
    <w:rsid w:val="00A03C44"/>
    <w:rsid w:val="00A041E4"/>
    <w:rsid w:val="00A045F2"/>
    <w:rsid w:val="00A04DE7"/>
    <w:rsid w:val="00A07345"/>
    <w:rsid w:val="00A07D1C"/>
    <w:rsid w:val="00A109BD"/>
    <w:rsid w:val="00A112F0"/>
    <w:rsid w:val="00A11ABC"/>
    <w:rsid w:val="00A11DD5"/>
    <w:rsid w:val="00A1544B"/>
    <w:rsid w:val="00A1659E"/>
    <w:rsid w:val="00A16FAC"/>
    <w:rsid w:val="00A170BB"/>
    <w:rsid w:val="00A178A9"/>
    <w:rsid w:val="00A17D48"/>
    <w:rsid w:val="00A20927"/>
    <w:rsid w:val="00A210BD"/>
    <w:rsid w:val="00A21479"/>
    <w:rsid w:val="00A21640"/>
    <w:rsid w:val="00A21747"/>
    <w:rsid w:val="00A2188E"/>
    <w:rsid w:val="00A224F8"/>
    <w:rsid w:val="00A22832"/>
    <w:rsid w:val="00A22AB4"/>
    <w:rsid w:val="00A22C2F"/>
    <w:rsid w:val="00A23FB0"/>
    <w:rsid w:val="00A251F4"/>
    <w:rsid w:val="00A26652"/>
    <w:rsid w:val="00A26A82"/>
    <w:rsid w:val="00A26AC9"/>
    <w:rsid w:val="00A2773A"/>
    <w:rsid w:val="00A277E4"/>
    <w:rsid w:val="00A27A5F"/>
    <w:rsid w:val="00A301C7"/>
    <w:rsid w:val="00A30AB2"/>
    <w:rsid w:val="00A316DF"/>
    <w:rsid w:val="00A323E5"/>
    <w:rsid w:val="00A32B87"/>
    <w:rsid w:val="00A33D5E"/>
    <w:rsid w:val="00A3441A"/>
    <w:rsid w:val="00A34B0C"/>
    <w:rsid w:val="00A35996"/>
    <w:rsid w:val="00A35E78"/>
    <w:rsid w:val="00A363C8"/>
    <w:rsid w:val="00A36D83"/>
    <w:rsid w:val="00A37422"/>
    <w:rsid w:val="00A37478"/>
    <w:rsid w:val="00A37922"/>
    <w:rsid w:val="00A4023F"/>
    <w:rsid w:val="00A4043C"/>
    <w:rsid w:val="00A41276"/>
    <w:rsid w:val="00A4136F"/>
    <w:rsid w:val="00A41873"/>
    <w:rsid w:val="00A41B6D"/>
    <w:rsid w:val="00A41F5A"/>
    <w:rsid w:val="00A421B9"/>
    <w:rsid w:val="00A42493"/>
    <w:rsid w:val="00A43592"/>
    <w:rsid w:val="00A43F1F"/>
    <w:rsid w:val="00A43FBB"/>
    <w:rsid w:val="00A515B4"/>
    <w:rsid w:val="00A52F63"/>
    <w:rsid w:val="00A5436E"/>
    <w:rsid w:val="00A54D38"/>
    <w:rsid w:val="00A550AE"/>
    <w:rsid w:val="00A5544C"/>
    <w:rsid w:val="00A559C9"/>
    <w:rsid w:val="00A564D4"/>
    <w:rsid w:val="00A56BA0"/>
    <w:rsid w:val="00A57F14"/>
    <w:rsid w:val="00A600ED"/>
    <w:rsid w:val="00A6080C"/>
    <w:rsid w:val="00A61E0B"/>
    <w:rsid w:val="00A623BD"/>
    <w:rsid w:val="00A62A82"/>
    <w:rsid w:val="00A6368B"/>
    <w:rsid w:val="00A63B46"/>
    <w:rsid w:val="00A64D8F"/>
    <w:rsid w:val="00A65040"/>
    <w:rsid w:val="00A651BE"/>
    <w:rsid w:val="00A65512"/>
    <w:rsid w:val="00A66666"/>
    <w:rsid w:val="00A677E0"/>
    <w:rsid w:val="00A67840"/>
    <w:rsid w:val="00A67966"/>
    <w:rsid w:val="00A70383"/>
    <w:rsid w:val="00A719AE"/>
    <w:rsid w:val="00A72220"/>
    <w:rsid w:val="00A727DD"/>
    <w:rsid w:val="00A72E23"/>
    <w:rsid w:val="00A734B1"/>
    <w:rsid w:val="00A74588"/>
    <w:rsid w:val="00A749FC"/>
    <w:rsid w:val="00A7515C"/>
    <w:rsid w:val="00A75216"/>
    <w:rsid w:val="00A75999"/>
    <w:rsid w:val="00A75A90"/>
    <w:rsid w:val="00A76523"/>
    <w:rsid w:val="00A767C9"/>
    <w:rsid w:val="00A7699E"/>
    <w:rsid w:val="00A769AD"/>
    <w:rsid w:val="00A76DAA"/>
    <w:rsid w:val="00A80636"/>
    <w:rsid w:val="00A806CF"/>
    <w:rsid w:val="00A80866"/>
    <w:rsid w:val="00A8105D"/>
    <w:rsid w:val="00A824FE"/>
    <w:rsid w:val="00A82727"/>
    <w:rsid w:val="00A834FB"/>
    <w:rsid w:val="00A836CB"/>
    <w:rsid w:val="00A850D2"/>
    <w:rsid w:val="00A856A7"/>
    <w:rsid w:val="00A85A0F"/>
    <w:rsid w:val="00A85E75"/>
    <w:rsid w:val="00A86002"/>
    <w:rsid w:val="00A86104"/>
    <w:rsid w:val="00A86836"/>
    <w:rsid w:val="00A8687B"/>
    <w:rsid w:val="00A87773"/>
    <w:rsid w:val="00A877E2"/>
    <w:rsid w:val="00A87C20"/>
    <w:rsid w:val="00A918BA"/>
    <w:rsid w:val="00A92ACF"/>
    <w:rsid w:val="00A92CE3"/>
    <w:rsid w:val="00A93317"/>
    <w:rsid w:val="00A9390F"/>
    <w:rsid w:val="00A93F88"/>
    <w:rsid w:val="00A94055"/>
    <w:rsid w:val="00A94056"/>
    <w:rsid w:val="00A94A3B"/>
    <w:rsid w:val="00A94B5C"/>
    <w:rsid w:val="00A9529C"/>
    <w:rsid w:val="00A9558D"/>
    <w:rsid w:val="00A9577C"/>
    <w:rsid w:val="00A964CC"/>
    <w:rsid w:val="00A964D0"/>
    <w:rsid w:val="00A96E07"/>
    <w:rsid w:val="00A97928"/>
    <w:rsid w:val="00A97D17"/>
    <w:rsid w:val="00AA038F"/>
    <w:rsid w:val="00AA0EB9"/>
    <w:rsid w:val="00AA13A3"/>
    <w:rsid w:val="00AA18FB"/>
    <w:rsid w:val="00AA1FD0"/>
    <w:rsid w:val="00AA2C69"/>
    <w:rsid w:val="00AA32CE"/>
    <w:rsid w:val="00AA3660"/>
    <w:rsid w:val="00AA382B"/>
    <w:rsid w:val="00AA4549"/>
    <w:rsid w:val="00AA4601"/>
    <w:rsid w:val="00AA4DAB"/>
    <w:rsid w:val="00AA4E66"/>
    <w:rsid w:val="00AA63EB"/>
    <w:rsid w:val="00AA6F19"/>
    <w:rsid w:val="00AA7073"/>
    <w:rsid w:val="00AB0120"/>
    <w:rsid w:val="00AB02DB"/>
    <w:rsid w:val="00AB0B13"/>
    <w:rsid w:val="00AB0C37"/>
    <w:rsid w:val="00AB0E61"/>
    <w:rsid w:val="00AB106D"/>
    <w:rsid w:val="00AB1D9F"/>
    <w:rsid w:val="00AB2094"/>
    <w:rsid w:val="00AB26E6"/>
    <w:rsid w:val="00AB499B"/>
    <w:rsid w:val="00AB4E90"/>
    <w:rsid w:val="00AB4FF3"/>
    <w:rsid w:val="00AB51E5"/>
    <w:rsid w:val="00AB53FB"/>
    <w:rsid w:val="00AB5B43"/>
    <w:rsid w:val="00AB5DC4"/>
    <w:rsid w:val="00AB6092"/>
    <w:rsid w:val="00AB636C"/>
    <w:rsid w:val="00AB6716"/>
    <w:rsid w:val="00AB69AA"/>
    <w:rsid w:val="00AB6ADF"/>
    <w:rsid w:val="00AB6ED5"/>
    <w:rsid w:val="00AB6F6D"/>
    <w:rsid w:val="00AB769C"/>
    <w:rsid w:val="00AC052D"/>
    <w:rsid w:val="00AC0E21"/>
    <w:rsid w:val="00AC2F81"/>
    <w:rsid w:val="00AC3332"/>
    <w:rsid w:val="00AC35F0"/>
    <w:rsid w:val="00AC3ADF"/>
    <w:rsid w:val="00AC3EF5"/>
    <w:rsid w:val="00AC48F4"/>
    <w:rsid w:val="00AC4E89"/>
    <w:rsid w:val="00AC5317"/>
    <w:rsid w:val="00AC551F"/>
    <w:rsid w:val="00AC5EF6"/>
    <w:rsid w:val="00AC6E1C"/>
    <w:rsid w:val="00AC7E2C"/>
    <w:rsid w:val="00AD0218"/>
    <w:rsid w:val="00AD07F8"/>
    <w:rsid w:val="00AD0E73"/>
    <w:rsid w:val="00AD0F7B"/>
    <w:rsid w:val="00AD1F9D"/>
    <w:rsid w:val="00AD36A2"/>
    <w:rsid w:val="00AD3A1E"/>
    <w:rsid w:val="00AD3CEC"/>
    <w:rsid w:val="00AD45C8"/>
    <w:rsid w:val="00AD4F49"/>
    <w:rsid w:val="00AD53C8"/>
    <w:rsid w:val="00AD5E9A"/>
    <w:rsid w:val="00AD66DB"/>
    <w:rsid w:val="00AD6AA9"/>
    <w:rsid w:val="00AD6D1F"/>
    <w:rsid w:val="00AD6EF8"/>
    <w:rsid w:val="00AE02E2"/>
    <w:rsid w:val="00AE0B1E"/>
    <w:rsid w:val="00AE233C"/>
    <w:rsid w:val="00AE2434"/>
    <w:rsid w:val="00AE26DB"/>
    <w:rsid w:val="00AE51FE"/>
    <w:rsid w:val="00AE5313"/>
    <w:rsid w:val="00AE6A54"/>
    <w:rsid w:val="00AE720B"/>
    <w:rsid w:val="00AE786D"/>
    <w:rsid w:val="00AE7F27"/>
    <w:rsid w:val="00AF0BFB"/>
    <w:rsid w:val="00AF3D70"/>
    <w:rsid w:val="00AF439D"/>
    <w:rsid w:val="00AF44B7"/>
    <w:rsid w:val="00AF52C6"/>
    <w:rsid w:val="00AF5978"/>
    <w:rsid w:val="00AF5A60"/>
    <w:rsid w:val="00AF73EA"/>
    <w:rsid w:val="00B006CD"/>
    <w:rsid w:val="00B00CD6"/>
    <w:rsid w:val="00B00FD2"/>
    <w:rsid w:val="00B016E4"/>
    <w:rsid w:val="00B0227F"/>
    <w:rsid w:val="00B0293B"/>
    <w:rsid w:val="00B0344F"/>
    <w:rsid w:val="00B059A7"/>
    <w:rsid w:val="00B05BCF"/>
    <w:rsid w:val="00B061BF"/>
    <w:rsid w:val="00B06780"/>
    <w:rsid w:val="00B067C4"/>
    <w:rsid w:val="00B06DC0"/>
    <w:rsid w:val="00B073F1"/>
    <w:rsid w:val="00B07B9A"/>
    <w:rsid w:val="00B07DEC"/>
    <w:rsid w:val="00B07FEE"/>
    <w:rsid w:val="00B102FC"/>
    <w:rsid w:val="00B10A34"/>
    <w:rsid w:val="00B110F4"/>
    <w:rsid w:val="00B11FA0"/>
    <w:rsid w:val="00B121E6"/>
    <w:rsid w:val="00B125D5"/>
    <w:rsid w:val="00B131C6"/>
    <w:rsid w:val="00B13596"/>
    <w:rsid w:val="00B156D1"/>
    <w:rsid w:val="00B16429"/>
    <w:rsid w:val="00B16808"/>
    <w:rsid w:val="00B169A4"/>
    <w:rsid w:val="00B16D9A"/>
    <w:rsid w:val="00B20176"/>
    <w:rsid w:val="00B2055C"/>
    <w:rsid w:val="00B207D8"/>
    <w:rsid w:val="00B20C48"/>
    <w:rsid w:val="00B20D3C"/>
    <w:rsid w:val="00B21940"/>
    <w:rsid w:val="00B21C7D"/>
    <w:rsid w:val="00B22A72"/>
    <w:rsid w:val="00B234E6"/>
    <w:rsid w:val="00B24083"/>
    <w:rsid w:val="00B240A5"/>
    <w:rsid w:val="00B24F20"/>
    <w:rsid w:val="00B25DD6"/>
    <w:rsid w:val="00B26209"/>
    <w:rsid w:val="00B27215"/>
    <w:rsid w:val="00B27EA2"/>
    <w:rsid w:val="00B319A4"/>
    <w:rsid w:val="00B3204F"/>
    <w:rsid w:val="00B32984"/>
    <w:rsid w:val="00B32EB6"/>
    <w:rsid w:val="00B337CA"/>
    <w:rsid w:val="00B33E86"/>
    <w:rsid w:val="00B3428E"/>
    <w:rsid w:val="00B34686"/>
    <w:rsid w:val="00B349AC"/>
    <w:rsid w:val="00B362E1"/>
    <w:rsid w:val="00B36577"/>
    <w:rsid w:val="00B36ED3"/>
    <w:rsid w:val="00B40001"/>
    <w:rsid w:val="00B400DB"/>
    <w:rsid w:val="00B42F2E"/>
    <w:rsid w:val="00B43466"/>
    <w:rsid w:val="00B43B96"/>
    <w:rsid w:val="00B449D1"/>
    <w:rsid w:val="00B4541F"/>
    <w:rsid w:val="00B45583"/>
    <w:rsid w:val="00B45B7A"/>
    <w:rsid w:val="00B46195"/>
    <w:rsid w:val="00B46B6A"/>
    <w:rsid w:val="00B46D80"/>
    <w:rsid w:val="00B47314"/>
    <w:rsid w:val="00B47CDE"/>
    <w:rsid w:val="00B51292"/>
    <w:rsid w:val="00B53257"/>
    <w:rsid w:val="00B53617"/>
    <w:rsid w:val="00B53B68"/>
    <w:rsid w:val="00B53D02"/>
    <w:rsid w:val="00B5450A"/>
    <w:rsid w:val="00B54600"/>
    <w:rsid w:val="00B56587"/>
    <w:rsid w:val="00B56594"/>
    <w:rsid w:val="00B56A88"/>
    <w:rsid w:val="00B5708C"/>
    <w:rsid w:val="00B57E4B"/>
    <w:rsid w:val="00B6023B"/>
    <w:rsid w:val="00B60FCB"/>
    <w:rsid w:val="00B6173C"/>
    <w:rsid w:val="00B61D17"/>
    <w:rsid w:val="00B63EE9"/>
    <w:rsid w:val="00B64E8F"/>
    <w:rsid w:val="00B6559F"/>
    <w:rsid w:val="00B6597A"/>
    <w:rsid w:val="00B65E65"/>
    <w:rsid w:val="00B66127"/>
    <w:rsid w:val="00B6617F"/>
    <w:rsid w:val="00B667EB"/>
    <w:rsid w:val="00B67071"/>
    <w:rsid w:val="00B6719C"/>
    <w:rsid w:val="00B67E4B"/>
    <w:rsid w:val="00B70A84"/>
    <w:rsid w:val="00B70CB1"/>
    <w:rsid w:val="00B71787"/>
    <w:rsid w:val="00B71C39"/>
    <w:rsid w:val="00B721F6"/>
    <w:rsid w:val="00B731BB"/>
    <w:rsid w:val="00B734ED"/>
    <w:rsid w:val="00B73712"/>
    <w:rsid w:val="00B74202"/>
    <w:rsid w:val="00B74418"/>
    <w:rsid w:val="00B75816"/>
    <w:rsid w:val="00B759C0"/>
    <w:rsid w:val="00B80651"/>
    <w:rsid w:val="00B82170"/>
    <w:rsid w:val="00B825D9"/>
    <w:rsid w:val="00B82842"/>
    <w:rsid w:val="00B84431"/>
    <w:rsid w:val="00B853F9"/>
    <w:rsid w:val="00B85425"/>
    <w:rsid w:val="00B85762"/>
    <w:rsid w:val="00B85D59"/>
    <w:rsid w:val="00B86B25"/>
    <w:rsid w:val="00B86F02"/>
    <w:rsid w:val="00B87693"/>
    <w:rsid w:val="00B87DB4"/>
    <w:rsid w:val="00B904E4"/>
    <w:rsid w:val="00B905FC"/>
    <w:rsid w:val="00B90FE8"/>
    <w:rsid w:val="00B917A8"/>
    <w:rsid w:val="00B9204F"/>
    <w:rsid w:val="00B929CE"/>
    <w:rsid w:val="00B92FCF"/>
    <w:rsid w:val="00B9444D"/>
    <w:rsid w:val="00B945FE"/>
    <w:rsid w:val="00B95A48"/>
    <w:rsid w:val="00B970A4"/>
    <w:rsid w:val="00B97855"/>
    <w:rsid w:val="00B97ECD"/>
    <w:rsid w:val="00BA061F"/>
    <w:rsid w:val="00BA079A"/>
    <w:rsid w:val="00BA277F"/>
    <w:rsid w:val="00BA2D7D"/>
    <w:rsid w:val="00BA3C8B"/>
    <w:rsid w:val="00BA4155"/>
    <w:rsid w:val="00BA4378"/>
    <w:rsid w:val="00BA5587"/>
    <w:rsid w:val="00BA6434"/>
    <w:rsid w:val="00BA66EA"/>
    <w:rsid w:val="00BA7346"/>
    <w:rsid w:val="00BA7BCA"/>
    <w:rsid w:val="00BA7D14"/>
    <w:rsid w:val="00BA7FD6"/>
    <w:rsid w:val="00BB030E"/>
    <w:rsid w:val="00BB0428"/>
    <w:rsid w:val="00BB05E7"/>
    <w:rsid w:val="00BB0621"/>
    <w:rsid w:val="00BB0DE4"/>
    <w:rsid w:val="00BB1E00"/>
    <w:rsid w:val="00BB1E03"/>
    <w:rsid w:val="00BB2FE2"/>
    <w:rsid w:val="00BB30CF"/>
    <w:rsid w:val="00BB4421"/>
    <w:rsid w:val="00BB4887"/>
    <w:rsid w:val="00BB55ED"/>
    <w:rsid w:val="00BB5721"/>
    <w:rsid w:val="00BC11E2"/>
    <w:rsid w:val="00BC1DCC"/>
    <w:rsid w:val="00BC26C0"/>
    <w:rsid w:val="00BC2FDB"/>
    <w:rsid w:val="00BC3B23"/>
    <w:rsid w:val="00BC42AF"/>
    <w:rsid w:val="00BC4471"/>
    <w:rsid w:val="00BC4A30"/>
    <w:rsid w:val="00BC4A90"/>
    <w:rsid w:val="00BC5334"/>
    <w:rsid w:val="00BC6026"/>
    <w:rsid w:val="00BC6061"/>
    <w:rsid w:val="00BC6A12"/>
    <w:rsid w:val="00BC7A84"/>
    <w:rsid w:val="00BC7CF4"/>
    <w:rsid w:val="00BC7F3D"/>
    <w:rsid w:val="00BD0F58"/>
    <w:rsid w:val="00BD13D8"/>
    <w:rsid w:val="00BD1CE5"/>
    <w:rsid w:val="00BD2860"/>
    <w:rsid w:val="00BD327A"/>
    <w:rsid w:val="00BD349B"/>
    <w:rsid w:val="00BD398B"/>
    <w:rsid w:val="00BD3A56"/>
    <w:rsid w:val="00BD5A3D"/>
    <w:rsid w:val="00BD61A8"/>
    <w:rsid w:val="00BD6459"/>
    <w:rsid w:val="00BD6714"/>
    <w:rsid w:val="00BD6DF0"/>
    <w:rsid w:val="00BD745F"/>
    <w:rsid w:val="00BE1064"/>
    <w:rsid w:val="00BE14F4"/>
    <w:rsid w:val="00BE1820"/>
    <w:rsid w:val="00BE1D76"/>
    <w:rsid w:val="00BE1D92"/>
    <w:rsid w:val="00BE2C6C"/>
    <w:rsid w:val="00BE3CD6"/>
    <w:rsid w:val="00BE5BC1"/>
    <w:rsid w:val="00BE62F1"/>
    <w:rsid w:val="00BE63A7"/>
    <w:rsid w:val="00BE6828"/>
    <w:rsid w:val="00BE77EC"/>
    <w:rsid w:val="00BF03F1"/>
    <w:rsid w:val="00BF053B"/>
    <w:rsid w:val="00BF199C"/>
    <w:rsid w:val="00BF1BF2"/>
    <w:rsid w:val="00BF1D61"/>
    <w:rsid w:val="00BF218A"/>
    <w:rsid w:val="00BF2D94"/>
    <w:rsid w:val="00BF3303"/>
    <w:rsid w:val="00BF3D6F"/>
    <w:rsid w:val="00BF477A"/>
    <w:rsid w:val="00BF5FBB"/>
    <w:rsid w:val="00BF68E0"/>
    <w:rsid w:val="00BF7334"/>
    <w:rsid w:val="00C003AB"/>
    <w:rsid w:val="00C0083B"/>
    <w:rsid w:val="00C012D5"/>
    <w:rsid w:val="00C013C5"/>
    <w:rsid w:val="00C01588"/>
    <w:rsid w:val="00C02AFC"/>
    <w:rsid w:val="00C043FD"/>
    <w:rsid w:val="00C0478B"/>
    <w:rsid w:val="00C047D6"/>
    <w:rsid w:val="00C0489F"/>
    <w:rsid w:val="00C05234"/>
    <w:rsid w:val="00C052D3"/>
    <w:rsid w:val="00C055CF"/>
    <w:rsid w:val="00C06502"/>
    <w:rsid w:val="00C065DD"/>
    <w:rsid w:val="00C06A90"/>
    <w:rsid w:val="00C06B2A"/>
    <w:rsid w:val="00C07078"/>
    <w:rsid w:val="00C0767A"/>
    <w:rsid w:val="00C1042D"/>
    <w:rsid w:val="00C1162A"/>
    <w:rsid w:val="00C11A89"/>
    <w:rsid w:val="00C121C1"/>
    <w:rsid w:val="00C1223E"/>
    <w:rsid w:val="00C131FF"/>
    <w:rsid w:val="00C135C4"/>
    <w:rsid w:val="00C13D55"/>
    <w:rsid w:val="00C15836"/>
    <w:rsid w:val="00C15EF3"/>
    <w:rsid w:val="00C165F6"/>
    <w:rsid w:val="00C171A0"/>
    <w:rsid w:val="00C1789C"/>
    <w:rsid w:val="00C17E85"/>
    <w:rsid w:val="00C20A03"/>
    <w:rsid w:val="00C20DED"/>
    <w:rsid w:val="00C2199F"/>
    <w:rsid w:val="00C21AFE"/>
    <w:rsid w:val="00C2243A"/>
    <w:rsid w:val="00C22E37"/>
    <w:rsid w:val="00C2370D"/>
    <w:rsid w:val="00C24249"/>
    <w:rsid w:val="00C2518F"/>
    <w:rsid w:val="00C253DA"/>
    <w:rsid w:val="00C2627F"/>
    <w:rsid w:val="00C26FDC"/>
    <w:rsid w:val="00C27B79"/>
    <w:rsid w:val="00C3079D"/>
    <w:rsid w:val="00C310A9"/>
    <w:rsid w:val="00C31837"/>
    <w:rsid w:val="00C31A2D"/>
    <w:rsid w:val="00C320FB"/>
    <w:rsid w:val="00C32173"/>
    <w:rsid w:val="00C322EE"/>
    <w:rsid w:val="00C328BF"/>
    <w:rsid w:val="00C3378A"/>
    <w:rsid w:val="00C34A03"/>
    <w:rsid w:val="00C34F6E"/>
    <w:rsid w:val="00C34FEB"/>
    <w:rsid w:val="00C357FE"/>
    <w:rsid w:val="00C364E8"/>
    <w:rsid w:val="00C378AD"/>
    <w:rsid w:val="00C404FA"/>
    <w:rsid w:val="00C40861"/>
    <w:rsid w:val="00C4131C"/>
    <w:rsid w:val="00C421C7"/>
    <w:rsid w:val="00C42572"/>
    <w:rsid w:val="00C42630"/>
    <w:rsid w:val="00C426F8"/>
    <w:rsid w:val="00C4350F"/>
    <w:rsid w:val="00C43B95"/>
    <w:rsid w:val="00C43D50"/>
    <w:rsid w:val="00C43F65"/>
    <w:rsid w:val="00C469E4"/>
    <w:rsid w:val="00C46BE6"/>
    <w:rsid w:val="00C47D80"/>
    <w:rsid w:val="00C47EC1"/>
    <w:rsid w:val="00C50EBA"/>
    <w:rsid w:val="00C5116C"/>
    <w:rsid w:val="00C5301F"/>
    <w:rsid w:val="00C5349E"/>
    <w:rsid w:val="00C537E0"/>
    <w:rsid w:val="00C538F8"/>
    <w:rsid w:val="00C53E0C"/>
    <w:rsid w:val="00C53FC9"/>
    <w:rsid w:val="00C55058"/>
    <w:rsid w:val="00C55175"/>
    <w:rsid w:val="00C552A6"/>
    <w:rsid w:val="00C559BF"/>
    <w:rsid w:val="00C55BC4"/>
    <w:rsid w:val="00C5730F"/>
    <w:rsid w:val="00C60154"/>
    <w:rsid w:val="00C60A1A"/>
    <w:rsid w:val="00C613D2"/>
    <w:rsid w:val="00C617BA"/>
    <w:rsid w:val="00C62A9D"/>
    <w:rsid w:val="00C633F7"/>
    <w:rsid w:val="00C63707"/>
    <w:rsid w:val="00C63825"/>
    <w:rsid w:val="00C64525"/>
    <w:rsid w:val="00C64E9E"/>
    <w:rsid w:val="00C658FB"/>
    <w:rsid w:val="00C6643E"/>
    <w:rsid w:val="00C66E4B"/>
    <w:rsid w:val="00C67CF0"/>
    <w:rsid w:val="00C700F2"/>
    <w:rsid w:val="00C710F6"/>
    <w:rsid w:val="00C712D9"/>
    <w:rsid w:val="00C7156E"/>
    <w:rsid w:val="00C71599"/>
    <w:rsid w:val="00C71DA3"/>
    <w:rsid w:val="00C72940"/>
    <w:rsid w:val="00C737C9"/>
    <w:rsid w:val="00C744B1"/>
    <w:rsid w:val="00C74E7A"/>
    <w:rsid w:val="00C7568D"/>
    <w:rsid w:val="00C75698"/>
    <w:rsid w:val="00C75E2D"/>
    <w:rsid w:val="00C76659"/>
    <w:rsid w:val="00C76E2C"/>
    <w:rsid w:val="00C80780"/>
    <w:rsid w:val="00C80796"/>
    <w:rsid w:val="00C80907"/>
    <w:rsid w:val="00C81AF4"/>
    <w:rsid w:val="00C8201C"/>
    <w:rsid w:val="00C8246F"/>
    <w:rsid w:val="00C82E23"/>
    <w:rsid w:val="00C837F9"/>
    <w:rsid w:val="00C84457"/>
    <w:rsid w:val="00C85E21"/>
    <w:rsid w:val="00C86421"/>
    <w:rsid w:val="00C86F99"/>
    <w:rsid w:val="00C87547"/>
    <w:rsid w:val="00C9049F"/>
    <w:rsid w:val="00C905E1"/>
    <w:rsid w:val="00C90800"/>
    <w:rsid w:val="00C91E8C"/>
    <w:rsid w:val="00C93360"/>
    <w:rsid w:val="00C934A7"/>
    <w:rsid w:val="00C94599"/>
    <w:rsid w:val="00C9600E"/>
    <w:rsid w:val="00C9767C"/>
    <w:rsid w:val="00C97F01"/>
    <w:rsid w:val="00CA052C"/>
    <w:rsid w:val="00CA098E"/>
    <w:rsid w:val="00CA0A19"/>
    <w:rsid w:val="00CA0F7C"/>
    <w:rsid w:val="00CA2649"/>
    <w:rsid w:val="00CA278C"/>
    <w:rsid w:val="00CA2991"/>
    <w:rsid w:val="00CA361D"/>
    <w:rsid w:val="00CA4A2B"/>
    <w:rsid w:val="00CA4A3D"/>
    <w:rsid w:val="00CA5D42"/>
    <w:rsid w:val="00CA79E2"/>
    <w:rsid w:val="00CB0504"/>
    <w:rsid w:val="00CB1515"/>
    <w:rsid w:val="00CB164B"/>
    <w:rsid w:val="00CB1F8E"/>
    <w:rsid w:val="00CB270E"/>
    <w:rsid w:val="00CB2FBE"/>
    <w:rsid w:val="00CB33F8"/>
    <w:rsid w:val="00CB462C"/>
    <w:rsid w:val="00CB484E"/>
    <w:rsid w:val="00CB5900"/>
    <w:rsid w:val="00CB6031"/>
    <w:rsid w:val="00CB6519"/>
    <w:rsid w:val="00CB67D0"/>
    <w:rsid w:val="00CB6878"/>
    <w:rsid w:val="00CB70BD"/>
    <w:rsid w:val="00CC03BA"/>
    <w:rsid w:val="00CC08A0"/>
    <w:rsid w:val="00CC1386"/>
    <w:rsid w:val="00CC172C"/>
    <w:rsid w:val="00CC199B"/>
    <w:rsid w:val="00CC3AF2"/>
    <w:rsid w:val="00CC404B"/>
    <w:rsid w:val="00CC495D"/>
    <w:rsid w:val="00CC4A4E"/>
    <w:rsid w:val="00CC5721"/>
    <w:rsid w:val="00CC5C0B"/>
    <w:rsid w:val="00CC6292"/>
    <w:rsid w:val="00CC72CB"/>
    <w:rsid w:val="00CC7355"/>
    <w:rsid w:val="00CC79EA"/>
    <w:rsid w:val="00CD06C6"/>
    <w:rsid w:val="00CD0947"/>
    <w:rsid w:val="00CD0B5F"/>
    <w:rsid w:val="00CD10BC"/>
    <w:rsid w:val="00CD115F"/>
    <w:rsid w:val="00CD153C"/>
    <w:rsid w:val="00CD1705"/>
    <w:rsid w:val="00CD1A26"/>
    <w:rsid w:val="00CD2219"/>
    <w:rsid w:val="00CD2DFE"/>
    <w:rsid w:val="00CD48D4"/>
    <w:rsid w:val="00CD4E71"/>
    <w:rsid w:val="00CD6A2E"/>
    <w:rsid w:val="00CD6F4C"/>
    <w:rsid w:val="00CD7A82"/>
    <w:rsid w:val="00CE031A"/>
    <w:rsid w:val="00CE05F5"/>
    <w:rsid w:val="00CE0A30"/>
    <w:rsid w:val="00CE1DFF"/>
    <w:rsid w:val="00CE1F7F"/>
    <w:rsid w:val="00CE32F8"/>
    <w:rsid w:val="00CE3300"/>
    <w:rsid w:val="00CE390B"/>
    <w:rsid w:val="00CE4129"/>
    <w:rsid w:val="00CE4C9D"/>
    <w:rsid w:val="00CE4EA4"/>
    <w:rsid w:val="00CE50C4"/>
    <w:rsid w:val="00CE575F"/>
    <w:rsid w:val="00CE57DE"/>
    <w:rsid w:val="00CE647F"/>
    <w:rsid w:val="00CE66BB"/>
    <w:rsid w:val="00CE696A"/>
    <w:rsid w:val="00CE69DB"/>
    <w:rsid w:val="00CE6A2A"/>
    <w:rsid w:val="00CE6A53"/>
    <w:rsid w:val="00CE71EF"/>
    <w:rsid w:val="00CE73AD"/>
    <w:rsid w:val="00CE75F6"/>
    <w:rsid w:val="00CF038A"/>
    <w:rsid w:val="00CF065A"/>
    <w:rsid w:val="00CF127D"/>
    <w:rsid w:val="00CF181B"/>
    <w:rsid w:val="00CF23B9"/>
    <w:rsid w:val="00CF35E8"/>
    <w:rsid w:val="00CF3EC8"/>
    <w:rsid w:val="00CF4189"/>
    <w:rsid w:val="00CF4402"/>
    <w:rsid w:val="00CF4569"/>
    <w:rsid w:val="00CF4888"/>
    <w:rsid w:val="00CF4F70"/>
    <w:rsid w:val="00CF60EC"/>
    <w:rsid w:val="00CF7E56"/>
    <w:rsid w:val="00D00492"/>
    <w:rsid w:val="00D00AA3"/>
    <w:rsid w:val="00D01014"/>
    <w:rsid w:val="00D018A0"/>
    <w:rsid w:val="00D01D34"/>
    <w:rsid w:val="00D02699"/>
    <w:rsid w:val="00D03D7B"/>
    <w:rsid w:val="00D04071"/>
    <w:rsid w:val="00D04157"/>
    <w:rsid w:val="00D0433D"/>
    <w:rsid w:val="00D046D6"/>
    <w:rsid w:val="00D0490A"/>
    <w:rsid w:val="00D05068"/>
    <w:rsid w:val="00D05B1B"/>
    <w:rsid w:val="00D068E3"/>
    <w:rsid w:val="00D0764C"/>
    <w:rsid w:val="00D07F60"/>
    <w:rsid w:val="00D1088D"/>
    <w:rsid w:val="00D11238"/>
    <w:rsid w:val="00D11D67"/>
    <w:rsid w:val="00D12A0D"/>
    <w:rsid w:val="00D12D17"/>
    <w:rsid w:val="00D12D91"/>
    <w:rsid w:val="00D135A5"/>
    <w:rsid w:val="00D1388C"/>
    <w:rsid w:val="00D13D54"/>
    <w:rsid w:val="00D13E42"/>
    <w:rsid w:val="00D145D4"/>
    <w:rsid w:val="00D15EEA"/>
    <w:rsid w:val="00D20BA9"/>
    <w:rsid w:val="00D224E7"/>
    <w:rsid w:val="00D22FB3"/>
    <w:rsid w:val="00D236C2"/>
    <w:rsid w:val="00D23814"/>
    <w:rsid w:val="00D251AB"/>
    <w:rsid w:val="00D25292"/>
    <w:rsid w:val="00D25507"/>
    <w:rsid w:val="00D256E5"/>
    <w:rsid w:val="00D25A2C"/>
    <w:rsid w:val="00D26E1C"/>
    <w:rsid w:val="00D274D2"/>
    <w:rsid w:val="00D2786B"/>
    <w:rsid w:val="00D3122B"/>
    <w:rsid w:val="00D31B75"/>
    <w:rsid w:val="00D3201B"/>
    <w:rsid w:val="00D33326"/>
    <w:rsid w:val="00D347E9"/>
    <w:rsid w:val="00D34D53"/>
    <w:rsid w:val="00D34F0D"/>
    <w:rsid w:val="00D3532B"/>
    <w:rsid w:val="00D35A2B"/>
    <w:rsid w:val="00D36388"/>
    <w:rsid w:val="00D364BC"/>
    <w:rsid w:val="00D37712"/>
    <w:rsid w:val="00D37D94"/>
    <w:rsid w:val="00D401FA"/>
    <w:rsid w:val="00D407CC"/>
    <w:rsid w:val="00D40919"/>
    <w:rsid w:val="00D41146"/>
    <w:rsid w:val="00D417DB"/>
    <w:rsid w:val="00D42794"/>
    <w:rsid w:val="00D42ADB"/>
    <w:rsid w:val="00D42CDC"/>
    <w:rsid w:val="00D43F32"/>
    <w:rsid w:val="00D44575"/>
    <w:rsid w:val="00D44D89"/>
    <w:rsid w:val="00D44DCE"/>
    <w:rsid w:val="00D453A1"/>
    <w:rsid w:val="00D46546"/>
    <w:rsid w:val="00D46A00"/>
    <w:rsid w:val="00D46D25"/>
    <w:rsid w:val="00D516D3"/>
    <w:rsid w:val="00D517B4"/>
    <w:rsid w:val="00D518D2"/>
    <w:rsid w:val="00D52AB6"/>
    <w:rsid w:val="00D52D4B"/>
    <w:rsid w:val="00D5360A"/>
    <w:rsid w:val="00D53D03"/>
    <w:rsid w:val="00D540AB"/>
    <w:rsid w:val="00D54A42"/>
    <w:rsid w:val="00D56598"/>
    <w:rsid w:val="00D56C08"/>
    <w:rsid w:val="00D5764E"/>
    <w:rsid w:val="00D577D1"/>
    <w:rsid w:val="00D57A67"/>
    <w:rsid w:val="00D61112"/>
    <w:rsid w:val="00D62347"/>
    <w:rsid w:val="00D64D10"/>
    <w:rsid w:val="00D65856"/>
    <w:rsid w:val="00D66903"/>
    <w:rsid w:val="00D67422"/>
    <w:rsid w:val="00D70A0F"/>
    <w:rsid w:val="00D719E8"/>
    <w:rsid w:val="00D71AFB"/>
    <w:rsid w:val="00D723DA"/>
    <w:rsid w:val="00D7255C"/>
    <w:rsid w:val="00D72856"/>
    <w:rsid w:val="00D72E86"/>
    <w:rsid w:val="00D74166"/>
    <w:rsid w:val="00D74F8F"/>
    <w:rsid w:val="00D75373"/>
    <w:rsid w:val="00D764A3"/>
    <w:rsid w:val="00D76BB7"/>
    <w:rsid w:val="00D80F3A"/>
    <w:rsid w:val="00D82839"/>
    <w:rsid w:val="00D82BCE"/>
    <w:rsid w:val="00D82DA2"/>
    <w:rsid w:val="00D82E48"/>
    <w:rsid w:val="00D83DCA"/>
    <w:rsid w:val="00D844AB"/>
    <w:rsid w:val="00D851BB"/>
    <w:rsid w:val="00D8521D"/>
    <w:rsid w:val="00D861C2"/>
    <w:rsid w:val="00D86267"/>
    <w:rsid w:val="00D86582"/>
    <w:rsid w:val="00D86B73"/>
    <w:rsid w:val="00D87574"/>
    <w:rsid w:val="00D87C5D"/>
    <w:rsid w:val="00D90DA0"/>
    <w:rsid w:val="00D935C4"/>
    <w:rsid w:val="00D9579F"/>
    <w:rsid w:val="00D95979"/>
    <w:rsid w:val="00D95C97"/>
    <w:rsid w:val="00D96CC2"/>
    <w:rsid w:val="00D97057"/>
    <w:rsid w:val="00D97559"/>
    <w:rsid w:val="00DA0229"/>
    <w:rsid w:val="00DA0897"/>
    <w:rsid w:val="00DA0A99"/>
    <w:rsid w:val="00DA15D2"/>
    <w:rsid w:val="00DA27B9"/>
    <w:rsid w:val="00DA29D1"/>
    <w:rsid w:val="00DA30D8"/>
    <w:rsid w:val="00DA3C65"/>
    <w:rsid w:val="00DA3CE0"/>
    <w:rsid w:val="00DA4E66"/>
    <w:rsid w:val="00DA4FA3"/>
    <w:rsid w:val="00DA68E6"/>
    <w:rsid w:val="00DA6975"/>
    <w:rsid w:val="00DA6AC1"/>
    <w:rsid w:val="00DA7461"/>
    <w:rsid w:val="00DA77FA"/>
    <w:rsid w:val="00DA7D1C"/>
    <w:rsid w:val="00DB0022"/>
    <w:rsid w:val="00DB127E"/>
    <w:rsid w:val="00DB139B"/>
    <w:rsid w:val="00DB1C28"/>
    <w:rsid w:val="00DB2AAD"/>
    <w:rsid w:val="00DB3094"/>
    <w:rsid w:val="00DB3431"/>
    <w:rsid w:val="00DB3972"/>
    <w:rsid w:val="00DB3F40"/>
    <w:rsid w:val="00DB61C7"/>
    <w:rsid w:val="00DB6EF7"/>
    <w:rsid w:val="00DB763F"/>
    <w:rsid w:val="00DB7B4A"/>
    <w:rsid w:val="00DC0A31"/>
    <w:rsid w:val="00DC10CC"/>
    <w:rsid w:val="00DC215E"/>
    <w:rsid w:val="00DC2824"/>
    <w:rsid w:val="00DC2B34"/>
    <w:rsid w:val="00DC2B56"/>
    <w:rsid w:val="00DC33C3"/>
    <w:rsid w:val="00DC3963"/>
    <w:rsid w:val="00DC3CAC"/>
    <w:rsid w:val="00DC44A5"/>
    <w:rsid w:val="00DC5976"/>
    <w:rsid w:val="00DC61C5"/>
    <w:rsid w:val="00DC667E"/>
    <w:rsid w:val="00DC69A0"/>
    <w:rsid w:val="00DC7DAF"/>
    <w:rsid w:val="00DD0713"/>
    <w:rsid w:val="00DD1090"/>
    <w:rsid w:val="00DD1520"/>
    <w:rsid w:val="00DD1903"/>
    <w:rsid w:val="00DD1A3B"/>
    <w:rsid w:val="00DD2065"/>
    <w:rsid w:val="00DD2BEC"/>
    <w:rsid w:val="00DD3051"/>
    <w:rsid w:val="00DD3A56"/>
    <w:rsid w:val="00DD456D"/>
    <w:rsid w:val="00DD46CA"/>
    <w:rsid w:val="00DD5605"/>
    <w:rsid w:val="00DD5716"/>
    <w:rsid w:val="00DD5FBC"/>
    <w:rsid w:val="00DD64AD"/>
    <w:rsid w:val="00DD6BDA"/>
    <w:rsid w:val="00DD707A"/>
    <w:rsid w:val="00DD776F"/>
    <w:rsid w:val="00DD7827"/>
    <w:rsid w:val="00DD7F79"/>
    <w:rsid w:val="00DE0573"/>
    <w:rsid w:val="00DE27E3"/>
    <w:rsid w:val="00DE2840"/>
    <w:rsid w:val="00DE2A9B"/>
    <w:rsid w:val="00DE348F"/>
    <w:rsid w:val="00DE3907"/>
    <w:rsid w:val="00DE3A0D"/>
    <w:rsid w:val="00DE42C0"/>
    <w:rsid w:val="00DE4ACE"/>
    <w:rsid w:val="00DE521C"/>
    <w:rsid w:val="00DE5D48"/>
    <w:rsid w:val="00DE643A"/>
    <w:rsid w:val="00DE6590"/>
    <w:rsid w:val="00DE65D9"/>
    <w:rsid w:val="00DE7AC1"/>
    <w:rsid w:val="00DF033F"/>
    <w:rsid w:val="00DF0ED4"/>
    <w:rsid w:val="00DF11F1"/>
    <w:rsid w:val="00DF1DBD"/>
    <w:rsid w:val="00DF2899"/>
    <w:rsid w:val="00DF3E05"/>
    <w:rsid w:val="00DF422F"/>
    <w:rsid w:val="00DF4557"/>
    <w:rsid w:val="00DF5A06"/>
    <w:rsid w:val="00DF60D3"/>
    <w:rsid w:val="00DF7072"/>
    <w:rsid w:val="00DF7320"/>
    <w:rsid w:val="00DF7897"/>
    <w:rsid w:val="00DF7F27"/>
    <w:rsid w:val="00E00686"/>
    <w:rsid w:val="00E02B92"/>
    <w:rsid w:val="00E03753"/>
    <w:rsid w:val="00E05A52"/>
    <w:rsid w:val="00E06F82"/>
    <w:rsid w:val="00E07ECB"/>
    <w:rsid w:val="00E10446"/>
    <w:rsid w:val="00E10AAD"/>
    <w:rsid w:val="00E114F8"/>
    <w:rsid w:val="00E11D41"/>
    <w:rsid w:val="00E11FEE"/>
    <w:rsid w:val="00E12DF9"/>
    <w:rsid w:val="00E13002"/>
    <w:rsid w:val="00E1364B"/>
    <w:rsid w:val="00E13963"/>
    <w:rsid w:val="00E13966"/>
    <w:rsid w:val="00E14140"/>
    <w:rsid w:val="00E144A9"/>
    <w:rsid w:val="00E14D66"/>
    <w:rsid w:val="00E16313"/>
    <w:rsid w:val="00E164B2"/>
    <w:rsid w:val="00E1744E"/>
    <w:rsid w:val="00E205A9"/>
    <w:rsid w:val="00E2071B"/>
    <w:rsid w:val="00E20754"/>
    <w:rsid w:val="00E21725"/>
    <w:rsid w:val="00E22196"/>
    <w:rsid w:val="00E229AE"/>
    <w:rsid w:val="00E23FA6"/>
    <w:rsid w:val="00E2459A"/>
    <w:rsid w:val="00E24871"/>
    <w:rsid w:val="00E24F99"/>
    <w:rsid w:val="00E25502"/>
    <w:rsid w:val="00E25653"/>
    <w:rsid w:val="00E257C1"/>
    <w:rsid w:val="00E25C8E"/>
    <w:rsid w:val="00E26760"/>
    <w:rsid w:val="00E27381"/>
    <w:rsid w:val="00E30406"/>
    <w:rsid w:val="00E30438"/>
    <w:rsid w:val="00E30BF9"/>
    <w:rsid w:val="00E313AD"/>
    <w:rsid w:val="00E31BD8"/>
    <w:rsid w:val="00E3246B"/>
    <w:rsid w:val="00E325D8"/>
    <w:rsid w:val="00E328FF"/>
    <w:rsid w:val="00E32961"/>
    <w:rsid w:val="00E32AD3"/>
    <w:rsid w:val="00E331B7"/>
    <w:rsid w:val="00E3365B"/>
    <w:rsid w:val="00E336E4"/>
    <w:rsid w:val="00E3400D"/>
    <w:rsid w:val="00E34436"/>
    <w:rsid w:val="00E34996"/>
    <w:rsid w:val="00E34CEB"/>
    <w:rsid w:val="00E3538C"/>
    <w:rsid w:val="00E35810"/>
    <w:rsid w:val="00E35F86"/>
    <w:rsid w:val="00E3648E"/>
    <w:rsid w:val="00E37263"/>
    <w:rsid w:val="00E374F7"/>
    <w:rsid w:val="00E37608"/>
    <w:rsid w:val="00E37751"/>
    <w:rsid w:val="00E37BDB"/>
    <w:rsid w:val="00E4079E"/>
    <w:rsid w:val="00E40D7F"/>
    <w:rsid w:val="00E41A03"/>
    <w:rsid w:val="00E41ABD"/>
    <w:rsid w:val="00E41E65"/>
    <w:rsid w:val="00E421CC"/>
    <w:rsid w:val="00E425E6"/>
    <w:rsid w:val="00E429EF"/>
    <w:rsid w:val="00E430DF"/>
    <w:rsid w:val="00E434F9"/>
    <w:rsid w:val="00E43CA1"/>
    <w:rsid w:val="00E44793"/>
    <w:rsid w:val="00E44950"/>
    <w:rsid w:val="00E44AD3"/>
    <w:rsid w:val="00E45377"/>
    <w:rsid w:val="00E45DC9"/>
    <w:rsid w:val="00E46EC3"/>
    <w:rsid w:val="00E47C67"/>
    <w:rsid w:val="00E514C7"/>
    <w:rsid w:val="00E5156F"/>
    <w:rsid w:val="00E51BC2"/>
    <w:rsid w:val="00E51E96"/>
    <w:rsid w:val="00E52404"/>
    <w:rsid w:val="00E52F36"/>
    <w:rsid w:val="00E544B6"/>
    <w:rsid w:val="00E545B0"/>
    <w:rsid w:val="00E54861"/>
    <w:rsid w:val="00E54AFA"/>
    <w:rsid w:val="00E5516A"/>
    <w:rsid w:val="00E55347"/>
    <w:rsid w:val="00E5556C"/>
    <w:rsid w:val="00E55890"/>
    <w:rsid w:val="00E55D8D"/>
    <w:rsid w:val="00E56A40"/>
    <w:rsid w:val="00E57667"/>
    <w:rsid w:val="00E600C0"/>
    <w:rsid w:val="00E603F8"/>
    <w:rsid w:val="00E60ED2"/>
    <w:rsid w:val="00E60FC4"/>
    <w:rsid w:val="00E615F5"/>
    <w:rsid w:val="00E62CB9"/>
    <w:rsid w:val="00E62CD8"/>
    <w:rsid w:val="00E64E53"/>
    <w:rsid w:val="00E65A41"/>
    <w:rsid w:val="00E6715F"/>
    <w:rsid w:val="00E673FD"/>
    <w:rsid w:val="00E70061"/>
    <w:rsid w:val="00E7096F"/>
    <w:rsid w:val="00E71682"/>
    <w:rsid w:val="00E720FC"/>
    <w:rsid w:val="00E72401"/>
    <w:rsid w:val="00E7271A"/>
    <w:rsid w:val="00E7376C"/>
    <w:rsid w:val="00E748B6"/>
    <w:rsid w:val="00E74950"/>
    <w:rsid w:val="00E751F9"/>
    <w:rsid w:val="00E753B5"/>
    <w:rsid w:val="00E7566B"/>
    <w:rsid w:val="00E75F11"/>
    <w:rsid w:val="00E7700B"/>
    <w:rsid w:val="00E77C6E"/>
    <w:rsid w:val="00E809EB"/>
    <w:rsid w:val="00E8501C"/>
    <w:rsid w:val="00E851A5"/>
    <w:rsid w:val="00E851AA"/>
    <w:rsid w:val="00E8576B"/>
    <w:rsid w:val="00E85A30"/>
    <w:rsid w:val="00E85FBE"/>
    <w:rsid w:val="00E86CBC"/>
    <w:rsid w:val="00E870AB"/>
    <w:rsid w:val="00E9082B"/>
    <w:rsid w:val="00E911CE"/>
    <w:rsid w:val="00E91664"/>
    <w:rsid w:val="00E91C0B"/>
    <w:rsid w:val="00E924C5"/>
    <w:rsid w:val="00E92AD8"/>
    <w:rsid w:val="00E92D29"/>
    <w:rsid w:val="00E92D44"/>
    <w:rsid w:val="00E9394D"/>
    <w:rsid w:val="00E94337"/>
    <w:rsid w:val="00E94965"/>
    <w:rsid w:val="00E94A5A"/>
    <w:rsid w:val="00E96BBA"/>
    <w:rsid w:val="00E973A0"/>
    <w:rsid w:val="00E975EF"/>
    <w:rsid w:val="00EA11FC"/>
    <w:rsid w:val="00EA1C42"/>
    <w:rsid w:val="00EA2324"/>
    <w:rsid w:val="00EA3529"/>
    <w:rsid w:val="00EA42DD"/>
    <w:rsid w:val="00EA49B8"/>
    <w:rsid w:val="00EA4A5A"/>
    <w:rsid w:val="00EA4F11"/>
    <w:rsid w:val="00EA5A37"/>
    <w:rsid w:val="00EA5F42"/>
    <w:rsid w:val="00EA61F1"/>
    <w:rsid w:val="00EA62A2"/>
    <w:rsid w:val="00EA655B"/>
    <w:rsid w:val="00EA68D6"/>
    <w:rsid w:val="00EA6C92"/>
    <w:rsid w:val="00EA7669"/>
    <w:rsid w:val="00EA7C44"/>
    <w:rsid w:val="00EB016A"/>
    <w:rsid w:val="00EB0C1A"/>
    <w:rsid w:val="00EB15FB"/>
    <w:rsid w:val="00EB1E31"/>
    <w:rsid w:val="00EB1EA2"/>
    <w:rsid w:val="00EB21C2"/>
    <w:rsid w:val="00EB26ED"/>
    <w:rsid w:val="00EB279C"/>
    <w:rsid w:val="00EB320E"/>
    <w:rsid w:val="00EB4FFB"/>
    <w:rsid w:val="00EB598D"/>
    <w:rsid w:val="00EB7271"/>
    <w:rsid w:val="00EC0FD6"/>
    <w:rsid w:val="00EC190C"/>
    <w:rsid w:val="00EC27BB"/>
    <w:rsid w:val="00EC31D1"/>
    <w:rsid w:val="00EC3C4B"/>
    <w:rsid w:val="00EC3CF5"/>
    <w:rsid w:val="00EC3E9E"/>
    <w:rsid w:val="00EC42C8"/>
    <w:rsid w:val="00EC5A7B"/>
    <w:rsid w:val="00EC5B60"/>
    <w:rsid w:val="00EC5EF1"/>
    <w:rsid w:val="00EC6072"/>
    <w:rsid w:val="00EC75EC"/>
    <w:rsid w:val="00EC798B"/>
    <w:rsid w:val="00ED046A"/>
    <w:rsid w:val="00ED145A"/>
    <w:rsid w:val="00ED183B"/>
    <w:rsid w:val="00ED2F0F"/>
    <w:rsid w:val="00ED3203"/>
    <w:rsid w:val="00ED337A"/>
    <w:rsid w:val="00ED367A"/>
    <w:rsid w:val="00ED4A83"/>
    <w:rsid w:val="00ED50C9"/>
    <w:rsid w:val="00ED603D"/>
    <w:rsid w:val="00ED6328"/>
    <w:rsid w:val="00ED6345"/>
    <w:rsid w:val="00ED672A"/>
    <w:rsid w:val="00ED6BF1"/>
    <w:rsid w:val="00ED6C96"/>
    <w:rsid w:val="00ED6FE7"/>
    <w:rsid w:val="00ED7570"/>
    <w:rsid w:val="00ED7918"/>
    <w:rsid w:val="00EE01BA"/>
    <w:rsid w:val="00EE0A61"/>
    <w:rsid w:val="00EE1534"/>
    <w:rsid w:val="00EE199A"/>
    <w:rsid w:val="00EE3AD2"/>
    <w:rsid w:val="00EE558E"/>
    <w:rsid w:val="00EE645F"/>
    <w:rsid w:val="00EE6918"/>
    <w:rsid w:val="00EF0047"/>
    <w:rsid w:val="00EF072D"/>
    <w:rsid w:val="00EF135F"/>
    <w:rsid w:val="00EF1B00"/>
    <w:rsid w:val="00EF375B"/>
    <w:rsid w:val="00EF38F2"/>
    <w:rsid w:val="00EF41B6"/>
    <w:rsid w:val="00EF4A7B"/>
    <w:rsid w:val="00EF5ED3"/>
    <w:rsid w:val="00EF64A3"/>
    <w:rsid w:val="00EF71EE"/>
    <w:rsid w:val="00EF74B5"/>
    <w:rsid w:val="00EF7825"/>
    <w:rsid w:val="00F0044E"/>
    <w:rsid w:val="00F009A6"/>
    <w:rsid w:val="00F010E9"/>
    <w:rsid w:val="00F01974"/>
    <w:rsid w:val="00F0290D"/>
    <w:rsid w:val="00F02F72"/>
    <w:rsid w:val="00F0307B"/>
    <w:rsid w:val="00F03948"/>
    <w:rsid w:val="00F04771"/>
    <w:rsid w:val="00F04F98"/>
    <w:rsid w:val="00F05675"/>
    <w:rsid w:val="00F056BB"/>
    <w:rsid w:val="00F05F14"/>
    <w:rsid w:val="00F06DFD"/>
    <w:rsid w:val="00F0752F"/>
    <w:rsid w:val="00F075A1"/>
    <w:rsid w:val="00F0765A"/>
    <w:rsid w:val="00F10236"/>
    <w:rsid w:val="00F104E3"/>
    <w:rsid w:val="00F10A6C"/>
    <w:rsid w:val="00F11344"/>
    <w:rsid w:val="00F11621"/>
    <w:rsid w:val="00F125FA"/>
    <w:rsid w:val="00F1277D"/>
    <w:rsid w:val="00F135D5"/>
    <w:rsid w:val="00F137C8"/>
    <w:rsid w:val="00F13836"/>
    <w:rsid w:val="00F13863"/>
    <w:rsid w:val="00F13B9C"/>
    <w:rsid w:val="00F14190"/>
    <w:rsid w:val="00F14494"/>
    <w:rsid w:val="00F158B8"/>
    <w:rsid w:val="00F15C0E"/>
    <w:rsid w:val="00F16015"/>
    <w:rsid w:val="00F16A50"/>
    <w:rsid w:val="00F16B55"/>
    <w:rsid w:val="00F17396"/>
    <w:rsid w:val="00F17C65"/>
    <w:rsid w:val="00F20046"/>
    <w:rsid w:val="00F21062"/>
    <w:rsid w:val="00F215A0"/>
    <w:rsid w:val="00F21E7C"/>
    <w:rsid w:val="00F22176"/>
    <w:rsid w:val="00F228D8"/>
    <w:rsid w:val="00F22F76"/>
    <w:rsid w:val="00F2317A"/>
    <w:rsid w:val="00F23C66"/>
    <w:rsid w:val="00F23D8D"/>
    <w:rsid w:val="00F23F7E"/>
    <w:rsid w:val="00F242DC"/>
    <w:rsid w:val="00F24BD1"/>
    <w:rsid w:val="00F260C9"/>
    <w:rsid w:val="00F2635F"/>
    <w:rsid w:val="00F27191"/>
    <w:rsid w:val="00F27404"/>
    <w:rsid w:val="00F278C4"/>
    <w:rsid w:val="00F27DA3"/>
    <w:rsid w:val="00F3085A"/>
    <w:rsid w:val="00F30905"/>
    <w:rsid w:val="00F314A2"/>
    <w:rsid w:val="00F32894"/>
    <w:rsid w:val="00F32A44"/>
    <w:rsid w:val="00F32F58"/>
    <w:rsid w:val="00F333B8"/>
    <w:rsid w:val="00F33A07"/>
    <w:rsid w:val="00F33B22"/>
    <w:rsid w:val="00F33B6F"/>
    <w:rsid w:val="00F340D3"/>
    <w:rsid w:val="00F34415"/>
    <w:rsid w:val="00F3478A"/>
    <w:rsid w:val="00F353BC"/>
    <w:rsid w:val="00F35686"/>
    <w:rsid w:val="00F3614C"/>
    <w:rsid w:val="00F3738D"/>
    <w:rsid w:val="00F37786"/>
    <w:rsid w:val="00F377DB"/>
    <w:rsid w:val="00F37E99"/>
    <w:rsid w:val="00F41035"/>
    <w:rsid w:val="00F4242E"/>
    <w:rsid w:val="00F424A3"/>
    <w:rsid w:val="00F42F6A"/>
    <w:rsid w:val="00F431B8"/>
    <w:rsid w:val="00F43CF7"/>
    <w:rsid w:val="00F443AD"/>
    <w:rsid w:val="00F44F27"/>
    <w:rsid w:val="00F45B92"/>
    <w:rsid w:val="00F45F1D"/>
    <w:rsid w:val="00F46401"/>
    <w:rsid w:val="00F471FD"/>
    <w:rsid w:val="00F4768E"/>
    <w:rsid w:val="00F503E0"/>
    <w:rsid w:val="00F5043D"/>
    <w:rsid w:val="00F50BCC"/>
    <w:rsid w:val="00F50C08"/>
    <w:rsid w:val="00F5159B"/>
    <w:rsid w:val="00F51E48"/>
    <w:rsid w:val="00F52AC0"/>
    <w:rsid w:val="00F52E2D"/>
    <w:rsid w:val="00F536BB"/>
    <w:rsid w:val="00F54084"/>
    <w:rsid w:val="00F5476D"/>
    <w:rsid w:val="00F549A1"/>
    <w:rsid w:val="00F5603F"/>
    <w:rsid w:val="00F57DA4"/>
    <w:rsid w:val="00F603F8"/>
    <w:rsid w:val="00F6062F"/>
    <w:rsid w:val="00F606A7"/>
    <w:rsid w:val="00F606C2"/>
    <w:rsid w:val="00F60B09"/>
    <w:rsid w:val="00F61877"/>
    <w:rsid w:val="00F61ACE"/>
    <w:rsid w:val="00F61D84"/>
    <w:rsid w:val="00F64888"/>
    <w:rsid w:val="00F65260"/>
    <w:rsid w:val="00F6612D"/>
    <w:rsid w:val="00F662BB"/>
    <w:rsid w:val="00F66A9E"/>
    <w:rsid w:val="00F67239"/>
    <w:rsid w:val="00F70762"/>
    <w:rsid w:val="00F70856"/>
    <w:rsid w:val="00F721CA"/>
    <w:rsid w:val="00F72655"/>
    <w:rsid w:val="00F737D7"/>
    <w:rsid w:val="00F73B9F"/>
    <w:rsid w:val="00F740A0"/>
    <w:rsid w:val="00F74801"/>
    <w:rsid w:val="00F74AE7"/>
    <w:rsid w:val="00F75BB0"/>
    <w:rsid w:val="00F76B6A"/>
    <w:rsid w:val="00F76BEA"/>
    <w:rsid w:val="00F76C17"/>
    <w:rsid w:val="00F80F83"/>
    <w:rsid w:val="00F81011"/>
    <w:rsid w:val="00F81AEE"/>
    <w:rsid w:val="00F81B08"/>
    <w:rsid w:val="00F81BDE"/>
    <w:rsid w:val="00F8258B"/>
    <w:rsid w:val="00F82614"/>
    <w:rsid w:val="00F826C1"/>
    <w:rsid w:val="00F828EE"/>
    <w:rsid w:val="00F82D78"/>
    <w:rsid w:val="00F8373D"/>
    <w:rsid w:val="00F83970"/>
    <w:rsid w:val="00F84018"/>
    <w:rsid w:val="00F84B5A"/>
    <w:rsid w:val="00F84B93"/>
    <w:rsid w:val="00F84D11"/>
    <w:rsid w:val="00F855B5"/>
    <w:rsid w:val="00F858B5"/>
    <w:rsid w:val="00F85FF6"/>
    <w:rsid w:val="00F868C1"/>
    <w:rsid w:val="00F87A66"/>
    <w:rsid w:val="00F87CBF"/>
    <w:rsid w:val="00F9230A"/>
    <w:rsid w:val="00F92626"/>
    <w:rsid w:val="00F92B52"/>
    <w:rsid w:val="00F93BBC"/>
    <w:rsid w:val="00F9442A"/>
    <w:rsid w:val="00F94F5F"/>
    <w:rsid w:val="00F958C2"/>
    <w:rsid w:val="00F95F56"/>
    <w:rsid w:val="00F96137"/>
    <w:rsid w:val="00F9644D"/>
    <w:rsid w:val="00F97296"/>
    <w:rsid w:val="00F979AC"/>
    <w:rsid w:val="00FA0BA0"/>
    <w:rsid w:val="00FA19C1"/>
    <w:rsid w:val="00FA25EE"/>
    <w:rsid w:val="00FA34D2"/>
    <w:rsid w:val="00FA3B86"/>
    <w:rsid w:val="00FA4969"/>
    <w:rsid w:val="00FA53D7"/>
    <w:rsid w:val="00FA58E1"/>
    <w:rsid w:val="00FA60BD"/>
    <w:rsid w:val="00FA6796"/>
    <w:rsid w:val="00FA6DDC"/>
    <w:rsid w:val="00FA7557"/>
    <w:rsid w:val="00FA7558"/>
    <w:rsid w:val="00FA774E"/>
    <w:rsid w:val="00FB1905"/>
    <w:rsid w:val="00FB1E74"/>
    <w:rsid w:val="00FB2347"/>
    <w:rsid w:val="00FB2D85"/>
    <w:rsid w:val="00FB3587"/>
    <w:rsid w:val="00FB3B2E"/>
    <w:rsid w:val="00FB3D97"/>
    <w:rsid w:val="00FB440B"/>
    <w:rsid w:val="00FB4510"/>
    <w:rsid w:val="00FB4A92"/>
    <w:rsid w:val="00FB56AF"/>
    <w:rsid w:val="00FB585F"/>
    <w:rsid w:val="00FB5AA2"/>
    <w:rsid w:val="00FB63BC"/>
    <w:rsid w:val="00FB6514"/>
    <w:rsid w:val="00FC05C0"/>
    <w:rsid w:val="00FC085D"/>
    <w:rsid w:val="00FC1CE1"/>
    <w:rsid w:val="00FC29E0"/>
    <w:rsid w:val="00FC2B13"/>
    <w:rsid w:val="00FC3E96"/>
    <w:rsid w:val="00FC5728"/>
    <w:rsid w:val="00FC572D"/>
    <w:rsid w:val="00FC6714"/>
    <w:rsid w:val="00FC6E87"/>
    <w:rsid w:val="00FC7EBB"/>
    <w:rsid w:val="00FC7F08"/>
    <w:rsid w:val="00FD0FD1"/>
    <w:rsid w:val="00FD106D"/>
    <w:rsid w:val="00FD13AA"/>
    <w:rsid w:val="00FD1975"/>
    <w:rsid w:val="00FD1A3D"/>
    <w:rsid w:val="00FD2191"/>
    <w:rsid w:val="00FD266B"/>
    <w:rsid w:val="00FD2B28"/>
    <w:rsid w:val="00FD2D33"/>
    <w:rsid w:val="00FD4710"/>
    <w:rsid w:val="00FD5B50"/>
    <w:rsid w:val="00FD63FC"/>
    <w:rsid w:val="00FE0670"/>
    <w:rsid w:val="00FE2147"/>
    <w:rsid w:val="00FE219D"/>
    <w:rsid w:val="00FE246F"/>
    <w:rsid w:val="00FE2620"/>
    <w:rsid w:val="00FE3864"/>
    <w:rsid w:val="00FE3E75"/>
    <w:rsid w:val="00FE4B0E"/>
    <w:rsid w:val="00FE4D6E"/>
    <w:rsid w:val="00FE6349"/>
    <w:rsid w:val="00FE7282"/>
    <w:rsid w:val="00FE7304"/>
    <w:rsid w:val="00FE78EF"/>
    <w:rsid w:val="00FE79B7"/>
    <w:rsid w:val="00FF0310"/>
    <w:rsid w:val="00FF11DA"/>
    <w:rsid w:val="00FF23DE"/>
    <w:rsid w:val="00FF2792"/>
    <w:rsid w:val="00FF3258"/>
    <w:rsid w:val="00FF38CF"/>
    <w:rsid w:val="00FF59D0"/>
    <w:rsid w:val="00FF7454"/>
    <w:rsid w:val="01331381"/>
    <w:rsid w:val="013D4B1C"/>
    <w:rsid w:val="01731C49"/>
    <w:rsid w:val="018E309C"/>
    <w:rsid w:val="01D55328"/>
    <w:rsid w:val="01FB5C4F"/>
    <w:rsid w:val="0256548E"/>
    <w:rsid w:val="02890D36"/>
    <w:rsid w:val="029370C7"/>
    <w:rsid w:val="0299635A"/>
    <w:rsid w:val="02A9126A"/>
    <w:rsid w:val="02FE014F"/>
    <w:rsid w:val="02FF41F8"/>
    <w:rsid w:val="0314419D"/>
    <w:rsid w:val="031F42EB"/>
    <w:rsid w:val="03593DC5"/>
    <w:rsid w:val="03786440"/>
    <w:rsid w:val="03A8497A"/>
    <w:rsid w:val="03D12F2D"/>
    <w:rsid w:val="04276B19"/>
    <w:rsid w:val="04375407"/>
    <w:rsid w:val="04A30FCF"/>
    <w:rsid w:val="04AE774F"/>
    <w:rsid w:val="04E24159"/>
    <w:rsid w:val="04E81B1A"/>
    <w:rsid w:val="050227D6"/>
    <w:rsid w:val="05097AD0"/>
    <w:rsid w:val="05B105F7"/>
    <w:rsid w:val="05C82A14"/>
    <w:rsid w:val="05CC0E93"/>
    <w:rsid w:val="06443FD4"/>
    <w:rsid w:val="06C323B5"/>
    <w:rsid w:val="07277E4A"/>
    <w:rsid w:val="07303E30"/>
    <w:rsid w:val="076368E3"/>
    <w:rsid w:val="08073E22"/>
    <w:rsid w:val="08210512"/>
    <w:rsid w:val="08822685"/>
    <w:rsid w:val="08FA104A"/>
    <w:rsid w:val="08FA57C7"/>
    <w:rsid w:val="096527FA"/>
    <w:rsid w:val="09AA1547"/>
    <w:rsid w:val="09BF5BF1"/>
    <w:rsid w:val="09C9041E"/>
    <w:rsid w:val="09CC4FF6"/>
    <w:rsid w:val="0A685033"/>
    <w:rsid w:val="0A765FB8"/>
    <w:rsid w:val="0A814349"/>
    <w:rsid w:val="0AF8308E"/>
    <w:rsid w:val="0B352404"/>
    <w:rsid w:val="0B5750BC"/>
    <w:rsid w:val="0BBB1258"/>
    <w:rsid w:val="0BE05B27"/>
    <w:rsid w:val="0C4105DA"/>
    <w:rsid w:val="0C483CB5"/>
    <w:rsid w:val="0C5F0057"/>
    <w:rsid w:val="0C6B23E9"/>
    <w:rsid w:val="0C7449DD"/>
    <w:rsid w:val="0C92510C"/>
    <w:rsid w:val="0C9D170E"/>
    <w:rsid w:val="0CBD6B55"/>
    <w:rsid w:val="0CFB19FB"/>
    <w:rsid w:val="0D1D4BC1"/>
    <w:rsid w:val="0D585FAA"/>
    <w:rsid w:val="0D675788"/>
    <w:rsid w:val="0D8D654B"/>
    <w:rsid w:val="0DA914DF"/>
    <w:rsid w:val="0E263246"/>
    <w:rsid w:val="0E3015D7"/>
    <w:rsid w:val="0E3C50EF"/>
    <w:rsid w:val="0E3F1EBA"/>
    <w:rsid w:val="0E522FA6"/>
    <w:rsid w:val="0E6A02CB"/>
    <w:rsid w:val="0EC01455"/>
    <w:rsid w:val="0F171FA2"/>
    <w:rsid w:val="0F9F2542"/>
    <w:rsid w:val="0FD3569A"/>
    <w:rsid w:val="101500B2"/>
    <w:rsid w:val="10301D7B"/>
    <w:rsid w:val="104450C4"/>
    <w:rsid w:val="1047771D"/>
    <w:rsid w:val="10507C42"/>
    <w:rsid w:val="105A7962"/>
    <w:rsid w:val="105E2DE3"/>
    <w:rsid w:val="109C3C4F"/>
    <w:rsid w:val="10F17C33"/>
    <w:rsid w:val="114F5A7F"/>
    <w:rsid w:val="115C57C9"/>
    <w:rsid w:val="11BC0427"/>
    <w:rsid w:val="11F62C07"/>
    <w:rsid w:val="124F3295"/>
    <w:rsid w:val="13416408"/>
    <w:rsid w:val="13737B75"/>
    <w:rsid w:val="13854AD7"/>
    <w:rsid w:val="13B43E61"/>
    <w:rsid w:val="144542CF"/>
    <w:rsid w:val="147719A1"/>
    <w:rsid w:val="148C1946"/>
    <w:rsid w:val="14B8240A"/>
    <w:rsid w:val="14D927EA"/>
    <w:rsid w:val="14D97F69"/>
    <w:rsid w:val="154C7218"/>
    <w:rsid w:val="155061D1"/>
    <w:rsid w:val="16323F16"/>
    <w:rsid w:val="170A1F30"/>
    <w:rsid w:val="17426CDD"/>
    <w:rsid w:val="17707100"/>
    <w:rsid w:val="17853822"/>
    <w:rsid w:val="17E06C0C"/>
    <w:rsid w:val="18043EEE"/>
    <w:rsid w:val="18947263"/>
    <w:rsid w:val="18E67F66"/>
    <w:rsid w:val="18FD4912"/>
    <w:rsid w:val="190A4EF2"/>
    <w:rsid w:val="19155E35"/>
    <w:rsid w:val="195C3428"/>
    <w:rsid w:val="196C5A40"/>
    <w:rsid w:val="198463D0"/>
    <w:rsid w:val="199557A7"/>
    <w:rsid w:val="19C2556A"/>
    <w:rsid w:val="19C41B53"/>
    <w:rsid w:val="19EC528A"/>
    <w:rsid w:val="19FE6FFE"/>
    <w:rsid w:val="1A0F7A32"/>
    <w:rsid w:val="1A121912"/>
    <w:rsid w:val="1A2608F3"/>
    <w:rsid w:val="1A336B23"/>
    <w:rsid w:val="1AF9516D"/>
    <w:rsid w:val="1BB15445"/>
    <w:rsid w:val="1BCD57AB"/>
    <w:rsid w:val="1C0E1A98"/>
    <w:rsid w:val="1C381E84"/>
    <w:rsid w:val="1C490289"/>
    <w:rsid w:val="1C6F4FB4"/>
    <w:rsid w:val="1C8732D6"/>
    <w:rsid w:val="1CA6768D"/>
    <w:rsid w:val="1CDB5968"/>
    <w:rsid w:val="1D1F6145"/>
    <w:rsid w:val="1D54432D"/>
    <w:rsid w:val="1D772D50"/>
    <w:rsid w:val="1DE829D3"/>
    <w:rsid w:val="1E2D620F"/>
    <w:rsid w:val="1E422931"/>
    <w:rsid w:val="1E501CF1"/>
    <w:rsid w:val="1EB2592F"/>
    <w:rsid w:val="1EB65B04"/>
    <w:rsid w:val="1F1A7E37"/>
    <w:rsid w:val="1F5E4382"/>
    <w:rsid w:val="1F807DBA"/>
    <w:rsid w:val="1F8F2FC4"/>
    <w:rsid w:val="20325EC0"/>
    <w:rsid w:val="20621846"/>
    <w:rsid w:val="208244E5"/>
    <w:rsid w:val="20886EF0"/>
    <w:rsid w:val="20895BA4"/>
    <w:rsid w:val="208C1133"/>
    <w:rsid w:val="20D34741"/>
    <w:rsid w:val="216601C1"/>
    <w:rsid w:val="21856355"/>
    <w:rsid w:val="218B3D17"/>
    <w:rsid w:val="21BB5A15"/>
    <w:rsid w:val="21BD09EA"/>
    <w:rsid w:val="21C734F7"/>
    <w:rsid w:val="21D2510C"/>
    <w:rsid w:val="21F0363B"/>
    <w:rsid w:val="220F77A3"/>
    <w:rsid w:val="22B60C01"/>
    <w:rsid w:val="231879A1"/>
    <w:rsid w:val="239A46F7"/>
    <w:rsid w:val="23A14082"/>
    <w:rsid w:val="2411343C"/>
    <w:rsid w:val="241C01AD"/>
    <w:rsid w:val="248E77DD"/>
    <w:rsid w:val="249059D2"/>
    <w:rsid w:val="249F6523"/>
    <w:rsid w:val="24B67467"/>
    <w:rsid w:val="24E3487F"/>
    <w:rsid w:val="24FA6740"/>
    <w:rsid w:val="255B7D96"/>
    <w:rsid w:val="2594705E"/>
    <w:rsid w:val="25B84A72"/>
    <w:rsid w:val="25E85DBC"/>
    <w:rsid w:val="263A36AE"/>
    <w:rsid w:val="2699467B"/>
    <w:rsid w:val="26B223D2"/>
    <w:rsid w:val="26C9119A"/>
    <w:rsid w:val="26CA35AD"/>
    <w:rsid w:val="26E90EA9"/>
    <w:rsid w:val="27B066DA"/>
    <w:rsid w:val="27DC6979"/>
    <w:rsid w:val="28B1694E"/>
    <w:rsid w:val="28BC0562"/>
    <w:rsid w:val="28D07FC2"/>
    <w:rsid w:val="29557225"/>
    <w:rsid w:val="296D0CD1"/>
    <w:rsid w:val="296D2A7D"/>
    <w:rsid w:val="29747D10"/>
    <w:rsid w:val="29784198"/>
    <w:rsid w:val="2A2D713F"/>
    <w:rsid w:val="2A416914"/>
    <w:rsid w:val="2A423861"/>
    <w:rsid w:val="2A63541A"/>
    <w:rsid w:val="2A8F5EDF"/>
    <w:rsid w:val="2AA84B6D"/>
    <w:rsid w:val="2ABF0192"/>
    <w:rsid w:val="2AC039AF"/>
    <w:rsid w:val="2AFB6893"/>
    <w:rsid w:val="2B4104F9"/>
    <w:rsid w:val="2B761974"/>
    <w:rsid w:val="2B937D0B"/>
    <w:rsid w:val="2C1B543C"/>
    <w:rsid w:val="2C9C2622"/>
    <w:rsid w:val="2CEB12F2"/>
    <w:rsid w:val="2D18659D"/>
    <w:rsid w:val="2D964B2C"/>
    <w:rsid w:val="2DA55B88"/>
    <w:rsid w:val="2DD8393D"/>
    <w:rsid w:val="2E1E06B9"/>
    <w:rsid w:val="2E896632"/>
    <w:rsid w:val="2EB61B31"/>
    <w:rsid w:val="2EF8259B"/>
    <w:rsid w:val="2F064E19"/>
    <w:rsid w:val="2F2954D5"/>
    <w:rsid w:val="2F665BC2"/>
    <w:rsid w:val="2F9959A7"/>
    <w:rsid w:val="2FDE4A00"/>
    <w:rsid w:val="3042559A"/>
    <w:rsid w:val="30A957E4"/>
    <w:rsid w:val="30C56DD2"/>
    <w:rsid w:val="31013C75"/>
    <w:rsid w:val="314100C0"/>
    <w:rsid w:val="31791FF8"/>
    <w:rsid w:val="31843689"/>
    <w:rsid w:val="3198766B"/>
    <w:rsid w:val="319D0DD6"/>
    <w:rsid w:val="32222C57"/>
    <w:rsid w:val="3293788C"/>
    <w:rsid w:val="32AF6CAE"/>
    <w:rsid w:val="32DE1F01"/>
    <w:rsid w:val="33046445"/>
    <w:rsid w:val="331630E9"/>
    <w:rsid w:val="33552E44"/>
    <w:rsid w:val="335F6FD7"/>
    <w:rsid w:val="338A1331"/>
    <w:rsid w:val="33B771C8"/>
    <w:rsid w:val="349164B1"/>
    <w:rsid w:val="34C131AF"/>
    <w:rsid w:val="34E34080"/>
    <w:rsid w:val="34E87C04"/>
    <w:rsid w:val="35476355"/>
    <w:rsid w:val="356928AF"/>
    <w:rsid w:val="3579545F"/>
    <w:rsid w:val="359B0B00"/>
    <w:rsid w:val="35D579E0"/>
    <w:rsid w:val="35DB17EF"/>
    <w:rsid w:val="35E35887"/>
    <w:rsid w:val="35F03135"/>
    <w:rsid w:val="36013D27"/>
    <w:rsid w:val="36025D97"/>
    <w:rsid w:val="3615054F"/>
    <w:rsid w:val="36906355"/>
    <w:rsid w:val="36C12CFF"/>
    <w:rsid w:val="36DB3EF8"/>
    <w:rsid w:val="36E47B9D"/>
    <w:rsid w:val="37067D52"/>
    <w:rsid w:val="37110C64"/>
    <w:rsid w:val="37701F23"/>
    <w:rsid w:val="378B7596"/>
    <w:rsid w:val="37E04957"/>
    <w:rsid w:val="37EA381F"/>
    <w:rsid w:val="381B3FDD"/>
    <w:rsid w:val="3859271F"/>
    <w:rsid w:val="386068A5"/>
    <w:rsid w:val="38733E42"/>
    <w:rsid w:val="389E43A6"/>
    <w:rsid w:val="38B82E6B"/>
    <w:rsid w:val="38C2712E"/>
    <w:rsid w:val="38E70CD8"/>
    <w:rsid w:val="38FE128F"/>
    <w:rsid w:val="39474516"/>
    <w:rsid w:val="39A275FD"/>
    <w:rsid w:val="39A62C24"/>
    <w:rsid w:val="39DF7ECE"/>
    <w:rsid w:val="39E17724"/>
    <w:rsid w:val="39F907B5"/>
    <w:rsid w:val="3A29797A"/>
    <w:rsid w:val="3A3E409C"/>
    <w:rsid w:val="3A5B7D04"/>
    <w:rsid w:val="3A6E266D"/>
    <w:rsid w:val="3AC53AEC"/>
    <w:rsid w:val="3AD42693"/>
    <w:rsid w:val="3B1D351E"/>
    <w:rsid w:val="3B2575DE"/>
    <w:rsid w:val="3B365BA1"/>
    <w:rsid w:val="3BB52087"/>
    <w:rsid w:val="3BED07CD"/>
    <w:rsid w:val="3C2152F8"/>
    <w:rsid w:val="3C682428"/>
    <w:rsid w:val="3CA344B1"/>
    <w:rsid w:val="3D417B8C"/>
    <w:rsid w:val="3D4402AC"/>
    <w:rsid w:val="3D4C5F1D"/>
    <w:rsid w:val="3DB325F4"/>
    <w:rsid w:val="3DF51079"/>
    <w:rsid w:val="3E1A5671"/>
    <w:rsid w:val="3E667CEF"/>
    <w:rsid w:val="3E6F10C5"/>
    <w:rsid w:val="3EC64D98"/>
    <w:rsid w:val="3ED34AA0"/>
    <w:rsid w:val="3EF06563"/>
    <w:rsid w:val="3EF73899"/>
    <w:rsid w:val="3F14056A"/>
    <w:rsid w:val="3F2A54AE"/>
    <w:rsid w:val="3F427458"/>
    <w:rsid w:val="3F6E789D"/>
    <w:rsid w:val="3FB8135F"/>
    <w:rsid w:val="3FD01BE5"/>
    <w:rsid w:val="3FDB7A15"/>
    <w:rsid w:val="3FE04FF8"/>
    <w:rsid w:val="3FED2FEE"/>
    <w:rsid w:val="3FF948DF"/>
    <w:rsid w:val="40630E6C"/>
    <w:rsid w:val="40B118C6"/>
    <w:rsid w:val="40EB11DB"/>
    <w:rsid w:val="412874F2"/>
    <w:rsid w:val="41456493"/>
    <w:rsid w:val="41D045A0"/>
    <w:rsid w:val="42014C57"/>
    <w:rsid w:val="42161379"/>
    <w:rsid w:val="42323CE4"/>
    <w:rsid w:val="424C5CAA"/>
    <w:rsid w:val="42512785"/>
    <w:rsid w:val="42AF6075"/>
    <w:rsid w:val="42CF43AB"/>
    <w:rsid w:val="42D65569"/>
    <w:rsid w:val="42EE6E5E"/>
    <w:rsid w:val="42F354F6"/>
    <w:rsid w:val="43204EC2"/>
    <w:rsid w:val="43916355"/>
    <w:rsid w:val="43C845C3"/>
    <w:rsid w:val="444E6B40"/>
    <w:rsid w:val="447C2D5C"/>
    <w:rsid w:val="4490385E"/>
    <w:rsid w:val="44DA4046"/>
    <w:rsid w:val="44E01002"/>
    <w:rsid w:val="450A7859"/>
    <w:rsid w:val="45123FBD"/>
    <w:rsid w:val="45433AAF"/>
    <w:rsid w:val="45CF5A88"/>
    <w:rsid w:val="461A767A"/>
    <w:rsid w:val="46252A2C"/>
    <w:rsid w:val="46737A24"/>
    <w:rsid w:val="46CA0433"/>
    <w:rsid w:val="47B93D99"/>
    <w:rsid w:val="4828470F"/>
    <w:rsid w:val="48516FB5"/>
    <w:rsid w:val="4896792C"/>
    <w:rsid w:val="48A57EC2"/>
    <w:rsid w:val="48A87DED"/>
    <w:rsid w:val="48B459D5"/>
    <w:rsid w:val="48CA74E0"/>
    <w:rsid w:val="48FF5A97"/>
    <w:rsid w:val="493337A9"/>
    <w:rsid w:val="493D1724"/>
    <w:rsid w:val="49497D40"/>
    <w:rsid w:val="4A243B0A"/>
    <w:rsid w:val="4A9216E3"/>
    <w:rsid w:val="4AE820F1"/>
    <w:rsid w:val="4B3A12EF"/>
    <w:rsid w:val="4B691C1A"/>
    <w:rsid w:val="4B753358"/>
    <w:rsid w:val="4B9436AE"/>
    <w:rsid w:val="4BC52E28"/>
    <w:rsid w:val="4C2633FF"/>
    <w:rsid w:val="4CD245CC"/>
    <w:rsid w:val="4CDC3E37"/>
    <w:rsid w:val="4D2B4C2A"/>
    <w:rsid w:val="4D951248"/>
    <w:rsid w:val="4DE82A5F"/>
    <w:rsid w:val="4DF7294E"/>
    <w:rsid w:val="4E1477D8"/>
    <w:rsid w:val="4E634927"/>
    <w:rsid w:val="4E8967D7"/>
    <w:rsid w:val="4EAC5478"/>
    <w:rsid w:val="4ED44CC5"/>
    <w:rsid w:val="4EDA3A9E"/>
    <w:rsid w:val="4EE259CC"/>
    <w:rsid w:val="4F096709"/>
    <w:rsid w:val="4F105D44"/>
    <w:rsid w:val="4F355850"/>
    <w:rsid w:val="4F537DE0"/>
    <w:rsid w:val="4F5C4B3F"/>
    <w:rsid w:val="4F8B14B0"/>
    <w:rsid w:val="4FB671CF"/>
    <w:rsid w:val="4FC136F4"/>
    <w:rsid w:val="4FE33B1E"/>
    <w:rsid w:val="4FE92F20"/>
    <w:rsid w:val="4FEE276A"/>
    <w:rsid w:val="4FFD7F4B"/>
    <w:rsid w:val="501F5F01"/>
    <w:rsid w:val="502D2302"/>
    <w:rsid w:val="506D2311"/>
    <w:rsid w:val="508C0176"/>
    <w:rsid w:val="50BF05A8"/>
    <w:rsid w:val="50E82D26"/>
    <w:rsid w:val="510234AE"/>
    <w:rsid w:val="51737DCC"/>
    <w:rsid w:val="52077FA0"/>
    <w:rsid w:val="52F61E27"/>
    <w:rsid w:val="53152211"/>
    <w:rsid w:val="534F16D4"/>
    <w:rsid w:val="5361189D"/>
    <w:rsid w:val="53EB4DFF"/>
    <w:rsid w:val="545C6276"/>
    <w:rsid w:val="54C77D84"/>
    <w:rsid w:val="54DD6AF9"/>
    <w:rsid w:val="54EA382C"/>
    <w:rsid w:val="553573D9"/>
    <w:rsid w:val="5537272A"/>
    <w:rsid w:val="556C60B3"/>
    <w:rsid w:val="561A74D1"/>
    <w:rsid w:val="562E04CB"/>
    <w:rsid w:val="56493E35"/>
    <w:rsid w:val="57263CA9"/>
    <w:rsid w:val="57283E0B"/>
    <w:rsid w:val="57446B8A"/>
    <w:rsid w:val="574A1DC1"/>
    <w:rsid w:val="57AD0648"/>
    <w:rsid w:val="57C00B06"/>
    <w:rsid w:val="57CC0FC7"/>
    <w:rsid w:val="57D142CB"/>
    <w:rsid w:val="58021570"/>
    <w:rsid w:val="580E5197"/>
    <w:rsid w:val="580E5F8B"/>
    <w:rsid w:val="5831455A"/>
    <w:rsid w:val="583302DE"/>
    <w:rsid w:val="5863030F"/>
    <w:rsid w:val="58B07A56"/>
    <w:rsid w:val="58EB5652"/>
    <w:rsid w:val="5906339C"/>
    <w:rsid w:val="5915699E"/>
    <w:rsid w:val="592616D2"/>
    <w:rsid w:val="59271CAD"/>
    <w:rsid w:val="59341B00"/>
    <w:rsid w:val="594971F2"/>
    <w:rsid w:val="59675475"/>
    <w:rsid w:val="59DE0E81"/>
    <w:rsid w:val="59F55223"/>
    <w:rsid w:val="59FF35B4"/>
    <w:rsid w:val="5A04705D"/>
    <w:rsid w:val="5A166E71"/>
    <w:rsid w:val="5ADD269A"/>
    <w:rsid w:val="5AE470AA"/>
    <w:rsid w:val="5AF24640"/>
    <w:rsid w:val="5B301727"/>
    <w:rsid w:val="5B43489A"/>
    <w:rsid w:val="5B5A5DEF"/>
    <w:rsid w:val="5B5B5F60"/>
    <w:rsid w:val="5B7C7236"/>
    <w:rsid w:val="5BC56904"/>
    <w:rsid w:val="5C0A6E8C"/>
    <w:rsid w:val="5C49101A"/>
    <w:rsid w:val="5C7C4F46"/>
    <w:rsid w:val="5C99566E"/>
    <w:rsid w:val="5CC12CE7"/>
    <w:rsid w:val="5CEC2D02"/>
    <w:rsid w:val="5D0B2E0C"/>
    <w:rsid w:val="5D2353DA"/>
    <w:rsid w:val="5D345E60"/>
    <w:rsid w:val="5D676DDA"/>
    <w:rsid w:val="5D8F31C2"/>
    <w:rsid w:val="5DF034C7"/>
    <w:rsid w:val="5E1E7C25"/>
    <w:rsid w:val="5E226DA4"/>
    <w:rsid w:val="5E2D7BEC"/>
    <w:rsid w:val="5E340A9B"/>
    <w:rsid w:val="5E364A4E"/>
    <w:rsid w:val="5E417989"/>
    <w:rsid w:val="5E864FB9"/>
    <w:rsid w:val="5EBC3A41"/>
    <w:rsid w:val="5EFD567F"/>
    <w:rsid w:val="5F6D531F"/>
    <w:rsid w:val="5FAE2505"/>
    <w:rsid w:val="5FE00EBE"/>
    <w:rsid w:val="60056797"/>
    <w:rsid w:val="604B177D"/>
    <w:rsid w:val="608E5A3C"/>
    <w:rsid w:val="60D04B7D"/>
    <w:rsid w:val="61094D40"/>
    <w:rsid w:val="613872F0"/>
    <w:rsid w:val="614172DE"/>
    <w:rsid w:val="6160574F"/>
    <w:rsid w:val="61F31F12"/>
    <w:rsid w:val="62447F52"/>
    <w:rsid w:val="62E35058"/>
    <w:rsid w:val="633C39DB"/>
    <w:rsid w:val="636A546F"/>
    <w:rsid w:val="63AD6B42"/>
    <w:rsid w:val="640B738B"/>
    <w:rsid w:val="6424573C"/>
    <w:rsid w:val="642A353F"/>
    <w:rsid w:val="6452139E"/>
    <w:rsid w:val="64A96F10"/>
    <w:rsid w:val="64B660F0"/>
    <w:rsid w:val="64C214D6"/>
    <w:rsid w:val="64E55418"/>
    <w:rsid w:val="64E66433"/>
    <w:rsid w:val="64F17313"/>
    <w:rsid w:val="64F330AD"/>
    <w:rsid w:val="64F94A40"/>
    <w:rsid w:val="6511265D"/>
    <w:rsid w:val="651C4271"/>
    <w:rsid w:val="65A93AD5"/>
    <w:rsid w:val="65C23FA5"/>
    <w:rsid w:val="661A55F3"/>
    <w:rsid w:val="662B3EC2"/>
    <w:rsid w:val="664D7E66"/>
    <w:rsid w:val="6676066F"/>
    <w:rsid w:val="66B25BAB"/>
    <w:rsid w:val="678A56CC"/>
    <w:rsid w:val="67DD2D7C"/>
    <w:rsid w:val="67FF0980"/>
    <w:rsid w:val="6808013C"/>
    <w:rsid w:val="6837444B"/>
    <w:rsid w:val="68490BA5"/>
    <w:rsid w:val="6872092B"/>
    <w:rsid w:val="68A320F0"/>
    <w:rsid w:val="68B038E6"/>
    <w:rsid w:val="68C10A03"/>
    <w:rsid w:val="691702F9"/>
    <w:rsid w:val="692E7F1E"/>
    <w:rsid w:val="69430A4C"/>
    <w:rsid w:val="69836A41"/>
    <w:rsid w:val="699423CB"/>
    <w:rsid w:val="69FD635D"/>
    <w:rsid w:val="6A242849"/>
    <w:rsid w:val="6A3D4E61"/>
    <w:rsid w:val="6AC53330"/>
    <w:rsid w:val="6ADF78E5"/>
    <w:rsid w:val="6B0B3C2C"/>
    <w:rsid w:val="6B1348BC"/>
    <w:rsid w:val="6B6D3E7B"/>
    <w:rsid w:val="6B7874F8"/>
    <w:rsid w:val="6B8D0D02"/>
    <w:rsid w:val="6BCD5CB2"/>
    <w:rsid w:val="6C1E3F43"/>
    <w:rsid w:val="6C7C2B89"/>
    <w:rsid w:val="6CB30AE5"/>
    <w:rsid w:val="6CDE2FDC"/>
    <w:rsid w:val="6DA86A73"/>
    <w:rsid w:val="6E2250C2"/>
    <w:rsid w:val="6E251458"/>
    <w:rsid w:val="6E571BF3"/>
    <w:rsid w:val="6E5C309F"/>
    <w:rsid w:val="6E92338D"/>
    <w:rsid w:val="6E934224"/>
    <w:rsid w:val="6EA50F15"/>
    <w:rsid w:val="6F1218C9"/>
    <w:rsid w:val="6F35142D"/>
    <w:rsid w:val="6FE10C9C"/>
    <w:rsid w:val="70257F20"/>
    <w:rsid w:val="70375E28"/>
    <w:rsid w:val="704A5C24"/>
    <w:rsid w:val="705404D0"/>
    <w:rsid w:val="70593DDE"/>
    <w:rsid w:val="70A16AEC"/>
    <w:rsid w:val="70DF5DB7"/>
    <w:rsid w:val="71134033"/>
    <w:rsid w:val="711D1701"/>
    <w:rsid w:val="714C76AF"/>
    <w:rsid w:val="714D2E86"/>
    <w:rsid w:val="722660A2"/>
    <w:rsid w:val="72401A80"/>
    <w:rsid w:val="7298562B"/>
    <w:rsid w:val="72CA2166"/>
    <w:rsid w:val="72D46DF2"/>
    <w:rsid w:val="73047240"/>
    <w:rsid w:val="730C3D48"/>
    <w:rsid w:val="736C596F"/>
    <w:rsid w:val="738C0D7B"/>
    <w:rsid w:val="739A5FC5"/>
    <w:rsid w:val="74125278"/>
    <w:rsid w:val="744A3547"/>
    <w:rsid w:val="744C5512"/>
    <w:rsid w:val="7474619D"/>
    <w:rsid w:val="74B01946"/>
    <w:rsid w:val="7500127F"/>
    <w:rsid w:val="75435570"/>
    <w:rsid w:val="755639B1"/>
    <w:rsid w:val="755F737C"/>
    <w:rsid w:val="75F45394"/>
    <w:rsid w:val="76087494"/>
    <w:rsid w:val="762320E0"/>
    <w:rsid w:val="762F0AE9"/>
    <w:rsid w:val="765E373E"/>
    <w:rsid w:val="76912AA8"/>
    <w:rsid w:val="76936197"/>
    <w:rsid w:val="769F27A5"/>
    <w:rsid w:val="76CA7A83"/>
    <w:rsid w:val="76F747F8"/>
    <w:rsid w:val="77DA4BE2"/>
    <w:rsid w:val="77E122CA"/>
    <w:rsid w:val="77F426DE"/>
    <w:rsid w:val="79A45903"/>
    <w:rsid w:val="79AB3A2C"/>
    <w:rsid w:val="79AD4916"/>
    <w:rsid w:val="79F3ADC5"/>
    <w:rsid w:val="7A2D6D03"/>
    <w:rsid w:val="7A604F75"/>
    <w:rsid w:val="7AF244C2"/>
    <w:rsid w:val="7B3922D8"/>
    <w:rsid w:val="7B711426"/>
    <w:rsid w:val="7C2B1938"/>
    <w:rsid w:val="7C8313D5"/>
    <w:rsid w:val="7CB1637A"/>
    <w:rsid w:val="7CD82575"/>
    <w:rsid w:val="7D033D2B"/>
    <w:rsid w:val="7D0564AB"/>
    <w:rsid w:val="7D5052A6"/>
    <w:rsid w:val="7DE50961"/>
    <w:rsid w:val="7E21015C"/>
    <w:rsid w:val="7E813419"/>
    <w:rsid w:val="7EF3340F"/>
    <w:rsid w:val="7F0204F0"/>
    <w:rsid w:val="7F106C3A"/>
    <w:rsid w:val="7F405F57"/>
    <w:rsid w:val="7F810CD7"/>
    <w:rsid w:val="7FAF1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qFormat="1" w:unhideWhenUsed="0" w:uiPriority="39" w:semiHidden="0" w:name="toc 1"/>
    <w:lsdException w:qFormat="1" w:unhideWhenUsed="0" w:uiPriority="0" w:semiHidden="0" w:name="toc 2"/>
    <w:lsdException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nhideWhenUsed="0" w:uiPriority="0" w:semiHidden="0"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qFormat="1" w:unhideWhenUsed="0" w:uiPriority="0"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qFormat="1"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51"/>
    <w:qFormat/>
    <w:uiPriority w:val="9"/>
    <w:pPr>
      <w:keepNext/>
      <w:keepLines/>
      <w:spacing w:before="340" w:after="330" w:line="578" w:lineRule="auto"/>
      <w:jc w:val="center"/>
      <w:outlineLvl w:val="0"/>
    </w:pPr>
    <w:rPr>
      <w:rFonts w:eastAsia="仿宋_GB2312"/>
      <w:b/>
      <w:bCs/>
      <w:kern w:val="44"/>
      <w:sz w:val="44"/>
      <w:szCs w:val="44"/>
    </w:rPr>
  </w:style>
  <w:style w:type="paragraph" w:styleId="2">
    <w:name w:val="heading 2"/>
    <w:basedOn w:val="1"/>
    <w:next w:val="1"/>
    <w:link w:val="86"/>
    <w:qFormat/>
    <w:uiPriority w:val="9"/>
    <w:pPr>
      <w:keepNext/>
      <w:keepLines/>
      <w:spacing w:before="260" w:after="260" w:line="400" w:lineRule="exact"/>
      <w:outlineLvl w:val="1"/>
    </w:pPr>
    <w:rPr>
      <w:rFonts w:ascii="Arial" w:hAnsi="Arial" w:eastAsia="黑体"/>
      <w:b/>
      <w:bCs/>
      <w:sz w:val="24"/>
      <w:szCs w:val="32"/>
    </w:rPr>
  </w:style>
  <w:style w:type="paragraph" w:styleId="4">
    <w:name w:val="heading 3"/>
    <w:basedOn w:val="1"/>
    <w:next w:val="1"/>
    <w:link w:val="62"/>
    <w:qFormat/>
    <w:uiPriority w:val="9"/>
    <w:pPr>
      <w:keepNext/>
      <w:keepLines/>
      <w:spacing w:before="260" w:after="260" w:line="416" w:lineRule="auto"/>
      <w:outlineLvl w:val="2"/>
    </w:pPr>
    <w:rPr>
      <w:b/>
      <w:bCs/>
      <w:sz w:val="32"/>
      <w:szCs w:val="32"/>
    </w:rPr>
  </w:style>
  <w:style w:type="paragraph" w:styleId="5">
    <w:name w:val="heading 4"/>
    <w:basedOn w:val="1"/>
    <w:next w:val="1"/>
    <w:link w:val="129"/>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7"/>
    <w:link w:val="130"/>
    <w:qFormat/>
    <w:uiPriority w:val="9"/>
    <w:pPr>
      <w:keepNext/>
      <w:keepLines/>
      <w:numPr>
        <w:ilvl w:val="4"/>
        <w:numId w:val="1"/>
      </w:numPr>
      <w:spacing w:before="280" w:after="290" w:line="376" w:lineRule="auto"/>
      <w:outlineLvl w:val="4"/>
    </w:pPr>
    <w:rPr>
      <w:b/>
      <w:sz w:val="28"/>
    </w:rPr>
  </w:style>
  <w:style w:type="paragraph" w:styleId="8">
    <w:name w:val="heading 6"/>
    <w:basedOn w:val="1"/>
    <w:next w:val="7"/>
    <w:link w:val="131"/>
    <w:qFormat/>
    <w:uiPriority w:val="9"/>
    <w:pPr>
      <w:keepNext/>
      <w:keepLines/>
      <w:numPr>
        <w:ilvl w:val="5"/>
        <w:numId w:val="1"/>
      </w:numPr>
      <w:spacing w:before="240" w:after="64" w:line="320" w:lineRule="auto"/>
      <w:outlineLvl w:val="5"/>
    </w:pPr>
    <w:rPr>
      <w:rFonts w:ascii="Arial" w:hAnsi="Arial" w:eastAsia="黑体"/>
      <w:b/>
      <w:sz w:val="24"/>
    </w:rPr>
  </w:style>
  <w:style w:type="paragraph" w:styleId="9">
    <w:name w:val="heading 7"/>
    <w:basedOn w:val="1"/>
    <w:next w:val="7"/>
    <w:link w:val="132"/>
    <w:qFormat/>
    <w:uiPriority w:val="9"/>
    <w:pPr>
      <w:keepNext/>
      <w:keepLines/>
      <w:numPr>
        <w:ilvl w:val="6"/>
        <w:numId w:val="1"/>
      </w:numPr>
      <w:spacing w:before="240" w:after="64" w:line="320" w:lineRule="auto"/>
      <w:outlineLvl w:val="6"/>
    </w:pPr>
    <w:rPr>
      <w:b/>
      <w:sz w:val="24"/>
    </w:rPr>
  </w:style>
  <w:style w:type="paragraph" w:styleId="10">
    <w:name w:val="heading 8"/>
    <w:basedOn w:val="1"/>
    <w:next w:val="7"/>
    <w:link w:val="133"/>
    <w:qFormat/>
    <w:uiPriority w:val="9"/>
    <w:pPr>
      <w:keepNext/>
      <w:keepLines/>
      <w:numPr>
        <w:ilvl w:val="7"/>
        <w:numId w:val="1"/>
      </w:numPr>
      <w:spacing w:before="240" w:after="64" w:line="320" w:lineRule="auto"/>
      <w:outlineLvl w:val="7"/>
    </w:pPr>
    <w:rPr>
      <w:rFonts w:ascii="Arial" w:hAnsi="Arial" w:eastAsia="黑体"/>
      <w:sz w:val="24"/>
    </w:rPr>
  </w:style>
  <w:style w:type="paragraph" w:styleId="11">
    <w:name w:val="heading 9"/>
    <w:basedOn w:val="1"/>
    <w:next w:val="7"/>
    <w:link w:val="134"/>
    <w:qFormat/>
    <w:uiPriority w:val="9"/>
    <w:pPr>
      <w:keepNext/>
      <w:keepLines/>
      <w:numPr>
        <w:ilvl w:val="8"/>
        <w:numId w:val="1"/>
      </w:numPr>
      <w:spacing w:before="240" w:after="64" w:line="320" w:lineRule="auto"/>
      <w:outlineLvl w:val="8"/>
    </w:pPr>
    <w:rPr>
      <w:rFonts w:ascii="Arial" w:hAnsi="Arial" w:eastAsia="黑体"/>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60"/>
    <w:qFormat/>
    <w:uiPriority w:val="0"/>
    <w:pPr>
      <w:ind w:firstLine="420"/>
    </w:pPr>
    <w:rPr>
      <w:szCs w:val="20"/>
    </w:rPr>
  </w:style>
  <w:style w:type="paragraph" w:styleId="12">
    <w:name w:val="index 8"/>
    <w:basedOn w:val="1"/>
    <w:next w:val="1"/>
    <w:unhideWhenUsed/>
    <w:qFormat/>
    <w:uiPriority w:val="99"/>
    <w:pPr>
      <w:ind w:left="1400" w:leftChars="1400"/>
    </w:pPr>
  </w:style>
  <w:style w:type="paragraph" w:styleId="13">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4">
    <w:name w:val="caption"/>
    <w:basedOn w:val="1"/>
    <w:next w:val="1"/>
    <w:qFormat/>
    <w:uiPriority w:val="35"/>
    <w:pPr>
      <w:spacing w:before="152" w:after="160"/>
    </w:pPr>
    <w:rPr>
      <w:rFonts w:ascii="Arial" w:hAnsi="Arial" w:eastAsia="黑体" w:cs="Arial"/>
      <w:sz w:val="20"/>
      <w:szCs w:val="20"/>
    </w:rPr>
  </w:style>
  <w:style w:type="paragraph" w:styleId="15">
    <w:name w:val="Document Map"/>
    <w:basedOn w:val="1"/>
    <w:link w:val="136"/>
    <w:qFormat/>
    <w:uiPriority w:val="99"/>
    <w:pPr>
      <w:shd w:val="clear" w:color="auto" w:fill="000080"/>
    </w:pPr>
  </w:style>
  <w:style w:type="paragraph" w:styleId="16">
    <w:name w:val="annotation text"/>
    <w:basedOn w:val="1"/>
    <w:link w:val="76"/>
    <w:qFormat/>
    <w:uiPriority w:val="99"/>
    <w:pPr>
      <w:jc w:val="left"/>
    </w:pPr>
  </w:style>
  <w:style w:type="paragraph" w:styleId="17">
    <w:name w:val="Body Text 3"/>
    <w:basedOn w:val="1"/>
    <w:qFormat/>
    <w:uiPriority w:val="0"/>
    <w:pPr>
      <w:spacing w:line="500" w:lineRule="exact"/>
    </w:pPr>
    <w:rPr>
      <w:b/>
      <w:bCs/>
      <w:sz w:val="24"/>
    </w:rPr>
  </w:style>
  <w:style w:type="paragraph" w:styleId="18">
    <w:name w:val="Body Text"/>
    <w:basedOn w:val="1"/>
    <w:next w:val="19"/>
    <w:link w:val="137"/>
    <w:qFormat/>
    <w:uiPriority w:val="0"/>
    <w:pPr>
      <w:spacing w:line="380" w:lineRule="exact"/>
    </w:pPr>
    <w:rPr>
      <w:sz w:val="24"/>
    </w:rPr>
  </w:style>
  <w:style w:type="paragraph" w:styleId="19">
    <w:name w:val="Body Text 2"/>
    <w:basedOn w:val="1"/>
    <w:qFormat/>
    <w:uiPriority w:val="0"/>
    <w:pPr>
      <w:spacing w:after="120" w:line="480" w:lineRule="auto"/>
    </w:pPr>
  </w:style>
  <w:style w:type="paragraph" w:styleId="20">
    <w:name w:val="Body Text Indent"/>
    <w:basedOn w:val="1"/>
    <w:next w:val="1"/>
    <w:link w:val="69"/>
    <w:qFormat/>
    <w:uiPriority w:val="0"/>
    <w:pPr>
      <w:ind w:firstLine="830" w:firstLineChars="352"/>
    </w:pPr>
    <w:rPr>
      <w:rFonts w:ascii="仿宋_GB2312" w:eastAsia="仿宋_GB2312"/>
      <w:sz w:val="32"/>
      <w:szCs w:val="20"/>
    </w:rPr>
  </w:style>
  <w:style w:type="paragraph" w:styleId="21">
    <w:name w:val="List Number 3"/>
    <w:basedOn w:val="1"/>
    <w:qFormat/>
    <w:uiPriority w:val="0"/>
    <w:pPr>
      <w:numPr>
        <w:ilvl w:val="0"/>
        <w:numId w:val="1"/>
      </w:numPr>
    </w:pPr>
  </w:style>
  <w:style w:type="paragraph" w:styleId="22">
    <w:name w:val="List 2"/>
    <w:basedOn w:val="1"/>
    <w:qFormat/>
    <w:uiPriority w:val="0"/>
    <w:pPr>
      <w:ind w:left="100" w:leftChars="200" w:hanging="200" w:hangingChars="200"/>
    </w:pPr>
    <w:rPr>
      <w:sz w:val="28"/>
    </w:rPr>
  </w:style>
  <w:style w:type="paragraph" w:styleId="23">
    <w:name w:val="Plain Text"/>
    <w:basedOn w:val="1"/>
    <w:next w:val="12"/>
    <w:link w:val="56"/>
    <w:qFormat/>
    <w:uiPriority w:val="0"/>
    <w:rPr>
      <w:rFonts w:ascii="宋体" w:hAnsi="Courier New" w:cs="Courier New"/>
      <w:szCs w:val="21"/>
    </w:rPr>
  </w:style>
  <w:style w:type="paragraph" w:styleId="24">
    <w:name w:val="Date"/>
    <w:basedOn w:val="1"/>
    <w:next w:val="1"/>
    <w:qFormat/>
    <w:uiPriority w:val="0"/>
    <w:pPr>
      <w:ind w:left="100" w:leftChars="2500"/>
    </w:pPr>
    <w:rPr>
      <w:rFonts w:ascii="宋体" w:hAnsi="Courier New" w:cs="Courier New"/>
      <w:szCs w:val="21"/>
    </w:rPr>
  </w:style>
  <w:style w:type="paragraph" w:styleId="25">
    <w:name w:val="Body Text Indent 2"/>
    <w:basedOn w:val="1"/>
    <w:qFormat/>
    <w:uiPriority w:val="0"/>
    <w:pPr>
      <w:ind w:firstLine="630"/>
    </w:pPr>
    <w:rPr>
      <w:sz w:val="32"/>
      <w:szCs w:val="20"/>
    </w:rPr>
  </w:style>
  <w:style w:type="paragraph" w:styleId="26">
    <w:name w:val="Balloon Text"/>
    <w:basedOn w:val="1"/>
    <w:link w:val="75"/>
    <w:qFormat/>
    <w:uiPriority w:val="99"/>
    <w:rPr>
      <w:sz w:val="18"/>
      <w:szCs w:val="18"/>
      <w:lang w:val="zh-CN"/>
    </w:rPr>
  </w:style>
  <w:style w:type="paragraph" w:styleId="27">
    <w:name w:val="footer"/>
    <w:basedOn w:val="1"/>
    <w:link w:val="71"/>
    <w:qFormat/>
    <w:uiPriority w:val="99"/>
    <w:pPr>
      <w:tabs>
        <w:tab w:val="center" w:pos="4153"/>
        <w:tab w:val="right" w:pos="8306"/>
      </w:tabs>
      <w:snapToGrid w:val="0"/>
      <w:jc w:val="left"/>
    </w:pPr>
    <w:rPr>
      <w:sz w:val="18"/>
      <w:szCs w:val="18"/>
      <w:lang w:val="zh-CN"/>
    </w:rPr>
  </w:style>
  <w:style w:type="paragraph" w:styleId="28">
    <w:name w:val="header"/>
    <w:basedOn w:val="1"/>
    <w:link w:val="73"/>
    <w:qFormat/>
    <w:uiPriority w:val="99"/>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style>
  <w:style w:type="paragraph" w:styleId="30">
    <w:name w:val="Subtitle"/>
    <w:basedOn w:val="1"/>
    <w:next w:val="1"/>
    <w:link w:val="74"/>
    <w:qFormat/>
    <w:uiPriority w:val="0"/>
    <w:pPr>
      <w:spacing w:line="312" w:lineRule="auto"/>
      <w:ind w:left="200" w:leftChars="200"/>
      <w:jc w:val="left"/>
      <w:outlineLvl w:val="1"/>
    </w:pPr>
    <w:rPr>
      <w:rFonts w:ascii="Cambria" w:hAnsi="Cambria"/>
      <w:b/>
      <w:bCs/>
      <w:kern w:val="28"/>
      <w:sz w:val="28"/>
      <w:szCs w:val="32"/>
    </w:rPr>
  </w:style>
  <w:style w:type="paragraph" w:styleId="31">
    <w:name w:val="List"/>
    <w:basedOn w:val="1"/>
    <w:qFormat/>
    <w:uiPriority w:val="0"/>
    <w:pPr>
      <w:ind w:left="200" w:hanging="200" w:hangingChars="200"/>
    </w:pPr>
    <w:rPr>
      <w:sz w:val="28"/>
    </w:r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1"/>
    <w:qFormat/>
    <w:uiPriority w:val="0"/>
    <w:pPr>
      <w:ind w:left="560" w:leftChars="200" w:firstLine="0" w:firstLineChars="0"/>
      <w:jc w:val="left"/>
    </w:pPr>
    <w:rPr>
      <w:rFonts w:ascii="Calibri" w:hAnsi="Calibri" w:eastAsia="宋体" w:cs="Times New Roman"/>
      <w:b/>
      <w:bCs/>
      <w:smallCaps/>
      <w:sz w:val="22"/>
      <w:szCs w:val="22"/>
    </w:rPr>
  </w:style>
  <w:style w:type="paragraph" w:styleId="3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5">
    <w:name w:val="Normal (Web)"/>
    <w:basedOn w:val="1"/>
    <w:qFormat/>
    <w:uiPriority w:val="0"/>
    <w:pPr>
      <w:widowControl/>
      <w:spacing w:before="100" w:beforeAutospacing="1" w:after="100" w:afterAutospacing="1"/>
      <w:jc w:val="left"/>
    </w:pPr>
    <w:rPr>
      <w:rFonts w:ascii="宋体" w:hAnsi="宋体"/>
      <w:kern w:val="0"/>
      <w:sz w:val="24"/>
    </w:rPr>
  </w:style>
  <w:style w:type="paragraph" w:styleId="36">
    <w:name w:val="index 1"/>
    <w:basedOn w:val="1"/>
    <w:next w:val="1"/>
    <w:semiHidden/>
    <w:qFormat/>
    <w:uiPriority w:val="0"/>
    <w:pPr>
      <w:spacing w:line="400" w:lineRule="exact"/>
      <w:ind w:firstLine="420" w:firstLineChars="200"/>
    </w:pPr>
    <w:rPr>
      <w:rFonts w:ascii="宋体" w:hAnsi="Courier New"/>
      <w:b/>
      <w:szCs w:val="20"/>
    </w:rPr>
  </w:style>
  <w:style w:type="paragraph" w:styleId="37">
    <w:name w:val="annotation subject"/>
    <w:basedOn w:val="16"/>
    <w:next w:val="16"/>
    <w:link w:val="87"/>
    <w:qFormat/>
    <w:uiPriority w:val="0"/>
    <w:rPr>
      <w:b/>
      <w:bCs/>
    </w:rPr>
  </w:style>
  <w:style w:type="paragraph" w:styleId="38">
    <w:name w:val="Body Text First Indent"/>
    <w:basedOn w:val="18"/>
    <w:qFormat/>
    <w:uiPriority w:val="0"/>
    <w:pPr>
      <w:ind w:firstLine="420" w:firstLineChars="100"/>
    </w:pPr>
    <w:rPr>
      <w:rFonts w:ascii="宋体"/>
      <w:sz w:val="21"/>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qFormat/>
    <w:uiPriority w:val="0"/>
    <w:rPr>
      <w:rFonts w:ascii="Times New Roman" w:hAnsi="Times New Roman" w:eastAsia="宋体" w:cs="Times New Roman"/>
      <w:b/>
      <w:bCs/>
    </w:rPr>
  </w:style>
  <w:style w:type="character" w:styleId="43">
    <w:name w:val="page number"/>
    <w:qFormat/>
    <w:uiPriority w:val="0"/>
    <w:rPr>
      <w:rFonts w:ascii="Times New Roman" w:hAnsi="Times New Roman" w:eastAsia="宋体" w:cs="Times New Roman"/>
    </w:rPr>
  </w:style>
  <w:style w:type="character" w:styleId="44">
    <w:name w:val="FollowedHyperlink"/>
    <w:basedOn w:val="41"/>
    <w:unhideWhenUsed/>
    <w:qFormat/>
    <w:uiPriority w:val="99"/>
    <w:rPr>
      <w:color w:val="954F72" w:themeColor="followedHyperlink"/>
      <w:u w:val="single"/>
      <w14:textFill>
        <w14:solidFill>
          <w14:schemeClr w14:val="folHlink"/>
        </w14:solidFill>
      </w14:textFill>
    </w:rPr>
  </w:style>
  <w:style w:type="character" w:styleId="45">
    <w:name w:val="Emphasis"/>
    <w:qFormat/>
    <w:uiPriority w:val="0"/>
    <w:rPr>
      <w:rFonts w:ascii="Times New Roman" w:hAnsi="Times New Roman" w:eastAsia="宋体" w:cs="Times New Roman"/>
      <w:color w:val="CC0033"/>
    </w:rPr>
  </w:style>
  <w:style w:type="character" w:styleId="46">
    <w:name w:val="Hyperlink"/>
    <w:qFormat/>
    <w:uiPriority w:val="99"/>
    <w:rPr>
      <w:rFonts w:ascii="Times New Roman" w:hAnsi="Times New Roman" w:eastAsia="宋体" w:cs="Times New Roman"/>
      <w:color w:val="0000FF"/>
      <w:u w:val="single"/>
    </w:rPr>
  </w:style>
  <w:style w:type="character" w:styleId="47">
    <w:name w:val="annotation reference"/>
    <w:qFormat/>
    <w:uiPriority w:val="0"/>
    <w:rPr>
      <w:rFonts w:ascii="Times New Roman" w:hAnsi="Times New Roman" w:eastAsia="宋体" w:cs="Times New Roman"/>
      <w:sz w:val="21"/>
      <w:szCs w:val="21"/>
    </w:rPr>
  </w:style>
  <w:style w:type="character" w:styleId="48">
    <w:name w:val="HTML Sample"/>
    <w:basedOn w:val="41"/>
    <w:semiHidden/>
    <w:unhideWhenUsed/>
    <w:qFormat/>
    <w:uiPriority w:val="99"/>
    <w:rPr>
      <w:rFonts w:ascii="Courier New" w:hAnsi="Courier New"/>
    </w:rPr>
  </w:style>
  <w:style w:type="character" w:customStyle="1" w:styleId="49">
    <w:name w:val="font21"/>
    <w:qFormat/>
    <w:uiPriority w:val="0"/>
    <w:rPr>
      <w:rFonts w:hint="eastAsia" w:ascii="宋体" w:hAnsi="宋体" w:eastAsia="宋体" w:cs="宋体"/>
      <w:color w:val="000000"/>
      <w:sz w:val="20"/>
      <w:szCs w:val="20"/>
    </w:rPr>
  </w:style>
  <w:style w:type="character" w:customStyle="1" w:styleId="50">
    <w:name w:val="st1"/>
    <w:qFormat/>
    <w:uiPriority w:val="0"/>
    <w:rPr>
      <w:rFonts w:ascii="Times New Roman" w:hAnsi="Times New Roman" w:eastAsia="宋体" w:cs="Times New Roman"/>
    </w:rPr>
  </w:style>
  <w:style w:type="character" w:customStyle="1" w:styleId="51">
    <w:name w:val="标题 1 字符"/>
    <w:link w:val="3"/>
    <w:qFormat/>
    <w:uiPriority w:val="9"/>
    <w:rPr>
      <w:rFonts w:ascii="Times New Roman" w:hAnsi="Times New Roman" w:eastAsia="仿宋_GB2312" w:cs="Times New Roman"/>
      <w:b/>
      <w:bCs/>
      <w:kern w:val="44"/>
      <w:sz w:val="44"/>
      <w:szCs w:val="44"/>
      <w:lang w:val="en-US" w:eastAsia="zh-CN" w:bidi="ar-SA"/>
    </w:rPr>
  </w:style>
  <w:style w:type="character" w:customStyle="1" w:styleId="52">
    <w:name w:val="ca-2"/>
    <w:qFormat/>
    <w:uiPriority w:val="0"/>
    <w:rPr>
      <w:rFonts w:ascii="Times New Roman" w:hAnsi="Times New Roman" w:eastAsia="宋体" w:cs="Times New Roman"/>
    </w:rPr>
  </w:style>
  <w:style w:type="character" w:customStyle="1" w:styleId="53">
    <w:name w:val="H1 Char"/>
    <w:qFormat/>
    <w:uiPriority w:val="0"/>
    <w:rPr>
      <w:rFonts w:ascii="Times New Roman" w:hAnsi="Times New Roman" w:eastAsia="仿宋_GB2312" w:cs="Times New Roman"/>
      <w:b/>
      <w:bCs/>
      <w:kern w:val="44"/>
      <w:sz w:val="44"/>
      <w:szCs w:val="44"/>
      <w:lang w:val="en-US" w:eastAsia="zh-CN" w:bidi="ar-SA"/>
    </w:rPr>
  </w:style>
  <w:style w:type="character" w:customStyle="1" w:styleId="54">
    <w:name w:val="1ji Char"/>
    <w:link w:val="55"/>
    <w:qFormat/>
    <w:uiPriority w:val="0"/>
    <w:rPr>
      <w:rFonts w:ascii="宋体" w:hAnsi="宋体" w:eastAsia="仿宋_GB2312" w:cs="Times New Roman"/>
      <w:b/>
      <w:bCs/>
      <w:kern w:val="44"/>
      <w:sz w:val="36"/>
      <w:szCs w:val="44"/>
      <w:lang w:val="en-US" w:eastAsia="zh-CN" w:bidi="ar-SA"/>
    </w:rPr>
  </w:style>
  <w:style w:type="paragraph" w:customStyle="1" w:styleId="55">
    <w:name w:val="1ji"/>
    <w:basedOn w:val="3"/>
    <w:link w:val="54"/>
    <w:qFormat/>
    <w:uiPriority w:val="0"/>
    <w:pPr>
      <w:keepLines w:val="0"/>
      <w:widowControl/>
      <w:spacing w:before="0" w:after="0" w:line="240" w:lineRule="auto"/>
    </w:pPr>
    <w:rPr>
      <w:rFonts w:ascii="宋体" w:hAnsi="宋体"/>
      <w:sz w:val="36"/>
    </w:rPr>
  </w:style>
  <w:style w:type="character" w:customStyle="1" w:styleId="56">
    <w:name w:val="纯文本 字符"/>
    <w:link w:val="23"/>
    <w:qFormat/>
    <w:uiPriority w:val="0"/>
    <w:rPr>
      <w:rFonts w:ascii="宋体" w:hAnsi="Courier New" w:eastAsia="宋体" w:cs="Courier New"/>
      <w:kern w:val="2"/>
      <w:sz w:val="21"/>
      <w:szCs w:val="21"/>
      <w:lang w:val="en-US" w:eastAsia="zh-CN" w:bidi="ar-SA"/>
    </w:rPr>
  </w:style>
  <w:style w:type="character" w:customStyle="1" w:styleId="57">
    <w:name w:val="font41"/>
    <w:qFormat/>
    <w:uiPriority w:val="0"/>
    <w:rPr>
      <w:rFonts w:hint="default" w:ascii="Times New Roman" w:hAnsi="Times New Roman" w:eastAsia="宋体" w:cs="Times New Roman"/>
      <w:color w:val="000000"/>
      <w:sz w:val="20"/>
      <w:szCs w:val="20"/>
    </w:rPr>
  </w:style>
  <w:style w:type="character" w:customStyle="1" w:styleId="58">
    <w:name w:val="font31"/>
    <w:qFormat/>
    <w:uiPriority w:val="0"/>
    <w:rPr>
      <w:rFonts w:hint="default" w:ascii="Times New Roman" w:hAnsi="Times New Roman" w:eastAsia="宋体" w:cs="Times New Roman"/>
      <w:color w:val="000000"/>
      <w:sz w:val="20"/>
      <w:szCs w:val="20"/>
    </w:rPr>
  </w:style>
  <w:style w:type="character" w:customStyle="1" w:styleId="59">
    <w:name w:val="apple-style-span"/>
    <w:qFormat/>
    <w:uiPriority w:val="0"/>
    <w:rPr>
      <w:rFonts w:ascii="Times New Roman" w:hAnsi="Times New Roman" w:eastAsia="宋体" w:cs="Times New Roman"/>
    </w:rPr>
  </w:style>
  <w:style w:type="character" w:customStyle="1" w:styleId="60">
    <w:name w:val="正文缩进 字符"/>
    <w:link w:val="7"/>
    <w:qFormat/>
    <w:uiPriority w:val="0"/>
    <w:rPr>
      <w:rFonts w:ascii="Times New Roman" w:hAnsi="Times New Roman" w:eastAsia="宋体" w:cs="Times New Roman"/>
      <w:kern w:val="2"/>
      <w:sz w:val="21"/>
      <w:lang w:val="en-US" w:eastAsia="zh-CN" w:bidi="ar-SA"/>
    </w:rPr>
  </w:style>
  <w:style w:type="character" w:customStyle="1" w:styleId="61">
    <w:name w:val="font51"/>
    <w:qFormat/>
    <w:uiPriority w:val="0"/>
    <w:rPr>
      <w:rFonts w:hint="default" w:ascii="Times New Roman" w:hAnsi="Times New Roman" w:eastAsia="宋体" w:cs="Times New Roman"/>
      <w:color w:val="000000"/>
      <w:sz w:val="20"/>
      <w:szCs w:val="20"/>
    </w:rPr>
  </w:style>
  <w:style w:type="character" w:customStyle="1" w:styleId="62">
    <w:name w:val="标题 3 字符"/>
    <w:link w:val="4"/>
    <w:qFormat/>
    <w:uiPriority w:val="9"/>
    <w:rPr>
      <w:rFonts w:ascii="Times New Roman" w:hAnsi="Times New Roman" w:eastAsia="宋体" w:cs="Times New Roman"/>
      <w:b/>
      <w:bCs/>
      <w:kern w:val="2"/>
      <w:sz w:val="32"/>
      <w:szCs w:val="32"/>
      <w:lang w:val="en-US" w:eastAsia="zh-CN" w:bidi="ar-SA"/>
    </w:rPr>
  </w:style>
  <w:style w:type="character" w:customStyle="1" w:styleId="63">
    <w:name w:val="apple-converted-space"/>
    <w:qFormat/>
    <w:uiPriority w:val="0"/>
    <w:rPr>
      <w:rFonts w:ascii="Times New Roman" w:hAnsi="Times New Roman" w:eastAsia="宋体" w:cs="Times New Roman"/>
    </w:rPr>
  </w:style>
  <w:style w:type="character" w:customStyle="1" w:styleId="64">
    <w:name w:val="Header Char"/>
    <w:qFormat/>
    <w:uiPriority w:val="0"/>
    <w:rPr>
      <w:rFonts w:ascii="Calibri" w:hAnsi="Calibri" w:eastAsia="宋体" w:cs="Times New Roman"/>
      <w:kern w:val="2"/>
      <w:sz w:val="18"/>
      <w:szCs w:val="18"/>
      <w:lang w:val="en-US" w:eastAsia="zh-CN" w:bidi="ar-SA"/>
    </w:rPr>
  </w:style>
  <w:style w:type="character" w:customStyle="1" w:styleId="65">
    <w:name w:val="Footer Char"/>
    <w:qFormat/>
    <w:uiPriority w:val="0"/>
    <w:rPr>
      <w:rFonts w:ascii="Calibri" w:hAnsi="Calibri" w:eastAsia="宋体" w:cs="Times New Roman"/>
      <w:kern w:val="2"/>
      <w:sz w:val="18"/>
      <w:szCs w:val="18"/>
      <w:lang w:val="en-US" w:eastAsia="zh-CN" w:bidi="ar-SA"/>
    </w:rPr>
  </w:style>
  <w:style w:type="character" w:customStyle="1" w:styleId="66">
    <w:name w:val="Plain Text Char"/>
    <w:qFormat/>
    <w:uiPriority w:val="0"/>
    <w:rPr>
      <w:rFonts w:ascii="宋体" w:hAnsi="Courier New" w:eastAsia="宋体" w:cs="Times New Roman"/>
      <w:lang w:bidi="ar-SA"/>
    </w:rPr>
  </w:style>
  <w:style w:type="character" w:customStyle="1" w:styleId="67">
    <w:name w:val="普通文字 Char Char3"/>
    <w:qFormat/>
    <w:uiPriority w:val="0"/>
    <w:rPr>
      <w:rFonts w:ascii="宋体" w:hAnsi="Times New Roman" w:eastAsia="宋体" w:cs="Courier New"/>
      <w:kern w:val="2"/>
      <w:sz w:val="21"/>
      <w:szCs w:val="21"/>
      <w:lang w:val="en-US" w:eastAsia="zh-CN" w:bidi="ar-SA"/>
    </w:rPr>
  </w:style>
  <w:style w:type="character" w:customStyle="1" w:styleId="68">
    <w:name w:val="样式 正文 +"/>
    <w:qFormat/>
    <w:uiPriority w:val="0"/>
    <w:rPr>
      <w:rFonts w:ascii="Times New Roman" w:hAnsi="Times New Roman" w:eastAsia="宋体" w:cs="Times New Roman"/>
      <w:kern w:val="0"/>
      <w:sz w:val="28"/>
    </w:rPr>
  </w:style>
  <w:style w:type="character" w:customStyle="1" w:styleId="69">
    <w:name w:val="正文文本缩进 字符"/>
    <w:link w:val="20"/>
    <w:qFormat/>
    <w:uiPriority w:val="0"/>
    <w:rPr>
      <w:rFonts w:ascii="仿宋_GB2312" w:hAnsi="Times New Roman" w:eastAsia="仿宋_GB2312" w:cs="Times New Roman"/>
      <w:kern w:val="2"/>
      <w:sz w:val="32"/>
      <w:lang w:val="en-US" w:eastAsia="zh-CN" w:bidi="ar-SA"/>
    </w:rPr>
  </w:style>
  <w:style w:type="character" w:customStyle="1" w:styleId="70">
    <w:name w:val="普通文字 Char Char2"/>
    <w:qFormat/>
    <w:uiPriority w:val="0"/>
    <w:rPr>
      <w:rFonts w:ascii="宋体" w:hAnsi="Courier New" w:eastAsia="宋体" w:cs="Times New Roman"/>
      <w:kern w:val="2"/>
      <w:sz w:val="21"/>
      <w:lang w:val="en-US" w:eastAsia="zh-CN" w:bidi="ar-SA"/>
    </w:rPr>
  </w:style>
  <w:style w:type="character" w:customStyle="1" w:styleId="71">
    <w:name w:val="页脚 字符"/>
    <w:link w:val="27"/>
    <w:qFormat/>
    <w:uiPriority w:val="99"/>
    <w:rPr>
      <w:rFonts w:ascii="Times New Roman" w:hAnsi="Times New Roman" w:eastAsia="宋体" w:cs="Times New Roman"/>
      <w:kern w:val="2"/>
      <w:sz w:val="18"/>
      <w:szCs w:val="18"/>
    </w:rPr>
  </w:style>
  <w:style w:type="character" w:customStyle="1" w:styleId="72">
    <w:name w:val="样式 宋体 小四"/>
    <w:qFormat/>
    <w:uiPriority w:val="0"/>
    <w:rPr>
      <w:rFonts w:ascii="宋体" w:hAnsi="宋体" w:eastAsia="宋体" w:cs="Times New Roman"/>
      <w:sz w:val="24"/>
    </w:rPr>
  </w:style>
  <w:style w:type="character" w:customStyle="1" w:styleId="73">
    <w:name w:val="页眉 字符"/>
    <w:link w:val="28"/>
    <w:qFormat/>
    <w:uiPriority w:val="99"/>
    <w:rPr>
      <w:rFonts w:ascii="Times New Roman" w:hAnsi="Times New Roman" w:eastAsia="宋体" w:cs="Times New Roman"/>
      <w:kern w:val="2"/>
      <w:sz w:val="18"/>
      <w:szCs w:val="18"/>
      <w:lang w:val="en-US" w:eastAsia="zh-CN" w:bidi="ar-SA"/>
    </w:rPr>
  </w:style>
  <w:style w:type="character" w:customStyle="1" w:styleId="74">
    <w:name w:val="副标题 字符"/>
    <w:link w:val="30"/>
    <w:qFormat/>
    <w:uiPriority w:val="0"/>
    <w:rPr>
      <w:rFonts w:ascii="Cambria" w:hAnsi="Cambria" w:eastAsia="宋体" w:cs="Times New Roman"/>
      <w:b/>
      <w:bCs/>
      <w:kern w:val="28"/>
      <w:sz w:val="28"/>
      <w:szCs w:val="32"/>
      <w:lang w:val="en-US" w:eastAsia="zh-CN" w:bidi="ar-SA"/>
    </w:rPr>
  </w:style>
  <w:style w:type="character" w:customStyle="1" w:styleId="75">
    <w:name w:val="批注框文本 字符"/>
    <w:link w:val="26"/>
    <w:qFormat/>
    <w:uiPriority w:val="99"/>
    <w:rPr>
      <w:rFonts w:ascii="Times New Roman" w:hAnsi="Times New Roman" w:eastAsia="宋体" w:cs="Times New Roman"/>
      <w:kern w:val="2"/>
      <w:sz w:val="18"/>
      <w:szCs w:val="18"/>
    </w:rPr>
  </w:style>
  <w:style w:type="character" w:customStyle="1" w:styleId="76">
    <w:name w:val="批注文字 字符"/>
    <w:link w:val="16"/>
    <w:qFormat/>
    <w:uiPriority w:val="99"/>
    <w:rPr>
      <w:rFonts w:ascii="Times New Roman" w:hAnsi="Times New Roman" w:eastAsia="宋体" w:cs="Times New Roman"/>
      <w:kern w:val="2"/>
      <w:sz w:val="21"/>
      <w:szCs w:val="24"/>
      <w:lang w:val="en-US" w:eastAsia="zh-CN" w:bidi="ar-SA"/>
    </w:rPr>
  </w:style>
  <w:style w:type="character" w:customStyle="1" w:styleId="77">
    <w:name w:val="Char Char7"/>
    <w:qFormat/>
    <w:uiPriority w:val="0"/>
    <w:rPr>
      <w:rFonts w:ascii="Times New Roman" w:hAnsi="Times New Roman" w:eastAsia="仿宋_GB2312" w:cs="Times New Roman"/>
      <w:b/>
      <w:bCs/>
      <w:kern w:val="44"/>
      <w:sz w:val="44"/>
      <w:szCs w:val="44"/>
      <w:lang w:val="en-US" w:eastAsia="zh-CN" w:bidi="ar-SA"/>
    </w:rPr>
  </w:style>
  <w:style w:type="character" w:customStyle="1" w:styleId="78">
    <w:name w:val="ca-1"/>
    <w:qFormat/>
    <w:uiPriority w:val="0"/>
    <w:rPr>
      <w:rFonts w:ascii="Times New Roman" w:hAnsi="Times New Roman" w:eastAsia="宋体" w:cs="Times New Roman"/>
    </w:rPr>
  </w:style>
  <w:style w:type="character" w:customStyle="1" w:styleId="79">
    <w:name w:val="正文360首行缩进 Char"/>
    <w:link w:val="80"/>
    <w:qFormat/>
    <w:uiPriority w:val="0"/>
    <w:rPr>
      <w:rFonts w:ascii="Times New Roman" w:hAnsi="Times New Roman" w:eastAsia="宋体" w:cs="Times New Roman"/>
      <w:sz w:val="24"/>
      <w:szCs w:val="24"/>
    </w:rPr>
  </w:style>
  <w:style w:type="paragraph" w:customStyle="1" w:styleId="80">
    <w:name w:val="正文360首行缩进"/>
    <w:basedOn w:val="1"/>
    <w:link w:val="79"/>
    <w:qFormat/>
    <w:uiPriority w:val="0"/>
    <w:pPr>
      <w:widowControl/>
      <w:spacing w:before="120" w:line="300" w:lineRule="auto"/>
      <w:ind w:firstLine="200"/>
      <w:jc w:val="left"/>
    </w:pPr>
    <w:rPr>
      <w:kern w:val="0"/>
      <w:sz w:val="24"/>
    </w:rPr>
  </w:style>
  <w:style w:type="character" w:customStyle="1" w:styleId="81">
    <w:name w:val="List Paragraph Char"/>
    <w:link w:val="82"/>
    <w:qFormat/>
    <w:locked/>
    <w:uiPriority w:val="0"/>
    <w:rPr>
      <w:rFonts w:ascii="宋体" w:hAnsi="宋体" w:cs="宋体"/>
      <w:sz w:val="24"/>
      <w:szCs w:val="24"/>
    </w:rPr>
  </w:style>
  <w:style w:type="paragraph" w:customStyle="1" w:styleId="82">
    <w:name w:val="列表段落1"/>
    <w:basedOn w:val="1"/>
    <w:link w:val="81"/>
    <w:qFormat/>
    <w:uiPriority w:val="0"/>
    <w:pPr>
      <w:widowControl/>
      <w:ind w:firstLine="420" w:firstLineChars="200"/>
      <w:jc w:val="left"/>
    </w:pPr>
    <w:rPr>
      <w:rFonts w:ascii="宋体" w:hAnsi="宋体"/>
      <w:kern w:val="0"/>
      <w:sz w:val="24"/>
      <w:lang w:val="zh-CN"/>
    </w:rPr>
  </w:style>
  <w:style w:type="character" w:customStyle="1" w:styleId="83">
    <w:name w:val="yyii"/>
    <w:qFormat/>
    <w:uiPriority w:val="0"/>
    <w:rPr>
      <w:rFonts w:ascii="Times New Roman" w:hAnsi="Times New Roman" w:eastAsia="宋体" w:cs="Times New Roman"/>
    </w:rPr>
  </w:style>
  <w:style w:type="character" w:customStyle="1" w:styleId="84">
    <w:name w:val="纯文本 Char1"/>
    <w:qFormat/>
    <w:uiPriority w:val="0"/>
    <w:rPr>
      <w:rFonts w:ascii="宋体" w:hAnsi="Courier New" w:eastAsia="宋体" w:cs="Times New Roman"/>
      <w:kern w:val="2"/>
      <w:sz w:val="21"/>
    </w:rPr>
  </w:style>
  <w:style w:type="character" w:customStyle="1" w:styleId="85">
    <w:name w:val="标题 1 Char1"/>
    <w:qFormat/>
    <w:uiPriority w:val="0"/>
    <w:rPr>
      <w:rFonts w:ascii="Times New Roman" w:hAnsi="Times New Roman" w:eastAsia="宋体" w:cs="Times New Roman"/>
      <w:b/>
      <w:bCs/>
      <w:kern w:val="44"/>
      <w:sz w:val="44"/>
      <w:szCs w:val="44"/>
    </w:rPr>
  </w:style>
  <w:style w:type="character" w:customStyle="1" w:styleId="86">
    <w:name w:val="标题 2 字符"/>
    <w:link w:val="2"/>
    <w:qFormat/>
    <w:uiPriority w:val="9"/>
    <w:rPr>
      <w:rFonts w:ascii="Arial" w:hAnsi="Arial" w:eastAsia="黑体"/>
      <w:b/>
      <w:bCs/>
      <w:kern w:val="2"/>
      <w:sz w:val="24"/>
      <w:szCs w:val="32"/>
    </w:rPr>
  </w:style>
  <w:style w:type="character" w:customStyle="1" w:styleId="87">
    <w:name w:val="批注主题 字符"/>
    <w:link w:val="37"/>
    <w:qFormat/>
    <w:uiPriority w:val="0"/>
    <w:rPr>
      <w:rFonts w:ascii="Times New Roman" w:hAnsi="Times New Roman" w:eastAsia="宋体" w:cs="Times New Roman"/>
      <w:b/>
      <w:bCs/>
      <w:kern w:val="2"/>
      <w:sz w:val="21"/>
      <w:szCs w:val="24"/>
      <w:lang w:val="en-US" w:eastAsia="zh-CN" w:bidi="ar-SA"/>
    </w:rPr>
  </w:style>
  <w:style w:type="paragraph" w:customStyle="1" w:styleId="88">
    <w:name w:val="目录 11"/>
    <w:basedOn w:val="1"/>
    <w:next w:val="1"/>
    <w:qFormat/>
    <w:uiPriority w:val="39"/>
  </w:style>
  <w:style w:type="paragraph" w:customStyle="1" w:styleId="89">
    <w:name w:val="目录 21"/>
    <w:basedOn w:val="1"/>
    <w:next w:val="1"/>
    <w:qFormat/>
    <w:uiPriority w:val="39"/>
    <w:pPr>
      <w:tabs>
        <w:tab w:val="right" w:leader="dot" w:pos="9402"/>
      </w:tabs>
      <w:ind w:left="718" w:leftChars="200" w:hanging="298" w:hangingChars="142"/>
    </w:pPr>
  </w:style>
  <w:style w:type="paragraph" w:customStyle="1" w:styleId="90">
    <w:name w:val="目录 31"/>
    <w:basedOn w:val="1"/>
    <w:next w:val="1"/>
    <w:qFormat/>
    <w:uiPriority w:val="39"/>
    <w:pPr>
      <w:ind w:left="840" w:leftChars="400"/>
    </w:pPr>
  </w:style>
  <w:style w:type="paragraph" w:customStyle="1" w:styleId="91">
    <w:name w:val="正文首行缩进1"/>
    <w:basedOn w:val="18"/>
    <w:qFormat/>
    <w:uiPriority w:val="0"/>
    <w:pPr>
      <w:spacing w:after="120" w:line="240" w:lineRule="auto"/>
      <w:ind w:firstLine="420" w:firstLineChars="100"/>
    </w:pPr>
    <w:rPr>
      <w:sz w:val="21"/>
    </w:rPr>
  </w:style>
  <w:style w:type="paragraph" w:customStyle="1" w:styleId="92">
    <w:name w:val="Char Char1 Char Char Char Char"/>
    <w:basedOn w:val="15"/>
    <w:qFormat/>
    <w:uiPriority w:val="0"/>
    <w:rPr>
      <w:rFonts w:ascii="Tahoma" w:hAnsi="Tahoma"/>
      <w:sz w:val="24"/>
    </w:rPr>
  </w:style>
  <w:style w:type="paragraph" w:customStyle="1" w:styleId="93">
    <w:name w:val="列出段落1"/>
    <w:basedOn w:val="1"/>
    <w:qFormat/>
    <w:uiPriority w:val="99"/>
    <w:pPr>
      <w:ind w:firstLine="420" w:firstLineChars="200"/>
    </w:pPr>
    <w:rPr>
      <w:rFonts w:ascii="Calibri" w:hAnsi="Calibri"/>
    </w:rPr>
  </w:style>
  <w:style w:type="paragraph" w:customStyle="1" w:styleId="94">
    <w:name w:val="Char Char Char1 Char"/>
    <w:basedOn w:val="15"/>
    <w:qFormat/>
    <w:uiPriority w:val="0"/>
  </w:style>
  <w:style w:type="paragraph" w:customStyle="1" w:styleId="95">
    <w:name w:val="pa-5"/>
    <w:basedOn w:val="1"/>
    <w:qFormat/>
    <w:uiPriority w:val="0"/>
    <w:pPr>
      <w:widowControl/>
      <w:spacing w:before="150" w:after="150"/>
      <w:jc w:val="left"/>
    </w:pPr>
    <w:rPr>
      <w:rFonts w:ascii="宋体" w:hAnsi="宋体" w:cs="宋体"/>
      <w:kern w:val="0"/>
      <w:sz w:val="24"/>
    </w:rPr>
  </w:style>
  <w:style w:type="paragraph" w:customStyle="1" w:styleId="96">
    <w:name w:val="Table Text Char"/>
    <w:qFormat/>
    <w:uiPriority w:val="0"/>
    <w:pPr>
      <w:snapToGrid w:val="0"/>
      <w:spacing w:before="80" w:after="80"/>
    </w:pPr>
    <w:rPr>
      <w:rFonts w:ascii="Arial" w:hAnsi="Arial" w:eastAsia="宋体" w:cs="Times New Roman"/>
      <w:sz w:val="18"/>
      <w:lang w:val="en-US" w:eastAsia="zh-CN" w:bidi="ar-SA"/>
    </w:rPr>
  </w:style>
  <w:style w:type="paragraph" w:customStyle="1" w:styleId="97">
    <w:name w:val="Char Char1 Char Char Char Char1"/>
    <w:basedOn w:val="15"/>
    <w:qFormat/>
    <w:uiPriority w:val="0"/>
    <w:rPr>
      <w:rFonts w:ascii="Tahoma" w:hAnsi="Tahoma"/>
      <w:sz w:val="24"/>
    </w:rPr>
  </w:style>
  <w:style w:type="paragraph" w:customStyle="1" w:styleId="98">
    <w:name w:val="_Style 35"/>
    <w:basedOn w:val="15"/>
    <w:qFormat/>
    <w:uiPriority w:val="0"/>
    <w:pPr>
      <w:widowControl/>
      <w:ind w:firstLine="454"/>
      <w:jc w:val="left"/>
    </w:pPr>
  </w:style>
  <w:style w:type="paragraph" w:customStyle="1" w:styleId="99">
    <w:name w:val="5 Char Char Char Char Char Char Char Char Char Char"/>
    <w:basedOn w:val="1"/>
    <w:qFormat/>
    <w:uiPriority w:val="0"/>
  </w:style>
  <w:style w:type="paragraph" w:customStyle="1" w:styleId="10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textAlignment w:val="top"/>
    </w:pPr>
    <w:rPr>
      <w:kern w:val="0"/>
      <w:szCs w:val="21"/>
    </w:rPr>
  </w:style>
  <w:style w:type="paragraph" w:customStyle="1" w:styleId="101">
    <w:name w:val="Char Char2 Char Char Char Char Char Char Char Char Char Char"/>
    <w:basedOn w:val="1"/>
    <w:qFormat/>
    <w:uiPriority w:val="0"/>
    <w:pPr>
      <w:tabs>
        <w:tab w:val="left" w:pos="360"/>
      </w:tabs>
      <w:spacing w:line="360" w:lineRule="auto"/>
      <w:ind w:left="482" w:firstLine="200" w:firstLineChars="200"/>
    </w:pPr>
  </w:style>
  <w:style w:type="paragraph" w:customStyle="1" w:styleId="102">
    <w:name w:val="默认段落字体 Para Char"/>
    <w:basedOn w:val="1"/>
    <w:qFormat/>
    <w:uiPriority w:val="0"/>
    <w:rPr>
      <w:szCs w:val="20"/>
    </w:rPr>
  </w:style>
  <w:style w:type="paragraph" w:customStyle="1" w:styleId="103">
    <w:name w:val="表格文字"/>
    <w:basedOn w:val="1"/>
    <w:qFormat/>
    <w:uiPriority w:val="0"/>
    <w:pPr>
      <w:spacing w:before="25" w:after="25"/>
      <w:jc w:val="left"/>
    </w:pPr>
    <w:rPr>
      <w:bCs/>
      <w:spacing w:val="10"/>
      <w:kern w:val="0"/>
      <w:sz w:val="24"/>
    </w:rPr>
  </w:style>
  <w:style w:type="paragraph" w:customStyle="1" w:styleId="104">
    <w:name w:val="_Style 7"/>
    <w:basedOn w:val="15"/>
    <w:qFormat/>
    <w:uiPriority w:val="0"/>
  </w:style>
  <w:style w:type="paragraph" w:customStyle="1" w:styleId="105">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6">
    <w:name w:val="默认段落字体 Para Char Char Char Char Char Char Char Char Char1 Char Char Char Char"/>
    <w:basedOn w:val="1"/>
    <w:qFormat/>
    <w:uiPriority w:val="0"/>
    <w:rPr>
      <w:rFonts w:ascii="Tahoma" w:hAnsi="Tahoma"/>
      <w:sz w:val="24"/>
      <w:szCs w:val="20"/>
    </w:rPr>
  </w:style>
  <w:style w:type="paragraph" w:customStyle="1" w:styleId="107">
    <w:name w:val="样式 标题 1 + 居中 段前: 0 磅 段后: 0 磅 行距: 固定值 30 磅"/>
    <w:basedOn w:val="3"/>
    <w:qFormat/>
    <w:uiPriority w:val="0"/>
    <w:pPr>
      <w:spacing w:before="0" w:after="0" w:line="600" w:lineRule="exact"/>
    </w:pPr>
    <w:rPr>
      <w:rFonts w:eastAsia="宋体" w:cs="宋体"/>
      <w:szCs w:val="20"/>
    </w:rPr>
  </w:style>
  <w:style w:type="paragraph" w:customStyle="1" w:styleId="108">
    <w:name w:val="样式 小四 行距: 1.5 倍行距"/>
    <w:basedOn w:val="1"/>
    <w:qFormat/>
    <w:uiPriority w:val="0"/>
    <w:pPr>
      <w:spacing w:line="360" w:lineRule="auto"/>
      <w:ind w:firstLine="480" w:firstLineChars="200"/>
    </w:pPr>
    <w:rPr>
      <w:rFonts w:cs="宋体"/>
      <w:sz w:val="24"/>
      <w:szCs w:val="20"/>
    </w:rPr>
  </w:style>
  <w:style w:type="paragraph" w:customStyle="1" w:styleId="109">
    <w:name w:val="p0"/>
    <w:basedOn w:val="1"/>
    <w:qFormat/>
    <w:uiPriority w:val="0"/>
    <w:pPr>
      <w:widowControl/>
    </w:pPr>
    <w:rPr>
      <w:rFonts w:ascii="宋体" w:hAnsi="宋体" w:cs="宋体"/>
      <w:kern w:val="0"/>
      <w:szCs w:val="21"/>
    </w:rPr>
  </w:style>
  <w:style w:type="paragraph" w:customStyle="1" w:styleId="110">
    <w:name w:val="Char Char Char Char Char Char Char Char Char Char Char Char"/>
    <w:basedOn w:val="1"/>
    <w:qFormat/>
    <w:uiPriority w:val="0"/>
    <w:pPr>
      <w:widowControl/>
      <w:spacing w:after="160" w:line="240" w:lineRule="exact"/>
      <w:jc w:val="left"/>
    </w:pPr>
  </w:style>
  <w:style w:type="paragraph" w:customStyle="1" w:styleId="111">
    <w:name w:val="Char Char Char1 Char1"/>
    <w:basedOn w:val="1"/>
    <w:qFormat/>
    <w:uiPriority w:val="0"/>
    <w:rPr>
      <w:rFonts w:ascii="Calibri" w:hAnsi="Calibri"/>
      <w:szCs w:val="22"/>
    </w:rPr>
  </w:style>
  <w:style w:type="paragraph" w:customStyle="1" w:styleId="112">
    <w:name w:val="Char Char Char Char Char Char Char"/>
    <w:basedOn w:val="1"/>
    <w:qFormat/>
    <w:uiPriority w:val="0"/>
  </w:style>
  <w:style w:type="paragraph" w:customStyle="1" w:styleId="113">
    <w:name w:val="文档正文"/>
    <w:basedOn w:val="1"/>
    <w:qFormat/>
    <w:uiPriority w:val="0"/>
    <w:pPr>
      <w:autoSpaceDE w:val="0"/>
      <w:autoSpaceDN w:val="0"/>
      <w:adjustRightInd w:val="0"/>
      <w:spacing w:line="240" w:lineRule="atLeast"/>
      <w:ind w:firstLine="567"/>
    </w:pPr>
    <w:rPr>
      <w:rFonts w:ascii="Arial Narrow" w:hAnsi="Arial Narrow" w:cs="Arial"/>
      <w:sz w:val="24"/>
      <w:lang w:val="zh-CN"/>
    </w:rPr>
  </w:style>
  <w:style w:type="paragraph" w:customStyle="1" w:styleId="114">
    <w:name w:val="样式 正文2 + 仿宋 黑色 首行缩进:  2 字符"/>
    <w:basedOn w:val="1"/>
    <w:qFormat/>
    <w:uiPriority w:val="0"/>
    <w:pPr>
      <w:spacing w:line="360" w:lineRule="auto"/>
      <w:ind w:firstLine="480" w:firstLineChars="200"/>
    </w:pPr>
    <w:rPr>
      <w:rFonts w:ascii="仿宋" w:hAnsi="仿宋" w:eastAsia="仿宋" w:cs="宋体"/>
      <w:color w:val="000000"/>
      <w:sz w:val="24"/>
      <w:szCs w:val="20"/>
    </w:rPr>
  </w:style>
  <w:style w:type="paragraph" w:customStyle="1" w:styleId="115">
    <w:name w:val="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6">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17">
    <w:name w:val="Char"/>
    <w:basedOn w:val="15"/>
    <w:qFormat/>
    <w:uiPriority w:val="0"/>
    <w:pPr>
      <w:widowControl/>
      <w:ind w:firstLine="454"/>
      <w:jc w:val="left"/>
    </w:pPr>
    <w:rPr>
      <w:rFonts w:ascii="Tahoma" w:hAnsi="Tahoma" w:cs="宋体"/>
      <w:kern w:val="0"/>
      <w:sz w:val="24"/>
      <w:szCs w:val="20"/>
    </w:rPr>
  </w:style>
  <w:style w:type="paragraph" w:customStyle="1" w:styleId="118">
    <w:name w:val="Char1"/>
    <w:basedOn w:val="15"/>
    <w:qFormat/>
    <w:uiPriority w:val="0"/>
    <w:pPr>
      <w:widowControl/>
      <w:ind w:firstLine="454"/>
      <w:jc w:val="left"/>
    </w:pPr>
    <w:rPr>
      <w:rFonts w:ascii="Tahoma" w:hAnsi="Tahoma" w:cs="宋体"/>
      <w:kern w:val="0"/>
      <w:sz w:val="24"/>
      <w:szCs w:val="20"/>
    </w:rPr>
  </w:style>
  <w:style w:type="paragraph" w:customStyle="1" w:styleId="119">
    <w:name w:val="1"/>
    <w:basedOn w:val="1"/>
    <w:next w:val="23"/>
    <w:qFormat/>
    <w:uiPriority w:val="0"/>
    <w:rPr>
      <w:rFonts w:ascii="宋体" w:hAnsi="Courier New"/>
      <w:szCs w:val="20"/>
    </w:rPr>
  </w:style>
  <w:style w:type="paragraph" w:customStyle="1" w:styleId="120">
    <w:name w:val="_Style 2"/>
    <w:basedOn w:val="1"/>
    <w:qFormat/>
    <w:uiPriority w:val="0"/>
    <w:pPr>
      <w:ind w:firstLine="420" w:firstLineChars="200"/>
    </w:pPr>
  </w:style>
  <w:style w:type="paragraph" w:customStyle="1" w:styleId="121">
    <w:name w:val="正文段"/>
    <w:basedOn w:val="1"/>
    <w:qFormat/>
    <w:uiPriority w:val="0"/>
    <w:pPr>
      <w:widowControl/>
      <w:snapToGrid w:val="0"/>
      <w:spacing w:after="156" w:afterLines="50"/>
      <w:ind w:firstLine="200" w:firstLineChars="200"/>
    </w:pPr>
    <w:rPr>
      <w:kern w:val="0"/>
      <w:sz w:val="24"/>
      <w:szCs w:val="20"/>
    </w:rPr>
  </w:style>
  <w:style w:type="paragraph" w:customStyle="1" w:styleId="122">
    <w:name w:val="列出段落"/>
    <w:basedOn w:val="1"/>
    <w:qFormat/>
    <w:uiPriority w:val="34"/>
    <w:pPr>
      <w:ind w:firstLine="420" w:firstLineChars="200"/>
    </w:pPr>
    <w:rPr>
      <w:rFonts w:ascii="Calibri" w:hAnsi="Calibri"/>
      <w:szCs w:val="22"/>
    </w:rPr>
  </w:style>
  <w:style w:type="paragraph" w:customStyle="1" w:styleId="123">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未处理的提及1"/>
    <w:basedOn w:val="41"/>
    <w:unhideWhenUsed/>
    <w:qFormat/>
    <w:uiPriority w:val="99"/>
    <w:rPr>
      <w:color w:val="605E5C"/>
      <w:shd w:val="clear" w:color="auto" w:fill="E1DFDD"/>
    </w:rPr>
  </w:style>
  <w:style w:type="character" w:customStyle="1" w:styleId="125">
    <w:name w:val="font81"/>
    <w:basedOn w:val="41"/>
    <w:qFormat/>
    <w:uiPriority w:val="0"/>
    <w:rPr>
      <w:rFonts w:hint="eastAsia" w:ascii="宋体" w:hAnsi="宋体" w:eastAsia="宋体" w:cs="宋体"/>
      <w:color w:val="000000"/>
      <w:sz w:val="18"/>
      <w:szCs w:val="18"/>
      <w:u w:val="none"/>
    </w:rPr>
  </w:style>
  <w:style w:type="paragraph" w:customStyle="1" w:styleId="126">
    <w:name w:val="列表段落2"/>
    <w:basedOn w:val="1"/>
    <w:qFormat/>
    <w:uiPriority w:val="34"/>
    <w:pPr>
      <w:ind w:firstLine="420" w:firstLineChars="200"/>
    </w:pPr>
  </w:style>
  <w:style w:type="character" w:customStyle="1" w:styleId="127">
    <w:name w:val="未处理的提及2"/>
    <w:basedOn w:val="41"/>
    <w:unhideWhenUsed/>
    <w:qFormat/>
    <w:uiPriority w:val="99"/>
    <w:rPr>
      <w:color w:val="605E5C"/>
      <w:shd w:val="clear" w:color="auto" w:fill="E1DFDD"/>
    </w:rPr>
  </w:style>
  <w:style w:type="character" w:customStyle="1" w:styleId="128">
    <w:name w:val="纯文本 字符1"/>
    <w:qFormat/>
    <w:uiPriority w:val="0"/>
    <w:rPr>
      <w:rFonts w:ascii="宋体" w:hAnsi="Courier New" w:eastAsia="宋体" w:cs="Courier New"/>
      <w:kern w:val="2"/>
      <w:sz w:val="21"/>
      <w:szCs w:val="21"/>
      <w:lang w:val="en-US" w:eastAsia="zh-CN" w:bidi="ar-SA"/>
    </w:rPr>
  </w:style>
  <w:style w:type="character" w:customStyle="1" w:styleId="129">
    <w:name w:val="标题 4 字符"/>
    <w:basedOn w:val="41"/>
    <w:link w:val="5"/>
    <w:qFormat/>
    <w:uiPriority w:val="9"/>
    <w:rPr>
      <w:rFonts w:asciiTheme="majorHAnsi" w:hAnsiTheme="majorHAnsi" w:eastAsiaTheme="majorEastAsia" w:cstheme="majorBidi"/>
      <w:b/>
      <w:bCs/>
      <w:kern w:val="2"/>
      <w:sz w:val="28"/>
      <w:szCs w:val="28"/>
    </w:rPr>
  </w:style>
  <w:style w:type="character" w:customStyle="1" w:styleId="130">
    <w:name w:val="标题 5 字符"/>
    <w:basedOn w:val="41"/>
    <w:link w:val="6"/>
    <w:qFormat/>
    <w:uiPriority w:val="9"/>
    <w:rPr>
      <w:b/>
      <w:kern w:val="2"/>
      <w:sz w:val="28"/>
      <w:szCs w:val="24"/>
    </w:rPr>
  </w:style>
  <w:style w:type="character" w:customStyle="1" w:styleId="131">
    <w:name w:val="标题 6 字符"/>
    <w:basedOn w:val="41"/>
    <w:link w:val="8"/>
    <w:qFormat/>
    <w:uiPriority w:val="9"/>
    <w:rPr>
      <w:rFonts w:ascii="Arial" w:hAnsi="Arial" w:eastAsia="黑体"/>
      <w:b/>
      <w:kern w:val="2"/>
      <w:sz w:val="24"/>
      <w:szCs w:val="24"/>
    </w:rPr>
  </w:style>
  <w:style w:type="character" w:customStyle="1" w:styleId="132">
    <w:name w:val="标题 7 字符"/>
    <w:basedOn w:val="41"/>
    <w:link w:val="9"/>
    <w:qFormat/>
    <w:uiPriority w:val="9"/>
    <w:rPr>
      <w:b/>
      <w:kern w:val="2"/>
      <w:sz w:val="24"/>
      <w:szCs w:val="24"/>
    </w:rPr>
  </w:style>
  <w:style w:type="character" w:customStyle="1" w:styleId="133">
    <w:name w:val="标题 8 字符"/>
    <w:basedOn w:val="41"/>
    <w:link w:val="10"/>
    <w:qFormat/>
    <w:uiPriority w:val="9"/>
    <w:rPr>
      <w:rFonts w:ascii="Arial" w:hAnsi="Arial" w:eastAsia="黑体"/>
      <w:kern w:val="2"/>
      <w:sz w:val="24"/>
      <w:szCs w:val="24"/>
    </w:rPr>
  </w:style>
  <w:style w:type="character" w:customStyle="1" w:styleId="134">
    <w:name w:val="标题 9 字符"/>
    <w:basedOn w:val="41"/>
    <w:link w:val="11"/>
    <w:qFormat/>
    <w:uiPriority w:val="9"/>
    <w:rPr>
      <w:rFonts w:ascii="Arial" w:hAnsi="Arial" w:eastAsia="黑体"/>
      <w:kern w:val="2"/>
      <w:sz w:val="21"/>
      <w:szCs w:val="24"/>
    </w:rPr>
  </w:style>
  <w:style w:type="paragraph" w:customStyle="1" w:styleId="135">
    <w:name w:val="TOC 71"/>
    <w:basedOn w:val="1"/>
    <w:next w:val="1"/>
    <w:unhideWhenUsed/>
    <w:qFormat/>
    <w:uiPriority w:val="39"/>
    <w:pPr>
      <w:spacing w:line="360" w:lineRule="auto"/>
      <w:ind w:left="1440" w:firstLine="200" w:firstLineChars="200"/>
      <w:jc w:val="left"/>
    </w:pPr>
    <w:rPr>
      <w:rFonts w:ascii="Calibri" w:hAnsi="Calibri"/>
      <w:sz w:val="18"/>
      <w:szCs w:val="18"/>
    </w:rPr>
  </w:style>
  <w:style w:type="character" w:customStyle="1" w:styleId="136">
    <w:name w:val="文档结构图 字符"/>
    <w:basedOn w:val="41"/>
    <w:link w:val="15"/>
    <w:qFormat/>
    <w:uiPriority w:val="99"/>
    <w:rPr>
      <w:kern w:val="2"/>
      <w:sz w:val="21"/>
      <w:szCs w:val="24"/>
      <w:shd w:val="clear" w:color="auto" w:fill="000080"/>
    </w:rPr>
  </w:style>
  <w:style w:type="character" w:customStyle="1" w:styleId="137">
    <w:name w:val="正文文本 字符"/>
    <w:basedOn w:val="41"/>
    <w:link w:val="18"/>
    <w:qFormat/>
    <w:uiPriority w:val="0"/>
    <w:rPr>
      <w:kern w:val="2"/>
      <w:sz w:val="24"/>
      <w:szCs w:val="24"/>
    </w:rPr>
  </w:style>
  <w:style w:type="paragraph" w:customStyle="1" w:styleId="138">
    <w:name w:val="TOC 51"/>
    <w:basedOn w:val="1"/>
    <w:next w:val="1"/>
    <w:unhideWhenUsed/>
    <w:qFormat/>
    <w:uiPriority w:val="39"/>
    <w:pPr>
      <w:spacing w:line="360" w:lineRule="auto"/>
      <w:ind w:left="960" w:firstLine="200" w:firstLineChars="200"/>
      <w:jc w:val="left"/>
    </w:pPr>
    <w:rPr>
      <w:rFonts w:ascii="Calibri" w:hAnsi="Calibri"/>
      <w:sz w:val="18"/>
      <w:szCs w:val="18"/>
    </w:rPr>
  </w:style>
  <w:style w:type="paragraph" w:customStyle="1" w:styleId="139">
    <w:name w:val="TOC 31"/>
    <w:basedOn w:val="1"/>
    <w:next w:val="1"/>
    <w:unhideWhenUsed/>
    <w:qFormat/>
    <w:uiPriority w:val="39"/>
    <w:pPr>
      <w:spacing w:line="360" w:lineRule="auto"/>
      <w:ind w:left="480" w:firstLine="200" w:firstLineChars="200"/>
      <w:jc w:val="left"/>
    </w:pPr>
    <w:rPr>
      <w:rFonts w:ascii="Calibri" w:hAnsi="Calibri"/>
      <w:i/>
      <w:iCs/>
      <w:sz w:val="20"/>
      <w:szCs w:val="20"/>
    </w:rPr>
  </w:style>
  <w:style w:type="paragraph" w:customStyle="1" w:styleId="140">
    <w:name w:val="TOC 81"/>
    <w:basedOn w:val="1"/>
    <w:next w:val="1"/>
    <w:unhideWhenUsed/>
    <w:qFormat/>
    <w:uiPriority w:val="39"/>
    <w:pPr>
      <w:spacing w:line="360" w:lineRule="auto"/>
      <w:ind w:left="1680" w:firstLine="200" w:firstLineChars="200"/>
      <w:jc w:val="left"/>
    </w:pPr>
    <w:rPr>
      <w:rFonts w:ascii="Calibri" w:hAnsi="Calibri"/>
      <w:sz w:val="18"/>
      <w:szCs w:val="18"/>
    </w:rPr>
  </w:style>
  <w:style w:type="paragraph" w:customStyle="1" w:styleId="141">
    <w:name w:val="TOC 41"/>
    <w:basedOn w:val="1"/>
    <w:next w:val="1"/>
    <w:unhideWhenUsed/>
    <w:qFormat/>
    <w:uiPriority w:val="39"/>
    <w:pPr>
      <w:spacing w:line="360" w:lineRule="auto"/>
      <w:ind w:left="720" w:firstLine="200" w:firstLineChars="200"/>
      <w:jc w:val="left"/>
    </w:pPr>
    <w:rPr>
      <w:rFonts w:ascii="Calibri" w:hAnsi="Calibri"/>
      <w:sz w:val="18"/>
      <w:szCs w:val="18"/>
    </w:rPr>
  </w:style>
  <w:style w:type="paragraph" w:customStyle="1" w:styleId="142">
    <w:name w:val="TOC 61"/>
    <w:basedOn w:val="1"/>
    <w:next w:val="1"/>
    <w:unhideWhenUsed/>
    <w:qFormat/>
    <w:uiPriority w:val="39"/>
    <w:pPr>
      <w:spacing w:line="360" w:lineRule="auto"/>
      <w:ind w:left="1200" w:firstLine="200" w:firstLineChars="200"/>
      <w:jc w:val="left"/>
    </w:pPr>
    <w:rPr>
      <w:rFonts w:ascii="Calibri" w:hAnsi="Calibri"/>
      <w:sz w:val="18"/>
      <w:szCs w:val="18"/>
    </w:rPr>
  </w:style>
  <w:style w:type="paragraph" w:customStyle="1" w:styleId="143">
    <w:name w:val="TOC 21"/>
    <w:basedOn w:val="1"/>
    <w:next w:val="1"/>
    <w:unhideWhenUsed/>
    <w:qFormat/>
    <w:uiPriority w:val="39"/>
    <w:pPr>
      <w:spacing w:line="360" w:lineRule="auto"/>
      <w:ind w:left="240" w:firstLine="200" w:firstLineChars="200"/>
      <w:jc w:val="left"/>
    </w:pPr>
    <w:rPr>
      <w:rFonts w:ascii="Calibri" w:hAnsi="Calibri"/>
      <w:smallCaps/>
      <w:sz w:val="20"/>
      <w:szCs w:val="20"/>
    </w:rPr>
  </w:style>
  <w:style w:type="paragraph" w:customStyle="1" w:styleId="144">
    <w:name w:val="TOC 91"/>
    <w:basedOn w:val="1"/>
    <w:next w:val="1"/>
    <w:unhideWhenUsed/>
    <w:qFormat/>
    <w:uiPriority w:val="39"/>
    <w:pPr>
      <w:spacing w:line="360" w:lineRule="auto"/>
      <w:ind w:left="1920" w:firstLine="200" w:firstLineChars="200"/>
      <w:jc w:val="left"/>
    </w:pPr>
    <w:rPr>
      <w:rFonts w:ascii="Calibri" w:hAnsi="Calibri"/>
      <w:sz w:val="18"/>
      <w:szCs w:val="18"/>
    </w:rPr>
  </w:style>
  <w:style w:type="table" w:customStyle="1" w:styleId="145">
    <w:name w:val="网格型1"/>
    <w:basedOn w:val="39"/>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6">
    <w:name w:val="正文文本 Char1"/>
    <w:basedOn w:val="41"/>
    <w:semiHidden/>
    <w:qFormat/>
    <w:uiPriority w:val="99"/>
    <w:rPr>
      <w:sz w:val="24"/>
    </w:rPr>
  </w:style>
  <w:style w:type="paragraph" w:customStyle="1" w:styleId="147">
    <w:name w:val="修订1"/>
    <w:hidden/>
    <w:unhideWhenUsed/>
    <w:qFormat/>
    <w:uiPriority w:val="99"/>
    <w:rPr>
      <w:rFonts w:ascii="Calibri" w:hAnsi="Calibri" w:eastAsia="宋体" w:cs="Times New Roman"/>
      <w:kern w:val="2"/>
      <w:sz w:val="24"/>
      <w:szCs w:val="22"/>
      <w:lang w:val="en-US" w:eastAsia="zh-CN" w:bidi="ar-SA"/>
    </w:rPr>
  </w:style>
  <w:style w:type="character" w:customStyle="1" w:styleId="148">
    <w:name w:val="占位符文本1"/>
    <w:semiHidden/>
    <w:qFormat/>
    <w:uiPriority w:val="99"/>
    <w:rPr>
      <w:color w:val="808080"/>
    </w:rPr>
  </w:style>
  <w:style w:type="paragraph" w:customStyle="1" w:styleId="149">
    <w:name w:val="WPSOffice手动目录 1"/>
    <w:qFormat/>
    <w:uiPriority w:val="0"/>
    <w:rPr>
      <w:rFonts w:ascii="Times New Roman" w:hAnsi="Times New Roman" w:eastAsia="宋体" w:cs="Times New Roman"/>
      <w:lang w:val="en-US" w:eastAsia="zh-CN" w:bidi="ar-SA"/>
    </w:rPr>
  </w:style>
  <w:style w:type="paragraph" w:customStyle="1" w:styleId="15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51">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lang w:val="en-US" w:eastAsia="zh-CN" w:bidi="ar-SA"/>
    </w:rPr>
  </w:style>
  <w:style w:type="character" w:customStyle="1" w:styleId="152">
    <w:name w:val="font01"/>
    <w:basedOn w:val="41"/>
    <w:qFormat/>
    <w:uiPriority w:val="0"/>
    <w:rPr>
      <w:rFonts w:hint="eastAsia" w:ascii="宋体" w:hAnsi="宋体" w:eastAsia="宋体" w:cs="宋体"/>
      <w:color w:val="000000"/>
      <w:sz w:val="24"/>
      <w:szCs w:val="24"/>
      <w:u w:val="none"/>
    </w:rPr>
  </w:style>
  <w:style w:type="paragraph" w:customStyle="1" w:styleId="153">
    <w:name w:val="TOC 标题1"/>
    <w:basedOn w:val="3"/>
    <w:next w:val="1"/>
    <w:unhideWhenUsed/>
    <w:qFormat/>
    <w:uiPriority w:val="39"/>
    <w:pPr>
      <w:widowControl/>
      <w:spacing w:before="240" w:after="0" w:line="259" w:lineRule="auto"/>
      <w:jc w:val="left"/>
      <w:outlineLvl w:val="9"/>
    </w:pPr>
    <w:rPr>
      <w:rFonts w:ascii="Cambria" w:hAnsi="Cambria" w:eastAsia="宋体"/>
      <w:b w:val="0"/>
      <w:bCs w:val="0"/>
      <w:color w:val="365F91"/>
      <w:kern w:val="0"/>
      <w:sz w:val="32"/>
      <w:szCs w:val="32"/>
    </w:rPr>
  </w:style>
  <w:style w:type="paragraph" w:styleId="154">
    <w:name w:val="List Paragraph"/>
    <w:basedOn w:val="1"/>
    <w:qFormat/>
    <w:uiPriority w:val="99"/>
    <w:pPr>
      <w:ind w:firstLine="420" w:firstLineChars="200"/>
    </w:pPr>
  </w:style>
  <w:style w:type="character" w:customStyle="1" w:styleId="155">
    <w:name w:val="Unresolved Mention"/>
    <w:basedOn w:val="41"/>
    <w:semiHidden/>
    <w:unhideWhenUsed/>
    <w:qFormat/>
    <w:uiPriority w:val="99"/>
    <w:rPr>
      <w:color w:val="605E5C"/>
      <w:shd w:val="clear" w:color="auto" w:fill="E1DFDD"/>
    </w:rPr>
  </w:style>
  <w:style w:type="character" w:customStyle="1" w:styleId="156">
    <w:name w:val="font61"/>
    <w:qFormat/>
    <w:uiPriority w:val="0"/>
    <w:rPr>
      <w:rFonts w:hint="eastAsia" w:ascii="宋体" w:hAnsi="宋体" w:eastAsia="宋体" w:cs="宋体"/>
      <w:color w:val="000000"/>
      <w:sz w:val="18"/>
      <w:szCs w:val="18"/>
      <w:u w:val="none"/>
    </w:rPr>
  </w:style>
  <w:style w:type="character" w:customStyle="1" w:styleId="157">
    <w:name w:val="font91"/>
    <w:qFormat/>
    <w:uiPriority w:val="0"/>
    <w:rPr>
      <w:rFonts w:hint="default" w:ascii="Times New Roman" w:hAnsi="Times New Roman" w:cs="Times New Roman"/>
      <w:color w:val="000000"/>
      <w:sz w:val="18"/>
      <w:szCs w:val="18"/>
      <w:u w:val="single"/>
    </w:rPr>
  </w:style>
  <w:style w:type="paragraph" w:customStyle="1" w:styleId="15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9">
    <w:name w:val="标题1.0"/>
    <w:basedOn w:val="1"/>
    <w:next w:val="1"/>
    <w:qFormat/>
    <w:uiPriority w:val="0"/>
    <w:pPr>
      <w:jc w:val="center"/>
      <w:outlineLvl w:val="0"/>
    </w:pPr>
    <w:rPr>
      <w:rFonts w:asciiTheme="minorEastAsia" w:hAnsiTheme="minorEastAsia" w:eastAsiaTheme="minorEastAsia" w:cstheme="minorBidi"/>
      <w:b/>
      <w:color w:val="0070C0"/>
      <w:sz w:val="36"/>
      <w:szCs w:val="36"/>
    </w:rPr>
  </w:style>
  <w:style w:type="paragraph" w:customStyle="1" w:styleId="160">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53</Pages>
  <Words>2117</Words>
  <Characters>2473</Characters>
  <Lines>157</Lines>
  <Paragraphs>44</Paragraphs>
  <TotalTime>11</TotalTime>
  <ScaleCrop>false</ScaleCrop>
  <LinksUpToDate>false</LinksUpToDate>
  <CharactersWithSpaces>2527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2020-10-27T16:16:00Z</dcterms:created>
  <dc:creator>Huang Qian</dc:creator>
  <cp:lastModifiedBy>Administrator</cp:lastModifiedBy>
  <cp:lastPrinted>2026-09-20T07:04:00Z</cp:lastPrinted>
  <dcterms:modified xsi:type="dcterms:W3CDTF">2026-09-20T07:22:45Z</dcterms:modified>
  <dc:title>竞争性谈判文件</dc:title>
  <cp:revision>635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E5B14914A724416FB31AFCC396356748</vt:lpwstr>
  </property>
  <property fmtid="{D5CDD505-2E9C-101B-9397-08002B2CF9AE}" pid="4" name="KSOTemplateDocerSaveRecord">
    <vt:lpwstr>eyJoZGlkIjoiMjNjN2E4MWUyYTE1NzA0ZjRjOGUwOWJlYjk5YmEzNDEiLCJ1c2VySWQiOiI0Njk0ODI4MjUifQ==</vt:lpwstr>
  </property>
</Properties>
</file>