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04C7B">
      <w:pPr>
        <w:widowControl/>
        <w:jc w:val="center"/>
        <w:textAlignment w:val="baseline"/>
        <w:rPr>
          <w:rFonts w:hint="eastAsia" w:ascii="黑体" w:hAnsi="黑体" w:eastAsia="黑体"/>
          <w:b/>
          <w:bCs/>
          <w:color w:val="auto"/>
          <w:sz w:val="72"/>
          <w:szCs w:val="72"/>
          <w:highlight w:val="none"/>
        </w:rPr>
      </w:pPr>
      <w:bookmarkStart w:id="0" w:name="_Toc434315322"/>
      <w:bookmarkStart w:id="574" w:name="_GoBack"/>
      <w:r>
        <w:rPr>
          <w:rFonts w:hint="eastAsia" w:ascii="宋体" w:hAnsi="宋体" w:eastAsia="黑体" w:cs="宋体"/>
          <w:b/>
          <w:bCs/>
          <w:color w:val="auto"/>
          <w:sz w:val="66"/>
          <w:szCs w:val="66"/>
          <w:highlight w:val="none"/>
          <w14:shadow w14:blurRad="50800" w14:dist="38100" w14:dir="2700000" w14:sx="100000" w14:sy="100000" w14:kx="0" w14:ky="0" w14:algn="tl">
            <w14:srgbClr w14:val="000000">
              <w14:alpha w14:val="60000"/>
            </w14:srgbClr>
          </w14:shadow>
        </w:rPr>
        <w:t>广西荣胜项目管理有限公司</w:t>
      </w:r>
    </w:p>
    <w:p w14:paraId="2E72EBCB">
      <w:pPr>
        <w:pStyle w:val="2"/>
        <w:jc w:val="center"/>
        <w:rPr>
          <w:rFonts w:hint="eastAsia" w:ascii="方正小标宋简体" w:hAnsi="方正小标宋简体" w:eastAsia="方正小标宋简体" w:cs="方正小标宋简体"/>
          <w:color w:val="auto"/>
          <w:sz w:val="32"/>
          <w:szCs w:val="32"/>
          <w:highlight w:val="none"/>
        </w:rPr>
      </w:pPr>
      <w:r>
        <w:rPr>
          <w:rFonts w:hint="eastAsia" w:hAnsi="宋体" w:cs="宋体"/>
          <w:color w:val="auto"/>
          <w:sz w:val="20"/>
          <w:highlight w:val="none"/>
          <w:u w:val="single"/>
        </w:rPr>
        <mc:AlternateContent>
          <mc:Choice Requires="wps">
            <w:drawing>
              <wp:anchor distT="0" distB="0" distL="114300" distR="114300" simplePos="0" relativeHeight="251659264" behindDoc="0" locked="0" layoutInCell="1" allowOverlap="1">
                <wp:simplePos x="0" y="0"/>
                <wp:positionH relativeFrom="column">
                  <wp:posOffset>-309880</wp:posOffset>
                </wp:positionH>
                <wp:positionV relativeFrom="paragraph">
                  <wp:posOffset>236220</wp:posOffset>
                </wp:positionV>
                <wp:extent cx="6316345" cy="11430"/>
                <wp:effectExtent l="0" t="13970" r="8255" b="31750"/>
                <wp:wrapNone/>
                <wp:docPr id="1" name="直接连接符 1"/>
                <wp:cNvGraphicFramePr/>
                <a:graphic xmlns:a="http://schemas.openxmlformats.org/drawingml/2006/main">
                  <a:graphicData uri="http://schemas.microsoft.com/office/word/2010/wordprocessingShape">
                    <wps:wsp>
                      <wps:cNvCnPr/>
                      <wps:spPr>
                        <a:xfrm>
                          <a:off x="0" y="0"/>
                          <a:ext cx="6316345" cy="11430"/>
                        </a:xfrm>
                        <a:prstGeom prst="line">
                          <a:avLst/>
                        </a:prstGeom>
                        <a:ln w="285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4.4pt;margin-top:18.6pt;height:0.9pt;width:497.35pt;z-index:251659264;mso-width-relative:page;mso-height-relative:page;" filled="f" stroked="t" coordsize="21600,21600" o:gfxdata="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ZOJ0XZAAAACQEAAA8AAAAAAAAAAQAgAAAAIgAAAGRycy9kb3ducmV2LnhtbFBLAQIU&#10;ABQAAAAIAIdO4kDqljRY8gEAAN0DAAAOAAAAAAAAAAEAIAAAACgBAABkcnMvZTJvRG9jLnhtbFBL&#10;BQYAAAAABgAGAFkBAACMBQAAAAA=&#10;">
                <v:fill on="f" focussize="0,0"/>
                <v:stroke weight="2.25pt" color="#000000" joinstyle="round"/>
                <v:imagedata o:title=""/>
                <o:lock v:ext="edit" aspectratio="f"/>
              </v:line>
            </w:pict>
          </mc:Fallback>
        </mc:AlternateContent>
      </w:r>
    </w:p>
    <w:p w14:paraId="09CC9946">
      <w:pPr>
        <w:pStyle w:val="2"/>
        <w:tabs>
          <w:tab w:val="left" w:pos="7854"/>
        </w:tabs>
        <w:rPr>
          <w:rFonts w:hint="eastAsia" w:ascii="方正小标宋简体" w:hAnsi="方正小标宋简体" w:eastAsia="方正小标宋简体" w:cs="方正小标宋简体"/>
          <w:color w:val="auto"/>
          <w:sz w:val="20"/>
          <w:highlight w:val="none"/>
        </w:rPr>
      </w:pPr>
    </w:p>
    <w:p w14:paraId="0920D3B2">
      <w:pPr>
        <w:tabs>
          <w:tab w:val="left" w:pos="1079"/>
          <w:tab w:val="left" w:pos="3240"/>
        </w:tabs>
        <w:spacing w:line="821" w:lineRule="exact"/>
        <w:ind w:right="138"/>
        <w:rPr>
          <w:rFonts w:hint="eastAsia" w:ascii="方正小标宋简体" w:hAnsi="方正小标宋简体" w:eastAsia="方正小标宋简体" w:cs="方正小标宋简体"/>
          <w:color w:val="auto"/>
          <w:sz w:val="72"/>
          <w:highlight w:val="none"/>
        </w:rPr>
      </w:pPr>
    </w:p>
    <w:p w14:paraId="4B660F28">
      <w:pPr>
        <w:pStyle w:val="3"/>
        <w:rPr>
          <w:rFonts w:hint="eastAsia" w:ascii="方正小标宋简体" w:hAnsi="方正小标宋简体" w:eastAsia="方正小标宋简体" w:cs="方正小标宋简体"/>
          <w:color w:val="auto"/>
          <w:sz w:val="72"/>
          <w:highlight w:val="none"/>
        </w:rPr>
      </w:pPr>
    </w:p>
    <w:p w14:paraId="256053EA">
      <w:pPr>
        <w:tabs>
          <w:tab w:val="left" w:pos="1079"/>
          <w:tab w:val="left" w:pos="3240"/>
        </w:tabs>
        <w:spacing w:line="821" w:lineRule="exact"/>
        <w:ind w:right="138"/>
        <w:jc w:val="center"/>
        <w:rPr>
          <w:rFonts w:hint="eastAsia" w:ascii="方正小标宋简体" w:hAnsi="方正小标宋简体" w:eastAsia="方正小标宋简体" w:cs="方正小标宋简体"/>
          <w:color w:val="auto"/>
          <w:sz w:val="72"/>
          <w:highlight w:val="none"/>
        </w:rPr>
      </w:pPr>
      <w:r>
        <w:rPr>
          <w:rFonts w:hint="eastAsia" w:ascii="方正小标宋简体" w:hAnsi="方正小标宋简体" w:eastAsia="方正小标宋简体" w:cs="方正小标宋简体"/>
          <w:color w:val="auto"/>
          <w:sz w:val="72"/>
          <w:highlight w:val="none"/>
        </w:rPr>
        <w:t>竞争性磋商采购文件</w:t>
      </w:r>
    </w:p>
    <w:p w14:paraId="7B7FFE70">
      <w:pPr>
        <w:pStyle w:val="2"/>
        <w:rPr>
          <w:rFonts w:hint="eastAsia" w:ascii="方正小标宋简体" w:hAnsi="方正小标宋简体" w:eastAsia="方正小标宋简体" w:cs="方正小标宋简体"/>
          <w:color w:val="auto"/>
          <w:sz w:val="68"/>
          <w:highlight w:val="none"/>
        </w:rPr>
      </w:pPr>
    </w:p>
    <w:p w14:paraId="785104FF">
      <w:pPr>
        <w:pStyle w:val="27"/>
        <w:rPr>
          <w:rFonts w:hint="eastAsia" w:ascii="方正小标宋简体" w:hAnsi="方正小标宋简体" w:eastAsia="方正小标宋简体" w:cs="方正小标宋简体"/>
          <w:color w:val="auto"/>
          <w:sz w:val="68"/>
          <w:highlight w:val="none"/>
        </w:rPr>
      </w:pPr>
    </w:p>
    <w:p w14:paraId="5739A3A5">
      <w:pPr>
        <w:rPr>
          <w:color w:val="auto"/>
          <w:highlight w:val="none"/>
        </w:rPr>
      </w:pPr>
    </w:p>
    <w:p w14:paraId="5947D844">
      <w:pPr>
        <w:pStyle w:val="2"/>
        <w:rPr>
          <w:rFonts w:hint="eastAsia" w:ascii="方正小标宋简体" w:hAnsi="方正小标宋简体" w:eastAsia="方正小标宋简体" w:cs="方正小标宋简体"/>
          <w:color w:val="auto"/>
          <w:sz w:val="20"/>
          <w:highlight w:val="none"/>
        </w:rPr>
      </w:pPr>
    </w:p>
    <w:p w14:paraId="3440950D">
      <w:pPr>
        <w:spacing w:after="317" w:afterLines="100"/>
        <w:ind w:left="2238" w:leftChars="304" w:hanging="1600" w:hangingChars="500"/>
        <w:rPr>
          <w:rFonts w:hint="eastAsia" w:ascii="宋体" w:hAnsi="宋体" w:eastAsia="宋体" w:cs="宋体"/>
          <w:color w:val="auto"/>
          <w:sz w:val="32"/>
          <w:highlight w:val="none"/>
          <w:lang w:eastAsia="zh-CN"/>
        </w:rPr>
      </w:pPr>
      <w:r>
        <w:rPr>
          <w:rFonts w:hint="eastAsia" w:ascii="宋体" w:hAnsi="宋体" w:cs="宋体"/>
          <w:color w:val="auto"/>
          <w:sz w:val="32"/>
          <w:highlight w:val="none"/>
        </w:rPr>
        <w:t>项目名称：</w:t>
      </w:r>
      <w:r>
        <w:rPr>
          <w:rFonts w:hint="eastAsia" w:ascii="宋体" w:hAnsi="宋体" w:cs="宋体"/>
          <w:color w:val="auto"/>
          <w:sz w:val="32"/>
          <w:highlight w:val="none"/>
          <w:lang w:eastAsia="zh-CN"/>
        </w:rPr>
        <w:t>2026年自治区生态环境保护资金浦北县马江河沿岸重点区域农村生活污水处理项目-江城街道工程</w:t>
      </w:r>
    </w:p>
    <w:p w14:paraId="2CA2E03A">
      <w:pPr>
        <w:ind w:firstLine="640" w:firstLineChars="200"/>
        <w:rPr>
          <w:rFonts w:hint="eastAsia" w:ascii="宋体" w:hAnsi="宋体" w:eastAsia="宋体" w:cs="宋体"/>
          <w:color w:val="auto"/>
          <w:sz w:val="32"/>
          <w:szCs w:val="32"/>
          <w:highlight w:val="none"/>
          <w:lang w:eastAsia="zh-CN"/>
        </w:rPr>
      </w:pPr>
      <w:r>
        <w:rPr>
          <w:rFonts w:hint="eastAsia" w:ascii="宋体" w:hAnsi="宋体" w:cs="宋体"/>
          <w:color w:val="auto"/>
          <w:sz w:val="32"/>
          <w:szCs w:val="32"/>
          <w:highlight w:val="none"/>
        </w:rPr>
        <w:t>项目编号：</w:t>
      </w:r>
      <w:r>
        <w:rPr>
          <w:rFonts w:hint="eastAsia" w:ascii="宋体" w:hAnsi="宋体" w:cs="宋体"/>
          <w:color w:val="auto"/>
          <w:sz w:val="32"/>
          <w:szCs w:val="32"/>
          <w:highlight w:val="none"/>
          <w:lang w:eastAsia="zh-CN"/>
        </w:rPr>
        <w:t>QZZC2026-C2-220163-GXRS</w:t>
      </w:r>
    </w:p>
    <w:p w14:paraId="7F80D600">
      <w:pPr>
        <w:rPr>
          <w:color w:val="auto"/>
          <w:highlight w:val="none"/>
        </w:rPr>
      </w:pPr>
    </w:p>
    <w:p w14:paraId="0C9EC267">
      <w:pPr>
        <w:pStyle w:val="2"/>
        <w:rPr>
          <w:rFonts w:hint="eastAsia" w:ascii="方正小标宋简体" w:hAnsi="方正小标宋简体" w:eastAsia="方正小标宋简体" w:cs="方正小标宋简体"/>
          <w:color w:val="auto"/>
          <w:sz w:val="20"/>
          <w:highlight w:val="none"/>
        </w:rPr>
      </w:pPr>
      <w:r>
        <w:rPr>
          <w:rFonts w:hint="eastAsia" w:hAnsi="宋体" w:cs="宋体"/>
          <w:color w:val="auto"/>
          <w:sz w:val="20"/>
          <w:highlight w:val="none"/>
          <w:u w:val="single"/>
        </w:rPr>
        <mc:AlternateContent>
          <mc:Choice Requires="wps">
            <w:drawing>
              <wp:anchor distT="0" distB="0" distL="114300" distR="114300" simplePos="0" relativeHeight="251663360" behindDoc="0" locked="0" layoutInCell="1" allowOverlap="1">
                <wp:simplePos x="0" y="0"/>
                <wp:positionH relativeFrom="column">
                  <wp:posOffset>-452755</wp:posOffset>
                </wp:positionH>
                <wp:positionV relativeFrom="paragraph">
                  <wp:posOffset>56515</wp:posOffset>
                </wp:positionV>
                <wp:extent cx="6353810" cy="36195"/>
                <wp:effectExtent l="0" t="13970" r="8890" b="26035"/>
                <wp:wrapNone/>
                <wp:docPr id="8" name="直接连接符 8"/>
                <wp:cNvGraphicFramePr/>
                <a:graphic xmlns:a="http://schemas.openxmlformats.org/drawingml/2006/main">
                  <a:graphicData uri="http://schemas.microsoft.com/office/word/2010/wordprocessingShape">
                    <wps:wsp>
                      <wps:cNvCnPr/>
                      <wps:spPr>
                        <a:xfrm flipV="1">
                          <a:off x="0" y="0"/>
                          <a:ext cx="6353810" cy="36195"/>
                        </a:xfrm>
                        <a:prstGeom prst="line">
                          <a:avLst/>
                        </a:prstGeom>
                        <a:ln w="285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35.65pt;margin-top:4.45pt;height:2.85pt;width:500.3pt;z-index:251663360;mso-width-relative:page;mso-height-relative:page;" filled="f" stroked="t" coordsize="21600,21600" o:gfxdata="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iNKJf1gAAAAgBAAAPAAAAAAAAAAEAIAAAACIAAABkcnMvZG93bnJldi54bWxQSwEC&#10;FAAUAAAACACHTuJASvSSi/YBAADnAwAADgAAAAAAAAABACAAAAAlAQAAZHJzL2Uyb0RvYy54bWxQ&#10;SwUGAAAAAAYABgBZAQAAjQUAAAAA&#10;">
                <v:fill on="f" focussize="0,0"/>
                <v:stroke weight="2.25pt" color="#000000" joinstyle="round"/>
                <v:imagedata o:title=""/>
                <o:lock v:ext="edit" aspectratio="f"/>
              </v:line>
            </w:pict>
          </mc:Fallback>
        </mc:AlternateContent>
      </w:r>
    </w:p>
    <w:p w14:paraId="41949B65">
      <w:pPr>
        <w:pStyle w:val="2"/>
        <w:rPr>
          <w:rFonts w:hint="eastAsia" w:hAnsi="宋体" w:eastAsia="宋体" w:cs="宋体"/>
          <w:bCs/>
          <w:color w:val="auto"/>
          <w:sz w:val="32"/>
          <w:szCs w:val="32"/>
          <w:highlight w:val="none"/>
          <w:lang w:eastAsia="zh-CN"/>
        </w:rPr>
      </w:pPr>
      <w:r>
        <w:rPr>
          <w:rFonts w:hint="eastAsia" w:hAnsi="宋体" w:cs="宋体"/>
          <w:color w:val="auto"/>
          <w:sz w:val="32"/>
          <w:szCs w:val="32"/>
          <w:highlight w:val="none"/>
          <w:u w:val="single"/>
        </w:rPr>
        <mc:AlternateContent>
          <mc:Choice Requires="wps">
            <w:drawing>
              <wp:anchor distT="0" distB="0" distL="114300" distR="114300" simplePos="0" relativeHeight="251662336" behindDoc="0" locked="0" layoutInCell="1" allowOverlap="1">
                <wp:simplePos x="0" y="0"/>
                <wp:positionH relativeFrom="column">
                  <wp:posOffset>575310</wp:posOffset>
                </wp:positionH>
                <wp:positionV relativeFrom="paragraph">
                  <wp:posOffset>7171690</wp:posOffset>
                </wp:positionV>
                <wp:extent cx="6229350" cy="6350"/>
                <wp:effectExtent l="0" t="0" r="0" b="0"/>
                <wp:wrapNone/>
                <wp:docPr id="7" name="直接连接符 7"/>
                <wp:cNvGraphicFramePr/>
                <a:graphic xmlns:a="http://schemas.openxmlformats.org/drawingml/2006/main">
                  <a:graphicData uri="http://schemas.microsoft.com/office/word/2010/wordprocessingShape">
                    <wps:wsp>
                      <wps:cNvCnPr/>
                      <wps:spPr>
                        <a:xfrm flipV="1">
                          <a:off x="0" y="0"/>
                          <a:ext cx="6229350" cy="6350"/>
                        </a:xfrm>
                        <a:prstGeom prst="line">
                          <a:avLst/>
                        </a:prstGeom>
                        <a:ln w="285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45.3pt;margin-top:564.7pt;height:0.5pt;width:490.5pt;z-index:251662336;mso-width-relative:page;mso-height-relative:page;" filled="f" stroked="t" coordsize="21600,21600" o:gfxdata="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96jqDZAAAADQEAAA8AAAAAAAAAAQAgAAAAIgAAAGRycy9kb3ducmV2LnhtbFBL&#10;AQIUABQAAAAIAIdO4kDxw1G69QEAAOYDAAAOAAAAAAAAAAEAIAAAACgBAABkcnMvZTJvRG9jLnht&#10;bFBLBQYAAAAABgAGAFkBAACPBQAAAAA=&#10;">
                <v:fill on="f" focussize="0,0"/>
                <v:stroke weight="2.25pt" color="#000000" joinstyle="round"/>
                <v:imagedata o:title=""/>
                <o:lock v:ext="edit" aspectratio="f"/>
              </v:line>
            </w:pict>
          </mc:Fallback>
        </mc:AlternateContent>
      </w:r>
      <w:r>
        <w:rPr>
          <w:rFonts w:hint="eastAsia" w:hAnsi="宋体" w:cs="宋体"/>
          <w:color w:val="auto"/>
          <w:sz w:val="32"/>
          <w:szCs w:val="32"/>
          <w:highlight w:val="none"/>
          <w:u w:val="single"/>
        </w:rPr>
        <mc:AlternateContent>
          <mc:Choice Requires="wps">
            <w:drawing>
              <wp:anchor distT="0" distB="0" distL="114300" distR="114300" simplePos="0" relativeHeight="251660288" behindDoc="0" locked="0" layoutInCell="1" allowOverlap="1">
                <wp:simplePos x="0" y="0"/>
                <wp:positionH relativeFrom="column">
                  <wp:posOffset>422910</wp:posOffset>
                </wp:positionH>
                <wp:positionV relativeFrom="paragraph">
                  <wp:posOffset>7019290</wp:posOffset>
                </wp:positionV>
                <wp:extent cx="6229350" cy="6350"/>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6229350" cy="6350"/>
                        </a:xfrm>
                        <a:prstGeom prst="line">
                          <a:avLst/>
                        </a:prstGeom>
                        <a:ln w="285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33.3pt;margin-top:552.7pt;height:0.5pt;width:490.5pt;z-index:251660288;mso-width-relative:page;mso-height-relative:page;" filled="f" stroked="t" coordsize="21600,21600" o:gfxdata="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K+Fg22AAAAA0BAAAPAAAAAAAAAAEAIAAAACIAAABkcnMvZG93bnJldi54bWxQSwEC&#10;FAAUAAAACACHTuJABuWcePQBAADmAwAADgAAAAAAAAABACAAAAAnAQAAZHJzL2Uyb0RvYy54bWxQ&#10;SwUGAAAAAAYABgBZAQAAjQUAAAAA&#10;">
                <v:fill on="f" focussize="0,0"/>
                <v:stroke weight="2.25pt" color="#000000" joinstyle="round"/>
                <v:imagedata o:title=""/>
                <o:lock v:ext="edit" aspectratio="f"/>
              </v:line>
            </w:pict>
          </mc:Fallback>
        </mc:AlternateContent>
      </w:r>
      <w:r>
        <w:rPr>
          <w:rFonts w:hint="eastAsia" w:hAnsi="宋体" w:cs="宋体"/>
          <w:color w:val="auto"/>
          <w:sz w:val="32"/>
          <w:szCs w:val="32"/>
          <w:highlight w:val="none"/>
        </w:rPr>
        <w:t xml:space="preserve">            采购单位：</w:t>
      </w:r>
      <w:r>
        <w:rPr>
          <w:rFonts w:hint="eastAsia" w:hAnsi="宋体" w:cs="宋体"/>
          <w:color w:val="auto"/>
          <w:sz w:val="32"/>
          <w:szCs w:val="32"/>
          <w:highlight w:val="none"/>
          <w:lang w:eastAsia="zh-CN"/>
        </w:rPr>
        <w:t>浦北县江城街道办事处</w:t>
      </w:r>
    </w:p>
    <w:p w14:paraId="7D1A5172">
      <w:pPr>
        <w:spacing w:line="800" w:lineRule="exact"/>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采购代理机构：广西荣胜项目管理有限公司</w:t>
      </w:r>
    </w:p>
    <w:p w14:paraId="75B387DC">
      <w:pPr>
        <w:spacing w:line="800" w:lineRule="exact"/>
        <w:jc w:val="center"/>
        <w:rPr>
          <w:rFonts w:hint="eastAsia" w:ascii="宋体" w:hAnsi="宋体" w:cs="宋体"/>
          <w:color w:val="auto"/>
          <w:highlight w:val="none"/>
        </w:rPr>
      </w:pPr>
      <w:r>
        <w:rPr>
          <w:rFonts w:hint="eastAsia" w:ascii="宋体" w:hAnsi="宋体" w:cs="宋体"/>
          <w:color w:val="auto"/>
          <w:sz w:val="32"/>
          <w:szCs w:val="32"/>
          <w:highlight w:val="none"/>
        </w:rPr>
        <w:t xml:space="preserve"> 202</w:t>
      </w:r>
      <w:r>
        <w:rPr>
          <w:rFonts w:hint="eastAsia" w:ascii="宋体" w:hAnsi="宋体" w:cs="宋体"/>
          <w:color w:val="auto"/>
          <w:sz w:val="32"/>
          <w:szCs w:val="32"/>
          <w:highlight w:val="none"/>
          <w:lang w:val="en-US" w:eastAsia="zh-CN"/>
        </w:rPr>
        <w:t>6</w:t>
      </w:r>
      <w:r>
        <w:rPr>
          <w:rFonts w:hint="eastAsia" w:ascii="宋体" w:hAnsi="宋体" w:cs="宋体"/>
          <w:color w:val="auto"/>
          <w:sz w:val="32"/>
          <w:szCs w:val="32"/>
          <w:highlight w:val="none"/>
        </w:rPr>
        <w:t>年</w:t>
      </w:r>
      <w:r>
        <w:rPr>
          <w:rFonts w:hint="eastAsia" w:ascii="宋体" w:hAnsi="宋体" w:cs="宋体"/>
          <w:color w:val="auto"/>
          <w:sz w:val="32"/>
          <w:szCs w:val="32"/>
          <w:highlight w:val="none"/>
          <w:lang w:val="en-US" w:eastAsia="zh-CN"/>
        </w:rPr>
        <w:t>10</w:t>
      </w:r>
      <w:r>
        <w:rPr>
          <w:rFonts w:hint="eastAsia" w:ascii="宋体" w:hAnsi="宋体" w:cs="宋体"/>
          <w:color w:val="auto"/>
          <w:sz w:val="32"/>
          <w:szCs w:val="32"/>
          <w:highlight w:val="none"/>
        </w:rPr>
        <w:t>月</w:t>
      </w:r>
    </w:p>
    <w:p w14:paraId="036FF019">
      <w:pPr>
        <w:spacing w:line="800" w:lineRule="exact"/>
        <w:rPr>
          <w:rFonts w:hint="eastAsia" w:ascii="宋体" w:hAnsi="宋体" w:cs="宋体"/>
          <w:color w:val="auto"/>
          <w:highlight w:val="none"/>
        </w:rPr>
        <w:sectPr>
          <w:pgSz w:w="11906" w:h="16838"/>
          <w:pgMar w:top="1134" w:right="1134" w:bottom="1134" w:left="1417" w:header="850" w:footer="992" w:gutter="0"/>
          <w:cols w:space="720" w:num="1"/>
          <w:docGrid w:type="lines" w:linePitch="317" w:charSpace="0"/>
        </w:sectPr>
      </w:pPr>
    </w:p>
    <w:p w14:paraId="785A9538">
      <w:pPr>
        <w:pStyle w:val="3"/>
        <w:rPr>
          <w:rFonts w:hint="eastAsia"/>
          <w:color w:val="auto"/>
          <w:highlight w:val="none"/>
        </w:rPr>
      </w:pPr>
    </w:p>
    <w:sdt>
      <w:sdtPr>
        <w:rPr>
          <w:rFonts w:ascii="宋体" w:hAnsi="宋体"/>
          <w:color w:val="auto"/>
          <w:sz w:val="28"/>
          <w:szCs w:val="36"/>
          <w:highlight w:val="none"/>
        </w:rPr>
        <w:id w:val="147475717"/>
        <w15:color w:val="DBDBDB"/>
        <w:docPartObj>
          <w:docPartGallery w:val="Table of Contents"/>
          <w:docPartUnique/>
        </w:docPartObj>
      </w:sdtPr>
      <w:sdtEndPr>
        <w:rPr>
          <w:rFonts w:ascii="宋体" w:hAnsi="宋体" w:cs="宋体"/>
          <w:color w:val="auto"/>
          <w:sz w:val="28"/>
          <w:szCs w:val="40"/>
          <w:highlight w:val="none"/>
        </w:rPr>
      </w:sdtEndPr>
      <w:sdtContent>
        <w:p w14:paraId="461B70A4">
          <w:pPr>
            <w:spacing w:line="360" w:lineRule="auto"/>
            <w:jc w:val="center"/>
            <w:rPr>
              <w:color w:val="auto"/>
              <w:sz w:val="44"/>
              <w:szCs w:val="44"/>
              <w:highlight w:val="none"/>
            </w:rPr>
          </w:pPr>
          <w:r>
            <w:rPr>
              <w:rFonts w:ascii="宋体" w:hAnsi="宋体"/>
              <w:b/>
              <w:bCs/>
              <w:color w:val="auto"/>
              <w:sz w:val="44"/>
              <w:szCs w:val="44"/>
              <w:highlight w:val="none"/>
            </w:rPr>
            <w:t>目</w:t>
          </w:r>
          <w:r>
            <w:rPr>
              <w:rFonts w:hint="eastAsia" w:ascii="宋体" w:hAnsi="宋体"/>
              <w:b/>
              <w:bCs/>
              <w:color w:val="auto"/>
              <w:sz w:val="44"/>
              <w:szCs w:val="44"/>
              <w:highlight w:val="none"/>
            </w:rPr>
            <w:t xml:space="preserve">  </w:t>
          </w:r>
          <w:r>
            <w:rPr>
              <w:rFonts w:ascii="宋体" w:hAnsi="宋体"/>
              <w:b/>
              <w:bCs/>
              <w:color w:val="auto"/>
              <w:sz w:val="44"/>
              <w:szCs w:val="44"/>
              <w:highlight w:val="none"/>
            </w:rPr>
            <w:t>录</w:t>
          </w:r>
        </w:p>
        <w:p w14:paraId="25BD219D">
          <w:pPr>
            <w:pStyle w:val="21"/>
            <w:tabs>
              <w:tab w:val="right" w:leader="dot" w:pos="9799"/>
            </w:tabs>
            <w:rPr>
              <w:rFonts w:hint="eastAsia" w:ascii="宋体" w:hAnsi="宋体" w:cs="宋体"/>
              <w:color w:val="auto"/>
              <w:sz w:val="28"/>
              <w:szCs w:val="36"/>
              <w:highlight w:val="none"/>
            </w:rPr>
          </w:pPr>
          <w:r>
            <w:rPr>
              <w:rFonts w:ascii="宋体" w:hAnsi="宋体" w:cs="宋体"/>
              <w:color w:val="auto"/>
              <w:sz w:val="32"/>
              <w:szCs w:val="40"/>
              <w:highlight w:val="none"/>
            </w:rPr>
            <w:fldChar w:fldCharType="begin"/>
          </w:r>
          <w:r>
            <w:rPr>
              <w:rFonts w:ascii="宋体" w:hAnsi="宋体" w:cs="宋体"/>
              <w:color w:val="auto"/>
              <w:sz w:val="32"/>
              <w:szCs w:val="40"/>
              <w:highlight w:val="none"/>
            </w:rPr>
            <w:instrText xml:space="preserve">TOC \o "1-1" \h \u </w:instrText>
          </w:r>
          <w:r>
            <w:rPr>
              <w:rFonts w:ascii="宋体" w:hAnsi="宋体" w:cs="宋体"/>
              <w:color w:val="auto"/>
              <w:sz w:val="32"/>
              <w:szCs w:val="40"/>
              <w:highlight w:val="none"/>
            </w:rPr>
            <w:fldChar w:fldCharType="separate"/>
          </w:r>
        </w:p>
        <w:p w14:paraId="63BF5C4D">
          <w:pPr>
            <w:pStyle w:val="21"/>
            <w:tabs>
              <w:tab w:val="right" w:leader="dot" w:pos="9799"/>
            </w:tabs>
            <w:spacing w:line="700" w:lineRule="exact"/>
            <w:ind w:left="315" w:leftChars="150" w:right="210" w:rightChars="100"/>
            <w:rPr>
              <w:rFonts w:hint="eastAsia" w:ascii="宋体" w:hAnsi="宋体" w:cs="宋体"/>
              <w:color w:val="auto"/>
              <w:sz w:val="24"/>
              <w:highlight w:val="none"/>
            </w:rPr>
          </w:pPr>
          <w:r>
            <w:rPr>
              <w:color w:val="auto"/>
              <w:highlight w:val="none"/>
            </w:rPr>
            <w:fldChar w:fldCharType="begin"/>
          </w:r>
          <w:r>
            <w:rPr>
              <w:color w:val="auto"/>
              <w:highlight w:val="none"/>
            </w:rPr>
            <w:instrText xml:space="preserve"> HYPERLINK \l "_Toc29312" </w:instrText>
          </w:r>
          <w:r>
            <w:rPr>
              <w:color w:val="auto"/>
              <w:highlight w:val="none"/>
            </w:rPr>
            <w:fldChar w:fldCharType="separate"/>
          </w:r>
          <w:r>
            <w:rPr>
              <w:rFonts w:hint="eastAsia" w:ascii="宋体" w:hAnsi="宋体" w:cs="宋体"/>
              <w:color w:val="auto"/>
              <w:sz w:val="24"/>
              <w:highlight w:val="none"/>
            </w:rPr>
            <w:t>第一章  竞争性磋商公告</w:t>
          </w:r>
          <w:r>
            <w:rPr>
              <w:rFonts w:hint="eastAsia" w:ascii="宋体" w:hAnsi="宋体" w:cs="宋体"/>
              <w:color w:val="auto"/>
              <w:sz w:val="24"/>
              <w:highlight w:val="none"/>
            </w:rPr>
            <w:tab/>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PAGEREF _Toc29312 \h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2</w:t>
          </w:r>
          <w:r>
            <w:rPr>
              <w:rFonts w:hint="eastAsia" w:ascii="宋体" w:hAnsi="宋体" w:cs="宋体"/>
              <w:color w:val="auto"/>
              <w:sz w:val="24"/>
              <w:highlight w:val="none"/>
            </w:rPr>
            <w:fldChar w:fldCharType="end"/>
          </w:r>
          <w:r>
            <w:rPr>
              <w:rFonts w:hint="eastAsia" w:ascii="宋体" w:hAnsi="宋体" w:cs="宋体"/>
              <w:color w:val="auto"/>
              <w:sz w:val="24"/>
              <w:highlight w:val="none"/>
            </w:rPr>
            <w:fldChar w:fldCharType="end"/>
          </w:r>
        </w:p>
        <w:p w14:paraId="3F44CEC3">
          <w:pPr>
            <w:pStyle w:val="21"/>
            <w:tabs>
              <w:tab w:val="right" w:leader="dot" w:pos="9799"/>
            </w:tabs>
            <w:spacing w:line="700" w:lineRule="exact"/>
            <w:ind w:left="315" w:leftChars="150" w:right="210" w:rightChars="100"/>
            <w:rPr>
              <w:rFonts w:hint="eastAsia" w:ascii="宋体" w:hAnsi="宋体" w:cs="宋体"/>
              <w:color w:val="auto"/>
              <w:sz w:val="24"/>
              <w:highlight w:val="none"/>
            </w:rPr>
          </w:pPr>
          <w:r>
            <w:rPr>
              <w:color w:val="auto"/>
              <w:highlight w:val="none"/>
            </w:rPr>
            <w:fldChar w:fldCharType="begin"/>
          </w:r>
          <w:r>
            <w:rPr>
              <w:color w:val="auto"/>
              <w:highlight w:val="none"/>
            </w:rPr>
            <w:instrText xml:space="preserve"> HYPERLINK \l "_Toc5416" </w:instrText>
          </w:r>
          <w:r>
            <w:rPr>
              <w:color w:val="auto"/>
              <w:highlight w:val="none"/>
            </w:rPr>
            <w:fldChar w:fldCharType="separate"/>
          </w:r>
          <w:r>
            <w:rPr>
              <w:rFonts w:hint="eastAsia" w:ascii="宋体" w:hAnsi="宋体" w:cs="宋体"/>
              <w:bCs/>
              <w:color w:val="auto"/>
              <w:kern w:val="0"/>
              <w:sz w:val="24"/>
              <w:highlight w:val="none"/>
            </w:rPr>
            <w:t>第二章   供应商须知前附表</w:t>
          </w:r>
          <w:r>
            <w:rPr>
              <w:rFonts w:hint="eastAsia" w:ascii="宋体" w:hAnsi="宋体" w:cs="宋体"/>
              <w:color w:val="auto"/>
              <w:sz w:val="24"/>
              <w:highlight w:val="none"/>
            </w:rPr>
            <w:tab/>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PAGEREF _Toc5416 \h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6</w:t>
          </w:r>
          <w:r>
            <w:rPr>
              <w:rFonts w:hint="eastAsia" w:ascii="宋体" w:hAnsi="宋体" w:cs="宋体"/>
              <w:color w:val="auto"/>
              <w:sz w:val="24"/>
              <w:highlight w:val="none"/>
            </w:rPr>
            <w:fldChar w:fldCharType="end"/>
          </w:r>
          <w:r>
            <w:rPr>
              <w:rFonts w:hint="eastAsia" w:ascii="宋体" w:hAnsi="宋体" w:cs="宋体"/>
              <w:color w:val="auto"/>
              <w:sz w:val="24"/>
              <w:highlight w:val="none"/>
            </w:rPr>
            <w:fldChar w:fldCharType="end"/>
          </w:r>
        </w:p>
        <w:p w14:paraId="4DBCF20B">
          <w:pPr>
            <w:pStyle w:val="21"/>
            <w:tabs>
              <w:tab w:val="right" w:leader="dot" w:pos="9799"/>
            </w:tabs>
            <w:spacing w:line="700" w:lineRule="exact"/>
            <w:ind w:left="315" w:leftChars="150" w:right="210" w:rightChars="100"/>
            <w:rPr>
              <w:rFonts w:hint="eastAsia" w:ascii="宋体" w:hAnsi="宋体" w:cs="宋体"/>
              <w:color w:val="auto"/>
              <w:sz w:val="24"/>
              <w:highlight w:val="none"/>
            </w:rPr>
          </w:pPr>
          <w:r>
            <w:rPr>
              <w:color w:val="auto"/>
              <w:highlight w:val="none"/>
            </w:rPr>
            <w:fldChar w:fldCharType="begin"/>
          </w:r>
          <w:r>
            <w:rPr>
              <w:color w:val="auto"/>
              <w:highlight w:val="none"/>
            </w:rPr>
            <w:instrText xml:space="preserve"> HYPERLINK \l "_Toc26558" </w:instrText>
          </w:r>
          <w:r>
            <w:rPr>
              <w:color w:val="auto"/>
              <w:highlight w:val="none"/>
            </w:rPr>
            <w:fldChar w:fldCharType="separate"/>
          </w:r>
          <w:r>
            <w:rPr>
              <w:rFonts w:hint="eastAsia" w:ascii="宋体" w:hAnsi="宋体" w:cs="宋体"/>
              <w:bCs/>
              <w:color w:val="auto"/>
              <w:kern w:val="0"/>
              <w:sz w:val="24"/>
              <w:highlight w:val="none"/>
            </w:rPr>
            <w:t>第三章   项目基本情况及要求</w:t>
          </w:r>
          <w:r>
            <w:rPr>
              <w:rFonts w:hint="eastAsia" w:ascii="宋体" w:hAnsi="宋体" w:cs="宋体"/>
              <w:color w:val="auto"/>
              <w:sz w:val="24"/>
              <w:highlight w:val="none"/>
            </w:rPr>
            <w:tab/>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PAGEREF _Toc26558 \h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25</w:t>
          </w:r>
          <w:r>
            <w:rPr>
              <w:rFonts w:hint="eastAsia" w:ascii="宋体" w:hAnsi="宋体" w:cs="宋体"/>
              <w:color w:val="auto"/>
              <w:sz w:val="24"/>
              <w:highlight w:val="none"/>
            </w:rPr>
            <w:fldChar w:fldCharType="end"/>
          </w:r>
          <w:r>
            <w:rPr>
              <w:rFonts w:hint="eastAsia" w:ascii="宋体" w:hAnsi="宋体" w:cs="宋体"/>
              <w:color w:val="auto"/>
              <w:sz w:val="24"/>
              <w:highlight w:val="none"/>
            </w:rPr>
            <w:fldChar w:fldCharType="end"/>
          </w:r>
        </w:p>
        <w:p w14:paraId="649E7CB7">
          <w:pPr>
            <w:pStyle w:val="21"/>
            <w:tabs>
              <w:tab w:val="right" w:leader="dot" w:pos="9799"/>
            </w:tabs>
            <w:spacing w:line="700" w:lineRule="exact"/>
            <w:ind w:left="315" w:leftChars="150" w:right="210" w:rightChars="100"/>
            <w:rPr>
              <w:rFonts w:hint="eastAsia" w:ascii="宋体" w:hAnsi="宋体" w:cs="宋体"/>
              <w:color w:val="auto"/>
              <w:sz w:val="24"/>
              <w:highlight w:val="none"/>
            </w:rPr>
          </w:pPr>
          <w:r>
            <w:rPr>
              <w:color w:val="auto"/>
              <w:highlight w:val="none"/>
            </w:rPr>
            <w:fldChar w:fldCharType="begin"/>
          </w:r>
          <w:r>
            <w:rPr>
              <w:color w:val="auto"/>
              <w:highlight w:val="none"/>
            </w:rPr>
            <w:instrText xml:space="preserve"> HYPERLINK \l "_Toc20069" </w:instrText>
          </w:r>
          <w:r>
            <w:rPr>
              <w:color w:val="auto"/>
              <w:highlight w:val="none"/>
            </w:rPr>
            <w:fldChar w:fldCharType="separate"/>
          </w:r>
          <w:r>
            <w:rPr>
              <w:rFonts w:hint="eastAsia" w:ascii="宋体" w:hAnsi="宋体" w:cs="宋体"/>
              <w:bCs/>
              <w:color w:val="auto"/>
              <w:kern w:val="0"/>
              <w:sz w:val="24"/>
              <w:highlight w:val="none"/>
            </w:rPr>
            <w:t>第四章  评审标准</w:t>
          </w:r>
          <w:r>
            <w:rPr>
              <w:rFonts w:hint="eastAsia" w:ascii="宋体" w:hAnsi="宋体" w:cs="宋体"/>
              <w:color w:val="auto"/>
              <w:sz w:val="24"/>
              <w:highlight w:val="none"/>
            </w:rPr>
            <w:tab/>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PAGEREF _Toc20069 \h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25</w:t>
          </w:r>
          <w:r>
            <w:rPr>
              <w:rFonts w:hint="eastAsia" w:ascii="宋体" w:hAnsi="宋体" w:cs="宋体"/>
              <w:color w:val="auto"/>
              <w:sz w:val="24"/>
              <w:highlight w:val="none"/>
            </w:rPr>
            <w:fldChar w:fldCharType="end"/>
          </w:r>
          <w:r>
            <w:rPr>
              <w:rFonts w:hint="eastAsia" w:ascii="宋体" w:hAnsi="宋体" w:cs="宋体"/>
              <w:color w:val="auto"/>
              <w:sz w:val="24"/>
              <w:highlight w:val="none"/>
            </w:rPr>
            <w:fldChar w:fldCharType="end"/>
          </w:r>
        </w:p>
        <w:p w14:paraId="2F2367D3">
          <w:pPr>
            <w:pStyle w:val="21"/>
            <w:tabs>
              <w:tab w:val="right" w:leader="dot" w:pos="9799"/>
            </w:tabs>
            <w:spacing w:line="700" w:lineRule="exact"/>
            <w:ind w:left="315" w:leftChars="150" w:right="210" w:rightChars="100"/>
            <w:rPr>
              <w:rFonts w:hint="eastAsia" w:ascii="宋体" w:hAnsi="宋体" w:cs="宋体"/>
              <w:color w:val="auto"/>
              <w:sz w:val="24"/>
              <w:highlight w:val="none"/>
            </w:rPr>
          </w:pPr>
          <w:r>
            <w:rPr>
              <w:color w:val="auto"/>
              <w:highlight w:val="none"/>
            </w:rPr>
            <w:fldChar w:fldCharType="begin"/>
          </w:r>
          <w:r>
            <w:rPr>
              <w:color w:val="auto"/>
              <w:highlight w:val="none"/>
            </w:rPr>
            <w:instrText xml:space="preserve"> HYPERLINK \l "_Toc15543" </w:instrText>
          </w:r>
          <w:r>
            <w:rPr>
              <w:color w:val="auto"/>
              <w:highlight w:val="none"/>
            </w:rPr>
            <w:fldChar w:fldCharType="separate"/>
          </w:r>
          <w:r>
            <w:rPr>
              <w:rFonts w:hint="eastAsia" w:ascii="宋体" w:hAnsi="宋体" w:cs="宋体"/>
              <w:bCs/>
              <w:color w:val="auto"/>
              <w:kern w:val="0"/>
              <w:sz w:val="24"/>
              <w:highlight w:val="none"/>
            </w:rPr>
            <w:t>第五章  响应文件（格式）</w:t>
          </w:r>
          <w:r>
            <w:rPr>
              <w:rFonts w:hint="eastAsia" w:ascii="宋体" w:hAnsi="宋体" w:cs="宋体"/>
              <w:color w:val="auto"/>
              <w:sz w:val="24"/>
              <w:highlight w:val="none"/>
            </w:rPr>
            <w:tab/>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PAGEREF _Toc15543 \h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38</w:t>
          </w:r>
          <w:r>
            <w:rPr>
              <w:rFonts w:hint="eastAsia" w:ascii="宋体" w:hAnsi="宋体" w:cs="宋体"/>
              <w:color w:val="auto"/>
              <w:sz w:val="24"/>
              <w:highlight w:val="none"/>
            </w:rPr>
            <w:fldChar w:fldCharType="end"/>
          </w:r>
          <w:r>
            <w:rPr>
              <w:rFonts w:hint="eastAsia" w:ascii="宋体" w:hAnsi="宋体" w:cs="宋体"/>
              <w:color w:val="auto"/>
              <w:sz w:val="24"/>
              <w:highlight w:val="none"/>
            </w:rPr>
            <w:fldChar w:fldCharType="end"/>
          </w:r>
        </w:p>
        <w:p w14:paraId="7C52E057">
          <w:pPr>
            <w:pStyle w:val="21"/>
            <w:tabs>
              <w:tab w:val="right" w:leader="dot" w:pos="9799"/>
            </w:tabs>
            <w:spacing w:line="700" w:lineRule="exact"/>
            <w:ind w:left="315" w:leftChars="150" w:right="210" w:rightChars="100"/>
            <w:rPr>
              <w:rFonts w:hint="eastAsia" w:ascii="宋体" w:hAnsi="宋体" w:cs="宋体"/>
              <w:color w:val="auto"/>
              <w:sz w:val="24"/>
              <w:szCs w:val="32"/>
              <w:highlight w:val="none"/>
            </w:rPr>
          </w:pPr>
          <w:r>
            <w:rPr>
              <w:color w:val="auto"/>
              <w:highlight w:val="none"/>
            </w:rPr>
            <w:fldChar w:fldCharType="begin"/>
          </w:r>
          <w:r>
            <w:rPr>
              <w:color w:val="auto"/>
              <w:highlight w:val="none"/>
            </w:rPr>
            <w:instrText xml:space="preserve"> HYPERLINK \l "_Toc3612" </w:instrText>
          </w:r>
          <w:r>
            <w:rPr>
              <w:color w:val="auto"/>
              <w:highlight w:val="none"/>
            </w:rPr>
            <w:fldChar w:fldCharType="separate"/>
          </w:r>
          <w:r>
            <w:rPr>
              <w:rFonts w:hint="eastAsia" w:ascii="宋体" w:hAnsi="宋体" w:cs="宋体"/>
              <w:color w:val="auto"/>
              <w:kern w:val="0"/>
              <w:sz w:val="24"/>
              <w:highlight w:val="none"/>
            </w:rPr>
            <w:t>第六章   合同主要条款（参考格式）</w:t>
          </w:r>
          <w:r>
            <w:rPr>
              <w:rFonts w:hint="eastAsia" w:ascii="宋体" w:hAnsi="宋体" w:cs="宋体"/>
              <w:color w:val="auto"/>
              <w:sz w:val="24"/>
              <w:highlight w:val="none"/>
            </w:rPr>
            <w:tab/>
          </w: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PAGEREF _Toc3612 \h </w:instrText>
          </w:r>
          <w:r>
            <w:rPr>
              <w:rFonts w:hint="eastAsia" w:ascii="宋体" w:hAnsi="宋体" w:cs="宋体"/>
              <w:color w:val="auto"/>
              <w:sz w:val="24"/>
              <w:highlight w:val="none"/>
            </w:rPr>
            <w:fldChar w:fldCharType="separate"/>
          </w:r>
          <w:r>
            <w:rPr>
              <w:rFonts w:hint="eastAsia" w:ascii="宋体" w:hAnsi="宋体" w:cs="宋体"/>
              <w:color w:val="auto"/>
              <w:sz w:val="24"/>
              <w:highlight w:val="none"/>
            </w:rPr>
            <w:t>65</w:t>
          </w:r>
          <w:r>
            <w:rPr>
              <w:rFonts w:hint="eastAsia" w:ascii="宋体" w:hAnsi="宋体" w:cs="宋体"/>
              <w:color w:val="auto"/>
              <w:sz w:val="24"/>
              <w:highlight w:val="none"/>
            </w:rPr>
            <w:fldChar w:fldCharType="end"/>
          </w:r>
          <w:r>
            <w:rPr>
              <w:rFonts w:hint="eastAsia" w:ascii="宋体" w:hAnsi="宋体" w:cs="宋体"/>
              <w:color w:val="auto"/>
              <w:sz w:val="24"/>
              <w:highlight w:val="none"/>
            </w:rPr>
            <w:fldChar w:fldCharType="end"/>
          </w:r>
        </w:p>
        <w:p w14:paraId="12756FE1">
          <w:pPr>
            <w:pStyle w:val="21"/>
            <w:tabs>
              <w:tab w:val="right" w:leader="dot" w:pos="9799"/>
            </w:tabs>
            <w:spacing w:line="360" w:lineRule="auto"/>
            <w:rPr>
              <w:color w:val="auto"/>
              <w:sz w:val="20"/>
              <w:szCs w:val="22"/>
              <w:highlight w:val="none"/>
            </w:rPr>
          </w:pPr>
        </w:p>
        <w:p w14:paraId="3E51D165">
          <w:pPr>
            <w:pStyle w:val="21"/>
            <w:tabs>
              <w:tab w:val="center" w:pos="4899"/>
            </w:tabs>
            <w:spacing w:line="360" w:lineRule="auto"/>
            <w:rPr>
              <w:rFonts w:hint="eastAsia" w:ascii="宋体" w:hAnsi="宋体" w:cs="宋体"/>
              <w:color w:val="auto"/>
              <w:sz w:val="32"/>
              <w:szCs w:val="40"/>
              <w:highlight w:val="none"/>
            </w:rPr>
          </w:pPr>
          <w:r>
            <w:rPr>
              <w:rFonts w:ascii="宋体" w:hAnsi="宋体" w:cs="宋体"/>
              <w:color w:val="auto"/>
              <w:szCs w:val="40"/>
              <w:highlight w:val="none"/>
            </w:rPr>
            <w:fldChar w:fldCharType="end"/>
          </w:r>
          <w:r>
            <w:rPr>
              <w:rFonts w:hint="eastAsia" w:ascii="宋体" w:hAnsi="宋体" w:cs="宋体"/>
              <w:color w:val="auto"/>
              <w:szCs w:val="40"/>
              <w:highlight w:val="none"/>
            </w:rPr>
            <w:tab/>
          </w:r>
        </w:p>
      </w:sdtContent>
    </w:sdt>
    <w:p w14:paraId="63DAF48B">
      <w:pPr>
        <w:pStyle w:val="2"/>
        <w:tabs>
          <w:tab w:val="left" w:pos="4386"/>
        </w:tabs>
        <w:autoSpaceDE/>
        <w:autoSpaceDN/>
        <w:adjustRightInd/>
        <w:spacing w:line="320" w:lineRule="exact"/>
        <w:rPr>
          <w:rFonts w:hint="eastAsia" w:hAnsi="宋体" w:cs="宋体"/>
          <w:b/>
          <w:bCs/>
          <w:color w:val="auto"/>
          <w:sz w:val="36"/>
          <w:szCs w:val="36"/>
          <w:highlight w:val="none"/>
        </w:rPr>
      </w:pPr>
      <w:r>
        <w:rPr>
          <w:rFonts w:hint="eastAsia" w:hAnsi="宋体" w:cs="宋体"/>
          <w:b/>
          <w:bCs/>
          <w:color w:val="auto"/>
          <w:sz w:val="36"/>
          <w:szCs w:val="36"/>
          <w:highlight w:val="none"/>
        </w:rPr>
        <w:tab/>
      </w:r>
    </w:p>
    <w:p w14:paraId="61E46511">
      <w:pPr>
        <w:tabs>
          <w:tab w:val="left" w:pos="6703"/>
        </w:tabs>
        <w:jc w:val="left"/>
        <w:rPr>
          <w:color w:val="auto"/>
          <w:highlight w:val="none"/>
        </w:rPr>
        <w:sectPr>
          <w:headerReference r:id="rId3" w:type="default"/>
          <w:footerReference r:id="rId4" w:type="default"/>
          <w:pgSz w:w="11906" w:h="16838"/>
          <w:pgMar w:top="1440" w:right="1080" w:bottom="1440" w:left="460" w:header="851" w:footer="794" w:gutter="567"/>
          <w:pgNumType w:start="1"/>
          <w:cols w:space="720" w:num="1"/>
        </w:sectPr>
      </w:pPr>
      <w:r>
        <w:rPr>
          <w:rFonts w:hint="eastAsia"/>
          <w:color w:val="auto"/>
          <w:highlight w:val="none"/>
        </w:rPr>
        <w:tab/>
      </w:r>
    </w:p>
    <w:p w14:paraId="12061E96">
      <w:pPr>
        <w:pStyle w:val="4"/>
        <w:spacing w:before="0" w:after="156" w:afterLines="50" w:line="520" w:lineRule="exact"/>
        <w:jc w:val="center"/>
        <w:rPr>
          <w:color w:val="auto"/>
          <w:sz w:val="32"/>
          <w:szCs w:val="32"/>
          <w:highlight w:val="none"/>
        </w:rPr>
      </w:pPr>
      <w:bookmarkStart w:id="1" w:name="_Toc29312"/>
      <w:r>
        <w:rPr>
          <w:rFonts w:hint="eastAsia"/>
          <w:color w:val="auto"/>
          <w:sz w:val="32"/>
          <w:szCs w:val="32"/>
          <w:highlight w:val="none"/>
        </w:rPr>
        <w:t>第一章</w:t>
      </w:r>
      <w:bookmarkEnd w:id="0"/>
      <w:bookmarkEnd w:id="1"/>
      <w:bookmarkStart w:id="2" w:name="_Toc434315323"/>
      <w:r>
        <w:rPr>
          <w:rFonts w:hint="eastAsia"/>
          <w:color w:val="auto"/>
          <w:sz w:val="32"/>
          <w:szCs w:val="32"/>
          <w:highlight w:val="none"/>
        </w:rPr>
        <w:t xml:space="preserve">  竞争性磋商公告</w:t>
      </w:r>
    </w:p>
    <w:p w14:paraId="0FD01911">
      <w:pPr>
        <w:spacing w:after="156" w:afterLines="50" w:line="460" w:lineRule="exact"/>
        <w:jc w:val="center"/>
        <w:rPr>
          <w:color w:val="auto"/>
          <w:sz w:val="30"/>
          <w:szCs w:val="30"/>
          <w:highlight w:val="none"/>
        </w:rPr>
      </w:pPr>
      <w:r>
        <w:rPr>
          <w:rFonts w:hint="eastAsia" w:ascii="宋体" w:hAnsi="宋体"/>
          <w:b/>
          <w:color w:val="auto"/>
          <w:sz w:val="30"/>
          <w:szCs w:val="30"/>
          <w:highlight w:val="none"/>
        </w:rPr>
        <w:t>广西荣胜项目管理有限公司关于</w:t>
      </w:r>
      <w:bookmarkStart w:id="3" w:name="_Toc2948"/>
      <w:r>
        <w:rPr>
          <w:rFonts w:hint="eastAsia" w:ascii="宋体" w:hAnsi="宋体"/>
          <w:b/>
          <w:color w:val="auto"/>
          <w:sz w:val="30"/>
          <w:szCs w:val="30"/>
          <w:highlight w:val="none"/>
          <w:lang w:eastAsia="zh-CN"/>
        </w:rPr>
        <w:t>2026年自治区生态环境保护资金浦北县马江河沿岸重点区域农村生活污水处理项目-江城街道工程</w:t>
      </w:r>
      <w:r>
        <w:rPr>
          <w:rFonts w:hint="eastAsia" w:ascii="宋体" w:hAnsi="宋体"/>
          <w:b/>
          <w:color w:val="auto"/>
          <w:sz w:val="30"/>
          <w:szCs w:val="30"/>
          <w:highlight w:val="none"/>
        </w:rPr>
        <w:t>（</w:t>
      </w:r>
      <w:r>
        <w:rPr>
          <w:rFonts w:hint="eastAsia" w:ascii="宋体" w:hAnsi="宋体"/>
          <w:b/>
          <w:color w:val="auto"/>
          <w:sz w:val="30"/>
          <w:szCs w:val="30"/>
          <w:highlight w:val="none"/>
          <w:lang w:eastAsia="zh-CN"/>
        </w:rPr>
        <w:t>QZZC2026-C2-220163-GXRS</w:t>
      </w:r>
      <w:r>
        <w:rPr>
          <w:rFonts w:hint="eastAsia" w:ascii="宋体" w:hAnsi="宋体"/>
          <w:b/>
          <w:color w:val="auto"/>
          <w:sz w:val="30"/>
          <w:szCs w:val="30"/>
          <w:highlight w:val="none"/>
        </w:rPr>
        <w:t>）竞争性磋商公告</w:t>
      </w:r>
      <w:bookmarkEnd w:id="3"/>
    </w:p>
    <w:tbl>
      <w:tblPr>
        <w:tblStyle w:val="31"/>
        <w:tblW w:w="92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66"/>
      </w:tblGrid>
      <w:tr w14:paraId="2A84A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9266" w:type="dxa"/>
          </w:tcPr>
          <w:p w14:paraId="3D5E59F9">
            <w:pPr>
              <w:spacing w:line="400" w:lineRule="exact"/>
              <w:rPr>
                <w:rFonts w:hint="eastAsia" w:ascii="宋体" w:hAnsi="宋体" w:cs="宋体"/>
                <w:b/>
                <w:bCs/>
                <w:color w:val="auto"/>
                <w:szCs w:val="21"/>
                <w:highlight w:val="none"/>
              </w:rPr>
            </w:pPr>
            <w:r>
              <w:rPr>
                <w:rFonts w:hint="eastAsia" w:ascii="宋体" w:hAnsi="宋体" w:cs="宋体"/>
                <w:b/>
                <w:bCs/>
                <w:color w:val="auto"/>
                <w:szCs w:val="21"/>
                <w:highlight w:val="none"/>
              </w:rPr>
              <w:t>项目概况</w:t>
            </w:r>
          </w:p>
          <w:p w14:paraId="67AE7328">
            <w:pPr>
              <w:spacing w:line="400" w:lineRule="exact"/>
              <w:ind w:firstLine="420" w:firstLineChars="200"/>
              <w:rPr>
                <w:color w:val="auto"/>
                <w:highlight w:val="none"/>
              </w:rPr>
            </w:pPr>
            <w:r>
              <w:rPr>
                <w:rFonts w:hint="eastAsia" w:ascii="宋体" w:hAnsi="宋体" w:cs="宋体"/>
                <w:color w:val="auto"/>
                <w:szCs w:val="21"/>
                <w:highlight w:val="none"/>
                <w:u w:val="single"/>
                <w:lang w:eastAsia="zh-CN"/>
              </w:rPr>
              <w:t>2026年自治区生态环境保护资金浦北县马江河沿岸重点区域农村生活污水处理项目-江城街道工程</w:t>
            </w:r>
            <w:r>
              <w:rPr>
                <w:rFonts w:hint="eastAsia" w:ascii="宋体" w:hAnsi="宋体" w:cs="宋体"/>
                <w:color w:val="auto"/>
                <w:szCs w:val="21"/>
                <w:highlight w:val="none"/>
              </w:rPr>
              <w:t>采购项目的潜在供应商应在</w:t>
            </w:r>
            <w:r>
              <w:rPr>
                <w:rFonts w:hint="eastAsia" w:ascii="宋体" w:hAnsi="宋体" w:cs="宋体"/>
                <w:color w:val="auto"/>
                <w:szCs w:val="21"/>
                <w:highlight w:val="none"/>
                <w:u w:val="single"/>
              </w:rPr>
              <w:t>广西政府采购云平台（</w:t>
            </w:r>
            <w:r>
              <w:rPr>
                <w:color w:val="auto"/>
                <w:highlight w:val="none"/>
              </w:rPr>
              <w:fldChar w:fldCharType="begin"/>
            </w:r>
            <w:r>
              <w:rPr>
                <w:color w:val="auto"/>
                <w:highlight w:val="none"/>
              </w:rPr>
              <w:instrText xml:space="preserve"> HYPERLINK "https://www.gcy.zfcg.gxzf.gov.cn/）获取采购文件，并于2025年" </w:instrText>
            </w:r>
            <w:r>
              <w:rPr>
                <w:color w:val="auto"/>
                <w:highlight w:val="none"/>
              </w:rPr>
              <w:fldChar w:fldCharType="separate"/>
            </w:r>
            <w:r>
              <w:rPr>
                <w:rStyle w:val="41"/>
                <w:rFonts w:hint="eastAsia" w:ascii="宋体" w:hAnsi="宋体" w:cs="宋体"/>
                <w:color w:val="auto"/>
                <w:szCs w:val="21"/>
                <w:highlight w:val="none"/>
              </w:rPr>
              <w:t>https://www.gcy.zfcg.gxzf.gov.cn/）获取</w:t>
            </w:r>
            <w:r>
              <w:rPr>
                <w:rStyle w:val="41"/>
                <w:rFonts w:hint="eastAsia" w:ascii="宋体" w:hAnsi="宋体" w:cs="宋体"/>
                <w:color w:val="auto"/>
                <w:highlight w:val="none"/>
              </w:rPr>
              <w:t>采购文件</w:t>
            </w:r>
            <w:r>
              <w:rPr>
                <w:rStyle w:val="41"/>
                <w:rFonts w:hint="eastAsia" w:ascii="宋体" w:hAnsi="宋体" w:cs="宋体"/>
                <w:color w:val="auto"/>
                <w:szCs w:val="21"/>
                <w:highlight w:val="none"/>
              </w:rPr>
              <w:t>，并于202</w:t>
            </w:r>
            <w:r>
              <w:rPr>
                <w:rStyle w:val="41"/>
                <w:rFonts w:hint="eastAsia" w:ascii="宋体" w:hAnsi="宋体" w:cs="宋体"/>
                <w:color w:val="auto"/>
                <w:szCs w:val="21"/>
                <w:highlight w:val="none"/>
                <w:lang w:val="en-US" w:eastAsia="zh-CN"/>
              </w:rPr>
              <w:t>6</w:t>
            </w:r>
            <w:r>
              <w:rPr>
                <w:rStyle w:val="41"/>
                <w:rFonts w:hint="eastAsia" w:ascii="宋体" w:hAnsi="宋体" w:cs="宋体"/>
                <w:color w:val="auto"/>
                <w:szCs w:val="21"/>
                <w:highlight w:val="none"/>
              </w:rPr>
              <w:t>年</w:t>
            </w:r>
            <w:r>
              <w:rPr>
                <w:rStyle w:val="41"/>
                <w:rFonts w:hint="eastAsia" w:ascii="宋体" w:hAnsi="宋体" w:cs="宋体"/>
                <w:color w:val="auto"/>
                <w:szCs w:val="21"/>
                <w:highlight w:val="none"/>
              </w:rPr>
              <w:fldChar w:fldCharType="end"/>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26</w:t>
            </w:r>
            <w:r>
              <w:rPr>
                <w:rFonts w:hint="eastAsia" w:ascii="宋体" w:hAnsi="宋体" w:cs="宋体"/>
                <w:color w:val="auto"/>
                <w:szCs w:val="21"/>
                <w:highlight w:val="none"/>
                <w:u w:val="single"/>
              </w:rPr>
              <w:t>日</w:t>
            </w:r>
            <w:r>
              <w:rPr>
                <w:rFonts w:hint="eastAsia" w:ascii="宋体" w:hAnsi="宋体" w:cs="宋体"/>
                <w:color w:val="auto"/>
                <w:szCs w:val="21"/>
                <w:highlight w:val="none"/>
                <w:u w:val="single"/>
                <w:lang w:val="en-US" w:eastAsia="zh-CN"/>
              </w:rPr>
              <w:t>14</w:t>
            </w:r>
            <w:r>
              <w:rPr>
                <w:rFonts w:hint="eastAsia" w:ascii="宋体" w:hAnsi="宋体" w:cs="宋体"/>
                <w:color w:val="auto"/>
                <w:szCs w:val="21"/>
                <w:highlight w:val="none"/>
                <w:u w:val="single"/>
              </w:rPr>
              <w:t>时</w:t>
            </w:r>
            <w:r>
              <w:rPr>
                <w:rFonts w:hint="eastAsia" w:ascii="宋体" w:hAnsi="宋体" w:cs="宋体"/>
                <w:color w:val="auto"/>
                <w:szCs w:val="21"/>
                <w:highlight w:val="none"/>
                <w:u w:val="single"/>
                <w:lang w:val="en-US" w:eastAsia="zh-CN"/>
              </w:rPr>
              <w:t>30</w:t>
            </w:r>
            <w:r>
              <w:rPr>
                <w:rFonts w:hint="eastAsia" w:ascii="宋体" w:hAnsi="宋体" w:cs="宋体"/>
                <w:color w:val="auto"/>
                <w:szCs w:val="21"/>
                <w:highlight w:val="none"/>
                <w:u w:val="single"/>
              </w:rPr>
              <w:t>分（北京时间）</w:t>
            </w:r>
            <w:r>
              <w:rPr>
                <w:rFonts w:hint="eastAsia" w:ascii="宋体" w:hAnsi="宋体" w:cs="宋体"/>
                <w:color w:val="auto"/>
                <w:szCs w:val="21"/>
                <w:highlight w:val="none"/>
              </w:rPr>
              <w:t>前提交响应文件。</w:t>
            </w:r>
          </w:p>
        </w:tc>
      </w:tr>
    </w:tbl>
    <w:p w14:paraId="3EF69942">
      <w:pPr>
        <w:pStyle w:val="5"/>
        <w:spacing w:line="360" w:lineRule="auto"/>
        <w:ind w:firstLine="422" w:firstLineChars="200"/>
        <w:rPr>
          <w:rFonts w:hint="eastAsia" w:ascii="宋体" w:hAnsi="宋体" w:eastAsia="宋体" w:cs="宋体"/>
          <w:bCs w:val="0"/>
          <w:color w:val="auto"/>
          <w:sz w:val="21"/>
          <w:szCs w:val="21"/>
          <w:highlight w:val="none"/>
        </w:rPr>
      </w:pPr>
      <w:bookmarkStart w:id="4" w:name="_Toc35393629"/>
      <w:bookmarkStart w:id="5" w:name="_Toc28359012"/>
      <w:bookmarkStart w:id="6" w:name="_Toc31859"/>
      <w:bookmarkStart w:id="7" w:name="_Toc28359089"/>
      <w:bookmarkStart w:id="8" w:name="_Toc35393798"/>
      <w:bookmarkStart w:id="9" w:name="_Toc9324"/>
      <w:r>
        <w:rPr>
          <w:rFonts w:hint="eastAsia" w:ascii="宋体" w:hAnsi="宋体" w:eastAsia="宋体" w:cs="宋体"/>
          <w:bCs w:val="0"/>
          <w:color w:val="auto"/>
          <w:sz w:val="21"/>
          <w:szCs w:val="21"/>
          <w:highlight w:val="none"/>
        </w:rPr>
        <w:t>一、项目基本情况</w:t>
      </w:r>
      <w:bookmarkEnd w:id="4"/>
      <w:bookmarkEnd w:id="5"/>
      <w:bookmarkEnd w:id="6"/>
      <w:bookmarkEnd w:id="7"/>
      <w:bookmarkEnd w:id="8"/>
      <w:bookmarkEnd w:id="9"/>
    </w:p>
    <w:p w14:paraId="1562573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QZZC2026-C2-220163-GXRS</w:t>
      </w:r>
      <w:r>
        <w:rPr>
          <w:rFonts w:hint="eastAsia" w:ascii="宋体" w:hAnsi="宋体" w:cs="宋体"/>
          <w:color w:val="auto"/>
          <w:szCs w:val="21"/>
          <w:highlight w:val="none"/>
        </w:rPr>
        <w:t xml:space="preserve"> </w:t>
      </w:r>
    </w:p>
    <w:p w14:paraId="78B985F7">
      <w:pPr>
        <w:spacing w:line="360" w:lineRule="auto"/>
        <w:ind w:left="1470" w:leftChars="200" w:hanging="1050" w:hangingChars="500"/>
        <w:rPr>
          <w:rFonts w:hint="eastAsia" w:ascii="宋体" w:hAnsi="宋体" w:eastAsia="宋体" w:cs="宋体"/>
          <w:color w:val="auto"/>
          <w:szCs w:val="21"/>
          <w:highlight w:val="none"/>
          <w:u w:val="singl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2026年自治区生态环境保护资金浦北县马江河沿岸重点区域农村生活污水处理项目-江城街道工程</w:t>
      </w:r>
    </w:p>
    <w:p w14:paraId="0055478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采购方式：</w:t>
      </w:r>
      <w:r>
        <w:rPr>
          <w:rFonts w:hint="eastAsia" w:ascii="宋体" w:hAnsi="宋体" w:cs="宋体"/>
          <w:color w:val="auto"/>
          <w:highlight w:val="none"/>
        </w:rPr>
        <w:t>竞争性磋商</w:t>
      </w:r>
    </w:p>
    <w:p w14:paraId="62A59DA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预算总金额（元）：</w:t>
      </w:r>
      <w:r>
        <w:rPr>
          <w:rFonts w:hint="eastAsia" w:ascii="宋体" w:hAnsi="宋体" w:cs="宋体"/>
          <w:color w:val="auto"/>
          <w:szCs w:val="21"/>
          <w:highlight w:val="none"/>
          <w:lang w:val="en-US" w:eastAsia="zh-CN"/>
        </w:rPr>
        <w:t>1561703.83</w:t>
      </w:r>
      <w:r>
        <w:rPr>
          <w:rFonts w:hint="eastAsia" w:ascii="宋体" w:hAnsi="宋体" w:cs="宋体"/>
          <w:color w:val="auto"/>
          <w:szCs w:val="21"/>
          <w:highlight w:val="none"/>
        </w:rPr>
        <w:t>元</w:t>
      </w:r>
    </w:p>
    <w:p w14:paraId="069DA51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采购需求：</w:t>
      </w:r>
    </w:p>
    <w:p w14:paraId="68D3965B">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标项名称：</w:t>
      </w:r>
      <w:r>
        <w:rPr>
          <w:rFonts w:hint="eastAsia" w:ascii="宋体" w:hAnsi="宋体" w:cs="宋体"/>
          <w:color w:val="auto"/>
          <w:szCs w:val="21"/>
          <w:highlight w:val="none"/>
          <w:lang w:eastAsia="zh-CN"/>
        </w:rPr>
        <w:t>2026年自治区生态环境保护资金浦北县马江河沿岸重点区域农村生活污水处理项目-江城街道工程</w:t>
      </w:r>
    </w:p>
    <w:p w14:paraId="183C1EF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数量：不限</w:t>
      </w:r>
    </w:p>
    <w:p w14:paraId="557BBD0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预算金额（元）：</w:t>
      </w:r>
      <w:r>
        <w:rPr>
          <w:rFonts w:hint="eastAsia" w:ascii="宋体" w:hAnsi="宋体" w:cs="宋体"/>
          <w:color w:val="auto"/>
          <w:szCs w:val="21"/>
          <w:highlight w:val="none"/>
          <w:lang w:val="en-US" w:eastAsia="zh-CN"/>
        </w:rPr>
        <w:t>1561703.83</w:t>
      </w:r>
      <w:r>
        <w:rPr>
          <w:rFonts w:hint="eastAsia" w:ascii="宋体" w:hAnsi="宋体" w:cs="宋体"/>
          <w:color w:val="auto"/>
          <w:szCs w:val="21"/>
          <w:highlight w:val="none"/>
        </w:rPr>
        <w:t>元</w:t>
      </w:r>
    </w:p>
    <w:p w14:paraId="2E25A7B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简要规格描述或项目基本概况介绍、用途：</w:t>
      </w:r>
    </w:p>
    <w:p w14:paraId="070F4EDF">
      <w:pPr>
        <w:spacing w:line="360" w:lineRule="auto"/>
        <w:ind w:firstLine="630" w:firstLineChars="300"/>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在江城街道建设三套生活污水预处理设施，包含新建预处理设施一体罐、新建调节池、污泥池一体罐、新建缺氧池、好氧池、沉淀池一体罐、新毛石挡土墙、铁艺围栏、处理单元标识牌、宣传牌、敷设HDPE双壁波纹管DN200、敷设入户管DN110、破除及恢复硬化工程等等，具体详见竞争性磋商文件或工程量清单及图纸。</w:t>
      </w:r>
    </w:p>
    <w:p w14:paraId="7151839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最高限价（元）：</w:t>
      </w:r>
      <w:r>
        <w:rPr>
          <w:rFonts w:hint="eastAsia" w:ascii="宋体" w:hAnsi="宋体" w:cs="宋体"/>
          <w:color w:val="auto"/>
          <w:szCs w:val="21"/>
          <w:highlight w:val="none"/>
          <w:lang w:val="en-US" w:eastAsia="zh-CN"/>
        </w:rPr>
        <w:t>1561703.83</w:t>
      </w:r>
      <w:r>
        <w:rPr>
          <w:rFonts w:hint="eastAsia" w:ascii="宋体" w:hAnsi="宋体" w:cs="宋体"/>
          <w:color w:val="auto"/>
          <w:szCs w:val="21"/>
          <w:highlight w:val="none"/>
        </w:rPr>
        <w:t>元</w:t>
      </w:r>
    </w:p>
    <w:p w14:paraId="5F3356F5">
      <w:pPr>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合同履约期限</w:t>
      </w:r>
      <w:r>
        <w:rPr>
          <w:rFonts w:hint="eastAsia" w:ascii="宋体" w:hAnsi="宋体" w:cs="宋体"/>
          <w:color w:val="auto"/>
          <w:szCs w:val="21"/>
          <w:highlight w:val="none"/>
          <w:lang w:eastAsia="zh-CN"/>
        </w:rPr>
        <w:t>（工期）</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90</w:t>
      </w:r>
      <w:r>
        <w:rPr>
          <w:rFonts w:hint="eastAsia" w:ascii="宋体" w:hAnsi="宋体" w:cs="宋体"/>
          <w:color w:val="auto"/>
          <w:szCs w:val="21"/>
          <w:highlight w:val="none"/>
          <w:lang w:eastAsia="zh-CN"/>
        </w:rPr>
        <w:t>天</w:t>
      </w:r>
    </w:p>
    <w:p w14:paraId="4F9BD9E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本标项（否）接受联合体竞标</w:t>
      </w:r>
    </w:p>
    <w:p w14:paraId="2904730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备注：无</w:t>
      </w:r>
    </w:p>
    <w:p w14:paraId="2ABCA44A">
      <w:pPr>
        <w:pStyle w:val="5"/>
        <w:spacing w:line="360" w:lineRule="auto"/>
        <w:ind w:firstLine="422" w:firstLineChars="200"/>
        <w:rPr>
          <w:rFonts w:hint="eastAsia" w:ascii="宋体" w:hAnsi="宋体" w:eastAsia="宋体" w:cs="宋体"/>
          <w:bCs w:val="0"/>
          <w:color w:val="auto"/>
          <w:sz w:val="21"/>
          <w:szCs w:val="21"/>
          <w:highlight w:val="none"/>
        </w:rPr>
      </w:pPr>
      <w:bookmarkStart w:id="10" w:name="_Toc28359090"/>
      <w:bookmarkStart w:id="11" w:name="_Toc35393799"/>
      <w:bookmarkStart w:id="12" w:name="_Toc35393630"/>
      <w:bookmarkStart w:id="13" w:name="_Toc28359013"/>
      <w:bookmarkStart w:id="14" w:name="_Toc21513"/>
      <w:r>
        <w:rPr>
          <w:rFonts w:hint="eastAsia" w:ascii="宋体" w:hAnsi="宋体" w:eastAsia="宋体" w:cs="宋体"/>
          <w:bCs w:val="0"/>
          <w:color w:val="auto"/>
          <w:sz w:val="21"/>
          <w:szCs w:val="21"/>
          <w:highlight w:val="none"/>
        </w:rPr>
        <w:t>二、申请人的资格要求：</w:t>
      </w:r>
      <w:bookmarkEnd w:id="10"/>
      <w:bookmarkEnd w:id="11"/>
      <w:bookmarkEnd w:id="12"/>
      <w:bookmarkEnd w:id="13"/>
      <w:bookmarkEnd w:id="14"/>
    </w:p>
    <w:p w14:paraId="21F763D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1.符合《中华人民共和国政府采购法》第二十二条规定； </w:t>
      </w:r>
    </w:p>
    <w:p w14:paraId="2ABD97A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2.落实政府采购政策需满足的资格要求：本项目属于专门面向中小企业采购的项目，供应商须为中小</w:t>
      </w:r>
      <w:r>
        <w:rPr>
          <w:rFonts w:hint="eastAsia" w:ascii="宋体" w:hAnsi="宋体" w:cs="宋体"/>
          <w:color w:val="auto"/>
          <w:szCs w:val="21"/>
          <w:highlight w:val="none"/>
          <w:lang w:eastAsia="zh-CN"/>
        </w:rPr>
        <w:t>微</w:t>
      </w:r>
      <w:r>
        <w:rPr>
          <w:rFonts w:hint="eastAsia" w:ascii="宋体" w:hAnsi="宋体" w:cs="宋体"/>
          <w:color w:val="auto"/>
          <w:szCs w:val="21"/>
          <w:highlight w:val="none"/>
        </w:rPr>
        <w:t>企业或监狱企业或残疾人福利性单位。</w:t>
      </w:r>
    </w:p>
    <w:p w14:paraId="466FC120">
      <w:pPr>
        <w:pStyle w:val="2"/>
        <w:autoSpaceDE/>
        <w:autoSpaceDN/>
        <w:adjustRightInd/>
        <w:spacing w:after="0" w:line="360" w:lineRule="auto"/>
        <w:ind w:firstLine="420" w:firstLineChars="200"/>
        <w:rPr>
          <w:rFonts w:hint="eastAsia" w:hAnsi="宋体" w:cs="宋体"/>
          <w:color w:val="auto"/>
          <w:sz w:val="21"/>
          <w:szCs w:val="21"/>
          <w:highlight w:val="none"/>
        </w:rPr>
      </w:pPr>
      <w:bookmarkStart w:id="15" w:name="_Toc28359091"/>
      <w:bookmarkStart w:id="16" w:name="_Toc28359014"/>
      <w:r>
        <w:rPr>
          <w:rFonts w:hint="eastAsia" w:hAnsi="宋体" w:cs="宋体"/>
          <w:color w:val="auto"/>
          <w:sz w:val="21"/>
          <w:szCs w:val="21"/>
          <w:highlight w:val="none"/>
        </w:rPr>
        <w:t>3.本项目的特定资格要求：</w:t>
      </w:r>
      <w:bookmarkStart w:id="17" w:name="_Toc13777"/>
      <w:bookmarkStart w:id="18" w:name="_Toc35393800"/>
      <w:bookmarkStart w:id="19" w:name="_Toc9125"/>
      <w:bookmarkStart w:id="20" w:name="_Toc35393631"/>
    </w:p>
    <w:p w14:paraId="4850D233">
      <w:pPr>
        <w:pStyle w:val="2"/>
        <w:autoSpaceDE/>
        <w:autoSpaceDN/>
        <w:adjustRightInd/>
        <w:spacing w:after="0" w:line="360" w:lineRule="auto"/>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lang w:eastAsia="zh-CN"/>
        </w:rPr>
        <w:t>（</w:t>
      </w:r>
      <w:r>
        <w:rPr>
          <w:rFonts w:hint="eastAsia" w:hAnsi="宋体" w:cs="宋体"/>
          <w:color w:val="auto"/>
          <w:kern w:val="2"/>
          <w:sz w:val="21"/>
          <w:szCs w:val="21"/>
          <w:highlight w:val="none"/>
        </w:rPr>
        <w:t>1）本项目供应商企业资质要求具备有效的</w:t>
      </w:r>
      <w:r>
        <w:rPr>
          <w:rFonts w:hint="eastAsia" w:hAnsi="宋体" w:cs="宋体"/>
          <w:color w:val="auto"/>
          <w:kern w:val="2"/>
          <w:sz w:val="21"/>
          <w:szCs w:val="21"/>
          <w:highlight w:val="none"/>
          <w:lang w:eastAsia="zh-CN"/>
        </w:rPr>
        <w:t>市政公用</w:t>
      </w:r>
      <w:r>
        <w:rPr>
          <w:rFonts w:hint="eastAsia" w:hAnsi="宋体" w:cs="宋体"/>
          <w:color w:val="auto"/>
          <w:kern w:val="2"/>
          <w:sz w:val="21"/>
          <w:szCs w:val="21"/>
          <w:highlight w:val="none"/>
        </w:rPr>
        <w:t>工程施工总承包三级(含三级)以上资质，且具备省级及以上建设行政主管部门颁发的安全生产许可证。并在人员、设备、资金等方面具有相应的施工能力；（2）拟投入本工程的项目经理必须具有</w:t>
      </w:r>
      <w:r>
        <w:rPr>
          <w:rFonts w:hint="eastAsia" w:hAnsi="宋体" w:cs="宋体"/>
          <w:color w:val="auto"/>
          <w:kern w:val="2"/>
          <w:sz w:val="21"/>
          <w:szCs w:val="21"/>
          <w:highlight w:val="none"/>
          <w:lang w:eastAsia="zh-CN"/>
        </w:rPr>
        <w:t>市政公用</w:t>
      </w:r>
      <w:r>
        <w:rPr>
          <w:rFonts w:hint="eastAsia" w:hAnsi="宋体" w:cs="宋体"/>
          <w:color w:val="auto"/>
          <w:kern w:val="2"/>
          <w:sz w:val="21"/>
          <w:szCs w:val="21"/>
          <w:highlight w:val="none"/>
        </w:rPr>
        <w:t>工程专业贰级以上（含贰级）注册建造师资格及安全生产考核合格证（B证），为供应商的在岗人员，且未担任其他在建项目或已中标未开工项目或已列为项目第一中标候选人项目的项目经理。</w:t>
      </w:r>
    </w:p>
    <w:p w14:paraId="5F9CC5BE">
      <w:pPr>
        <w:pStyle w:val="5"/>
        <w:spacing w:line="360" w:lineRule="auto"/>
        <w:ind w:firstLine="422" w:firstLineChars="200"/>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三、获取采购文件</w:t>
      </w:r>
      <w:bookmarkEnd w:id="15"/>
      <w:bookmarkEnd w:id="16"/>
      <w:bookmarkEnd w:id="17"/>
      <w:bookmarkEnd w:id="18"/>
      <w:bookmarkEnd w:id="19"/>
      <w:bookmarkEnd w:id="20"/>
    </w:p>
    <w:p w14:paraId="1C5AF45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时间：202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13</w:t>
      </w:r>
      <w:r>
        <w:rPr>
          <w:rFonts w:hint="eastAsia" w:ascii="宋体" w:hAnsi="宋体" w:cs="宋体"/>
          <w:color w:val="auto"/>
          <w:szCs w:val="21"/>
          <w:highlight w:val="none"/>
        </w:rPr>
        <w:t>日至202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20</w:t>
      </w:r>
      <w:r>
        <w:rPr>
          <w:rFonts w:hint="eastAsia" w:ascii="宋体" w:hAnsi="宋体" w:cs="宋体"/>
          <w:color w:val="auto"/>
          <w:szCs w:val="21"/>
          <w:highlight w:val="none"/>
        </w:rPr>
        <w:t>日，每天上午00：00至12：00，下午12：00至23：59（北京时间，法定节假日除外）。</w:t>
      </w:r>
    </w:p>
    <w:p w14:paraId="685CCA81">
      <w:pPr>
        <w:spacing w:line="360" w:lineRule="auto"/>
        <w:ind w:firstLine="420" w:firstLineChars="200"/>
        <w:rPr>
          <w:rFonts w:hint="eastAsia" w:ascii="宋体" w:hAnsi="宋体"/>
          <w:color w:val="auto"/>
          <w:szCs w:val="21"/>
          <w:highlight w:val="none"/>
        </w:rPr>
      </w:pPr>
      <w:r>
        <w:rPr>
          <w:rFonts w:hint="eastAsia" w:ascii="宋体" w:hAnsi="宋体" w:cs="宋体"/>
          <w:color w:val="auto"/>
          <w:szCs w:val="21"/>
          <w:highlight w:val="none"/>
        </w:rPr>
        <w:t>地点（网址）：</w:t>
      </w:r>
      <w:r>
        <w:rPr>
          <w:rFonts w:hint="eastAsia" w:ascii="宋体" w:hAnsi="宋体"/>
          <w:color w:val="auto"/>
          <w:szCs w:val="21"/>
          <w:highlight w:val="none"/>
        </w:rPr>
        <w:t>广西政府采购云平台（https://www.gcy.zfcg.gxzf.gov.cn/）</w:t>
      </w:r>
    </w:p>
    <w:p w14:paraId="4AD19E57">
      <w:pPr>
        <w:spacing w:line="360" w:lineRule="auto"/>
        <w:ind w:firstLine="420" w:firstLineChars="200"/>
        <w:rPr>
          <w:color w:val="auto"/>
          <w:highlight w:val="none"/>
        </w:rPr>
      </w:pPr>
      <w:r>
        <w:rPr>
          <w:rFonts w:hint="eastAsia" w:ascii="宋体" w:hAnsi="宋体"/>
          <w:color w:val="auto"/>
          <w:szCs w:val="21"/>
          <w:highlight w:val="none"/>
        </w:rPr>
        <w:t>方式：供应商登录广西政府采购云平台（https://www.gcy.zfcg.gxzf.gov.cn/）在线申请获取采购文件（进入“项目采购”应用，在获取采购文件菜单中选择项目，申请获取采购文件）。</w:t>
      </w:r>
    </w:p>
    <w:p w14:paraId="66B44386">
      <w:pPr>
        <w:pStyle w:val="5"/>
        <w:spacing w:line="360" w:lineRule="auto"/>
        <w:ind w:firstLine="422" w:firstLineChars="200"/>
        <w:rPr>
          <w:rFonts w:hint="eastAsia" w:ascii="宋体" w:hAnsi="宋体" w:eastAsia="宋体" w:cs="宋体"/>
          <w:bCs w:val="0"/>
          <w:color w:val="auto"/>
          <w:sz w:val="21"/>
          <w:szCs w:val="21"/>
          <w:highlight w:val="none"/>
        </w:rPr>
      </w:pPr>
      <w:bookmarkStart w:id="21" w:name="_Toc35393632"/>
      <w:bookmarkStart w:id="22" w:name="_Toc35393801"/>
      <w:bookmarkStart w:id="23" w:name="_Toc28359092"/>
      <w:bookmarkStart w:id="24" w:name="_Toc28359015"/>
      <w:bookmarkStart w:id="25" w:name="_Toc28970"/>
      <w:bookmarkStart w:id="26" w:name="_Toc18110"/>
      <w:r>
        <w:rPr>
          <w:rFonts w:hint="eastAsia" w:ascii="宋体" w:hAnsi="宋体" w:eastAsia="宋体" w:cs="宋体"/>
          <w:bCs w:val="0"/>
          <w:color w:val="auto"/>
          <w:sz w:val="21"/>
          <w:szCs w:val="21"/>
          <w:highlight w:val="none"/>
        </w:rPr>
        <w:t>四、响应文件提交</w:t>
      </w:r>
      <w:bookmarkEnd w:id="21"/>
      <w:bookmarkEnd w:id="22"/>
      <w:bookmarkEnd w:id="23"/>
      <w:bookmarkEnd w:id="24"/>
      <w:bookmarkEnd w:id="25"/>
      <w:bookmarkEnd w:id="26"/>
    </w:p>
    <w:p w14:paraId="2C8F564E">
      <w:pPr>
        <w:spacing w:line="360" w:lineRule="auto"/>
        <w:ind w:firstLine="420" w:firstLineChars="200"/>
        <w:rPr>
          <w:rFonts w:hint="eastAsia" w:ascii="宋体" w:hAnsi="宋体" w:cs="宋体"/>
          <w:color w:val="auto"/>
          <w:szCs w:val="21"/>
          <w:highlight w:val="none"/>
        </w:rPr>
      </w:pPr>
      <w:r>
        <w:rPr>
          <w:rFonts w:hint="eastAsia" w:ascii="宋体" w:hAnsi="宋体"/>
          <w:bCs/>
          <w:color w:val="auto"/>
          <w:szCs w:val="21"/>
          <w:highlight w:val="none"/>
        </w:rPr>
        <w:t>截止时间：</w:t>
      </w: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26</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14</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w:t>
      </w:r>
      <w:r>
        <w:rPr>
          <w:rFonts w:hint="eastAsia" w:ascii="宋体" w:hAnsi="宋体"/>
          <w:bCs/>
          <w:color w:val="auto"/>
          <w:szCs w:val="21"/>
          <w:highlight w:val="none"/>
        </w:rPr>
        <w:t>（北京时间）</w:t>
      </w:r>
    </w:p>
    <w:p w14:paraId="11EEB406">
      <w:pPr>
        <w:spacing w:line="360" w:lineRule="auto"/>
        <w:ind w:firstLine="420" w:firstLineChars="200"/>
        <w:rPr>
          <w:rFonts w:hint="eastAsia" w:ascii="宋体" w:hAnsi="宋体" w:cs="宋体"/>
          <w:bCs/>
          <w:color w:val="auto"/>
          <w:szCs w:val="21"/>
          <w:highlight w:val="none"/>
        </w:rPr>
      </w:pPr>
      <w:r>
        <w:rPr>
          <w:rFonts w:hint="eastAsia" w:ascii="宋体" w:hAnsi="宋体"/>
          <w:color w:val="auto"/>
          <w:szCs w:val="21"/>
          <w:highlight w:val="none"/>
        </w:rPr>
        <w:t>地点（网址）：</w:t>
      </w:r>
      <w:r>
        <w:rPr>
          <w:rFonts w:hint="eastAsia" w:ascii="宋体" w:hAnsi="宋体" w:cs="宋体"/>
          <w:bCs/>
          <w:color w:val="auto"/>
          <w:szCs w:val="21"/>
          <w:highlight w:val="none"/>
        </w:rPr>
        <w:t>通过</w:t>
      </w:r>
      <w:r>
        <w:rPr>
          <w:rFonts w:hint="eastAsia" w:ascii="宋体" w:hAnsi="宋体" w:cs="宋体"/>
          <w:color w:val="auto"/>
          <w:highlight w:val="none"/>
        </w:rPr>
        <w:t>广西政府采购云平台（https://www.gcy.zfcg.gxzf.gov.cn/）</w:t>
      </w:r>
      <w:r>
        <w:rPr>
          <w:rFonts w:hint="eastAsia" w:ascii="宋体" w:hAnsi="宋体" w:cs="宋体"/>
          <w:color w:val="auto"/>
          <w:szCs w:val="21"/>
          <w:highlight w:val="none"/>
        </w:rPr>
        <w:t>上传响应文件，并在线竞标。</w:t>
      </w:r>
    </w:p>
    <w:p w14:paraId="0D7CFAD0">
      <w:pPr>
        <w:pStyle w:val="5"/>
        <w:spacing w:line="360" w:lineRule="auto"/>
        <w:ind w:firstLine="422" w:firstLineChars="200"/>
        <w:rPr>
          <w:rFonts w:hint="eastAsia" w:ascii="宋体" w:hAnsi="宋体" w:eastAsia="宋体" w:cs="宋体"/>
          <w:bCs w:val="0"/>
          <w:color w:val="auto"/>
          <w:sz w:val="21"/>
          <w:szCs w:val="21"/>
          <w:highlight w:val="none"/>
        </w:rPr>
      </w:pPr>
      <w:bookmarkStart w:id="27" w:name="_Toc24973"/>
      <w:bookmarkStart w:id="28" w:name="_Toc3197"/>
      <w:bookmarkStart w:id="29" w:name="_Toc28359093"/>
      <w:bookmarkStart w:id="30" w:name="_Toc35393802"/>
      <w:bookmarkStart w:id="31" w:name="_Toc35393633"/>
      <w:bookmarkStart w:id="32" w:name="_Toc28359016"/>
      <w:r>
        <w:rPr>
          <w:rFonts w:hint="eastAsia" w:ascii="宋体" w:hAnsi="宋体" w:eastAsia="宋体" w:cs="宋体"/>
          <w:bCs w:val="0"/>
          <w:color w:val="auto"/>
          <w:sz w:val="21"/>
          <w:szCs w:val="21"/>
          <w:highlight w:val="none"/>
        </w:rPr>
        <w:t>五、响应文件开启</w:t>
      </w:r>
      <w:bookmarkEnd w:id="27"/>
      <w:bookmarkEnd w:id="28"/>
      <w:bookmarkEnd w:id="29"/>
      <w:bookmarkEnd w:id="30"/>
      <w:bookmarkEnd w:id="31"/>
      <w:bookmarkEnd w:id="32"/>
    </w:p>
    <w:p w14:paraId="0EAEAC9F">
      <w:pPr>
        <w:spacing w:line="360" w:lineRule="auto"/>
        <w:ind w:firstLine="420" w:firstLineChars="200"/>
        <w:rPr>
          <w:rFonts w:hint="eastAsia" w:ascii="宋体" w:hAnsi="宋体"/>
          <w:bCs/>
          <w:color w:val="auto"/>
          <w:szCs w:val="21"/>
          <w:highlight w:val="none"/>
        </w:rPr>
      </w:pPr>
      <w:r>
        <w:rPr>
          <w:rFonts w:hint="eastAsia" w:ascii="宋体" w:hAnsi="宋体"/>
          <w:bCs/>
          <w:color w:val="auto"/>
          <w:szCs w:val="21"/>
          <w:highlight w:val="none"/>
        </w:rPr>
        <w:t>开启时间：</w:t>
      </w: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26</w:t>
      </w:r>
      <w:r>
        <w:rPr>
          <w:rFonts w:hint="eastAsia" w:ascii="宋体" w:hAnsi="宋体" w:cs="宋体"/>
          <w:color w:val="auto"/>
          <w:szCs w:val="21"/>
          <w:highlight w:val="none"/>
          <w:lang w:eastAsia="zh-CN"/>
        </w:rPr>
        <w:t>日</w:t>
      </w:r>
      <w:r>
        <w:rPr>
          <w:rFonts w:hint="eastAsia" w:ascii="宋体" w:hAnsi="宋体" w:cs="宋体"/>
          <w:color w:val="auto"/>
          <w:szCs w:val="21"/>
          <w:highlight w:val="none"/>
          <w:lang w:val="en-US" w:eastAsia="zh-CN"/>
        </w:rPr>
        <w:t>14</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w:t>
      </w:r>
      <w:r>
        <w:rPr>
          <w:rFonts w:hint="eastAsia" w:ascii="宋体" w:hAnsi="宋体"/>
          <w:bCs/>
          <w:color w:val="auto"/>
          <w:szCs w:val="21"/>
          <w:highlight w:val="none"/>
        </w:rPr>
        <w:t>（北京时间）</w:t>
      </w:r>
    </w:p>
    <w:p w14:paraId="5E2105EF">
      <w:pPr>
        <w:spacing w:line="360" w:lineRule="auto"/>
        <w:ind w:firstLine="420" w:firstLineChars="200"/>
        <w:rPr>
          <w:rFonts w:hint="eastAsia" w:ascii="宋体" w:hAnsi="宋体" w:cs="宋体"/>
          <w:bCs/>
          <w:color w:val="auto"/>
          <w:szCs w:val="21"/>
          <w:highlight w:val="none"/>
        </w:rPr>
      </w:pPr>
      <w:r>
        <w:rPr>
          <w:rFonts w:hint="eastAsia" w:ascii="宋体" w:hAnsi="宋体"/>
          <w:bCs/>
          <w:color w:val="auto"/>
          <w:szCs w:val="21"/>
          <w:highlight w:val="none"/>
        </w:rPr>
        <w:t>地点：广西政府采购云平台电子开标大厅在线解密开启。</w:t>
      </w:r>
    </w:p>
    <w:p w14:paraId="33ED882D">
      <w:pPr>
        <w:pStyle w:val="5"/>
        <w:spacing w:line="360" w:lineRule="auto"/>
        <w:ind w:firstLine="422" w:firstLineChars="200"/>
        <w:rPr>
          <w:rFonts w:hint="eastAsia" w:ascii="宋体" w:hAnsi="宋体" w:eastAsia="宋体" w:cs="宋体"/>
          <w:bCs w:val="0"/>
          <w:color w:val="auto"/>
          <w:sz w:val="21"/>
          <w:szCs w:val="21"/>
          <w:highlight w:val="none"/>
        </w:rPr>
      </w:pPr>
      <w:bookmarkStart w:id="33" w:name="_Toc35393634"/>
      <w:bookmarkStart w:id="34" w:name="_Toc17419"/>
      <w:bookmarkStart w:id="35" w:name="_Toc28359094"/>
      <w:bookmarkStart w:id="36" w:name="_Toc28359017"/>
      <w:bookmarkStart w:id="37" w:name="_Toc35393803"/>
      <w:bookmarkStart w:id="38" w:name="_Toc5452"/>
      <w:r>
        <w:rPr>
          <w:rFonts w:hint="eastAsia" w:ascii="宋体" w:hAnsi="宋体" w:eastAsia="宋体" w:cs="宋体"/>
          <w:bCs w:val="0"/>
          <w:color w:val="auto"/>
          <w:sz w:val="21"/>
          <w:szCs w:val="21"/>
          <w:highlight w:val="none"/>
        </w:rPr>
        <w:t>六、公告期限</w:t>
      </w:r>
      <w:bookmarkEnd w:id="33"/>
      <w:bookmarkEnd w:id="34"/>
      <w:bookmarkEnd w:id="35"/>
      <w:bookmarkEnd w:id="36"/>
      <w:bookmarkEnd w:id="37"/>
      <w:bookmarkEnd w:id="38"/>
    </w:p>
    <w:p w14:paraId="3A8E04D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自本公告发布之日起5个工作日。</w:t>
      </w:r>
    </w:p>
    <w:p w14:paraId="755C3B17">
      <w:pPr>
        <w:pStyle w:val="5"/>
        <w:spacing w:line="360" w:lineRule="auto"/>
        <w:ind w:firstLine="422" w:firstLineChars="200"/>
        <w:rPr>
          <w:rFonts w:hint="eastAsia" w:ascii="宋体" w:hAnsi="宋体" w:eastAsia="宋体" w:cs="宋体"/>
          <w:bCs w:val="0"/>
          <w:color w:val="auto"/>
          <w:sz w:val="21"/>
          <w:szCs w:val="21"/>
          <w:highlight w:val="none"/>
        </w:rPr>
      </w:pPr>
      <w:bookmarkStart w:id="39" w:name="_Toc321"/>
      <w:bookmarkStart w:id="40" w:name="_Toc26297"/>
      <w:bookmarkStart w:id="41" w:name="_Toc35393804"/>
      <w:bookmarkStart w:id="42" w:name="_Toc35393635"/>
      <w:r>
        <w:rPr>
          <w:rFonts w:hint="eastAsia" w:ascii="宋体" w:hAnsi="宋体" w:eastAsia="宋体" w:cs="宋体"/>
          <w:bCs w:val="0"/>
          <w:color w:val="auto"/>
          <w:sz w:val="21"/>
          <w:szCs w:val="21"/>
          <w:highlight w:val="none"/>
        </w:rPr>
        <w:t>七、其他补充事宜</w:t>
      </w:r>
      <w:bookmarkEnd w:id="39"/>
      <w:bookmarkEnd w:id="40"/>
      <w:bookmarkEnd w:id="41"/>
      <w:bookmarkEnd w:id="42"/>
    </w:p>
    <w:p w14:paraId="6E53C7C8">
      <w:pPr>
        <w:spacing w:line="360" w:lineRule="auto"/>
        <w:ind w:firstLine="420" w:firstLineChars="200"/>
        <w:jc w:val="left"/>
        <w:rPr>
          <w:rFonts w:hint="eastAsia" w:ascii="宋体" w:hAnsi="宋体" w:cs="宋体"/>
          <w:color w:val="auto"/>
          <w:szCs w:val="21"/>
          <w:highlight w:val="none"/>
        </w:rPr>
      </w:pPr>
      <w:bookmarkStart w:id="43" w:name="_Toc35393805"/>
      <w:bookmarkStart w:id="44" w:name="_Toc35393636"/>
      <w:bookmarkStart w:id="45" w:name="_Toc28359095"/>
      <w:bookmarkStart w:id="46" w:name="_Toc28359018"/>
      <w:r>
        <w:rPr>
          <w:rFonts w:hint="eastAsia" w:ascii="宋体" w:hAnsi="宋体" w:cs="宋体"/>
          <w:color w:val="auto"/>
          <w:szCs w:val="21"/>
          <w:highlight w:val="none"/>
        </w:rPr>
        <w:t>1.本项目为全流程电子化政府采购项目，供应商应按照本项目采购文件和广西政府采购云平台的要求编制、加密并提交电子响应文件。未完成广西政府采购云平台供应商注册入驻并办理数字证书（CA认证）的供应商将无法参与本项目政府采购活动。供应商在使用广西政府采购云平台参与竞标过程中遇到涉及平台使用的任何问题，</w:t>
      </w:r>
      <w:r>
        <w:rPr>
          <w:rFonts w:hint="eastAsia" w:ascii="宋体" w:hAnsi="宋体"/>
          <w:color w:val="auto"/>
          <w:szCs w:val="21"/>
          <w:highlight w:val="none"/>
        </w:rPr>
        <w:t>可致电广西政府采购云平台技术支持热线咨询</w:t>
      </w:r>
      <w:r>
        <w:rPr>
          <w:rFonts w:hint="eastAsia" w:ascii="宋体" w:hAnsi="宋体" w:cs="宋体"/>
          <w:color w:val="auto"/>
          <w:szCs w:val="21"/>
          <w:highlight w:val="none"/>
        </w:rPr>
        <w:t>：</w:t>
      </w:r>
      <w:r>
        <w:rPr>
          <w:rFonts w:hint="eastAsia" w:ascii="宋体" w:hAnsi="宋体" w:cs="宋体"/>
          <w:b/>
          <w:bCs/>
          <w:color w:val="auto"/>
          <w:kern w:val="0"/>
          <w:szCs w:val="21"/>
          <w:highlight w:val="none"/>
        </w:rPr>
        <w:t>95763</w:t>
      </w:r>
      <w:r>
        <w:rPr>
          <w:rFonts w:hint="eastAsia" w:ascii="宋体"/>
          <w:b/>
          <w:bCs/>
          <w:color w:val="auto"/>
          <w:szCs w:val="21"/>
          <w:highlight w:val="none"/>
        </w:rPr>
        <w:t>。</w:t>
      </w:r>
    </w:p>
    <w:p w14:paraId="1F242930">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（1）供应商应及时熟悉掌握电子标系统操作指南（见广西政府采购云平台电子卖场首页右上角—服务中心—帮助文档—项目采购）：https：//service.zcygov.cn/#/knowledges/tree?tag=AG1DtGwBFdiHxlNdhY0r。</w:t>
      </w:r>
    </w:p>
    <w:p w14:paraId="494CCEB5">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供应商应及时完成广西政府采购云平台供应商注册入驻和办理广西政府采购云平台CA证书申领和绑定（见广西壮族自治区政府采购网—办事服务—下载专区-CA证书申请操作指南或广西政采云西部CA办理方式）。</w:t>
      </w:r>
    </w:p>
    <w:p w14:paraId="22A2DF68">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（3）供应商须通过广西政府采购云平台供应商客户端软件制作电子响应文件，广西政府采购云平台供应商客户端软件请供应商自行前往下载并安装（</w:t>
      </w:r>
      <w:r>
        <w:rPr>
          <w:rFonts w:hint="eastAsia" w:ascii="宋体" w:hAnsi="宋体" w:cs="宋体"/>
          <w:color w:val="auto"/>
          <w:kern w:val="0"/>
          <w:szCs w:val="21"/>
          <w:highlight w:val="none"/>
        </w:rPr>
        <w:t>客户端下载路径：广西政府采购网（访问地址http：//zfcg.gxzf.gov.cn/）—办事服务—下载专区-广西政府采购云平台新版客户端</w:t>
      </w:r>
      <w:r>
        <w:rPr>
          <w:rFonts w:hint="eastAsia" w:ascii="宋体" w:hAnsi="宋体" w:cs="宋体"/>
          <w:color w:val="auto"/>
          <w:szCs w:val="21"/>
          <w:highlight w:val="none"/>
        </w:rPr>
        <w:t>）。</w:t>
      </w:r>
    </w:p>
    <w:p w14:paraId="5D61509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2.本项目需要落实的政府采购政策</w:t>
      </w:r>
    </w:p>
    <w:p w14:paraId="795E0A2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（1）政府采购促进中小企业发展。</w:t>
      </w:r>
    </w:p>
    <w:p w14:paraId="27B8245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（2）政府采购支持采用本国产品的政策。</w:t>
      </w:r>
    </w:p>
    <w:p w14:paraId="5E5774B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（3）强制采购节能产品；优先采购节能产品、环境标志产品。</w:t>
      </w:r>
    </w:p>
    <w:p w14:paraId="5C25C9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（4）政府采购促进残疾人就业政策。</w:t>
      </w:r>
    </w:p>
    <w:p w14:paraId="30BD989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（5）政府采购支持监狱企业发展。</w:t>
      </w:r>
    </w:p>
    <w:p w14:paraId="7492F3D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3.网上查询地址</w:t>
      </w:r>
    </w:p>
    <w:p w14:paraId="44A1D1BB">
      <w:pPr>
        <w:spacing w:line="360" w:lineRule="auto"/>
        <w:ind w:firstLine="420" w:firstLineChars="200"/>
        <w:jc w:val="left"/>
        <w:rPr>
          <w:rFonts w:hint="eastAsia" w:ascii="宋体" w:hAnsi="宋体" w:cs="宋体"/>
          <w:color w:val="auto"/>
          <w:szCs w:val="21"/>
          <w:highlight w:val="none"/>
          <w:lang w:bidi="ar"/>
        </w:rPr>
      </w:pPr>
      <w:r>
        <w:rPr>
          <w:rFonts w:hint="eastAsia" w:ascii="宋体" w:hAnsi="宋体" w:cs="宋体"/>
          <w:color w:val="auto"/>
          <w:szCs w:val="21"/>
          <w:highlight w:val="none"/>
          <w:lang w:bidi="ar"/>
        </w:rPr>
        <w:t>http：//zfcg.gxzf.gov.cn（广西政府采购网）、http：//www.ccgp.gov.cn/（中国政府采购网）、http：//ggzy.jgswj.gxzf.gov.cn/pbggzy/[全国公共资源交易平台（广西.浦北）]。</w:t>
      </w:r>
    </w:p>
    <w:p w14:paraId="0EF7BD31">
      <w:pPr>
        <w:widowControl/>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lang w:bidi="ar"/>
        </w:rPr>
        <w:t>监督部门：浦北县政府采购监督管理办公室   联系电话：0777-8314622</w:t>
      </w:r>
    </w:p>
    <w:p w14:paraId="6266188C">
      <w:pPr>
        <w:spacing w:line="360" w:lineRule="auto"/>
        <w:ind w:firstLine="420" w:firstLineChars="200"/>
        <w:jc w:val="left"/>
        <w:rPr>
          <w:rFonts w:hint="eastAsia" w:ascii="宋体" w:hAnsi="宋体" w:cs="宋体"/>
          <w:color w:val="auto"/>
          <w:szCs w:val="21"/>
          <w:highlight w:val="none"/>
          <w:lang w:bidi="ar"/>
        </w:rPr>
      </w:pPr>
      <w:bookmarkStart w:id="47" w:name="_Toc23726"/>
      <w:bookmarkStart w:id="48" w:name="_Toc227"/>
      <w:r>
        <w:rPr>
          <w:rFonts w:hint="eastAsia" w:ascii="宋体" w:hAnsi="宋体" w:cs="宋体"/>
          <w:color w:val="auto"/>
          <w:szCs w:val="21"/>
          <w:highlight w:val="none"/>
          <w:lang w:val="en-US" w:eastAsia="zh-CN" w:bidi="ar"/>
        </w:rPr>
        <w:t>5.</w:t>
      </w:r>
      <w:r>
        <w:rPr>
          <w:rFonts w:hint="eastAsia" w:ascii="宋体" w:hAnsi="宋体" w:cs="宋体"/>
          <w:color w:val="auto"/>
          <w:szCs w:val="21"/>
          <w:highlight w:val="none"/>
          <w:lang w:bidi="ar"/>
        </w:rPr>
        <w:t>本项目采用远程异地评标，评标主场设在浦北县公共资源交易中心【浦北县城金浦新区越秀路133号(政务中心西向县总工会楼三楼)】，分会场设在</w:t>
      </w:r>
      <w:r>
        <w:rPr>
          <w:rFonts w:hint="eastAsia" w:ascii="宋体" w:hAnsi="宋体" w:cs="宋体"/>
          <w:color w:val="auto"/>
          <w:szCs w:val="21"/>
          <w:highlight w:val="none"/>
          <w:lang w:val="en-US" w:eastAsia="zh-CN" w:bidi="ar"/>
        </w:rPr>
        <w:t>崇左市环山路龙峡山小区北区C29-102室</w:t>
      </w:r>
      <w:r>
        <w:rPr>
          <w:rFonts w:hint="eastAsia" w:ascii="宋体" w:hAnsi="宋体" w:cs="宋体"/>
          <w:color w:val="auto"/>
          <w:szCs w:val="21"/>
          <w:highlight w:val="none"/>
          <w:lang w:bidi="ar"/>
        </w:rPr>
        <w:t>。</w:t>
      </w:r>
    </w:p>
    <w:p w14:paraId="5121B480">
      <w:pPr>
        <w:pStyle w:val="5"/>
        <w:spacing w:line="360" w:lineRule="auto"/>
        <w:ind w:firstLine="422" w:firstLineChars="200"/>
        <w:rPr>
          <w:rFonts w:hint="eastAsia" w:ascii="宋体" w:hAnsi="宋体" w:eastAsia="宋体" w:cs="宋体"/>
          <w:bCs w:val="0"/>
          <w:color w:val="auto"/>
          <w:sz w:val="21"/>
          <w:szCs w:val="21"/>
          <w:highlight w:val="none"/>
        </w:rPr>
      </w:pPr>
      <w:r>
        <w:rPr>
          <w:rFonts w:hint="eastAsia" w:ascii="宋体" w:hAnsi="宋体" w:eastAsia="宋体" w:cs="宋体"/>
          <w:bCs w:val="0"/>
          <w:color w:val="auto"/>
          <w:sz w:val="21"/>
          <w:szCs w:val="21"/>
          <w:highlight w:val="none"/>
        </w:rPr>
        <w:t>八、凡对本次采购提出询问，请按以下方式联系</w:t>
      </w:r>
      <w:bookmarkEnd w:id="43"/>
      <w:bookmarkEnd w:id="44"/>
      <w:bookmarkEnd w:id="45"/>
      <w:bookmarkEnd w:id="46"/>
      <w:bookmarkEnd w:id="47"/>
      <w:bookmarkEnd w:id="48"/>
    </w:p>
    <w:p w14:paraId="15167914">
      <w:pPr>
        <w:pStyle w:val="5"/>
        <w:spacing w:line="360" w:lineRule="auto"/>
        <w:ind w:firstLine="420" w:firstLineChars="200"/>
        <w:rPr>
          <w:rFonts w:hint="eastAsia" w:asciiTheme="minorEastAsia" w:hAnsiTheme="minorEastAsia" w:eastAsiaTheme="minorEastAsia" w:cstheme="minorEastAsia"/>
          <w:b w:val="0"/>
          <w:bCs w:val="0"/>
          <w:color w:val="auto"/>
          <w:kern w:val="0"/>
          <w:sz w:val="21"/>
          <w:szCs w:val="21"/>
          <w:highlight w:val="none"/>
        </w:rPr>
      </w:pPr>
      <w:bookmarkStart w:id="49" w:name="_Toc28359019"/>
      <w:bookmarkStart w:id="50" w:name="_Toc35393637"/>
      <w:bookmarkStart w:id="51" w:name="_Toc28359096"/>
      <w:bookmarkStart w:id="52" w:name="_Toc35393806"/>
      <w:r>
        <w:rPr>
          <w:rFonts w:hint="eastAsia" w:asciiTheme="minorEastAsia" w:hAnsiTheme="minorEastAsia" w:eastAsiaTheme="minorEastAsia" w:cstheme="minorEastAsia"/>
          <w:b w:val="0"/>
          <w:bCs w:val="0"/>
          <w:color w:val="auto"/>
          <w:kern w:val="0"/>
          <w:sz w:val="21"/>
          <w:szCs w:val="21"/>
          <w:highlight w:val="none"/>
        </w:rPr>
        <w:t>1.采购人信息</w:t>
      </w:r>
      <w:bookmarkEnd w:id="49"/>
      <w:bookmarkEnd w:id="50"/>
      <w:bookmarkEnd w:id="51"/>
      <w:bookmarkEnd w:id="52"/>
    </w:p>
    <w:p w14:paraId="1A2FC14B">
      <w:pPr>
        <w:spacing w:line="360" w:lineRule="auto"/>
        <w:ind w:firstLine="42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名    称：</w:t>
      </w:r>
      <w:r>
        <w:rPr>
          <w:rFonts w:hint="eastAsia" w:asciiTheme="minorEastAsia" w:hAnsiTheme="minorEastAsia" w:eastAsiaTheme="minorEastAsia" w:cstheme="minorEastAsia"/>
          <w:color w:val="auto"/>
          <w:kern w:val="0"/>
          <w:szCs w:val="21"/>
          <w:highlight w:val="none"/>
          <w:lang w:eastAsia="zh-CN"/>
        </w:rPr>
        <w:t>浦北县江城街道办事处</w:t>
      </w:r>
      <w:r>
        <w:rPr>
          <w:rFonts w:hint="eastAsia" w:asciiTheme="minorEastAsia" w:hAnsiTheme="minorEastAsia" w:eastAsiaTheme="minorEastAsia" w:cstheme="minorEastAsia"/>
          <w:color w:val="auto"/>
          <w:kern w:val="0"/>
          <w:szCs w:val="21"/>
          <w:highlight w:val="none"/>
        </w:rPr>
        <w:t xml:space="preserve">  </w:t>
      </w:r>
    </w:p>
    <w:p w14:paraId="35172999">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地    址：</w:t>
      </w:r>
      <w:r>
        <w:rPr>
          <w:rFonts w:hint="eastAsia" w:asciiTheme="minorEastAsia" w:hAnsiTheme="minorEastAsia" w:eastAsiaTheme="minorEastAsia" w:cstheme="minorEastAsia"/>
          <w:color w:val="auto"/>
          <w:kern w:val="0"/>
          <w:szCs w:val="21"/>
          <w:highlight w:val="none"/>
          <w:lang w:eastAsia="zh-CN"/>
        </w:rPr>
        <w:t>广西壮族自治区钦州市浦北县江城街道东滨路175号</w:t>
      </w:r>
      <w:r>
        <w:rPr>
          <w:rFonts w:hint="eastAsia" w:asciiTheme="minorEastAsia" w:hAnsiTheme="minorEastAsia" w:eastAsiaTheme="minorEastAsia" w:cstheme="minorEastAsia"/>
          <w:color w:val="auto"/>
          <w:kern w:val="0"/>
          <w:szCs w:val="21"/>
          <w:highlight w:val="none"/>
          <w:lang w:val="en-US" w:eastAsia="zh-CN"/>
        </w:rPr>
        <w:t xml:space="preserve"> </w:t>
      </w:r>
      <w:r>
        <w:rPr>
          <w:rFonts w:hint="eastAsia" w:asciiTheme="minorEastAsia" w:hAnsiTheme="minorEastAsia" w:eastAsiaTheme="minorEastAsia" w:cstheme="minorEastAsia"/>
          <w:color w:val="auto"/>
          <w:kern w:val="0"/>
          <w:szCs w:val="21"/>
          <w:highlight w:val="none"/>
        </w:rPr>
        <w:t xml:space="preserve">       </w:t>
      </w:r>
    </w:p>
    <w:p w14:paraId="54A393C5">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项目联系人：</w:t>
      </w:r>
      <w:r>
        <w:rPr>
          <w:rFonts w:hint="eastAsia" w:asciiTheme="minorEastAsia" w:hAnsiTheme="minorEastAsia" w:eastAsiaTheme="minorEastAsia" w:cstheme="minorEastAsia"/>
          <w:color w:val="auto"/>
          <w:kern w:val="0"/>
          <w:szCs w:val="21"/>
          <w:highlight w:val="none"/>
          <w:lang w:eastAsia="zh-CN"/>
        </w:rPr>
        <w:t>韦龙俭</w:t>
      </w:r>
      <w:r>
        <w:rPr>
          <w:rFonts w:hint="eastAsia" w:asciiTheme="minorEastAsia" w:hAnsiTheme="minorEastAsia" w:eastAsiaTheme="minorEastAsia" w:cstheme="minorEastAsia"/>
          <w:color w:val="auto"/>
          <w:kern w:val="0"/>
          <w:szCs w:val="21"/>
          <w:highlight w:val="none"/>
          <w:lang w:val="en-US" w:eastAsia="zh-CN"/>
        </w:rPr>
        <w:t xml:space="preserve"> </w:t>
      </w:r>
      <w:r>
        <w:rPr>
          <w:rFonts w:hint="eastAsia" w:asciiTheme="minorEastAsia" w:hAnsiTheme="minorEastAsia" w:eastAsiaTheme="minorEastAsia" w:cstheme="minorEastAsia"/>
          <w:color w:val="auto"/>
          <w:kern w:val="0"/>
          <w:szCs w:val="21"/>
          <w:highlight w:val="none"/>
        </w:rPr>
        <w:t xml:space="preserve">   </w:t>
      </w:r>
    </w:p>
    <w:p w14:paraId="2268C775">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项目联系方式：</w:t>
      </w:r>
      <w:r>
        <w:rPr>
          <w:rFonts w:hint="eastAsia" w:asciiTheme="minorEastAsia" w:hAnsiTheme="minorEastAsia" w:eastAsiaTheme="minorEastAsia" w:cstheme="minorEastAsia"/>
          <w:color w:val="auto"/>
          <w:kern w:val="0"/>
          <w:szCs w:val="21"/>
          <w:highlight w:val="none"/>
          <w:lang w:val="en-US" w:eastAsia="zh-CN"/>
        </w:rPr>
        <w:t xml:space="preserve">0777-8310810 </w:t>
      </w:r>
      <w:r>
        <w:rPr>
          <w:rFonts w:hint="eastAsia" w:asciiTheme="minorEastAsia" w:hAnsiTheme="minorEastAsia" w:eastAsiaTheme="minorEastAsia" w:cstheme="minorEastAsia"/>
          <w:color w:val="auto"/>
          <w:kern w:val="0"/>
          <w:szCs w:val="21"/>
          <w:highlight w:val="none"/>
        </w:rPr>
        <w:t xml:space="preserve">   </w:t>
      </w:r>
    </w:p>
    <w:p w14:paraId="28B893A5">
      <w:pPr>
        <w:pStyle w:val="5"/>
        <w:spacing w:line="360" w:lineRule="auto"/>
        <w:ind w:firstLine="420" w:firstLineChars="200"/>
        <w:rPr>
          <w:rFonts w:hint="eastAsia" w:asciiTheme="minorEastAsia" w:hAnsiTheme="minorEastAsia" w:eastAsiaTheme="minorEastAsia" w:cstheme="minorEastAsia"/>
          <w:b w:val="0"/>
          <w:bCs w:val="0"/>
          <w:color w:val="auto"/>
          <w:kern w:val="0"/>
          <w:sz w:val="21"/>
          <w:szCs w:val="21"/>
          <w:highlight w:val="none"/>
        </w:rPr>
      </w:pPr>
      <w:bookmarkStart w:id="53" w:name="_Toc28359020"/>
      <w:bookmarkStart w:id="54" w:name="_Toc35393638"/>
      <w:bookmarkStart w:id="55" w:name="_Toc28359097"/>
      <w:bookmarkStart w:id="56" w:name="_Toc35393807"/>
      <w:r>
        <w:rPr>
          <w:rFonts w:hint="eastAsia" w:asciiTheme="minorEastAsia" w:hAnsiTheme="minorEastAsia" w:eastAsiaTheme="minorEastAsia" w:cstheme="minorEastAsia"/>
          <w:b w:val="0"/>
          <w:bCs w:val="0"/>
          <w:color w:val="auto"/>
          <w:kern w:val="0"/>
          <w:sz w:val="21"/>
          <w:szCs w:val="21"/>
          <w:highlight w:val="none"/>
        </w:rPr>
        <w:t>2.采购代理机构信息</w:t>
      </w:r>
      <w:bookmarkEnd w:id="53"/>
      <w:bookmarkEnd w:id="54"/>
      <w:bookmarkEnd w:id="55"/>
      <w:bookmarkEnd w:id="56"/>
    </w:p>
    <w:p w14:paraId="4C04E700">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名    称：广西荣胜项目管理有限公司　</w:t>
      </w:r>
    </w:p>
    <w:p w14:paraId="731EBE78">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地　　址：</w:t>
      </w:r>
      <w:bookmarkStart w:id="57" w:name="_Toc35393639"/>
      <w:bookmarkStart w:id="58" w:name="_Toc35393808"/>
      <w:bookmarkStart w:id="59" w:name="_Toc28359098"/>
      <w:bookmarkStart w:id="60" w:name="_Toc28359021"/>
      <w:r>
        <w:rPr>
          <w:rFonts w:hint="eastAsia" w:asciiTheme="minorEastAsia" w:hAnsiTheme="minorEastAsia" w:eastAsiaTheme="minorEastAsia" w:cstheme="minorEastAsia"/>
          <w:color w:val="auto"/>
          <w:kern w:val="0"/>
          <w:szCs w:val="21"/>
          <w:highlight w:val="none"/>
        </w:rPr>
        <w:t>钦州市蓬莱大道鸿亭街333号皇庭天麓湖小区183栋203室       </w:t>
      </w:r>
    </w:p>
    <w:p w14:paraId="7D7DE8C4">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项目联系人：黄洁</w:t>
      </w:r>
      <w:r>
        <w:rPr>
          <w:rFonts w:hint="eastAsia" w:asciiTheme="minorEastAsia" w:hAnsiTheme="minorEastAsia" w:eastAsiaTheme="minorEastAsia" w:cstheme="minorEastAsia"/>
          <w:color w:val="auto"/>
          <w:kern w:val="0"/>
          <w:szCs w:val="21"/>
          <w:highlight w:val="none"/>
        </w:rPr>
        <w:tab/>
      </w:r>
    </w:p>
    <w:p w14:paraId="66E74A9F">
      <w:pPr>
        <w:spacing w:line="360" w:lineRule="auto"/>
        <w:ind w:firstLine="42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项目联系方式：</w:t>
      </w:r>
      <w:bookmarkEnd w:id="57"/>
      <w:bookmarkEnd w:id="58"/>
      <w:bookmarkEnd w:id="59"/>
      <w:bookmarkEnd w:id="60"/>
      <w:r>
        <w:rPr>
          <w:rFonts w:hint="eastAsia" w:asciiTheme="minorEastAsia" w:hAnsiTheme="minorEastAsia" w:eastAsiaTheme="minorEastAsia" w:cstheme="minorEastAsia"/>
          <w:color w:val="auto"/>
          <w:kern w:val="0"/>
          <w:szCs w:val="21"/>
          <w:highlight w:val="none"/>
        </w:rPr>
        <w:t>0777-5512166</w:t>
      </w:r>
    </w:p>
    <w:p w14:paraId="0D2815F0">
      <w:pPr>
        <w:pStyle w:val="2"/>
        <w:rPr>
          <w:rFonts w:hint="eastAsia"/>
          <w:color w:val="auto"/>
          <w:highlight w:val="none"/>
        </w:rPr>
      </w:pPr>
    </w:p>
    <w:p w14:paraId="52269718">
      <w:pPr>
        <w:spacing w:line="360" w:lineRule="auto"/>
        <w:ind w:firstLine="420" w:firstLineChars="200"/>
        <w:jc w:val="center"/>
        <w:rPr>
          <w:rFonts w:hint="eastAsia" w:ascii="宋体" w:hAnsi="宋体" w:cs="宋体"/>
          <w:color w:val="auto"/>
          <w:highlight w:val="none"/>
        </w:rPr>
      </w:pPr>
      <w:r>
        <w:rPr>
          <w:rFonts w:hint="eastAsia" w:ascii="宋体" w:hAnsi="宋体" w:cs="宋体"/>
          <w:color w:val="auto"/>
          <w:highlight w:val="none"/>
        </w:rPr>
        <w:t xml:space="preserve">                                                       广西荣胜项目管理有限公司</w:t>
      </w:r>
    </w:p>
    <w:p w14:paraId="2D7F4BB0">
      <w:pPr>
        <w:pStyle w:val="2"/>
        <w:spacing w:after="0" w:line="360" w:lineRule="auto"/>
        <w:ind w:left="210" w:leftChars="100" w:firstLine="6930" w:firstLineChars="3300"/>
        <w:rPr>
          <w:rFonts w:hint="eastAsia" w:hAnsi="宋体" w:cs="宋体"/>
          <w:b/>
          <w:bCs/>
          <w:color w:val="auto"/>
          <w:sz w:val="28"/>
          <w:szCs w:val="28"/>
          <w:highlight w:val="none"/>
        </w:rPr>
      </w:pPr>
      <w:r>
        <w:rPr>
          <w:rFonts w:hint="eastAsia" w:hAnsi="宋体" w:cs="宋体"/>
          <w:color w:val="auto"/>
          <w:kern w:val="2"/>
          <w:sz w:val="21"/>
          <w:szCs w:val="24"/>
          <w:highlight w:val="none"/>
        </w:rPr>
        <w:t>202</w:t>
      </w:r>
      <w:r>
        <w:rPr>
          <w:rFonts w:hint="eastAsia" w:hAnsi="宋体" w:cs="宋体"/>
          <w:color w:val="auto"/>
          <w:kern w:val="2"/>
          <w:sz w:val="21"/>
          <w:szCs w:val="24"/>
          <w:highlight w:val="none"/>
          <w:lang w:val="en-US" w:eastAsia="zh-CN"/>
        </w:rPr>
        <w:t>6</w:t>
      </w:r>
      <w:r>
        <w:rPr>
          <w:rFonts w:hint="eastAsia" w:hAnsi="宋体" w:cs="宋体"/>
          <w:color w:val="auto"/>
          <w:kern w:val="2"/>
          <w:sz w:val="21"/>
          <w:szCs w:val="24"/>
          <w:highlight w:val="none"/>
        </w:rPr>
        <w:t>年</w:t>
      </w:r>
      <w:r>
        <w:rPr>
          <w:rFonts w:hint="eastAsia" w:hAnsi="宋体" w:cs="宋体"/>
          <w:color w:val="auto"/>
          <w:kern w:val="2"/>
          <w:sz w:val="21"/>
          <w:szCs w:val="24"/>
          <w:highlight w:val="none"/>
          <w:lang w:val="en-US" w:eastAsia="zh-CN"/>
        </w:rPr>
        <w:t>10</w:t>
      </w:r>
      <w:r>
        <w:rPr>
          <w:rFonts w:hint="eastAsia" w:hAnsi="宋体" w:cs="宋体"/>
          <w:color w:val="auto"/>
          <w:kern w:val="2"/>
          <w:sz w:val="21"/>
          <w:szCs w:val="24"/>
          <w:highlight w:val="none"/>
        </w:rPr>
        <w:t>月</w:t>
      </w:r>
      <w:r>
        <w:rPr>
          <w:rFonts w:hint="eastAsia" w:hAnsi="宋体" w:cs="宋体"/>
          <w:color w:val="auto"/>
          <w:kern w:val="2"/>
          <w:sz w:val="21"/>
          <w:szCs w:val="24"/>
          <w:highlight w:val="none"/>
          <w:lang w:val="en-US" w:eastAsia="zh-CN"/>
        </w:rPr>
        <w:t>13</w:t>
      </w:r>
      <w:r>
        <w:rPr>
          <w:rFonts w:hint="eastAsia" w:hAnsi="宋体" w:cs="宋体"/>
          <w:color w:val="auto"/>
          <w:kern w:val="2"/>
          <w:sz w:val="21"/>
          <w:szCs w:val="24"/>
          <w:highlight w:val="none"/>
        </w:rPr>
        <w:t>日</w:t>
      </w:r>
    </w:p>
    <w:p w14:paraId="07875BDC">
      <w:pPr>
        <w:pStyle w:val="3"/>
        <w:rPr>
          <w:rFonts w:hint="eastAsia" w:asciiTheme="minorEastAsia" w:hAnsiTheme="minorEastAsia" w:eastAsiaTheme="minorEastAsia" w:cstheme="minorEastAsia"/>
          <w:color w:val="auto"/>
          <w:szCs w:val="21"/>
          <w:highlight w:val="none"/>
        </w:rPr>
      </w:pPr>
    </w:p>
    <w:p w14:paraId="40F55BC5">
      <w:pPr>
        <w:pStyle w:val="3"/>
        <w:rPr>
          <w:rFonts w:hint="eastAsia" w:asciiTheme="minorEastAsia" w:hAnsiTheme="minorEastAsia" w:eastAsiaTheme="minorEastAsia" w:cstheme="minorEastAsia"/>
          <w:color w:val="auto"/>
          <w:szCs w:val="21"/>
          <w:highlight w:val="none"/>
        </w:rPr>
      </w:pPr>
    </w:p>
    <w:p w14:paraId="7495BF32">
      <w:pPr>
        <w:pStyle w:val="3"/>
        <w:rPr>
          <w:rFonts w:hint="eastAsia" w:asciiTheme="minorEastAsia" w:hAnsiTheme="minorEastAsia" w:eastAsiaTheme="minorEastAsia" w:cstheme="minorEastAsia"/>
          <w:color w:val="auto"/>
          <w:szCs w:val="21"/>
          <w:highlight w:val="none"/>
        </w:rPr>
      </w:pPr>
    </w:p>
    <w:p w14:paraId="41144C37">
      <w:pPr>
        <w:pStyle w:val="3"/>
        <w:rPr>
          <w:rFonts w:hint="eastAsia" w:asciiTheme="minorEastAsia" w:hAnsiTheme="minorEastAsia" w:eastAsiaTheme="minorEastAsia" w:cstheme="minorEastAsia"/>
          <w:color w:val="auto"/>
          <w:szCs w:val="21"/>
          <w:highlight w:val="none"/>
        </w:rPr>
      </w:pPr>
    </w:p>
    <w:p w14:paraId="3D952034">
      <w:pPr>
        <w:pStyle w:val="3"/>
        <w:rPr>
          <w:rFonts w:hint="eastAsia" w:asciiTheme="minorEastAsia" w:hAnsiTheme="minorEastAsia" w:eastAsiaTheme="minorEastAsia" w:cstheme="minorEastAsia"/>
          <w:color w:val="auto"/>
          <w:szCs w:val="21"/>
          <w:highlight w:val="none"/>
        </w:rPr>
      </w:pPr>
    </w:p>
    <w:p w14:paraId="26698A8F">
      <w:pPr>
        <w:pStyle w:val="3"/>
        <w:rPr>
          <w:rFonts w:hint="eastAsia" w:asciiTheme="minorEastAsia" w:hAnsiTheme="minorEastAsia" w:eastAsiaTheme="minorEastAsia" w:cstheme="minorEastAsia"/>
          <w:color w:val="auto"/>
          <w:szCs w:val="21"/>
          <w:highlight w:val="none"/>
        </w:rPr>
      </w:pPr>
    </w:p>
    <w:p w14:paraId="18D3A111">
      <w:pPr>
        <w:pStyle w:val="3"/>
        <w:rPr>
          <w:rFonts w:hint="eastAsia" w:asciiTheme="minorEastAsia" w:hAnsiTheme="minorEastAsia" w:eastAsiaTheme="minorEastAsia" w:cstheme="minorEastAsia"/>
          <w:color w:val="auto"/>
          <w:szCs w:val="21"/>
          <w:highlight w:val="none"/>
        </w:rPr>
      </w:pPr>
    </w:p>
    <w:p w14:paraId="2ED61309">
      <w:pPr>
        <w:pStyle w:val="3"/>
        <w:rPr>
          <w:rFonts w:hint="eastAsia" w:asciiTheme="minorEastAsia" w:hAnsiTheme="minorEastAsia" w:eastAsiaTheme="minorEastAsia" w:cstheme="minorEastAsia"/>
          <w:color w:val="auto"/>
          <w:szCs w:val="21"/>
          <w:highlight w:val="none"/>
        </w:rPr>
      </w:pPr>
    </w:p>
    <w:p w14:paraId="79C96F5F">
      <w:pPr>
        <w:pStyle w:val="3"/>
        <w:rPr>
          <w:rFonts w:hint="eastAsia" w:asciiTheme="minorEastAsia" w:hAnsiTheme="minorEastAsia" w:eastAsiaTheme="minorEastAsia" w:cstheme="minorEastAsia"/>
          <w:color w:val="auto"/>
          <w:szCs w:val="21"/>
          <w:highlight w:val="none"/>
        </w:rPr>
      </w:pPr>
    </w:p>
    <w:p w14:paraId="057586E7">
      <w:pPr>
        <w:pStyle w:val="3"/>
        <w:rPr>
          <w:rFonts w:hint="eastAsia" w:asciiTheme="minorEastAsia" w:hAnsiTheme="minorEastAsia" w:eastAsiaTheme="minorEastAsia" w:cstheme="minorEastAsia"/>
          <w:color w:val="auto"/>
          <w:szCs w:val="21"/>
          <w:highlight w:val="none"/>
        </w:rPr>
      </w:pPr>
    </w:p>
    <w:p w14:paraId="19D002CC">
      <w:pPr>
        <w:pStyle w:val="3"/>
        <w:rPr>
          <w:rFonts w:hint="eastAsia" w:asciiTheme="minorEastAsia" w:hAnsiTheme="minorEastAsia" w:eastAsiaTheme="minorEastAsia" w:cstheme="minorEastAsia"/>
          <w:color w:val="auto"/>
          <w:szCs w:val="21"/>
          <w:highlight w:val="none"/>
        </w:rPr>
      </w:pPr>
    </w:p>
    <w:p w14:paraId="57293665">
      <w:pPr>
        <w:pStyle w:val="3"/>
        <w:rPr>
          <w:rFonts w:hint="eastAsia" w:asciiTheme="minorEastAsia" w:hAnsiTheme="minorEastAsia" w:eastAsiaTheme="minorEastAsia" w:cstheme="minorEastAsia"/>
          <w:color w:val="auto"/>
          <w:szCs w:val="21"/>
          <w:highlight w:val="none"/>
        </w:rPr>
      </w:pPr>
    </w:p>
    <w:p w14:paraId="349C11CF">
      <w:pPr>
        <w:pStyle w:val="3"/>
        <w:rPr>
          <w:rFonts w:hint="eastAsia" w:asciiTheme="minorEastAsia" w:hAnsiTheme="minorEastAsia" w:eastAsiaTheme="minorEastAsia" w:cstheme="minorEastAsia"/>
          <w:color w:val="auto"/>
          <w:szCs w:val="21"/>
          <w:highlight w:val="none"/>
        </w:rPr>
      </w:pPr>
    </w:p>
    <w:p w14:paraId="2ECEFEA2">
      <w:pPr>
        <w:pStyle w:val="3"/>
        <w:rPr>
          <w:rFonts w:hint="eastAsia" w:asciiTheme="minorEastAsia" w:hAnsiTheme="minorEastAsia" w:eastAsiaTheme="minorEastAsia" w:cstheme="minorEastAsia"/>
          <w:color w:val="auto"/>
          <w:szCs w:val="21"/>
          <w:highlight w:val="none"/>
        </w:rPr>
      </w:pPr>
    </w:p>
    <w:p w14:paraId="7D273F97">
      <w:pPr>
        <w:pStyle w:val="3"/>
        <w:rPr>
          <w:rFonts w:hint="eastAsia" w:asciiTheme="minorEastAsia" w:hAnsiTheme="minorEastAsia" w:eastAsiaTheme="minorEastAsia" w:cstheme="minorEastAsia"/>
          <w:color w:val="auto"/>
          <w:szCs w:val="21"/>
          <w:highlight w:val="none"/>
        </w:rPr>
      </w:pPr>
    </w:p>
    <w:p w14:paraId="41C09711">
      <w:pPr>
        <w:pStyle w:val="3"/>
        <w:rPr>
          <w:rFonts w:hint="eastAsia" w:asciiTheme="minorEastAsia" w:hAnsiTheme="minorEastAsia" w:eastAsiaTheme="minorEastAsia" w:cstheme="minorEastAsia"/>
          <w:color w:val="auto"/>
          <w:szCs w:val="21"/>
          <w:highlight w:val="none"/>
        </w:rPr>
      </w:pPr>
    </w:p>
    <w:p w14:paraId="61386F68">
      <w:pPr>
        <w:pStyle w:val="3"/>
        <w:rPr>
          <w:rFonts w:hint="eastAsia" w:asciiTheme="minorEastAsia" w:hAnsiTheme="minorEastAsia" w:eastAsiaTheme="minorEastAsia" w:cstheme="minorEastAsia"/>
          <w:color w:val="auto"/>
          <w:szCs w:val="21"/>
          <w:highlight w:val="none"/>
        </w:rPr>
      </w:pPr>
    </w:p>
    <w:p w14:paraId="36579297">
      <w:pPr>
        <w:pStyle w:val="3"/>
        <w:rPr>
          <w:rFonts w:hint="eastAsia" w:asciiTheme="minorEastAsia" w:hAnsiTheme="minorEastAsia" w:eastAsiaTheme="minorEastAsia" w:cstheme="minorEastAsia"/>
          <w:color w:val="auto"/>
          <w:szCs w:val="21"/>
          <w:highlight w:val="none"/>
        </w:rPr>
      </w:pPr>
    </w:p>
    <w:p w14:paraId="500DA9B0">
      <w:pPr>
        <w:pStyle w:val="3"/>
        <w:rPr>
          <w:rFonts w:hint="eastAsia" w:asciiTheme="minorEastAsia" w:hAnsiTheme="minorEastAsia" w:eastAsiaTheme="minorEastAsia" w:cstheme="minorEastAsia"/>
          <w:color w:val="auto"/>
          <w:szCs w:val="21"/>
          <w:highlight w:val="none"/>
        </w:rPr>
      </w:pPr>
    </w:p>
    <w:p w14:paraId="51A772AE">
      <w:pPr>
        <w:pStyle w:val="3"/>
        <w:rPr>
          <w:rFonts w:hint="eastAsia" w:asciiTheme="minorEastAsia" w:hAnsiTheme="minorEastAsia" w:eastAsiaTheme="minorEastAsia" w:cstheme="minorEastAsia"/>
          <w:color w:val="auto"/>
          <w:szCs w:val="21"/>
          <w:highlight w:val="none"/>
        </w:rPr>
      </w:pPr>
    </w:p>
    <w:p w14:paraId="167825EB">
      <w:pPr>
        <w:pStyle w:val="3"/>
        <w:rPr>
          <w:rFonts w:hint="eastAsia" w:asciiTheme="minorEastAsia" w:hAnsiTheme="minorEastAsia" w:eastAsiaTheme="minorEastAsia" w:cstheme="minorEastAsia"/>
          <w:color w:val="auto"/>
          <w:szCs w:val="21"/>
          <w:highlight w:val="none"/>
        </w:rPr>
      </w:pPr>
    </w:p>
    <w:p w14:paraId="41F23B5E">
      <w:pPr>
        <w:pStyle w:val="3"/>
        <w:rPr>
          <w:rFonts w:hint="eastAsia" w:asciiTheme="minorEastAsia" w:hAnsiTheme="minorEastAsia" w:eastAsiaTheme="minorEastAsia" w:cstheme="minorEastAsia"/>
          <w:color w:val="auto"/>
          <w:szCs w:val="21"/>
          <w:highlight w:val="none"/>
        </w:rPr>
      </w:pPr>
    </w:p>
    <w:p w14:paraId="45063AA5">
      <w:pPr>
        <w:pStyle w:val="3"/>
        <w:rPr>
          <w:rFonts w:hint="eastAsia" w:asciiTheme="minorEastAsia" w:hAnsiTheme="minorEastAsia" w:eastAsiaTheme="minorEastAsia" w:cstheme="minorEastAsia"/>
          <w:color w:val="auto"/>
          <w:szCs w:val="21"/>
          <w:highlight w:val="none"/>
        </w:rPr>
      </w:pPr>
    </w:p>
    <w:p w14:paraId="7FB3A88E">
      <w:pPr>
        <w:pStyle w:val="3"/>
        <w:rPr>
          <w:rFonts w:hint="eastAsia" w:asciiTheme="minorEastAsia" w:hAnsiTheme="minorEastAsia" w:eastAsiaTheme="minorEastAsia" w:cstheme="minorEastAsia"/>
          <w:color w:val="auto"/>
          <w:szCs w:val="21"/>
          <w:highlight w:val="none"/>
        </w:rPr>
      </w:pPr>
    </w:p>
    <w:p w14:paraId="5EC76597">
      <w:pPr>
        <w:pStyle w:val="3"/>
        <w:rPr>
          <w:rFonts w:hint="eastAsia" w:asciiTheme="minorEastAsia" w:hAnsiTheme="minorEastAsia" w:eastAsiaTheme="minorEastAsia" w:cstheme="minorEastAsia"/>
          <w:color w:val="auto"/>
          <w:szCs w:val="21"/>
          <w:highlight w:val="none"/>
        </w:rPr>
      </w:pPr>
    </w:p>
    <w:p w14:paraId="477A0170">
      <w:pPr>
        <w:pStyle w:val="3"/>
        <w:rPr>
          <w:rFonts w:hint="eastAsia" w:asciiTheme="minorEastAsia" w:hAnsiTheme="minorEastAsia" w:eastAsiaTheme="minorEastAsia" w:cstheme="minorEastAsia"/>
          <w:color w:val="auto"/>
          <w:szCs w:val="21"/>
          <w:highlight w:val="none"/>
        </w:rPr>
      </w:pPr>
    </w:p>
    <w:p w14:paraId="2EFED35F">
      <w:pPr>
        <w:pStyle w:val="3"/>
        <w:rPr>
          <w:rFonts w:hint="eastAsia" w:asciiTheme="minorEastAsia" w:hAnsiTheme="minorEastAsia" w:eastAsiaTheme="minorEastAsia" w:cstheme="minorEastAsia"/>
          <w:color w:val="auto"/>
          <w:szCs w:val="21"/>
          <w:highlight w:val="none"/>
        </w:rPr>
      </w:pPr>
    </w:p>
    <w:p w14:paraId="453B59E7">
      <w:pPr>
        <w:pStyle w:val="3"/>
        <w:rPr>
          <w:rFonts w:hint="eastAsia" w:asciiTheme="minorEastAsia" w:hAnsiTheme="minorEastAsia" w:eastAsiaTheme="minorEastAsia" w:cstheme="minorEastAsia"/>
          <w:color w:val="auto"/>
          <w:szCs w:val="21"/>
          <w:highlight w:val="none"/>
        </w:rPr>
      </w:pPr>
    </w:p>
    <w:p w14:paraId="6E52C256">
      <w:pPr>
        <w:pStyle w:val="3"/>
        <w:rPr>
          <w:rFonts w:hint="eastAsia" w:asciiTheme="minorEastAsia" w:hAnsiTheme="minorEastAsia" w:eastAsiaTheme="minorEastAsia" w:cstheme="minorEastAsia"/>
          <w:color w:val="auto"/>
          <w:szCs w:val="21"/>
          <w:highlight w:val="none"/>
        </w:rPr>
      </w:pPr>
    </w:p>
    <w:p w14:paraId="0DF38142">
      <w:pPr>
        <w:pStyle w:val="3"/>
        <w:rPr>
          <w:rFonts w:hint="eastAsia" w:asciiTheme="minorEastAsia" w:hAnsiTheme="minorEastAsia" w:eastAsiaTheme="minorEastAsia" w:cstheme="minorEastAsia"/>
          <w:color w:val="auto"/>
          <w:szCs w:val="21"/>
          <w:highlight w:val="none"/>
        </w:rPr>
      </w:pPr>
    </w:p>
    <w:p w14:paraId="7876E400">
      <w:pPr>
        <w:pStyle w:val="3"/>
        <w:rPr>
          <w:rFonts w:hint="eastAsia" w:asciiTheme="minorEastAsia" w:hAnsiTheme="minorEastAsia" w:eastAsiaTheme="minorEastAsia" w:cstheme="minorEastAsia"/>
          <w:color w:val="auto"/>
          <w:szCs w:val="21"/>
          <w:highlight w:val="none"/>
        </w:rPr>
      </w:pPr>
    </w:p>
    <w:p w14:paraId="038E5CAB">
      <w:pPr>
        <w:pStyle w:val="3"/>
        <w:rPr>
          <w:rFonts w:hint="eastAsia" w:asciiTheme="minorEastAsia" w:hAnsiTheme="minorEastAsia" w:eastAsiaTheme="minorEastAsia" w:cstheme="minorEastAsia"/>
          <w:color w:val="auto"/>
          <w:szCs w:val="21"/>
          <w:highlight w:val="none"/>
        </w:rPr>
      </w:pPr>
    </w:p>
    <w:p w14:paraId="426F5500">
      <w:pPr>
        <w:pStyle w:val="3"/>
        <w:rPr>
          <w:rFonts w:hint="eastAsia" w:asciiTheme="minorEastAsia" w:hAnsiTheme="minorEastAsia" w:eastAsiaTheme="minorEastAsia" w:cstheme="minorEastAsia"/>
          <w:color w:val="auto"/>
          <w:szCs w:val="21"/>
          <w:highlight w:val="none"/>
        </w:rPr>
      </w:pPr>
    </w:p>
    <w:p w14:paraId="46610AE2">
      <w:pPr>
        <w:pStyle w:val="3"/>
        <w:rPr>
          <w:rFonts w:hint="eastAsia" w:asciiTheme="minorEastAsia" w:hAnsiTheme="minorEastAsia" w:eastAsiaTheme="minorEastAsia" w:cstheme="minorEastAsia"/>
          <w:color w:val="auto"/>
          <w:szCs w:val="21"/>
          <w:highlight w:val="none"/>
        </w:rPr>
      </w:pPr>
    </w:p>
    <w:p w14:paraId="70826098">
      <w:pPr>
        <w:pStyle w:val="3"/>
        <w:rPr>
          <w:rFonts w:hint="eastAsia" w:asciiTheme="minorEastAsia" w:hAnsiTheme="minorEastAsia" w:eastAsiaTheme="minorEastAsia" w:cstheme="minorEastAsia"/>
          <w:color w:val="auto"/>
          <w:szCs w:val="21"/>
          <w:highlight w:val="none"/>
        </w:rPr>
      </w:pPr>
    </w:p>
    <w:p w14:paraId="74694F53">
      <w:pPr>
        <w:pStyle w:val="3"/>
        <w:rPr>
          <w:rFonts w:hint="eastAsia" w:asciiTheme="minorEastAsia" w:hAnsiTheme="minorEastAsia" w:eastAsiaTheme="minorEastAsia" w:cstheme="minorEastAsia"/>
          <w:color w:val="auto"/>
          <w:szCs w:val="21"/>
          <w:highlight w:val="none"/>
        </w:rPr>
      </w:pPr>
    </w:p>
    <w:p w14:paraId="6522A9B9">
      <w:pPr>
        <w:numPr>
          <w:ilvl w:val="0"/>
          <w:numId w:val="1"/>
        </w:numPr>
        <w:jc w:val="center"/>
        <w:outlineLvl w:val="0"/>
        <w:rPr>
          <w:rFonts w:hint="eastAsia" w:ascii="宋体" w:hAnsi="宋体" w:cs="宋体"/>
          <w:b/>
          <w:bCs/>
          <w:color w:val="auto"/>
          <w:kern w:val="0"/>
          <w:sz w:val="36"/>
          <w:szCs w:val="36"/>
          <w:highlight w:val="none"/>
        </w:rPr>
      </w:pPr>
      <w:bookmarkStart w:id="61" w:name="_Toc5416"/>
      <w:r>
        <w:rPr>
          <w:rFonts w:hint="eastAsia" w:ascii="宋体" w:hAnsi="宋体" w:cs="宋体"/>
          <w:b/>
          <w:bCs/>
          <w:color w:val="auto"/>
          <w:kern w:val="0"/>
          <w:sz w:val="36"/>
          <w:szCs w:val="36"/>
          <w:highlight w:val="none"/>
        </w:rPr>
        <w:t>供应商须知前附表</w:t>
      </w:r>
      <w:bookmarkEnd w:id="61"/>
    </w:p>
    <w:bookmarkEnd w:id="2"/>
    <w:tbl>
      <w:tblPr>
        <w:tblStyle w:val="31"/>
        <w:tblpPr w:leftFromText="180" w:rightFromText="180" w:vertAnchor="text" w:horzAnchor="page" w:tblpX="1215" w:tblpY="304"/>
        <w:tblOverlap w:val="never"/>
        <w:tblW w:w="96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602"/>
        <w:gridCol w:w="7399"/>
      </w:tblGrid>
      <w:tr w14:paraId="5EFB9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48" w:type="dxa"/>
            <w:tcBorders>
              <w:top w:val="single" w:color="auto" w:sz="4" w:space="0"/>
              <w:left w:val="single" w:color="auto" w:sz="4" w:space="0"/>
              <w:bottom w:val="single" w:color="auto" w:sz="4" w:space="0"/>
              <w:right w:val="single" w:color="auto" w:sz="4" w:space="0"/>
            </w:tcBorders>
            <w:vAlign w:val="center"/>
          </w:tcPr>
          <w:p w14:paraId="7DD611A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602" w:type="dxa"/>
            <w:tcBorders>
              <w:top w:val="single" w:color="auto" w:sz="4" w:space="0"/>
              <w:left w:val="single" w:color="auto" w:sz="4" w:space="0"/>
              <w:bottom w:val="single" w:color="auto" w:sz="4" w:space="0"/>
              <w:right w:val="single" w:color="auto" w:sz="4" w:space="0"/>
            </w:tcBorders>
            <w:vAlign w:val="center"/>
          </w:tcPr>
          <w:p w14:paraId="1870C9C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条款名称</w:t>
            </w:r>
          </w:p>
        </w:tc>
        <w:tc>
          <w:tcPr>
            <w:tcW w:w="7399" w:type="dxa"/>
            <w:tcBorders>
              <w:top w:val="single" w:color="auto" w:sz="4" w:space="0"/>
              <w:left w:val="single" w:color="auto" w:sz="4" w:space="0"/>
              <w:bottom w:val="single" w:color="auto" w:sz="4" w:space="0"/>
              <w:right w:val="single" w:color="auto" w:sz="4" w:space="0"/>
            </w:tcBorders>
            <w:vAlign w:val="center"/>
          </w:tcPr>
          <w:p w14:paraId="39FAA0E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内容</w:t>
            </w:r>
          </w:p>
        </w:tc>
      </w:tr>
      <w:tr w14:paraId="572CE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8" w:type="dxa"/>
            <w:tcBorders>
              <w:top w:val="single" w:color="auto" w:sz="4" w:space="0"/>
              <w:left w:val="single" w:color="auto" w:sz="4" w:space="0"/>
              <w:bottom w:val="single" w:color="auto" w:sz="4" w:space="0"/>
              <w:right w:val="single" w:color="auto" w:sz="4" w:space="0"/>
            </w:tcBorders>
            <w:vAlign w:val="center"/>
          </w:tcPr>
          <w:p w14:paraId="75305CB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602" w:type="dxa"/>
            <w:tcBorders>
              <w:top w:val="single" w:color="auto" w:sz="4" w:space="0"/>
              <w:left w:val="single" w:color="auto" w:sz="4" w:space="0"/>
              <w:bottom w:val="single" w:color="auto" w:sz="4" w:space="0"/>
              <w:right w:val="single" w:color="auto" w:sz="4" w:space="0"/>
            </w:tcBorders>
            <w:vAlign w:val="center"/>
          </w:tcPr>
          <w:p w14:paraId="5B60CA1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项目名称和编号</w:t>
            </w:r>
          </w:p>
        </w:tc>
        <w:tc>
          <w:tcPr>
            <w:tcW w:w="7399" w:type="dxa"/>
            <w:tcBorders>
              <w:top w:val="single" w:color="auto" w:sz="4" w:space="0"/>
              <w:left w:val="single" w:color="auto" w:sz="4" w:space="0"/>
              <w:bottom w:val="single" w:color="auto" w:sz="4" w:space="0"/>
              <w:right w:val="single" w:color="auto" w:sz="4" w:space="0"/>
            </w:tcBorders>
            <w:vAlign w:val="center"/>
          </w:tcPr>
          <w:p w14:paraId="2B36B63E">
            <w:pPr>
              <w:spacing w:line="360" w:lineRule="auto"/>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2026年自治区生态环境保护资金浦北县马江河沿岸重点区域农村生活污水处理项目-江城街道工程</w:t>
            </w:r>
          </w:p>
          <w:p w14:paraId="6CFA3E17">
            <w:pPr>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项目编号：</w:t>
            </w:r>
            <w:r>
              <w:rPr>
                <w:rFonts w:hint="eastAsia" w:ascii="宋体" w:hAnsi="宋体" w:cs="宋体"/>
                <w:color w:val="auto"/>
                <w:szCs w:val="21"/>
                <w:highlight w:val="none"/>
                <w:lang w:eastAsia="zh-CN"/>
              </w:rPr>
              <w:t>QZZC2026-C2-220163-GXRS</w:t>
            </w:r>
            <w:r>
              <w:rPr>
                <w:rFonts w:hint="eastAsia" w:ascii="宋体" w:hAnsi="宋体" w:cs="宋体"/>
                <w:color w:val="auto"/>
                <w:szCs w:val="21"/>
                <w:highlight w:val="none"/>
              </w:rPr>
              <w:t xml:space="preserve"> </w:t>
            </w:r>
          </w:p>
        </w:tc>
      </w:tr>
      <w:tr w14:paraId="57B0A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648" w:type="dxa"/>
            <w:tcBorders>
              <w:top w:val="single" w:color="auto" w:sz="4" w:space="0"/>
              <w:left w:val="single" w:color="auto" w:sz="4" w:space="0"/>
              <w:bottom w:val="single" w:color="auto" w:sz="4" w:space="0"/>
              <w:right w:val="single" w:color="auto" w:sz="4" w:space="0"/>
            </w:tcBorders>
            <w:vAlign w:val="center"/>
          </w:tcPr>
          <w:p w14:paraId="7006BD3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602" w:type="dxa"/>
            <w:tcBorders>
              <w:top w:val="single" w:color="auto" w:sz="4" w:space="0"/>
              <w:left w:val="single" w:color="auto" w:sz="4" w:space="0"/>
              <w:bottom w:val="single" w:color="auto" w:sz="4" w:space="0"/>
              <w:right w:val="single" w:color="auto" w:sz="4" w:space="0"/>
            </w:tcBorders>
            <w:vAlign w:val="center"/>
          </w:tcPr>
          <w:p w14:paraId="4D9533BB">
            <w:pPr>
              <w:pStyle w:val="14"/>
              <w:spacing w:line="360" w:lineRule="auto"/>
              <w:jc w:val="center"/>
              <w:rPr>
                <w:rFonts w:hint="eastAsia" w:hAnsi="宋体" w:cs="宋体"/>
                <w:color w:val="auto"/>
                <w:highlight w:val="none"/>
              </w:rPr>
            </w:pPr>
            <w:r>
              <w:rPr>
                <w:rFonts w:hint="eastAsia"/>
                <w:color w:val="auto"/>
                <w:highlight w:val="none"/>
              </w:rPr>
              <w:t>供应商资格</w:t>
            </w:r>
          </w:p>
        </w:tc>
        <w:tc>
          <w:tcPr>
            <w:tcW w:w="7399" w:type="dxa"/>
            <w:tcBorders>
              <w:top w:val="single" w:color="auto" w:sz="4" w:space="0"/>
              <w:left w:val="single" w:color="auto" w:sz="4" w:space="0"/>
              <w:bottom w:val="single" w:color="auto" w:sz="4" w:space="0"/>
              <w:right w:val="single" w:color="auto" w:sz="4" w:space="0"/>
            </w:tcBorders>
            <w:vAlign w:val="center"/>
          </w:tcPr>
          <w:p w14:paraId="6FEE5D7B">
            <w:pPr>
              <w:spacing w:line="360" w:lineRule="auto"/>
              <w:jc w:val="left"/>
              <w:rPr>
                <w:b/>
                <w:bCs/>
                <w:color w:val="auto"/>
                <w:highlight w:val="none"/>
              </w:rPr>
            </w:pPr>
            <w:bookmarkStart w:id="62" w:name="OLE_LINK8"/>
            <w:r>
              <w:rPr>
                <w:rFonts w:hint="eastAsia"/>
                <w:b/>
                <w:bCs/>
                <w:color w:val="auto"/>
                <w:highlight w:val="none"/>
              </w:rPr>
              <w:t>供应商资格要求：</w:t>
            </w:r>
          </w:p>
          <w:bookmarkEnd w:id="62"/>
          <w:p w14:paraId="26851BA4">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1.符合《中华人民共和国政府采购法》第二十二条规定。 </w:t>
            </w:r>
          </w:p>
          <w:p w14:paraId="5B82220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2.落实政府采购政策需满足的资格要求：本项目属于专门面向中小企业采购的项目，供应商须为中小企业或监狱企业或残疾人福利性单位。</w:t>
            </w:r>
          </w:p>
          <w:p w14:paraId="2A60D411">
            <w:pPr>
              <w:pStyle w:val="2"/>
              <w:autoSpaceDE/>
              <w:autoSpaceDN/>
              <w:adjustRightInd/>
              <w:spacing w:after="0" w:line="360" w:lineRule="auto"/>
              <w:rPr>
                <w:rFonts w:hint="eastAsia" w:hAnsi="宋体" w:cs="宋体"/>
                <w:color w:val="auto"/>
                <w:sz w:val="21"/>
                <w:szCs w:val="21"/>
                <w:highlight w:val="none"/>
              </w:rPr>
            </w:pPr>
            <w:r>
              <w:rPr>
                <w:rFonts w:hint="eastAsia" w:hAnsi="宋体" w:cs="宋体"/>
                <w:color w:val="auto"/>
                <w:sz w:val="21"/>
                <w:szCs w:val="21"/>
                <w:highlight w:val="none"/>
              </w:rPr>
              <w:t>3.本项目的特定资格要求：</w:t>
            </w:r>
          </w:p>
          <w:p w14:paraId="27E8BAE5">
            <w:pPr>
              <w:spacing w:line="360" w:lineRule="auto"/>
              <w:rPr>
                <w:rFonts w:hint="eastAsia" w:hAnsi="宋体" w:cs="宋体"/>
                <w:color w:val="auto"/>
                <w:kern w:val="2"/>
                <w:sz w:val="21"/>
                <w:szCs w:val="21"/>
                <w:highlight w:val="none"/>
              </w:rPr>
            </w:pPr>
            <w:r>
              <w:rPr>
                <w:rFonts w:hint="eastAsia" w:hAnsi="宋体" w:cs="宋体"/>
                <w:color w:val="auto"/>
                <w:kern w:val="2"/>
                <w:sz w:val="21"/>
                <w:szCs w:val="21"/>
                <w:highlight w:val="none"/>
                <w:lang w:eastAsia="zh-CN"/>
              </w:rPr>
              <w:t>（</w:t>
            </w:r>
            <w:r>
              <w:rPr>
                <w:rFonts w:hint="eastAsia" w:hAnsi="宋体" w:cs="宋体"/>
                <w:color w:val="auto"/>
                <w:kern w:val="2"/>
                <w:sz w:val="21"/>
                <w:szCs w:val="21"/>
                <w:highlight w:val="none"/>
              </w:rPr>
              <w:t>1）本项目供应商企业资质要求具备有效的</w:t>
            </w:r>
            <w:r>
              <w:rPr>
                <w:rFonts w:hint="eastAsia" w:hAnsi="宋体" w:cs="宋体"/>
                <w:color w:val="auto"/>
                <w:kern w:val="2"/>
                <w:sz w:val="21"/>
                <w:szCs w:val="21"/>
                <w:highlight w:val="none"/>
                <w:lang w:eastAsia="zh-CN"/>
              </w:rPr>
              <w:t>市政公用</w:t>
            </w:r>
            <w:r>
              <w:rPr>
                <w:rFonts w:hint="eastAsia" w:hAnsi="宋体" w:cs="宋体"/>
                <w:color w:val="auto"/>
                <w:kern w:val="2"/>
                <w:sz w:val="21"/>
                <w:szCs w:val="21"/>
                <w:highlight w:val="none"/>
              </w:rPr>
              <w:t>工程施工总承包三级(含三级)以上资质，且具备省级及以上建设行政主管部门颁发的安全生产许可证。并在人员、设备、资金等方面具有相应的施工能力；（2）拟投入本工程的项目经理必须具有</w:t>
            </w:r>
            <w:r>
              <w:rPr>
                <w:rFonts w:hint="eastAsia" w:hAnsi="宋体" w:cs="宋体"/>
                <w:color w:val="auto"/>
                <w:kern w:val="2"/>
                <w:sz w:val="21"/>
                <w:szCs w:val="21"/>
                <w:highlight w:val="none"/>
                <w:lang w:eastAsia="zh-CN"/>
              </w:rPr>
              <w:t>市政公用</w:t>
            </w:r>
            <w:r>
              <w:rPr>
                <w:rFonts w:hint="eastAsia" w:hAnsi="宋体" w:cs="宋体"/>
                <w:color w:val="auto"/>
                <w:kern w:val="2"/>
                <w:sz w:val="21"/>
                <w:szCs w:val="21"/>
                <w:highlight w:val="none"/>
              </w:rPr>
              <w:t>工程专业贰级以上（含贰级）注册建造师资格及安全生产考核合格证（B证），为供应商的在岗人员，且未担任其他在建项目或已中标未开工项目或已列为项目第一中标候选人项目的项目经理。</w:t>
            </w:r>
          </w:p>
          <w:p w14:paraId="262EBA51">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供应商出现下列情形之一的，不得参加政府采购活动：</w:t>
            </w:r>
          </w:p>
          <w:p w14:paraId="69AE8D2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686A78F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对在“信用中国”网站（www.creditchina.gov.cn）、中国政府采购网（www.ccgp.gov.cn）被列入失信被执行人、重大税收违法失信主体、政府采购严重违法失信行为记录名单及其他不符合《中华人民共和国政府采购法》第二十二条规定条件的供应商，不得参与政府采购活动。</w:t>
            </w:r>
          </w:p>
        </w:tc>
      </w:tr>
      <w:tr w14:paraId="0E2F1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648" w:type="dxa"/>
            <w:tcBorders>
              <w:top w:val="single" w:color="auto" w:sz="4" w:space="0"/>
              <w:left w:val="single" w:color="auto" w:sz="4" w:space="0"/>
              <w:bottom w:val="single" w:color="auto" w:sz="4" w:space="0"/>
              <w:right w:val="single" w:color="auto" w:sz="4" w:space="0"/>
            </w:tcBorders>
            <w:vAlign w:val="center"/>
          </w:tcPr>
          <w:p w14:paraId="2F36624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602" w:type="dxa"/>
            <w:tcBorders>
              <w:top w:val="single" w:color="auto" w:sz="4" w:space="0"/>
              <w:left w:val="single" w:color="auto" w:sz="4" w:space="0"/>
              <w:bottom w:val="single" w:color="auto" w:sz="4" w:space="0"/>
              <w:right w:val="single" w:color="auto" w:sz="4" w:space="0"/>
            </w:tcBorders>
            <w:vAlign w:val="center"/>
          </w:tcPr>
          <w:p w14:paraId="546412E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竞标报价</w:t>
            </w:r>
          </w:p>
        </w:tc>
        <w:tc>
          <w:tcPr>
            <w:tcW w:w="7399" w:type="dxa"/>
            <w:tcBorders>
              <w:top w:val="single" w:color="auto" w:sz="4" w:space="0"/>
              <w:left w:val="single" w:color="auto" w:sz="4" w:space="0"/>
              <w:bottom w:val="single" w:color="auto" w:sz="4" w:space="0"/>
              <w:right w:val="single" w:color="auto" w:sz="4" w:space="0"/>
            </w:tcBorders>
            <w:vAlign w:val="center"/>
          </w:tcPr>
          <w:p w14:paraId="1E353594">
            <w:pPr>
              <w:spacing w:line="360" w:lineRule="auto"/>
              <w:jc w:val="left"/>
              <w:rPr>
                <w:rFonts w:hint="eastAsia" w:ascii="宋体" w:hAnsi="宋体" w:cs="宋体"/>
                <w:color w:val="auto"/>
                <w:highlight w:val="none"/>
              </w:rPr>
            </w:pPr>
            <w:r>
              <w:rPr>
                <w:rFonts w:hint="eastAsia" w:ascii="宋体" w:hAnsi="宋体" w:cs="宋体"/>
                <w:color w:val="auto"/>
                <w:highlight w:val="none"/>
              </w:rPr>
              <w:t>竞标报价：</w:t>
            </w:r>
          </w:p>
          <w:p w14:paraId="7A55418F">
            <w:pPr>
              <w:spacing w:line="360" w:lineRule="auto"/>
              <w:jc w:val="left"/>
              <w:rPr>
                <w:rFonts w:hint="eastAsia" w:ascii="宋体" w:hAnsi="宋体" w:cs="宋体"/>
                <w:color w:val="auto"/>
                <w:highlight w:val="none"/>
              </w:rPr>
            </w:pPr>
            <w:r>
              <w:rPr>
                <w:rFonts w:hint="eastAsia" w:ascii="宋体" w:hAnsi="宋体" w:cs="宋体"/>
                <w:color w:val="auto"/>
                <w:highlight w:val="none"/>
              </w:rPr>
              <w:t xml:space="preserve">1.供应商必须就所投项目的全部内容作完整唯一报价，漏项报价的或有选择的或有条件的报价，其磋商将视为无效。                        </w:t>
            </w:r>
          </w:p>
          <w:p w14:paraId="33C10023">
            <w:pPr>
              <w:spacing w:line="360" w:lineRule="auto"/>
              <w:jc w:val="left"/>
              <w:rPr>
                <w:rFonts w:hint="eastAsia" w:ascii="宋体" w:hAnsi="宋体" w:cs="宋体"/>
                <w:color w:val="auto"/>
                <w:szCs w:val="21"/>
                <w:highlight w:val="none"/>
              </w:rPr>
            </w:pPr>
            <w:r>
              <w:rPr>
                <w:rFonts w:hint="eastAsia" w:ascii="宋体" w:hAnsi="宋体" w:cs="宋体"/>
                <w:color w:val="auto"/>
                <w:highlight w:val="none"/>
              </w:rPr>
              <w:t>2.本项目报价采用工程量清单报价方式，合同价在合同实施期间因市场价格波动可调整合同价格，合同价含服务资料、人员成本、服务费、管理、材料、利润、税金、政策性文件规定及合同包含的应有风险、责任等各项应有费用。</w:t>
            </w:r>
          </w:p>
        </w:tc>
      </w:tr>
      <w:tr w14:paraId="45157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48" w:type="dxa"/>
            <w:tcBorders>
              <w:top w:val="single" w:color="auto" w:sz="4" w:space="0"/>
              <w:left w:val="single" w:color="auto" w:sz="4" w:space="0"/>
              <w:bottom w:val="single" w:color="auto" w:sz="4" w:space="0"/>
              <w:right w:val="single" w:color="auto" w:sz="4" w:space="0"/>
            </w:tcBorders>
            <w:vAlign w:val="center"/>
          </w:tcPr>
          <w:p w14:paraId="404C4B9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602" w:type="dxa"/>
            <w:tcBorders>
              <w:top w:val="single" w:color="auto" w:sz="4" w:space="0"/>
              <w:left w:val="single" w:color="auto" w:sz="4" w:space="0"/>
              <w:bottom w:val="single" w:color="auto" w:sz="4" w:space="0"/>
              <w:right w:val="single" w:color="auto" w:sz="4" w:space="0"/>
            </w:tcBorders>
            <w:vAlign w:val="center"/>
          </w:tcPr>
          <w:p w14:paraId="49FBDD8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响应文件电子版要求</w:t>
            </w:r>
          </w:p>
        </w:tc>
        <w:tc>
          <w:tcPr>
            <w:tcW w:w="7399" w:type="dxa"/>
            <w:tcBorders>
              <w:top w:val="single" w:color="auto" w:sz="4" w:space="0"/>
              <w:left w:val="single" w:color="auto" w:sz="4" w:space="0"/>
              <w:bottom w:val="single" w:color="auto" w:sz="4" w:space="0"/>
              <w:right w:val="single" w:color="auto" w:sz="4" w:space="0"/>
            </w:tcBorders>
            <w:vAlign w:val="center"/>
          </w:tcPr>
          <w:p w14:paraId="5E6F6F4B">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1.响应文件电子版要求：按照本采购文件“</w:t>
            </w:r>
            <w:r>
              <w:rPr>
                <w:rFonts w:hint="eastAsia" w:ascii="宋体" w:hAnsi="宋体"/>
                <w:color w:val="auto"/>
                <w:szCs w:val="21"/>
                <w:highlight w:val="none"/>
              </w:rPr>
              <w:t>第五章 响应文件格式</w:t>
            </w:r>
            <w:r>
              <w:rPr>
                <w:rFonts w:hint="eastAsia" w:ascii="宋体" w:hAnsi="宋体" w:cs="宋体"/>
                <w:color w:val="auto"/>
                <w:szCs w:val="21"/>
                <w:highlight w:val="none"/>
              </w:rPr>
              <w:t>”编写（第五章未附格式的，由供应商自行拟定），不可涂改并在规定加盖公章处加盖电子公章，</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740D80DC">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Courier New"/>
                <w:color w:val="auto"/>
                <w:szCs w:val="21"/>
                <w:highlight w:val="none"/>
              </w:rPr>
              <w:t>.响应文件电子版密封方式：电子响应文件通过平台有效CA加密后在广西政府采购云平台递交。</w:t>
            </w:r>
          </w:p>
        </w:tc>
      </w:tr>
      <w:tr w14:paraId="42AB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48" w:type="dxa"/>
            <w:tcBorders>
              <w:top w:val="single" w:color="auto" w:sz="4" w:space="0"/>
              <w:left w:val="single" w:color="auto" w:sz="4" w:space="0"/>
              <w:bottom w:val="single" w:color="auto" w:sz="4" w:space="0"/>
              <w:right w:val="single" w:color="auto" w:sz="4" w:space="0"/>
            </w:tcBorders>
            <w:vAlign w:val="center"/>
          </w:tcPr>
          <w:p w14:paraId="63B6D50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1602" w:type="dxa"/>
            <w:tcBorders>
              <w:top w:val="single" w:color="auto" w:sz="4" w:space="0"/>
              <w:left w:val="single" w:color="auto" w:sz="4" w:space="0"/>
              <w:bottom w:val="single" w:color="auto" w:sz="4" w:space="0"/>
              <w:right w:val="single" w:color="auto" w:sz="4" w:space="0"/>
            </w:tcBorders>
            <w:vAlign w:val="center"/>
          </w:tcPr>
          <w:p w14:paraId="78187B6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备份响应文件</w:t>
            </w:r>
          </w:p>
        </w:tc>
        <w:tc>
          <w:tcPr>
            <w:tcW w:w="7399" w:type="dxa"/>
            <w:tcBorders>
              <w:top w:val="single" w:color="auto" w:sz="4" w:space="0"/>
              <w:left w:val="single" w:color="auto" w:sz="4" w:space="0"/>
              <w:bottom w:val="single" w:color="auto" w:sz="4" w:space="0"/>
              <w:right w:val="single" w:color="auto" w:sz="4" w:space="0"/>
            </w:tcBorders>
            <w:vAlign w:val="center"/>
          </w:tcPr>
          <w:p w14:paraId="5E43589D">
            <w:pPr>
              <w:pStyle w:val="11"/>
              <w:spacing w:line="360" w:lineRule="auto"/>
              <w:rPr>
                <w:rFonts w:hint="eastAsia" w:ascii="宋体" w:hAnsi="宋体"/>
                <w:color w:val="auto"/>
                <w:szCs w:val="21"/>
                <w:highlight w:val="none"/>
              </w:rPr>
            </w:pPr>
            <w:r>
              <w:rPr>
                <w:rFonts w:hint="eastAsia" w:ascii="宋体" w:hAnsi="宋体"/>
                <w:color w:val="auto"/>
                <w:szCs w:val="21"/>
                <w:highlight w:val="none"/>
              </w:rPr>
              <w:t>☑本项目不接受</w:t>
            </w:r>
            <w:r>
              <w:rPr>
                <w:color w:val="auto"/>
                <w:highlight w:val="none"/>
              </w:rPr>
              <w:t>电子备份响应文件</w:t>
            </w:r>
            <w:r>
              <w:rPr>
                <w:rFonts w:hint="eastAsia"/>
                <w:color w:val="auto"/>
                <w:highlight w:val="none"/>
              </w:rPr>
              <w:t>。</w:t>
            </w:r>
          </w:p>
          <w:p w14:paraId="58AB6769">
            <w:pPr>
              <w:pStyle w:val="11"/>
              <w:spacing w:line="360" w:lineRule="auto"/>
              <w:rPr>
                <w:rFonts w:hint="eastAsia" w:ascii="宋体" w:hAnsi="宋体" w:cs="宋体"/>
                <w:color w:val="auto"/>
                <w:szCs w:val="21"/>
                <w:highlight w:val="none"/>
              </w:rPr>
            </w:pPr>
            <w:r>
              <w:rPr>
                <w:rFonts w:hint="eastAsia" w:ascii="宋体" w:hAnsi="宋体"/>
                <w:color w:val="auto"/>
                <w:szCs w:val="21"/>
                <w:highlight w:val="none"/>
              </w:rPr>
              <w:t>□本项目接受</w:t>
            </w:r>
            <w:r>
              <w:rPr>
                <w:color w:val="auto"/>
                <w:highlight w:val="none"/>
              </w:rPr>
              <w:t>电子备份响应文件</w:t>
            </w:r>
            <w:r>
              <w:rPr>
                <w:rFonts w:hint="eastAsia" w:ascii="宋体" w:hAnsi="宋体"/>
                <w:color w:val="auto"/>
                <w:szCs w:val="21"/>
                <w:highlight w:val="none"/>
              </w:rPr>
              <w:t>。</w:t>
            </w:r>
          </w:p>
        </w:tc>
      </w:tr>
      <w:tr w14:paraId="6F00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48" w:type="dxa"/>
            <w:tcBorders>
              <w:top w:val="single" w:color="auto" w:sz="4" w:space="0"/>
              <w:left w:val="single" w:color="auto" w:sz="4" w:space="0"/>
              <w:bottom w:val="single" w:color="auto" w:sz="4" w:space="0"/>
              <w:right w:val="single" w:color="auto" w:sz="4" w:space="0"/>
            </w:tcBorders>
            <w:vAlign w:val="center"/>
          </w:tcPr>
          <w:p w14:paraId="3576F38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1602" w:type="dxa"/>
            <w:tcBorders>
              <w:top w:val="single" w:color="auto" w:sz="4" w:space="0"/>
              <w:left w:val="single" w:color="auto" w:sz="4" w:space="0"/>
              <w:bottom w:val="single" w:color="auto" w:sz="4" w:space="0"/>
              <w:right w:val="single" w:color="auto" w:sz="4" w:space="0"/>
            </w:tcBorders>
            <w:vAlign w:val="center"/>
          </w:tcPr>
          <w:p w14:paraId="2F69BF50">
            <w:pPr>
              <w:spacing w:line="360" w:lineRule="auto"/>
              <w:jc w:val="center"/>
              <w:rPr>
                <w:color w:val="auto"/>
                <w:highlight w:val="none"/>
              </w:rPr>
            </w:pPr>
            <w:r>
              <w:rPr>
                <w:rFonts w:hint="eastAsia"/>
                <w:color w:val="auto"/>
                <w:highlight w:val="none"/>
              </w:rPr>
              <w:t>竞标有效期</w:t>
            </w:r>
          </w:p>
        </w:tc>
        <w:tc>
          <w:tcPr>
            <w:tcW w:w="7399" w:type="dxa"/>
            <w:tcBorders>
              <w:top w:val="single" w:color="auto" w:sz="4" w:space="0"/>
              <w:left w:val="single" w:color="auto" w:sz="4" w:space="0"/>
              <w:bottom w:val="single" w:color="auto" w:sz="4" w:space="0"/>
              <w:right w:val="single" w:color="auto" w:sz="4" w:space="0"/>
            </w:tcBorders>
            <w:vAlign w:val="center"/>
          </w:tcPr>
          <w:p w14:paraId="06DD3329">
            <w:pPr>
              <w:spacing w:line="360" w:lineRule="auto"/>
              <w:jc w:val="left"/>
              <w:rPr>
                <w:rFonts w:hint="eastAsia" w:ascii="宋体" w:hAnsi="宋体" w:cs="宋体"/>
                <w:color w:val="auto"/>
                <w:szCs w:val="21"/>
                <w:highlight w:val="none"/>
              </w:rPr>
            </w:pPr>
            <w:r>
              <w:rPr>
                <w:rFonts w:hint="eastAsia"/>
                <w:color w:val="auto"/>
                <w:highlight w:val="none"/>
              </w:rPr>
              <w:t>竞</w:t>
            </w:r>
            <w:r>
              <w:rPr>
                <w:rFonts w:hint="eastAsia" w:ascii="宋体" w:hAnsi="宋体" w:cs="宋体"/>
                <w:color w:val="auto"/>
                <w:szCs w:val="21"/>
                <w:highlight w:val="none"/>
              </w:rPr>
              <w:t>标有效期：</w:t>
            </w:r>
            <w:r>
              <w:rPr>
                <w:rFonts w:hint="eastAsia"/>
                <w:color w:val="auto"/>
                <w:highlight w:val="none"/>
              </w:rPr>
              <w:t>竞</w:t>
            </w:r>
            <w:r>
              <w:rPr>
                <w:rFonts w:hint="eastAsia" w:ascii="宋体" w:hAnsi="宋体" w:cs="宋体"/>
                <w:color w:val="auto"/>
                <w:szCs w:val="21"/>
                <w:highlight w:val="none"/>
              </w:rPr>
              <w:t>标截止日期后60天</w:t>
            </w:r>
          </w:p>
        </w:tc>
      </w:tr>
      <w:tr w14:paraId="1F476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48" w:type="dxa"/>
            <w:tcBorders>
              <w:top w:val="single" w:color="auto" w:sz="4" w:space="0"/>
              <w:left w:val="single" w:color="auto" w:sz="4" w:space="0"/>
              <w:bottom w:val="single" w:color="auto" w:sz="4" w:space="0"/>
              <w:right w:val="single" w:color="auto" w:sz="4" w:space="0"/>
            </w:tcBorders>
            <w:vAlign w:val="center"/>
          </w:tcPr>
          <w:p w14:paraId="7EDE541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1602" w:type="dxa"/>
            <w:tcBorders>
              <w:top w:val="single" w:color="auto" w:sz="4" w:space="0"/>
              <w:left w:val="single" w:color="auto" w:sz="4" w:space="0"/>
              <w:bottom w:val="single" w:color="auto" w:sz="4" w:space="0"/>
              <w:right w:val="single" w:color="auto" w:sz="4" w:space="0"/>
            </w:tcBorders>
            <w:vAlign w:val="center"/>
          </w:tcPr>
          <w:p w14:paraId="324CA2F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磋商保证金</w:t>
            </w:r>
          </w:p>
        </w:tc>
        <w:tc>
          <w:tcPr>
            <w:tcW w:w="7399" w:type="dxa"/>
            <w:tcBorders>
              <w:top w:val="single" w:color="auto" w:sz="4" w:space="0"/>
              <w:left w:val="single" w:color="auto" w:sz="4" w:space="0"/>
              <w:bottom w:val="single" w:color="auto" w:sz="4" w:space="0"/>
              <w:right w:val="single" w:color="auto" w:sz="4" w:space="0"/>
            </w:tcBorders>
            <w:vAlign w:val="center"/>
          </w:tcPr>
          <w:p w14:paraId="4113AE06">
            <w:pPr>
              <w:pStyle w:val="14"/>
              <w:spacing w:line="360" w:lineRule="auto"/>
              <w:rPr>
                <w:rFonts w:hint="eastAsia" w:hAnsi="宋体" w:cs="宋体"/>
                <w:color w:val="auto"/>
                <w:kern w:val="0"/>
                <w:highlight w:val="none"/>
              </w:rPr>
            </w:pPr>
            <w:r>
              <w:rPr>
                <w:rFonts w:hint="eastAsia" w:hAnsi="宋体" w:cs="宋体"/>
                <w:color w:val="auto"/>
                <w:kern w:val="0"/>
                <w:highlight w:val="none"/>
              </w:rPr>
              <w:t>本项目是否要求收取磋商保证金：不要求</w:t>
            </w:r>
          </w:p>
          <w:p w14:paraId="2B07F80B">
            <w:pPr>
              <w:pStyle w:val="14"/>
              <w:spacing w:line="360" w:lineRule="auto"/>
              <w:rPr>
                <w:rFonts w:hint="eastAsia" w:hAnsi="宋体" w:cs="宋体"/>
                <w:color w:val="auto"/>
                <w:kern w:val="0"/>
                <w:highlight w:val="none"/>
              </w:rPr>
            </w:pPr>
            <w:r>
              <w:rPr>
                <w:rFonts w:hint="eastAsia" w:hAnsi="宋体" w:cs="宋体"/>
                <w:color w:val="auto"/>
                <w:kern w:val="0"/>
                <w:highlight w:val="none"/>
              </w:rPr>
              <w:t>磋商保证金：</w:t>
            </w:r>
            <w:r>
              <w:rPr>
                <w:rFonts w:hint="eastAsia" w:hAnsi="宋体"/>
                <w:color w:val="auto"/>
                <w:highlight w:val="none"/>
                <w:u w:val="single"/>
              </w:rPr>
              <w:t xml:space="preserve">  / </w:t>
            </w:r>
            <w:r>
              <w:rPr>
                <w:rFonts w:hint="eastAsia" w:hAnsi="宋体"/>
                <w:color w:val="auto"/>
                <w:highlight w:val="none"/>
              </w:rPr>
              <w:t>元整</w:t>
            </w:r>
            <w:r>
              <w:rPr>
                <w:rFonts w:hint="eastAsia" w:hAnsi="宋体" w:cs="宋体"/>
                <w:color w:val="auto"/>
                <w:kern w:val="0"/>
                <w:highlight w:val="none"/>
              </w:rPr>
              <w:t>。</w:t>
            </w:r>
          </w:p>
          <w:p w14:paraId="6BC38BFE">
            <w:pPr>
              <w:pStyle w:val="14"/>
              <w:spacing w:line="360" w:lineRule="auto"/>
              <w:rPr>
                <w:rFonts w:hint="eastAsia" w:hAnsi="宋体" w:cs="宋体"/>
                <w:color w:val="auto"/>
                <w:kern w:val="0"/>
                <w:highlight w:val="none"/>
              </w:rPr>
            </w:pPr>
            <w:r>
              <w:rPr>
                <w:rFonts w:hint="eastAsia" w:hAnsi="宋体"/>
                <w:color w:val="auto"/>
                <w:highlight w:val="none"/>
              </w:rPr>
              <w:t>磋商保证金缴纳形式：银行转账、支票、汇票、本票或者银行、保险机构出具的保函、保险单，禁止采用现钞方式。</w:t>
            </w:r>
          </w:p>
          <w:p w14:paraId="47DE92D9">
            <w:pPr>
              <w:pStyle w:val="14"/>
              <w:spacing w:line="360" w:lineRule="auto"/>
              <w:rPr>
                <w:rFonts w:hint="eastAsia" w:hAnsi="宋体" w:cs="宋体"/>
                <w:color w:val="auto"/>
                <w:kern w:val="0"/>
                <w:highlight w:val="none"/>
              </w:rPr>
            </w:pPr>
            <w:r>
              <w:rPr>
                <w:rFonts w:hint="eastAsia" w:hAnsi="宋体" w:cs="宋体"/>
                <w:color w:val="auto"/>
                <w:kern w:val="0"/>
                <w:highlight w:val="none"/>
              </w:rPr>
              <w:t>采用银行转账方式的，竞标人将磋商保证金从竞标人基本账户转出交至以下指定的磋商保证金专用账户，且提交到指定账户时间不得迟于响应文件提交截止时间（以到账为准）：</w:t>
            </w:r>
          </w:p>
          <w:p w14:paraId="40B4672C">
            <w:pPr>
              <w:pStyle w:val="14"/>
              <w:spacing w:line="360" w:lineRule="auto"/>
              <w:rPr>
                <w:rFonts w:hint="eastAsia" w:hAnsi="宋体" w:cs="宋体"/>
                <w:color w:val="auto"/>
                <w:kern w:val="0"/>
                <w:highlight w:val="none"/>
              </w:rPr>
            </w:pPr>
            <w:r>
              <w:rPr>
                <w:rFonts w:hint="eastAsia" w:hAnsi="宋体" w:cs="宋体"/>
                <w:color w:val="auto"/>
                <w:kern w:val="0"/>
                <w:highlight w:val="none"/>
              </w:rPr>
              <w:t>开户行：</w:t>
            </w:r>
            <w:r>
              <w:rPr>
                <w:rFonts w:hint="eastAsia" w:hAnsi="宋体"/>
                <w:color w:val="auto"/>
                <w:highlight w:val="none"/>
              </w:rPr>
              <w:t>/</w:t>
            </w:r>
          </w:p>
          <w:p w14:paraId="63E6E2BE">
            <w:pPr>
              <w:pStyle w:val="14"/>
              <w:spacing w:line="360" w:lineRule="auto"/>
              <w:rPr>
                <w:rFonts w:hint="eastAsia" w:hAnsi="宋体" w:cs="宋体"/>
                <w:color w:val="auto"/>
                <w:kern w:val="0"/>
                <w:highlight w:val="none"/>
              </w:rPr>
            </w:pPr>
            <w:r>
              <w:rPr>
                <w:rFonts w:hint="eastAsia" w:hAnsi="宋体" w:cs="宋体"/>
                <w:color w:val="auto"/>
                <w:kern w:val="0"/>
                <w:highlight w:val="none"/>
              </w:rPr>
              <w:t>户名：</w:t>
            </w:r>
            <w:r>
              <w:rPr>
                <w:rFonts w:hint="eastAsia" w:hAnsi="宋体"/>
                <w:color w:val="auto"/>
                <w:highlight w:val="none"/>
              </w:rPr>
              <w:t>/</w:t>
            </w:r>
          </w:p>
          <w:p w14:paraId="2B95721C">
            <w:pPr>
              <w:pStyle w:val="14"/>
              <w:spacing w:line="360" w:lineRule="auto"/>
              <w:rPr>
                <w:color w:val="auto"/>
                <w:highlight w:val="none"/>
              </w:rPr>
            </w:pPr>
            <w:r>
              <w:rPr>
                <w:rFonts w:hint="eastAsia" w:hAnsi="宋体" w:cs="宋体"/>
                <w:color w:val="auto"/>
                <w:kern w:val="0"/>
                <w:highlight w:val="none"/>
              </w:rPr>
              <w:t xml:space="preserve">账号： </w:t>
            </w:r>
            <w:r>
              <w:rPr>
                <w:rFonts w:hint="eastAsia" w:hAnsi="宋体"/>
                <w:color w:val="auto"/>
                <w:highlight w:val="none"/>
              </w:rPr>
              <w:t>/</w:t>
            </w:r>
          </w:p>
        </w:tc>
      </w:tr>
      <w:tr w14:paraId="59D0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648" w:type="dxa"/>
            <w:tcBorders>
              <w:top w:val="single" w:color="auto" w:sz="4" w:space="0"/>
              <w:left w:val="single" w:color="auto" w:sz="4" w:space="0"/>
              <w:bottom w:val="single" w:color="auto" w:sz="4" w:space="0"/>
              <w:right w:val="single" w:color="auto" w:sz="4" w:space="0"/>
            </w:tcBorders>
            <w:vAlign w:val="center"/>
          </w:tcPr>
          <w:p w14:paraId="10AA23B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1602" w:type="dxa"/>
            <w:tcBorders>
              <w:top w:val="single" w:color="auto" w:sz="4" w:space="0"/>
              <w:left w:val="single" w:color="auto" w:sz="4" w:space="0"/>
              <w:bottom w:val="single" w:color="auto" w:sz="4" w:space="0"/>
              <w:right w:val="single" w:color="auto" w:sz="4" w:space="0"/>
            </w:tcBorders>
            <w:vAlign w:val="center"/>
          </w:tcPr>
          <w:p w14:paraId="6A29F21C">
            <w:pPr>
              <w:spacing w:line="360" w:lineRule="auto"/>
              <w:jc w:val="center"/>
              <w:rPr>
                <w:rFonts w:hint="eastAsia" w:ascii="宋体" w:hAnsi="宋体" w:cs="宋体"/>
                <w:color w:val="auto"/>
                <w:szCs w:val="21"/>
                <w:highlight w:val="none"/>
              </w:rPr>
            </w:pPr>
            <w:r>
              <w:rPr>
                <w:rFonts w:hint="eastAsia" w:hAnsi="宋体" w:cs="宋体"/>
                <w:color w:val="auto"/>
                <w:highlight w:val="none"/>
              </w:rPr>
              <w:t>响应文件递交截止时间和地点</w:t>
            </w:r>
          </w:p>
        </w:tc>
        <w:tc>
          <w:tcPr>
            <w:tcW w:w="7399" w:type="dxa"/>
            <w:tcBorders>
              <w:top w:val="single" w:color="auto" w:sz="4" w:space="0"/>
              <w:left w:val="single" w:color="auto" w:sz="4" w:space="0"/>
              <w:bottom w:val="single" w:color="auto" w:sz="4" w:space="0"/>
              <w:right w:val="single" w:color="auto" w:sz="4" w:space="0"/>
            </w:tcBorders>
            <w:vAlign w:val="center"/>
          </w:tcPr>
          <w:p w14:paraId="6639FDF4">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详见竞争性磋商公告</w:t>
            </w:r>
          </w:p>
        </w:tc>
      </w:tr>
      <w:tr w14:paraId="69850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648" w:type="dxa"/>
            <w:tcBorders>
              <w:top w:val="single" w:color="auto" w:sz="4" w:space="0"/>
              <w:left w:val="single" w:color="auto" w:sz="4" w:space="0"/>
              <w:bottom w:val="single" w:color="auto" w:sz="4" w:space="0"/>
              <w:right w:val="single" w:color="auto" w:sz="4" w:space="0"/>
            </w:tcBorders>
            <w:vAlign w:val="center"/>
          </w:tcPr>
          <w:p w14:paraId="285BC4A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9</w:t>
            </w:r>
          </w:p>
        </w:tc>
        <w:tc>
          <w:tcPr>
            <w:tcW w:w="1602" w:type="dxa"/>
            <w:tcBorders>
              <w:top w:val="single" w:color="auto" w:sz="4" w:space="0"/>
              <w:left w:val="single" w:color="auto" w:sz="4" w:space="0"/>
              <w:bottom w:val="single" w:color="auto" w:sz="4" w:space="0"/>
              <w:right w:val="single" w:color="auto" w:sz="4" w:space="0"/>
            </w:tcBorders>
            <w:vAlign w:val="center"/>
          </w:tcPr>
          <w:p w14:paraId="63939726">
            <w:pPr>
              <w:spacing w:line="360" w:lineRule="auto"/>
              <w:jc w:val="center"/>
              <w:rPr>
                <w:rFonts w:hint="eastAsia" w:ascii="宋体" w:hAnsi="宋体" w:cs="宋体"/>
                <w:color w:val="auto"/>
                <w:szCs w:val="21"/>
                <w:highlight w:val="none"/>
              </w:rPr>
            </w:pPr>
            <w:r>
              <w:rPr>
                <w:rFonts w:hint="eastAsia" w:ascii="宋体" w:hAnsi="宋体" w:cs="宋体"/>
                <w:color w:val="auto"/>
                <w:highlight w:val="none"/>
              </w:rPr>
              <w:t>评标委员会的组建</w:t>
            </w:r>
          </w:p>
        </w:tc>
        <w:tc>
          <w:tcPr>
            <w:tcW w:w="7399" w:type="dxa"/>
            <w:tcBorders>
              <w:top w:val="single" w:color="auto" w:sz="4" w:space="0"/>
              <w:left w:val="single" w:color="auto" w:sz="4" w:space="0"/>
              <w:bottom w:val="single" w:color="auto" w:sz="4" w:space="0"/>
              <w:right w:val="single" w:color="auto" w:sz="4" w:space="0"/>
            </w:tcBorders>
            <w:vAlign w:val="center"/>
          </w:tcPr>
          <w:p w14:paraId="301A8943">
            <w:pPr>
              <w:pStyle w:val="14"/>
              <w:spacing w:line="360" w:lineRule="auto"/>
              <w:jc w:val="left"/>
              <w:rPr>
                <w:rFonts w:hint="eastAsia" w:hAnsi="宋体" w:cs="宋体"/>
                <w:color w:val="auto"/>
                <w:highlight w:val="none"/>
              </w:rPr>
            </w:pPr>
            <w:r>
              <w:rPr>
                <w:rFonts w:hint="eastAsia" w:hAnsi="宋体" w:cs="宋体"/>
                <w:color w:val="auto"/>
                <w:highlight w:val="none"/>
              </w:rPr>
              <w:t>评标委员会构成：3人，其中采购单位委托代表1人，专家2人；</w:t>
            </w:r>
          </w:p>
          <w:p w14:paraId="05109DDE">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评标专家确定方式：随机抽取。</w:t>
            </w:r>
          </w:p>
        </w:tc>
      </w:tr>
      <w:tr w14:paraId="40F8E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48" w:type="dxa"/>
            <w:tcBorders>
              <w:top w:val="single" w:color="auto" w:sz="4" w:space="0"/>
              <w:left w:val="single" w:color="auto" w:sz="4" w:space="0"/>
              <w:bottom w:val="single" w:color="auto" w:sz="4" w:space="0"/>
              <w:right w:val="single" w:color="auto" w:sz="4" w:space="0"/>
            </w:tcBorders>
            <w:vAlign w:val="center"/>
          </w:tcPr>
          <w:p w14:paraId="3099E28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1602" w:type="dxa"/>
            <w:tcBorders>
              <w:top w:val="single" w:color="auto" w:sz="4" w:space="0"/>
              <w:left w:val="single" w:color="auto" w:sz="4" w:space="0"/>
              <w:bottom w:val="single" w:color="auto" w:sz="4" w:space="0"/>
              <w:right w:val="single" w:color="auto" w:sz="4" w:space="0"/>
            </w:tcBorders>
            <w:vAlign w:val="center"/>
          </w:tcPr>
          <w:p w14:paraId="1A932AE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磋商时间和地点</w:t>
            </w:r>
          </w:p>
        </w:tc>
        <w:tc>
          <w:tcPr>
            <w:tcW w:w="7399" w:type="dxa"/>
            <w:tcBorders>
              <w:top w:val="single" w:color="auto" w:sz="4" w:space="0"/>
              <w:left w:val="single" w:color="auto" w:sz="4" w:space="0"/>
              <w:bottom w:val="single" w:color="auto" w:sz="4" w:space="0"/>
              <w:right w:val="single" w:color="auto" w:sz="4" w:space="0"/>
            </w:tcBorders>
            <w:vAlign w:val="center"/>
          </w:tcPr>
          <w:p w14:paraId="1AE0E689">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详见竞争性磋商公告</w:t>
            </w:r>
          </w:p>
        </w:tc>
      </w:tr>
      <w:tr w14:paraId="4A88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48" w:type="dxa"/>
            <w:tcBorders>
              <w:top w:val="single" w:color="auto" w:sz="4" w:space="0"/>
              <w:left w:val="single" w:color="auto" w:sz="4" w:space="0"/>
              <w:bottom w:val="single" w:color="auto" w:sz="4" w:space="0"/>
              <w:right w:val="single" w:color="auto" w:sz="4" w:space="0"/>
            </w:tcBorders>
            <w:vAlign w:val="center"/>
          </w:tcPr>
          <w:p w14:paraId="2791966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1602" w:type="dxa"/>
            <w:tcBorders>
              <w:top w:val="single" w:color="auto" w:sz="4" w:space="0"/>
              <w:left w:val="single" w:color="auto" w:sz="4" w:space="0"/>
              <w:bottom w:val="single" w:color="auto" w:sz="4" w:space="0"/>
              <w:right w:val="single" w:color="auto" w:sz="4" w:space="0"/>
            </w:tcBorders>
            <w:vAlign w:val="center"/>
          </w:tcPr>
          <w:p w14:paraId="174440C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评标方法</w:t>
            </w:r>
          </w:p>
        </w:tc>
        <w:tc>
          <w:tcPr>
            <w:tcW w:w="7399" w:type="dxa"/>
            <w:tcBorders>
              <w:top w:val="single" w:color="auto" w:sz="4" w:space="0"/>
              <w:left w:val="single" w:color="auto" w:sz="4" w:space="0"/>
              <w:bottom w:val="single" w:color="auto" w:sz="4" w:space="0"/>
              <w:right w:val="single" w:color="auto" w:sz="4" w:space="0"/>
            </w:tcBorders>
            <w:vAlign w:val="center"/>
          </w:tcPr>
          <w:p w14:paraId="30766EE2">
            <w:pPr>
              <w:spacing w:line="360" w:lineRule="auto"/>
              <w:jc w:val="left"/>
              <w:rPr>
                <w:rFonts w:hint="eastAsia" w:ascii="宋体" w:hAnsi="宋体" w:cs="宋体"/>
                <w:color w:val="auto"/>
                <w:szCs w:val="21"/>
                <w:highlight w:val="none"/>
              </w:rPr>
            </w:pPr>
            <w:r>
              <w:rPr>
                <w:rFonts w:hint="eastAsia" w:ascii="宋体" w:hAnsi="宋体"/>
                <w:color w:val="auto"/>
                <w:szCs w:val="21"/>
                <w:highlight w:val="none"/>
              </w:rPr>
              <w:t>评标方法：</w:t>
            </w:r>
            <w:r>
              <w:rPr>
                <w:rFonts w:hint="eastAsia"/>
                <w:color w:val="auto"/>
                <w:highlight w:val="none"/>
              </w:rPr>
              <w:t>综合评分法</w:t>
            </w:r>
          </w:p>
        </w:tc>
      </w:tr>
      <w:tr w14:paraId="6394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648" w:type="dxa"/>
            <w:tcBorders>
              <w:top w:val="single" w:color="auto" w:sz="4" w:space="0"/>
              <w:left w:val="single" w:color="auto" w:sz="4" w:space="0"/>
              <w:bottom w:val="single" w:color="auto" w:sz="4" w:space="0"/>
              <w:right w:val="single" w:color="auto" w:sz="4" w:space="0"/>
            </w:tcBorders>
            <w:vAlign w:val="center"/>
          </w:tcPr>
          <w:p w14:paraId="7715D8C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w:t>
            </w:r>
          </w:p>
        </w:tc>
        <w:tc>
          <w:tcPr>
            <w:tcW w:w="1602" w:type="dxa"/>
            <w:tcBorders>
              <w:top w:val="single" w:color="auto" w:sz="4" w:space="0"/>
              <w:left w:val="single" w:color="auto" w:sz="4" w:space="0"/>
              <w:bottom w:val="single" w:color="auto" w:sz="4" w:space="0"/>
              <w:right w:val="single" w:color="auto" w:sz="4" w:space="0"/>
            </w:tcBorders>
            <w:vAlign w:val="center"/>
          </w:tcPr>
          <w:p w14:paraId="1C2A1A1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负偏离要求</w:t>
            </w:r>
          </w:p>
        </w:tc>
        <w:tc>
          <w:tcPr>
            <w:tcW w:w="7399" w:type="dxa"/>
            <w:tcBorders>
              <w:top w:val="single" w:color="auto" w:sz="4" w:space="0"/>
              <w:left w:val="single" w:color="auto" w:sz="4" w:space="0"/>
              <w:bottom w:val="single" w:color="auto" w:sz="4" w:space="0"/>
              <w:right w:val="single" w:color="auto" w:sz="4" w:space="0"/>
            </w:tcBorders>
            <w:vAlign w:val="center"/>
          </w:tcPr>
          <w:p w14:paraId="1637CF6E">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商务条款评审中允许负偏离的非实质性条款数为</w:t>
            </w:r>
            <w:r>
              <w:rPr>
                <w:rFonts w:hint="eastAsia" w:ascii="宋体" w:hAnsi="宋体" w:cs="宋体"/>
                <w:color w:val="auto"/>
                <w:szCs w:val="21"/>
                <w:highlight w:val="none"/>
                <w:u w:val="single"/>
              </w:rPr>
              <w:t xml:space="preserve"> 0 </w:t>
            </w:r>
            <w:r>
              <w:rPr>
                <w:rFonts w:hint="eastAsia" w:ascii="宋体" w:hAnsi="宋体" w:cs="宋体"/>
                <w:color w:val="auto"/>
                <w:szCs w:val="21"/>
                <w:highlight w:val="none"/>
              </w:rPr>
              <w:t>项。</w:t>
            </w:r>
          </w:p>
          <w:p w14:paraId="761D7817">
            <w:pPr>
              <w:snapToGrid w:val="0"/>
              <w:spacing w:line="360" w:lineRule="auto"/>
              <w:rPr>
                <w:rFonts w:hint="eastAsia" w:ascii="宋体" w:hAnsi="宋体"/>
                <w:color w:val="auto"/>
                <w:szCs w:val="21"/>
                <w:highlight w:val="none"/>
              </w:rPr>
            </w:pPr>
            <w:r>
              <w:rPr>
                <w:rFonts w:hint="eastAsia" w:ascii="宋体" w:hAnsi="宋体" w:cs="宋体"/>
                <w:color w:val="auto"/>
                <w:szCs w:val="21"/>
                <w:highlight w:val="none"/>
              </w:rPr>
              <w:t>服务需求评审中允许负偏离的非实质性条款数为</w:t>
            </w:r>
            <w:r>
              <w:rPr>
                <w:rFonts w:hint="eastAsia" w:ascii="宋体" w:hAnsi="宋体" w:cs="宋体"/>
                <w:color w:val="auto"/>
                <w:szCs w:val="21"/>
                <w:highlight w:val="none"/>
                <w:u w:val="single"/>
              </w:rPr>
              <w:t xml:space="preserve"> 0 </w:t>
            </w:r>
            <w:r>
              <w:rPr>
                <w:rFonts w:hint="eastAsia" w:ascii="宋体" w:hAnsi="宋体" w:cs="宋体"/>
                <w:color w:val="auto"/>
                <w:szCs w:val="21"/>
                <w:highlight w:val="none"/>
              </w:rPr>
              <w:t>项。</w:t>
            </w:r>
          </w:p>
        </w:tc>
      </w:tr>
      <w:tr w14:paraId="46785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648" w:type="dxa"/>
            <w:tcBorders>
              <w:top w:val="single" w:color="auto" w:sz="4" w:space="0"/>
              <w:left w:val="single" w:color="auto" w:sz="4" w:space="0"/>
              <w:bottom w:val="single" w:color="auto" w:sz="4" w:space="0"/>
              <w:right w:val="single" w:color="auto" w:sz="4" w:space="0"/>
            </w:tcBorders>
            <w:vAlign w:val="center"/>
          </w:tcPr>
          <w:p w14:paraId="63A1114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13</w:t>
            </w:r>
          </w:p>
        </w:tc>
        <w:tc>
          <w:tcPr>
            <w:tcW w:w="1602" w:type="dxa"/>
            <w:tcBorders>
              <w:top w:val="single" w:color="auto" w:sz="4" w:space="0"/>
              <w:left w:val="single" w:color="auto" w:sz="4" w:space="0"/>
              <w:bottom w:val="single" w:color="auto" w:sz="4" w:space="0"/>
              <w:right w:val="single" w:color="auto" w:sz="4" w:space="0"/>
            </w:tcBorders>
            <w:vAlign w:val="center"/>
          </w:tcPr>
          <w:p w14:paraId="3521124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7399" w:type="dxa"/>
            <w:tcBorders>
              <w:top w:val="single" w:color="auto" w:sz="4" w:space="0"/>
              <w:left w:val="single" w:color="auto" w:sz="4" w:space="0"/>
              <w:bottom w:val="single" w:color="auto" w:sz="4" w:space="0"/>
              <w:right w:val="single" w:color="auto" w:sz="4" w:space="0"/>
            </w:tcBorders>
            <w:vAlign w:val="center"/>
          </w:tcPr>
          <w:p w14:paraId="50C647AA">
            <w:pPr>
              <w:autoSpaceDE w:val="0"/>
              <w:autoSpaceDN w:val="0"/>
              <w:snapToGrid w:val="0"/>
              <w:spacing w:line="360" w:lineRule="auto"/>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本项目不收取履约保证金。</w:t>
            </w:r>
          </w:p>
          <w:p w14:paraId="61B82EDB">
            <w:pPr>
              <w:autoSpaceDE w:val="0"/>
              <w:autoSpaceDN w:val="0"/>
              <w:snapToGrid w:val="0"/>
              <w:spacing w:line="360" w:lineRule="auto"/>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rPr>
              <w:t>本项目收取履约保证金，具体规定如下：</w:t>
            </w:r>
          </w:p>
          <w:p w14:paraId="71EA6930">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履约保证金金额：按成交金额的</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rPr>
              <w:t>%。</w:t>
            </w:r>
            <w:r>
              <w:rPr>
                <w:rFonts w:hint="eastAsia" w:ascii="宋体" w:hAnsi="宋体" w:cs="宋体"/>
                <w:b/>
                <w:color w:val="auto"/>
                <w:szCs w:val="21"/>
                <w:highlight w:val="none"/>
              </w:rPr>
              <w:t>（注：履约保证金不超过</w:t>
            </w:r>
            <w:r>
              <w:rPr>
                <w:rFonts w:hint="eastAsia"/>
                <w:b/>
                <w:color w:val="auto"/>
                <w:highlight w:val="none"/>
              </w:rPr>
              <w:t>政府采购合同金额的</w:t>
            </w:r>
            <w:r>
              <w:rPr>
                <w:rFonts w:ascii="宋体" w:hAnsi="宋体" w:cs="宋体"/>
                <w:b/>
                <w:color w:val="auto"/>
                <w:szCs w:val="21"/>
                <w:highlight w:val="none"/>
              </w:rPr>
              <w:t>5</w:t>
            </w:r>
            <w:r>
              <w:rPr>
                <w:rFonts w:hint="eastAsia" w:ascii="宋体" w:hAnsi="宋体" w:cs="宋体"/>
                <w:b/>
                <w:color w:val="auto"/>
                <w:szCs w:val="21"/>
                <w:highlight w:val="none"/>
              </w:rPr>
              <w:t>%，对中小企业收取的履约保证金数额不得超过政府采购合同金额的2%。采购人可根据供应商的资信等情况减免履约保证金。）</w:t>
            </w:r>
          </w:p>
          <w:p w14:paraId="48D24A47">
            <w:pPr>
              <w:spacing w:line="360" w:lineRule="auto"/>
              <w:contextualSpacing/>
              <w:rPr>
                <w:rFonts w:hint="eastAsia" w:ascii="宋体" w:hAnsi="宋体" w:cs="宋体"/>
                <w:color w:val="auto"/>
                <w:szCs w:val="21"/>
                <w:highlight w:val="none"/>
              </w:rPr>
            </w:pPr>
            <w:r>
              <w:rPr>
                <w:rFonts w:hint="eastAsia" w:ascii="宋体" w:hAnsi="宋体" w:cs="宋体"/>
                <w:color w:val="auto"/>
                <w:szCs w:val="21"/>
                <w:highlight w:val="none"/>
              </w:rPr>
              <w:t>履约保证金提交方式：银行转账、支票、汇票、本票或者银行、保险机构出具的保函、保险单等非现金方式。</w:t>
            </w:r>
          </w:p>
        </w:tc>
      </w:tr>
      <w:tr w14:paraId="2A872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648" w:type="dxa"/>
            <w:tcBorders>
              <w:top w:val="single" w:color="auto" w:sz="4" w:space="0"/>
              <w:left w:val="single" w:color="auto" w:sz="4" w:space="0"/>
              <w:bottom w:val="single" w:color="auto" w:sz="4" w:space="0"/>
              <w:right w:val="single" w:color="auto" w:sz="4" w:space="0"/>
            </w:tcBorders>
            <w:vAlign w:val="center"/>
          </w:tcPr>
          <w:p w14:paraId="11F1276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14</w:t>
            </w:r>
          </w:p>
        </w:tc>
        <w:tc>
          <w:tcPr>
            <w:tcW w:w="1602" w:type="dxa"/>
            <w:tcBorders>
              <w:top w:val="single" w:color="auto" w:sz="4" w:space="0"/>
              <w:left w:val="single" w:color="auto" w:sz="4" w:space="0"/>
              <w:bottom w:val="single" w:color="auto" w:sz="4" w:space="0"/>
              <w:right w:val="single" w:color="auto" w:sz="4" w:space="0"/>
            </w:tcBorders>
            <w:vAlign w:val="center"/>
          </w:tcPr>
          <w:p w14:paraId="6B822F2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采购预算价</w:t>
            </w:r>
          </w:p>
        </w:tc>
        <w:tc>
          <w:tcPr>
            <w:tcW w:w="7399" w:type="dxa"/>
            <w:tcBorders>
              <w:top w:val="single" w:color="auto" w:sz="4" w:space="0"/>
              <w:left w:val="single" w:color="auto" w:sz="4" w:space="0"/>
              <w:bottom w:val="single" w:color="auto" w:sz="4" w:space="0"/>
              <w:right w:val="single" w:color="auto" w:sz="4" w:space="0"/>
            </w:tcBorders>
            <w:vAlign w:val="center"/>
          </w:tcPr>
          <w:p w14:paraId="7C56D71B">
            <w:pPr>
              <w:spacing w:line="360" w:lineRule="auto"/>
              <w:jc w:val="left"/>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本项目采购预算价：</w:t>
            </w:r>
            <w:r>
              <w:rPr>
                <w:rFonts w:hint="eastAsia" w:ascii="宋体" w:hAnsi="宋体" w:cs="宋体"/>
                <w:color w:val="auto"/>
                <w:szCs w:val="21"/>
                <w:highlight w:val="none"/>
                <w:lang w:val="en-US" w:eastAsia="zh-CN"/>
              </w:rPr>
              <w:t>1561703.83</w:t>
            </w:r>
            <w:r>
              <w:rPr>
                <w:rFonts w:hint="eastAsia" w:ascii="宋体" w:hAnsi="宋体" w:cs="宋体"/>
                <w:color w:val="auto"/>
                <w:szCs w:val="21"/>
                <w:highlight w:val="none"/>
              </w:rPr>
              <w:t>元</w:t>
            </w:r>
            <w:r>
              <w:rPr>
                <w:rFonts w:hint="eastAsia" w:ascii="宋体" w:hAnsi="宋体" w:cs="宋体"/>
                <w:color w:val="auto"/>
                <w:szCs w:val="21"/>
                <w:highlight w:val="none"/>
                <w:lang w:val="en-US" w:eastAsia="zh-CN"/>
              </w:rPr>
              <w:t>,最高限价：1561703.83元</w:t>
            </w:r>
          </w:p>
        </w:tc>
      </w:tr>
      <w:tr w14:paraId="6FAB5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648" w:type="dxa"/>
            <w:tcBorders>
              <w:top w:val="single" w:color="auto" w:sz="4" w:space="0"/>
              <w:left w:val="single" w:color="auto" w:sz="4" w:space="0"/>
              <w:bottom w:val="single" w:color="auto" w:sz="4" w:space="0"/>
              <w:right w:val="single" w:color="auto" w:sz="4" w:space="0"/>
            </w:tcBorders>
            <w:vAlign w:val="center"/>
          </w:tcPr>
          <w:p w14:paraId="1E636AA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w:t>
            </w:r>
          </w:p>
        </w:tc>
        <w:tc>
          <w:tcPr>
            <w:tcW w:w="1602" w:type="dxa"/>
            <w:tcBorders>
              <w:top w:val="single" w:color="auto" w:sz="4" w:space="0"/>
              <w:left w:val="single" w:color="auto" w:sz="4" w:space="0"/>
              <w:bottom w:val="single" w:color="auto" w:sz="4" w:space="0"/>
              <w:right w:val="single" w:color="auto" w:sz="4" w:space="0"/>
            </w:tcBorders>
            <w:vAlign w:val="center"/>
          </w:tcPr>
          <w:p w14:paraId="66FFD0B9">
            <w:pPr>
              <w:spacing w:line="360" w:lineRule="auto"/>
              <w:jc w:val="center"/>
              <w:rPr>
                <w:rFonts w:hint="eastAsia" w:ascii="宋体" w:hAnsi="宋体" w:cs="宋体"/>
                <w:color w:val="auto"/>
                <w:szCs w:val="21"/>
                <w:highlight w:val="none"/>
              </w:rPr>
            </w:pPr>
            <w:r>
              <w:rPr>
                <w:rFonts w:hint="eastAsia" w:ascii="宋体" w:hAnsi="宋体"/>
                <w:color w:val="auto"/>
                <w:szCs w:val="21"/>
                <w:highlight w:val="none"/>
              </w:rPr>
              <w:t>接收质疑函方式</w:t>
            </w:r>
          </w:p>
        </w:tc>
        <w:tc>
          <w:tcPr>
            <w:tcW w:w="7399" w:type="dxa"/>
            <w:tcBorders>
              <w:top w:val="single" w:color="auto" w:sz="4" w:space="0"/>
              <w:left w:val="single" w:color="auto" w:sz="4" w:space="0"/>
              <w:bottom w:val="single" w:color="auto" w:sz="4" w:space="0"/>
              <w:right w:val="single" w:color="auto" w:sz="4" w:space="0"/>
            </w:tcBorders>
            <w:vAlign w:val="center"/>
          </w:tcPr>
          <w:p w14:paraId="7EF748A8">
            <w:pPr>
              <w:snapToGrid w:val="0"/>
              <w:spacing w:line="360" w:lineRule="auto"/>
              <w:rPr>
                <w:rFonts w:hint="eastAsia" w:ascii="宋体" w:hAnsi="宋体" w:cs="宋体"/>
                <w:color w:val="auto"/>
                <w:szCs w:val="21"/>
                <w:highlight w:val="none"/>
              </w:rPr>
            </w:pPr>
            <w:r>
              <w:rPr>
                <w:rFonts w:hint="eastAsia" w:ascii="宋体" w:hAnsi="宋体"/>
                <w:color w:val="auto"/>
                <w:szCs w:val="21"/>
                <w:highlight w:val="none"/>
              </w:rPr>
              <w:t>以书面形式</w:t>
            </w:r>
          </w:p>
        </w:tc>
      </w:tr>
      <w:tr w14:paraId="3164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48" w:type="dxa"/>
            <w:tcBorders>
              <w:top w:val="single" w:color="auto" w:sz="4" w:space="0"/>
              <w:left w:val="single" w:color="auto" w:sz="4" w:space="0"/>
              <w:bottom w:val="single" w:color="auto" w:sz="4" w:space="0"/>
              <w:right w:val="single" w:color="auto" w:sz="4" w:space="0"/>
            </w:tcBorders>
            <w:vAlign w:val="center"/>
          </w:tcPr>
          <w:p w14:paraId="1AC6926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16</w:t>
            </w:r>
          </w:p>
        </w:tc>
        <w:tc>
          <w:tcPr>
            <w:tcW w:w="1602" w:type="dxa"/>
            <w:tcBorders>
              <w:top w:val="single" w:color="auto" w:sz="4" w:space="0"/>
              <w:left w:val="single" w:color="auto" w:sz="4" w:space="0"/>
              <w:bottom w:val="single" w:color="auto" w:sz="4" w:space="0"/>
              <w:right w:val="single" w:color="auto" w:sz="4" w:space="0"/>
            </w:tcBorders>
            <w:vAlign w:val="center"/>
          </w:tcPr>
          <w:p w14:paraId="4EEB90B3">
            <w:pPr>
              <w:spacing w:line="360" w:lineRule="auto"/>
              <w:jc w:val="center"/>
              <w:rPr>
                <w:rFonts w:hint="eastAsia" w:ascii="宋体" w:hAnsi="宋体" w:cs="宋体"/>
                <w:color w:val="auto"/>
                <w:szCs w:val="21"/>
                <w:highlight w:val="none"/>
              </w:rPr>
            </w:pPr>
            <w:r>
              <w:rPr>
                <w:rFonts w:hint="eastAsia" w:ascii="宋体" w:hAnsi="宋体"/>
                <w:color w:val="auto"/>
                <w:szCs w:val="21"/>
                <w:highlight w:val="none"/>
              </w:rPr>
              <w:t>质疑联系部门及联系方式</w:t>
            </w:r>
          </w:p>
        </w:tc>
        <w:tc>
          <w:tcPr>
            <w:tcW w:w="7399" w:type="dxa"/>
            <w:tcBorders>
              <w:top w:val="single" w:color="auto" w:sz="4" w:space="0"/>
              <w:left w:val="single" w:color="auto" w:sz="4" w:space="0"/>
              <w:bottom w:val="single" w:color="auto" w:sz="4" w:space="0"/>
              <w:right w:val="single" w:color="auto" w:sz="4" w:space="0"/>
            </w:tcBorders>
            <w:vAlign w:val="center"/>
          </w:tcPr>
          <w:p w14:paraId="3E1AF29A">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广西荣胜项目管理有限公司</w:t>
            </w:r>
          </w:p>
          <w:p w14:paraId="2AD9D40A">
            <w:pPr>
              <w:snapToGrid w:val="0"/>
              <w:spacing w:line="360" w:lineRule="auto"/>
              <w:rPr>
                <w:rFonts w:hint="eastAsia" w:ascii="宋体" w:hAnsi="宋体"/>
                <w:color w:val="auto"/>
                <w:szCs w:val="21"/>
                <w:highlight w:val="none"/>
              </w:rPr>
            </w:pPr>
            <w:r>
              <w:rPr>
                <w:rFonts w:ascii="宋体" w:hAnsi="宋体"/>
                <w:color w:val="auto"/>
                <w:szCs w:val="21"/>
                <w:highlight w:val="none"/>
              </w:rPr>
              <w:t>联系电话</w:t>
            </w:r>
            <w:r>
              <w:rPr>
                <w:rFonts w:hint="eastAsia" w:ascii="宋体" w:hAnsi="宋体"/>
                <w:color w:val="auto"/>
                <w:szCs w:val="21"/>
                <w:highlight w:val="none"/>
              </w:rPr>
              <w:t>：0777-5512166</w:t>
            </w:r>
          </w:p>
          <w:p w14:paraId="01A85229">
            <w:pPr>
              <w:snapToGrid w:val="0"/>
              <w:spacing w:line="360" w:lineRule="auto"/>
              <w:rPr>
                <w:rFonts w:hint="eastAsia" w:hAnsi="宋体"/>
                <w:b/>
                <w:color w:val="auto"/>
                <w:highlight w:val="none"/>
              </w:rPr>
            </w:pPr>
            <w:r>
              <w:rPr>
                <w:rFonts w:ascii="宋体" w:hAnsi="宋体"/>
                <w:color w:val="auto"/>
                <w:szCs w:val="21"/>
                <w:highlight w:val="none"/>
              </w:rPr>
              <w:t>通讯地址</w:t>
            </w:r>
            <w:r>
              <w:rPr>
                <w:rFonts w:hint="eastAsia" w:ascii="宋体" w:hAnsi="宋体" w:cs="Helvetica"/>
                <w:color w:val="auto"/>
                <w:szCs w:val="21"/>
                <w:highlight w:val="none"/>
              </w:rPr>
              <w:t>：</w:t>
            </w:r>
            <w:r>
              <w:rPr>
                <w:rFonts w:hint="eastAsia" w:ascii="宋体" w:hAnsi="宋体"/>
                <w:color w:val="auto"/>
                <w:szCs w:val="21"/>
                <w:highlight w:val="none"/>
              </w:rPr>
              <w:t>钦州市蓬莱大道鸿亭街333号皇庭天麓湖小区183栋203室</w:t>
            </w:r>
          </w:p>
        </w:tc>
      </w:tr>
      <w:tr w14:paraId="3708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648" w:type="dxa"/>
            <w:tcBorders>
              <w:top w:val="single" w:color="auto" w:sz="4" w:space="0"/>
              <w:left w:val="single" w:color="auto" w:sz="4" w:space="0"/>
              <w:bottom w:val="single" w:color="auto" w:sz="4" w:space="0"/>
              <w:right w:val="single" w:color="auto" w:sz="4" w:space="0"/>
            </w:tcBorders>
            <w:vAlign w:val="center"/>
          </w:tcPr>
          <w:p w14:paraId="7EC6D06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17</w:t>
            </w:r>
          </w:p>
        </w:tc>
        <w:tc>
          <w:tcPr>
            <w:tcW w:w="1602" w:type="dxa"/>
            <w:tcBorders>
              <w:top w:val="single" w:color="auto" w:sz="4" w:space="0"/>
              <w:left w:val="single" w:color="auto" w:sz="4" w:space="0"/>
              <w:bottom w:val="single" w:color="auto" w:sz="4" w:space="0"/>
              <w:right w:val="single" w:color="auto" w:sz="4" w:space="0"/>
            </w:tcBorders>
            <w:vAlign w:val="center"/>
          </w:tcPr>
          <w:p w14:paraId="2C3553D9">
            <w:pPr>
              <w:spacing w:line="360" w:lineRule="auto"/>
              <w:jc w:val="center"/>
              <w:rPr>
                <w:rFonts w:hint="eastAsia" w:ascii="宋体" w:hAnsi="宋体" w:cs="宋体"/>
                <w:color w:val="auto"/>
                <w:szCs w:val="21"/>
                <w:highlight w:val="none"/>
              </w:rPr>
            </w:pPr>
            <w:r>
              <w:rPr>
                <w:rFonts w:hint="eastAsia" w:hAnsi="宋体"/>
                <w:color w:val="auto"/>
                <w:highlight w:val="none"/>
              </w:rPr>
              <w:t>现场提交质疑办理业务时间</w:t>
            </w:r>
          </w:p>
        </w:tc>
        <w:tc>
          <w:tcPr>
            <w:tcW w:w="7399" w:type="dxa"/>
            <w:tcBorders>
              <w:top w:val="single" w:color="auto" w:sz="4" w:space="0"/>
              <w:left w:val="single" w:color="auto" w:sz="4" w:space="0"/>
              <w:bottom w:val="single" w:color="auto" w:sz="4" w:space="0"/>
              <w:right w:val="single" w:color="auto" w:sz="4" w:space="0"/>
            </w:tcBorders>
            <w:vAlign w:val="center"/>
          </w:tcPr>
          <w:p w14:paraId="14DE8107">
            <w:pPr>
              <w:snapToGrid w:val="0"/>
              <w:spacing w:line="360" w:lineRule="auto"/>
              <w:rPr>
                <w:rFonts w:hint="eastAsia" w:hAnsi="宋体"/>
                <w:b/>
                <w:color w:val="auto"/>
                <w:highlight w:val="none"/>
              </w:rPr>
            </w:pPr>
            <w:r>
              <w:rPr>
                <w:rFonts w:hint="eastAsia" w:hAnsi="宋体"/>
                <w:color w:val="auto"/>
                <w:highlight w:val="none"/>
              </w:rPr>
              <w:t>质疑期内每个工作日</w:t>
            </w:r>
            <w:r>
              <w:rPr>
                <w:rFonts w:hint="eastAsia" w:hAnsi="宋体"/>
                <w:color w:val="auto"/>
                <w:highlight w:val="none"/>
                <w:u w:val="single"/>
              </w:rPr>
              <w:t>08</w:t>
            </w:r>
            <w:r>
              <w:rPr>
                <w:rFonts w:hint="eastAsia" w:hAnsi="宋体"/>
                <w:color w:val="auto"/>
                <w:highlight w:val="none"/>
              </w:rPr>
              <w:t>时</w:t>
            </w:r>
            <w:r>
              <w:rPr>
                <w:rFonts w:hint="eastAsia" w:hAnsi="宋体"/>
                <w:color w:val="auto"/>
                <w:highlight w:val="none"/>
                <w:u w:val="single"/>
              </w:rPr>
              <w:t>00</w:t>
            </w:r>
            <w:r>
              <w:rPr>
                <w:rFonts w:hint="eastAsia" w:hAnsi="宋体"/>
                <w:color w:val="auto"/>
                <w:highlight w:val="none"/>
              </w:rPr>
              <w:t>分到</w:t>
            </w:r>
            <w:r>
              <w:rPr>
                <w:rFonts w:hint="eastAsia" w:hAnsi="宋体"/>
                <w:color w:val="auto"/>
                <w:highlight w:val="none"/>
                <w:u w:val="single"/>
              </w:rPr>
              <w:t>12</w:t>
            </w:r>
            <w:r>
              <w:rPr>
                <w:rFonts w:hint="eastAsia" w:hAnsi="宋体"/>
                <w:color w:val="auto"/>
                <w:highlight w:val="none"/>
              </w:rPr>
              <w:t>时</w:t>
            </w:r>
            <w:r>
              <w:rPr>
                <w:rFonts w:hint="eastAsia" w:hAnsi="宋体"/>
                <w:color w:val="auto"/>
                <w:highlight w:val="none"/>
                <w:u w:val="single"/>
              </w:rPr>
              <w:t>00</w:t>
            </w:r>
            <w:r>
              <w:rPr>
                <w:rFonts w:hint="eastAsia" w:hAnsi="宋体"/>
                <w:color w:val="auto"/>
                <w:highlight w:val="none"/>
              </w:rPr>
              <w:t>分，</w:t>
            </w:r>
            <w:r>
              <w:rPr>
                <w:rFonts w:hint="eastAsia" w:hAnsi="宋体"/>
                <w:color w:val="auto"/>
                <w:highlight w:val="none"/>
                <w:u w:val="single"/>
              </w:rPr>
              <w:t>15</w:t>
            </w:r>
            <w:r>
              <w:rPr>
                <w:rFonts w:hint="eastAsia" w:hAnsi="宋体"/>
                <w:color w:val="auto"/>
                <w:highlight w:val="none"/>
              </w:rPr>
              <w:t>时</w:t>
            </w:r>
            <w:r>
              <w:rPr>
                <w:rFonts w:hint="eastAsia" w:hAnsi="宋体"/>
                <w:color w:val="auto"/>
                <w:highlight w:val="none"/>
                <w:u w:val="single"/>
              </w:rPr>
              <w:t>00</w:t>
            </w:r>
            <w:r>
              <w:rPr>
                <w:rFonts w:hint="eastAsia" w:hAnsi="宋体"/>
                <w:color w:val="auto"/>
                <w:highlight w:val="none"/>
              </w:rPr>
              <w:t>分到</w:t>
            </w:r>
            <w:r>
              <w:rPr>
                <w:rFonts w:hint="eastAsia" w:hAnsi="宋体"/>
                <w:color w:val="auto"/>
                <w:highlight w:val="none"/>
                <w:u w:val="single"/>
              </w:rPr>
              <w:t>18</w:t>
            </w:r>
            <w:r>
              <w:rPr>
                <w:rFonts w:hint="eastAsia" w:hAnsi="宋体"/>
                <w:color w:val="auto"/>
                <w:highlight w:val="none"/>
              </w:rPr>
              <w:t>时</w:t>
            </w:r>
            <w:r>
              <w:rPr>
                <w:rFonts w:hint="eastAsia" w:hAnsi="宋体"/>
                <w:color w:val="auto"/>
                <w:highlight w:val="none"/>
                <w:u w:val="single"/>
              </w:rPr>
              <w:t>00</w:t>
            </w:r>
            <w:r>
              <w:rPr>
                <w:rFonts w:hint="eastAsia" w:hAnsi="宋体"/>
                <w:color w:val="auto"/>
                <w:highlight w:val="none"/>
              </w:rPr>
              <w:t>分</w:t>
            </w:r>
          </w:p>
        </w:tc>
      </w:tr>
      <w:tr w14:paraId="1A4C3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8" w:type="dxa"/>
            <w:tcBorders>
              <w:top w:val="single" w:color="auto" w:sz="4" w:space="0"/>
              <w:left w:val="single" w:color="auto" w:sz="4" w:space="0"/>
              <w:bottom w:val="single" w:color="auto" w:sz="4" w:space="0"/>
              <w:right w:val="single" w:color="auto" w:sz="4" w:space="0"/>
            </w:tcBorders>
            <w:vAlign w:val="center"/>
          </w:tcPr>
          <w:p w14:paraId="6381D7B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18</w:t>
            </w:r>
          </w:p>
        </w:tc>
        <w:tc>
          <w:tcPr>
            <w:tcW w:w="1602" w:type="dxa"/>
            <w:tcBorders>
              <w:top w:val="single" w:color="auto" w:sz="4" w:space="0"/>
              <w:left w:val="single" w:color="auto" w:sz="4" w:space="0"/>
              <w:bottom w:val="single" w:color="auto" w:sz="4" w:space="0"/>
              <w:right w:val="single" w:color="auto" w:sz="4" w:space="0"/>
            </w:tcBorders>
            <w:vAlign w:val="center"/>
          </w:tcPr>
          <w:p w14:paraId="073CCB64">
            <w:pPr>
              <w:spacing w:line="360" w:lineRule="auto"/>
              <w:jc w:val="center"/>
              <w:rPr>
                <w:rFonts w:hint="eastAsia" w:hAnsi="宋体"/>
                <w:color w:val="auto"/>
                <w:highlight w:val="none"/>
              </w:rPr>
            </w:pPr>
            <w:r>
              <w:rPr>
                <w:rFonts w:hint="eastAsia" w:ascii="宋体" w:hAnsi="宋体" w:cs="宋体"/>
                <w:color w:val="auto"/>
                <w:szCs w:val="21"/>
                <w:highlight w:val="none"/>
              </w:rPr>
              <w:t>采购代理费</w:t>
            </w:r>
          </w:p>
        </w:tc>
        <w:tc>
          <w:tcPr>
            <w:tcW w:w="7399" w:type="dxa"/>
            <w:tcBorders>
              <w:top w:val="single" w:color="auto" w:sz="4" w:space="0"/>
              <w:left w:val="single" w:color="auto" w:sz="4" w:space="0"/>
              <w:bottom w:val="single" w:color="auto" w:sz="4" w:space="0"/>
              <w:right w:val="single" w:color="auto" w:sz="4" w:space="0"/>
            </w:tcBorders>
            <w:vAlign w:val="center"/>
          </w:tcPr>
          <w:p w14:paraId="42537B3E">
            <w:pPr>
              <w:pStyle w:val="14"/>
              <w:snapToGrid w:val="0"/>
              <w:spacing w:line="360" w:lineRule="auto"/>
              <w:rPr>
                <w:rFonts w:hint="eastAsia" w:hAnsi="宋体" w:cs="宋体"/>
                <w:color w:val="auto"/>
                <w:highlight w:val="none"/>
              </w:rPr>
            </w:pPr>
            <w:r>
              <w:rPr>
                <w:rFonts w:hint="eastAsia" w:hAnsi="宋体" w:cs="宋体"/>
                <w:color w:val="auto"/>
                <w:highlight w:val="none"/>
              </w:rPr>
              <w:t>1.代理服务费：按差额定率累进法，参照《招标代理服务收费管理暂行办法》计价格[2002]1980号文和发改价格[2011]534号工程类标准计算</w:t>
            </w:r>
            <w:r>
              <w:rPr>
                <w:rFonts w:hint="eastAsia" w:hAnsi="宋体" w:cs="宋体"/>
                <w:color w:val="auto"/>
                <w:highlight w:val="none"/>
                <w:lang w:eastAsia="zh-CN"/>
              </w:rPr>
              <w:t>，向成交人计取</w:t>
            </w:r>
            <w:r>
              <w:rPr>
                <w:rFonts w:hint="eastAsia" w:hAnsi="宋体" w:cs="宋体"/>
                <w:color w:val="auto"/>
                <w:highlight w:val="none"/>
              </w:rPr>
              <w:t>。成交人在领取成交通知书前，一次性向采购代理机构支付。</w:t>
            </w:r>
          </w:p>
          <w:p w14:paraId="17ABD10B">
            <w:pPr>
              <w:pStyle w:val="14"/>
              <w:snapToGrid w:val="0"/>
              <w:spacing w:line="360" w:lineRule="auto"/>
              <w:rPr>
                <w:rFonts w:hint="eastAsia" w:hAnsi="宋体" w:cs="宋体"/>
                <w:color w:val="auto"/>
                <w:highlight w:val="none"/>
              </w:rPr>
            </w:pPr>
            <w:r>
              <w:rPr>
                <w:rFonts w:hint="eastAsia" w:hAnsi="宋体" w:cs="宋体"/>
                <w:color w:val="auto"/>
                <w:highlight w:val="none"/>
              </w:rPr>
              <w:t>2. 代理服务费收取银行账户：</w:t>
            </w:r>
          </w:p>
          <w:p w14:paraId="798655BE">
            <w:pPr>
              <w:pStyle w:val="14"/>
              <w:snapToGrid w:val="0"/>
              <w:spacing w:line="360" w:lineRule="auto"/>
              <w:rPr>
                <w:rFonts w:hint="eastAsia" w:hAnsi="宋体" w:eastAsia="宋体"/>
                <w:color w:val="auto"/>
                <w:highlight w:val="none"/>
                <w:lang w:eastAsia="zh-CN"/>
              </w:rPr>
            </w:pPr>
            <w:r>
              <w:rPr>
                <w:rFonts w:hint="eastAsia" w:hAnsi="宋体"/>
                <w:color w:val="auto"/>
                <w:highlight w:val="none"/>
              </w:rPr>
              <w:t>开户名称：</w:t>
            </w:r>
            <w:r>
              <w:rPr>
                <w:rFonts w:hint="eastAsia" w:hAnsi="宋体"/>
                <w:color w:val="auto"/>
                <w:highlight w:val="none"/>
                <w:lang w:eastAsia="zh-CN"/>
              </w:rPr>
              <w:t>广西荣胜项目管理有限公司灵山分公司</w:t>
            </w:r>
          </w:p>
          <w:p w14:paraId="1EC32658">
            <w:pPr>
              <w:pStyle w:val="14"/>
              <w:snapToGrid w:val="0"/>
              <w:spacing w:line="360" w:lineRule="auto"/>
              <w:rPr>
                <w:rFonts w:hint="eastAsia" w:hAnsi="宋体" w:eastAsia="宋体"/>
                <w:color w:val="auto"/>
                <w:highlight w:val="none"/>
                <w:lang w:eastAsia="zh-CN"/>
              </w:rPr>
            </w:pPr>
            <w:r>
              <w:rPr>
                <w:rFonts w:hint="eastAsia" w:hAnsi="宋体"/>
                <w:color w:val="auto"/>
                <w:highlight w:val="none"/>
              </w:rPr>
              <w:t>账  号：</w:t>
            </w:r>
            <w:r>
              <w:rPr>
                <w:rFonts w:hint="eastAsia" w:hAnsi="宋体"/>
                <w:color w:val="auto"/>
                <w:highlight w:val="none"/>
                <w:lang w:eastAsia="zh-CN"/>
              </w:rPr>
              <w:t>811712010121967396</w:t>
            </w:r>
          </w:p>
          <w:p w14:paraId="5E6A8251">
            <w:pPr>
              <w:pStyle w:val="14"/>
              <w:snapToGrid w:val="0"/>
              <w:spacing w:line="360" w:lineRule="auto"/>
              <w:rPr>
                <w:rFonts w:hint="eastAsia" w:hAnsi="宋体" w:eastAsia="宋体"/>
                <w:color w:val="auto"/>
                <w:highlight w:val="none"/>
                <w:lang w:eastAsia="zh-CN"/>
              </w:rPr>
            </w:pPr>
            <w:r>
              <w:rPr>
                <w:rFonts w:hint="eastAsia" w:hAnsi="宋体"/>
                <w:color w:val="auto"/>
                <w:highlight w:val="none"/>
              </w:rPr>
              <w:t>开户行：</w:t>
            </w:r>
            <w:r>
              <w:rPr>
                <w:rFonts w:hint="eastAsia" w:hAnsi="宋体"/>
                <w:color w:val="auto"/>
                <w:highlight w:val="none"/>
                <w:lang w:eastAsia="zh-CN"/>
              </w:rPr>
              <w:t>灵山县农村信用合作联社平山信用社</w:t>
            </w:r>
          </w:p>
        </w:tc>
      </w:tr>
      <w:tr w14:paraId="7151A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48" w:type="dxa"/>
            <w:tcBorders>
              <w:top w:val="single" w:color="auto" w:sz="4" w:space="0"/>
              <w:left w:val="single" w:color="auto" w:sz="4" w:space="0"/>
              <w:bottom w:val="single" w:color="auto" w:sz="4" w:space="0"/>
              <w:right w:val="single" w:color="auto" w:sz="4" w:space="0"/>
            </w:tcBorders>
            <w:vAlign w:val="center"/>
          </w:tcPr>
          <w:p w14:paraId="787DB3D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19</w:t>
            </w:r>
          </w:p>
        </w:tc>
        <w:tc>
          <w:tcPr>
            <w:tcW w:w="1602" w:type="dxa"/>
            <w:tcBorders>
              <w:top w:val="single" w:color="auto" w:sz="4" w:space="0"/>
              <w:left w:val="single" w:color="auto" w:sz="4" w:space="0"/>
              <w:bottom w:val="single" w:color="auto" w:sz="4" w:space="0"/>
              <w:right w:val="single" w:color="auto" w:sz="4" w:space="0"/>
            </w:tcBorders>
            <w:vAlign w:val="center"/>
          </w:tcPr>
          <w:p w14:paraId="096A616F">
            <w:pPr>
              <w:spacing w:line="360" w:lineRule="auto"/>
              <w:jc w:val="center"/>
              <w:rPr>
                <w:rFonts w:hint="eastAsia" w:ascii="宋体" w:hAnsi="宋体" w:cs="宋体"/>
                <w:color w:val="auto"/>
                <w:szCs w:val="21"/>
                <w:highlight w:val="none"/>
              </w:rPr>
            </w:pPr>
            <w:r>
              <w:rPr>
                <w:rFonts w:hint="eastAsia" w:hAnsi="宋体"/>
                <w:color w:val="auto"/>
                <w:highlight w:val="none"/>
              </w:rPr>
              <w:t>解释</w:t>
            </w:r>
          </w:p>
        </w:tc>
        <w:tc>
          <w:tcPr>
            <w:tcW w:w="7399" w:type="dxa"/>
            <w:tcBorders>
              <w:top w:val="single" w:color="auto" w:sz="4" w:space="0"/>
              <w:left w:val="single" w:color="auto" w:sz="4" w:space="0"/>
              <w:bottom w:val="single" w:color="auto" w:sz="4" w:space="0"/>
              <w:right w:val="single" w:color="auto" w:sz="4" w:space="0"/>
            </w:tcBorders>
            <w:vAlign w:val="center"/>
          </w:tcPr>
          <w:p w14:paraId="512896B2">
            <w:pPr>
              <w:pStyle w:val="14"/>
              <w:snapToGrid w:val="0"/>
              <w:spacing w:line="360" w:lineRule="auto"/>
              <w:rPr>
                <w:rFonts w:hint="eastAsia" w:hAnsi="宋体" w:cs="宋体"/>
                <w:b/>
                <w:color w:val="auto"/>
                <w:highlight w:val="none"/>
              </w:rPr>
            </w:pPr>
            <w:r>
              <w:rPr>
                <w:rFonts w:hint="eastAsia" w:hAnsi="宋体" w:cs="宋体"/>
                <w:b/>
                <w:color w:val="auto"/>
                <w:highlight w:val="none"/>
              </w:rPr>
              <w:t>解释权：</w:t>
            </w:r>
            <w:r>
              <w:rPr>
                <w:rFonts w:hAnsi="宋体" w:cs="宋体"/>
                <w:color w:val="auto"/>
                <w:highlight w:val="none"/>
              </w:rPr>
              <w:t>构成本</w:t>
            </w:r>
            <w:r>
              <w:rPr>
                <w:rFonts w:hint="eastAsia" w:hAnsi="宋体" w:cs="宋体"/>
                <w:color w:val="auto"/>
                <w:highlight w:val="none"/>
              </w:rPr>
              <w:t>磋商文件</w:t>
            </w:r>
            <w:r>
              <w:rPr>
                <w:rFonts w:hAnsi="宋体" w:cs="宋体"/>
                <w:color w:val="auto"/>
                <w:highlight w:val="none"/>
              </w:rPr>
              <w:t>的各个组成文件应互为解释，互为说明；除</w:t>
            </w:r>
            <w:r>
              <w:rPr>
                <w:rFonts w:hint="eastAsia" w:hAnsi="宋体" w:cs="宋体"/>
                <w:color w:val="auto"/>
                <w:highlight w:val="none"/>
              </w:rPr>
              <w:t>磋商文件</w:t>
            </w:r>
            <w:r>
              <w:rPr>
                <w:rFonts w:hAnsi="宋体" w:cs="宋体"/>
                <w:color w:val="auto"/>
                <w:highlight w:val="none"/>
              </w:rPr>
              <w:t>中有特别规定外，仅适用于</w:t>
            </w:r>
            <w:r>
              <w:rPr>
                <w:rFonts w:hint="eastAsia" w:hAnsi="宋体" w:cs="宋体"/>
                <w:color w:val="auto"/>
                <w:highlight w:val="none"/>
              </w:rPr>
              <w:t>竞标</w:t>
            </w:r>
            <w:r>
              <w:rPr>
                <w:rFonts w:hAnsi="宋体" w:cs="宋体"/>
                <w:color w:val="auto"/>
                <w:highlight w:val="none"/>
              </w:rPr>
              <w:t>阶段的规定，按</w:t>
            </w:r>
            <w:r>
              <w:rPr>
                <w:rFonts w:hint="eastAsia" w:hAnsi="宋体" w:cs="宋体"/>
                <w:color w:val="auto"/>
                <w:highlight w:val="none"/>
              </w:rPr>
              <w:t>更正公告（澄清公告）</w:t>
            </w:r>
            <w:r>
              <w:rPr>
                <w:rFonts w:hAnsi="宋体" w:cs="宋体"/>
                <w:color w:val="auto"/>
                <w:highlight w:val="none"/>
              </w:rPr>
              <w:t>、</w:t>
            </w:r>
            <w:r>
              <w:rPr>
                <w:rFonts w:hint="eastAsia" w:hAnsi="宋体" w:cs="宋体"/>
                <w:color w:val="auto"/>
                <w:highlight w:val="none"/>
              </w:rPr>
              <w:t>竞争性磋商</w:t>
            </w:r>
            <w:r>
              <w:rPr>
                <w:rFonts w:hAnsi="宋体" w:cs="宋体"/>
                <w:color w:val="auto"/>
                <w:highlight w:val="none"/>
              </w:rPr>
              <w:t>公告、</w:t>
            </w:r>
            <w:r>
              <w:rPr>
                <w:rFonts w:hint="eastAsia" w:hAnsi="宋体" w:cs="宋体"/>
                <w:color w:val="auto"/>
                <w:highlight w:val="none"/>
              </w:rPr>
              <w:t>供应商</w:t>
            </w:r>
            <w:r>
              <w:rPr>
                <w:rFonts w:hAnsi="宋体" w:cs="宋体"/>
                <w:color w:val="auto"/>
                <w:highlight w:val="none"/>
              </w:rPr>
              <w:t>须知</w:t>
            </w:r>
            <w:r>
              <w:rPr>
                <w:rFonts w:hint="eastAsia" w:hAnsi="宋体" w:cs="宋体"/>
                <w:color w:val="auto"/>
                <w:highlight w:val="none"/>
              </w:rPr>
              <w:t>、采购需求</w:t>
            </w:r>
            <w:r>
              <w:rPr>
                <w:rFonts w:hAnsi="宋体" w:cs="宋体"/>
                <w:color w:val="auto"/>
                <w:highlight w:val="none"/>
              </w:rPr>
              <w:t>、</w:t>
            </w:r>
            <w:r>
              <w:rPr>
                <w:rFonts w:hint="eastAsia" w:hAnsi="宋体" w:cs="宋体"/>
                <w:color w:val="auto"/>
                <w:highlight w:val="none"/>
              </w:rPr>
              <w:t>评审程序、评审方法和评审标准</w:t>
            </w:r>
            <w:r>
              <w:rPr>
                <w:rFonts w:hAnsi="宋体" w:cs="宋体"/>
                <w:color w:val="auto"/>
                <w:highlight w:val="none"/>
              </w:rPr>
              <w:t>、</w:t>
            </w:r>
            <w:r>
              <w:rPr>
                <w:rFonts w:hint="eastAsia" w:hAnsi="宋体" w:cs="宋体"/>
                <w:color w:val="auto"/>
                <w:highlight w:val="none"/>
              </w:rPr>
              <w:t>响应</w:t>
            </w:r>
            <w:r>
              <w:rPr>
                <w:rFonts w:hAnsi="宋体" w:cs="宋体"/>
                <w:color w:val="auto"/>
                <w:highlight w:val="none"/>
              </w:rPr>
              <w:t>文件格式</w:t>
            </w:r>
            <w:r>
              <w:rPr>
                <w:rFonts w:hint="eastAsia" w:hAnsi="宋体" w:cs="宋体"/>
                <w:color w:val="auto"/>
                <w:highlight w:val="none"/>
              </w:rPr>
              <w:t>、合同文本</w:t>
            </w:r>
            <w:r>
              <w:rPr>
                <w:rFonts w:hAnsi="宋体" w:cs="宋体"/>
                <w:color w:val="auto"/>
                <w:highlight w:val="none"/>
              </w:rPr>
              <w:t>的先后顺序解释；同一组成文件中就同一事项的规定或者约定不一致的，以编排顺序在后者为准；同一组成文件不同版本之间有不一致的，以形成时间在后者为准；</w:t>
            </w:r>
            <w:r>
              <w:rPr>
                <w:rFonts w:hint="eastAsia" w:hAnsi="宋体" w:cs="宋体"/>
                <w:color w:val="auto"/>
                <w:highlight w:val="none"/>
              </w:rPr>
              <w:t>更正公告（澄清公告）</w:t>
            </w:r>
            <w:r>
              <w:rPr>
                <w:rFonts w:hAnsi="宋体" w:cs="宋体"/>
                <w:color w:val="auto"/>
                <w:highlight w:val="none"/>
              </w:rPr>
              <w:t>与同步更新的</w:t>
            </w:r>
            <w:r>
              <w:rPr>
                <w:rFonts w:hint="eastAsia" w:hAnsi="宋体" w:cs="宋体"/>
                <w:color w:val="auto"/>
                <w:highlight w:val="none"/>
              </w:rPr>
              <w:t>磋商文件</w:t>
            </w:r>
            <w:r>
              <w:rPr>
                <w:rFonts w:hAnsi="宋体" w:cs="宋体"/>
                <w:color w:val="auto"/>
                <w:highlight w:val="none"/>
              </w:rPr>
              <w:t>不一致时以</w:t>
            </w:r>
            <w:r>
              <w:rPr>
                <w:rFonts w:hint="eastAsia" w:hAnsi="宋体" w:cs="宋体"/>
                <w:color w:val="auto"/>
                <w:highlight w:val="none"/>
              </w:rPr>
              <w:t>更正公告（澄清公告）</w:t>
            </w:r>
            <w:r>
              <w:rPr>
                <w:rFonts w:hAnsi="宋体" w:cs="宋体"/>
                <w:color w:val="auto"/>
                <w:highlight w:val="none"/>
              </w:rPr>
              <w:t>为准。按本款前述规定仍不能形成结论的，</w:t>
            </w:r>
            <w:r>
              <w:rPr>
                <w:rFonts w:hAnsi="宋体" w:cs="宋体"/>
                <w:b/>
                <w:color w:val="auto"/>
                <w:highlight w:val="none"/>
              </w:rPr>
              <w:t>由</w:t>
            </w:r>
            <w:r>
              <w:rPr>
                <w:rFonts w:hint="eastAsia" w:hAnsi="宋体" w:cs="宋体"/>
                <w:b/>
                <w:color w:val="auto"/>
                <w:highlight w:val="none"/>
              </w:rPr>
              <w:t>采购</w:t>
            </w:r>
            <w:r>
              <w:rPr>
                <w:rFonts w:hAnsi="宋体" w:cs="宋体"/>
                <w:b/>
                <w:color w:val="auto"/>
                <w:highlight w:val="none"/>
              </w:rPr>
              <w:t>人</w:t>
            </w:r>
            <w:r>
              <w:rPr>
                <w:rFonts w:hint="eastAsia" w:hAnsi="宋体" w:cs="宋体"/>
                <w:b/>
                <w:color w:val="auto"/>
                <w:highlight w:val="none"/>
              </w:rPr>
              <w:t>或者采购代理机构</w:t>
            </w:r>
            <w:r>
              <w:rPr>
                <w:rFonts w:hAnsi="宋体" w:cs="宋体"/>
                <w:b/>
                <w:color w:val="auto"/>
                <w:highlight w:val="none"/>
              </w:rPr>
              <w:t>负责解释。</w:t>
            </w:r>
          </w:p>
          <w:p w14:paraId="1D2A0D6C">
            <w:pPr>
              <w:pStyle w:val="14"/>
              <w:snapToGrid w:val="0"/>
              <w:spacing w:line="360" w:lineRule="auto"/>
              <w:rPr>
                <w:rFonts w:hint="eastAsia" w:hAnsi="宋体" w:cs="宋体"/>
                <w:color w:val="auto"/>
                <w:highlight w:val="none"/>
              </w:rPr>
            </w:pPr>
            <w:r>
              <w:rPr>
                <w:rFonts w:hint="eastAsia" w:hAnsi="宋体" w:cs="宋体"/>
                <w:b/>
                <w:color w:val="auto"/>
                <w:highlight w:val="none"/>
              </w:rPr>
              <w:t>法律责任：</w:t>
            </w:r>
            <w:r>
              <w:rPr>
                <w:rFonts w:hint="eastAsia" w:hAnsi="宋体" w:cs="宋体"/>
                <w:color w:val="auto"/>
                <w:highlight w:val="none"/>
              </w:rPr>
              <w:t>本采购文件根据《中华人民共和国政府采购法》《中华人民共和国民法典》《中华人民共和国政府采购法实施条例》《政府采购竞争性磋商采购方式管理暂行办法》等有关法律、法规编制，参与本项目的各政府采购当事人依法享有上述法律法规所赋予的权利与义务。</w:t>
            </w:r>
          </w:p>
        </w:tc>
      </w:tr>
      <w:tr w14:paraId="550E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648" w:type="dxa"/>
            <w:tcBorders>
              <w:top w:val="single" w:color="auto" w:sz="4" w:space="0"/>
              <w:left w:val="single" w:color="auto" w:sz="4" w:space="0"/>
              <w:bottom w:val="single" w:color="auto" w:sz="4" w:space="0"/>
              <w:right w:val="single" w:color="auto" w:sz="4" w:space="0"/>
            </w:tcBorders>
            <w:vAlign w:val="center"/>
          </w:tcPr>
          <w:p w14:paraId="651F8C2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w:t>
            </w:r>
          </w:p>
        </w:tc>
        <w:tc>
          <w:tcPr>
            <w:tcW w:w="1602" w:type="dxa"/>
            <w:tcBorders>
              <w:top w:val="single" w:color="auto" w:sz="4" w:space="0"/>
              <w:left w:val="single" w:color="auto" w:sz="4" w:space="0"/>
              <w:bottom w:val="single" w:color="auto" w:sz="4" w:space="0"/>
              <w:right w:val="single" w:color="auto" w:sz="4" w:space="0"/>
            </w:tcBorders>
            <w:vAlign w:val="center"/>
          </w:tcPr>
          <w:p w14:paraId="0650624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其他</w:t>
            </w:r>
          </w:p>
        </w:tc>
        <w:tc>
          <w:tcPr>
            <w:tcW w:w="7399" w:type="dxa"/>
            <w:tcBorders>
              <w:top w:val="single" w:color="auto" w:sz="4" w:space="0"/>
              <w:left w:val="single" w:color="auto" w:sz="4" w:space="0"/>
              <w:bottom w:val="single" w:color="auto" w:sz="4" w:space="0"/>
              <w:right w:val="single" w:color="auto" w:sz="4" w:space="0"/>
            </w:tcBorders>
            <w:vAlign w:val="center"/>
          </w:tcPr>
          <w:p w14:paraId="54D5FFEC">
            <w:pPr>
              <w:pStyle w:val="14"/>
              <w:spacing w:line="360" w:lineRule="auto"/>
              <w:rPr>
                <w:rFonts w:hint="eastAsia" w:hAnsi="宋体" w:cs="宋体"/>
                <w:color w:val="auto"/>
                <w:highlight w:val="none"/>
              </w:rPr>
            </w:pPr>
            <w:r>
              <w:rPr>
                <w:rFonts w:hint="eastAsia" w:hAnsi="宋体" w:cs="宋体"/>
                <w:color w:val="auto"/>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30C7F64C">
            <w:pPr>
              <w:pStyle w:val="14"/>
              <w:spacing w:line="360" w:lineRule="auto"/>
              <w:rPr>
                <w:rFonts w:hint="eastAsia" w:hAnsi="宋体" w:cs="宋体"/>
                <w:color w:val="auto"/>
                <w:highlight w:val="none"/>
              </w:rPr>
            </w:pPr>
            <w:r>
              <w:rPr>
                <w:rFonts w:hint="eastAsia" w:hAnsi="宋体" w:cs="宋体"/>
                <w:color w:val="auto"/>
                <w:highlight w:val="none"/>
              </w:rPr>
              <w:t>2.本磋商文件所称的“电子签章”、“电子签名”，是指经广西政府采购云平台认可的CA认证的电子签名数据为表现形式的印章，可用于签署电子响应文件，电子印章与实物印章具有同等法律效力，不因其采用电子化表现形式而否定其法律效力。</w:t>
            </w:r>
          </w:p>
          <w:p w14:paraId="02409B3A">
            <w:pPr>
              <w:pStyle w:val="14"/>
              <w:spacing w:line="360" w:lineRule="auto"/>
              <w:rPr>
                <w:rFonts w:hint="eastAsia" w:hAnsi="宋体" w:cs="宋体"/>
                <w:color w:val="auto"/>
                <w:highlight w:val="none"/>
              </w:rPr>
            </w:pPr>
            <w:r>
              <w:rPr>
                <w:rFonts w:hint="eastAsia" w:hAnsi="宋体" w:cs="宋体"/>
                <w:color w:val="auto"/>
                <w:highlight w:val="none"/>
              </w:rPr>
              <w:t>3.本磋商文件中描述供应商的“签字”是指供应商的法定代表人或者委托代理人亲自在文件规定签署处亲笔写上个人的名字的行为，私章、签字章、印鉴、影印等其他形式均不能代替亲笔签字。</w:t>
            </w:r>
          </w:p>
          <w:p w14:paraId="038FBCD7">
            <w:pPr>
              <w:pStyle w:val="14"/>
              <w:spacing w:line="360" w:lineRule="auto"/>
              <w:rPr>
                <w:rFonts w:hint="eastAsia" w:hAnsi="宋体" w:cs="宋体"/>
                <w:color w:val="auto"/>
                <w:highlight w:val="none"/>
              </w:rPr>
            </w:pPr>
            <w:r>
              <w:rPr>
                <w:rFonts w:hint="eastAsia" w:hAnsi="宋体" w:cs="宋体"/>
                <w:color w:val="auto"/>
                <w:highlight w:val="none"/>
              </w:rPr>
              <w:t>4.供应商为其他组织或者自然人时，本磋商文件规定的法定代表人指负责人或者自然人。本磋商文件所称负责人是指参加竞标的其他组织营业执照上的负责人，本磋商文件所称自然人指参与竞标的自然人本人。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3C4C437F">
            <w:pPr>
              <w:pStyle w:val="14"/>
              <w:spacing w:line="360" w:lineRule="auto"/>
              <w:rPr>
                <w:rFonts w:hint="eastAsia" w:hAnsi="宋体" w:cs="宋体"/>
                <w:color w:val="auto"/>
                <w:highlight w:val="none"/>
              </w:rPr>
            </w:pPr>
            <w:r>
              <w:rPr>
                <w:rFonts w:hint="eastAsia" w:hAnsi="宋体" w:cs="宋体"/>
                <w:color w:val="auto"/>
                <w:highlight w:val="none"/>
              </w:rPr>
              <w:t>5</w:t>
            </w:r>
            <w:r>
              <w:rPr>
                <w:rFonts w:hAnsi="宋体" w:cs="宋体"/>
                <w:color w:val="auto"/>
                <w:highlight w:val="none"/>
              </w:rPr>
              <w:t>.</w:t>
            </w:r>
            <w:r>
              <w:rPr>
                <w:rFonts w:hint="eastAsia" w:hAnsi="宋体" w:cs="宋体"/>
                <w:color w:val="auto"/>
                <w:highlight w:val="none"/>
              </w:rPr>
              <w:t>自然人竞标的，磋商文件规定盖公章处由自然人摁手指指印。</w:t>
            </w:r>
          </w:p>
          <w:p w14:paraId="54C6433B">
            <w:pPr>
              <w:pStyle w:val="14"/>
              <w:spacing w:line="360" w:lineRule="auto"/>
              <w:rPr>
                <w:rFonts w:hint="eastAsia" w:hAnsi="宋体" w:cs="宋体"/>
                <w:color w:val="auto"/>
                <w:highlight w:val="none"/>
              </w:rPr>
            </w:pPr>
            <w:r>
              <w:rPr>
                <w:rFonts w:hint="eastAsia" w:hAnsi="宋体" w:cs="宋体"/>
                <w:color w:val="auto"/>
                <w:highlight w:val="none"/>
              </w:rPr>
              <w:t>6</w:t>
            </w:r>
            <w:r>
              <w:rPr>
                <w:rFonts w:hAnsi="宋体" w:cs="宋体"/>
                <w:color w:val="auto"/>
                <w:highlight w:val="none"/>
              </w:rPr>
              <w:t>.</w:t>
            </w:r>
            <w:r>
              <w:rPr>
                <w:rFonts w:hint="eastAsia" w:hAnsi="宋体" w:cs="宋体"/>
                <w:color w:val="auto"/>
                <w:highlight w:val="none"/>
              </w:rPr>
              <w:t>本磋商文件所称的“以上”“以下”“以内”“届满”，包括本数；所称的“不满”“超过”“以外”，不包括本数。</w:t>
            </w:r>
          </w:p>
        </w:tc>
      </w:tr>
      <w:tr w14:paraId="44A1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48" w:type="dxa"/>
            <w:tcBorders>
              <w:top w:val="single" w:color="auto" w:sz="4" w:space="0"/>
              <w:left w:val="single" w:color="auto" w:sz="4" w:space="0"/>
              <w:bottom w:val="single" w:color="auto" w:sz="4" w:space="0"/>
              <w:right w:val="single" w:color="auto" w:sz="4" w:space="0"/>
            </w:tcBorders>
            <w:vAlign w:val="center"/>
          </w:tcPr>
          <w:p w14:paraId="17F2A50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21</w:t>
            </w:r>
          </w:p>
        </w:tc>
        <w:tc>
          <w:tcPr>
            <w:tcW w:w="1602" w:type="dxa"/>
            <w:tcBorders>
              <w:top w:val="single" w:color="auto" w:sz="4" w:space="0"/>
              <w:left w:val="single" w:color="auto" w:sz="4" w:space="0"/>
              <w:bottom w:val="single" w:color="auto" w:sz="4" w:space="0"/>
              <w:right w:val="single" w:color="auto" w:sz="4" w:space="0"/>
            </w:tcBorders>
            <w:vAlign w:val="center"/>
          </w:tcPr>
          <w:p w14:paraId="52B0A287">
            <w:pPr>
              <w:spacing w:line="360" w:lineRule="auto"/>
              <w:jc w:val="center"/>
              <w:rPr>
                <w:rFonts w:hint="eastAsia" w:ascii="宋体" w:hAnsi="宋体" w:cs="宋体"/>
                <w:color w:val="auto"/>
                <w:szCs w:val="21"/>
                <w:highlight w:val="none"/>
              </w:rPr>
            </w:pPr>
            <w:r>
              <w:rPr>
                <w:rFonts w:hint="eastAsia" w:ascii="宋体" w:hAnsi="宋体" w:cs="宋体"/>
                <w:b/>
                <w:color w:val="auto"/>
                <w:szCs w:val="21"/>
                <w:highlight w:val="none"/>
              </w:rPr>
              <w:t>特别说明</w:t>
            </w:r>
          </w:p>
        </w:tc>
        <w:tc>
          <w:tcPr>
            <w:tcW w:w="7399" w:type="dxa"/>
            <w:tcBorders>
              <w:top w:val="single" w:color="auto" w:sz="4" w:space="0"/>
              <w:left w:val="single" w:color="auto" w:sz="4" w:space="0"/>
              <w:bottom w:val="single" w:color="auto" w:sz="4" w:space="0"/>
              <w:right w:val="single" w:color="auto" w:sz="4" w:space="0"/>
            </w:tcBorders>
            <w:vAlign w:val="center"/>
          </w:tcPr>
          <w:p w14:paraId="5D57F15A">
            <w:pPr>
              <w:pStyle w:val="14"/>
              <w:spacing w:line="360" w:lineRule="auto"/>
              <w:jc w:val="left"/>
              <w:rPr>
                <w:color w:val="auto"/>
                <w:highlight w:val="none"/>
              </w:rPr>
            </w:pPr>
            <w:r>
              <w:rPr>
                <w:rFonts w:hint="eastAsia"/>
                <w:color w:val="auto"/>
                <w:highlight w:val="none"/>
              </w:rPr>
              <w:t>（1）响应文件中须加盖供应商公章位置均采用CA签章，并根据“政府采购项目电子交易管理操作指南-供应商”及本竞争性磋商文件规定的要求编制响应文件并进行关联定位，以便磋商小组在评审时，点击评分项可直接定位到该评分项内容。如对竞争性磋商文件的某项要求，供应商的响应文件未能关联定位提供相应的内容与其对应，则磋商小组在评审时如做出对供应商不利的评审由供应商自行承担。响应文件如内容不完整、编排混乱导致响应文件被误读、 漏读，或者在按磋商文件规定的部位查找不到相关内容的，由供应商自行承担。</w:t>
            </w:r>
          </w:p>
          <w:p w14:paraId="11D30182">
            <w:pPr>
              <w:pStyle w:val="14"/>
              <w:spacing w:line="360" w:lineRule="auto"/>
              <w:jc w:val="left"/>
              <w:rPr>
                <w:color w:val="auto"/>
                <w:highlight w:val="none"/>
              </w:rPr>
            </w:pPr>
            <w:r>
              <w:rPr>
                <w:rFonts w:hint="eastAsia"/>
                <w:color w:val="auto"/>
                <w:highlight w:val="none"/>
              </w:rPr>
              <w:t>（2）采购文件要求法定代表人（负责人）或委托代理人签字的部分必须打印签字后扫描或拍照做成PDF格式上传，如供应商有广西政府采购云平台法定代表人私章CA证书或个人签名CA证书的也可直接使用，否则视为竞标无效。</w:t>
            </w:r>
          </w:p>
          <w:p w14:paraId="66ED9CB5">
            <w:pPr>
              <w:pStyle w:val="47"/>
              <w:spacing w:before="0" w:after="0" w:line="360" w:lineRule="auto"/>
              <w:ind w:firstLine="0" w:firstLineChars="0"/>
              <w:rPr>
                <w:color w:val="auto"/>
                <w:spacing w:val="0"/>
                <w:highlight w:val="none"/>
              </w:rPr>
            </w:pPr>
            <w:r>
              <w:rPr>
                <w:rFonts w:hint="eastAsia" w:ascii="Times New Roman" w:eastAsia="宋体"/>
                <w:bCs w:val="0"/>
                <w:color w:val="auto"/>
                <w:spacing w:val="0"/>
                <w:kern w:val="2"/>
                <w:sz w:val="21"/>
                <w:szCs w:val="24"/>
                <w:highlight w:val="none"/>
              </w:rPr>
              <w:t>（3）补充事项：成交供应商需在确定成交3日内打印盖章响应文件（一式三份）提供给代理机构，作为成果文件装订使用。</w:t>
            </w:r>
          </w:p>
        </w:tc>
      </w:tr>
      <w:tr w14:paraId="74E3C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48" w:type="dxa"/>
            <w:tcBorders>
              <w:top w:val="single" w:color="auto" w:sz="4" w:space="0"/>
              <w:left w:val="single" w:color="auto" w:sz="4" w:space="0"/>
              <w:bottom w:val="single" w:color="auto" w:sz="4" w:space="0"/>
              <w:right w:val="single" w:color="auto" w:sz="4" w:space="0"/>
            </w:tcBorders>
            <w:vAlign w:val="center"/>
          </w:tcPr>
          <w:p w14:paraId="0E370663">
            <w:pPr>
              <w:spacing w:line="360" w:lineRule="auto"/>
              <w:jc w:val="center"/>
              <w:rPr>
                <w:rFonts w:hint="eastAsia" w:ascii="宋体" w:hAnsi="宋体" w:cs="宋体"/>
                <w:color w:val="auto"/>
                <w:szCs w:val="21"/>
                <w:highlight w:val="none"/>
              </w:rPr>
            </w:pPr>
            <w:bookmarkStart w:id="63" w:name="_Toc16298"/>
            <w:bookmarkStart w:id="64" w:name="_Toc8441"/>
            <w:r>
              <w:rPr>
                <w:rFonts w:hint="eastAsia" w:ascii="宋体" w:hAnsi="宋体" w:cs="宋体"/>
                <w:color w:val="auto"/>
                <w:szCs w:val="21"/>
                <w:highlight w:val="none"/>
              </w:rPr>
              <w:t>22</w:t>
            </w:r>
          </w:p>
        </w:tc>
        <w:tc>
          <w:tcPr>
            <w:tcW w:w="1602" w:type="dxa"/>
            <w:tcBorders>
              <w:top w:val="single" w:color="auto" w:sz="4" w:space="0"/>
              <w:left w:val="single" w:color="auto" w:sz="4" w:space="0"/>
              <w:bottom w:val="single" w:color="auto" w:sz="4" w:space="0"/>
              <w:right w:val="single" w:color="auto" w:sz="4" w:space="0"/>
            </w:tcBorders>
            <w:vAlign w:val="center"/>
          </w:tcPr>
          <w:p w14:paraId="6FFCB424">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政府采购电子保函</w:t>
            </w:r>
          </w:p>
        </w:tc>
        <w:tc>
          <w:tcPr>
            <w:tcW w:w="7399" w:type="dxa"/>
            <w:tcBorders>
              <w:top w:val="single" w:color="auto" w:sz="4" w:space="0"/>
              <w:left w:val="single" w:color="auto" w:sz="4" w:space="0"/>
              <w:bottom w:val="single" w:color="auto" w:sz="4" w:space="0"/>
              <w:right w:val="single" w:color="auto" w:sz="4" w:space="0"/>
            </w:tcBorders>
            <w:vAlign w:val="center"/>
          </w:tcPr>
          <w:p w14:paraId="4C97C16A">
            <w:pPr>
              <w:pStyle w:val="47"/>
              <w:spacing w:before="0" w:after="0" w:line="360" w:lineRule="auto"/>
              <w:ind w:firstLine="0" w:firstLineChars="0"/>
              <w:rPr>
                <w:rFonts w:ascii="Times New Roman" w:eastAsia="宋体"/>
                <w:bCs w:val="0"/>
                <w:color w:val="auto"/>
                <w:spacing w:val="0"/>
                <w:kern w:val="2"/>
                <w:sz w:val="21"/>
                <w:szCs w:val="24"/>
                <w:highlight w:val="none"/>
              </w:rPr>
            </w:pPr>
            <w:r>
              <w:rPr>
                <w:rFonts w:hint="eastAsia" w:ascii="Times New Roman" w:eastAsia="宋体"/>
                <w:bCs w:val="0"/>
                <w:color w:val="auto"/>
                <w:spacing w:val="0"/>
                <w:kern w:val="2"/>
                <w:sz w:val="21"/>
                <w:szCs w:val="24"/>
                <w:highlight w:val="none"/>
              </w:rPr>
              <w:t>供应商可通过“广西政府采购金融服务平台”（https://jinrong.zcygov.cn/finance/gx）在线方式完成预付款保函申请、递交、验收和索赔等全流程电子化操作，电子保函有关业务操作流程和手册可从“广西政府采购金融服务平台”查阅下载，供应商在电子保函的申请、使用、查看应用过程中遇到问题可咨询技术支撑方：400-903-9583。</w:t>
            </w:r>
          </w:p>
        </w:tc>
      </w:tr>
    </w:tbl>
    <w:p w14:paraId="62780FA0">
      <w:pPr>
        <w:rPr>
          <w:color w:val="auto"/>
          <w:highlight w:val="none"/>
        </w:rPr>
      </w:pPr>
    </w:p>
    <w:p w14:paraId="32FC58A6">
      <w:pPr>
        <w:pStyle w:val="16"/>
        <w:ind w:left="420"/>
        <w:rPr>
          <w:color w:val="auto"/>
          <w:highlight w:val="none"/>
        </w:rPr>
      </w:pPr>
    </w:p>
    <w:p w14:paraId="15E1A4E2">
      <w:pPr>
        <w:pStyle w:val="4"/>
        <w:spacing w:before="156" w:beforeLines="50" w:after="0" w:line="600" w:lineRule="exact"/>
        <w:jc w:val="center"/>
        <w:rPr>
          <w:rFonts w:hint="eastAsia" w:ascii="宋体" w:hAnsi="宋体" w:cs="宋体"/>
          <w:bCs w:val="0"/>
          <w:color w:val="auto"/>
          <w:sz w:val="32"/>
          <w:szCs w:val="32"/>
          <w:highlight w:val="none"/>
        </w:rPr>
      </w:pPr>
    </w:p>
    <w:p w14:paraId="0C7F3E02">
      <w:pPr>
        <w:rPr>
          <w:color w:val="auto"/>
          <w:highlight w:val="none"/>
        </w:rPr>
        <w:sectPr>
          <w:pgSz w:w="11906" w:h="16838"/>
          <w:pgMar w:top="1247" w:right="1417" w:bottom="1247" w:left="1417" w:header="851" w:footer="992" w:gutter="0"/>
          <w:cols w:space="0" w:num="1"/>
          <w:docGrid w:type="lines" w:linePitch="312" w:charSpace="0"/>
        </w:sectPr>
      </w:pPr>
    </w:p>
    <w:p w14:paraId="087A8648">
      <w:pPr>
        <w:pStyle w:val="4"/>
        <w:spacing w:before="156" w:beforeLines="50" w:after="0" w:line="600" w:lineRule="exact"/>
        <w:jc w:val="center"/>
        <w:rPr>
          <w:rFonts w:hint="eastAsia" w:ascii="宋体" w:hAnsi="宋体" w:cs="宋体"/>
          <w:bCs w:val="0"/>
          <w:color w:val="auto"/>
          <w:szCs w:val="21"/>
          <w:highlight w:val="none"/>
        </w:rPr>
      </w:pPr>
      <w:r>
        <w:rPr>
          <w:rFonts w:hint="eastAsia" w:ascii="宋体" w:hAnsi="宋体" w:cs="宋体"/>
          <w:bCs w:val="0"/>
          <w:color w:val="auto"/>
          <w:sz w:val="32"/>
          <w:szCs w:val="32"/>
          <w:highlight w:val="none"/>
        </w:rPr>
        <w:t>供应商须知</w:t>
      </w:r>
      <w:bookmarkEnd w:id="63"/>
      <w:bookmarkEnd w:id="64"/>
    </w:p>
    <w:p w14:paraId="5F7E2A6E">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一、总则</w:t>
      </w:r>
    </w:p>
    <w:p w14:paraId="062EB99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1.适用范围</w:t>
      </w:r>
    </w:p>
    <w:p w14:paraId="4992CAD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政府采购竞争性磋商采购方式管理暂行办法》《财政部关于政府采购竞争性磋商采购方式管理暂行办法有关问题的补充通知》及本项目本级和上级财政部门政府采购有关规定的约束和保护。</w:t>
      </w:r>
    </w:p>
    <w:p w14:paraId="1F7BA28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1.2本竞争性磋商文件适用于本项目的所有采购程序和环节（法律、法规另有规定的，从其规定）。</w:t>
      </w:r>
    </w:p>
    <w:p w14:paraId="6516A60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2.定义</w:t>
      </w:r>
    </w:p>
    <w:p w14:paraId="30ED237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2.1“采购人”是指依法进行采购的国家机关、事业单位、团体组织。</w:t>
      </w:r>
    </w:p>
    <w:p w14:paraId="1476E89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2.2“采购代理机构”是指政府采购代理机构（以下简称采购代理机构）是指集中采购机构以外、受采购人委托从事政府采购代理业务的社会中介机构。</w:t>
      </w:r>
    </w:p>
    <w:p w14:paraId="30C5F0E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2.3“供应商”是指向采购人提供货物、工程或者服务的法人、其他组织或者自然人。</w:t>
      </w:r>
    </w:p>
    <w:p w14:paraId="34B8888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2.4“工程”是指建设工程，包括建筑物和构筑物的新建、改建、扩建、装修、拆除、修缮等。</w:t>
      </w:r>
    </w:p>
    <w:p w14:paraId="265B0B2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2.5“竞标”是指供应商按照本项目竞争性磋商公告规定的方式获取竞争性磋商文件、提交响应文件并希望获得标的的行为。</w:t>
      </w:r>
    </w:p>
    <w:p w14:paraId="0DC8663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2.6“响应文件”是指：供应商根据本竞争性磋商文件要求，编制包含资格证明、报价商务技术等所有内容的文件。</w:t>
      </w:r>
    </w:p>
    <w:p w14:paraId="5C04F2B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2.7“实质性要求”是指竞争性磋商文件中已经指明不满足则响应文件按无效响应处理的条款，或不能负偏离的条款，或采购需求中带“▲”的条款。</w:t>
      </w:r>
    </w:p>
    <w:p w14:paraId="44DF2D1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2.8“正偏离”，是指响应文件对竞争性磋商文件“采购需求”中有关条款作出的响应优于条款要求并有利于采购人的情形。</w:t>
      </w:r>
    </w:p>
    <w:p w14:paraId="40D0CAE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2.9“负偏离”，是指响应文件对竞争性磋商文件“采购需求”中有关条款作出的响应不满足条款要求导致采购人要求不能得到满足的情形。</w:t>
      </w:r>
    </w:p>
    <w:p w14:paraId="2505D99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2.10“允许负偏离的条款”是指采购需求中的不属于“实质性要求”的条款。</w:t>
      </w:r>
    </w:p>
    <w:p w14:paraId="6C783FA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2.11“书面形式”是指合同书、信件和数据电文（包括电报、电传、传真、电子数据交换和电子邮件）等可以有形地表现所载内容的形式。</w:t>
      </w:r>
    </w:p>
    <w:p w14:paraId="5C2DE6E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2.12“首次报价”是指供应商提交的首次响应文件中的报价。</w:t>
      </w:r>
    </w:p>
    <w:p w14:paraId="6800A0B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2.13“评审价”是指供应商提交的最后报价并经修正和政策功能价格扣除后的价格。</w:t>
      </w:r>
    </w:p>
    <w:p w14:paraId="7B2229B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3.供应商的资格条件</w:t>
      </w:r>
    </w:p>
    <w:p w14:paraId="68A6B21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5E0ACBC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4.竞标费用</w:t>
      </w:r>
    </w:p>
    <w:p w14:paraId="5F38B70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供应商应承担参与本次采购活动有关的所有费用，包括但不限于获取磋商文件、勘查现场、编制和提交响应文件、参加磋商与应答、签订合同等，不论磋商结果如何，均应自行承担。</w:t>
      </w:r>
    </w:p>
    <w:p w14:paraId="1DD2A60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5.联合体竞标</w:t>
      </w:r>
    </w:p>
    <w:p w14:paraId="3537C7D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5.1本项目不接受联合体竞标。</w:t>
      </w:r>
    </w:p>
    <w:p w14:paraId="37F940A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6.转包与分包</w:t>
      </w:r>
    </w:p>
    <w:p w14:paraId="7032AC3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6.1本项目不允许转包。</w:t>
      </w:r>
    </w:p>
    <w:p w14:paraId="6306DBB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7.特别说明</w:t>
      </w:r>
    </w:p>
    <w:p w14:paraId="19277B1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7.1如果本磋商文件要求供应商提供资格、信誉、荣誉、业绩与企业认证等材料的，则供应商所提供的以上材料必须为供应商所拥有。</w:t>
      </w:r>
    </w:p>
    <w:p w14:paraId="1AAA982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7.2供应商应仔细阅读竞争性磋商文件的所有内容，按照竞争性磋商文件的要求提交响应文件，并对所提供的全部资料的真实性承担法律责任。</w:t>
      </w:r>
    </w:p>
    <w:p w14:paraId="1D9C8FE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供应商在磋商活动中提供任何疑似虚假材料，将报监管部门查处；签订合同后发现的，成交供应商须依照《中华人民共和国消费者权益保护法》规定赔偿采购人，且民事赔偿并不免除违法供应商的行政与刑事责任。</w:t>
      </w:r>
    </w:p>
    <w:p w14:paraId="1A49421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7.4在政府采购活动中，采购人员及相关人员与供应商有下列利害关系之一的，应当回避：</w:t>
      </w:r>
    </w:p>
    <w:p w14:paraId="07788C6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36ADFE9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4C0BC34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7A4FB3B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（4）与供应商的法定代表人或负责人有夫妻、直系血亲、三代以内旁系血亲或者近姻亲关系；</w:t>
      </w:r>
    </w:p>
    <w:p w14:paraId="5EAE586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6182816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66AAE3F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7.5有下列情形之一的视为供应商相互串通竞标，响应文件将被视为无效：</w:t>
      </w:r>
    </w:p>
    <w:p w14:paraId="44F7961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（1）不同供应商的响应文件由同一单位或者个人编制；或者不同供应商报名的IP地址一致的；</w:t>
      </w:r>
    </w:p>
    <w:p w14:paraId="69463F7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（2）不同供应商委托同一单位或者个人办理磋商事宜；</w:t>
      </w:r>
    </w:p>
    <w:p w14:paraId="46FD477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7DAA8F0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133D8BE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3B2D1C1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p>
    <w:p w14:paraId="4C9AC1B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7.6供应商有下列情形之一的，属于恶意串通行为：</w:t>
      </w:r>
    </w:p>
    <w:p w14:paraId="680782B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032FA2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5574C6D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7BFD060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34DCA51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0FB7257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002567E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3610C83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7.7关联供应商不得参加同一合同项下政府采购活动，否则响应文件将被视为无效：</w:t>
      </w:r>
    </w:p>
    <w:p w14:paraId="3CDCB22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（1）单位负责人为同一人或者存在直接控股、管理关系的不同的供应商，不得参加同一合同项下的政府采购活动。</w:t>
      </w:r>
    </w:p>
    <w:p w14:paraId="79AB6CCA">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二、响应文件的编制</w:t>
      </w:r>
    </w:p>
    <w:p w14:paraId="40796D6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8.响应文件的编制原则</w:t>
      </w:r>
    </w:p>
    <w:p w14:paraId="0D67EC1B">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供应商应当按照竞争性磋商文件的要求编制响应文件，并对其提交的响应文件的真实性、合法性承担法律责任。响应文件应当对竞争性磋商文件作出实质性响应。</w:t>
      </w:r>
    </w:p>
    <w:p w14:paraId="66D984CC">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9.响应文件编制基本要求</w:t>
      </w:r>
    </w:p>
    <w:p w14:paraId="41C880C4">
      <w:pPr>
        <w:spacing w:line="360" w:lineRule="auto"/>
        <w:ind w:firstLine="420" w:firstLineChars="200"/>
        <w:jc w:val="distribute"/>
        <w:rPr>
          <w:rFonts w:hint="eastAsia" w:ascii="宋体" w:hAnsi="宋体" w:cs="宋体"/>
          <w:bCs/>
          <w:color w:val="auto"/>
          <w:szCs w:val="21"/>
          <w:highlight w:val="none"/>
        </w:rPr>
      </w:pPr>
      <w:r>
        <w:rPr>
          <w:rFonts w:hint="eastAsia" w:ascii="宋体" w:hAnsi="宋体" w:cs="宋体"/>
          <w:bCs/>
          <w:color w:val="auto"/>
          <w:szCs w:val="21"/>
          <w:highlight w:val="none"/>
        </w:rPr>
        <w:t>9.1本项目实行电子开评标，供应商应准备电子磋商响应文件。供应商应仔细阅读竞争性磋商采购文件，在充分了解采购的内容、服务要求和商务条款以及实质性要求和条件后，编写响应文件。电子响应文件按广西政府采购云平台要求及本竞争性磋商采购文件要求制作、加密并递交。具体操作流程可参考《政府采购项目电子交易管理操作指南-供应商》，指南可在“http：//zfcg.gxzf.gov.cn/PurchaseAdvisory/ImportantNotice/2866753.html”下载。</w:t>
      </w:r>
    </w:p>
    <w:p w14:paraId="4400C64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9.2供应商提交的竞争性磋商响应文件以及供应商与广西荣胜项目管理有限公司和采购人就有关磋商的所有来往函电均应使用中文。供应商提交的支持文件和印刷的文献可以使用别的语言，但其相应内容必须附有中文翻译文本，在解释竞争性磋商响应文件时以翻译文本为准。</w:t>
      </w:r>
    </w:p>
    <w:p w14:paraId="6CC475C6">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9.3供应商应认真阅读、并充分理解本文件的全部内容（包括所有的补充、修改内容），承诺并履行本文件中各项条款规定及要求。</w:t>
      </w:r>
    </w:p>
    <w:p w14:paraId="47E72C28">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9.4竞争性磋商响应文件必须按本文件的全部内容，包括所有的补充通知及附件进行编制。</w:t>
      </w:r>
    </w:p>
    <w:p w14:paraId="0A95E4DC">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9.5如因供应商只填写和提供了本文件要求的部分内容和附件，而给评审造成困难，其可能导致的结果和责任由供应商自行承担。</w:t>
      </w:r>
    </w:p>
    <w:p w14:paraId="337975BC">
      <w:pPr>
        <w:spacing w:line="360" w:lineRule="auto"/>
        <w:ind w:firstLine="420" w:firstLineChars="200"/>
        <w:rPr>
          <w:rFonts w:hint="eastAsia" w:ascii="宋体" w:hAnsi="宋体" w:cs="宋体"/>
          <w:b/>
          <w:color w:val="auto"/>
          <w:szCs w:val="21"/>
          <w:highlight w:val="none"/>
        </w:rPr>
      </w:pPr>
      <w:r>
        <w:rPr>
          <w:rFonts w:hint="eastAsia" w:ascii="宋体" w:hAnsi="宋体" w:cs="宋体"/>
          <w:bCs/>
          <w:color w:val="auto"/>
          <w:szCs w:val="21"/>
          <w:highlight w:val="none"/>
        </w:rPr>
        <w:t>9.6响应文件的组成：响应文件应分为资格证明文件、报价文件、商务技术文件三个部分组成。</w:t>
      </w:r>
      <w:r>
        <w:rPr>
          <w:rFonts w:hint="eastAsia" w:ascii="宋体" w:hAnsi="宋体" w:cs="宋体"/>
          <w:b/>
          <w:color w:val="auto"/>
          <w:szCs w:val="21"/>
          <w:highlight w:val="none"/>
        </w:rPr>
        <w:t>以下注明“</w:t>
      </w:r>
      <w:r>
        <w:rPr>
          <w:rFonts w:hint="eastAsia" w:ascii="宋体" w:hAnsi="宋体" w:cs="宋体"/>
          <w:color w:val="auto"/>
          <w:szCs w:val="21"/>
          <w:highlight w:val="none"/>
        </w:rPr>
        <w:t>▲</w:t>
      </w:r>
      <w:r>
        <w:rPr>
          <w:rFonts w:hint="eastAsia" w:ascii="宋体" w:hAnsi="宋体" w:cs="宋体"/>
          <w:b/>
          <w:color w:val="auto"/>
          <w:szCs w:val="21"/>
          <w:highlight w:val="none"/>
        </w:rPr>
        <w:t>”的必须提供，否则竞标无效。</w:t>
      </w:r>
    </w:p>
    <w:p w14:paraId="55A66E69">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1.资格证明文件</w:t>
      </w:r>
    </w:p>
    <w:p w14:paraId="6CE68610">
      <w:pPr>
        <w:pStyle w:val="11"/>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（1）</w:t>
      </w:r>
      <w:r>
        <w:rPr>
          <w:rFonts w:hint="eastAsia" w:ascii="宋体" w:hAnsi="宋体" w:cs="宋体"/>
          <w:color w:val="auto"/>
          <w:szCs w:val="21"/>
          <w:highlight w:val="none"/>
        </w:rPr>
        <w:t>供应商为法人或者其他组织的提供其营业执照等证明文件复印件（如营业执照或者事业单位法人证书或者执业许可证或者登记证书等）；</w:t>
      </w:r>
    </w:p>
    <w:p w14:paraId="62B1FE6F">
      <w:pPr>
        <w:spacing w:line="360" w:lineRule="auto"/>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（2）</w:t>
      </w:r>
      <w:r>
        <w:rPr>
          <w:rFonts w:hint="eastAsia" w:ascii="宋体" w:hAnsi="宋体" w:cs="宋体"/>
          <w:color w:val="auto"/>
          <w:szCs w:val="21"/>
          <w:highlight w:val="none"/>
        </w:rPr>
        <w:t>供应商依法缴纳税收的相关材料（</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rPr>
        <w:t>月以来任意</w:t>
      </w:r>
      <w:r>
        <w:rPr>
          <w:rFonts w:hint="eastAsia" w:ascii="宋体" w:hAnsi="宋体" w:cs="宋体"/>
          <w:color w:val="auto"/>
          <w:szCs w:val="21"/>
          <w:highlight w:val="none"/>
          <w:u w:val="single"/>
        </w:rPr>
        <w:t>1</w:t>
      </w:r>
      <w:r>
        <w:rPr>
          <w:rFonts w:hint="eastAsia" w:ascii="宋体" w:hAnsi="宋体" w:cs="宋体"/>
          <w:color w:val="auto"/>
          <w:szCs w:val="21"/>
          <w:highlight w:val="none"/>
        </w:rPr>
        <w:t>个月的依法缴纳税收的凭据复印件；</w:t>
      </w:r>
      <w:r>
        <w:rPr>
          <w:rFonts w:hint="eastAsia" w:ascii="宋体" w:hAnsi="宋体" w:cs="宋体"/>
          <w:color w:val="auto"/>
          <w:highlight w:val="none"/>
        </w:rPr>
        <w:t>依法免税的，必须提供相应文件证明其依法免税。</w:t>
      </w:r>
      <w:r>
        <w:rPr>
          <w:rFonts w:hint="eastAsia" w:ascii="宋体" w:hAnsi="宋体" w:cs="宋体"/>
          <w:color w:val="auto"/>
          <w:szCs w:val="21"/>
          <w:highlight w:val="none"/>
        </w:rPr>
        <w:t>从成立之日起到响应文件提交截止时间止不足要求月数的，只需提供从成立之日起的依法缴纳税收</w:t>
      </w:r>
      <w:r>
        <w:rPr>
          <w:rFonts w:hint="eastAsia" w:ascii="宋体" w:hAnsi="宋体" w:cs="宋体"/>
          <w:color w:val="auto"/>
          <w:highlight w:val="none"/>
        </w:rPr>
        <w:t>相应证明文件</w:t>
      </w:r>
      <w:r>
        <w:rPr>
          <w:rFonts w:hint="eastAsia" w:ascii="宋体" w:hAnsi="宋体" w:cs="宋体"/>
          <w:color w:val="auto"/>
          <w:szCs w:val="21"/>
          <w:highlight w:val="none"/>
        </w:rPr>
        <w:t>）；</w:t>
      </w:r>
    </w:p>
    <w:p w14:paraId="617AD472">
      <w:pPr>
        <w:spacing w:line="360" w:lineRule="auto"/>
        <w:ind w:firstLine="420" w:firstLineChars="200"/>
        <w:contextualSpacing/>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（3）</w:t>
      </w:r>
      <w:r>
        <w:rPr>
          <w:rFonts w:hint="eastAsia" w:ascii="宋体" w:hAnsi="宋体" w:cs="宋体"/>
          <w:color w:val="auto"/>
          <w:szCs w:val="21"/>
          <w:highlight w:val="none"/>
        </w:rPr>
        <w:t>供应商依法缴纳社会保障资金的相关材料</w:t>
      </w:r>
      <w:r>
        <w:rPr>
          <w:rFonts w:hint="eastAsia" w:ascii="宋体" w:hAnsi="宋体" w:cs="宋体"/>
          <w:color w:val="auto"/>
          <w:szCs w:val="21"/>
          <w:highlight w:val="none"/>
          <w:u w:val="single"/>
        </w:rPr>
        <w:t>202</w:t>
      </w:r>
      <w:r>
        <w:rPr>
          <w:rFonts w:hint="eastAsia" w:ascii="宋体" w:hAnsi="宋体" w:cs="宋体"/>
          <w:color w:val="auto"/>
          <w:szCs w:val="21"/>
          <w:highlight w:val="none"/>
          <w:u w:val="singl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u w:val="single"/>
          <w:lang w:val="en-US" w:eastAsia="zh-CN"/>
        </w:rPr>
        <w:t>1</w:t>
      </w:r>
      <w:r>
        <w:rPr>
          <w:rFonts w:hint="eastAsia" w:ascii="宋体" w:hAnsi="宋体" w:cs="宋体"/>
          <w:color w:val="auto"/>
          <w:szCs w:val="21"/>
          <w:highlight w:val="none"/>
        </w:rPr>
        <w:t>月以来任意</w:t>
      </w:r>
      <w:r>
        <w:rPr>
          <w:rFonts w:hint="eastAsia" w:ascii="宋体" w:hAnsi="宋体" w:cs="宋体"/>
          <w:color w:val="auto"/>
          <w:szCs w:val="21"/>
          <w:highlight w:val="none"/>
          <w:u w:val="single"/>
        </w:rPr>
        <w:t>1</w:t>
      </w:r>
      <w:r>
        <w:rPr>
          <w:rFonts w:hint="eastAsia" w:ascii="宋体" w:hAnsi="宋体" w:cs="宋体"/>
          <w:color w:val="auto"/>
          <w:szCs w:val="21"/>
          <w:highlight w:val="none"/>
        </w:rPr>
        <w:t>个月的依法缴纳社会保障资金的缴费凭证复印件；</w:t>
      </w:r>
      <w:r>
        <w:rPr>
          <w:rFonts w:hint="eastAsia" w:ascii="宋体" w:hAnsi="宋体" w:cs="宋体"/>
          <w:color w:val="auto"/>
          <w:highlight w:val="none"/>
        </w:rPr>
        <w:t>依法不需要缴纳社会保障资金的，必须提供相应文件证明不需要缴纳社会保障资金。</w:t>
      </w:r>
      <w:r>
        <w:rPr>
          <w:rFonts w:hint="eastAsia" w:ascii="宋体" w:hAnsi="宋体" w:cs="宋体"/>
          <w:color w:val="auto"/>
          <w:szCs w:val="21"/>
          <w:highlight w:val="none"/>
        </w:rPr>
        <w:t>从成立之日起到响应文件提交截止时间止不足要求月数的只需提供从成立之日起的依法缴纳社会保障资金的</w:t>
      </w:r>
      <w:r>
        <w:rPr>
          <w:rFonts w:hint="eastAsia" w:ascii="宋体" w:hAnsi="宋体" w:cs="宋体"/>
          <w:color w:val="auto"/>
          <w:highlight w:val="none"/>
        </w:rPr>
        <w:t>相应证明文件</w:t>
      </w:r>
      <w:r>
        <w:rPr>
          <w:rFonts w:hint="eastAsia" w:ascii="宋体" w:hAnsi="宋体" w:cs="宋体"/>
          <w:color w:val="auto"/>
          <w:szCs w:val="21"/>
          <w:highlight w:val="none"/>
        </w:rPr>
        <w:t>]；</w:t>
      </w:r>
    </w:p>
    <w:p w14:paraId="4034F760">
      <w:pPr>
        <w:spacing w:line="360" w:lineRule="auto"/>
        <w:ind w:firstLine="420" w:firstLineChars="200"/>
        <w:contextualSpacing/>
        <w:jc w:val="left"/>
        <w:rPr>
          <w:rFonts w:hint="eastAsia"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（4）投标人财务状况报告：[202</w:t>
      </w:r>
      <w:r>
        <w:rPr>
          <w:rFonts w:hint="eastAsia" w:ascii="宋体" w:hAnsi="宋体" w:cs="宋体"/>
          <w:bCs/>
          <w:color w:val="auto"/>
          <w:szCs w:val="21"/>
          <w:highlight w:val="none"/>
          <w:lang w:val="en-US" w:eastAsia="zh-CN"/>
        </w:rPr>
        <w:t>5</w:t>
      </w:r>
      <w:r>
        <w:rPr>
          <w:rFonts w:hint="eastAsia" w:ascii="宋体" w:hAnsi="宋体" w:cs="宋体"/>
          <w:bCs/>
          <w:color w:val="auto"/>
          <w:szCs w:val="21"/>
          <w:highlight w:val="none"/>
        </w:rPr>
        <w:t>年度]财务状况报告复印件；供应商成立不满一年的应按提供截标之日上一个月的财务状况报告复印件。</w:t>
      </w:r>
    </w:p>
    <w:p w14:paraId="4B02EF2C">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（5）</w:t>
      </w:r>
      <w:r>
        <w:rPr>
          <w:rFonts w:hint="eastAsia" w:ascii="宋体" w:hAnsi="宋体" w:cs="宋体"/>
          <w:color w:val="auto"/>
          <w:szCs w:val="21"/>
          <w:highlight w:val="none"/>
        </w:rPr>
        <w:t>竞标声明（格式后附）；</w:t>
      </w:r>
    </w:p>
    <w:p w14:paraId="4A9E47E5">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（6）</w:t>
      </w:r>
      <w:r>
        <w:rPr>
          <w:rFonts w:hint="eastAsia" w:ascii="宋体" w:hAnsi="宋体" w:cs="宋体"/>
          <w:color w:val="auto"/>
          <w:szCs w:val="21"/>
          <w:highlight w:val="none"/>
        </w:rPr>
        <w:t>供应商直接控股、管理关系信息表（格式后附）；</w:t>
      </w:r>
    </w:p>
    <w:p w14:paraId="3538FF06">
      <w:pPr>
        <w:snapToGrid w:val="0"/>
        <w:spacing w:line="360" w:lineRule="auto"/>
        <w:ind w:firstLine="420" w:firstLineChars="200"/>
        <w:jc w:val="left"/>
        <w:rPr>
          <w:rFonts w:hint="eastAsia" w:ascii="宋体" w:hAnsi="宋体" w:cs="宋体"/>
          <w:bCs/>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（7）拟派的项目经理无在建项目承诺书（格式自拟）</w:t>
      </w:r>
    </w:p>
    <w:p w14:paraId="669C530F">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（8）</w:t>
      </w:r>
      <w:r>
        <w:rPr>
          <w:rFonts w:hint="eastAsia" w:ascii="宋体" w:hAnsi="宋体" w:cs="宋体"/>
          <w:color w:val="auto"/>
          <w:szCs w:val="21"/>
          <w:highlight w:val="none"/>
        </w:rPr>
        <w:t>本项目属于专门面向中小企业采购的项目，供应商须为中小企业或监狱企业或残疾人福利性单位。[供应商必须在响应文件中提供《</w:t>
      </w:r>
      <w:r>
        <w:rPr>
          <w:rFonts w:hint="eastAsia" w:ascii="宋体" w:hAnsi="宋体" w:cs="宋体"/>
          <w:bCs/>
          <w:color w:val="auto"/>
          <w:szCs w:val="21"/>
          <w:highlight w:val="none"/>
        </w:rPr>
        <w:t>中小企业声明函（工程）</w:t>
      </w:r>
      <w:r>
        <w:rPr>
          <w:rFonts w:hint="eastAsia" w:ascii="宋体" w:hAnsi="宋体" w:cs="宋体"/>
          <w:color w:val="auto"/>
          <w:szCs w:val="21"/>
          <w:highlight w:val="none"/>
        </w:rPr>
        <w:t>》</w:t>
      </w:r>
      <w:r>
        <w:rPr>
          <w:rFonts w:hint="eastAsia" w:ascii="宋体" w:hAnsi="宋体" w:cs="宋体"/>
          <w:color w:val="auto"/>
          <w:szCs w:val="22"/>
          <w:highlight w:val="none"/>
        </w:rPr>
        <w:t>或残疾人福利性单位声明函或监狱企业证明材料]；</w:t>
      </w:r>
    </w:p>
    <w:p w14:paraId="162B440A">
      <w:pPr>
        <w:pStyle w:val="2"/>
        <w:autoSpaceDE/>
        <w:autoSpaceDN/>
        <w:adjustRightInd/>
        <w:spacing w:after="0" w:line="360" w:lineRule="auto"/>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▲（9）本项目的特定资格要求：</w:t>
      </w:r>
    </w:p>
    <w:p w14:paraId="6B1C33A7">
      <w:pPr>
        <w:pStyle w:val="2"/>
        <w:autoSpaceDE/>
        <w:autoSpaceDN/>
        <w:adjustRightInd/>
        <w:spacing w:after="0" w:line="360" w:lineRule="auto"/>
        <w:ind w:firstLine="420" w:firstLineChars="200"/>
        <w:rPr>
          <w:rFonts w:hint="eastAsia" w:hAnsi="宋体" w:cs="宋体"/>
          <w:color w:val="auto"/>
          <w:kern w:val="2"/>
          <w:sz w:val="21"/>
          <w:szCs w:val="21"/>
          <w:highlight w:val="none"/>
        </w:rPr>
      </w:pPr>
      <w:r>
        <w:rPr>
          <w:rFonts w:hint="eastAsia" w:hAnsi="宋体" w:cs="宋体"/>
          <w:color w:val="auto"/>
          <w:kern w:val="2"/>
          <w:sz w:val="21"/>
          <w:szCs w:val="21"/>
          <w:highlight w:val="none"/>
        </w:rPr>
        <w:t>（1）本项目供应商企业资质要求具备有效的</w:t>
      </w:r>
      <w:r>
        <w:rPr>
          <w:rFonts w:hint="eastAsia" w:hAnsi="宋体" w:cs="宋体"/>
          <w:color w:val="auto"/>
          <w:kern w:val="2"/>
          <w:sz w:val="21"/>
          <w:szCs w:val="21"/>
          <w:highlight w:val="none"/>
          <w:lang w:eastAsia="zh-CN"/>
        </w:rPr>
        <w:t>市政公用</w:t>
      </w:r>
      <w:r>
        <w:rPr>
          <w:rFonts w:hint="eastAsia" w:hAnsi="宋体" w:cs="宋体"/>
          <w:color w:val="auto"/>
          <w:kern w:val="2"/>
          <w:sz w:val="21"/>
          <w:szCs w:val="21"/>
          <w:highlight w:val="none"/>
        </w:rPr>
        <w:t>工程施工总承包三级(含三级)以上资质，且具备省级及以上建设行政主管部门颁发的安全生产许可证。并在人员、设备、资金等方面具有相应的施工能力；（2）拟投入本工程的项目经理必须具有</w:t>
      </w:r>
      <w:r>
        <w:rPr>
          <w:rFonts w:hint="eastAsia" w:hAnsi="宋体" w:cs="宋体"/>
          <w:color w:val="auto"/>
          <w:kern w:val="2"/>
          <w:sz w:val="21"/>
          <w:szCs w:val="21"/>
          <w:highlight w:val="none"/>
          <w:lang w:eastAsia="zh-CN"/>
        </w:rPr>
        <w:t>市政公用</w:t>
      </w:r>
      <w:r>
        <w:rPr>
          <w:rFonts w:hint="eastAsia" w:hAnsi="宋体" w:cs="宋体"/>
          <w:color w:val="auto"/>
          <w:kern w:val="2"/>
          <w:sz w:val="21"/>
          <w:szCs w:val="21"/>
          <w:highlight w:val="none"/>
        </w:rPr>
        <w:t>工程专业贰级以上（含贰级）注册建造师资格及安全生产考核合格证（B证），为供应商的在岗人员，且未担任其他在建项目或已中标未开工项目或已列为项目第一中标候选人项目的项目经理。</w:t>
      </w:r>
    </w:p>
    <w:p w14:paraId="1F375783">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（10）供应商针对资格证明需要说明的其他证明文件和说明。（格式自拟）</w:t>
      </w:r>
    </w:p>
    <w:p w14:paraId="2924F72F">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2.报价文件</w:t>
      </w:r>
    </w:p>
    <w:p w14:paraId="0A2BA191">
      <w:pPr>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（1）磋商函；</w:t>
      </w:r>
    </w:p>
    <w:p w14:paraId="46E1E2D6">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（2）磋商函附录</w:t>
      </w:r>
      <w:r>
        <w:rPr>
          <w:rFonts w:hint="eastAsia" w:ascii="宋体" w:hAnsi="宋体" w:cs="宋体"/>
          <w:b/>
          <w:color w:val="auto"/>
          <w:szCs w:val="21"/>
          <w:highlight w:val="none"/>
        </w:rPr>
        <w:t>；</w:t>
      </w:r>
    </w:p>
    <w:p w14:paraId="62C7F731">
      <w:pPr>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（3）竞标报价表；</w:t>
      </w:r>
    </w:p>
    <w:p w14:paraId="2C630FA2">
      <w:pPr>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（4）已标价工程量清单；</w:t>
      </w:r>
    </w:p>
    <w:p w14:paraId="6F5B84DA">
      <w:pPr>
        <w:spacing w:line="360" w:lineRule="auto"/>
        <w:ind w:firstLine="420" w:firstLineChars="200"/>
        <w:rPr>
          <w:rFonts w:hint="eastAsia" w:ascii="宋体" w:hAnsi="宋体" w:cs="宋体"/>
          <w:b/>
          <w:color w:val="auto"/>
          <w:szCs w:val="21"/>
          <w:highlight w:val="none"/>
        </w:rPr>
      </w:pPr>
      <w:r>
        <w:rPr>
          <w:rFonts w:hint="eastAsia" w:ascii="宋体" w:hAnsi="宋体" w:cs="宋体"/>
          <w:bCs/>
          <w:color w:val="auto"/>
          <w:szCs w:val="21"/>
          <w:highlight w:val="none"/>
        </w:rPr>
        <w:t>（5）供应商针对报价需要说明的其他文件和说明（格式自拟）。</w:t>
      </w:r>
    </w:p>
    <w:p w14:paraId="25049895">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3.商务技术文件</w:t>
      </w:r>
    </w:p>
    <w:p w14:paraId="3C5E497F">
      <w:pPr>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（1）无串通竞标行为的承诺函（格式后附）；</w:t>
      </w:r>
    </w:p>
    <w:p w14:paraId="08365DEA">
      <w:pPr>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（2）法定代表人身份证明书及法定代表人有效身份证正反面复印件（格式后附）；</w:t>
      </w:r>
    </w:p>
    <w:p w14:paraId="28BD8624">
      <w:pPr>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（3）授权委托书及委托代理人有效身份证正反面复印件（格式后附）；</w:t>
      </w:r>
      <w:r>
        <w:rPr>
          <w:rFonts w:hint="eastAsia" w:ascii="宋体" w:hAnsi="宋体" w:cs="宋体"/>
          <w:b/>
          <w:color w:val="auto"/>
          <w:szCs w:val="21"/>
          <w:highlight w:val="none"/>
        </w:rPr>
        <w:t>（委托时必须提供）</w:t>
      </w:r>
    </w:p>
    <w:p w14:paraId="09CFEC65">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w:t>
      </w:r>
      <w:r>
        <w:rPr>
          <w:rFonts w:hint="eastAsia" w:ascii="宋体" w:hAnsi="宋体" w:cs="宋体"/>
          <w:bCs/>
          <w:color w:val="auto"/>
          <w:szCs w:val="21"/>
          <w:highlight w:val="none"/>
        </w:rPr>
        <w:t>（4）施工组织设计；</w:t>
      </w:r>
    </w:p>
    <w:p w14:paraId="08ACA5F4">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（5）项目管理机构配备情况表；</w:t>
      </w:r>
    </w:p>
    <w:p w14:paraId="62672B26">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（6）供应商针对商务技术需要说明的其他文件和说明（格式自拟）；</w:t>
      </w:r>
    </w:p>
    <w:p w14:paraId="2AEF42C6">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特别说明：①电子磋商响应文件中所须加盖公章部分均采用CA签章。若竞争性磋商响应文件中有专门标注的某关联点，并要求供应商在电子投标系统中作出磋商响应的，如供应商未对关联点进行响应或者在响应文件其它内容进行描述，造成电子评审不能查询的责任由供应商自行承担。</w:t>
      </w:r>
    </w:p>
    <w:p w14:paraId="37E163F9">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②采购文件要求法定代表人（负责人）或委托代理人签字的部分必须打印签字后扫描或拍照做成PDF格式上传，如供应商有广西政府采购云平台法定代表人私章CA证书或个人签名CA证书的也可直接使用，否则视为竞标无效。</w:t>
      </w:r>
    </w:p>
    <w:p w14:paraId="5CC50A37">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③竞争性磋商采购文件要求提供的各种复印件，须加盖供应商CA签章，否则其磋商无效。</w:t>
      </w:r>
    </w:p>
    <w:p w14:paraId="0E25DA1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9.7响应文件有效期：见供应商须知前附表。</w:t>
      </w:r>
    </w:p>
    <w:p w14:paraId="5D2D6738">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9.8磋商保证金：见供应商须知前附表。</w:t>
      </w:r>
    </w:p>
    <w:p w14:paraId="31DDC3A2">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10.计量单位</w:t>
      </w:r>
    </w:p>
    <w:p w14:paraId="23A6F419">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10.1磋商文件已有明确规定的，使用磋商文件规定的计量单位；磋商文件没有规定的，应采用国家法定计量单位，货币种类为人民币，否则视同未响应。</w:t>
      </w:r>
    </w:p>
    <w:p w14:paraId="56EF192E">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三、磋商报价及采购预算</w:t>
      </w:r>
    </w:p>
    <w:p w14:paraId="2DA5D919">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11.1对于本文件中未列明，而供应商认为必需的费用也需列入总报价。在合同实施时，采购人将不予支付成交供应商没有列入的项目费用，并认为此项目的费用已包括在总报价中。</w:t>
      </w:r>
    </w:p>
    <w:p w14:paraId="4E865053">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11.2供应商必须就所磋商的采购项目的全部内容作完整唯一报价，漏项报价的或有选择的或有条件的报价，其竞标将视为无效。</w:t>
      </w:r>
    </w:p>
    <w:p w14:paraId="11C45B7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11.3本项目磋商报价费用指按照采购需求完成该项目的所有服务工作的费用总和。</w:t>
      </w:r>
    </w:p>
    <w:p w14:paraId="34F6B45C">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11.4供应商应在磋商报价表上标明单价和总价。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除上述原因以外，如果因供应商原因引起的报价失误，并在磋商时被接受，其后果由供应商自负。</w:t>
      </w:r>
    </w:p>
    <w:p w14:paraId="7772011D">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四、响应文件的份数、封装和递交</w:t>
      </w:r>
    </w:p>
    <w:p w14:paraId="6BA1B19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12.竞争性磋商响应文件的份数：电子加密响应文件一份。</w:t>
      </w:r>
    </w:p>
    <w:p w14:paraId="3527CC72">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12.1电子磋商响应文件中须加盖供应商公章位置均采用CA签章，并根据“政府采购项目电子交易管理操作指南-供应商”及本竞争性磋商采购文件规定的格式和顺序编制电子磋商响应文件并进行关联定位，以便磋商小组在评审时，点击评分项可直接定位到该评分项内容。如对竞争性磋商采购文件的某项要求，供应商的电子磋商响应文件未能关联定位提供相应的内容与其对应，则磋商小组在评审时如做出对供应商不利的评审由供应商自行承担。电子磋商响应文件如内容不完整、编排混乱导致磋商响应文件被误读、漏读，或者在按采购文件规定的部位查找不到相关内容的，由供应商自行承担。</w:t>
      </w:r>
    </w:p>
    <w:p w14:paraId="52DB075B">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13.响应文件的递交</w:t>
      </w:r>
    </w:p>
    <w:p w14:paraId="37B61503">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13.1所有竞争性响应文件应于“第二章磋商须知及前附表”中规定的截止时间前递交到规定地点。</w:t>
      </w:r>
    </w:p>
    <w:p w14:paraId="5F50DD98">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供应商进行电子投标应安装客户端软件，并按照采购文件和电子交易平台的要求编制并加密响应文件。供应商未按规定加密的磋商响应文件，电子交易平台将拒收。供应商应当在递交截止时间前完成磋商响应文件的传输递交，并可以补充、修改或者撤回磋商响应文件。补充或者修改磋商响应文件的，应当先行撤回原文件，补充、修改后重新传输递交。递交截止时间前未完成传输的，视为撤回磋商响应文件。递交截止时间后递交的磋商响应文件，电子交易平台将拒收。</w:t>
      </w:r>
    </w:p>
    <w:p w14:paraId="3C51F154">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13.2迟交的响应文件</w:t>
      </w:r>
    </w:p>
    <w:p w14:paraId="2EA3E694">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采购人或采购代理人按照规定有权拒绝或原封退回在其规定的递交响应文件截止时间之后收到的任何响应文件。</w:t>
      </w:r>
    </w:p>
    <w:p w14:paraId="60D1850B">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五、竞争性磋商（简称磋商）与评审</w:t>
      </w:r>
    </w:p>
    <w:p w14:paraId="60E9E98F">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14.磋商小组成立及响应文件的开启</w:t>
      </w:r>
    </w:p>
    <w:p w14:paraId="08B208B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14.1磋商小组由采购人代表和评审专家共3人以上单数组成，具体人数见“供应商须知前附表”，其中评审专家人数不得少于磋商小组成员总数的2/3。采购人代表不得以评审专家身份参加本部门或本单位采购项目的评审。采购代理机构人员不得参加本机构代理的采购项目的评审。达到公开招标数额标准的货物或者服务采购项目，或者达到公开招标规模标准的政府采购工程，经批准采用竞争性磋商方式采购的，磋商小组由5人以上单数组成。</w:t>
      </w:r>
    </w:p>
    <w:p w14:paraId="310602D1">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4EA6E2B1">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14.3响应文件的开启：具体详见“供应商须知前附表”。</w:t>
      </w:r>
    </w:p>
    <w:p w14:paraId="7353872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15.响应文件评审程序</w:t>
      </w:r>
    </w:p>
    <w:p w14:paraId="6675B23F">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15.1资格审查</w:t>
      </w:r>
    </w:p>
    <w:p w14:paraId="4C44001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15.1.1响应文件开启后，由磋商小组依法对供应商的资格证明文件进行审查。</w:t>
      </w:r>
    </w:p>
    <w:p w14:paraId="67C54195">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15.1.2通过资格审查的合格供应商不足3家的，不得进入符合性审查环节，采购人或采购代理机构应当重新开展采购活动。</w:t>
      </w:r>
    </w:p>
    <w:p w14:paraId="1571E44C">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15.2符合性审查</w:t>
      </w:r>
    </w:p>
    <w:p w14:paraId="4D4FF20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15.2.1由磋商小组通过资格审查的合格供应商的响应文件的竞标报价、商务、技术等实质性要求进行符合性审查，以确定其是否满足竞争性磋商文件的实质性要求。</w:t>
      </w:r>
    </w:p>
    <w:p w14:paraId="0F05D0A4">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15.2.2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6D21D6F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15.2.3磋商小组要求供应商澄清、说明或者更正响应文件应当要求供应商在合理时间内通过广西政府采购云平台（https://www.gcy.zfcg.gxzf.gov.cn/）的方式形式作出。供应商的澄清、说明或者更正必须通过广西政府采购云平台以书面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委托代理人签字或者加盖CA签章。由委托代理人签字的，若委托代理人不是响应文件中授权的委托代理人时，必须同时出示有效的法定代表人授权委托书原件。供应商为自然人的，必须由本人签字并附身份证明。</w:t>
      </w:r>
    </w:p>
    <w:p w14:paraId="464125E3">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15.2.4首次响应文件中报价出现前后不一致的，按照下列规定修正：</w:t>
      </w:r>
    </w:p>
    <w:p w14:paraId="4C57530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（1）响应文件中报价表内容与响应文件中相应内容不一致的，以报价表为准；</w:t>
      </w:r>
    </w:p>
    <w:p w14:paraId="4D19EE8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（2）大写金额和小写金额不一致的，以大写金额为准；</w:t>
      </w:r>
    </w:p>
    <w:p w14:paraId="76E115A5">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（3）单价金额小数点或者百分比有明显错位的，以报价表的总价为准，并修改单价；</w:t>
      </w:r>
    </w:p>
    <w:p w14:paraId="34086243">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（4）总价金额与按单价汇总金额不一致的，以单价金额计算结果为准。</w:t>
      </w:r>
    </w:p>
    <w:p w14:paraId="40AE7FF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同时出现两种以上不一致的，按照以上（1）-（4）规定的顺序逐条进行修正。修正后的报价经供应商确认后产生约束力，供应商不确认的，其响应文件按无效响应处理。</w:t>
      </w:r>
    </w:p>
    <w:p w14:paraId="01707948">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15.2.5磋商小组成员应当按照客观、公正、审慎的原则，根据第四章“评审程序、评审方法和评审标准”进行独立评审。磋商小组对响应文件进行评审，未实质性响应竞争性磋商文件的响应文件按无效响应处理，由磋商小组告知提交响应文件的供应商。</w:t>
      </w:r>
    </w:p>
    <w:p w14:paraId="52E9825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15.2.6通过符合性审查的合格供应商不足3家的，不得进入磋商环节，采购人或采购代理机构应当重新开展采购活动。</w:t>
      </w:r>
    </w:p>
    <w:p w14:paraId="633B275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16.磋商</w:t>
      </w:r>
    </w:p>
    <w:p w14:paraId="6F621092">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16.1磋商小组按照“供应商须知前附表”确定的顺序，集中与单一供应商分别进行磋商，并予所有参加磋商的供应商平等的磋商机会。符合磋商资格的供应商必须实时关注广西政府采购云平台</w:t>
      </w:r>
      <w:r>
        <w:rPr>
          <w:rFonts w:hint="eastAsia" w:ascii="宋体" w:hAnsi="宋体" w:cs="宋体"/>
          <w:bCs/>
          <w:color w:val="auto"/>
          <w:szCs w:val="21"/>
          <w:highlight w:val="none"/>
        </w:rPr>
        <w:tab/>
      </w:r>
      <w:r>
        <w:rPr>
          <w:rFonts w:hint="eastAsia" w:ascii="宋体" w:hAnsi="宋体" w:cs="宋体"/>
          <w:bCs/>
          <w:color w:val="auto"/>
          <w:szCs w:val="21"/>
          <w:highlight w:val="none"/>
        </w:rPr>
        <w:t>（https://www.gcy.zfcg.gxzf.gov.cn/）开标信息，在接到磋商通知后规定时间内参加磋商，未在规定时间内参加磋商的视同放弃参加磋商权利，其响应文件按无效响应处理。</w:t>
      </w:r>
    </w:p>
    <w:p w14:paraId="20229F90">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16.2在磋商过程中，磋商小组可以根据磋商文件和磋商情况实质性变动采购需求中的技术、服务要求以及合同草案条款，但不得变动磋商文件中的其他内容。实质性变动的内容，须经采购人代表确认。可能实质性变动的内容详见“供应商须知前附表”。</w:t>
      </w:r>
    </w:p>
    <w:p w14:paraId="6B5007C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16.3对竞争性磋商文件作出的实质性变动是竞争性磋商文件的有效组成部分，由磋商小组及时以书面形式同时通知所有参加磋商的供应商。</w:t>
      </w:r>
    </w:p>
    <w:p w14:paraId="7847BE39">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16.4供应商必须按照磋商文件的变动情况和磋商小组的要求重新提交响应文件，并由其法定代表人或者授权代表签字或者加盖CA签章在广西政府采购云平台（https://www.gcy.zfcg.gxzf.gov.cn/）提交。由委托代理人签字的，若委托代理人不是响应文件中授权的委托代理人时，必须同时出示有效的法定代表人授权委托书原件。供应商为自然人的，必须由本人签字并附身份证明。参加磋商的供应商未在规定时间内重新提交响应文件的，视同退出磋商。</w:t>
      </w:r>
    </w:p>
    <w:p w14:paraId="73599BFF">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16.5磋商中，磋商的任何一方不得透露与磋商有关的其他供应商的技术资料、价格和其他信息。</w:t>
      </w:r>
    </w:p>
    <w:p w14:paraId="4FC27940">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16.6采购代理机构对磋商过程和重要磋商内容进行记录，磋商双方应在记录上签字确认。</w:t>
      </w:r>
    </w:p>
    <w:p w14:paraId="72B27094">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16.7磋商过程中重新提交的响应文件，供应商可以在开启前补充、修改。</w:t>
      </w:r>
    </w:p>
    <w:p w14:paraId="4295BFEC">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16.8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05F098C7">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16.9对磋商过程提交的响应文件进行有效性、完整性和响应程度审查，通过审查的合格供应商不足3家的，除本须知正文第16.8条的情形外，采购人或采购代理机构应当重新开展采购活动。</w:t>
      </w:r>
    </w:p>
    <w:p w14:paraId="7A21CE2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16.10本项目所有响应文件的首次报价及所有磋商报价均不公布。最后磋商结束后，磋商小组不得再与供应商进行任何形式的商谈。</w:t>
      </w:r>
    </w:p>
    <w:p w14:paraId="7DEF83E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17.最后报价</w:t>
      </w:r>
    </w:p>
    <w:p w14:paraId="68A493A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17.1磋商文件能够详细列明采购标的的技术、服务要求的，磋商结束后，由磋商小组要求所有继续参加磋商的供应商在规定时间内在广西政府采购云平台（https://www.gcy.zfcg.gxzf.gov.cn/）提交最后报价，提交最后报价的供应商不得少于3家，除本章第4.3条外，否则必须重新采购。</w:t>
      </w:r>
    </w:p>
    <w:p w14:paraId="0CC254C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https://www.gcy.zfcg.gxzf.gov.cn/）提交最后报价。</w:t>
      </w:r>
    </w:p>
    <w:p w14:paraId="163C071B">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①最后报价与首次报价相比无调整的：供应商提交的最后报价只须注明与首次报价相同。</w:t>
      </w:r>
    </w:p>
    <w:p w14:paraId="17E946F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②最后报价与首次报价相比有调整的：供应商提交的最后报价必须包含已标价的工程量清单，即最后报价是工程量清单全部工作内容的价格体现，具体包括供应商部分（分部分项工程量清单费用、措施项目清单费用、规费、税金、其它项目）和采购人部分（暂列金、材料购置费）（如有）等完成本工程并经验收合格至达到质量保修期限所需的费用、合理利润及风险。如磋商文件或磋商程中明确供应商应提供技术服务及其它服务的（如检测费、验收发生的费用），相应费用也应包括在最后报价中。最后报价不允许采用汇总后优惠、打折的形式，否则其报价无效并作无效响应处理。供应商在报价时可只报总价，但必须将包含已标价工程量清单的最后报价在规定时间内在广西政府采购云平台（https://www.gcy.zfcg.gxzf.gov.cn/）提交，逾期视为放弃磋商资格、退出磋商。</w:t>
      </w:r>
    </w:p>
    <w:p w14:paraId="6B5529E1">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17.3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3D349200">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17.4已经提交响应文件的供应商，在提交最后报价之前，可以根据磋商情况退出磋商，退出磋商的供应商的响应文件按无效响应处理。采购人、采购代理机构将退还退出磋商的供应商的保证金。</w:t>
      </w:r>
    </w:p>
    <w:p w14:paraId="24D1EE2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17.5供应商未在规定时间内提交最后报价的，视同退出磋商。</w:t>
      </w:r>
    </w:p>
    <w:p w14:paraId="24AB2EEF">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17.6磋商小组收齐某一分标最后报价后统一开启，磋商小组对最后报价进行有效性、完整性和响应程度的审查。</w:t>
      </w:r>
    </w:p>
    <w:p w14:paraId="56344098">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17.7响应文件最后报价出现前后不一致的，按照本正文第25.2.4条的规定修正。</w:t>
      </w:r>
    </w:p>
    <w:p w14:paraId="2D9EE2C8">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17.8修正后的报价出现下列情形的，按无效响应处理：</w:t>
      </w:r>
    </w:p>
    <w:p w14:paraId="436EEB26">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（1）供应商不确认的；</w:t>
      </w:r>
    </w:p>
    <w:p w14:paraId="113FD824">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（2）经供应商确认修正后的竞标报价（包含首次报价、最后报价）超过所竞标规定的采购预算金额或者最高限价的（如本项目公布了最高限价）；</w:t>
      </w:r>
    </w:p>
    <w:p w14:paraId="59538D8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（3）经供应商确认修正后的竞标报价（包含首次报价、最后报价）超过分项采购预算金额或者最高限价的（如本项目公布了最高限价）。</w:t>
      </w:r>
    </w:p>
    <w:p w14:paraId="756A6E6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17.9经供应商确认修正后的最后报价作为评审及签订合同的依据。</w:t>
      </w:r>
    </w:p>
    <w:p w14:paraId="0F1B56B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17.10最后报价结束后，磋商小组不得再与供应商进行任何形式的商谈。</w:t>
      </w:r>
    </w:p>
    <w:p w14:paraId="26DB7657">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18.比较与评价</w:t>
      </w:r>
    </w:p>
    <w:p w14:paraId="4C57ADB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18.1评审方法：综合评分法。</w:t>
      </w:r>
    </w:p>
    <w:p w14:paraId="5AB10619">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18.2经磋商确定最终采购需求和提交最后报价的供应商后，由磋商小组采用综合评分法对提交最后报价的供应商的响应文件和最后报价进行综合评分。详见第四章“评审程序、评审方法和评审标准”。</w:t>
      </w:r>
    </w:p>
    <w:p w14:paraId="5443D023">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18.3评审时，磋商小组各成员应当独立对每个有效的响应文件进行评价、打分，然后汇总每个供应商每项评分因素的得分。</w:t>
      </w:r>
    </w:p>
    <w:p w14:paraId="4894AD80">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（1）磋商小组按照竞争性磋商文件中规定的评审标准计算各供应商的报价得分。项目评审过程中，不得去掉最后报价中的最高报价和最低报价。</w:t>
      </w:r>
    </w:p>
    <w:p w14:paraId="0AD0D8B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（2）各供应商的得分为磋商小组所有成员的有效评分的算术平均数。</w:t>
      </w:r>
    </w:p>
    <w:p w14:paraId="09170727">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18.4评审价为供应商的最后报价进行政策性扣除后的价格，评审价只是作为评审时使用。最终成交供应商的成交金额等于最后报价（如有修正，以确认修正后的最后报价为准）。</w:t>
      </w:r>
    </w:p>
    <w:p w14:paraId="537A23C1">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18.5由磋商小组根据综合评分情况，按照评审得分由高到低顺序推荐3名以上成交候选供应商，并编写评审报告。符合本须知正文第17.3条情形的，可以推荐2家成交候选供应商。评审得分相同的，按照最后报价由低到高的顺序推荐。评审得分且最后报价相同的，按照技术指标优劣顺序推荐。</w:t>
      </w:r>
    </w:p>
    <w:p w14:paraId="0FBA92FC">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03A5884B">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特别说明：广西政府采购云平台公司如对电子化磋商及评审程序有调整的，按调整后的程序操作。</w:t>
      </w:r>
    </w:p>
    <w:p w14:paraId="006A6850">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18.6采购过程中出现以下情形，导致电子交易平台无法正常运行，或者无法保证电子交易的公平、公正和安全时，采购组织机构可中止电子交易活动：</w:t>
      </w:r>
    </w:p>
    <w:p w14:paraId="0D3067FC">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18.6.1电子交易平台发生故障而无法登录访问的；</w:t>
      </w:r>
    </w:p>
    <w:p w14:paraId="1511D464">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18.6.2电子交易平台应用或数据库出现错误，不能进行正常操作的；</w:t>
      </w:r>
    </w:p>
    <w:p w14:paraId="680DB4E3">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18.6.3电子交易平台发现严重安全漏洞，有潜在泄密危险的；</w:t>
      </w:r>
    </w:p>
    <w:p w14:paraId="70E165A1">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18.6.4病毒发作导致不能进行正常操作的；</w:t>
      </w:r>
    </w:p>
    <w:p w14:paraId="1204CF12">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18.6.5其他无法保证电子交易的公平、公正和安全的情况。</w:t>
      </w:r>
    </w:p>
    <w:p w14:paraId="5D88A97F">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18.6.6出现前款规定情形，不影响采购公平、公正性的，采购组织机构可以待上述情形消除后继续组织电子交易活动，也可以决定某些环节以纸质形式进行；影响或可能影响采购公平、公正性的，应当重新采购。</w:t>
      </w:r>
    </w:p>
    <w:p w14:paraId="5EDB63AC">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六、确定成交供应商办法及结果公告</w:t>
      </w:r>
    </w:p>
    <w:p w14:paraId="218BA4F6">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19.1采购代理机构应当在评审结束后2个工作日内将评审报告送采购人确认。采购人应当在收到评审报告后2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0544454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19.2采购代理机构应当在成交供应商确定后2个工作日内，在省级以上财政部门指定的媒体上公告成交结果，同时向成交供应商发出成交通知书。采购人或采购代理机构发出成交通知书前，应当对成交供应商信用进行查询，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竞争性磋商文件一并保存。</w:t>
      </w:r>
    </w:p>
    <w:p w14:paraId="2722EC25">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19.3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01CA0D21">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19.4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3F665B9E">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七、履约保证金</w:t>
      </w:r>
    </w:p>
    <w:p w14:paraId="54D591D1">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20.履约保证金：详见须知前附表。</w:t>
      </w:r>
    </w:p>
    <w:p w14:paraId="2047F278">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八、签订合同</w:t>
      </w:r>
    </w:p>
    <w:p w14:paraId="032D9C85">
      <w:pPr>
        <w:spacing w:line="360" w:lineRule="auto"/>
        <w:ind w:firstLine="420" w:firstLineChars="200"/>
        <w:rPr>
          <w:rFonts w:hint="eastAsia" w:ascii="宋体" w:hAnsi="宋体" w:cs="宋体"/>
          <w:color w:val="auto"/>
          <w:highlight w:val="none"/>
        </w:rPr>
      </w:pPr>
      <w:r>
        <w:rPr>
          <w:rFonts w:hint="eastAsia" w:ascii="宋体" w:hAnsi="宋体" w:cs="宋体"/>
          <w:bCs/>
          <w:color w:val="auto"/>
          <w:szCs w:val="21"/>
          <w:highlight w:val="none"/>
        </w:rPr>
        <w:t>21.1成交供应商在收到成交通知书后，按规定与采购人签订采购合同。采购代理机构将在评标结束2个工作日内将评标结果送采购人，采购人在2个工作日内按照采购结果报告中推荐的排名第一的成交候选供应商为成交人。对中标、成交结果公告无异议的项目在中标、成交通知书发出之日起25日内和中标、成交供应商签订政府采购合同，倡导各采购人尽量压缩合同签订时间。</w:t>
      </w:r>
    </w:p>
    <w:p w14:paraId="07DA5344">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21.2成交供应商拒绝签订采购合同的，采购人可以按本项目确定成交供应商办法确定其他供应商作为成交供应商并签订采购合同，也可以重新开展采购活动。拒绝签订采购合同的成交供应商不得参加对该项目重新开展的采购活动。</w:t>
      </w:r>
    </w:p>
    <w:p w14:paraId="5DB90CFA">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九、政府采购合同公告</w:t>
      </w:r>
    </w:p>
    <w:p w14:paraId="1F33C946">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22.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20BD53A7">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十、适用法律</w:t>
      </w:r>
    </w:p>
    <w:p w14:paraId="1A3F039D">
      <w:pPr>
        <w:spacing w:line="360" w:lineRule="auto"/>
        <w:ind w:firstLine="420" w:firstLineChars="200"/>
        <w:jc w:val="distribute"/>
        <w:rPr>
          <w:rFonts w:hint="eastAsia" w:ascii="宋体" w:hAnsi="宋体" w:cs="宋体"/>
          <w:bCs/>
          <w:color w:val="auto"/>
          <w:szCs w:val="21"/>
          <w:highlight w:val="none"/>
        </w:rPr>
      </w:pPr>
      <w:r>
        <w:rPr>
          <w:rFonts w:hint="eastAsia" w:ascii="宋体" w:hAnsi="宋体" w:cs="宋体"/>
          <w:bCs/>
          <w:color w:val="auto"/>
          <w:szCs w:val="21"/>
          <w:highlight w:val="none"/>
        </w:rPr>
        <w:t>23.本项目适用于《中华人民共和国政府采购法》《中华人民共和国政府采购法实施条例》</w:t>
      </w:r>
    </w:p>
    <w:p w14:paraId="7E7A5E9F">
      <w:pPr>
        <w:spacing w:line="360" w:lineRule="auto"/>
        <w:rPr>
          <w:rFonts w:hint="eastAsia" w:ascii="宋体" w:hAnsi="宋体" w:cs="宋体"/>
          <w:bCs/>
          <w:color w:val="auto"/>
          <w:szCs w:val="21"/>
          <w:highlight w:val="none"/>
        </w:rPr>
      </w:pPr>
      <w:r>
        <w:rPr>
          <w:rFonts w:hint="eastAsia" w:ascii="宋体" w:hAnsi="宋体" w:cs="宋体"/>
          <w:bCs/>
          <w:color w:val="auto"/>
          <w:szCs w:val="21"/>
          <w:highlight w:val="none"/>
        </w:rPr>
        <w:t>《政府采购竞争性磋商采购方式管理暂行办法》《财政部关于政府采购竞争性磋商采购方式管理暂行办法有关问题的补充通知》及本项目本级和上级财政部门政府采购有关规定。</w:t>
      </w:r>
    </w:p>
    <w:p w14:paraId="378CE9A1">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十一、其他事项</w:t>
      </w:r>
    </w:p>
    <w:p w14:paraId="33EBA6AC">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24.1招标代理服务费</w:t>
      </w:r>
    </w:p>
    <w:p w14:paraId="7265DE83">
      <w:pPr>
        <w:pStyle w:val="14"/>
        <w:snapToGrid w:val="0"/>
        <w:spacing w:line="360" w:lineRule="auto"/>
        <w:ind w:firstLine="420" w:firstLineChars="200"/>
        <w:rPr>
          <w:rFonts w:hint="eastAsia" w:hAnsi="宋体" w:cs="宋体"/>
          <w:bCs/>
          <w:color w:val="auto"/>
          <w:highlight w:val="none"/>
        </w:rPr>
      </w:pPr>
      <w:r>
        <w:rPr>
          <w:rFonts w:hint="eastAsia" w:hAnsi="宋体" w:cs="宋体"/>
          <w:color w:val="auto"/>
          <w:highlight w:val="none"/>
        </w:rPr>
        <w:t>按差额定率累进法，参照《招标代理服务收费管理暂行办法》计价格[2002]1980号文和发改价格[2011]534号工程类标准计算，向成交人计取。成交人在领取成交通知书前，一次性向采购代理机构支付</w:t>
      </w:r>
      <w:r>
        <w:rPr>
          <w:rFonts w:hint="eastAsia" w:hAnsi="宋体" w:cs="宋体"/>
          <w:bCs/>
          <w:color w:val="auto"/>
          <w:highlight w:val="none"/>
        </w:rPr>
        <w:t>。</w:t>
      </w:r>
    </w:p>
    <w:p w14:paraId="4916331D">
      <w:pPr>
        <w:pStyle w:val="14"/>
        <w:snapToGrid w:val="0"/>
        <w:spacing w:line="360" w:lineRule="auto"/>
        <w:ind w:firstLine="420" w:firstLineChars="200"/>
        <w:rPr>
          <w:rFonts w:hint="eastAsia" w:hAnsi="宋体" w:cs="宋体"/>
          <w:bCs/>
          <w:color w:val="auto"/>
          <w:highlight w:val="none"/>
        </w:rPr>
      </w:pPr>
      <w:r>
        <w:rPr>
          <w:rFonts w:hint="eastAsia" w:hAnsi="宋体" w:cs="宋体"/>
          <w:bCs/>
          <w:color w:val="auto"/>
          <w:highlight w:val="none"/>
        </w:rPr>
        <w:t>代理服务费专用账户：</w:t>
      </w:r>
    </w:p>
    <w:p w14:paraId="355B24A7">
      <w:pPr>
        <w:pStyle w:val="14"/>
        <w:snapToGrid w:val="0"/>
        <w:spacing w:line="360" w:lineRule="auto"/>
        <w:rPr>
          <w:rFonts w:hint="eastAsia" w:hAnsi="宋体" w:eastAsia="宋体" w:cs="宋体"/>
          <w:color w:val="auto"/>
          <w:highlight w:val="none"/>
          <w:lang w:eastAsia="zh-CN"/>
        </w:rPr>
      </w:pPr>
      <w:r>
        <w:rPr>
          <w:rFonts w:hint="eastAsia" w:hAnsi="宋体" w:cs="宋体"/>
          <w:color w:val="auto"/>
          <w:highlight w:val="none"/>
        </w:rPr>
        <w:t>开户名称：</w:t>
      </w:r>
      <w:r>
        <w:rPr>
          <w:rFonts w:hint="eastAsia" w:hAnsi="宋体" w:cs="宋体"/>
          <w:color w:val="auto"/>
          <w:highlight w:val="none"/>
          <w:lang w:eastAsia="zh-CN"/>
        </w:rPr>
        <w:t>广西荣胜项目管理有限公司灵山分公司</w:t>
      </w:r>
    </w:p>
    <w:p w14:paraId="468C61F1">
      <w:pPr>
        <w:pStyle w:val="14"/>
        <w:snapToGrid w:val="0"/>
        <w:spacing w:line="360" w:lineRule="auto"/>
        <w:rPr>
          <w:rFonts w:hint="eastAsia" w:hAnsi="宋体" w:eastAsia="宋体" w:cs="宋体"/>
          <w:color w:val="auto"/>
          <w:highlight w:val="none"/>
          <w:lang w:eastAsia="zh-CN"/>
        </w:rPr>
      </w:pPr>
      <w:r>
        <w:rPr>
          <w:rFonts w:hint="eastAsia" w:hAnsi="宋体" w:cs="宋体"/>
          <w:color w:val="auto"/>
          <w:highlight w:val="none"/>
        </w:rPr>
        <w:t>账  号：</w:t>
      </w:r>
      <w:r>
        <w:rPr>
          <w:rFonts w:hint="eastAsia" w:hAnsi="宋体" w:cs="宋体"/>
          <w:color w:val="auto"/>
          <w:highlight w:val="none"/>
          <w:lang w:eastAsia="zh-CN"/>
        </w:rPr>
        <w:t>811712010121967396</w:t>
      </w:r>
    </w:p>
    <w:p w14:paraId="337FC22B">
      <w:pPr>
        <w:pStyle w:val="14"/>
        <w:snapToGrid w:val="0"/>
        <w:spacing w:line="360" w:lineRule="auto"/>
        <w:rPr>
          <w:rFonts w:hint="eastAsia" w:hAnsi="宋体" w:eastAsia="宋体" w:cs="宋体"/>
          <w:color w:val="auto"/>
          <w:highlight w:val="none"/>
          <w:lang w:eastAsia="zh-CN"/>
        </w:rPr>
      </w:pPr>
      <w:r>
        <w:rPr>
          <w:rFonts w:hint="eastAsia" w:hAnsi="宋体" w:cs="宋体"/>
          <w:color w:val="auto"/>
          <w:highlight w:val="none"/>
        </w:rPr>
        <w:t>开户行：</w:t>
      </w:r>
      <w:r>
        <w:rPr>
          <w:rFonts w:hint="eastAsia" w:hAnsi="宋体" w:cs="宋体"/>
          <w:color w:val="auto"/>
          <w:highlight w:val="none"/>
          <w:lang w:eastAsia="zh-CN"/>
        </w:rPr>
        <w:t>灵山县农村信用合作联社平山信用社</w:t>
      </w:r>
    </w:p>
    <w:p w14:paraId="07317689">
      <w:pPr>
        <w:pStyle w:val="14"/>
        <w:snapToGrid w:val="0"/>
        <w:spacing w:line="360" w:lineRule="auto"/>
        <w:ind w:firstLine="420" w:firstLineChars="200"/>
        <w:rPr>
          <w:rFonts w:hint="eastAsia" w:hAnsi="宋体" w:cs="宋体"/>
          <w:bCs/>
          <w:color w:val="auto"/>
          <w:highlight w:val="none"/>
        </w:rPr>
      </w:pPr>
      <w:r>
        <w:rPr>
          <w:rFonts w:hint="eastAsia" w:hAnsi="宋体" w:cs="宋体"/>
          <w:bCs/>
          <w:color w:val="auto"/>
          <w:highlight w:val="none"/>
        </w:rPr>
        <w:t>代理服务费收费计算标准：</w:t>
      </w:r>
    </w:p>
    <w:tbl>
      <w:tblPr>
        <w:tblStyle w:val="59"/>
        <w:tblW w:w="827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02"/>
        <w:gridCol w:w="1591"/>
        <w:gridCol w:w="1591"/>
        <w:gridCol w:w="1593"/>
      </w:tblGrid>
      <w:tr w14:paraId="31139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4" w:hRule="atLeast"/>
          <w:jc w:val="center"/>
        </w:trPr>
        <w:tc>
          <w:tcPr>
            <w:tcW w:w="3502" w:type="dxa"/>
            <w:tcBorders>
              <w:tl2br w:val="single" w:color="000000" w:sz="4" w:space="0"/>
            </w:tcBorders>
            <w:vAlign w:val="center"/>
          </w:tcPr>
          <w:p w14:paraId="0F9D08EA">
            <w:pPr>
              <w:spacing w:line="360" w:lineRule="auto"/>
              <w:ind w:left="1702"/>
              <w:jc w:val="center"/>
              <w:rPr>
                <w:rFonts w:hint="eastAsia" w:ascii="宋体" w:hAnsi="宋体" w:cs="宋体"/>
                <w:color w:val="auto"/>
                <w:szCs w:val="21"/>
                <w:highlight w:val="none"/>
              </w:rPr>
            </w:pPr>
            <w:r>
              <w:rPr>
                <w:rFonts w:ascii="宋体" w:hAnsi="宋体" w:cs="宋体"/>
                <w:color w:val="auto"/>
                <w:szCs w:val="21"/>
                <w:highlight w:val="none"/>
              </w:rPr>
              <w:t>费率</w:t>
            </w:r>
          </w:p>
          <w:p w14:paraId="166BB3C1">
            <w:pPr>
              <w:spacing w:line="360" w:lineRule="auto"/>
              <w:ind w:left="118"/>
              <w:jc w:val="center"/>
              <w:rPr>
                <w:rFonts w:hint="eastAsia" w:ascii="宋体" w:hAnsi="宋体" w:cs="宋体"/>
                <w:color w:val="auto"/>
                <w:szCs w:val="21"/>
                <w:highlight w:val="none"/>
              </w:rPr>
            </w:pPr>
            <w:r>
              <w:rPr>
                <w:rFonts w:ascii="宋体" w:hAnsi="宋体" w:cs="宋体"/>
                <w:color w:val="auto"/>
                <w:szCs w:val="21"/>
                <w:highlight w:val="none"/>
              </w:rPr>
              <w:t>金额</w:t>
            </w:r>
          </w:p>
        </w:tc>
        <w:tc>
          <w:tcPr>
            <w:tcW w:w="1591" w:type="dxa"/>
            <w:vAlign w:val="center"/>
          </w:tcPr>
          <w:p w14:paraId="3CDBB62D">
            <w:pPr>
              <w:spacing w:line="360" w:lineRule="auto"/>
              <w:ind w:left="578"/>
              <w:rPr>
                <w:rFonts w:hint="eastAsia" w:ascii="宋体" w:hAnsi="宋体" w:cs="宋体"/>
                <w:color w:val="auto"/>
                <w:szCs w:val="21"/>
                <w:highlight w:val="none"/>
              </w:rPr>
            </w:pPr>
            <w:r>
              <w:rPr>
                <w:rFonts w:ascii="宋体" w:hAnsi="宋体" w:cs="宋体"/>
                <w:color w:val="auto"/>
                <w:szCs w:val="21"/>
                <w:highlight w:val="none"/>
              </w:rPr>
              <w:t>货物类</w:t>
            </w:r>
          </w:p>
        </w:tc>
        <w:tc>
          <w:tcPr>
            <w:tcW w:w="1591" w:type="dxa"/>
            <w:vAlign w:val="center"/>
          </w:tcPr>
          <w:p w14:paraId="53E8A5A0">
            <w:pPr>
              <w:spacing w:line="360" w:lineRule="auto"/>
              <w:ind w:left="458"/>
              <w:rPr>
                <w:rFonts w:hint="eastAsia" w:ascii="宋体" w:hAnsi="宋体" w:cs="宋体"/>
                <w:color w:val="auto"/>
                <w:szCs w:val="21"/>
                <w:highlight w:val="none"/>
              </w:rPr>
            </w:pPr>
            <w:r>
              <w:rPr>
                <w:rFonts w:ascii="宋体" w:hAnsi="宋体" w:cs="宋体"/>
                <w:color w:val="auto"/>
                <w:szCs w:val="21"/>
                <w:highlight w:val="none"/>
              </w:rPr>
              <w:t>服务类</w:t>
            </w:r>
          </w:p>
        </w:tc>
        <w:tc>
          <w:tcPr>
            <w:tcW w:w="1593" w:type="dxa"/>
            <w:vAlign w:val="center"/>
          </w:tcPr>
          <w:p w14:paraId="1F26DDB1">
            <w:pPr>
              <w:spacing w:line="360" w:lineRule="auto"/>
              <w:ind w:left="468"/>
              <w:rPr>
                <w:rFonts w:hint="eastAsia" w:ascii="宋体" w:hAnsi="宋体" w:cs="宋体"/>
                <w:color w:val="auto"/>
                <w:szCs w:val="21"/>
                <w:highlight w:val="none"/>
              </w:rPr>
            </w:pPr>
            <w:r>
              <w:rPr>
                <w:rFonts w:ascii="宋体" w:hAnsi="宋体" w:cs="宋体"/>
                <w:color w:val="auto"/>
                <w:szCs w:val="21"/>
                <w:highlight w:val="none"/>
              </w:rPr>
              <w:t>工程类</w:t>
            </w:r>
          </w:p>
        </w:tc>
      </w:tr>
      <w:tr w14:paraId="07B7A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3502" w:type="dxa"/>
            <w:vAlign w:val="center"/>
          </w:tcPr>
          <w:p w14:paraId="58BD0DBA">
            <w:pPr>
              <w:spacing w:line="360" w:lineRule="auto"/>
              <w:ind w:left="131"/>
              <w:jc w:val="center"/>
              <w:rPr>
                <w:rFonts w:hint="eastAsia" w:ascii="宋体" w:hAnsi="宋体" w:cs="宋体"/>
                <w:color w:val="auto"/>
                <w:szCs w:val="21"/>
                <w:highlight w:val="none"/>
              </w:rPr>
            </w:pPr>
            <w:r>
              <w:rPr>
                <w:rFonts w:ascii="宋体" w:hAnsi="宋体" w:cs="宋体"/>
                <w:color w:val="auto"/>
                <w:szCs w:val="21"/>
                <w:highlight w:val="none"/>
              </w:rPr>
              <w:t>100万元以下</w:t>
            </w:r>
          </w:p>
        </w:tc>
        <w:tc>
          <w:tcPr>
            <w:tcW w:w="1591" w:type="dxa"/>
            <w:vAlign w:val="center"/>
          </w:tcPr>
          <w:p w14:paraId="67C46F56">
            <w:pPr>
              <w:spacing w:line="360" w:lineRule="auto"/>
              <w:ind w:left="339"/>
              <w:jc w:val="center"/>
              <w:rPr>
                <w:rFonts w:hint="eastAsia" w:ascii="宋体" w:hAnsi="宋体" w:cs="宋体"/>
                <w:color w:val="auto"/>
                <w:szCs w:val="21"/>
                <w:highlight w:val="none"/>
              </w:rPr>
            </w:pPr>
            <w:r>
              <w:rPr>
                <w:rFonts w:ascii="宋体" w:hAnsi="宋体" w:cs="宋体"/>
                <w:color w:val="auto"/>
                <w:szCs w:val="21"/>
                <w:highlight w:val="none"/>
              </w:rPr>
              <w:t>1.5%</w:t>
            </w:r>
          </w:p>
        </w:tc>
        <w:tc>
          <w:tcPr>
            <w:tcW w:w="1591" w:type="dxa"/>
            <w:vAlign w:val="center"/>
          </w:tcPr>
          <w:p w14:paraId="75F01D1E">
            <w:pPr>
              <w:spacing w:line="360" w:lineRule="auto"/>
              <w:ind w:left="339"/>
              <w:jc w:val="center"/>
              <w:rPr>
                <w:rFonts w:hint="eastAsia" w:ascii="宋体" w:hAnsi="宋体" w:cs="宋体"/>
                <w:color w:val="auto"/>
                <w:szCs w:val="21"/>
                <w:highlight w:val="none"/>
              </w:rPr>
            </w:pPr>
            <w:r>
              <w:rPr>
                <w:rFonts w:ascii="宋体" w:hAnsi="宋体" w:cs="宋体"/>
                <w:color w:val="auto"/>
                <w:szCs w:val="21"/>
                <w:highlight w:val="none"/>
              </w:rPr>
              <w:t>1.5%</w:t>
            </w:r>
          </w:p>
        </w:tc>
        <w:tc>
          <w:tcPr>
            <w:tcW w:w="1593" w:type="dxa"/>
            <w:vAlign w:val="center"/>
          </w:tcPr>
          <w:p w14:paraId="1799F0CD">
            <w:pPr>
              <w:spacing w:line="360" w:lineRule="auto"/>
              <w:ind w:left="342"/>
              <w:jc w:val="center"/>
              <w:rPr>
                <w:rFonts w:hint="eastAsia" w:ascii="宋体" w:hAnsi="宋体" w:cs="宋体"/>
                <w:color w:val="auto"/>
                <w:szCs w:val="21"/>
                <w:highlight w:val="none"/>
              </w:rPr>
            </w:pPr>
            <w:r>
              <w:rPr>
                <w:rFonts w:ascii="宋体" w:hAnsi="宋体" w:cs="宋体"/>
                <w:color w:val="auto"/>
                <w:szCs w:val="21"/>
                <w:highlight w:val="none"/>
              </w:rPr>
              <w:t>1.0%</w:t>
            </w:r>
          </w:p>
        </w:tc>
      </w:tr>
      <w:tr w14:paraId="07BF8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3502" w:type="dxa"/>
            <w:vAlign w:val="center"/>
          </w:tcPr>
          <w:p w14:paraId="2B9B774B">
            <w:pPr>
              <w:spacing w:line="360" w:lineRule="auto"/>
              <w:ind w:left="131"/>
              <w:jc w:val="center"/>
              <w:rPr>
                <w:rFonts w:hint="eastAsia" w:ascii="宋体" w:hAnsi="宋体" w:cs="宋体"/>
                <w:color w:val="auto"/>
                <w:szCs w:val="21"/>
                <w:highlight w:val="none"/>
              </w:rPr>
            </w:pPr>
            <w:r>
              <w:rPr>
                <w:rFonts w:ascii="宋体" w:hAnsi="宋体" w:cs="宋体"/>
                <w:color w:val="auto"/>
                <w:szCs w:val="21"/>
                <w:highlight w:val="none"/>
              </w:rPr>
              <w:t>100</w:t>
            </w:r>
            <w:r>
              <w:rPr>
                <w:rFonts w:hint="eastAsia" w:ascii="宋体" w:hAnsi="宋体" w:cs="宋体"/>
                <w:color w:val="auto"/>
                <w:szCs w:val="21"/>
                <w:highlight w:val="none"/>
              </w:rPr>
              <w:t>～</w:t>
            </w:r>
            <w:r>
              <w:rPr>
                <w:rFonts w:ascii="宋体" w:hAnsi="宋体" w:cs="宋体"/>
                <w:color w:val="auto"/>
                <w:szCs w:val="21"/>
                <w:highlight w:val="none"/>
              </w:rPr>
              <w:t>500万元</w:t>
            </w:r>
          </w:p>
        </w:tc>
        <w:tc>
          <w:tcPr>
            <w:tcW w:w="1591" w:type="dxa"/>
            <w:vAlign w:val="center"/>
          </w:tcPr>
          <w:p w14:paraId="063C450D">
            <w:pPr>
              <w:spacing w:line="360" w:lineRule="auto"/>
              <w:ind w:left="339"/>
              <w:jc w:val="center"/>
              <w:rPr>
                <w:rFonts w:hint="eastAsia" w:ascii="宋体" w:hAnsi="宋体" w:cs="宋体"/>
                <w:color w:val="auto"/>
                <w:szCs w:val="21"/>
                <w:highlight w:val="none"/>
              </w:rPr>
            </w:pPr>
            <w:r>
              <w:rPr>
                <w:rFonts w:ascii="宋体" w:hAnsi="宋体" w:cs="宋体"/>
                <w:color w:val="auto"/>
                <w:szCs w:val="21"/>
                <w:highlight w:val="none"/>
              </w:rPr>
              <w:t>1.1%</w:t>
            </w:r>
          </w:p>
        </w:tc>
        <w:tc>
          <w:tcPr>
            <w:tcW w:w="1591" w:type="dxa"/>
            <w:vAlign w:val="center"/>
          </w:tcPr>
          <w:p w14:paraId="5131BE2A">
            <w:pPr>
              <w:spacing w:line="360" w:lineRule="auto"/>
              <w:ind w:left="326"/>
              <w:jc w:val="center"/>
              <w:rPr>
                <w:rFonts w:hint="eastAsia" w:ascii="宋体" w:hAnsi="宋体" w:cs="宋体"/>
                <w:color w:val="auto"/>
                <w:szCs w:val="21"/>
                <w:highlight w:val="none"/>
              </w:rPr>
            </w:pPr>
            <w:r>
              <w:rPr>
                <w:rFonts w:ascii="宋体" w:hAnsi="宋体" w:cs="宋体"/>
                <w:color w:val="auto"/>
                <w:szCs w:val="21"/>
                <w:highlight w:val="none"/>
              </w:rPr>
              <w:t>0.8%</w:t>
            </w:r>
          </w:p>
        </w:tc>
        <w:tc>
          <w:tcPr>
            <w:tcW w:w="1593" w:type="dxa"/>
            <w:vAlign w:val="center"/>
          </w:tcPr>
          <w:p w14:paraId="7C59452B">
            <w:pPr>
              <w:spacing w:line="360" w:lineRule="auto"/>
              <w:ind w:left="328"/>
              <w:jc w:val="center"/>
              <w:rPr>
                <w:rFonts w:hint="eastAsia" w:ascii="宋体" w:hAnsi="宋体" w:cs="宋体"/>
                <w:color w:val="auto"/>
                <w:szCs w:val="21"/>
                <w:highlight w:val="none"/>
              </w:rPr>
            </w:pPr>
            <w:r>
              <w:rPr>
                <w:rFonts w:ascii="宋体" w:hAnsi="宋体" w:cs="宋体"/>
                <w:color w:val="auto"/>
                <w:szCs w:val="21"/>
                <w:highlight w:val="none"/>
              </w:rPr>
              <w:t>0.7%</w:t>
            </w:r>
          </w:p>
        </w:tc>
      </w:tr>
      <w:tr w14:paraId="71007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3502" w:type="dxa"/>
            <w:vAlign w:val="center"/>
          </w:tcPr>
          <w:p w14:paraId="5907CA9A">
            <w:pPr>
              <w:spacing w:line="360" w:lineRule="auto"/>
              <w:ind w:left="120"/>
              <w:jc w:val="center"/>
              <w:rPr>
                <w:rFonts w:hint="eastAsia" w:ascii="宋体" w:hAnsi="宋体" w:cs="宋体"/>
                <w:color w:val="auto"/>
                <w:szCs w:val="21"/>
                <w:highlight w:val="none"/>
              </w:rPr>
            </w:pPr>
            <w:r>
              <w:rPr>
                <w:rFonts w:ascii="宋体" w:hAnsi="宋体" w:cs="宋体"/>
                <w:color w:val="auto"/>
                <w:szCs w:val="21"/>
                <w:highlight w:val="none"/>
              </w:rPr>
              <w:t>500</w:t>
            </w:r>
            <w:r>
              <w:rPr>
                <w:rFonts w:hint="eastAsia" w:ascii="宋体" w:hAnsi="宋体" w:cs="宋体"/>
                <w:color w:val="auto"/>
                <w:szCs w:val="21"/>
                <w:highlight w:val="none"/>
              </w:rPr>
              <w:t>～</w:t>
            </w:r>
            <w:r>
              <w:rPr>
                <w:rFonts w:ascii="宋体" w:hAnsi="宋体" w:cs="宋体"/>
                <w:color w:val="auto"/>
                <w:szCs w:val="21"/>
                <w:highlight w:val="none"/>
              </w:rPr>
              <w:t>1000万元</w:t>
            </w:r>
          </w:p>
        </w:tc>
        <w:tc>
          <w:tcPr>
            <w:tcW w:w="1591" w:type="dxa"/>
            <w:vAlign w:val="center"/>
          </w:tcPr>
          <w:p w14:paraId="1AF46165">
            <w:pPr>
              <w:spacing w:line="360" w:lineRule="auto"/>
              <w:ind w:left="325"/>
              <w:jc w:val="center"/>
              <w:rPr>
                <w:rFonts w:hint="eastAsia" w:ascii="宋体" w:hAnsi="宋体" w:cs="宋体"/>
                <w:color w:val="auto"/>
                <w:szCs w:val="21"/>
                <w:highlight w:val="none"/>
              </w:rPr>
            </w:pPr>
            <w:r>
              <w:rPr>
                <w:rFonts w:ascii="宋体" w:hAnsi="宋体" w:cs="宋体"/>
                <w:color w:val="auto"/>
                <w:szCs w:val="21"/>
                <w:highlight w:val="none"/>
              </w:rPr>
              <w:t>0.8%</w:t>
            </w:r>
          </w:p>
        </w:tc>
        <w:tc>
          <w:tcPr>
            <w:tcW w:w="1591" w:type="dxa"/>
            <w:vAlign w:val="center"/>
          </w:tcPr>
          <w:p w14:paraId="2C49254D">
            <w:pPr>
              <w:spacing w:line="360" w:lineRule="auto"/>
              <w:ind w:left="326"/>
              <w:jc w:val="center"/>
              <w:rPr>
                <w:rFonts w:hint="eastAsia" w:ascii="宋体" w:hAnsi="宋体" w:cs="宋体"/>
                <w:color w:val="auto"/>
                <w:szCs w:val="21"/>
                <w:highlight w:val="none"/>
              </w:rPr>
            </w:pPr>
            <w:r>
              <w:rPr>
                <w:rFonts w:ascii="宋体" w:hAnsi="宋体" w:cs="宋体"/>
                <w:color w:val="auto"/>
                <w:szCs w:val="21"/>
                <w:highlight w:val="none"/>
              </w:rPr>
              <w:t>0.45%</w:t>
            </w:r>
          </w:p>
        </w:tc>
        <w:tc>
          <w:tcPr>
            <w:tcW w:w="1593" w:type="dxa"/>
            <w:vAlign w:val="center"/>
          </w:tcPr>
          <w:p w14:paraId="0D28CB00">
            <w:pPr>
              <w:spacing w:line="360" w:lineRule="auto"/>
              <w:ind w:left="328"/>
              <w:jc w:val="center"/>
              <w:rPr>
                <w:rFonts w:hint="eastAsia" w:ascii="宋体" w:hAnsi="宋体" w:cs="宋体"/>
                <w:color w:val="auto"/>
                <w:szCs w:val="21"/>
                <w:highlight w:val="none"/>
              </w:rPr>
            </w:pPr>
            <w:r>
              <w:rPr>
                <w:rFonts w:ascii="宋体" w:hAnsi="宋体" w:cs="宋体"/>
                <w:color w:val="auto"/>
                <w:szCs w:val="21"/>
                <w:highlight w:val="none"/>
              </w:rPr>
              <w:t>0.55%</w:t>
            </w:r>
          </w:p>
        </w:tc>
      </w:tr>
      <w:tr w14:paraId="7CC8D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3502" w:type="dxa"/>
            <w:vAlign w:val="center"/>
          </w:tcPr>
          <w:p w14:paraId="39290483">
            <w:pPr>
              <w:spacing w:line="360" w:lineRule="auto"/>
              <w:ind w:left="131"/>
              <w:jc w:val="center"/>
              <w:rPr>
                <w:rFonts w:hint="eastAsia" w:ascii="宋体" w:hAnsi="宋体" w:cs="宋体"/>
                <w:color w:val="auto"/>
                <w:szCs w:val="21"/>
                <w:highlight w:val="none"/>
              </w:rPr>
            </w:pPr>
            <w:r>
              <w:rPr>
                <w:rFonts w:ascii="宋体" w:hAnsi="宋体" w:cs="宋体"/>
                <w:color w:val="auto"/>
                <w:szCs w:val="21"/>
                <w:highlight w:val="none"/>
              </w:rPr>
              <w:t>1000</w:t>
            </w:r>
            <w:r>
              <w:rPr>
                <w:rFonts w:hint="eastAsia" w:ascii="宋体" w:hAnsi="宋体" w:cs="宋体"/>
                <w:color w:val="auto"/>
                <w:szCs w:val="21"/>
                <w:highlight w:val="none"/>
              </w:rPr>
              <w:t>～</w:t>
            </w:r>
            <w:r>
              <w:rPr>
                <w:rFonts w:ascii="宋体" w:hAnsi="宋体" w:cs="宋体"/>
                <w:color w:val="auto"/>
                <w:szCs w:val="21"/>
                <w:highlight w:val="none"/>
              </w:rPr>
              <w:t>5000万元</w:t>
            </w:r>
          </w:p>
        </w:tc>
        <w:tc>
          <w:tcPr>
            <w:tcW w:w="1591" w:type="dxa"/>
            <w:vAlign w:val="center"/>
          </w:tcPr>
          <w:p w14:paraId="759ED93F">
            <w:pPr>
              <w:spacing w:line="360" w:lineRule="auto"/>
              <w:ind w:left="325"/>
              <w:jc w:val="center"/>
              <w:rPr>
                <w:rFonts w:hint="eastAsia" w:ascii="宋体" w:hAnsi="宋体" w:cs="宋体"/>
                <w:color w:val="auto"/>
                <w:szCs w:val="21"/>
                <w:highlight w:val="none"/>
              </w:rPr>
            </w:pPr>
            <w:r>
              <w:rPr>
                <w:rFonts w:ascii="宋体" w:hAnsi="宋体" w:cs="宋体"/>
                <w:color w:val="auto"/>
                <w:szCs w:val="21"/>
                <w:highlight w:val="none"/>
              </w:rPr>
              <w:t>0.5%</w:t>
            </w:r>
          </w:p>
        </w:tc>
        <w:tc>
          <w:tcPr>
            <w:tcW w:w="1591" w:type="dxa"/>
            <w:vAlign w:val="center"/>
          </w:tcPr>
          <w:p w14:paraId="6A0146E9">
            <w:pPr>
              <w:spacing w:line="360" w:lineRule="auto"/>
              <w:ind w:left="326"/>
              <w:jc w:val="center"/>
              <w:rPr>
                <w:rFonts w:hint="eastAsia" w:ascii="宋体" w:hAnsi="宋体" w:cs="宋体"/>
                <w:color w:val="auto"/>
                <w:szCs w:val="21"/>
                <w:highlight w:val="none"/>
              </w:rPr>
            </w:pPr>
            <w:r>
              <w:rPr>
                <w:rFonts w:ascii="宋体" w:hAnsi="宋体" w:cs="宋体"/>
                <w:color w:val="auto"/>
                <w:szCs w:val="21"/>
                <w:highlight w:val="none"/>
              </w:rPr>
              <w:t>0.25%</w:t>
            </w:r>
          </w:p>
        </w:tc>
        <w:tc>
          <w:tcPr>
            <w:tcW w:w="1593" w:type="dxa"/>
            <w:vAlign w:val="center"/>
          </w:tcPr>
          <w:p w14:paraId="4E0A50C1">
            <w:pPr>
              <w:spacing w:line="360" w:lineRule="auto"/>
              <w:ind w:left="328"/>
              <w:jc w:val="center"/>
              <w:rPr>
                <w:rFonts w:hint="eastAsia" w:ascii="宋体" w:hAnsi="宋体" w:cs="宋体"/>
                <w:color w:val="auto"/>
                <w:szCs w:val="21"/>
                <w:highlight w:val="none"/>
              </w:rPr>
            </w:pPr>
            <w:r>
              <w:rPr>
                <w:rFonts w:ascii="宋体" w:hAnsi="宋体" w:cs="宋体"/>
                <w:color w:val="auto"/>
                <w:szCs w:val="21"/>
                <w:highlight w:val="none"/>
              </w:rPr>
              <w:t>0.35%</w:t>
            </w:r>
          </w:p>
        </w:tc>
      </w:tr>
      <w:tr w14:paraId="5E4E4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3502" w:type="dxa"/>
            <w:vAlign w:val="center"/>
          </w:tcPr>
          <w:p w14:paraId="40BED810">
            <w:pPr>
              <w:spacing w:line="360" w:lineRule="auto"/>
              <w:ind w:left="120"/>
              <w:jc w:val="center"/>
              <w:rPr>
                <w:rFonts w:hint="eastAsia" w:ascii="宋体" w:hAnsi="宋体" w:cs="宋体"/>
                <w:color w:val="auto"/>
                <w:szCs w:val="21"/>
                <w:highlight w:val="none"/>
              </w:rPr>
            </w:pPr>
            <w:r>
              <w:rPr>
                <w:rFonts w:ascii="宋体" w:hAnsi="宋体" w:cs="宋体"/>
                <w:color w:val="auto"/>
                <w:szCs w:val="21"/>
                <w:highlight w:val="none"/>
              </w:rPr>
              <w:t>5000万元</w:t>
            </w:r>
            <w:r>
              <w:rPr>
                <w:rFonts w:hint="eastAsia" w:ascii="宋体" w:hAnsi="宋体" w:cs="宋体"/>
                <w:color w:val="auto"/>
                <w:szCs w:val="21"/>
                <w:highlight w:val="none"/>
              </w:rPr>
              <w:t>～</w:t>
            </w:r>
            <w:r>
              <w:rPr>
                <w:rFonts w:ascii="宋体" w:hAnsi="宋体" w:cs="宋体"/>
                <w:color w:val="auto"/>
                <w:szCs w:val="21"/>
                <w:highlight w:val="none"/>
              </w:rPr>
              <w:t>1亿元</w:t>
            </w:r>
          </w:p>
        </w:tc>
        <w:tc>
          <w:tcPr>
            <w:tcW w:w="1591" w:type="dxa"/>
            <w:vAlign w:val="center"/>
          </w:tcPr>
          <w:p w14:paraId="7473AA03">
            <w:pPr>
              <w:spacing w:line="360" w:lineRule="auto"/>
              <w:ind w:left="325"/>
              <w:jc w:val="center"/>
              <w:rPr>
                <w:rFonts w:hint="eastAsia" w:ascii="宋体" w:hAnsi="宋体" w:cs="宋体"/>
                <w:color w:val="auto"/>
                <w:szCs w:val="21"/>
                <w:highlight w:val="none"/>
              </w:rPr>
            </w:pPr>
            <w:r>
              <w:rPr>
                <w:rFonts w:ascii="宋体" w:hAnsi="宋体" w:cs="宋体"/>
                <w:color w:val="auto"/>
                <w:szCs w:val="21"/>
                <w:highlight w:val="none"/>
              </w:rPr>
              <w:t>0.25%</w:t>
            </w:r>
          </w:p>
        </w:tc>
        <w:tc>
          <w:tcPr>
            <w:tcW w:w="1591" w:type="dxa"/>
            <w:vAlign w:val="center"/>
          </w:tcPr>
          <w:p w14:paraId="144E2AE1">
            <w:pPr>
              <w:spacing w:line="360" w:lineRule="auto"/>
              <w:ind w:left="326"/>
              <w:jc w:val="center"/>
              <w:rPr>
                <w:rFonts w:hint="eastAsia" w:ascii="宋体" w:hAnsi="宋体" w:cs="宋体"/>
                <w:color w:val="auto"/>
                <w:szCs w:val="21"/>
                <w:highlight w:val="none"/>
              </w:rPr>
            </w:pPr>
            <w:r>
              <w:rPr>
                <w:rFonts w:ascii="宋体" w:hAnsi="宋体" w:cs="宋体"/>
                <w:color w:val="auto"/>
                <w:szCs w:val="21"/>
                <w:highlight w:val="none"/>
              </w:rPr>
              <w:t>0.1%</w:t>
            </w:r>
          </w:p>
        </w:tc>
        <w:tc>
          <w:tcPr>
            <w:tcW w:w="1593" w:type="dxa"/>
            <w:vAlign w:val="center"/>
          </w:tcPr>
          <w:p w14:paraId="15CFC1E6">
            <w:pPr>
              <w:spacing w:line="360" w:lineRule="auto"/>
              <w:ind w:left="328"/>
              <w:jc w:val="center"/>
              <w:rPr>
                <w:rFonts w:hint="eastAsia" w:ascii="宋体" w:hAnsi="宋体" w:cs="宋体"/>
                <w:color w:val="auto"/>
                <w:szCs w:val="21"/>
                <w:highlight w:val="none"/>
              </w:rPr>
            </w:pPr>
            <w:r>
              <w:rPr>
                <w:rFonts w:ascii="宋体" w:hAnsi="宋体" w:cs="宋体"/>
                <w:color w:val="auto"/>
                <w:szCs w:val="21"/>
                <w:highlight w:val="none"/>
              </w:rPr>
              <w:t>0.2%</w:t>
            </w:r>
          </w:p>
        </w:tc>
      </w:tr>
      <w:tr w14:paraId="0DC9CD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jc w:val="center"/>
        </w:trPr>
        <w:tc>
          <w:tcPr>
            <w:tcW w:w="3502" w:type="dxa"/>
            <w:vAlign w:val="center"/>
          </w:tcPr>
          <w:p w14:paraId="7BB851E1">
            <w:pPr>
              <w:spacing w:line="360" w:lineRule="auto"/>
              <w:ind w:left="131"/>
              <w:jc w:val="center"/>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w:t>
            </w:r>
            <w:r>
              <w:rPr>
                <w:rFonts w:ascii="宋体" w:hAnsi="宋体" w:cs="宋体"/>
                <w:color w:val="auto"/>
                <w:szCs w:val="21"/>
                <w:highlight w:val="none"/>
              </w:rPr>
              <w:t>5亿元</w:t>
            </w:r>
          </w:p>
        </w:tc>
        <w:tc>
          <w:tcPr>
            <w:tcW w:w="1591" w:type="dxa"/>
            <w:vAlign w:val="center"/>
          </w:tcPr>
          <w:p w14:paraId="692A0DA3">
            <w:pPr>
              <w:spacing w:line="360" w:lineRule="auto"/>
              <w:ind w:left="325"/>
              <w:jc w:val="center"/>
              <w:rPr>
                <w:rFonts w:hint="eastAsia" w:ascii="宋体" w:hAnsi="宋体" w:cs="宋体"/>
                <w:color w:val="auto"/>
                <w:szCs w:val="21"/>
                <w:highlight w:val="none"/>
              </w:rPr>
            </w:pPr>
            <w:r>
              <w:rPr>
                <w:rFonts w:ascii="宋体" w:hAnsi="宋体" w:cs="宋体"/>
                <w:color w:val="auto"/>
                <w:szCs w:val="21"/>
                <w:highlight w:val="none"/>
              </w:rPr>
              <w:t>0.05%</w:t>
            </w:r>
          </w:p>
        </w:tc>
        <w:tc>
          <w:tcPr>
            <w:tcW w:w="1591" w:type="dxa"/>
            <w:vAlign w:val="center"/>
          </w:tcPr>
          <w:p w14:paraId="0D5A0B72">
            <w:pPr>
              <w:spacing w:line="360" w:lineRule="auto"/>
              <w:ind w:left="326"/>
              <w:jc w:val="center"/>
              <w:rPr>
                <w:rFonts w:hint="eastAsia" w:ascii="宋体" w:hAnsi="宋体" w:cs="宋体"/>
                <w:color w:val="auto"/>
                <w:szCs w:val="21"/>
                <w:highlight w:val="none"/>
              </w:rPr>
            </w:pPr>
            <w:r>
              <w:rPr>
                <w:rFonts w:ascii="宋体" w:hAnsi="宋体" w:cs="宋体"/>
                <w:color w:val="auto"/>
                <w:szCs w:val="21"/>
                <w:highlight w:val="none"/>
              </w:rPr>
              <w:t>0.05%</w:t>
            </w:r>
          </w:p>
        </w:tc>
        <w:tc>
          <w:tcPr>
            <w:tcW w:w="1593" w:type="dxa"/>
            <w:vAlign w:val="center"/>
          </w:tcPr>
          <w:p w14:paraId="5275D719">
            <w:pPr>
              <w:spacing w:line="360" w:lineRule="auto"/>
              <w:ind w:left="328"/>
              <w:jc w:val="center"/>
              <w:rPr>
                <w:rFonts w:hint="eastAsia" w:ascii="宋体" w:hAnsi="宋体" w:cs="宋体"/>
                <w:color w:val="auto"/>
                <w:szCs w:val="21"/>
                <w:highlight w:val="none"/>
              </w:rPr>
            </w:pPr>
            <w:r>
              <w:rPr>
                <w:rFonts w:ascii="宋体" w:hAnsi="宋体" w:cs="宋体"/>
                <w:color w:val="auto"/>
                <w:szCs w:val="21"/>
                <w:highlight w:val="none"/>
              </w:rPr>
              <w:t>0.05%</w:t>
            </w:r>
          </w:p>
        </w:tc>
      </w:tr>
      <w:tr w14:paraId="0EA52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jc w:val="center"/>
        </w:trPr>
        <w:tc>
          <w:tcPr>
            <w:tcW w:w="3502" w:type="dxa"/>
            <w:vAlign w:val="center"/>
          </w:tcPr>
          <w:p w14:paraId="11D3CAB2">
            <w:pPr>
              <w:spacing w:line="360" w:lineRule="auto"/>
              <w:ind w:left="120"/>
              <w:jc w:val="center"/>
              <w:rPr>
                <w:rFonts w:hint="eastAsia" w:ascii="宋体" w:hAns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rPr>
              <w:t>～</w:t>
            </w:r>
            <w:r>
              <w:rPr>
                <w:rFonts w:ascii="宋体" w:hAnsi="宋体" w:cs="宋体"/>
                <w:color w:val="auto"/>
                <w:szCs w:val="21"/>
                <w:highlight w:val="none"/>
              </w:rPr>
              <w:t>10亿元</w:t>
            </w:r>
          </w:p>
        </w:tc>
        <w:tc>
          <w:tcPr>
            <w:tcW w:w="1591" w:type="dxa"/>
            <w:vAlign w:val="center"/>
          </w:tcPr>
          <w:p w14:paraId="0513DC38">
            <w:pPr>
              <w:spacing w:line="360" w:lineRule="auto"/>
              <w:ind w:left="220"/>
              <w:jc w:val="center"/>
              <w:rPr>
                <w:rFonts w:hint="eastAsia" w:ascii="宋体" w:hAnsi="宋体" w:cs="宋体"/>
                <w:color w:val="auto"/>
                <w:szCs w:val="21"/>
                <w:highlight w:val="none"/>
              </w:rPr>
            </w:pPr>
            <w:r>
              <w:rPr>
                <w:rFonts w:ascii="宋体" w:hAnsi="宋体" w:cs="宋体"/>
                <w:color w:val="auto"/>
                <w:szCs w:val="21"/>
                <w:highlight w:val="none"/>
              </w:rPr>
              <w:t>0.035%</w:t>
            </w:r>
          </w:p>
        </w:tc>
        <w:tc>
          <w:tcPr>
            <w:tcW w:w="1591" w:type="dxa"/>
            <w:vAlign w:val="center"/>
          </w:tcPr>
          <w:p w14:paraId="65F403BE">
            <w:pPr>
              <w:spacing w:line="360" w:lineRule="auto"/>
              <w:ind w:left="326"/>
              <w:jc w:val="center"/>
              <w:rPr>
                <w:rFonts w:hint="eastAsia" w:ascii="宋体" w:hAnsi="宋体" w:cs="宋体"/>
                <w:color w:val="auto"/>
                <w:szCs w:val="21"/>
                <w:highlight w:val="none"/>
              </w:rPr>
            </w:pPr>
            <w:r>
              <w:rPr>
                <w:rFonts w:ascii="宋体" w:hAnsi="宋体" w:cs="宋体"/>
                <w:color w:val="auto"/>
                <w:szCs w:val="21"/>
                <w:highlight w:val="none"/>
              </w:rPr>
              <w:t>0.035%</w:t>
            </w:r>
          </w:p>
        </w:tc>
        <w:tc>
          <w:tcPr>
            <w:tcW w:w="1593" w:type="dxa"/>
            <w:vAlign w:val="center"/>
          </w:tcPr>
          <w:p w14:paraId="5D408117">
            <w:pPr>
              <w:spacing w:line="360" w:lineRule="auto"/>
              <w:ind w:left="223"/>
              <w:jc w:val="center"/>
              <w:rPr>
                <w:rFonts w:hint="eastAsia" w:ascii="宋体" w:hAnsi="宋体" w:cs="宋体"/>
                <w:color w:val="auto"/>
                <w:szCs w:val="21"/>
                <w:highlight w:val="none"/>
              </w:rPr>
            </w:pPr>
            <w:r>
              <w:rPr>
                <w:rFonts w:ascii="宋体" w:hAnsi="宋体" w:cs="宋体"/>
                <w:color w:val="auto"/>
                <w:szCs w:val="21"/>
                <w:highlight w:val="none"/>
              </w:rPr>
              <w:t>0.035%</w:t>
            </w:r>
          </w:p>
        </w:tc>
      </w:tr>
    </w:tbl>
    <w:p w14:paraId="71B70E7F">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注：招标代理服务收费按差额定率累进法计算。</w:t>
      </w:r>
    </w:p>
    <w:p w14:paraId="16B413C7">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24.2.解释权</w:t>
      </w:r>
    </w:p>
    <w:p w14:paraId="156773A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解释权属本采购代理机构。</w:t>
      </w:r>
    </w:p>
    <w:p w14:paraId="3CCD0757">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24.3询问、质疑和投诉</w:t>
      </w:r>
    </w:p>
    <w:p w14:paraId="209F727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24.3.1供应商对政府采购活动事项有疑问的，可以向采购人、采购代理机构提出询问，采购人或者采购代理机构应当在3个工作日内对供应商依法提出的询问作出答复。</w:t>
      </w:r>
    </w:p>
    <w:p w14:paraId="1FF8161B">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24.3.2供应商认为竞争性磋商文件、采购过程或成交结果使自己的合法权益受到损害的，应当在知道或者应知其权益受到损害之日起七个工作日内，以书面形式向采购人、采购代理机构提出质疑，接收质疑函的方式、联系部门、联系电话和通讯地址等信息详见“供应商须知前附表”。具体质疑起算时间如下：</w:t>
      </w:r>
    </w:p>
    <w:p w14:paraId="0B74C47B">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（1）对可以质疑的竞争性磋商文件提出质疑的，为收到竞争性磋商文件之日或竞争性磋商公告期限届满之日；</w:t>
      </w:r>
    </w:p>
    <w:p w14:paraId="19A25EC7">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（2）对采购过程提出质疑的，为各采购程序环节结束之日；</w:t>
      </w:r>
    </w:p>
    <w:p w14:paraId="051AC5B3">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（3）对成交结果提出质疑的，为成交结果公告期限届满之日。</w:t>
      </w:r>
    </w:p>
    <w:p w14:paraId="6F1F097D">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供应商对采购人或采购代理机构的质疑答复不满意或者采购人或采购代理机构未在规定时间内作出答复的，可以在答复期满后十五个工作日内向同级采购监管部门投诉。</w:t>
      </w:r>
    </w:p>
    <w:p w14:paraId="14BBF9B9">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24.3.3供应商提出的询问或者质疑超出采购人对采购代理机构委托授权范围的，采购代理机构应当告知供应商向采购人提出。政府采购评审专家应当配合采购人或者采购代理机构答复供应商的询问和质疑。</w:t>
      </w:r>
    </w:p>
    <w:p w14:paraId="0A67E4AF">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24.3.4质疑、投诉应当采用书面形式，质疑函、投诉书均应明确阐述竞争性磋商文件、采购过程或成交结果中使自己合法权益受到损害的实质性内容，提供相关事实、法律依据和证据及其来源或线索，便于有关单位调查、答复和处理。</w:t>
      </w:r>
    </w:p>
    <w:p w14:paraId="4EBCC313">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供应商提出质疑应当提交质疑函和必要的证明材料，针对同一采购程序环节的质疑必须在法定质疑期内一次性提出。质疑函应当包括下列内容：</w:t>
      </w:r>
    </w:p>
    <w:p w14:paraId="3A947DE7">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（1）供应商的姓名或者名称、地址、邮编、联系人及联系电话；</w:t>
      </w:r>
    </w:p>
    <w:p w14:paraId="6DAEE420">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（2）质疑项目的名称、编号；</w:t>
      </w:r>
    </w:p>
    <w:p w14:paraId="69729E54">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（3）具体、明确的质疑事项和与质疑事项相关的请求；</w:t>
      </w:r>
    </w:p>
    <w:p w14:paraId="6D30DC59">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（4）事实依据；</w:t>
      </w:r>
    </w:p>
    <w:p w14:paraId="06822863">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（5）必要的法律依据；</w:t>
      </w:r>
    </w:p>
    <w:p w14:paraId="4A5420B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（6）提出质疑的日期。</w:t>
      </w:r>
    </w:p>
    <w:p w14:paraId="18785358">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供应商为自然人的，应当由本人签字；供应商为法人或者其他组织的，应当由法定代表人、主要负责人，或者其委托代理人签字或者盖章，并加盖公章。</w:t>
      </w:r>
    </w:p>
    <w:p w14:paraId="5B220D4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24.3.5采购人、采购代理机构认为供应商质疑不成立，或者成立但未对成交结果构成影响的，继续开展采购活动；认为供应商质疑成立且影响或者可能影响成交结果的，按照下列情况处理：</w:t>
      </w:r>
    </w:p>
    <w:p w14:paraId="4464C42C">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（1）对竞争性磋商文件提出的质疑，依法通过澄清或者修改可以继续开展采购活动的，澄清或者修改竞争性磋商文件后继续开展采购活动；否则应当在修改竞争性磋商文件后重新开展采购活动。</w:t>
      </w:r>
    </w:p>
    <w:p w14:paraId="68C6A23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（2）对采购过程、成交结果提出的质疑，合格供应商符合法定数量时，可以从合格的成交候选人中另行确定成交供应商的，应当依法另行确定成交供应商；否则应当重新开展采购活动。</w:t>
      </w:r>
    </w:p>
    <w:p w14:paraId="274A6789">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质疑答复导致成交结果改变的，采购人或者采购代理机构应当将有关情况书面报告本级财政部门。</w:t>
      </w:r>
    </w:p>
    <w:p w14:paraId="6C72ABCA">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24.3.6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w:t>
      </w:r>
    </w:p>
    <w:p w14:paraId="063546FE">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所有与本磋商文件有关的函件请按下列通讯地址联系：</w:t>
      </w:r>
    </w:p>
    <w:p w14:paraId="44F1333F">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通讯地址：钦州市蓬莱大道鸿亭街333号皇庭天麓湖小区183栋203室</w:t>
      </w:r>
    </w:p>
    <w:p w14:paraId="7447E1D5">
      <w:pPr>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电话：0777-5512166</w:t>
      </w:r>
    </w:p>
    <w:p w14:paraId="04AFA271">
      <w:pPr>
        <w:spacing w:line="360" w:lineRule="auto"/>
        <w:ind w:firstLine="420" w:firstLineChars="200"/>
        <w:rPr>
          <w:rFonts w:hint="eastAsia" w:ascii="宋体" w:hAnsi="宋体" w:cs="宋体"/>
          <w:bCs/>
          <w:color w:val="auto"/>
          <w:szCs w:val="21"/>
          <w:highlight w:val="none"/>
        </w:rPr>
      </w:pPr>
    </w:p>
    <w:p w14:paraId="60F7787B">
      <w:pPr>
        <w:pStyle w:val="16"/>
        <w:ind w:left="420"/>
        <w:rPr>
          <w:rFonts w:hint="eastAsia" w:ascii="宋体" w:hAnsi="宋体" w:cs="宋体"/>
          <w:bCs/>
          <w:color w:val="auto"/>
          <w:szCs w:val="21"/>
          <w:highlight w:val="none"/>
        </w:rPr>
      </w:pPr>
    </w:p>
    <w:p w14:paraId="10D5DFB4">
      <w:pPr>
        <w:pStyle w:val="16"/>
        <w:ind w:left="420"/>
        <w:rPr>
          <w:rFonts w:hint="eastAsia" w:ascii="宋体" w:hAnsi="宋体" w:cs="宋体"/>
          <w:bCs/>
          <w:color w:val="auto"/>
          <w:szCs w:val="21"/>
          <w:highlight w:val="none"/>
        </w:rPr>
      </w:pPr>
    </w:p>
    <w:p w14:paraId="77F3A7C5">
      <w:pPr>
        <w:pStyle w:val="16"/>
        <w:ind w:left="420"/>
        <w:rPr>
          <w:rFonts w:hint="eastAsia" w:ascii="宋体" w:hAnsi="宋体" w:cs="宋体"/>
          <w:bCs/>
          <w:color w:val="auto"/>
          <w:szCs w:val="21"/>
          <w:highlight w:val="none"/>
        </w:rPr>
      </w:pPr>
    </w:p>
    <w:p w14:paraId="59783749">
      <w:pPr>
        <w:pStyle w:val="16"/>
        <w:ind w:left="420"/>
        <w:rPr>
          <w:rFonts w:hint="eastAsia" w:ascii="宋体" w:hAnsi="宋体" w:cs="宋体"/>
          <w:bCs/>
          <w:color w:val="auto"/>
          <w:szCs w:val="21"/>
          <w:highlight w:val="none"/>
        </w:rPr>
      </w:pPr>
    </w:p>
    <w:p w14:paraId="73EDDC22">
      <w:pPr>
        <w:pStyle w:val="16"/>
        <w:ind w:left="420"/>
        <w:rPr>
          <w:rFonts w:hint="eastAsia" w:ascii="宋体" w:hAnsi="宋体" w:cs="宋体"/>
          <w:bCs/>
          <w:color w:val="auto"/>
          <w:szCs w:val="21"/>
          <w:highlight w:val="none"/>
        </w:rPr>
      </w:pPr>
    </w:p>
    <w:p w14:paraId="072304C8">
      <w:pPr>
        <w:pStyle w:val="16"/>
        <w:ind w:left="420"/>
        <w:rPr>
          <w:rFonts w:hint="eastAsia" w:ascii="宋体" w:hAnsi="宋体" w:cs="宋体"/>
          <w:bCs/>
          <w:color w:val="auto"/>
          <w:szCs w:val="21"/>
          <w:highlight w:val="none"/>
        </w:rPr>
      </w:pPr>
    </w:p>
    <w:p w14:paraId="657B2D05">
      <w:pPr>
        <w:jc w:val="center"/>
        <w:outlineLvl w:val="0"/>
        <w:rPr>
          <w:rFonts w:hint="eastAsia" w:ascii="宋体" w:hAnsi="宋体" w:cs="宋体"/>
          <w:b/>
          <w:bCs/>
          <w:color w:val="auto"/>
          <w:kern w:val="0"/>
          <w:sz w:val="36"/>
          <w:szCs w:val="36"/>
          <w:highlight w:val="none"/>
        </w:rPr>
      </w:pPr>
      <w:bookmarkStart w:id="65" w:name="_Toc26558"/>
      <w:r>
        <w:rPr>
          <w:rFonts w:hint="eastAsia" w:ascii="宋体" w:hAnsi="宋体" w:cs="宋体"/>
          <w:b/>
          <w:bCs/>
          <w:color w:val="auto"/>
          <w:kern w:val="0"/>
          <w:sz w:val="36"/>
          <w:szCs w:val="36"/>
          <w:highlight w:val="none"/>
        </w:rPr>
        <w:t>第三章  项目基本情况及要求</w:t>
      </w:r>
      <w:bookmarkEnd w:id="65"/>
    </w:p>
    <w:p w14:paraId="417AF3C8">
      <w:pPr>
        <w:pStyle w:val="47"/>
        <w:ind w:firstLine="845"/>
        <w:rPr>
          <w:color w:val="auto"/>
          <w:spacing w:val="0"/>
          <w:highlight w:val="none"/>
        </w:rPr>
      </w:pPr>
    </w:p>
    <w:p w14:paraId="24E706C4">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说明：</w:t>
      </w:r>
    </w:p>
    <w:p w14:paraId="4DFB4F24">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1.商务条款评审中允许负偏离的非实质性条款数为 0 项。</w:t>
      </w:r>
    </w:p>
    <w:p w14:paraId="3D17EBEC">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2.服务需求评审中允许负偏离的非实质性条款数为 0 项。</w:t>
      </w:r>
    </w:p>
    <w:p w14:paraId="59C2A063">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3.供应商必须自行为其竞标产品侵犯他人的知识产权或者专利成果的行为承担相应法律责任。</w:t>
      </w:r>
    </w:p>
    <w:p w14:paraId="1A8FE623">
      <w:pPr>
        <w:spacing w:line="360" w:lineRule="auto"/>
        <w:ind w:firstLine="424" w:firstLineChars="202"/>
        <w:jc w:val="left"/>
        <w:rPr>
          <w:rFonts w:hint="eastAsia" w:ascii="宋体" w:hAnsi="宋体" w:cs="宋体"/>
          <w:color w:val="auto"/>
          <w:szCs w:val="21"/>
          <w:highlight w:val="none"/>
        </w:rPr>
      </w:pPr>
      <w:bookmarkStart w:id="66" w:name="_Toc20069"/>
      <w:r>
        <w:rPr>
          <w:rFonts w:hint="eastAsia" w:ascii="宋体" w:hAnsi="宋体" w:cs="宋体"/>
          <w:color w:val="auto"/>
          <w:szCs w:val="21"/>
          <w:highlight w:val="none"/>
        </w:rPr>
        <w:t>4、采购范围详见：工程量清单及图纸（另册）。</w:t>
      </w:r>
    </w:p>
    <w:p w14:paraId="1D7C7CF9">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▲5、商务条款：</w:t>
      </w:r>
    </w:p>
    <w:p w14:paraId="4BD30F09">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质量标准：达到合格标准；</w:t>
      </w:r>
    </w:p>
    <w:p w14:paraId="7AF4970B">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工期要求：</w:t>
      </w:r>
      <w:r>
        <w:rPr>
          <w:rFonts w:hint="eastAsia" w:ascii="宋体" w:hAnsi="宋体" w:cs="宋体"/>
          <w:color w:val="auto"/>
          <w:szCs w:val="21"/>
          <w:highlight w:val="none"/>
          <w:lang w:val="en-US" w:eastAsia="zh-CN"/>
        </w:rPr>
        <w:t>90</w:t>
      </w:r>
      <w:r>
        <w:rPr>
          <w:rFonts w:hint="eastAsia" w:ascii="宋体" w:hAnsi="宋体" w:cs="宋体"/>
          <w:color w:val="auto"/>
          <w:szCs w:val="21"/>
          <w:highlight w:val="none"/>
        </w:rPr>
        <w:t>天；</w:t>
      </w:r>
    </w:p>
    <w:p w14:paraId="14538BD7">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质保期：竣工验收后1年；</w:t>
      </w:r>
    </w:p>
    <w:p w14:paraId="17A81285">
      <w:pPr>
        <w:spacing w:line="360" w:lineRule="auto"/>
        <w:ind w:firstLine="424" w:firstLineChars="202"/>
        <w:jc w:val="lef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预付款：开工后支付预付款30%；</w:t>
      </w:r>
    </w:p>
    <w:p w14:paraId="51509395">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付款方式：(1)预付款:工程预付款的总金额为签约合同价的30%(需按要求缴纳农民工保证金和开具相应的履约保函以及意外险、工伤险方可支付预付款)。</w:t>
      </w:r>
    </w:p>
    <w:p w14:paraId="642880E8">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(2)每个付款周期按实际完成工程量的90%，依据监理报告支付工程进度款。工程完工验收达到质量要求，结算经浦北县有资质审计机构审定后，工程款支付至结算总价的97%(不得低于97%)。发包人按工程价款结算总额的3%，预留工程质量保证金。质量保证金待工程质量保修期满且无质量问题后按规定无息返还。</w:t>
      </w:r>
    </w:p>
    <w:p w14:paraId="00E64144">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报价方式：工程量清单报价</w:t>
      </w:r>
      <w:r>
        <w:rPr>
          <w:rFonts w:hint="eastAsia" w:ascii="宋体" w:hAnsi="宋体" w:cs="宋体"/>
          <w:color w:val="auto"/>
          <w:szCs w:val="21"/>
          <w:highlight w:val="none"/>
          <w:lang w:eastAsia="zh-CN"/>
        </w:rPr>
        <w:t>；</w:t>
      </w:r>
      <w:r>
        <w:rPr>
          <w:rFonts w:hint="eastAsia" w:ascii="宋体" w:hAnsi="宋体" w:cs="宋体"/>
          <w:b/>
          <w:bCs/>
          <w:color w:val="auto"/>
          <w:szCs w:val="21"/>
          <w:highlight w:val="none"/>
          <w:lang w:eastAsia="zh-CN"/>
        </w:rPr>
        <w:t>报价超过最高限价投标无效</w:t>
      </w:r>
      <w:r>
        <w:rPr>
          <w:rFonts w:hint="eastAsia" w:ascii="宋体" w:hAnsi="宋体" w:cs="宋体"/>
          <w:color w:val="auto"/>
          <w:szCs w:val="21"/>
          <w:highlight w:val="none"/>
        </w:rPr>
        <w:t>；</w:t>
      </w:r>
    </w:p>
    <w:p w14:paraId="1C628048">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合同签订期：中标通知书发出之日起25日内；</w:t>
      </w:r>
    </w:p>
    <w:p w14:paraId="09E014F1">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项目地址：浦北县；</w:t>
      </w:r>
    </w:p>
    <w:p w14:paraId="749004CD">
      <w:pPr>
        <w:spacing w:line="360" w:lineRule="auto"/>
        <w:ind w:firstLine="424" w:firstLineChars="202"/>
        <w:jc w:val="left"/>
        <w:rPr>
          <w:rFonts w:hint="eastAsia" w:ascii="宋体" w:hAnsi="宋体" w:cs="宋体"/>
          <w:color w:val="auto"/>
          <w:szCs w:val="21"/>
          <w:highlight w:val="none"/>
        </w:rPr>
      </w:pPr>
      <w:r>
        <w:rPr>
          <w:rFonts w:hint="eastAsia" w:ascii="宋体" w:hAnsi="宋体" w:cs="宋体"/>
          <w:color w:val="auto"/>
          <w:szCs w:val="21"/>
          <w:highlight w:val="none"/>
        </w:rPr>
        <w:t>3、本项目所属行业：建筑业</w:t>
      </w:r>
    </w:p>
    <w:p w14:paraId="54152B37">
      <w:pPr>
        <w:pStyle w:val="14"/>
        <w:spacing w:line="360" w:lineRule="auto"/>
        <w:outlineLvl w:val="0"/>
        <w:rPr>
          <w:rFonts w:hint="eastAsia" w:ascii="黑体" w:hAnsi="宋体" w:eastAsia="黑体" w:cs="Times New Roman"/>
          <w:b/>
          <w:bCs/>
          <w:color w:val="auto"/>
          <w:kern w:val="0"/>
          <w:sz w:val="36"/>
          <w:szCs w:val="36"/>
          <w:highlight w:val="none"/>
        </w:rPr>
      </w:pPr>
    </w:p>
    <w:p w14:paraId="4B27AD14">
      <w:pPr>
        <w:pStyle w:val="14"/>
        <w:spacing w:line="360" w:lineRule="auto"/>
        <w:jc w:val="center"/>
        <w:outlineLvl w:val="0"/>
        <w:rPr>
          <w:rFonts w:hint="eastAsia" w:ascii="黑体" w:hAnsi="宋体" w:eastAsia="黑体" w:cs="Times New Roman"/>
          <w:b/>
          <w:bCs/>
          <w:color w:val="auto"/>
          <w:kern w:val="0"/>
          <w:sz w:val="36"/>
          <w:szCs w:val="36"/>
          <w:highlight w:val="none"/>
        </w:rPr>
      </w:pPr>
    </w:p>
    <w:p w14:paraId="4C27B8C6">
      <w:pPr>
        <w:pStyle w:val="14"/>
        <w:spacing w:line="360" w:lineRule="auto"/>
        <w:jc w:val="center"/>
        <w:outlineLvl w:val="0"/>
        <w:rPr>
          <w:rFonts w:hint="eastAsia" w:ascii="黑体" w:hAnsi="宋体" w:eastAsia="黑体" w:cs="Times New Roman"/>
          <w:b/>
          <w:bCs/>
          <w:color w:val="auto"/>
          <w:kern w:val="0"/>
          <w:sz w:val="36"/>
          <w:szCs w:val="36"/>
          <w:highlight w:val="none"/>
        </w:rPr>
      </w:pPr>
    </w:p>
    <w:p w14:paraId="2AE85BF9">
      <w:pPr>
        <w:pStyle w:val="14"/>
        <w:spacing w:line="360" w:lineRule="auto"/>
        <w:jc w:val="center"/>
        <w:outlineLvl w:val="0"/>
        <w:rPr>
          <w:rFonts w:hint="eastAsia" w:ascii="黑体" w:hAnsi="宋体" w:eastAsia="黑体" w:cs="Times New Roman"/>
          <w:b/>
          <w:bCs/>
          <w:color w:val="auto"/>
          <w:kern w:val="0"/>
          <w:sz w:val="36"/>
          <w:szCs w:val="36"/>
          <w:highlight w:val="none"/>
        </w:rPr>
      </w:pPr>
    </w:p>
    <w:p w14:paraId="2F1D2358">
      <w:pPr>
        <w:pStyle w:val="14"/>
        <w:spacing w:line="360" w:lineRule="auto"/>
        <w:jc w:val="center"/>
        <w:outlineLvl w:val="0"/>
        <w:rPr>
          <w:rFonts w:hint="eastAsia" w:ascii="黑体" w:hAnsi="宋体" w:eastAsia="黑体" w:cs="Times New Roman"/>
          <w:b/>
          <w:bCs/>
          <w:color w:val="auto"/>
          <w:kern w:val="0"/>
          <w:sz w:val="36"/>
          <w:szCs w:val="36"/>
          <w:highlight w:val="none"/>
        </w:rPr>
      </w:pPr>
    </w:p>
    <w:p w14:paraId="19CEEEAD">
      <w:pPr>
        <w:spacing w:line="360" w:lineRule="auto"/>
        <w:jc w:val="center"/>
        <w:rPr>
          <w:rFonts w:hint="eastAsia" w:ascii="宋体" w:hAnsi="宋体" w:cs="方正小标宋简体"/>
          <w:b/>
          <w:bCs/>
          <w:color w:val="auto"/>
          <w:sz w:val="32"/>
          <w:szCs w:val="32"/>
          <w:highlight w:val="none"/>
        </w:rPr>
      </w:pPr>
      <w:r>
        <w:rPr>
          <w:rFonts w:hint="eastAsia" w:ascii="宋体" w:hAnsi="宋体" w:cs="方正小标宋简体"/>
          <w:b/>
          <w:bCs/>
          <w:color w:val="auto"/>
          <w:sz w:val="32"/>
          <w:szCs w:val="32"/>
          <w:highlight w:val="none"/>
        </w:rPr>
        <w:t>附件1：最后报价表（格式）</w:t>
      </w:r>
    </w:p>
    <w:p w14:paraId="32A72AB4">
      <w:pPr>
        <w:spacing w:line="440" w:lineRule="exact"/>
        <w:jc w:val="center"/>
        <w:rPr>
          <w:rFonts w:hint="eastAsia" w:ascii="方正小标宋简体" w:hAnsi="方正小标宋简体" w:eastAsia="方正小标宋简体" w:cs="方正小标宋简体"/>
          <w:bCs/>
          <w:color w:val="auto"/>
          <w:sz w:val="32"/>
          <w:szCs w:val="32"/>
          <w:highlight w:val="none"/>
        </w:rPr>
      </w:pPr>
    </w:p>
    <w:p w14:paraId="521E1CA6">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单位：元</w:t>
      </w:r>
    </w:p>
    <w:tbl>
      <w:tblPr>
        <w:tblStyle w:val="31"/>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1505"/>
        <w:gridCol w:w="3107"/>
        <w:gridCol w:w="1184"/>
      </w:tblGrid>
      <w:tr w14:paraId="46B61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683DDD4D">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序号</w:t>
            </w:r>
          </w:p>
        </w:tc>
        <w:tc>
          <w:tcPr>
            <w:tcW w:w="2712" w:type="dxa"/>
            <w:tcBorders>
              <w:top w:val="single" w:color="auto" w:sz="4" w:space="0"/>
              <w:left w:val="single" w:color="auto" w:sz="4" w:space="0"/>
              <w:bottom w:val="single" w:color="auto" w:sz="4" w:space="0"/>
              <w:right w:val="single" w:color="auto" w:sz="4" w:space="0"/>
            </w:tcBorders>
            <w:vAlign w:val="center"/>
          </w:tcPr>
          <w:p w14:paraId="285FBA60">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标的</w:t>
            </w:r>
            <w:r>
              <w:rPr>
                <w:rFonts w:ascii="宋体" w:hAnsi="宋体" w:cs="仿宋_GB2312"/>
                <w:color w:val="auto"/>
                <w:sz w:val="24"/>
                <w:highlight w:val="none"/>
              </w:rPr>
              <w:t>名称</w:t>
            </w:r>
          </w:p>
        </w:tc>
        <w:tc>
          <w:tcPr>
            <w:tcW w:w="1505" w:type="dxa"/>
            <w:tcBorders>
              <w:top w:val="single" w:color="auto" w:sz="4" w:space="0"/>
              <w:left w:val="single" w:color="auto" w:sz="4" w:space="0"/>
              <w:bottom w:val="single" w:color="auto" w:sz="4" w:space="0"/>
              <w:right w:val="single" w:color="auto" w:sz="4" w:space="0"/>
            </w:tcBorders>
            <w:vAlign w:val="center"/>
          </w:tcPr>
          <w:p w14:paraId="7B7DC1D3">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数量及单位</w:t>
            </w:r>
          </w:p>
        </w:tc>
        <w:tc>
          <w:tcPr>
            <w:tcW w:w="3107" w:type="dxa"/>
            <w:tcBorders>
              <w:top w:val="single" w:color="auto" w:sz="4" w:space="0"/>
              <w:left w:val="single" w:color="auto" w:sz="4" w:space="0"/>
              <w:bottom w:val="single" w:color="auto" w:sz="4" w:space="0"/>
              <w:right w:val="single" w:color="auto" w:sz="4" w:space="0"/>
            </w:tcBorders>
            <w:vAlign w:val="center"/>
          </w:tcPr>
          <w:p w14:paraId="2281AA66">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最后报价（元）</w:t>
            </w:r>
          </w:p>
        </w:tc>
        <w:tc>
          <w:tcPr>
            <w:tcW w:w="1184" w:type="dxa"/>
            <w:tcBorders>
              <w:top w:val="single" w:color="auto" w:sz="4" w:space="0"/>
              <w:left w:val="single" w:color="auto" w:sz="4" w:space="0"/>
              <w:bottom w:val="single" w:color="auto" w:sz="4" w:space="0"/>
              <w:right w:val="single" w:color="auto" w:sz="4" w:space="0"/>
            </w:tcBorders>
            <w:vAlign w:val="center"/>
          </w:tcPr>
          <w:p w14:paraId="6372D083">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备注</w:t>
            </w:r>
          </w:p>
        </w:tc>
      </w:tr>
      <w:tr w14:paraId="441E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5311D36A">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1</w:t>
            </w:r>
          </w:p>
        </w:tc>
        <w:tc>
          <w:tcPr>
            <w:tcW w:w="2712" w:type="dxa"/>
            <w:tcBorders>
              <w:top w:val="single" w:color="auto" w:sz="4" w:space="0"/>
              <w:left w:val="single" w:color="auto" w:sz="4" w:space="0"/>
              <w:bottom w:val="single" w:color="auto" w:sz="4" w:space="0"/>
              <w:right w:val="single" w:color="auto" w:sz="4" w:space="0"/>
            </w:tcBorders>
            <w:vAlign w:val="center"/>
          </w:tcPr>
          <w:p w14:paraId="6DE864EB">
            <w:pPr>
              <w:spacing w:line="360" w:lineRule="auto"/>
              <w:contextualSpacing/>
              <w:jc w:val="center"/>
              <w:rPr>
                <w:rFonts w:hint="eastAsia" w:ascii="宋体" w:hAnsi="宋体" w:cs="仿宋_GB2312"/>
                <w:color w:val="auto"/>
                <w:sz w:val="24"/>
                <w:highlight w:val="none"/>
              </w:rPr>
            </w:pPr>
          </w:p>
        </w:tc>
        <w:tc>
          <w:tcPr>
            <w:tcW w:w="1505" w:type="dxa"/>
            <w:tcBorders>
              <w:top w:val="single" w:color="auto" w:sz="4" w:space="0"/>
              <w:left w:val="single" w:color="auto" w:sz="4" w:space="0"/>
              <w:bottom w:val="single" w:color="auto" w:sz="4" w:space="0"/>
              <w:right w:val="single" w:color="auto" w:sz="4" w:space="0"/>
            </w:tcBorders>
            <w:vAlign w:val="center"/>
          </w:tcPr>
          <w:p w14:paraId="07747C4B">
            <w:pPr>
              <w:spacing w:line="360" w:lineRule="auto"/>
              <w:contextualSpacing/>
              <w:jc w:val="center"/>
              <w:rPr>
                <w:rFonts w:hint="eastAsia" w:ascii="宋体" w:hAnsi="宋体" w:cs="仿宋_GB2312"/>
                <w:color w:val="auto"/>
                <w:sz w:val="24"/>
                <w:highlight w:val="none"/>
              </w:rPr>
            </w:pPr>
          </w:p>
        </w:tc>
        <w:tc>
          <w:tcPr>
            <w:tcW w:w="3107" w:type="dxa"/>
            <w:tcBorders>
              <w:top w:val="single" w:color="auto" w:sz="4" w:space="0"/>
              <w:left w:val="single" w:color="auto" w:sz="4" w:space="0"/>
              <w:bottom w:val="single" w:color="auto" w:sz="4" w:space="0"/>
              <w:right w:val="single" w:color="auto" w:sz="4" w:space="0"/>
            </w:tcBorders>
          </w:tcPr>
          <w:p w14:paraId="1AD0F289">
            <w:pPr>
              <w:spacing w:line="360" w:lineRule="auto"/>
              <w:contextualSpacing/>
              <w:rPr>
                <w:rFonts w:hint="eastAsia" w:ascii="宋体" w:hAnsi="宋体" w:cs="仿宋_GB2312"/>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5CF52877">
            <w:pPr>
              <w:spacing w:line="360" w:lineRule="auto"/>
              <w:contextualSpacing/>
              <w:rPr>
                <w:rFonts w:hint="eastAsia" w:ascii="宋体" w:hAnsi="宋体" w:cs="仿宋_GB2312"/>
                <w:color w:val="auto"/>
                <w:sz w:val="24"/>
                <w:highlight w:val="none"/>
              </w:rPr>
            </w:pPr>
          </w:p>
        </w:tc>
      </w:tr>
      <w:tr w14:paraId="72AF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59A317A3">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w:t>
            </w:r>
          </w:p>
        </w:tc>
        <w:tc>
          <w:tcPr>
            <w:tcW w:w="2712" w:type="dxa"/>
            <w:tcBorders>
              <w:top w:val="single" w:color="auto" w:sz="4" w:space="0"/>
              <w:left w:val="single" w:color="auto" w:sz="4" w:space="0"/>
              <w:bottom w:val="single" w:color="auto" w:sz="4" w:space="0"/>
              <w:right w:val="single" w:color="auto" w:sz="4" w:space="0"/>
            </w:tcBorders>
            <w:vAlign w:val="center"/>
          </w:tcPr>
          <w:p w14:paraId="60CEA68C">
            <w:pPr>
              <w:spacing w:line="360" w:lineRule="auto"/>
              <w:contextualSpacing/>
              <w:jc w:val="center"/>
              <w:rPr>
                <w:rFonts w:hint="eastAsia" w:ascii="宋体" w:hAnsi="宋体" w:cs="仿宋_GB2312"/>
                <w:color w:val="auto"/>
                <w:sz w:val="24"/>
                <w:highlight w:val="none"/>
              </w:rPr>
            </w:pPr>
          </w:p>
        </w:tc>
        <w:tc>
          <w:tcPr>
            <w:tcW w:w="1505" w:type="dxa"/>
            <w:tcBorders>
              <w:top w:val="single" w:color="auto" w:sz="4" w:space="0"/>
              <w:left w:val="single" w:color="auto" w:sz="4" w:space="0"/>
              <w:bottom w:val="single" w:color="auto" w:sz="4" w:space="0"/>
              <w:right w:val="single" w:color="auto" w:sz="4" w:space="0"/>
            </w:tcBorders>
            <w:vAlign w:val="center"/>
          </w:tcPr>
          <w:p w14:paraId="72D83CFF">
            <w:pPr>
              <w:spacing w:line="360" w:lineRule="auto"/>
              <w:contextualSpacing/>
              <w:jc w:val="center"/>
              <w:rPr>
                <w:rFonts w:hint="eastAsia" w:ascii="宋体" w:hAnsi="宋体" w:cs="仿宋_GB2312"/>
                <w:color w:val="auto"/>
                <w:sz w:val="24"/>
                <w:highlight w:val="none"/>
              </w:rPr>
            </w:pPr>
          </w:p>
        </w:tc>
        <w:tc>
          <w:tcPr>
            <w:tcW w:w="3107" w:type="dxa"/>
            <w:tcBorders>
              <w:top w:val="single" w:color="auto" w:sz="4" w:space="0"/>
              <w:left w:val="single" w:color="auto" w:sz="4" w:space="0"/>
              <w:bottom w:val="single" w:color="auto" w:sz="4" w:space="0"/>
              <w:right w:val="single" w:color="auto" w:sz="4" w:space="0"/>
            </w:tcBorders>
          </w:tcPr>
          <w:p w14:paraId="6CA8F14E">
            <w:pPr>
              <w:spacing w:line="360" w:lineRule="auto"/>
              <w:contextualSpacing/>
              <w:rPr>
                <w:rFonts w:hint="eastAsia" w:ascii="宋体" w:hAnsi="宋体" w:cs="仿宋_GB2312"/>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283E221E">
            <w:pPr>
              <w:spacing w:line="360" w:lineRule="auto"/>
              <w:contextualSpacing/>
              <w:rPr>
                <w:rFonts w:hint="eastAsia" w:ascii="宋体" w:hAnsi="宋体" w:cs="仿宋_GB2312"/>
                <w:color w:val="auto"/>
                <w:sz w:val="24"/>
                <w:highlight w:val="none"/>
              </w:rPr>
            </w:pPr>
          </w:p>
        </w:tc>
      </w:tr>
      <w:tr w14:paraId="2761F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095" w:type="dxa"/>
            <w:gridSpan w:val="5"/>
            <w:tcBorders>
              <w:top w:val="single" w:color="auto" w:sz="4" w:space="0"/>
              <w:left w:val="single" w:color="auto" w:sz="4" w:space="0"/>
              <w:bottom w:val="single" w:color="auto" w:sz="4" w:space="0"/>
              <w:right w:val="single" w:color="auto" w:sz="4" w:space="0"/>
            </w:tcBorders>
            <w:vAlign w:val="center"/>
          </w:tcPr>
          <w:p w14:paraId="556F3C1D">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合计金额（人民币）</w:t>
            </w:r>
            <w:r>
              <w:rPr>
                <w:rFonts w:hint="eastAsia" w:ascii="宋体" w:hAnsi="宋体" w:cs="仿宋_GB2312"/>
                <w:color w:val="auto"/>
                <w:sz w:val="24"/>
                <w:highlight w:val="none"/>
                <w:u w:val="single"/>
              </w:rPr>
              <w:t xml:space="preserve">大写：                      </w:t>
            </w:r>
            <w:r>
              <w:rPr>
                <w:rFonts w:hint="eastAsia" w:ascii="宋体" w:hAnsi="宋体" w:cs="仿宋_GB2312"/>
                <w:color w:val="auto"/>
                <w:sz w:val="24"/>
                <w:highlight w:val="none"/>
              </w:rPr>
              <w:t>（</w:t>
            </w:r>
            <w:r>
              <w:rPr>
                <w:rFonts w:ascii="Arial" w:hAnsi="Arial" w:cs="Arial"/>
                <w:color w:val="auto"/>
                <w:sz w:val="24"/>
                <w:highlight w:val="none"/>
              </w:rPr>
              <w:t>¥</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p>
        </w:tc>
      </w:tr>
    </w:tbl>
    <w:p w14:paraId="757F7982">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注： </w:t>
      </w:r>
    </w:p>
    <w:p w14:paraId="36657560">
      <w:pPr>
        <w:spacing w:line="360" w:lineRule="auto"/>
        <w:ind w:firstLine="480" w:firstLineChars="20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1. 供应商的最后报价表必须加盖供应商电子签章并由法定代表人或者委托代理人签字或者电子签名，</w:t>
      </w:r>
      <w:r>
        <w:rPr>
          <w:rFonts w:hint="eastAsia" w:ascii="宋体" w:hAnsi="宋体" w:cs="仿宋_GB2312"/>
          <w:b/>
          <w:color w:val="auto"/>
          <w:sz w:val="24"/>
          <w:highlight w:val="none"/>
        </w:rPr>
        <w:t>否则其响应文件按无效处理</w:t>
      </w:r>
      <w:r>
        <w:rPr>
          <w:rFonts w:hint="eastAsia" w:ascii="宋体" w:hAnsi="宋体" w:cs="仿宋_GB2312"/>
          <w:color w:val="auto"/>
          <w:sz w:val="24"/>
          <w:highlight w:val="none"/>
        </w:rPr>
        <w:t>。</w:t>
      </w:r>
    </w:p>
    <w:p w14:paraId="6D54B52B">
      <w:pPr>
        <w:spacing w:line="360" w:lineRule="auto"/>
        <w:ind w:firstLine="480" w:firstLineChars="200"/>
        <w:contextualSpacing/>
        <w:jc w:val="left"/>
        <w:rPr>
          <w:rFonts w:hint="eastAsia"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color w:val="auto"/>
          <w:sz w:val="24"/>
          <w:highlight w:val="none"/>
        </w:rPr>
        <w:t xml:space="preserve"> 最后报价一经涂改，应在涂改处加盖供应商公章或者加盖电子签章或者由法定代表人或者授权委托人签字</w:t>
      </w:r>
      <w:r>
        <w:rPr>
          <w:rFonts w:hint="eastAsia" w:ascii="宋体" w:hAnsi="宋体"/>
          <w:color w:val="auto"/>
          <w:sz w:val="24"/>
          <w:highlight w:val="none"/>
        </w:rPr>
        <w:t>（或者电子签名）</w:t>
      </w:r>
      <w:r>
        <w:rPr>
          <w:rFonts w:hint="eastAsia" w:ascii="宋体" w:hAnsi="宋体" w:cs="仿宋_GB2312"/>
          <w:b/>
          <w:color w:val="auto"/>
          <w:sz w:val="24"/>
          <w:highlight w:val="none"/>
        </w:rPr>
        <w:t>，否则其响应文件按无效处理。</w:t>
      </w:r>
    </w:p>
    <w:p w14:paraId="65B735E5">
      <w:pPr>
        <w:spacing w:line="360" w:lineRule="auto"/>
        <w:ind w:firstLine="643" w:firstLineChars="200"/>
        <w:contextualSpacing/>
        <w:jc w:val="left"/>
        <w:rPr>
          <w:rFonts w:hint="eastAsia" w:ascii="宋体" w:hAnsi="宋体" w:cs="仿宋_GB2312"/>
          <w:b/>
          <w:bCs/>
          <w:color w:val="auto"/>
          <w:sz w:val="32"/>
          <w:szCs w:val="32"/>
          <w:highlight w:val="none"/>
        </w:rPr>
      </w:pPr>
      <w:r>
        <w:rPr>
          <w:rFonts w:hint="eastAsia" w:ascii="宋体" w:hAnsi="宋体" w:cs="仿宋_GB2312"/>
          <w:b/>
          <w:bCs/>
          <w:color w:val="auto"/>
          <w:sz w:val="32"/>
          <w:szCs w:val="32"/>
          <w:highlight w:val="none"/>
        </w:rPr>
        <w:t>3.</w:t>
      </w:r>
      <w:r>
        <w:rPr>
          <w:rFonts w:hint="eastAsia" w:ascii="宋体" w:hAnsi="宋体" w:cs="宋体"/>
          <w:b/>
          <w:bCs/>
          <w:color w:val="auto"/>
          <w:sz w:val="32"/>
          <w:szCs w:val="32"/>
          <w:highlight w:val="none"/>
        </w:rPr>
        <w:t>在广西政府采购云平台评审过程中，</w:t>
      </w:r>
      <w:r>
        <w:rPr>
          <w:rFonts w:hint="eastAsia" w:ascii="宋体" w:hAnsi="宋体" w:cs="宋体"/>
          <w:b/>
          <w:bCs/>
          <w:color w:val="auto"/>
          <w:sz w:val="32"/>
          <w:szCs w:val="32"/>
          <w:highlight w:val="none"/>
          <w:u w:val="single"/>
        </w:rPr>
        <w:t>供应商提交的</w:t>
      </w:r>
      <w:r>
        <w:rPr>
          <w:rFonts w:hint="eastAsia" w:ascii="宋体" w:hAnsi="宋体" w:cs="仿宋_GB2312"/>
          <w:b/>
          <w:bCs/>
          <w:color w:val="auto"/>
          <w:sz w:val="32"/>
          <w:szCs w:val="32"/>
          <w:highlight w:val="none"/>
          <w:u w:val="single"/>
        </w:rPr>
        <w:t>最后报价与首次报价相比有调整的，必须同时上传相对应的“已标价的工程量清单”作为附件</w:t>
      </w:r>
      <w:r>
        <w:rPr>
          <w:rFonts w:hint="eastAsia" w:ascii="宋体" w:hAnsi="宋体" w:cs="仿宋_GB2312"/>
          <w:b/>
          <w:bCs/>
          <w:color w:val="auto"/>
          <w:sz w:val="32"/>
          <w:szCs w:val="32"/>
          <w:highlight w:val="none"/>
        </w:rPr>
        <w:t>，否则其响应文件按无效处理。</w:t>
      </w:r>
    </w:p>
    <w:p w14:paraId="409B7506">
      <w:pPr>
        <w:spacing w:line="360" w:lineRule="auto"/>
        <w:ind w:right="-817" w:rightChars="-389"/>
        <w:contextualSpacing/>
        <w:rPr>
          <w:rFonts w:hint="eastAsia" w:ascii="宋体" w:hAnsi="宋体" w:cs="仿宋_GB2312"/>
          <w:color w:val="auto"/>
          <w:sz w:val="24"/>
          <w:highlight w:val="none"/>
        </w:rPr>
      </w:pPr>
    </w:p>
    <w:p w14:paraId="26E53110">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4197EA09">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7BFA3016">
      <w:pPr>
        <w:spacing w:line="360" w:lineRule="auto"/>
        <w:ind w:right="-817" w:rightChars="-389" w:firstLine="4080" w:firstLineChars="170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4813AD82">
      <w:pPr>
        <w:pStyle w:val="14"/>
        <w:spacing w:line="360" w:lineRule="auto"/>
        <w:jc w:val="center"/>
        <w:outlineLvl w:val="0"/>
        <w:rPr>
          <w:rFonts w:hint="eastAsia" w:ascii="黑体" w:hAnsi="宋体" w:eastAsia="黑体" w:cs="Times New Roman"/>
          <w:b/>
          <w:bCs/>
          <w:color w:val="auto"/>
          <w:kern w:val="0"/>
          <w:sz w:val="36"/>
          <w:szCs w:val="36"/>
          <w:highlight w:val="none"/>
        </w:rPr>
        <w:sectPr>
          <w:pgSz w:w="11906" w:h="16838"/>
          <w:pgMar w:top="1247" w:right="1417" w:bottom="1247" w:left="1417" w:header="851" w:footer="992" w:gutter="0"/>
          <w:cols w:space="0" w:num="1"/>
          <w:docGrid w:type="lines" w:linePitch="312" w:charSpace="0"/>
        </w:sectPr>
      </w:pPr>
    </w:p>
    <w:p w14:paraId="35F43542">
      <w:pPr>
        <w:pStyle w:val="14"/>
        <w:spacing w:line="360" w:lineRule="auto"/>
        <w:jc w:val="center"/>
        <w:outlineLvl w:val="0"/>
        <w:rPr>
          <w:rFonts w:hint="eastAsia" w:ascii="黑体" w:hAnsi="宋体" w:eastAsia="黑体" w:cs="Times New Roman"/>
          <w:b/>
          <w:bCs/>
          <w:color w:val="auto"/>
          <w:kern w:val="0"/>
          <w:sz w:val="36"/>
          <w:szCs w:val="36"/>
          <w:highlight w:val="none"/>
        </w:rPr>
      </w:pPr>
      <w:r>
        <w:rPr>
          <w:rFonts w:hint="eastAsia" w:ascii="黑体" w:hAnsi="宋体" w:eastAsia="黑体" w:cs="Times New Roman"/>
          <w:b/>
          <w:bCs/>
          <w:color w:val="auto"/>
          <w:kern w:val="0"/>
          <w:sz w:val="36"/>
          <w:szCs w:val="36"/>
          <w:highlight w:val="none"/>
        </w:rPr>
        <w:t>第四章 评审标准</w:t>
      </w:r>
      <w:bookmarkEnd w:id="66"/>
    </w:p>
    <w:p w14:paraId="74AC076E">
      <w:pPr>
        <w:pStyle w:val="7"/>
        <w:spacing w:line="360" w:lineRule="auto"/>
        <w:ind w:left="0"/>
        <w:jc w:val="both"/>
        <w:rPr>
          <w:rFonts w:hint="eastAsia"/>
          <w:color w:val="auto"/>
          <w:sz w:val="24"/>
          <w:szCs w:val="24"/>
          <w:highlight w:val="none"/>
        </w:rPr>
      </w:pPr>
      <w:r>
        <w:rPr>
          <w:rFonts w:hint="eastAsia"/>
          <w:color w:val="auto"/>
          <w:sz w:val="24"/>
          <w:szCs w:val="24"/>
          <w:highlight w:val="none"/>
        </w:rPr>
        <w:t>一、评审程序和评审方法</w:t>
      </w:r>
    </w:p>
    <w:p w14:paraId="06A5FABB">
      <w:pPr>
        <w:spacing w:line="360" w:lineRule="auto"/>
        <w:ind w:firstLine="422" w:firstLineChars="200"/>
        <w:rPr>
          <w:b/>
          <w:bCs/>
          <w:color w:val="auto"/>
          <w:highlight w:val="none"/>
        </w:rPr>
      </w:pPr>
      <w:r>
        <w:rPr>
          <w:rFonts w:hint="eastAsia"/>
          <w:b/>
          <w:bCs/>
          <w:color w:val="auto"/>
          <w:highlight w:val="none"/>
        </w:rPr>
        <w:t>1.资格审查</w:t>
      </w:r>
    </w:p>
    <w:p w14:paraId="28907D79">
      <w:pPr>
        <w:spacing w:line="360" w:lineRule="auto"/>
        <w:ind w:firstLine="420" w:firstLineChars="200"/>
        <w:rPr>
          <w:color w:val="auto"/>
          <w:highlight w:val="none"/>
        </w:rPr>
      </w:pPr>
      <w:r>
        <w:rPr>
          <w:rFonts w:hint="eastAsia"/>
          <w:color w:val="auto"/>
          <w:highlight w:val="none"/>
        </w:rPr>
        <w:t>1.1响应文件开启后，磋商小组依法对供应商的资格证明文件进行审查。</w:t>
      </w:r>
    </w:p>
    <w:p w14:paraId="4A2A64DF">
      <w:pPr>
        <w:spacing w:line="360" w:lineRule="auto"/>
        <w:ind w:firstLine="420" w:firstLineChars="200"/>
        <w:rPr>
          <w:color w:val="auto"/>
          <w:highlight w:val="none"/>
        </w:rPr>
      </w:pPr>
      <w:r>
        <w:rPr>
          <w:rFonts w:hint="eastAsia"/>
          <w:color w:val="auto"/>
          <w:highlight w:val="none"/>
        </w:rPr>
        <w:t>注：采购人或者采购代理机构在资格审查结束前，对供应商进行信用查询。</w:t>
      </w:r>
    </w:p>
    <w:p w14:paraId="576C97A7">
      <w:pPr>
        <w:spacing w:line="360" w:lineRule="auto"/>
        <w:ind w:firstLine="420" w:firstLineChars="200"/>
        <w:rPr>
          <w:color w:val="auto"/>
          <w:highlight w:val="none"/>
        </w:rPr>
      </w:pPr>
      <w:r>
        <w:rPr>
          <w:rFonts w:hint="eastAsia"/>
          <w:color w:val="auto"/>
          <w:highlight w:val="none"/>
        </w:rPr>
        <w:t>（1）查询渠道：“信用中国”网站（www.creditchina.gov.cn）、中国政府采购网（www.ccgp.gov.cn）。</w:t>
      </w:r>
    </w:p>
    <w:p w14:paraId="7C02B6EF">
      <w:pPr>
        <w:spacing w:line="360" w:lineRule="auto"/>
        <w:ind w:firstLine="420" w:firstLineChars="200"/>
        <w:rPr>
          <w:color w:val="auto"/>
          <w:highlight w:val="none"/>
        </w:rPr>
      </w:pPr>
      <w:r>
        <w:rPr>
          <w:rFonts w:hint="eastAsia"/>
          <w:color w:val="auto"/>
          <w:highlight w:val="none"/>
        </w:rPr>
        <w:t>（2）信用查询截止时点：资格审查结束前。</w:t>
      </w:r>
    </w:p>
    <w:p w14:paraId="0F30E3CA">
      <w:pPr>
        <w:spacing w:line="360" w:lineRule="auto"/>
        <w:ind w:firstLine="420" w:firstLineChars="200"/>
        <w:rPr>
          <w:color w:val="auto"/>
          <w:highlight w:val="none"/>
        </w:rPr>
      </w:pPr>
      <w:r>
        <w:rPr>
          <w:rFonts w:hint="eastAsia"/>
          <w:color w:val="auto"/>
          <w:highlight w:val="none"/>
        </w:rPr>
        <w:t>查询记录和证据留存方式：在查询网站中直接打印查询记录，打印材料作为评审资料保存。</w:t>
      </w:r>
    </w:p>
    <w:p w14:paraId="619F84B0">
      <w:pPr>
        <w:spacing w:line="360" w:lineRule="auto"/>
        <w:ind w:firstLine="420" w:firstLineChars="200"/>
        <w:rPr>
          <w:color w:val="auto"/>
          <w:highlight w:val="none"/>
        </w:rPr>
      </w:pPr>
      <w:r>
        <w:rPr>
          <w:rFonts w:hint="eastAsia"/>
          <w:color w:val="auto"/>
          <w:highlight w:val="none"/>
        </w:rPr>
        <w:t>信用信息使用规则：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w:t>
      </w:r>
    </w:p>
    <w:p w14:paraId="3FB238A4">
      <w:pPr>
        <w:spacing w:line="360" w:lineRule="auto"/>
        <w:ind w:firstLine="420" w:firstLineChars="200"/>
        <w:rPr>
          <w:color w:val="auto"/>
          <w:highlight w:val="none"/>
        </w:rPr>
      </w:pPr>
      <w:r>
        <w:rPr>
          <w:rFonts w:hint="eastAsia"/>
          <w:color w:val="auto"/>
          <w:highlight w:val="none"/>
        </w:rPr>
        <w:t>1.2资格审查标准为本磋商文件中载明对供应商资格要求的条件。资格审查采用合格制，凡符合磋商文件规定的供应商资格要求的响应文件均通过资格审查。</w:t>
      </w:r>
    </w:p>
    <w:p w14:paraId="3333CA37">
      <w:pPr>
        <w:spacing w:line="360" w:lineRule="auto"/>
        <w:ind w:firstLine="420" w:firstLineChars="200"/>
        <w:rPr>
          <w:color w:val="auto"/>
          <w:highlight w:val="none"/>
        </w:rPr>
      </w:pPr>
      <w:r>
        <w:rPr>
          <w:rFonts w:hint="eastAsia"/>
          <w:color w:val="auto"/>
          <w:highlight w:val="none"/>
        </w:rPr>
        <w:t>1.3供应商有下列情形之一的，资格审查不通过，其响应文件按无效响应处理：</w:t>
      </w:r>
    </w:p>
    <w:p w14:paraId="64E16344">
      <w:pPr>
        <w:spacing w:line="360" w:lineRule="auto"/>
        <w:ind w:firstLine="420" w:firstLineChars="200"/>
        <w:rPr>
          <w:color w:val="auto"/>
          <w:highlight w:val="none"/>
        </w:rPr>
      </w:pPr>
      <w:r>
        <w:rPr>
          <w:rFonts w:hint="eastAsia"/>
          <w:color w:val="auto"/>
          <w:highlight w:val="none"/>
        </w:rPr>
        <w:t>（1）不具备磋商文件中规定的资格要求的；</w:t>
      </w:r>
    </w:p>
    <w:p w14:paraId="35AA05E4">
      <w:pPr>
        <w:spacing w:line="360" w:lineRule="auto"/>
        <w:ind w:firstLine="420" w:firstLineChars="200"/>
        <w:rPr>
          <w:color w:val="auto"/>
          <w:highlight w:val="none"/>
        </w:rPr>
      </w:pPr>
      <w:r>
        <w:rPr>
          <w:rFonts w:hint="eastAsia"/>
          <w:color w:val="auto"/>
          <w:highlight w:val="none"/>
        </w:rPr>
        <w:t>（2）响应文件未提供任一项“供应商须知前附表”资格证明文件规定的“必须提供”的文件资料的；</w:t>
      </w:r>
    </w:p>
    <w:p w14:paraId="56B0BBAA">
      <w:pPr>
        <w:spacing w:line="360" w:lineRule="auto"/>
        <w:ind w:firstLine="420" w:firstLineChars="200"/>
        <w:rPr>
          <w:color w:val="auto"/>
          <w:highlight w:val="none"/>
        </w:rPr>
      </w:pPr>
      <w:r>
        <w:rPr>
          <w:rFonts w:hint="eastAsia"/>
          <w:color w:val="auto"/>
          <w:highlight w:val="none"/>
        </w:rPr>
        <w:t>（3）响应文件提供的资格证明文件出现任一项不符合“供应商须知前附表”资格证明文件规定的“必须提供”的文件资料要求或者无效的。</w:t>
      </w:r>
    </w:p>
    <w:p w14:paraId="551C5FAB">
      <w:pPr>
        <w:spacing w:line="360" w:lineRule="auto"/>
        <w:ind w:firstLine="420" w:firstLineChars="200"/>
        <w:rPr>
          <w:color w:val="auto"/>
          <w:highlight w:val="none"/>
        </w:rPr>
      </w:pPr>
      <w:r>
        <w:rPr>
          <w:rFonts w:hint="eastAsia"/>
          <w:color w:val="auto"/>
          <w:highlight w:val="none"/>
        </w:rPr>
        <w:t>1.4通过资格审查的合格供应商不足3家的，不得进入符合性审查环节，采购人或者采购代理机构应当重新开展采购活动。</w:t>
      </w:r>
    </w:p>
    <w:p w14:paraId="3C8F0713">
      <w:pPr>
        <w:spacing w:line="360" w:lineRule="auto"/>
        <w:ind w:firstLine="420" w:firstLineChars="200"/>
        <w:rPr>
          <w:color w:val="auto"/>
          <w:highlight w:val="none"/>
        </w:rPr>
      </w:pPr>
      <w:r>
        <w:rPr>
          <w:rFonts w:hint="eastAsia"/>
          <w:color w:val="auto"/>
          <w:highlight w:val="none"/>
        </w:rPr>
        <w:t>2.符合性审查</w:t>
      </w:r>
    </w:p>
    <w:p w14:paraId="560F4994">
      <w:pPr>
        <w:spacing w:line="360" w:lineRule="auto"/>
        <w:ind w:firstLine="420" w:firstLineChars="200"/>
        <w:rPr>
          <w:color w:val="auto"/>
          <w:highlight w:val="none"/>
        </w:rPr>
      </w:pPr>
      <w:r>
        <w:rPr>
          <w:rFonts w:hint="eastAsia"/>
          <w:color w:val="auto"/>
          <w:highlight w:val="none"/>
        </w:rPr>
        <w:t>2.1由磋商小组对通过资格审查的合格供应商的响应文件的竞标报价、商务、技术等实质性要求进行符合性审查，以确定其是否满足磋商文件的实质性要求。</w:t>
      </w:r>
    </w:p>
    <w:p w14:paraId="23869F44">
      <w:pPr>
        <w:spacing w:line="360" w:lineRule="auto"/>
        <w:ind w:firstLine="420" w:firstLineChars="200"/>
        <w:rPr>
          <w:color w:val="auto"/>
          <w:highlight w:val="none"/>
        </w:rPr>
      </w:pPr>
      <w:r>
        <w:rPr>
          <w:rFonts w:hint="eastAsia"/>
          <w:color w:val="auto"/>
          <w:highlight w:val="none"/>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E98A7C6">
      <w:pPr>
        <w:spacing w:line="360" w:lineRule="auto"/>
        <w:ind w:firstLine="420" w:firstLineChars="200"/>
        <w:rPr>
          <w:color w:val="auto"/>
          <w:highlight w:val="none"/>
        </w:rPr>
      </w:pPr>
      <w:r>
        <w:rPr>
          <w:rFonts w:hint="eastAsia"/>
          <w:color w:val="auto"/>
          <w:highlight w:val="none"/>
        </w:rPr>
        <w:t>2.3磋商小组要求供应商澄清、说明或者更正响应文件应当要求供应商在合理时间内通过广西政府采购云平台（https://www.gcy.zfcg.gxzf.gov.cn/）的方式形式作出。供应商的澄清、说明或者更正必须通过广西政府采购云平台以书面形式按照磋商小组的要求作出明确的澄清、说明或者更正，未按磋商小组的要求作出明确澄清、说明或者更正的供应商的响应文件将按照有利于采购人的原则由磋商小组进行判定。供应商的澄清、说明或者更正必须由法定代表人或者其委托代理人签字或者加盖CA签章。由委托代理人签字的，若委托代理人不是响应文件中授权的委托代理人时，必须同时出示有效的法定代表人授权委托书原件。供应商为自然人的，必须由本人签字并附身份证明。</w:t>
      </w:r>
    </w:p>
    <w:p w14:paraId="41696059">
      <w:pPr>
        <w:spacing w:line="360" w:lineRule="auto"/>
        <w:ind w:firstLine="420" w:firstLineChars="200"/>
        <w:rPr>
          <w:color w:val="auto"/>
          <w:highlight w:val="none"/>
        </w:rPr>
      </w:pPr>
      <w:r>
        <w:rPr>
          <w:rFonts w:hint="eastAsia"/>
          <w:color w:val="auto"/>
          <w:highlight w:val="none"/>
        </w:rPr>
        <w:t>2.4首次响应文件报价出现前后不一致的，按照下列规定修正：</w:t>
      </w:r>
    </w:p>
    <w:p w14:paraId="02A21545">
      <w:pPr>
        <w:spacing w:line="360" w:lineRule="auto"/>
        <w:ind w:firstLine="420" w:firstLineChars="200"/>
        <w:rPr>
          <w:color w:val="auto"/>
          <w:highlight w:val="none"/>
        </w:rPr>
      </w:pPr>
      <w:r>
        <w:rPr>
          <w:rFonts w:hint="eastAsia"/>
          <w:color w:val="auto"/>
          <w:highlight w:val="none"/>
        </w:rPr>
        <w:t>（1）响应文件中报价表内容与响应文件中相应内容不一致的，以报价表为准；</w:t>
      </w:r>
    </w:p>
    <w:p w14:paraId="1F16B0DD">
      <w:pPr>
        <w:spacing w:line="360" w:lineRule="auto"/>
        <w:ind w:firstLine="420" w:firstLineChars="200"/>
        <w:rPr>
          <w:color w:val="auto"/>
          <w:highlight w:val="none"/>
        </w:rPr>
      </w:pPr>
      <w:r>
        <w:rPr>
          <w:rFonts w:hint="eastAsia"/>
          <w:color w:val="auto"/>
          <w:highlight w:val="none"/>
        </w:rPr>
        <w:t>（2）大写金额和小写金额不一致的，以大写金额为准；</w:t>
      </w:r>
    </w:p>
    <w:p w14:paraId="448BDBFD">
      <w:pPr>
        <w:spacing w:line="360" w:lineRule="auto"/>
        <w:ind w:firstLine="420" w:firstLineChars="200"/>
        <w:rPr>
          <w:color w:val="auto"/>
          <w:highlight w:val="none"/>
        </w:rPr>
      </w:pPr>
      <w:r>
        <w:rPr>
          <w:rFonts w:hint="eastAsia"/>
          <w:color w:val="auto"/>
          <w:highlight w:val="none"/>
        </w:rPr>
        <w:t>（3）单价金额小数点或者百分比有明显错位的，以报价表的总价为准，并修改单价；</w:t>
      </w:r>
    </w:p>
    <w:p w14:paraId="44835140">
      <w:pPr>
        <w:spacing w:line="360" w:lineRule="auto"/>
        <w:ind w:firstLine="420" w:firstLineChars="200"/>
        <w:rPr>
          <w:color w:val="auto"/>
          <w:highlight w:val="none"/>
        </w:rPr>
      </w:pPr>
      <w:r>
        <w:rPr>
          <w:rFonts w:hint="eastAsia"/>
          <w:color w:val="auto"/>
          <w:highlight w:val="none"/>
        </w:rPr>
        <w:t>（4）总价金额与按单价汇总金额不一致的，以单价金额计算结果为准。</w:t>
      </w:r>
    </w:p>
    <w:p w14:paraId="7CD0E401">
      <w:pPr>
        <w:spacing w:line="360" w:lineRule="auto"/>
        <w:ind w:firstLine="420" w:firstLineChars="200"/>
        <w:rPr>
          <w:color w:val="auto"/>
          <w:highlight w:val="none"/>
        </w:rPr>
      </w:pPr>
      <w:r>
        <w:rPr>
          <w:rFonts w:hint="eastAsia"/>
          <w:color w:val="auto"/>
          <w:highlight w:val="none"/>
        </w:rPr>
        <w:t>同时出现两种以上不一致的，按照以上（1）-（4）规定的顺序逐条进行修正。修正后的报价经供应商确认后产生约束力，供应商不确认的，其响应文件按无效响应处理。</w:t>
      </w:r>
    </w:p>
    <w:p w14:paraId="74C7FFCF">
      <w:pPr>
        <w:spacing w:line="360" w:lineRule="auto"/>
        <w:ind w:firstLine="420" w:firstLineChars="200"/>
        <w:rPr>
          <w:color w:val="auto"/>
          <w:highlight w:val="none"/>
        </w:rPr>
      </w:pPr>
      <w:r>
        <w:rPr>
          <w:rFonts w:hint="eastAsia"/>
          <w:color w:val="auto"/>
          <w:highlight w:val="none"/>
        </w:rPr>
        <w:t>2.5商务技术报价评审</w:t>
      </w:r>
    </w:p>
    <w:p w14:paraId="37AD955F">
      <w:pPr>
        <w:spacing w:line="360" w:lineRule="auto"/>
        <w:ind w:firstLine="420" w:firstLineChars="200"/>
        <w:rPr>
          <w:color w:val="auto"/>
          <w:highlight w:val="none"/>
        </w:rPr>
      </w:pPr>
      <w:r>
        <w:rPr>
          <w:rFonts w:hint="eastAsia"/>
          <w:color w:val="auto"/>
          <w:highlight w:val="none"/>
        </w:rPr>
        <w:t>在评审时，如发现下列情形之一的，将被视为响应文件无效处理：</w:t>
      </w:r>
    </w:p>
    <w:p w14:paraId="19482A04">
      <w:pPr>
        <w:spacing w:line="360" w:lineRule="auto"/>
        <w:ind w:firstLine="420" w:firstLineChars="200"/>
        <w:rPr>
          <w:color w:val="auto"/>
          <w:highlight w:val="none"/>
        </w:rPr>
      </w:pPr>
      <w:r>
        <w:rPr>
          <w:rFonts w:hint="eastAsia"/>
          <w:color w:val="auto"/>
          <w:highlight w:val="none"/>
        </w:rPr>
        <w:t>（1）商务技术评审</w:t>
      </w:r>
    </w:p>
    <w:p w14:paraId="0080A064">
      <w:pPr>
        <w:spacing w:line="360" w:lineRule="auto"/>
        <w:ind w:firstLine="420" w:firstLineChars="200"/>
        <w:rPr>
          <w:color w:val="auto"/>
          <w:highlight w:val="none"/>
        </w:rPr>
      </w:pPr>
      <w:r>
        <w:rPr>
          <w:rFonts w:hint="eastAsia"/>
          <w:color w:val="auto"/>
          <w:highlight w:val="none"/>
        </w:rPr>
        <w:t>1）响应文件未按磋商文件要求签署、盖章；</w:t>
      </w:r>
    </w:p>
    <w:p w14:paraId="6195D400">
      <w:pPr>
        <w:spacing w:line="360" w:lineRule="auto"/>
        <w:ind w:firstLine="420" w:firstLineChars="200"/>
        <w:rPr>
          <w:color w:val="auto"/>
          <w:highlight w:val="none"/>
        </w:rPr>
      </w:pPr>
      <w:r>
        <w:rPr>
          <w:rFonts w:hint="eastAsia"/>
          <w:color w:val="auto"/>
          <w:highlight w:val="none"/>
        </w:rPr>
        <w:t>2）委托代理人未能出具有效身份证明或者出具的身份证明与授权委托书中的信息不符；</w:t>
      </w:r>
    </w:p>
    <w:p w14:paraId="4BF2DC44">
      <w:pPr>
        <w:spacing w:line="360" w:lineRule="auto"/>
        <w:ind w:firstLine="420" w:firstLineChars="200"/>
        <w:rPr>
          <w:color w:val="auto"/>
          <w:highlight w:val="none"/>
        </w:rPr>
      </w:pPr>
      <w:r>
        <w:rPr>
          <w:rFonts w:hint="eastAsia"/>
          <w:color w:val="auto"/>
          <w:highlight w:val="none"/>
        </w:rPr>
        <w:t>3）响应文件未提供任一项“供应商须知前附表”报价商务技术文件中“必须提供”或者“委托时必须提供”的文件资料；响应文件提供的报价商务技术文件出现任一项不符合“供应商须知前附表”报价商务技术文件中“必须提供”或者“委托时必须提供”文件资料要求的规定或者提供的报价商务技术文件无效。</w:t>
      </w:r>
    </w:p>
    <w:p w14:paraId="3EF900F5">
      <w:pPr>
        <w:spacing w:line="360" w:lineRule="auto"/>
        <w:ind w:firstLine="420" w:firstLineChars="200"/>
        <w:rPr>
          <w:color w:val="auto"/>
          <w:highlight w:val="none"/>
        </w:rPr>
      </w:pPr>
      <w:r>
        <w:rPr>
          <w:rFonts w:hint="eastAsia"/>
          <w:color w:val="auto"/>
          <w:highlight w:val="none"/>
        </w:rPr>
        <w:t>4）商务条款中标“▲”的条款发生负偏离的或者允许负偏离的条款数超过“供应商须知前附表”规定项数的或者标明实质性的要求发生负偏离；</w:t>
      </w:r>
    </w:p>
    <w:p w14:paraId="71A69230">
      <w:pPr>
        <w:spacing w:line="360" w:lineRule="auto"/>
        <w:ind w:firstLine="420" w:firstLineChars="200"/>
        <w:rPr>
          <w:color w:val="auto"/>
          <w:highlight w:val="none"/>
        </w:rPr>
      </w:pPr>
      <w:r>
        <w:rPr>
          <w:rFonts w:hint="eastAsia"/>
          <w:color w:val="auto"/>
          <w:highlight w:val="none"/>
        </w:rPr>
        <w:t>5）未对竞标有效期作出响应或者响应文件承诺的竞标有效期不满足磋商文件要求；</w:t>
      </w:r>
    </w:p>
    <w:p w14:paraId="1E433DD1">
      <w:pPr>
        <w:spacing w:line="360" w:lineRule="auto"/>
        <w:ind w:firstLine="420" w:firstLineChars="200"/>
        <w:rPr>
          <w:color w:val="auto"/>
          <w:highlight w:val="none"/>
        </w:rPr>
      </w:pPr>
      <w:r>
        <w:rPr>
          <w:rFonts w:hint="eastAsia"/>
          <w:color w:val="auto"/>
          <w:highlight w:val="none"/>
        </w:rPr>
        <w:t>6）响应文件的实质性内容未使用中文表述、使用计量单位不符合磋商文件要求；</w:t>
      </w:r>
    </w:p>
    <w:p w14:paraId="14A73081">
      <w:pPr>
        <w:spacing w:line="360" w:lineRule="auto"/>
        <w:ind w:firstLine="420" w:firstLineChars="200"/>
        <w:rPr>
          <w:color w:val="auto"/>
          <w:highlight w:val="none"/>
        </w:rPr>
      </w:pPr>
      <w:r>
        <w:rPr>
          <w:rFonts w:hint="eastAsia"/>
          <w:color w:val="auto"/>
          <w:highlight w:val="none"/>
        </w:rPr>
        <w:t>7）响应文件中的文件资料因填写不齐全或者内容虚假或者出现其他情形而导致被磋商小组认定无效；</w:t>
      </w:r>
    </w:p>
    <w:p w14:paraId="6CFC7377">
      <w:pPr>
        <w:spacing w:line="360" w:lineRule="auto"/>
        <w:ind w:firstLine="420" w:firstLineChars="200"/>
        <w:rPr>
          <w:color w:val="auto"/>
          <w:highlight w:val="none"/>
        </w:rPr>
      </w:pPr>
      <w:r>
        <w:rPr>
          <w:rFonts w:hint="eastAsia"/>
          <w:color w:val="auto"/>
          <w:highlight w:val="none"/>
        </w:rPr>
        <w:t>8）响应文件含有采购人不能接受的附加条件；</w:t>
      </w:r>
    </w:p>
    <w:p w14:paraId="2BE69BAF">
      <w:pPr>
        <w:spacing w:line="360" w:lineRule="auto"/>
        <w:ind w:firstLine="420" w:firstLineChars="200"/>
        <w:rPr>
          <w:color w:val="auto"/>
          <w:highlight w:val="none"/>
        </w:rPr>
      </w:pPr>
      <w:r>
        <w:rPr>
          <w:rFonts w:hint="eastAsia"/>
          <w:color w:val="auto"/>
          <w:highlight w:val="none"/>
        </w:rPr>
        <w:t>9）属于“供应商须知正文”第7.7条情形；</w:t>
      </w:r>
    </w:p>
    <w:p w14:paraId="48EF615D">
      <w:pPr>
        <w:spacing w:line="360" w:lineRule="auto"/>
        <w:ind w:firstLine="420" w:firstLineChars="200"/>
        <w:rPr>
          <w:color w:val="auto"/>
          <w:highlight w:val="none"/>
        </w:rPr>
      </w:pPr>
      <w:r>
        <w:rPr>
          <w:rFonts w:hint="eastAsia"/>
          <w:color w:val="auto"/>
          <w:highlight w:val="none"/>
        </w:rPr>
        <w:t>10）技术需求允许负偏离的条款数超过“供应商须知前附表”规定项数；</w:t>
      </w:r>
    </w:p>
    <w:p w14:paraId="22770FFE">
      <w:pPr>
        <w:spacing w:line="360" w:lineRule="auto"/>
        <w:ind w:firstLine="420" w:firstLineChars="200"/>
        <w:rPr>
          <w:color w:val="auto"/>
          <w:highlight w:val="none"/>
        </w:rPr>
      </w:pPr>
      <w:r>
        <w:rPr>
          <w:rFonts w:hint="eastAsia"/>
          <w:color w:val="auto"/>
          <w:highlight w:val="none"/>
        </w:rPr>
        <w:t>11）虚假竞标，或者出现其他情形而导致被磋商小组认定无效；</w:t>
      </w:r>
    </w:p>
    <w:p w14:paraId="4CAD49A1">
      <w:pPr>
        <w:spacing w:line="360" w:lineRule="auto"/>
        <w:ind w:firstLine="420" w:firstLineChars="200"/>
        <w:rPr>
          <w:color w:val="auto"/>
          <w:highlight w:val="none"/>
        </w:rPr>
      </w:pPr>
      <w:r>
        <w:rPr>
          <w:rFonts w:hint="eastAsia"/>
          <w:color w:val="auto"/>
          <w:highlight w:val="none"/>
        </w:rPr>
        <w:t>12）竞标技术方案不明确，磋商文件未允许但响应文件中存在一个或者一个以上备选（替代）竞标方案；</w:t>
      </w:r>
    </w:p>
    <w:p w14:paraId="2EEE94D5">
      <w:pPr>
        <w:spacing w:line="360" w:lineRule="auto"/>
        <w:ind w:firstLine="420" w:firstLineChars="200"/>
        <w:rPr>
          <w:color w:val="auto"/>
          <w:highlight w:val="none"/>
        </w:rPr>
      </w:pPr>
      <w:r>
        <w:rPr>
          <w:rFonts w:hint="eastAsia"/>
          <w:color w:val="auto"/>
          <w:highlight w:val="none"/>
        </w:rPr>
        <w:t>13）响应文件标注的项目名称或者项目编号与竞争性磋商文件标注的项目名称或者项目编号不一致的；</w:t>
      </w:r>
    </w:p>
    <w:p w14:paraId="11D08613">
      <w:pPr>
        <w:spacing w:line="360" w:lineRule="auto"/>
        <w:ind w:firstLine="420" w:firstLineChars="200"/>
        <w:rPr>
          <w:color w:val="auto"/>
          <w:highlight w:val="none"/>
        </w:rPr>
      </w:pPr>
      <w:r>
        <w:rPr>
          <w:rFonts w:hint="eastAsia"/>
          <w:color w:val="auto"/>
          <w:highlight w:val="none"/>
        </w:rPr>
        <w:t>14）未响应磋商文件实质性要求；</w:t>
      </w:r>
    </w:p>
    <w:p w14:paraId="07B44073">
      <w:pPr>
        <w:spacing w:line="360" w:lineRule="auto"/>
        <w:ind w:firstLine="420" w:firstLineChars="200"/>
        <w:rPr>
          <w:color w:val="auto"/>
          <w:highlight w:val="none"/>
        </w:rPr>
      </w:pPr>
      <w:r>
        <w:rPr>
          <w:rFonts w:hint="eastAsia"/>
          <w:color w:val="auto"/>
          <w:highlight w:val="none"/>
        </w:rPr>
        <w:t>15）法律、法规和磋商文件规定的其他无效情形。</w:t>
      </w:r>
    </w:p>
    <w:p w14:paraId="29194270">
      <w:pPr>
        <w:spacing w:line="360" w:lineRule="auto"/>
        <w:ind w:firstLine="420" w:firstLineChars="200"/>
        <w:rPr>
          <w:color w:val="auto"/>
          <w:highlight w:val="none"/>
        </w:rPr>
      </w:pPr>
      <w:r>
        <w:rPr>
          <w:rFonts w:hint="eastAsia"/>
          <w:color w:val="auto"/>
          <w:highlight w:val="none"/>
        </w:rPr>
        <w:t>（2）报价评审</w:t>
      </w:r>
    </w:p>
    <w:p w14:paraId="4916812D">
      <w:pPr>
        <w:spacing w:line="360" w:lineRule="auto"/>
        <w:ind w:firstLine="420" w:firstLineChars="200"/>
        <w:rPr>
          <w:color w:val="auto"/>
          <w:highlight w:val="none"/>
        </w:rPr>
      </w:pPr>
      <w:r>
        <w:rPr>
          <w:rFonts w:hint="eastAsia"/>
          <w:color w:val="auto"/>
          <w:highlight w:val="none"/>
        </w:rPr>
        <w:t>1）响应文件未提供“供应商须知前附表”报价商务技术文件中规定的；</w:t>
      </w:r>
    </w:p>
    <w:p w14:paraId="7F6687EA">
      <w:pPr>
        <w:spacing w:line="360" w:lineRule="auto"/>
        <w:ind w:firstLine="420" w:firstLineChars="200"/>
        <w:rPr>
          <w:color w:val="auto"/>
          <w:highlight w:val="none"/>
        </w:rPr>
      </w:pPr>
      <w:r>
        <w:rPr>
          <w:rFonts w:hint="eastAsia"/>
          <w:color w:val="auto"/>
          <w:highlight w:val="none"/>
        </w:rPr>
        <w:t>2）未采用人民币报价或者未按照磋商文件标明的币种报价；</w:t>
      </w:r>
    </w:p>
    <w:p w14:paraId="1B7923C8">
      <w:pPr>
        <w:spacing w:line="360" w:lineRule="auto"/>
        <w:ind w:firstLine="420" w:firstLineChars="200"/>
        <w:rPr>
          <w:color w:val="auto"/>
          <w:highlight w:val="none"/>
        </w:rPr>
      </w:pPr>
      <w:r>
        <w:rPr>
          <w:rFonts w:hint="eastAsia"/>
          <w:color w:val="auto"/>
          <w:highlight w:val="none"/>
        </w:rPr>
        <w:t>3）供应商未就所磋商分标进行报价或者存在漏项报价；供应商未就所磋商分标的单项内容作唯一报价；供应商未就所磋商分标的全部内容作唯一总价报价；供应商响应文件中存在有选择、有条件报价的（磋商文件允许有备选方案或者其他约定的除外）；</w:t>
      </w:r>
    </w:p>
    <w:p w14:paraId="115E683B">
      <w:pPr>
        <w:spacing w:line="360" w:lineRule="auto"/>
        <w:ind w:firstLine="420" w:firstLineChars="200"/>
        <w:rPr>
          <w:color w:val="auto"/>
          <w:highlight w:val="none"/>
        </w:rPr>
      </w:pPr>
      <w:r>
        <w:rPr>
          <w:rFonts w:hint="eastAsia"/>
          <w:color w:val="auto"/>
          <w:highlight w:val="none"/>
        </w:rPr>
        <w:t>4）磋商报价（包含首次报价、最后报价）超过的采购预算金额或者最高限价的（如本项目公布了最高限价）；磋商报价（包含首次报价、最后报价）超过磋商文件分项采购预算金额或者最高限价的（如本项目公布了最高限价）；</w:t>
      </w:r>
    </w:p>
    <w:p w14:paraId="6DD1583A">
      <w:pPr>
        <w:spacing w:line="360" w:lineRule="auto"/>
        <w:ind w:firstLine="420" w:firstLineChars="200"/>
        <w:rPr>
          <w:color w:val="auto"/>
          <w:highlight w:val="none"/>
        </w:rPr>
      </w:pPr>
      <w:r>
        <w:rPr>
          <w:rFonts w:hint="eastAsia"/>
          <w:color w:val="auto"/>
          <w:highlight w:val="none"/>
        </w:rPr>
        <w:t>5）修正后的报价，供应商不确认的；或者经供应商确认修正后的磋商报价（包含首次报价、最后报价）超过所磋商分标规定的采购预算金额或者最高限价（如本项目公布了最高限价）；或者经供应商确认修正后磋商报价（包含首次报价、最后报价）超过磋商文件分项采购预算金额或者最高限价的（如本项目公布了最高限价）。</w:t>
      </w:r>
    </w:p>
    <w:p w14:paraId="13329D23">
      <w:pPr>
        <w:spacing w:line="360" w:lineRule="auto"/>
        <w:ind w:firstLine="420" w:firstLineChars="200"/>
        <w:rPr>
          <w:color w:val="auto"/>
          <w:highlight w:val="none"/>
        </w:rPr>
      </w:pPr>
      <w:r>
        <w:rPr>
          <w:rFonts w:hint="eastAsia"/>
          <w:color w:val="auto"/>
          <w:highlight w:val="none"/>
        </w:rPr>
        <w:t>6）响应文件响应的标的数量及单位与竞争性磋商采购文件要求实质性不一致的。</w:t>
      </w:r>
    </w:p>
    <w:p w14:paraId="17C30921">
      <w:pPr>
        <w:spacing w:line="360" w:lineRule="auto"/>
        <w:ind w:firstLine="420" w:firstLineChars="200"/>
        <w:rPr>
          <w:color w:val="auto"/>
          <w:highlight w:val="none"/>
        </w:rPr>
      </w:pPr>
      <w:r>
        <w:rPr>
          <w:rFonts w:hint="eastAsia"/>
          <w:color w:val="auto"/>
          <w:highlight w:val="none"/>
        </w:rPr>
        <w:t>2.6磋商小组对响应文件进行评审，未实质性响应磋商文件的响应文件按无效处理，磋商小组应当将资格和符合性不通过的情况告知有关供应商。磋商小组从符合磋商文件规定的相应资格条件的供应商名单中确定不少于3家的供应商参加磋商。</w:t>
      </w:r>
    </w:p>
    <w:p w14:paraId="3042006B">
      <w:pPr>
        <w:spacing w:line="360" w:lineRule="auto"/>
        <w:ind w:firstLine="420" w:firstLineChars="200"/>
        <w:rPr>
          <w:color w:val="auto"/>
          <w:highlight w:val="none"/>
        </w:rPr>
      </w:pPr>
      <w:r>
        <w:rPr>
          <w:rFonts w:hint="eastAsia"/>
          <w:color w:val="auto"/>
          <w:highlight w:val="none"/>
        </w:rPr>
        <w:t>2.7通过符合性审查的合格供应商不足3家的，不得进入磋商环节，采购人或者采购代理机构应当重新开展采购活动。</w:t>
      </w:r>
    </w:p>
    <w:p w14:paraId="6F16E302">
      <w:pPr>
        <w:spacing w:line="360" w:lineRule="auto"/>
        <w:ind w:firstLine="420" w:firstLineChars="200"/>
        <w:rPr>
          <w:color w:val="auto"/>
          <w:highlight w:val="none"/>
        </w:rPr>
      </w:pPr>
      <w:r>
        <w:rPr>
          <w:rFonts w:hint="eastAsia"/>
          <w:color w:val="auto"/>
          <w:highlight w:val="none"/>
        </w:rPr>
        <w:t>3.磋商程序</w:t>
      </w:r>
    </w:p>
    <w:p w14:paraId="5C0FB145">
      <w:pPr>
        <w:spacing w:line="360" w:lineRule="auto"/>
        <w:ind w:firstLine="420" w:firstLineChars="200"/>
        <w:rPr>
          <w:color w:val="auto"/>
          <w:highlight w:val="none"/>
        </w:rPr>
      </w:pPr>
      <w:r>
        <w:rPr>
          <w:rFonts w:hint="eastAsia"/>
          <w:color w:val="auto"/>
          <w:highlight w:val="none"/>
        </w:rPr>
        <w:t>3.1磋商小组按照“供应商须知前附表”确定的顺序，集中与单一供应商分别进行磋商，并给予所有参加磋商的供应商平等的磋商机会。符合磋商资格的供应商必须实时关注广西政府采购云平台（https://www.gcy.zfcg.gxzf.gov.cn/）开标信息，在接到磋商通知后规定时间内参加磋商，未在规定时间内参加磋商的视同放弃参加磋商权利，其响应文件按无效响应处理。</w:t>
      </w:r>
    </w:p>
    <w:p w14:paraId="6110937C">
      <w:pPr>
        <w:spacing w:line="360" w:lineRule="auto"/>
        <w:ind w:firstLine="420" w:firstLineChars="200"/>
        <w:rPr>
          <w:color w:val="auto"/>
          <w:highlight w:val="none"/>
        </w:rPr>
      </w:pPr>
      <w:r>
        <w:rPr>
          <w:rFonts w:hint="eastAsia"/>
          <w:color w:val="auto"/>
          <w:highlight w:val="none"/>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53F6D9B5">
      <w:pPr>
        <w:spacing w:line="360" w:lineRule="auto"/>
        <w:ind w:firstLine="420" w:firstLineChars="200"/>
        <w:rPr>
          <w:color w:val="auto"/>
          <w:highlight w:val="none"/>
        </w:rPr>
      </w:pPr>
      <w:r>
        <w:rPr>
          <w:rFonts w:hint="eastAsia"/>
          <w:color w:val="auto"/>
          <w:highlight w:val="none"/>
        </w:rPr>
        <w:t>3.3对磋商文件作出的实质性变动是磋商文件的有效组成部分，由磋商小组及时以书面形式同时通知所有参加磋商的供应商。</w:t>
      </w:r>
    </w:p>
    <w:p w14:paraId="400AD08B">
      <w:pPr>
        <w:spacing w:line="360" w:lineRule="auto"/>
        <w:ind w:firstLine="420" w:firstLineChars="200"/>
        <w:rPr>
          <w:color w:val="auto"/>
          <w:highlight w:val="none"/>
        </w:rPr>
      </w:pPr>
      <w:r>
        <w:rPr>
          <w:rFonts w:hint="eastAsia"/>
          <w:color w:val="auto"/>
          <w:highlight w:val="none"/>
        </w:rPr>
        <w:t>3.4供应商必须按照磋商文件的变动情况和磋商小组的要求重新提交响应文件，并由其法定代表人或者授权代表签字或者加盖CA签章在广西政府采购云平台（https://www.gcy.zfcg.gxzf.gov.cn/）提交。由委托代理人签字的，若委托代理人不是响应文件中授权的委托代理人时，必须同时出示有效的法定代表人授权委托书原件。供应商为自然人的，必须由本人签字并附身份证明。参加磋商的供应商未在规定时间内重新提交响应文件的，视同退出磋商。</w:t>
      </w:r>
    </w:p>
    <w:p w14:paraId="79EF2B86">
      <w:pPr>
        <w:spacing w:line="360" w:lineRule="auto"/>
        <w:ind w:firstLine="420" w:firstLineChars="200"/>
        <w:rPr>
          <w:color w:val="auto"/>
          <w:highlight w:val="none"/>
        </w:rPr>
      </w:pPr>
      <w:r>
        <w:rPr>
          <w:rFonts w:hint="eastAsia"/>
          <w:color w:val="auto"/>
          <w:highlight w:val="none"/>
        </w:rPr>
        <w:t>3.5磋商中，磋商的任何一方不得透露与磋商有关的其他供应商的技术资料、价格和其他信息。</w:t>
      </w:r>
    </w:p>
    <w:p w14:paraId="6765BB5F">
      <w:pPr>
        <w:spacing w:line="360" w:lineRule="auto"/>
        <w:ind w:firstLine="420" w:firstLineChars="200"/>
        <w:rPr>
          <w:color w:val="auto"/>
          <w:highlight w:val="none"/>
        </w:rPr>
      </w:pPr>
      <w:r>
        <w:rPr>
          <w:rFonts w:hint="eastAsia"/>
          <w:color w:val="auto"/>
          <w:highlight w:val="none"/>
        </w:rPr>
        <w:t>3.6采购代理机构对磋商过程和重要磋商内容进行记录，磋商双方在记录上签字确认。</w:t>
      </w:r>
    </w:p>
    <w:p w14:paraId="44D229EA">
      <w:pPr>
        <w:spacing w:line="360" w:lineRule="auto"/>
        <w:ind w:firstLine="420" w:firstLineChars="200"/>
        <w:rPr>
          <w:color w:val="auto"/>
          <w:highlight w:val="none"/>
        </w:rPr>
      </w:pPr>
      <w:r>
        <w:rPr>
          <w:rFonts w:hint="eastAsia"/>
          <w:color w:val="auto"/>
          <w:highlight w:val="none"/>
        </w:rPr>
        <w:t>3.7磋商过程中重新提交的响应文件，供应商可以在开启前补充、修改。</w:t>
      </w:r>
    </w:p>
    <w:p w14:paraId="4D9EE041">
      <w:pPr>
        <w:spacing w:line="360" w:lineRule="auto"/>
        <w:ind w:firstLine="420" w:firstLineChars="200"/>
        <w:rPr>
          <w:color w:val="auto"/>
          <w:highlight w:val="none"/>
        </w:rPr>
      </w:pPr>
      <w:r>
        <w:rPr>
          <w:rFonts w:hint="eastAsia"/>
          <w:color w:val="auto"/>
          <w:highlight w:val="none"/>
        </w:rPr>
        <w:t>3.8对磋商过程提交的响应文件进行有效性、完整性和响应程度审查，通过审查的合格供应商不足3家的，采购人或者采购代理机构应当重新开展采购活动。</w:t>
      </w:r>
    </w:p>
    <w:p w14:paraId="630E0D2E">
      <w:pPr>
        <w:spacing w:line="360" w:lineRule="auto"/>
        <w:ind w:firstLine="420" w:firstLineChars="200"/>
        <w:rPr>
          <w:color w:val="auto"/>
          <w:highlight w:val="none"/>
        </w:rPr>
      </w:pPr>
      <w:r>
        <w:rPr>
          <w:rFonts w:hint="eastAsia"/>
          <w:color w:val="auto"/>
          <w:highlight w:val="none"/>
        </w:rPr>
        <w:t>3.9本项目所有响应文件的首次报价及所有磋商报价均不公布。最后磋商结束后，磋商小组不得再与供应商进行任何形式的商谈。</w:t>
      </w:r>
    </w:p>
    <w:p w14:paraId="2D1C894F">
      <w:pPr>
        <w:spacing w:line="360" w:lineRule="auto"/>
        <w:ind w:firstLine="420" w:firstLineChars="200"/>
        <w:rPr>
          <w:color w:val="auto"/>
          <w:highlight w:val="none"/>
        </w:rPr>
      </w:pPr>
      <w:r>
        <w:rPr>
          <w:rFonts w:hint="eastAsia"/>
          <w:color w:val="auto"/>
          <w:highlight w:val="none"/>
        </w:rPr>
        <w:t>4.最后报价</w:t>
      </w:r>
    </w:p>
    <w:p w14:paraId="3ACC6F3F">
      <w:pPr>
        <w:spacing w:line="360" w:lineRule="auto"/>
        <w:ind w:firstLine="420" w:firstLineChars="200"/>
        <w:rPr>
          <w:color w:val="auto"/>
          <w:highlight w:val="none"/>
        </w:rPr>
      </w:pPr>
      <w:r>
        <w:rPr>
          <w:rFonts w:hint="eastAsia"/>
          <w:color w:val="auto"/>
          <w:highlight w:val="none"/>
        </w:rPr>
        <w:t>4.1磋商文件能够详细列明采购标的的技术、服务要求的，磋商结束后，由磋商小组要求所有继续参加磋商的供应商在规定时间内在广西政府采购云平台（https://www.gcy.zfcg.gxzf.gov.cn/）提交最后报价，提交最后报价的供应商不得少于3家，除本章第4.3条外，否则必须重新采购。</w:t>
      </w:r>
    </w:p>
    <w:p w14:paraId="4FD48BAB">
      <w:pPr>
        <w:spacing w:line="360" w:lineRule="auto"/>
        <w:ind w:firstLine="420" w:firstLineChars="200"/>
        <w:rPr>
          <w:color w:val="auto"/>
          <w:highlight w:val="none"/>
        </w:rPr>
      </w:pPr>
      <w:r>
        <w:rPr>
          <w:rFonts w:hint="eastAsia"/>
          <w:color w:val="auto"/>
          <w:highlight w:val="none"/>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https://www.gcy.zfcg.gxzf.gov.cn/）提交最后报价。</w:t>
      </w:r>
    </w:p>
    <w:p w14:paraId="27FEF969">
      <w:pPr>
        <w:spacing w:line="360" w:lineRule="auto"/>
        <w:ind w:firstLine="420" w:firstLineChars="200"/>
        <w:rPr>
          <w:color w:val="auto"/>
          <w:highlight w:val="none"/>
        </w:rPr>
      </w:pPr>
      <w:r>
        <w:rPr>
          <w:rFonts w:hint="eastAsia"/>
          <w:color w:val="auto"/>
          <w:highlight w:val="none"/>
        </w:rPr>
        <w:t>①最后报价与首次报价相比无调整的：供应商提交的最后报价只须注明与首次报价相同。</w:t>
      </w:r>
    </w:p>
    <w:p w14:paraId="7BB30642">
      <w:pPr>
        <w:spacing w:line="360" w:lineRule="auto"/>
        <w:ind w:firstLine="420" w:firstLineChars="200"/>
        <w:rPr>
          <w:color w:val="auto"/>
          <w:highlight w:val="none"/>
        </w:rPr>
      </w:pPr>
      <w:r>
        <w:rPr>
          <w:rFonts w:hint="eastAsia"/>
          <w:color w:val="auto"/>
          <w:highlight w:val="none"/>
        </w:rPr>
        <w:t>②最后报价与首次报价相比有调整的：供应商提交的最后报价必须包含已标价的工程量清单，即最后报价是工程量清单全部工作内容的价格体现，具体包括供应商部分（分部分项工程量清单费用、措施项目清单费用、规费、税金、其它项目）和采购人部分（暂列金、材料购置费）（如有）等完成本工程并经验收合格至达到质量保修期限所需的费用、合理利润及风险。如磋商文件或磋商程中明确供应商应提供技术服务及其它服务的（如检测费、验收发生的费用），相应费用也应包括在最后报价中。最后报价不允许采用汇总后优惠、打折的形式，否则其报价无效并作无效响应处理。供应商在报价时可只报总价，但必须将包含已标价工程量清单的最后报价在规定时间内在广西政府采购云平台（https://www.gcy.zfcg.gxzf.gov.cn/）提交，逾期视为放弃磋商资格、退出磋商。</w:t>
      </w:r>
    </w:p>
    <w:p w14:paraId="1E041F5E">
      <w:pPr>
        <w:spacing w:line="360" w:lineRule="auto"/>
        <w:ind w:firstLine="420" w:firstLineChars="200"/>
        <w:rPr>
          <w:color w:val="auto"/>
          <w:highlight w:val="none"/>
        </w:rPr>
      </w:pPr>
      <w:r>
        <w:rPr>
          <w:rFonts w:hint="eastAsia"/>
          <w:color w:val="auto"/>
          <w:highlight w:val="none"/>
        </w:rPr>
        <w:t>4.3最后报价是供应商响应文件的有效组成部分。符合《政府采购竞争性磋商采购方式管理暂行办法》（财库〔2014〕214号）第三条第四项“市场竞争不充分的科研项目，以及需要扶持的科技成果转化项目”的，提交最后报价的供应商可以为2家。</w:t>
      </w:r>
    </w:p>
    <w:p w14:paraId="1F3429B3">
      <w:pPr>
        <w:spacing w:line="360" w:lineRule="auto"/>
        <w:ind w:firstLine="420" w:firstLineChars="200"/>
        <w:rPr>
          <w:color w:val="auto"/>
          <w:highlight w:val="none"/>
        </w:rPr>
      </w:pPr>
      <w:r>
        <w:rPr>
          <w:rFonts w:hint="eastAsia"/>
          <w:color w:val="auto"/>
          <w:highlight w:val="none"/>
        </w:rPr>
        <w:t>4.4已经提交响应文件的供应商，在提交最后报价之前，可以根据磋商情况退出磋商，退出磋商的供应商的响应文件按无效响应处理。采购人、采购代理机构将退还退出磋商的供应商的保证金。</w:t>
      </w:r>
    </w:p>
    <w:p w14:paraId="2F30759F">
      <w:pPr>
        <w:spacing w:line="360" w:lineRule="auto"/>
        <w:ind w:firstLine="420" w:firstLineChars="200"/>
        <w:rPr>
          <w:color w:val="auto"/>
          <w:highlight w:val="none"/>
        </w:rPr>
      </w:pPr>
      <w:r>
        <w:rPr>
          <w:rFonts w:hint="eastAsia"/>
          <w:color w:val="auto"/>
          <w:highlight w:val="none"/>
        </w:rPr>
        <w:t>4.5供应商未在规定时间内提交最后报价的，视同退出磋商。</w:t>
      </w:r>
    </w:p>
    <w:p w14:paraId="711D1413">
      <w:pPr>
        <w:spacing w:line="360" w:lineRule="auto"/>
        <w:ind w:firstLine="420" w:firstLineChars="200"/>
        <w:rPr>
          <w:color w:val="auto"/>
          <w:highlight w:val="none"/>
        </w:rPr>
      </w:pPr>
      <w:r>
        <w:rPr>
          <w:rFonts w:hint="eastAsia"/>
          <w:color w:val="auto"/>
          <w:highlight w:val="none"/>
        </w:rPr>
        <w:t>4.6磋商小组收齐某一分标最后报价后统一开启，磋商小组对最后报价进行有效性、完整性和响应程度的审查。</w:t>
      </w:r>
    </w:p>
    <w:p w14:paraId="03980967">
      <w:pPr>
        <w:spacing w:line="360" w:lineRule="auto"/>
        <w:ind w:firstLine="420" w:firstLineChars="200"/>
        <w:rPr>
          <w:color w:val="auto"/>
          <w:highlight w:val="none"/>
        </w:rPr>
      </w:pPr>
      <w:r>
        <w:rPr>
          <w:rFonts w:hint="eastAsia"/>
          <w:color w:val="auto"/>
          <w:highlight w:val="none"/>
        </w:rPr>
        <w:t>4.7响应文件最后报价出现前后不一致的，按照本正文第25.2.4条的规定修正。</w:t>
      </w:r>
    </w:p>
    <w:p w14:paraId="7AAD687D">
      <w:pPr>
        <w:spacing w:line="360" w:lineRule="auto"/>
        <w:ind w:firstLine="420" w:firstLineChars="200"/>
        <w:rPr>
          <w:color w:val="auto"/>
          <w:highlight w:val="none"/>
        </w:rPr>
      </w:pPr>
      <w:r>
        <w:rPr>
          <w:rFonts w:hint="eastAsia"/>
          <w:color w:val="auto"/>
          <w:highlight w:val="none"/>
        </w:rPr>
        <w:t>4.8修正后的报价出现下列情形的，按无效响应处理：</w:t>
      </w:r>
    </w:p>
    <w:p w14:paraId="698E8CD4">
      <w:pPr>
        <w:spacing w:line="360" w:lineRule="auto"/>
        <w:ind w:firstLine="420" w:firstLineChars="200"/>
        <w:rPr>
          <w:color w:val="auto"/>
          <w:highlight w:val="none"/>
        </w:rPr>
      </w:pPr>
      <w:r>
        <w:rPr>
          <w:rFonts w:hint="eastAsia"/>
          <w:color w:val="auto"/>
          <w:highlight w:val="none"/>
        </w:rPr>
        <w:t>（1）供应商不确认的；</w:t>
      </w:r>
    </w:p>
    <w:p w14:paraId="1CBD7FF4">
      <w:pPr>
        <w:spacing w:line="360" w:lineRule="auto"/>
        <w:ind w:firstLine="420" w:firstLineChars="200"/>
        <w:rPr>
          <w:color w:val="auto"/>
          <w:highlight w:val="none"/>
        </w:rPr>
      </w:pPr>
      <w:r>
        <w:rPr>
          <w:rFonts w:hint="eastAsia"/>
          <w:color w:val="auto"/>
          <w:highlight w:val="none"/>
        </w:rPr>
        <w:t>（2）经供应商确认修正后的竞标报价（包含首次报价、最后报价）超过所竞标规定的采购预算金额或者最高限价的（如本项目公布了最高限价）；</w:t>
      </w:r>
    </w:p>
    <w:p w14:paraId="2CE26C70">
      <w:pPr>
        <w:spacing w:line="360" w:lineRule="auto"/>
        <w:ind w:firstLine="420" w:firstLineChars="200"/>
        <w:rPr>
          <w:color w:val="auto"/>
          <w:highlight w:val="none"/>
        </w:rPr>
      </w:pPr>
      <w:r>
        <w:rPr>
          <w:rFonts w:hint="eastAsia"/>
          <w:color w:val="auto"/>
          <w:highlight w:val="none"/>
        </w:rPr>
        <w:t>（3）经供应商确认修正后的竞标报价（包含首次报价、最后报价）超过分项采购预算金额或者最高限价的（如本项目公布了最高限价）。</w:t>
      </w:r>
    </w:p>
    <w:p w14:paraId="0566D264">
      <w:pPr>
        <w:spacing w:line="360" w:lineRule="auto"/>
        <w:ind w:firstLine="420" w:firstLineChars="200"/>
        <w:rPr>
          <w:color w:val="auto"/>
          <w:highlight w:val="none"/>
        </w:rPr>
      </w:pPr>
      <w:r>
        <w:rPr>
          <w:rFonts w:hint="eastAsia"/>
          <w:color w:val="auto"/>
          <w:highlight w:val="none"/>
        </w:rPr>
        <w:t>4.9经供应商确认修正后的最后报价作为评审及签订合同的依据。</w:t>
      </w:r>
    </w:p>
    <w:p w14:paraId="54A207AA">
      <w:pPr>
        <w:spacing w:line="360" w:lineRule="auto"/>
        <w:ind w:firstLine="420" w:firstLineChars="200"/>
        <w:rPr>
          <w:color w:val="auto"/>
          <w:highlight w:val="none"/>
        </w:rPr>
      </w:pPr>
      <w:r>
        <w:rPr>
          <w:rFonts w:hint="eastAsia"/>
          <w:color w:val="auto"/>
          <w:highlight w:val="none"/>
        </w:rPr>
        <w:t>4.10最后报价结束后，磋商小组不得再与供应商进行任何形式的商谈。</w:t>
      </w:r>
    </w:p>
    <w:p w14:paraId="55C36094">
      <w:pPr>
        <w:spacing w:line="360" w:lineRule="auto"/>
        <w:ind w:firstLine="420"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4</w:t>
      </w:r>
      <w:r>
        <w:rPr>
          <w:rFonts w:hint="eastAsia" w:ascii="Times New Roman" w:hAnsi="Times New Roman" w:eastAsia="宋体" w:cs="Times New Roman"/>
          <w:color w:val="auto"/>
          <w:highlight w:val="none"/>
        </w:rPr>
        <w:t>.1</w:t>
      </w:r>
      <w:r>
        <w:rPr>
          <w:rFonts w:hint="eastAsia"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rPr>
        <w:t>异常低价响应审查</w:t>
      </w:r>
    </w:p>
    <w:p w14:paraId="3D7A36BA">
      <w:pPr>
        <w:snapToGrid w:val="0"/>
        <w:spacing w:line="360" w:lineRule="auto"/>
        <w:ind w:firstLine="420" w:firstLineChars="200"/>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（1）磋商小组在评审中发现下列情形之一的，应当启动异常低价响应审查程序：</w:t>
      </w:r>
    </w:p>
    <w:p w14:paraId="316B673D">
      <w:pPr>
        <w:snapToGrid w:val="0"/>
        <w:spacing w:line="360" w:lineRule="auto"/>
        <w:ind w:firstLine="420" w:firstLineChars="200"/>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①响应报价低于全部通过符合性审查供应商响应报价平均值</w:t>
      </w:r>
      <w:r>
        <w:rPr>
          <w:rFonts w:ascii="宋体" w:hAnsi="宋体" w:eastAsia="宋体"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val="en-US" w:eastAsia="zh-CN"/>
        </w:rPr>
        <w:t>50</w:t>
      </w:r>
      <w:r>
        <w:rPr>
          <w:rFonts w:hint="eastAsia" w:ascii="宋体" w:hAnsi="宋体" w:eastAsia="宋体" w:cs="Times New Roman"/>
          <w:color w:val="auto"/>
          <w:sz w:val="21"/>
          <w:szCs w:val="21"/>
          <w:highlight w:val="none"/>
          <w:u w:val="single"/>
        </w:rPr>
        <w:t>%</w:t>
      </w:r>
      <w:r>
        <w:rPr>
          <w:rFonts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的，即响应报价＜全部通过符合性审查供应商响应报价平均值×</w:t>
      </w:r>
      <w:r>
        <w:rPr>
          <w:rFonts w:ascii="宋体" w:hAnsi="宋体" w:eastAsia="宋体"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val="en-US" w:eastAsia="zh-CN"/>
        </w:rPr>
        <w:t>50</w:t>
      </w:r>
      <w:r>
        <w:rPr>
          <w:rFonts w:hint="eastAsia" w:ascii="宋体" w:hAnsi="宋体" w:eastAsia="宋体" w:cs="Times New Roman"/>
          <w:color w:val="auto"/>
          <w:sz w:val="21"/>
          <w:szCs w:val="21"/>
          <w:highlight w:val="none"/>
          <w:u w:val="single"/>
        </w:rPr>
        <w:t>%</w:t>
      </w:r>
      <w:r>
        <w:rPr>
          <w:rFonts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w:t>
      </w:r>
    </w:p>
    <w:p w14:paraId="3CD98895">
      <w:pPr>
        <w:snapToGrid w:val="0"/>
        <w:spacing w:line="360" w:lineRule="auto"/>
        <w:ind w:firstLine="420" w:firstLineChars="200"/>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②响应报价低于通过符合性审查的次低报价供应商响应报价</w:t>
      </w:r>
      <w:r>
        <w:rPr>
          <w:rFonts w:ascii="宋体" w:hAnsi="宋体" w:eastAsia="宋体"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val="en-US" w:eastAsia="zh-CN"/>
        </w:rPr>
        <w:t>50</w:t>
      </w:r>
      <w:r>
        <w:rPr>
          <w:rFonts w:hint="eastAsia" w:ascii="宋体" w:hAnsi="宋体" w:eastAsia="宋体" w:cs="Times New Roman"/>
          <w:color w:val="auto"/>
          <w:sz w:val="21"/>
          <w:szCs w:val="21"/>
          <w:highlight w:val="none"/>
          <w:u w:val="single"/>
        </w:rPr>
        <w:t>%</w:t>
      </w:r>
      <w:r>
        <w:rPr>
          <w:rFonts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的，即响应报价＜通过符合性审查的次低报价供应商响应报价×</w:t>
      </w:r>
      <w:r>
        <w:rPr>
          <w:rFonts w:ascii="宋体" w:hAnsi="宋体" w:eastAsia="宋体"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val="en-US" w:eastAsia="zh-CN"/>
        </w:rPr>
        <w:t>50</w:t>
      </w:r>
      <w:r>
        <w:rPr>
          <w:rFonts w:hint="eastAsia" w:ascii="宋体" w:hAnsi="宋体" w:eastAsia="宋体" w:cs="Times New Roman"/>
          <w:color w:val="auto"/>
          <w:sz w:val="21"/>
          <w:szCs w:val="21"/>
          <w:highlight w:val="none"/>
          <w:u w:val="single"/>
        </w:rPr>
        <w:t>%</w:t>
      </w:r>
      <w:r>
        <w:rPr>
          <w:rFonts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w:t>
      </w:r>
    </w:p>
    <w:p w14:paraId="6D4FF086">
      <w:pPr>
        <w:snapToGrid w:val="0"/>
        <w:spacing w:line="360" w:lineRule="auto"/>
        <w:ind w:firstLine="420" w:firstLineChars="200"/>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③响应报价低于采购项目最高限价</w:t>
      </w:r>
      <w:r>
        <w:rPr>
          <w:rFonts w:hint="eastAsia" w:ascii="宋体" w:hAnsi="宋体" w:cs="Times New Roman"/>
          <w:color w:val="auto"/>
          <w:sz w:val="21"/>
          <w:szCs w:val="21"/>
          <w:highlight w:val="none"/>
          <w:u w:val="single"/>
          <w:lang w:val="en-US" w:eastAsia="zh-CN"/>
        </w:rPr>
        <w:t>45</w:t>
      </w:r>
      <w:r>
        <w:rPr>
          <w:rFonts w:hint="eastAsia" w:ascii="宋体" w:hAnsi="宋体" w:eastAsia="宋体" w:cs="Times New Roman"/>
          <w:color w:val="auto"/>
          <w:sz w:val="21"/>
          <w:szCs w:val="21"/>
          <w:highlight w:val="none"/>
          <w:u w:val="single"/>
        </w:rPr>
        <w:t>%</w:t>
      </w:r>
      <w:r>
        <w:rPr>
          <w:rFonts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的，即响应报价＜采购项目最高限价×</w:t>
      </w:r>
      <w:r>
        <w:rPr>
          <w:rFonts w:ascii="宋体" w:hAnsi="宋体" w:eastAsia="宋体" w:cs="Times New Roman"/>
          <w:color w:val="auto"/>
          <w:sz w:val="21"/>
          <w:szCs w:val="21"/>
          <w:highlight w:val="none"/>
          <w:u w:val="single"/>
        </w:rPr>
        <w:t xml:space="preserve"> </w:t>
      </w:r>
      <w:r>
        <w:rPr>
          <w:rFonts w:hint="eastAsia" w:ascii="宋体" w:hAnsi="宋体" w:cs="Times New Roman"/>
          <w:color w:val="auto"/>
          <w:sz w:val="21"/>
          <w:szCs w:val="21"/>
          <w:highlight w:val="none"/>
          <w:u w:val="single"/>
          <w:lang w:val="en-US" w:eastAsia="zh-CN"/>
        </w:rPr>
        <w:t>45</w:t>
      </w:r>
      <w:r>
        <w:rPr>
          <w:rFonts w:hint="eastAsia" w:ascii="宋体" w:hAnsi="宋体" w:eastAsia="宋体" w:cs="Times New Roman"/>
          <w:color w:val="auto"/>
          <w:sz w:val="21"/>
          <w:szCs w:val="21"/>
          <w:highlight w:val="none"/>
          <w:u w:val="single"/>
        </w:rPr>
        <w:t>%</w:t>
      </w:r>
      <w:r>
        <w:rPr>
          <w:rFonts w:ascii="宋体" w:hAnsi="宋体" w:eastAsia="宋体" w:cs="Times New Roman"/>
          <w:color w:val="auto"/>
          <w:sz w:val="21"/>
          <w:szCs w:val="21"/>
          <w:highlight w:val="none"/>
          <w:u w:val="single"/>
        </w:rPr>
        <w:t xml:space="preserve"> </w:t>
      </w:r>
      <w:r>
        <w:rPr>
          <w:rFonts w:hint="eastAsia" w:ascii="宋体" w:hAnsi="宋体" w:eastAsia="宋体" w:cs="Times New Roman"/>
          <w:color w:val="auto"/>
          <w:sz w:val="21"/>
          <w:szCs w:val="21"/>
          <w:highlight w:val="none"/>
        </w:rPr>
        <w:t>；</w:t>
      </w:r>
    </w:p>
    <w:p w14:paraId="2BBD8AFE">
      <w:pPr>
        <w:snapToGrid w:val="0"/>
        <w:spacing w:line="360" w:lineRule="auto"/>
        <w:ind w:firstLine="420" w:firstLineChars="200"/>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④磋商小组基于专业判断，认为供应商报价过低，有可能影响产品质量或者不能诚信履约的其他情形。</w:t>
      </w:r>
    </w:p>
    <w:p w14:paraId="2EA7FD21">
      <w:pPr>
        <w:snapToGrid w:val="0"/>
        <w:spacing w:line="360" w:lineRule="auto"/>
        <w:ind w:firstLine="420" w:firstLineChars="200"/>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7B3653FE">
      <w:pPr>
        <w:snapToGrid w:val="0"/>
        <w:spacing w:line="360" w:lineRule="auto"/>
        <w:ind w:firstLine="420" w:firstLineChars="200"/>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Times New Roman"/>
          <w:b/>
          <w:color w:val="auto"/>
          <w:sz w:val="21"/>
          <w:szCs w:val="21"/>
          <w:highlight w:val="none"/>
        </w:rPr>
        <w:t>相关供应商不能提供书面说明、证明材料，或者提供的书面说明、证明材料不能证明其报价合理性的，磋商小组应当将其作为无效响应处理。</w:t>
      </w:r>
    </w:p>
    <w:p w14:paraId="1AC56244">
      <w:pPr>
        <w:snapToGrid w:val="0"/>
        <w:spacing w:line="360" w:lineRule="auto"/>
        <w:ind w:firstLine="420" w:firstLineChars="200"/>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45B9F677">
      <w:pPr>
        <w:spacing w:line="360" w:lineRule="auto"/>
        <w:ind w:firstLine="200"/>
        <w:rPr>
          <w:rFonts w:hint="eastAsia" w:ascii="宋体" w:hAnsi="宋体" w:cs="宋体"/>
          <w:b/>
          <w:bCs/>
          <w:color w:val="auto"/>
          <w:sz w:val="24"/>
          <w:highlight w:val="none"/>
        </w:rPr>
      </w:pPr>
      <w:r>
        <w:rPr>
          <w:rFonts w:hint="eastAsia" w:ascii="宋体" w:hAnsi="宋体" w:eastAsia="宋体" w:cs="Times New Roman"/>
          <w:color w:val="auto"/>
          <w:sz w:val="21"/>
          <w:szCs w:val="21"/>
          <w:highlight w:val="none"/>
        </w:rPr>
        <w:t>异常低价响应审查的启动原因、审查意见和审查结果应当在评审报告中记录，并随供应商提供的相关书面说明及证明材料，以及磋商小组有关互联网浏览、查询历史一并归档。</w:t>
      </w:r>
    </w:p>
    <w:p w14:paraId="670CED95">
      <w:pPr>
        <w:spacing w:line="360" w:lineRule="auto"/>
        <w:ind w:firstLine="420" w:firstLineChars="200"/>
        <w:rPr>
          <w:color w:val="auto"/>
          <w:highlight w:val="none"/>
        </w:rPr>
      </w:pPr>
      <w:r>
        <w:rPr>
          <w:rFonts w:hint="eastAsia"/>
          <w:color w:val="auto"/>
          <w:highlight w:val="none"/>
        </w:rPr>
        <w:t>5.比较与评价</w:t>
      </w:r>
    </w:p>
    <w:p w14:paraId="76034B63">
      <w:pPr>
        <w:spacing w:line="360" w:lineRule="auto"/>
        <w:ind w:firstLine="420" w:firstLineChars="200"/>
        <w:rPr>
          <w:color w:val="auto"/>
          <w:highlight w:val="none"/>
        </w:rPr>
      </w:pPr>
      <w:r>
        <w:rPr>
          <w:rFonts w:hint="eastAsia"/>
          <w:color w:val="auto"/>
          <w:highlight w:val="none"/>
        </w:rPr>
        <w:t>5.1评审方法：综合评分法。</w:t>
      </w:r>
    </w:p>
    <w:p w14:paraId="77700222">
      <w:pPr>
        <w:spacing w:line="360" w:lineRule="auto"/>
        <w:ind w:firstLine="420" w:firstLineChars="200"/>
        <w:rPr>
          <w:color w:val="auto"/>
          <w:highlight w:val="none"/>
        </w:rPr>
      </w:pPr>
      <w:r>
        <w:rPr>
          <w:rFonts w:hint="eastAsia"/>
          <w:color w:val="auto"/>
          <w:highlight w:val="none"/>
        </w:rPr>
        <w:t>5.2经磋商确定最终采购需求和提交最后报价的供应商后，由磋商小组采用综合评分法对提交最后报价的供应商的响应文件和最后报价进行综合评分。</w:t>
      </w:r>
    </w:p>
    <w:p w14:paraId="1F0EC538">
      <w:pPr>
        <w:spacing w:line="360" w:lineRule="auto"/>
        <w:ind w:firstLine="420" w:firstLineChars="200"/>
        <w:rPr>
          <w:color w:val="auto"/>
          <w:highlight w:val="none"/>
        </w:rPr>
      </w:pPr>
      <w:r>
        <w:rPr>
          <w:rFonts w:hint="eastAsia"/>
          <w:color w:val="auto"/>
          <w:highlight w:val="none"/>
        </w:rPr>
        <w:t>5.3评审时，磋商小组各成员应当独立对每个有效响应的文件进行评价、打分，然后汇总每个供应商每项评分因素的得分。</w:t>
      </w:r>
    </w:p>
    <w:p w14:paraId="14B0BA5B">
      <w:pPr>
        <w:spacing w:line="360" w:lineRule="auto"/>
        <w:ind w:firstLine="420" w:firstLineChars="200"/>
        <w:rPr>
          <w:color w:val="auto"/>
          <w:highlight w:val="none"/>
        </w:rPr>
      </w:pPr>
      <w:r>
        <w:rPr>
          <w:rFonts w:hint="eastAsia"/>
          <w:color w:val="auto"/>
          <w:highlight w:val="none"/>
        </w:rPr>
        <w:t>（1）磋商小组按照磋商文件中规定的评审标准计算各供应商的报价得分。项目评审过程中，不得去掉最后报价中的最高报价和最低报价。</w:t>
      </w:r>
    </w:p>
    <w:p w14:paraId="5AE9F3B3">
      <w:pPr>
        <w:spacing w:line="360" w:lineRule="auto"/>
        <w:ind w:firstLine="420" w:firstLineChars="200"/>
        <w:rPr>
          <w:color w:val="auto"/>
          <w:highlight w:val="none"/>
        </w:rPr>
      </w:pPr>
      <w:r>
        <w:rPr>
          <w:rFonts w:hint="eastAsia"/>
          <w:color w:val="auto"/>
          <w:highlight w:val="none"/>
        </w:rPr>
        <w:t>（2）各供应商的得分为磋商小组所有成员的有效评分的算术平均数。</w:t>
      </w:r>
    </w:p>
    <w:p w14:paraId="5C36EE2C">
      <w:pPr>
        <w:spacing w:line="360" w:lineRule="auto"/>
        <w:ind w:firstLine="420" w:firstLineChars="200"/>
        <w:rPr>
          <w:color w:val="auto"/>
          <w:highlight w:val="none"/>
        </w:rPr>
      </w:pPr>
      <w:r>
        <w:rPr>
          <w:rFonts w:hint="eastAsia"/>
          <w:color w:val="auto"/>
          <w:highlight w:val="none"/>
        </w:rPr>
        <w:t>5.4评审价为供应商的最后报价进行政策性扣除后的价格，评审价只是作为评审时使用。最终成交供应商的成交金额等于最后报价（如有修正，以确认修正后的最后报价为准）。</w:t>
      </w:r>
    </w:p>
    <w:p w14:paraId="425BE726">
      <w:pPr>
        <w:spacing w:line="360" w:lineRule="auto"/>
        <w:ind w:firstLine="420" w:firstLineChars="200"/>
        <w:rPr>
          <w:color w:val="auto"/>
          <w:highlight w:val="none"/>
        </w:rPr>
      </w:pPr>
      <w:r>
        <w:rPr>
          <w:rFonts w:hint="eastAsia"/>
          <w:color w:val="auto"/>
          <w:highlight w:val="none"/>
        </w:rPr>
        <w:t>5.5由磋商小组根据综合评分情况，按照评审得分由高到低顺序推荐3名以上成交候选供应商，并编写评审报告。符合本章第4.3条情形的，可以推荐2家成交候选供应商。评审得分相同的，按照最后报价由低到高的顺序推荐。评审得分且最后报价相同的，按照技术指标优劣顺序推荐。</w:t>
      </w:r>
    </w:p>
    <w:p w14:paraId="5ABF7C7D">
      <w:pPr>
        <w:spacing w:line="360" w:lineRule="auto"/>
        <w:ind w:firstLine="420" w:firstLineChars="200"/>
        <w:rPr>
          <w:color w:val="auto"/>
          <w:highlight w:val="none"/>
        </w:rPr>
      </w:pPr>
      <w:r>
        <w:rPr>
          <w:rFonts w:hint="eastAsia"/>
          <w:color w:val="auto"/>
          <w:highlight w:val="none"/>
        </w:rPr>
        <w:t>5.6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F179F86">
      <w:pPr>
        <w:spacing w:line="360" w:lineRule="auto"/>
        <w:rPr>
          <w:b/>
          <w:bCs/>
          <w:color w:val="auto"/>
          <w:highlight w:val="none"/>
        </w:rPr>
      </w:pPr>
      <w:r>
        <w:rPr>
          <w:rFonts w:hint="eastAsia"/>
          <w:b/>
          <w:bCs/>
          <w:color w:val="auto"/>
          <w:highlight w:val="none"/>
        </w:rPr>
        <w:t>二、评定标准（综合评分法）</w:t>
      </w:r>
    </w:p>
    <w:p w14:paraId="484FC8E5">
      <w:pPr>
        <w:spacing w:line="360" w:lineRule="auto"/>
        <w:ind w:firstLine="420" w:firstLineChars="200"/>
        <w:rPr>
          <w:color w:val="auto"/>
          <w:highlight w:val="none"/>
        </w:rPr>
      </w:pPr>
      <w:r>
        <w:rPr>
          <w:rFonts w:hint="eastAsia"/>
          <w:color w:val="auto"/>
          <w:highlight w:val="none"/>
        </w:rPr>
        <w:t>对进入详评的，磋商小组将以竞争性磋商文件、响应文件为评定依据，采用百分制综合评分法；计分办法（按四舍五入取至百分位）。</w:t>
      </w:r>
    </w:p>
    <w:tbl>
      <w:tblPr>
        <w:tblStyle w:val="31"/>
        <w:tblW w:w="95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958"/>
        <w:gridCol w:w="1115"/>
        <w:gridCol w:w="5935"/>
        <w:gridCol w:w="807"/>
      </w:tblGrid>
      <w:tr w14:paraId="06295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719" w:type="dxa"/>
            <w:vAlign w:val="center"/>
          </w:tcPr>
          <w:p w14:paraId="37DAE4B7">
            <w:pPr>
              <w:spacing w:line="360" w:lineRule="auto"/>
              <w:jc w:val="center"/>
              <w:rPr>
                <w:rFonts w:hint="eastAsia" w:ascii="宋体" w:hAnsi="宋体" w:cs="宋体"/>
                <w:color w:val="auto"/>
                <w:szCs w:val="21"/>
                <w:highlight w:val="none"/>
              </w:rPr>
            </w:pPr>
            <w:r>
              <w:rPr>
                <w:rFonts w:hint="eastAsia" w:ascii="宋体" w:hAnsi="宋体" w:cs="宋体"/>
                <w:b/>
                <w:bCs/>
                <w:color w:val="auto"/>
                <w:szCs w:val="21"/>
                <w:highlight w:val="none"/>
              </w:rPr>
              <w:t>序号</w:t>
            </w:r>
          </w:p>
        </w:tc>
        <w:tc>
          <w:tcPr>
            <w:tcW w:w="2073" w:type="dxa"/>
            <w:gridSpan w:val="2"/>
            <w:vAlign w:val="center"/>
          </w:tcPr>
          <w:p w14:paraId="63850D0E">
            <w:pPr>
              <w:spacing w:line="360" w:lineRule="auto"/>
              <w:jc w:val="center"/>
              <w:rPr>
                <w:rFonts w:hint="eastAsia" w:ascii="宋体" w:hAnsi="宋体" w:cs="宋体"/>
                <w:color w:val="auto"/>
                <w:szCs w:val="21"/>
                <w:highlight w:val="none"/>
              </w:rPr>
            </w:pPr>
            <w:r>
              <w:rPr>
                <w:rFonts w:hint="eastAsia" w:ascii="宋体" w:hAnsi="宋体" w:cs="宋体"/>
                <w:b/>
                <w:bCs/>
                <w:color w:val="auto"/>
                <w:szCs w:val="21"/>
                <w:highlight w:val="none"/>
              </w:rPr>
              <w:t>评审因素</w:t>
            </w:r>
          </w:p>
        </w:tc>
        <w:tc>
          <w:tcPr>
            <w:tcW w:w="5935" w:type="dxa"/>
            <w:vAlign w:val="center"/>
          </w:tcPr>
          <w:p w14:paraId="0252C45B">
            <w:pPr>
              <w:snapToGrid w:val="0"/>
              <w:spacing w:line="360" w:lineRule="auto"/>
              <w:jc w:val="center"/>
              <w:rPr>
                <w:rFonts w:hint="eastAsia" w:ascii="宋体" w:hAnsi="宋体" w:cs="宋体"/>
                <w:color w:val="auto"/>
                <w:szCs w:val="21"/>
                <w:highlight w:val="none"/>
              </w:rPr>
            </w:pPr>
            <w:r>
              <w:rPr>
                <w:rFonts w:hint="eastAsia" w:ascii="宋体" w:hAnsi="宋体" w:cs="Tahoma"/>
                <w:b/>
                <w:bCs/>
                <w:color w:val="auto"/>
                <w:kern w:val="0"/>
                <w:szCs w:val="21"/>
                <w:highlight w:val="none"/>
              </w:rPr>
              <w:t>评审因素具体内容</w:t>
            </w:r>
          </w:p>
        </w:tc>
        <w:tc>
          <w:tcPr>
            <w:tcW w:w="807" w:type="dxa"/>
            <w:vAlign w:val="center"/>
          </w:tcPr>
          <w:p w14:paraId="3C438A9C">
            <w:pPr>
              <w:snapToGrid w:val="0"/>
              <w:spacing w:line="360" w:lineRule="auto"/>
              <w:jc w:val="center"/>
              <w:rPr>
                <w:rFonts w:hint="eastAsia" w:ascii="宋体" w:hAnsi="宋体" w:cs="Tahoma"/>
                <w:b/>
                <w:bCs/>
                <w:color w:val="auto"/>
                <w:kern w:val="0"/>
                <w:szCs w:val="21"/>
                <w:highlight w:val="none"/>
              </w:rPr>
            </w:pPr>
            <w:r>
              <w:rPr>
                <w:rFonts w:hint="eastAsia" w:ascii="宋体" w:hAnsi="宋体" w:cs="Tahoma"/>
                <w:b/>
                <w:bCs/>
                <w:color w:val="auto"/>
                <w:kern w:val="0"/>
                <w:szCs w:val="21"/>
                <w:highlight w:val="none"/>
              </w:rPr>
              <w:t>备注</w:t>
            </w:r>
          </w:p>
        </w:tc>
      </w:tr>
      <w:tr w14:paraId="26EB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719" w:type="dxa"/>
            <w:vAlign w:val="center"/>
          </w:tcPr>
          <w:p w14:paraId="7BA0F855">
            <w:pPr>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1</w:t>
            </w:r>
          </w:p>
        </w:tc>
        <w:tc>
          <w:tcPr>
            <w:tcW w:w="958" w:type="dxa"/>
            <w:vAlign w:val="center"/>
          </w:tcPr>
          <w:p w14:paraId="6963C0C6">
            <w:pPr>
              <w:snapToGrid w:val="0"/>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报价</w:t>
            </w:r>
          </w:p>
        </w:tc>
        <w:tc>
          <w:tcPr>
            <w:tcW w:w="1115" w:type="dxa"/>
            <w:vAlign w:val="center"/>
          </w:tcPr>
          <w:p w14:paraId="32E75B5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价格分（满分20分）</w:t>
            </w:r>
          </w:p>
        </w:tc>
        <w:tc>
          <w:tcPr>
            <w:tcW w:w="5935" w:type="dxa"/>
            <w:vAlign w:val="center"/>
          </w:tcPr>
          <w:p w14:paraId="70A842FD">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（1）本项目专门面向中小企业采购（供应商应为中小微企业或监狱企业或残疾人福利性单位)，不再执行价格评审优惠的扶持政策。</w:t>
            </w:r>
          </w:p>
          <w:p w14:paraId="021EE611">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（2）以进入比较与评价环节的最后报价的最低价格为基准价，基准价得分为20分。</w:t>
            </w:r>
          </w:p>
          <w:p w14:paraId="766CBAEB">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（3）价格分计算公式：报价得分=（基准价/最后报价）×20分</w:t>
            </w:r>
          </w:p>
        </w:tc>
        <w:tc>
          <w:tcPr>
            <w:tcW w:w="807" w:type="dxa"/>
            <w:vAlign w:val="center"/>
          </w:tcPr>
          <w:p w14:paraId="444BB1A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客观分</w:t>
            </w:r>
          </w:p>
        </w:tc>
      </w:tr>
      <w:tr w14:paraId="048D3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9" w:type="dxa"/>
            <w:vAlign w:val="center"/>
          </w:tcPr>
          <w:p w14:paraId="468BBD56">
            <w:pPr>
              <w:spacing w:line="360" w:lineRule="auto"/>
              <w:jc w:val="center"/>
              <w:rPr>
                <w:rFonts w:hint="eastAsia" w:ascii="宋体" w:hAnsi="宋体" w:cs="宋体"/>
                <w:color w:val="auto"/>
                <w:szCs w:val="21"/>
                <w:highlight w:val="none"/>
              </w:rPr>
            </w:pPr>
            <w:r>
              <w:rPr>
                <w:rFonts w:hint="eastAsia" w:ascii="宋体" w:hAnsi="宋体" w:cs="宋体"/>
                <w:b/>
                <w:bCs/>
                <w:color w:val="auto"/>
                <w:szCs w:val="21"/>
                <w:highlight w:val="none"/>
              </w:rPr>
              <w:t>2</w:t>
            </w:r>
          </w:p>
        </w:tc>
        <w:tc>
          <w:tcPr>
            <w:tcW w:w="958" w:type="dxa"/>
            <w:vAlign w:val="center"/>
          </w:tcPr>
          <w:p w14:paraId="79EB791C">
            <w:pPr>
              <w:spacing w:line="360" w:lineRule="auto"/>
              <w:jc w:val="center"/>
              <w:rPr>
                <w:rFonts w:hint="eastAsia" w:ascii="宋体" w:hAnsi="宋体" w:cs="宋体"/>
                <w:color w:val="auto"/>
                <w:szCs w:val="21"/>
                <w:highlight w:val="none"/>
              </w:rPr>
            </w:pPr>
            <w:r>
              <w:rPr>
                <w:rFonts w:hint="eastAsia" w:ascii="宋体" w:hAnsi="宋体" w:cs="宋体"/>
                <w:b/>
                <w:bCs/>
                <w:color w:val="auto"/>
                <w:szCs w:val="21"/>
                <w:highlight w:val="none"/>
              </w:rPr>
              <w:t>技术</w:t>
            </w:r>
          </w:p>
        </w:tc>
        <w:tc>
          <w:tcPr>
            <w:tcW w:w="7050" w:type="dxa"/>
            <w:gridSpan w:val="2"/>
            <w:vAlign w:val="center"/>
          </w:tcPr>
          <w:p w14:paraId="5992247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满分</w:t>
            </w:r>
            <w:r>
              <w:rPr>
                <w:rFonts w:hint="eastAsia" w:ascii="宋体" w:hAnsi="宋体" w:cs="宋体"/>
                <w:color w:val="auto"/>
                <w:szCs w:val="21"/>
                <w:highlight w:val="none"/>
                <w:lang w:val="en-US" w:eastAsia="zh-CN"/>
              </w:rPr>
              <w:t>70</w:t>
            </w:r>
            <w:r>
              <w:rPr>
                <w:rFonts w:hint="eastAsia" w:ascii="宋体" w:hAnsi="宋体" w:cs="宋体"/>
                <w:color w:val="auto"/>
                <w:szCs w:val="21"/>
                <w:highlight w:val="none"/>
              </w:rPr>
              <w:t>分</w:t>
            </w:r>
          </w:p>
        </w:tc>
        <w:tc>
          <w:tcPr>
            <w:tcW w:w="807" w:type="dxa"/>
            <w:vAlign w:val="center"/>
          </w:tcPr>
          <w:p w14:paraId="568D4497">
            <w:pPr>
              <w:spacing w:line="360" w:lineRule="auto"/>
              <w:jc w:val="center"/>
              <w:rPr>
                <w:rFonts w:hint="eastAsia" w:ascii="宋体" w:hAnsi="宋体" w:cs="宋体"/>
                <w:b/>
                <w:bCs/>
                <w:color w:val="auto"/>
                <w:szCs w:val="21"/>
                <w:highlight w:val="none"/>
              </w:rPr>
            </w:pPr>
          </w:p>
        </w:tc>
      </w:tr>
      <w:tr w14:paraId="24CF0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719" w:type="dxa"/>
            <w:vMerge w:val="restart"/>
            <w:vAlign w:val="center"/>
          </w:tcPr>
          <w:p w14:paraId="384AC89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2.1</w:t>
            </w:r>
          </w:p>
        </w:tc>
        <w:tc>
          <w:tcPr>
            <w:tcW w:w="958" w:type="dxa"/>
            <w:vMerge w:val="restart"/>
            <w:vAlign w:val="center"/>
          </w:tcPr>
          <w:p w14:paraId="27FD44A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施工组织设计</w:t>
            </w:r>
          </w:p>
        </w:tc>
        <w:tc>
          <w:tcPr>
            <w:tcW w:w="1115" w:type="dxa"/>
            <w:vAlign w:val="center"/>
          </w:tcPr>
          <w:p w14:paraId="3A40B78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（1）主要施工方法（满分</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w:t>
            </w:r>
          </w:p>
        </w:tc>
        <w:tc>
          <w:tcPr>
            <w:tcW w:w="5935" w:type="dxa"/>
            <w:vAlign w:val="center"/>
          </w:tcPr>
          <w:p w14:paraId="5FCD9A9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由磋商小组在打分前根据供应商提供的主要施工方法，在相应档次内独立打分。</w:t>
            </w:r>
          </w:p>
          <w:p w14:paraId="6DB0B04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一档（0分）：各主要分部施工方法不符合项目实际，有施工技术方案，工艺落后且不符合项目需求，不能指导具体施工并确保安全。</w:t>
            </w:r>
          </w:p>
          <w:p w14:paraId="2E6785A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二档（3分）：</w:t>
            </w:r>
            <w:r>
              <w:rPr>
                <w:rFonts w:hint="eastAsia" w:ascii="宋体" w:hAnsi="宋体"/>
                <w:color w:val="auto"/>
                <w:highlight w:val="none"/>
              </w:rPr>
              <w:t>各主要分部施工方法符合项目实际，有施工技术方案，工艺仅满足项目需求、方法可行，能指导施工并确保安全</w:t>
            </w:r>
            <w:r>
              <w:rPr>
                <w:rFonts w:hint="eastAsia" w:ascii="宋体" w:hAnsi="宋体" w:cs="宋体"/>
                <w:color w:val="auto"/>
                <w:szCs w:val="21"/>
                <w:highlight w:val="none"/>
              </w:rPr>
              <w:t>。</w:t>
            </w:r>
          </w:p>
          <w:p w14:paraId="5480680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三档（6分）：</w:t>
            </w:r>
            <w:r>
              <w:rPr>
                <w:rFonts w:hint="eastAsia" w:ascii="宋体" w:hAnsi="宋体"/>
                <w:color w:val="auto"/>
                <w:highlight w:val="none"/>
              </w:rPr>
              <w:t>各主要分部施工方法符合项目实际，有详尽的施工技术方案，工艺合理、方法可行，能指导具体施工并确保安全</w:t>
            </w:r>
            <w:r>
              <w:rPr>
                <w:rFonts w:hint="eastAsia" w:ascii="宋体" w:hAnsi="宋体" w:cs="宋体"/>
                <w:color w:val="auto"/>
                <w:szCs w:val="21"/>
                <w:highlight w:val="none"/>
              </w:rPr>
              <w:t>。</w:t>
            </w:r>
          </w:p>
          <w:p w14:paraId="5D2301F8">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四档（</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w:t>
            </w:r>
            <w:r>
              <w:rPr>
                <w:rFonts w:hint="eastAsia" w:ascii="宋体" w:hAnsi="宋体"/>
                <w:color w:val="auto"/>
                <w:highlight w:val="none"/>
              </w:rPr>
              <w:t>各主要分部施工方法符合项目实际，有详尽的施工技术方案，工艺先进、方法科学合理、可行，能指导具体施工并确保安全</w:t>
            </w:r>
            <w:r>
              <w:rPr>
                <w:rFonts w:hint="eastAsia" w:ascii="宋体" w:hAnsi="宋体" w:cs="宋体"/>
                <w:color w:val="auto"/>
                <w:szCs w:val="21"/>
                <w:highlight w:val="none"/>
              </w:rPr>
              <w:t>。</w:t>
            </w:r>
          </w:p>
        </w:tc>
        <w:tc>
          <w:tcPr>
            <w:tcW w:w="807" w:type="dxa"/>
            <w:vAlign w:val="center"/>
          </w:tcPr>
          <w:p w14:paraId="230F80D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主观分</w:t>
            </w:r>
          </w:p>
        </w:tc>
      </w:tr>
      <w:tr w14:paraId="67B8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719" w:type="dxa"/>
            <w:vMerge w:val="continue"/>
            <w:vAlign w:val="center"/>
          </w:tcPr>
          <w:p w14:paraId="35F550F3">
            <w:pPr>
              <w:spacing w:line="360" w:lineRule="auto"/>
              <w:jc w:val="center"/>
              <w:rPr>
                <w:rFonts w:hint="eastAsia" w:ascii="宋体" w:hAnsi="宋体" w:cs="宋体"/>
                <w:color w:val="auto"/>
                <w:szCs w:val="21"/>
                <w:highlight w:val="none"/>
              </w:rPr>
            </w:pPr>
          </w:p>
        </w:tc>
        <w:tc>
          <w:tcPr>
            <w:tcW w:w="958" w:type="dxa"/>
            <w:vMerge w:val="continue"/>
            <w:vAlign w:val="center"/>
          </w:tcPr>
          <w:p w14:paraId="1F2F4EA6">
            <w:pPr>
              <w:spacing w:line="360" w:lineRule="auto"/>
              <w:jc w:val="center"/>
              <w:rPr>
                <w:rFonts w:hint="eastAsia" w:ascii="宋体" w:hAnsi="宋体" w:cs="宋体"/>
                <w:color w:val="auto"/>
                <w:szCs w:val="21"/>
                <w:highlight w:val="none"/>
              </w:rPr>
            </w:pPr>
          </w:p>
        </w:tc>
        <w:tc>
          <w:tcPr>
            <w:tcW w:w="1115" w:type="dxa"/>
            <w:vAlign w:val="center"/>
          </w:tcPr>
          <w:p w14:paraId="74E8FE02">
            <w:pPr>
              <w:widowControl/>
              <w:spacing w:line="360" w:lineRule="auto"/>
              <w:rPr>
                <w:rFonts w:hint="eastAsia" w:ascii="宋体" w:hAnsi="宋体" w:cs="宋体"/>
                <w:color w:val="auto"/>
                <w:szCs w:val="21"/>
                <w:highlight w:val="none"/>
              </w:rPr>
            </w:pPr>
            <w:r>
              <w:rPr>
                <w:rFonts w:hint="eastAsia" w:ascii="宋体" w:hAnsi="宋体" w:cs="宋体"/>
                <w:color w:val="auto"/>
                <w:szCs w:val="21"/>
                <w:highlight w:val="none"/>
              </w:rPr>
              <w:t>（2）拟投入的主要物资计 划（满分9分）</w:t>
            </w:r>
          </w:p>
        </w:tc>
        <w:tc>
          <w:tcPr>
            <w:tcW w:w="5935" w:type="dxa"/>
          </w:tcPr>
          <w:p w14:paraId="29658C6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磋商小组在打分前根据供应商提供的拟投入的主要物资计划，在相应档次内独立打分。</w:t>
            </w:r>
          </w:p>
          <w:p w14:paraId="37C8716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一档（0分）：投入的施工材料无组织计划，数量、选型配置、进场时间安排不合理，不满足施工需要。</w:t>
            </w:r>
          </w:p>
          <w:p w14:paraId="1FB2A34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二档（3分）：投入的施工材料有组织计划但计划内容不全面，数量、选型配置、进场时间安排合理，基本满足施工需要。</w:t>
            </w:r>
          </w:p>
          <w:p w14:paraId="232DC89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三档（6分）：投入的施工材料有详细的组织计划，数量、选型配置、进场时间安排合理，满足施工需要。</w:t>
            </w:r>
          </w:p>
          <w:p w14:paraId="2E75D3E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四档（9分）：投入的施工材料有详细的组织计划且计划周密，数量、选型配置、进场时间安排合理，满足施工需要。</w:t>
            </w:r>
          </w:p>
        </w:tc>
        <w:tc>
          <w:tcPr>
            <w:tcW w:w="807" w:type="dxa"/>
            <w:vAlign w:val="center"/>
          </w:tcPr>
          <w:p w14:paraId="794F067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主观分</w:t>
            </w:r>
          </w:p>
        </w:tc>
      </w:tr>
      <w:tr w14:paraId="6376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9" w:type="dxa"/>
            <w:vMerge w:val="continue"/>
            <w:vAlign w:val="center"/>
          </w:tcPr>
          <w:p w14:paraId="2A48E8C5">
            <w:pPr>
              <w:spacing w:line="360" w:lineRule="auto"/>
              <w:jc w:val="center"/>
              <w:rPr>
                <w:rFonts w:hint="eastAsia" w:ascii="宋体" w:hAnsi="宋体" w:cs="宋体"/>
                <w:color w:val="auto"/>
                <w:szCs w:val="21"/>
                <w:highlight w:val="none"/>
              </w:rPr>
            </w:pPr>
          </w:p>
        </w:tc>
        <w:tc>
          <w:tcPr>
            <w:tcW w:w="958" w:type="dxa"/>
            <w:vMerge w:val="continue"/>
            <w:vAlign w:val="center"/>
          </w:tcPr>
          <w:p w14:paraId="4A16A36F">
            <w:pPr>
              <w:spacing w:line="360" w:lineRule="auto"/>
              <w:jc w:val="center"/>
              <w:rPr>
                <w:rFonts w:hint="eastAsia" w:ascii="宋体" w:hAnsi="宋体" w:cs="宋体"/>
                <w:color w:val="auto"/>
                <w:szCs w:val="21"/>
                <w:highlight w:val="none"/>
              </w:rPr>
            </w:pPr>
          </w:p>
        </w:tc>
        <w:tc>
          <w:tcPr>
            <w:tcW w:w="1115" w:type="dxa"/>
            <w:vAlign w:val="center"/>
          </w:tcPr>
          <w:p w14:paraId="6188B94E">
            <w:pPr>
              <w:widowControl/>
              <w:spacing w:line="360" w:lineRule="auto"/>
              <w:rPr>
                <w:rFonts w:hint="eastAsia" w:ascii="宋体" w:hAnsi="宋体" w:cs="宋体"/>
                <w:color w:val="auto"/>
                <w:szCs w:val="21"/>
                <w:highlight w:val="none"/>
              </w:rPr>
            </w:pPr>
            <w:r>
              <w:rPr>
                <w:rFonts w:hint="eastAsia" w:ascii="宋体" w:hAnsi="宋体" w:cs="宋体"/>
                <w:color w:val="auto"/>
                <w:szCs w:val="21"/>
                <w:highlight w:val="none"/>
              </w:rPr>
              <w:t>（3）劳动力安排计划（满分</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w:t>
            </w:r>
          </w:p>
        </w:tc>
        <w:tc>
          <w:tcPr>
            <w:tcW w:w="5935" w:type="dxa"/>
          </w:tcPr>
          <w:p w14:paraId="5539D95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磋商小组在打分前根据供应商提供的劳动力安排计划，在相应档次内独立打分。</w:t>
            </w:r>
          </w:p>
          <w:p w14:paraId="275325E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一档（0分）：各主要施工工序无劳动力安排计划，劳动力投入不合理，不满足施工需要。</w:t>
            </w:r>
          </w:p>
          <w:p w14:paraId="3BE13C0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二档（3分）：各主要施工工序只有劳动力安排计划，无各工种劳动力安排计划，劳动力投入合理，满足施工需要。</w:t>
            </w:r>
          </w:p>
          <w:p w14:paraId="4AC9763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三档（6分）：</w:t>
            </w:r>
            <w:r>
              <w:rPr>
                <w:rFonts w:hint="eastAsia" w:ascii="宋体" w:hAnsi="宋体"/>
                <w:color w:val="auto"/>
                <w:kern w:val="0"/>
                <w:szCs w:val="21"/>
                <w:highlight w:val="none"/>
              </w:rPr>
              <w:t>各主要施工工序有劳动力安排计划，有各工种劳动力安排计划，劳动力投入合理，满足施工需要</w:t>
            </w:r>
            <w:r>
              <w:rPr>
                <w:rFonts w:hint="eastAsia" w:ascii="宋体" w:hAnsi="宋体" w:cs="宋体"/>
                <w:color w:val="auto"/>
                <w:szCs w:val="21"/>
                <w:highlight w:val="none"/>
              </w:rPr>
              <w:t>。</w:t>
            </w:r>
          </w:p>
          <w:p w14:paraId="2DCA193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四档（</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w:t>
            </w:r>
            <w:r>
              <w:rPr>
                <w:rFonts w:hint="eastAsia" w:ascii="宋体" w:hAnsi="宋体"/>
                <w:color w:val="auto"/>
                <w:kern w:val="0"/>
                <w:szCs w:val="21"/>
                <w:highlight w:val="none"/>
              </w:rPr>
              <w:t>各主要施工工序有详细周密的劳动力安排计划，有各工种劳动力安排计划，劳动力投入合理，满足施工需要</w:t>
            </w:r>
            <w:r>
              <w:rPr>
                <w:rFonts w:hint="eastAsia" w:ascii="宋体" w:hAnsi="宋体" w:cs="宋体"/>
                <w:color w:val="auto"/>
                <w:szCs w:val="21"/>
                <w:highlight w:val="none"/>
              </w:rPr>
              <w:t>。</w:t>
            </w:r>
          </w:p>
        </w:tc>
        <w:tc>
          <w:tcPr>
            <w:tcW w:w="807" w:type="dxa"/>
            <w:vAlign w:val="center"/>
          </w:tcPr>
          <w:p w14:paraId="3D36340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主观分</w:t>
            </w:r>
          </w:p>
        </w:tc>
      </w:tr>
      <w:tr w14:paraId="23F04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9" w:type="dxa"/>
            <w:vMerge w:val="continue"/>
            <w:vAlign w:val="center"/>
          </w:tcPr>
          <w:p w14:paraId="498A7D43">
            <w:pPr>
              <w:spacing w:line="360" w:lineRule="auto"/>
              <w:jc w:val="center"/>
              <w:rPr>
                <w:rFonts w:hint="eastAsia" w:ascii="宋体" w:hAnsi="宋体" w:cs="宋体"/>
                <w:color w:val="auto"/>
                <w:szCs w:val="21"/>
                <w:highlight w:val="none"/>
              </w:rPr>
            </w:pPr>
          </w:p>
        </w:tc>
        <w:tc>
          <w:tcPr>
            <w:tcW w:w="958" w:type="dxa"/>
            <w:vMerge w:val="continue"/>
            <w:vAlign w:val="center"/>
          </w:tcPr>
          <w:p w14:paraId="60F43F2A">
            <w:pPr>
              <w:spacing w:line="360" w:lineRule="auto"/>
              <w:jc w:val="center"/>
              <w:rPr>
                <w:rFonts w:hint="eastAsia" w:ascii="宋体" w:hAnsi="宋体" w:cs="宋体"/>
                <w:color w:val="auto"/>
                <w:szCs w:val="21"/>
                <w:highlight w:val="none"/>
              </w:rPr>
            </w:pPr>
          </w:p>
        </w:tc>
        <w:tc>
          <w:tcPr>
            <w:tcW w:w="1115" w:type="dxa"/>
            <w:vAlign w:val="center"/>
          </w:tcPr>
          <w:p w14:paraId="1EBF4CCE">
            <w:pPr>
              <w:widowControl/>
              <w:spacing w:line="360" w:lineRule="auto"/>
              <w:rPr>
                <w:rFonts w:hint="eastAsia" w:ascii="宋体" w:hAnsi="宋体" w:cs="宋体"/>
                <w:color w:val="auto"/>
                <w:szCs w:val="21"/>
                <w:highlight w:val="none"/>
              </w:rPr>
            </w:pPr>
            <w:r>
              <w:rPr>
                <w:rFonts w:hint="eastAsia" w:ascii="宋体" w:hAnsi="宋体" w:cs="宋体"/>
                <w:color w:val="auto"/>
                <w:szCs w:val="21"/>
                <w:highlight w:val="none"/>
              </w:rPr>
              <w:t>（4）确保工程质量的技</w:t>
            </w:r>
          </w:p>
          <w:p w14:paraId="15282792">
            <w:pPr>
              <w:widowControl/>
              <w:spacing w:line="360" w:lineRule="auto"/>
              <w:rPr>
                <w:rFonts w:hint="eastAsia" w:ascii="宋体" w:hAnsi="宋体" w:cs="宋体"/>
                <w:color w:val="auto"/>
                <w:szCs w:val="21"/>
                <w:highlight w:val="none"/>
              </w:rPr>
            </w:pPr>
            <w:r>
              <w:rPr>
                <w:rFonts w:hint="eastAsia" w:ascii="宋体" w:hAnsi="宋体" w:cs="宋体"/>
                <w:color w:val="auto"/>
                <w:szCs w:val="21"/>
                <w:highlight w:val="none"/>
              </w:rPr>
              <w:t>术组织措（满分</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w:t>
            </w:r>
          </w:p>
        </w:tc>
        <w:tc>
          <w:tcPr>
            <w:tcW w:w="5935" w:type="dxa"/>
          </w:tcPr>
          <w:p w14:paraId="4082C27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磋商小组在打分前根据供应商提供的确保工程质量的技术组织措，在相应档次内独立打分。</w:t>
            </w:r>
          </w:p>
          <w:p w14:paraId="736A179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一档（0分）：有质量技术管理班子和制度。主要工序无质量技术保证措施和手段，无自控体系，不能有效保证技术质量。</w:t>
            </w:r>
          </w:p>
          <w:p w14:paraId="747E404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二档（3分）：有质量技术管理班子和制度。主要工序有质量技术保证措施和手段，自控体系内容简单不全面，基本能保证技术质量，达到承诺的质量标准。</w:t>
            </w:r>
          </w:p>
          <w:p w14:paraId="48C6511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三档（6分）：</w:t>
            </w:r>
            <w:r>
              <w:rPr>
                <w:rFonts w:hint="eastAsia" w:ascii="宋体" w:hAnsi="宋体"/>
                <w:color w:val="auto"/>
                <w:kern w:val="0"/>
                <w:szCs w:val="21"/>
                <w:highlight w:val="none"/>
              </w:rPr>
              <w:t>有质量技术管理班子和制度，且人员配备充足，制度健全。主要工序有质量技术保证措施和手段，自控体系完整，能保证技术质量，达到承诺的质量标准。</w:t>
            </w:r>
          </w:p>
          <w:p w14:paraId="54A1F6D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四档（</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分）：有专门的质量技术管理班子和制度，且人员配备充足合理，制度健全。主要工序有质量技术保证措施和手段，自控体系完整且有针对性，能有效保证技术质量，达到承诺的质量标准。</w:t>
            </w:r>
          </w:p>
        </w:tc>
        <w:tc>
          <w:tcPr>
            <w:tcW w:w="807" w:type="dxa"/>
            <w:vAlign w:val="center"/>
          </w:tcPr>
          <w:p w14:paraId="5258638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主观分</w:t>
            </w:r>
          </w:p>
        </w:tc>
      </w:tr>
      <w:tr w14:paraId="5EF0C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719" w:type="dxa"/>
            <w:vMerge w:val="continue"/>
            <w:vAlign w:val="center"/>
          </w:tcPr>
          <w:p w14:paraId="5329D71B">
            <w:pPr>
              <w:spacing w:line="360" w:lineRule="auto"/>
              <w:jc w:val="center"/>
              <w:rPr>
                <w:rFonts w:hint="eastAsia" w:ascii="宋体" w:hAnsi="宋体" w:cs="宋体"/>
                <w:color w:val="auto"/>
                <w:szCs w:val="21"/>
                <w:highlight w:val="none"/>
              </w:rPr>
            </w:pPr>
          </w:p>
        </w:tc>
        <w:tc>
          <w:tcPr>
            <w:tcW w:w="958" w:type="dxa"/>
            <w:vMerge w:val="continue"/>
            <w:vAlign w:val="center"/>
          </w:tcPr>
          <w:p w14:paraId="072E0273">
            <w:pPr>
              <w:spacing w:line="360" w:lineRule="auto"/>
              <w:jc w:val="center"/>
              <w:rPr>
                <w:rFonts w:hint="eastAsia" w:ascii="宋体" w:hAnsi="宋体" w:cs="宋体"/>
                <w:color w:val="auto"/>
                <w:szCs w:val="21"/>
                <w:highlight w:val="none"/>
              </w:rPr>
            </w:pPr>
          </w:p>
        </w:tc>
        <w:tc>
          <w:tcPr>
            <w:tcW w:w="1115" w:type="dxa"/>
            <w:vAlign w:val="center"/>
          </w:tcPr>
          <w:p w14:paraId="0B20AEE0">
            <w:pPr>
              <w:widowControl/>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（5）确保 安全生产 的技术组 织措施（满分</w:t>
            </w:r>
            <w:r>
              <w:rPr>
                <w:rFonts w:hint="eastAsia" w:ascii="宋体" w:hAnsi="宋体" w:cs="宋体"/>
                <w:color w:val="auto"/>
                <w:kern w:val="0"/>
                <w:szCs w:val="21"/>
                <w:highlight w:val="none"/>
                <w:lang w:val="en-US" w:eastAsia="zh-CN"/>
              </w:rPr>
              <w:t>9</w:t>
            </w:r>
            <w:r>
              <w:rPr>
                <w:rFonts w:hint="eastAsia" w:ascii="宋体" w:hAnsi="宋体" w:cs="宋体"/>
                <w:color w:val="auto"/>
                <w:kern w:val="0"/>
                <w:szCs w:val="21"/>
                <w:highlight w:val="none"/>
              </w:rPr>
              <w:t>分）</w:t>
            </w:r>
          </w:p>
        </w:tc>
        <w:tc>
          <w:tcPr>
            <w:tcW w:w="5935" w:type="dxa"/>
          </w:tcPr>
          <w:p w14:paraId="7FE18A9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磋商小组在打分前根据供应商提供的</w:t>
            </w:r>
            <w:r>
              <w:rPr>
                <w:rFonts w:hint="eastAsia" w:ascii="宋体" w:hAnsi="宋体" w:cs="宋体"/>
                <w:color w:val="auto"/>
                <w:kern w:val="0"/>
                <w:szCs w:val="21"/>
                <w:highlight w:val="none"/>
              </w:rPr>
              <w:t>确保 安全生产 的技术组 织措施</w:t>
            </w:r>
            <w:r>
              <w:rPr>
                <w:rFonts w:hint="eastAsia" w:ascii="宋体" w:hAnsi="宋体" w:cs="宋体"/>
                <w:color w:val="auto"/>
                <w:szCs w:val="21"/>
                <w:highlight w:val="none"/>
              </w:rPr>
              <w:t>，在相应档次内独立打分。</w:t>
            </w:r>
          </w:p>
          <w:p w14:paraId="0A8E73B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一档（0分）：有安全管理人员和制度，各道工序安全技术措施无针对性，满足有关安全技术标准要求。现场防火、应急救援、社会治安安全措施内容简单，不可行。</w:t>
            </w:r>
          </w:p>
          <w:p w14:paraId="64D4CF19">
            <w:pPr>
              <w:spacing w:line="360" w:lineRule="auto"/>
              <w:ind w:left="2"/>
              <w:rPr>
                <w:rFonts w:hint="eastAsia" w:ascii="宋体" w:hAnsi="宋体"/>
                <w:color w:val="auto"/>
                <w:kern w:val="0"/>
                <w:szCs w:val="21"/>
                <w:highlight w:val="none"/>
              </w:rPr>
            </w:pPr>
            <w:r>
              <w:rPr>
                <w:rFonts w:hint="eastAsia" w:ascii="宋体" w:hAnsi="宋体" w:cs="宋体"/>
                <w:color w:val="auto"/>
                <w:szCs w:val="21"/>
                <w:highlight w:val="none"/>
              </w:rPr>
              <w:t>二档（3分）：</w:t>
            </w:r>
            <w:r>
              <w:rPr>
                <w:rFonts w:hint="eastAsia" w:ascii="宋体" w:hAnsi="宋体"/>
                <w:color w:val="auto"/>
                <w:kern w:val="0"/>
                <w:szCs w:val="21"/>
                <w:highlight w:val="none"/>
              </w:rPr>
              <w:t>有安全管理人员和制度，各道工序安全技术措施针对性不强，满足有关安全技术标准要求。现场防火、应急救援、社会治安安全措施不全面。</w:t>
            </w:r>
          </w:p>
          <w:p w14:paraId="2BD6BC7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三档（6分）：</w:t>
            </w:r>
            <w:r>
              <w:rPr>
                <w:rFonts w:hint="eastAsia" w:ascii="宋体" w:hAnsi="宋体"/>
                <w:color w:val="auto"/>
                <w:kern w:val="0"/>
                <w:szCs w:val="21"/>
                <w:highlight w:val="none"/>
              </w:rPr>
              <w:t>有安全管理人员和制度，且人员配备充足，制度健全，各道工序安全技术措施针对性强，符合实际且满足有关安全技术标准要求。现场防火、应急救援、社会治安安全措施内容全面。</w:t>
            </w:r>
          </w:p>
          <w:p w14:paraId="43E01A3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四档（</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分）：有专门的安全管理人员和制度，且人员配备充足合理，制度健全，各道工序安全技术措施针对性强，符合实际且满足有关安全技术标准要求。现场防火、应急救援、社会治安安全措施科学合理。</w:t>
            </w:r>
          </w:p>
        </w:tc>
        <w:tc>
          <w:tcPr>
            <w:tcW w:w="807" w:type="dxa"/>
            <w:vAlign w:val="center"/>
          </w:tcPr>
          <w:p w14:paraId="1561AB2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主观分</w:t>
            </w:r>
          </w:p>
        </w:tc>
      </w:tr>
      <w:tr w14:paraId="2CAED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719" w:type="dxa"/>
            <w:vMerge w:val="continue"/>
            <w:vAlign w:val="center"/>
          </w:tcPr>
          <w:p w14:paraId="56346124">
            <w:pPr>
              <w:spacing w:line="360" w:lineRule="auto"/>
              <w:jc w:val="center"/>
              <w:rPr>
                <w:rFonts w:hint="eastAsia" w:ascii="宋体" w:hAnsi="宋体" w:cs="宋体"/>
                <w:color w:val="auto"/>
                <w:szCs w:val="21"/>
                <w:highlight w:val="none"/>
              </w:rPr>
            </w:pPr>
          </w:p>
        </w:tc>
        <w:tc>
          <w:tcPr>
            <w:tcW w:w="958" w:type="dxa"/>
            <w:vMerge w:val="continue"/>
            <w:vAlign w:val="center"/>
          </w:tcPr>
          <w:p w14:paraId="327F7912">
            <w:pPr>
              <w:spacing w:line="360" w:lineRule="auto"/>
              <w:jc w:val="center"/>
              <w:rPr>
                <w:rFonts w:hint="eastAsia" w:ascii="宋体" w:hAnsi="宋体" w:cs="宋体"/>
                <w:color w:val="auto"/>
                <w:szCs w:val="21"/>
                <w:highlight w:val="none"/>
              </w:rPr>
            </w:pPr>
          </w:p>
        </w:tc>
        <w:tc>
          <w:tcPr>
            <w:tcW w:w="1115" w:type="dxa"/>
            <w:vAlign w:val="center"/>
          </w:tcPr>
          <w:p w14:paraId="5F547CF5">
            <w:pPr>
              <w:widowControl/>
              <w:spacing w:line="360" w:lineRule="auto"/>
              <w:rPr>
                <w:rFonts w:hint="eastAsia" w:ascii="宋体" w:hAnsi="宋体" w:cs="宋体"/>
                <w:color w:val="auto"/>
                <w:szCs w:val="21"/>
                <w:highlight w:val="none"/>
              </w:rPr>
            </w:pPr>
            <w:r>
              <w:rPr>
                <w:rFonts w:hint="eastAsia" w:ascii="宋体" w:hAnsi="宋体" w:cs="宋体"/>
                <w:color w:val="auto"/>
                <w:szCs w:val="21"/>
                <w:highlight w:val="none"/>
              </w:rPr>
              <w:t>（6）确保工期的技术组织措施（满分</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w:t>
            </w:r>
          </w:p>
        </w:tc>
        <w:tc>
          <w:tcPr>
            <w:tcW w:w="5935" w:type="dxa"/>
          </w:tcPr>
          <w:p w14:paraId="474A9F8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磋商小组在打分前根据供应商提供的确保工期的技术组织措施，在相应档次内独立打分。</w:t>
            </w:r>
          </w:p>
          <w:p w14:paraId="0A266B40">
            <w:pPr>
              <w:spacing w:line="360" w:lineRule="auto"/>
              <w:rPr>
                <w:rFonts w:hint="eastAsia" w:ascii="宋体" w:hAnsi="宋体"/>
                <w:color w:val="auto"/>
                <w:kern w:val="0"/>
                <w:szCs w:val="21"/>
                <w:highlight w:val="none"/>
              </w:rPr>
            </w:pPr>
            <w:r>
              <w:rPr>
                <w:rFonts w:hint="eastAsia" w:ascii="宋体" w:hAnsi="宋体" w:cs="宋体"/>
                <w:color w:val="auto"/>
                <w:szCs w:val="21"/>
                <w:highlight w:val="none"/>
              </w:rPr>
              <w:t>一档（0分）：</w:t>
            </w:r>
            <w:r>
              <w:rPr>
                <w:rFonts w:hint="eastAsia" w:ascii="宋体" w:hAnsi="宋体"/>
                <w:color w:val="auto"/>
                <w:kern w:val="0"/>
                <w:szCs w:val="21"/>
                <w:highlight w:val="none"/>
              </w:rPr>
              <w:t>施工工艺、施工方法、材料选用、劳动力安排、技术等方面有措施。有控制工期的施工进度计划。有施工总进度表或施工网络图，各项计划图表编制差，不符合本项目施工实际要求。</w:t>
            </w:r>
          </w:p>
          <w:p w14:paraId="7ED3F977">
            <w:pPr>
              <w:spacing w:line="360" w:lineRule="auto"/>
              <w:ind w:left="2"/>
              <w:rPr>
                <w:rFonts w:hint="eastAsia" w:ascii="宋体" w:hAnsi="宋体"/>
                <w:color w:val="auto"/>
                <w:kern w:val="0"/>
                <w:szCs w:val="21"/>
                <w:highlight w:val="none"/>
              </w:rPr>
            </w:pPr>
            <w:r>
              <w:rPr>
                <w:rFonts w:hint="eastAsia" w:ascii="宋体" w:hAnsi="宋体" w:cs="宋体"/>
                <w:color w:val="auto"/>
                <w:szCs w:val="21"/>
                <w:highlight w:val="none"/>
              </w:rPr>
              <w:t>二档（3分）：</w:t>
            </w:r>
            <w:r>
              <w:rPr>
                <w:rFonts w:hint="eastAsia" w:ascii="宋体" w:hAnsi="宋体"/>
                <w:color w:val="auto"/>
                <w:kern w:val="0"/>
                <w:szCs w:val="21"/>
                <w:highlight w:val="none"/>
              </w:rPr>
              <w:t>施工工艺、施工方法、材料选用、劳动力安排、技术等方面有措施。有控制工期的施工进度计划。有施工总进度表或施工网络图，各项计划图表编制有1-2 项内容不合理，基本符合本项目施工实际要求。</w:t>
            </w:r>
          </w:p>
          <w:p w14:paraId="4DBE65D6">
            <w:pPr>
              <w:spacing w:line="360" w:lineRule="auto"/>
              <w:ind w:left="2"/>
              <w:rPr>
                <w:rFonts w:hint="eastAsia" w:ascii="宋体" w:hAnsi="宋体" w:cs="宋体"/>
                <w:color w:val="auto"/>
                <w:szCs w:val="21"/>
                <w:highlight w:val="none"/>
              </w:rPr>
            </w:pPr>
            <w:r>
              <w:rPr>
                <w:rFonts w:hint="eastAsia" w:ascii="宋体" w:hAnsi="宋体" w:cs="宋体"/>
                <w:color w:val="auto"/>
                <w:szCs w:val="21"/>
                <w:highlight w:val="none"/>
              </w:rPr>
              <w:t>三档（6分）：</w:t>
            </w:r>
            <w:r>
              <w:rPr>
                <w:rFonts w:hint="eastAsia" w:ascii="宋体" w:hAnsi="宋体"/>
                <w:color w:val="auto"/>
                <w:kern w:val="0"/>
                <w:szCs w:val="21"/>
                <w:highlight w:val="none"/>
              </w:rPr>
              <w:t>施工工艺、施工方法、材料选用、劳动力安排、技术等方面有保证工期的具体措施。有控制工期的施工进度计划。有施工总进度表或施工网络图，各项计划图表编制完善，符合本项目施工实际要求。</w:t>
            </w:r>
          </w:p>
          <w:p w14:paraId="1AC8CE7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四档（</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在施工工艺、施工方法、材料选用、劳动力安排、技术等方面有保证工期的具体措施且措施得当。有控制工期的施工进度计划。有施工总进度表或施工网络图，各项计划图表编制完善，安排科学合理，符合本项目施工实际要求。</w:t>
            </w:r>
          </w:p>
        </w:tc>
        <w:tc>
          <w:tcPr>
            <w:tcW w:w="807" w:type="dxa"/>
            <w:vAlign w:val="center"/>
          </w:tcPr>
          <w:p w14:paraId="49CF319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主观分</w:t>
            </w:r>
          </w:p>
        </w:tc>
      </w:tr>
      <w:tr w14:paraId="4D2D1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719" w:type="dxa"/>
            <w:vMerge w:val="continue"/>
            <w:vAlign w:val="center"/>
          </w:tcPr>
          <w:p w14:paraId="4BAA045B">
            <w:pPr>
              <w:spacing w:line="360" w:lineRule="auto"/>
              <w:jc w:val="center"/>
              <w:rPr>
                <w:rFonts w:hint="eastAsia" w:ascii="宋体" w:hAnsi="宋体" w:cs="宋体"/>
                <w:color w:val="auto"/>
                <w:szCs w:val="21"/>
                <w:highlight w:val="none"/>
              </w:rPr>
            </w:pPr>
          </w:p>
        </w:tc>
        <w:tc>
          <w:tcPr>
            <w:tcW w:w="958" w:type="dxa"/>
            <w:vMerge w:val="continue"/>
            <w:vAlign w:val="center"/>
          </w:tcPr>
          <w:p w14:paraId="5475F8FD">
            <w:pPr>
              <w:spacing w:line="360" w:lineRule="auto"/>
              <w:jc w:val="center"/>
              <w:rPr>
                <w:rFonts w:hint="eastAsia" w:ascii="宋体" w:hAnsi="宋体" w:cs="宋体"/>
                <w:color w:val="auto"/>
                <w:szCs w:val="21"/>
                <w:highlight w:val="none"/>
              </w:rPr>
            </w:pPr>
          </w:p>
        </w:tc>
        <w:tc>
          <w:tcPr>
            <w:tcW w:w="1115" w:type="dxa"/>
            <w:vAlign w:val="center"/>
          </w:tcPr>
          <w:p w14:paraId="4CDDEB42">
            <w:pPr>
              <w:widowControl/>
              <w:spacing w:line="360" w:lineRule="auto"/>
              <w:rPr>
                <w:rFonts w:hint="eastAsia" w:ascii="宋体" w:hAnsi="宋体" w:cs="宋体"/>
                <w:color w:val="auto"/>
                <w:szCs w:val="21"/>
                <w:highlight w:val="none"/>
              </w:rPr>
            </w:pPr>
            <w:r>
              <w:rPr>
                <w:rFonts w:hint="eastAsia" w:ascii="宋体" w:hAnsi="宋体" w:cs="宋体"/>
                <w:color w:val="auto"/>
                <w:szCs w:val="21"/>
                <w:highlight w:val="none"/>
              </w:rPr>
              <w:t>（7）工程施工的重点和难点及保证措施（满分</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w:t>
            </w:r>
          </w:p>
        </w:tc>
        <w:tc>
          <w:tcPr>
            <w:tcW w:w="5935" w:type="dxa"/>
          </w:tcPr>
          <w:p w14:paraId="78972BA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磋商小组在打分前根据供应商提供的工程施工重点和难点及保证措施，在相应档次内独立打分。</w:t>
            </w:r>
          </w:p>
          <w:p w14:paraId="5A7275F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一档（0分）：未针对该项目的难点、重点进行分析，未考虑各部分施工如何相互交叉和衔接，施工质量效果和设计效果的无法统一。</w:t>
            </w:r>
          </w:p>
          <w:p w14:paraId="7425605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二档（3分）：针对该项目的难点、重点分析不具体，各部分施工如何相互交叉和衔接不合理，施工质量效果和设计效果有较大差距。</w:t>
            </w:r>
          </w:p>
          <w:p w14:paraId="58ED1BD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三档（6分）：针对该项目的难点、重点分析简单，未重点考虑各部分施工如何相互交叉和衔接，施工质量效果基本达到设计效果。</w:t>
            </w:r>
          </w:p>
          <w:p w14:paraId="1B517F8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四档（</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分）：针对该项目的难点、重点详细分析，重点考虑各部分施工如何相互交叉和衔接，以保证施工质量效果和设计效果的完美统一。</w:t>
            </w:r>
          </w:p>
        </w:tc>
        <w:tc>
          <w:tcPr>
            <w:tcW w:w="807" w:type="dxa"/>
            <w:vAlign w:val="center"/>
          </w:tcPr>
          <w:p w14:paraId="20969DB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主观分</w:t>
            </w:r>
          </w:p>
        </w:tc>
      </w:tr>
      <w:tr w14:paraId="60B7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719" w:type="dxa"/>
            <w:vMerge w:val="continue"/>
            <w:vAlign w:val="center"/>
          </w:tcPr>
          <w:p w14:paraId="66B2842E">
            <w:pPr>
              <w:spacing w:line="360" w:lineRule="auto"/>
              <w:jc w:val="center"/>
              <w:rPr>
                <w:rFonts w:hint="eastAsia" w:ascii="宋体" w:hAnsi="宋体" w:cs="宋体"/>
                <w:color w:val="auto"/>
                <w:szCs w:val="21"/>
                <w:highlight w:val="none"/>
              </w:rPr>
            </w:pPr>
          </w:p>
        </w:tc>
        <w:tc>
          <w:tcPr>
            <w:tcW w:w="958" w:type="dxa"/>
            <w:vMerge w:val="continue"/>
            <w:vAlign w:val="center"/>
          </w:tcPr>
          <w:p w14:paraId="17BE040D">
            <w:pPr>
              <w:spacing w:line="360" w:lineRule="auto"/>
              <w:jc w:val="center"/>
              <w:rPr>
                <w:rFonts w:hint="eastAsia" w:ascii="宋体" w:hAnsi="宋体" w:cs="宋体"/>
                <w:color w:val="auto"/>
                <w:szCs w:val="21"/>
                <w:highlight w:val="none"/>
              </w:rPr>
            </w:pPr>
          </w:p>
        </w:tc>
        <w:tc>
          <w:tcPr>
            <w:tcW w:w="1115" w:type="dxa"/>
            <w:vAlign w:val="center"/>
          </w:tcPr>
          <w:p w14:paraId="6D17B5DB">
            <w:pPr>
              <w:widowControl/>
              <w:spacing w:line="360" w:lineRule="auto"/>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lang w:eastAsia="zh-CN"/>
              </w:rPr>
              <w:t>）</w:t>
            </w:r>
            <w:r>
              <w:rPr>
                <w:rFonts w:hint="eastAsia" w:ascii="宋体" w:hAnsi="宋体" w:cs="宋体"/>
                <w:color w:val="auto"/>
                <w:szCs w:val="21"/>
                <w:highlight w:val="none"/>
              </w:rPr>
              <w:t>确保文明施工的技术组织措施</w:t>
            </w:r>
            <w:r>
              <w:rPr>
                <w:rFonts w:hint="eastAsia" w:ascii="宋体" w:hAnsi="宋体" w:cs="宋体"/>
                <w:color w:val="auto"/>
                <w:szCs w:val="21"/>
                <w:highlight w:val="none"/>
                <w:lang w:eastAsia="zh-CN"/>
              </w:rPr>
              <w:t>（满分</w:t>
            </w:r>
            <w:r>
              <w:rPr>
                <w:rFonts w:hint="eastAsia" w:ascii="宋体" w:hAnsi="宋体" w:cs="宋体"/>
                <w:color w:val="auto"/>
                <w:szCs w:val="21"/>
                <w:highlight w:val="none"/>
                <w:lang w:val="en-US" w:eastAsia="zh-CN"/>
              </w:rPr>
              <w:t>7分</w:t>
            </w:r>
            <w:r>
              <w:rPr>
                <w:rFonts w:hint="eastAsia" w:ascii="宋体" w:hAnsi="宋体" w:cs="宋体"/>
                <w:color w:val="auto"/>
                <w:szCs w:val="21"/>
                <w:highlight w:val="none"/>
                <w:lang w:eastAsia="zh-CN"/>
              </w:rPr>
              <w:t>）</w:t>
            </w:r>
          </w:p>
        </w:tc>
        <w:tc>
          <w:tcPr>
            <w:tcW w:w="5935" w:type="dxa"/>
          </w:tcPr>
          <w:p w14:paraId="060286B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磋商小组在打分前根据供应商提供的文明施工技术组织措施，在相应档次内独立打分。</w:t>
            </w:r>
          </w:p>
          <w:p w14:paraId="48A47D2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一档（0分）：现场文明施工、环境保护措施和内容与相关施工安全生产标准或文明施工要求的的要求偏差大，无现场文明施工目标的承诺。</w:t>
            </w:r>
          </w:p>
          <w:p w14:paraId="72BFC41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二档（</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分）：现场文明施工、环境保护措施和内容基本达到相关施工安全生产标准或文明施工要求的；有具体现场文明施工目标的承诺。</w:t>
            </w:r>
          </w:p>
          <w:p w14:paraId="1A942B8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三档（</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分）：现场文明施工、环境保护措施和内容达到相关施工安全生产标准或文明施工要求的；承诺创建市级文明工地和标准化工地，而且各项措施周全、具体、有效的。</w:t>
            </w:r>
          </w:p>
          <w:p w14:paraId="13E8C4D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四档（</w:t>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分）：现场文明施工、环境保护措施和内容达到相关施工安全生产标准或文明施工要求的；承诺创建自治区级及以上文明工地和标准化工地，而且各项措施周全、具体、有效的。</w:t>
            </w:r>
          </w:p>
        </w:tc>
        <w:tc>
          <w:tcPr>
            <w:tcW w:w="807" w:type="dxa"/>
            <w:vAlign w:val="center"/>
          </w:tcPr>
          <w:p w14:paraId="2FDFF3D8">
            <w:pPr>
              <w:spacing w:line="360" w:lineRule="auto"/>
              <w:jc w:val="center"/>
              <w:rPr>
                <w:rFonts w:hint="eastAsia" w:ascii="宋体" w:hAnsi="宋体" w:cs="宋体"/>
                <w:color w:val="auto"/>
                <w:szCs w:val="21"/>
                <w:highlight w:val="none"/>
              </w:rPr>
            </w:pPr>
          </w:p>
        </w:tc>
      </w:tr>
      <w:tr w14:paraId="7CE8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5" w:hRule="atLeast"/>
          <w:jc w:val="center"/>
        </w:trPr>
        <w:tc>
          <w:tcPr>
            <w:tcW w:w="719" w:type="dxa"/>
            <w:vMerge w:val="restart"/>
            <w:vAlign w:val="center"/>
          </w:tcPr>
          <w:p w14:paraId="6C50D17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958" w:type="dxa"/>
            <w:vMerge w:val="restart"/>
            <w:vAlign w:val="center"/>
          </w:tcPr>
          <w:p w14:paraId="73817B47">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商务分（满分</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tc>
        <w:tc>
          <w:tcPr>
            <w:tcW w:w="1115" w:type="dxa"/>
            <w:vAlign w:val="center"/>
          </w:tcPr>
          <w:p w14:paraId="7F6AA481">
            <w:pPr>
              <w:pageBreakBefore w:val="0"/>
              <w:kinsoku/>
              <w:wordWrap/>
              <w:overflowPunct/>
              <w:topLinePunct w:val="0"/>
              <w:autoSpaceDE/>
              <w:autoSpaceDN/>
              <w:bidi w:val="0"/>
              <w:adjustRightInd w:val="0"/>
              <w:spacing w:line="380" w:lineRule="exact"/>
              <w:ind w:left="0" w:leftChars="0" w:right="0" w:rightChars="0"/>
              <w:jc w:val="center"/>
              <w:textAlignment w:val="baseline"/>
              <w:outlineLvl w:val="9"/>
              <w:rPr>
                <w:rFonts w:hint="eastAsia" w:ascii="宋体" w:hAnsi="宋体" w:cs="宋体"/>
                <w:bCs/>
                <w:color w:val="auto"/>
                <w:kern w:val="0"/>
                <w:szCs w:val="21"/>
                <w:highlight w:val="none"/>
                <w:lang w:val="en-US" w:eastAsia="zh-CN"/>
              </w:rPr>
            </w:pPr>
            <w:r>
              <w:rPr>
                <w:rFonts w:hint="eastAsia" w:ascii="宋体" w:hAnsi="宋体" w:cs="宋体"/>
                <w:bCs/>
                <w:color w:val="auto"/>
                <w:kern w:val="0"/>
                <w:szCs w:val="21"/>
                <w:highlight w:val="none"/>
                <w:lang w:val="en-US" w:eastAsia="zh-CN"/>
              </w:rPr>
              <w:t>人员配置</w:t>
            </w:r>
          </w:p>
          <w:p w14:paraId="024D42E4">
            <w:pPr>
              <w:pageBreakBefore w:val="0"/>
              <w:kinsoku/>
              <w:wordWrap/>
              <w:overflowPunct/>
              <w:topLinePunct w:val="0"/>
              <w:autoSpaceDE/>
              <w:autoSpaceDN/>
              <w:bidi w:val="0"/>
              <w:adjustRightInd w:val="0"/>
              <w:spacing w:line="380" w:lineRule="exact"/>
              <w:ind w:left="0" w:leftChars="0" w:right="0" w:rightChars="0"/>
              <w:jc w:val="center"/>
              <w:textAlignment w:val="baseline"/>
              <w:outlineLvl w:val="9"/>
              <w:rPr>
                <w:rFonts w:hint="eastAsia" w:ascii="宋体" w:hAnsi="宋体" w:cs="宋体"/>
                <w:color w:val="auto"/>
                <w:szCs w:val="21"/>
                <w:highlight w:val="none"/>
              </w:rPr>
            </w:pPr>
            <w:r>
              <w:rPr>
                <w:rFonts w:hint="eastAsia" w:ascii="宋体" w:hAnsi="宋体" w:cs="Courier New"/>
                <w:bCs/>
                <w:color w:val="auto"/>
                <w:szCs w:val="21"/>
                <w:highlight w:val="none"/>
                <w:lang w:val="en-US" w:eastAsia="zh-CN"/>
              </w:rPr>
              <w:t>（</w:t>
            </w:r>
            <w:r>
              <w:rPr>
                <w:rFonts w:hint="eastAsia" w:ascii="宋体" w:hAnsi="宋体" w:cs="宋体"/>
                <w:color w:val="auto"/>
                <w:szCs w:val="21"/>
                <w:highlight w:val="none"/>
              </w:rPr>
              <w:t>满分</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分</w:t>
            </w:r>
            <w:r>
              <w:rPr>
                <w:rFonts w:hint="eastAsia" w:ascii="宋体" w:hAnsi="宋体" w:cs="宋体"/>
                <w:color w:val="auto"/>
                <w:highlight w:val="none"/>
                <w:lang w:eastAsia="zh-CN"/>
              </w:rPr>
              <w:t>）</w:t>
            </w:r>
          </w:p>
        </w:tc>
        <w:tc>
          <w:tcPr>
            <w:tcW w:w="5935" w:type="dxa"/>
            <w:vAlign w:val="center"/>
          </w:tcPr>
          <w:p w14:paraId="2DDDF88B">
            <w:pPr>
              <w:pageBreakBefore w:val="0"/>
              <w:widowControl w:val="0"/>
              <w:numPr>
                <w:ilvl w:val="0"/>
                <w:numId w:val="0"/>
              </w:numPr>
              <w:kinsoku/>
              <w:wordWrap/>
              <w:overflowPunct/>
              <w:topLinePunct w:val="0"/>
              <w:autoSpaceDE/>
              <w:autoSpaceDN/>
              <w:bidi w:val="0"/>
              <w:adjustRightInd/>
              <w:snapToGrid/>
              <w:spacing w:before="0" w:after="0" w:line="380" w:lineRule="exact"/>
              <w:ind w:left="0" w:leftChars="0" w:right="0" w:rightChars="0" w:firstLine="420" w:firstLineChars="200"/>
              <w:textAlignment w:val="auto"/>
              <w:outlineLvl w:val="9"/>
              <w:rPr>
                <w:rFonts w:hint="eastAsia" w:ascii="宋体" w:hAnsi="宋体" w:eastAsia="宋体" w:cs="宋体"/>
                <w:b w:val="0"/>
                <w:bCs/>
                <w:color w:val="auto"/>
                <w:kern w:val="2"/>
                <w:sz w:val="21"/>
                <w:szCs w:val="24"/>
                <w:highlight w:val="none"/>
                <w:lang w:val="en-US" w:eastAsia="zh-CN" w:bidi="ar-SA"/>
              </w:rPr>
            </w:pPr>
            <w:r>
              <w:rPr>
                <w:rFonts w:hint="eastAsia" w:ascii="宋体" w:hAnsi="宋体" w:eastAsia="宋体" w:cs="宋体"/>
                <w:b w:val="0"/>
                <w:bCs/>
                <w:color w:val="auto"/>
                <w:kern w:val="2"/>
                <w:sz w:val="21"/>
                <w:szCs w:val="24"/>
                <w:highlight w:val="none"/>
                <w:lang w:val="en-US" w:eastAsia="zh-CN" w:bidi="ar-SA"/>
              </w:rPr>
              <w:t>配备的施工员、质量员、材料员、安全员等人员具备相应岗位证书（符合国家有关规定）的每个得1分，满分 4 分。</w:t>
            </w:r>
          </w:p>
          <w:p w14:paraId="6C7F00F7">
            <w:pPr>
              <w:pageBreakBefore w:val="0"/>
              <w:widowControl w:val="0"/>
              <w:numPr>
                <w:ilvl w:val="0"/>
                <w:numId w:val="0"/>
              </w:numPr>
              <w:kinsoku/>
              <w:wordWrap/>
              <w:overflowPunct/>
              <w:topLinePunct w:val="0"/>
              <w:autoSpaceDE/>
              <w:autoSpaceDN/>
              <w:bidi w:val="0"/>
              <w:adjustRightInd/>
              <w:snapToGrid/>
              <w:spacing w:before="0" w:after="0" w:line="380" w:lineRule="exact"/>
              <w:ind w:left="0" w:leftChars="0" w:right="0" w:rightChars="0" w:firstLine="420" w:firstLineChars="200"/>
              <w:textAlignment w:val="auto"/>
              <w:outlineLvl w:val="9"/>
              <w:rPr>
                <w:rFonts w:hint="eastAsia" w:ascii="宋体" w:hAnsi="宋体" w:cs="宋体"/>
                <w:color w:val="auto"/>
                <w:szCs w:val="21"/>
                <w:highlight w:val="none"/>
              </w:rPr>
            </w:pPr>
            <w:r>
              <w:rPr>
                <w:rFonts w:hint="eastAsia" w:eastAsia="宋体"/>
                <w:b w:val="0"/>
                <w:bCs w:val="0"/>
                <w:color w:val="auto"/>
                <w:highlight w:val="none"/>
                <w:lang w:val="en-US" w:eastAsia="zh-CN"/>
              </w:rPr>
              <w:t>注：拟投入本项目人员需</w:t>
            </w:r>
            <w:r>
              <w:rPr>
                <w:rFonts w:hint="default" w:ascii="Times New Roman" w:hAnsi="Times New Roman" w:eastAsia="宋体" w:cs="宋体"/>
                <w:b w:val="0"/>
                <w:bCs w:val="0"/>
                <w:color w:val="auto"/>
                <w:spacing w:val="0"/>
                <w:sz w:val="21"/>
                <w:szCs w:val="21"/>
                <w:highlight w:val="none"/>
                <w:shd w:val="clear" w:color="auto" w:fill="auto"/>
                <w:lang w:val="en-US" w:eastAsia="zh-CN"/>
              </w:rPr>
              <w:t>提供</w:t>
            </w:r>
            <w:r>
              <w:rPr>
                <w:rFonts w:hint="eastAsia" w:ascii="宋体" w:hAnsi="宋体" w:eastAsia="宋体" w:cs="宋体"/>
                <w:b w:val="0"/>
                <w:bCs w:val="0"/>
                <w:color w:val="auto"/>
                <w:sz w:val="21"/>
                <w:szCs w:val="21"/>
                <w:highlight w:val="none"/>
                <w:lang w:val="en-US" w:eastAsia="zh-CN"/>
              </w:rPr>
              <w:t>截标时间前</w:t>
            </w:r>
            <w:r>
              <w:rPr>
                <w:rFonts w:hint="eastAsia" w:ascii="宋体" w:hAnsi="宋体" w:eastAsia="宋体" w:cs="宋体"/>
                <w:b w:val="0"/>
                <w:bCs w:val="0"/>
                <w:color w:val="auto"/>
                <w:sz w:val="21"/>
                <w:szCs w:val="21"/>
                <w:highlight w:val="none"/>
              </w:rPr>
              <w:t>半年内任意</w:t>
            </w:r>
            <w:r>
              <w:rPr>
                <w:rFonts w:hint="eastAsia" w:ascii="宋体" w:hAnsi="宋体" w:cs="宋体"/>
                <w:b w:val="0"/>
                <w:bCs w:val="0"/>
                <w:color w:val="auto"/>
                <w:sz w:val="21"/>
                <w:szCs w:val="21"/>
                <w:highlight w:val="none"/>
                <w:lang w:eastAsia="zh-CN"/>
              </w:rPr>
              <w:t>一</w:t>
            </w:r>
            <w:r>
              <w:rPr>
                <w:rFonts w:hint="eastAsia" w:ascii="宋体" w:hAnsi="宋体" w:eastAsia="宋体" w:cs="宋体"/>
                <w:b w:val="0"/>
                <w:bCs w:val="0"/>
                <w:color w:val="auto"/>
                <w:sz w:val="21"/>
                <w:szCs w:val="21"/>
                <w:highlight w:val="none"/>
              </w:rPr>
              <w:t>个月</w:t>
            </w:r>
            <w:r>
              <w:rPr>
                <w:rFonts w:hint="eastAsia" w:ascii="Times New Roman" w:hAnsi="Times New Roman" w:eastAsia="宋体" w:cs="宋体"/>
                <w:b w:val="0"/>
                <w:bCs w:val="0"/>
                <w:color w:val="auto"/>
                <w:spacing w:val="0"/>
                <w:sz w:val="21"/>
                <w:szCs w:val="21"/>
                <w:highlight w:val="none"/>
                <w:u w:val="none"/>
                <w:shd w:val="clear" w:color="auto" w:fill="auto"/>
                <w:lang w:val="en-US" w:eastAsia="zh-CN"/>
              </w:rPr>
              <w:t>供应商</w:t>
            </w:r>
            <w:r>
              <w:rPr>
                <w:rFonts w:hint="default" w:ascii="Times New Roman" w:hAnsi="Times New Roman" w:eastAsia="宋体" w:cs="宋体"/>
                <w:b w:val="0"/>
                <w:bCs w:val="0"/>
                <w:color w:val="auto"/>
                <w:spacing w:val="0"/>
                <w:sz w:val="21"/>
                <w:szCs w:val="21"/>
                <w:highlight w:val="none"/>
                <w:u w:val="none"/>
                <w:shd w:val="clear" w:color="auto" w:fill="auto"/>
                <w:lang w:val="en-US" w:eastAsia="zh-CN"/>
              </w:rPr>
              <w:t>为其依法缴纳社会保险的证明材料</w:t>
            </w:r>
            <w:r>
              <w:rPr>
                <w:rFonts w:hint="eastAsia" w:ascii="Times New Roman" w:hAnsi="Times New Roman" w:eastAsia="宋体" w:cs="宋体"/>
                <w:b w:val="0"/>
                <w:bCs w:val="0"/>
                <w:color w:val="auto"/>
                <w:spacing w:val="0"/>
                <w:sz w:val="21"/>
                <w:szCs w:val="21"/>
                <w:highlight w:val="none"/>
                <w:shd w:val="clear" w:color="auto" w:fill="auto"/>
                <w:lang w:val="en-US" w:eastAsia="zh-CN"/>
              </w:rPr>
              <w:t>。</w:t>
            </w:r>
          </w:p>
        </w:tc>
        <w:tc>
          <w:tcPr>
            <w:tcW w:w="807" w:type="dxa"/>
            <w:vAlign w:val="center"/>
          </w:tcPr>
          <w:p w14:paraId="4A0D57A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客观分</w:t>
            </w:r>
          </w:p>
        </w:tc>
      </w:tr>
      <w:tr w14:paraId="4061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jc w:val="center"/>
        </w:trPr>
        <w:tc>
          <w:tcPr>
            <w:tcW w:w="719" w:type="dxa"/>
            <w:vMerge w:val="continue"/>
            <w:vAlign w:val="center"/>
          </w:tcPr>
          <w:p w14:paraId="72D051E6">
            <w:pPr>
              <w:spacing w:line="360" w:lineRule="auto"/>
              <w:jc w:val="center"/>
              <w:rPr>
                <w:rFonts w:hint="eastAsia" w:ascii="宋体" w:hAnsi="宋体" w:cs="宋体"/>
                <w:color w:val="auto"/>
                <w:szCs w:val="21"/>
                <w:highlight w:val="none"/>
              </w:rPr>
            </w:pPr>
          </w:p>
        </w:tc>
        <w:tc>
          <w:tcPr>
            <w:tcW w:w="958" w:type="dxa"/>
            <w:vMerge w:val="continue"/>
            <w:vAlign w:val="center"/>
          </w:tcPr>
          <w:p w14:paraId="3CE2C7AF">
            <w:pPr>
              <w:spacing w:line="360" w:lineRule="auto"/>
              <w:jc w:val="center"/>
              <w:rPr>
                <w:rFonts w:hint="eastAsia" w:ascii="宋体" w:hAnsi="宋体" w:cs="宋体"/>
                <w:color w:val="auto"/>
                <w:szCs w:val="21"/>
                <w:highlight w:val="none"/>
              </w:rPr>
            </w:pPr>
          </w:p>
        </w:tc>
        <w:tc>
          <w:tcPr>
            <w:tcW w:w="1115" w:type="dxa"/>
            <w:vAlign w:val="center"/>
          </w:tcPr>
          <w:p w14:paraId="63136A6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业绩分(满分</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w:t>
            </w:r>
          </w:p>
        </w:tc>
        <w:tc>
          <w:tcPr>
            <w:tcW w:w="5935" w:type="dxa"/>
            <w:vAlign w:val="center"/>
          </w:tcPr>
          <w:p w14:paraId="7AE5C57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年以来完成过类似项目业绩的，每个业绩得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分，满分</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分。【附成交(或中标)通知书或合同协议书复印件并加盖供应商电子公章】</w:t>
            </w:r>
          </w:p>
        </w:tc>
        <w:tc>
          <w:tcPr>
            <w:tcW w:w="807" w:type="dxa"/>
            <w:vAlign w:val="center"/>
          </w:tcPr>
          <w:p w14:paraId="5BD61E9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客观分</w:t>
            </w:r>
          </w:p>
        </w:tc>
      </w:tr>
      <w:tr w14:paraId="1416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677" w:type="dxa"/>
            <w:gridSpan w:val="2"/>
            <w:vAlign w:val="center"/>
          </w:tcPr>
          <w:p w14:paraId="64EA842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供应商汇总得分</w:t>
            </w:r>
          </w:p>
        </w:tc>
        <w:tc>
          <w:tcPr>
            <w:tcW w:w="7050" w:type="dxa"/>
            <w:gridSpan w:val="2"/>
            <w:vAlign w:val="center"/>
          </w:tcPr>
          <w:p w14:paraId="13DC7010">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=报价分得分+技术分得分+商务分得分</w:t>
            </w:r>
          </w:p>
        </w:tc>
        <w:tc>
          <w:tcPr>
            <w:tcW w:w="807" w:type="dxa"/>
            <w:vAlign w:val="center"/>
          </w:tcPr>
          <w:p w14:paraId="0AC3C984">
            <w:pPr>
              <w:spacing w:line="360" w:lineRule="auto"/>
              <w:jc w:val="left"/>
              <w:rPr>
                <w:rFonts w:hint="eastAsia" w:ascii="宋体" w:hAnsi="宋体" w:cs="宋体"/>
                <w:color w:val="auto"/>
                <w:szCs w:val="21"/>
                <w:highlight w:val="none"/>
              </w:rPr>
            </w:pPr>
          </w:p>
        </w:tc>
      </w:tr>
    </w:tbl>
    <w:p w14:paraId="403277A6">
      <w:pPr>
        <w:spacing w:line="360" w:lineRule="auto"/>
        <w:rPr>
          <w:b/>
          <w:bCs/>
          <w:color w:val="auto"/>
          <w:highlight w:val="none"/>
        </w:rPr>
      </w:pPr>
      <w:r>
        <w:rPr>
          <w:rFonts w:hint="eastAsia"/>
          <w:b/>
          <w:bCs/>
          <w:color w:val="auto"/>
          <w:highlight w:val="none"/>
        </w:rPr>
        <w:t>三、成交候选供应商推荐原则</w:t>
      </w:r>
    </w:p>
    <w:p w14:paraId="6B24EAA7">
      <w:pPr>
        <w:spacing w:line="360" w:lineRule="auto"/>
        <w:ind w:firstLine="420" w:firstLineChars="200"/>
        <w:rPr>
          <w:color w:val="auto"/>
          <w:highlight w:val="none"/>
        </w:rPr>
      </w:pPr>
      <w:r>
        <w:rPr>
          <w:rFonts w:hint="eastAsia"/>
          <w:color w:val="auto"/>
          <w:highlight w:val="none"/>
        </w:rPr>
        <w:t>（一）磋商小组将根据总得分由高到低对供应商排列次序（得分相同时，以最后报价由低到高顺序排列；得分相同且最后报价相同的，按技术指标优劣顺序排列），并推荐前三名为成交候选人。采购人应当确定磋商小组推荐排名第一的成交候选人为成交供应商。</w:t>
      </w:r>
    </w:p>
    <w:p w14:paraId="024AF039">
      <w:pPr>
        <w:spacing w:line="360" w:lineRule="auto"/>
        <w:ind w:firstLine="420" w:firstLineChars="200"/>
        <w:rPr>
          <w:color w:val="auto"/>
          <w:highlight w:val="none"/>
        </w:rPr>
      </w:pPr>
      <w:r>
        <w:rPr>
          <w:rFonts w:hint="eastAsia"/>
          <w:color w:val="auto"/>
          <w:highlight w:val="none"/>
        </w:rPr>
        <w:t>（二）成交供应商放弃成交、因不可抗力提出不能履行合同，或者采购文件规定应当提交履约保证金而在规定的期限内未能提交的，采购人可以确定排名第二的成交候选人为成交供应商，也可以重新开展采购活动，以此类推。拒绝签订政府采购合同的成交供应商不得参加对该项目重新开展的采购活动。</w:t>
      </w:r>
    </w:p>
    <w:p w14:paraId="0FEE6F63">
      <w:pPr>
        <w:pStyle w:val="3"/>
        <w:rPr>
          <w:rFonts w:hint="eastAsia" w:ascii="黑体" w:hAnsi="宋体" w:eastAsia="黑体" w:cs="Times New Roman"/>
          <w:b/>
          <w:bCs/>
          <w:color w:val="auto"/>
          <w:sz w:val="36"/>
          <w:szCs w:val="36"/>
          <w:highlight w:val="none"/>
        </w:rPr>
      </w:pPr>
    </w:p>
    <w:p w14:paraId="4933D0AE">
      <w:pPr>
        <w:pStyle w:val="3"/>
        <w:rPr>
          <w:rFonts w:hint="eastAsia" w:ascii="黑体" w:hAnsi="宋体" w:eastAsia="黑体" w:cs="Times New Roman"/>
          <w:b/>
          <w:bCs/>
          <w:color w:val="auto"/>
          <w:sz w:val="36"/>
          <w:szCs w:val="36"/>
          <w:highlight w:val="none"/>
        </w:rPr>
      </w:pPr>
    </w:p>
    <w:p w14:paraId="63D97807">
      <w:pPr>
        <w:pStyle w:val="3"/>
        <w:rPr>
          <w:rFonts w:hint="eastAsia" w:ascii="黑体" w:hAnsi="宋体" w:eastAsia="黑体" w:cs="Times New Roman"/>
          <w:b/>
          <w:bCs/>
          <w:color w:val="auto"/>
          <w:sz w:val="36"/>
          <w:szCs w:val="36"/>
          <w:highlight w:val="none"/>
        </w:rPr>
      </w:pPr>
    </w:p>
    <w:p w14:paraId="28DE9610">
      <w:pPr>
        <w:rPr>
          <w:rFonts w:hint="eastAsia" w:ascii="黑体" w:hAnsi="宋体" w:eastAsia="黑体"/>
          <w:b/>
          <w:bCs/>
          <w:color w:val="auto"/>
          <w:kern w:val="0"/>
          <w:sz w:val="36"/>
          <w:szCs w:val="36"/>
          <w:highlight w:val="none"/>
        </w:rPr>
      </w:pPr>
      <w:bookmarkStart w:id="67" w:name="_Toc15543"/>
      <w:r>
        <w:rPr>
          <w:rFonts w:hint="eastAsia" w:ascii="黑体" w:hAnsi="宋体" w:eastAsia="黑体"/>
          <w:b/>
          <w:bCs/>
          <w:color w:val="auto"/>
          <w:kern w:val="0"/>
          <w:sz w:val="36"/>
          <w:szCs w:val="36"/>
          <w:highlight w:val="none"/>
        </w:rPr>
        <w:br w:type="page"/>
      </w:r>
    </w:p>
    <w:p w14:paraId="7E2F9E67">
      <w:pPr>
        <w:pStyle w:val="14"/>
        <w:spacing w:line="500" w:lineRule="exact"/>
        <w:jc w:val="center"/>
        <w:outlineLvl w:val="0"/>
        <w:rPr>
          <w:rFonts w:hint="eastAsia" w:ascii="黑体" w:hAnsi="宋体" w:eastAsia="黑体" w:cs="Times New Roman"/>
          <w:b/>
          <w:bCs/>
          <w:color w:val="auto"/>
          <w:kern w:val="0"/>
          <w:sz w:val="36"/>
          <w:szCs w:val="36"/>
          <w:highlight w:val="none"/>
        </w:rPr>
      </w:pPr>
      <w:r>
        <w:rPr>
          <w:rFonts w:hint="eastAsia" w:ascii="黑体" w:hAnsi="宋体" w:eastAsia="黑体" w:cs="Times New Roman"/>
          <w:b/>
          <w:bCs/>
          <w:color w:val="auto"/>
          <w:kern w:val="0"/>
          <w:sz w:val="36"/>
          <w:szCs w:val="36"/>
          <w:highlight w:val="none"/>
        </w:rPr>
        <w:t>第五章  响应文件（格式）</w:t>
      </w:r>
      <w:bookmarkEnd w:id="67"/>
    </w:p>
    <w:p w14:paraId="03DCD746">
      <w:pPr>
        <w:autoSpaceDE w:val="0"/>
        <w:autoSpaceDN w:val="0"/>
        <w:adjustRightInd w:val="0"/>
        <w:spacing w:line="360" w:lineRule="auto"/>
        <w:rPr>
          <w:rFonts w:ascii="宋体" w:cs="宋体"/>
          <w:color w:val="auto"/>
          <w:szCs w:val="21"/>
          <w:highlight w:val="none"/>
          <w:lang w:val="zh-CN"/>
        </w:rPr>
      </w:pPr>
    </w:p>
    <w:p w14:paraId="4A3B43AA">
      <w:pPr>
        <w:rPr>
          <w:b/>
          <w:color w:val="auto"/>
          <w:sz w:val="32"/>
          <w:szCs w:val="32"/>
          <w:highlight w:val="none"/>
        </w:rPr>
      </w:pPr>
      <w:bookmarkStart w:id="68" w:name="_Toc31723070"/>
      <w:bookmarkStart w:id="69" w:name="_Toc31728084"/>
      <w:bookmarkStart w:id="70" w:name="_Toc35611516"/>
      <w:bookmarkStart w:id="71" w:name="_Toc71366186"/>
      <w:bookmarkStart w:id="72" w:name="_Toc35611438"/>
      <w:bookmarkStart w:id="73" w:name="_Toc44229899"/>
      <w:r>
        <w:rPr>
          <w:rFonts w:hint="eastAsia"/>
          <w:b/>
          <w:color w:val="auto"/>
          <w:sz w:val="32"/>
          <w:szCs w:val="32"/>
          <w:highlight w:val="none"/>
        </w:rPr>
        <w:t>一、资格证明文件格式</w:t>
      </w:r>
      <w:bookmarkEnd w:id="68"/>
      <w:bookmarkEnd w:id="69"/>
      <w:bookmarkEnd w:id="70"/>
      <w:bookmarkEnd w:id="71"/>
      <w:bookmarkEnd w:id="72"/>
      <w:bookmarkEnd w:id="73"/>
    </w:p>
    <w:p w14:paraId="5E9FA32D">
      <w:pPr>
        <w:snapToGrid w:val="0"/>
        <w:spacing w:before="156" w:beforeLines="50" w:after="50" w:line="360" w:lineRule="auto"/>
        <w:jc w:val="left"/>
        <w:rPr>
          <w:rFonts w:hint="eastAsia" w:ascii="宋体" w:hAnsi="宋体"/>
          <w:b/>
          <w:color w:val="auto"/>
          <w:sz w:val="24"/>
          <w:highlight w:val="none"/>
        </w:rPr>
      </w:pPr>
      <w:r>
        <w:rPr>
          <w:rFonts w:hint="eastAsia" w:ascii="宋体" w:hAnsi="宋体"/>
          <w:b/>
          <w:color w:val="auto"/>
          <w:sz w:val="32"/>
          <w:szCs w:val="32"/>
          <w:highlight w:val="none"/>
        </w:rPr>
        <w:t>1.资格证明文件封面格式：</w:t>
      </w:r>
      <w:r>
        <w:rPr>
          <w:rFonts w:hint="eastAsia" w:ascii="宋体" w:hAnsi="宋体"/>
          <w:b/>
          <w:color w:val="auto"/>
          <w:sz w:val="24"/>
          <w:highlight w:val="none"/>
        </w:rPr>
        <w:t xml:space="preserve"> </w:t>
      </w:r>
    </w:p>
    <w:p w14:paraId="2D43EE0F">
      <w:pPr>
        <w:snapToGrid w:val="0"/>
        <w:spacing w:before="156" w:beforeLines="50" w:after="50"/>
        <w:jc w:val="center"/>
        <w:rPr>
          <w:rFonts w:hint="eastAsia" w:ascii="宋体" w:hAnsi="宋体"/>
          <w:color w:val="auto"/>
          <w:sz w:val="44"/>
          <w:szCs w:val="44"/>
          <w:highlight w:val="none"/>
        </w:rPr>
      </w:pPr>
    </w:p>
    <w:p w14:paraId="221080D4">
      <w:pPr>
        <w:snapToGrid w:val="0"/>
        <w:spacing w:before="156" w:beforeLines="50" w:after="50"/>
        <w:jc w:val="center"/>
        <w:rPr>
          <w:rFonts w:hint="eastAsia" w:ascii="宋体" w:hAnsi="宋体"/>
          <w:color w:val="auto"/>
          <w:sz w:val="44"/>
          <w:szCs w:val="44"/>
          <w:highlight w:val="none"/>
        </w:rPr>
      </w:pPr>
      <w:r>
        <w:rPr>
          <w:rFonts w:hint="eastAsia" w:ascii="宋体" w:hAnsi="宋体"/>
          <w:color w:val="auto"/>
          <w:sz w:val="44"/>
          <w:szCs w:val="44"/>
          <w:highlight w:val="none"/>
        </w:rPr>
        <w:t>电 子 响 应 文 件</w:t>
      </w:r>
    </w:p>
    <w:p w14:paraId="6E2B1483">
      <w:pPr>
        <w:snapToGrid w:val="0"/>
        <w:spacing w:before="156" w:beforeLines="50" w:after="50"/>
        <w:rPr>
          <w:rFonts w:hint="eastAsia" w:ascii="宋体" w:hAnsi="宋体"/>
          <w:color w:val="auto"/>
          <w:sz w:val="24"/>
          <w:szCs w:val="20"/>
          <w:highlight w:val="none"/>
        </w:rPr>
      </w:pPr>
    </w:p>
    <w:p w14:paraId="05BEDB15">
      <w:pPr>
        <w:snapToGrid w:val="0"/>
        <w:spacing w:before="156"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w:t>
      </w:r>
    </w:p>
    <w:p w14:paraId="05E760EA">
      <w:pPr>
        <w:snapToGrid w:val="0"/>
        <w:spacing w:before="156" w:beforeLines="50" w:after="50"/>
        <w:rPr>
          <w:rFonts w:hint="eastAsia" w:ascii="宋体" w:hAnsi="宋体"/>
          <w:bCs/>
          <w:color w:val="auto"/>
          <w:sz w:val="24"/>
          <w:szCs w:val="20"/>
          <w:highlight w:val="none"/>
        </w:rPr>
      </w:pPr>
    </w:p>
    <w:p w14:paraId="187DB1E6">
      <w:pPr>
        <w:snapToGrid w:val="0"/>
        <w:spacing w:before="156" w:beforeLines="50" w:after="50"/>
        <w:rPr>
          <w:rFonts w:hint="eastAsia" w:ascii="宋体" w:hAnsi="宋体"/>
          <w:bCs/>
          <w:color w:val="auto"/>
          <w:sz w:val="24"/>
          <w:szCs w:val="20"/>
          <w:highlight w:val="none"/>
        </w:rPr>
      </w:pPr>
    </w:p>
    <w:p w14:paraId="291E8392">
      <w:pPr>
        <w:snapToGrid w:val="0"/>
        <w:spacing w:before="156" w:beforeLines="50" w:after="50"/>
        <w:rPr>
          <w:rFonts w:hint="eastAsia" w:ascii="宋体" w:hAnsi="宋体"/>
          <w:bCs/>
          <w:color w:val="auto"/>
          <w:sz w:val="24"/>
          <w:szCs w:val="20"/>
          <w:highlight w:val="none"/>
        </w:rPr>
      </w:pPr>
    </w:p>
    <w:p w14:paraId="12AA48AA">
      <w:pPr>
        <w:snapToGrid w:val="0"/>
        <w:spacing w:before="156" w:beforeLines="50" w:after="50"/>
        <w:rPr>
          <w:rFonts w:hint="eastAsia" w:ascii="宋体" w:hAnsi="宋体"/>
          <w:bCs/>
          <w:color w:val="auto"/>
          <w:sz w:val="24"/>
          <w:szCs w:val="20"/>
          <w:highlight w:val="none"/>
        </w:rPr>
      </w:pPr>
    </w:p>
    <w:p w14:paraId="29B26652">
      <w:pPr>
        <w:snapToGrid w:val="0"/>
        <w:spacing w:before="156" w:beforeLines="50" w:after="50"/>
        <w:rPr>
          <w:rFonts w:hint="eastAsia" w:ascii="宋体" w:hAnsi="宋体"/>
          <w:bCs/>
          <w:color w:val="auto"/>
          <w:sz w:val="24"/>
          <w:szCs w:val="20"/>
          <w:highlight w:val="none"/>
        </w:rPr>
      </w:pPr>
    </w:p>
    <w:p w14:paraId="3C0C12FC">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3641140E">
      <w:pPr>
        <w:snapToGrid w:val="0"/>
        <w:spacing w:before="156" w:beforeLines="50" w:after="50"/>
        <w:ind w:firstLine="720" w:firstLineChars="225"/>
        <w:rPr>
          <w:rFonts w:hint="eastAsia" w:ascii="宋体" w:hAnsi="宋体" w:cs="仿宋_GB2312"/>
          <w:bCs/>
          <w:color w:val="auto"/>
          <w:sz w:val="32"/>
          <w:szCs w:val="32"/>
          <w:highlight w:val="none"/>
        </w:rPr>
      </w:pPr>
    </w:p>
    <w:p w14:paraId="79AB3400">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37F6D8D0">
      <w:pPr>
        <w:snapToGrid w:val="0"/>
        <w:spacing w:before="156" w:beforeLines="50" w:after="50"/>
        <w:ind w:firstLine="720" w:firstLineChars="225"/>
        <w:rPr>
          <w:rFonts w:hint="eastAsia" w:ascii="宋体" w:hAnsi="宋体" w:cs="仿宋_GB2312"/>
          <w:bCs/>
          <w:color w:val="auto"/>
          <w:sz w:val="32"/>
          <w:szCs w:val="32"/>
          <w:highlight w:val="none"/>
        </w:rPr>
      </w:pPr>
    </w:p>
    <w:p w14:paraId="13E8844C">
      <w:pPr>
        <w:pStyle w:val="10"/>
        <w:snapToGrid w:val="0"/>
        <w:spacing w:before="5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5A281E31">
      <w:pPr>
        <w:pStyle w:val="10"/>
        <w:snapToGrid w:val="0"/>
        <w:spacing w:before="50" w:after="50"/>
        <w:ind w:firstLine="640"/>
        <w:rPr>
          <w:rFonts w:hint="eastAsia" w:ascii="宋体" w:hAnsi="宋体" w:cs="仿宋_GB2312"/>
          <w:bCs/>
          <w:color w:val="auto"/>
          <w:sz w:val="32"/>
          <w:szCs w:val="32"/>
          <w:highlight w:val="none"/>
        </w:rPr>
      </w:pPr>
    </w:p>
    <w:p w14:paraId="501B1BAF">
      <w:pPr>
        <w:pStyle w:val="10"/>
        <w:snapToGrid w:val="0"/>
        <w:spacing w:before="5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供应商地址：</w:t>
      </w:r>
    </w:p>
    <w:p w14:paraId="3B01F944">
      <w:pPr>
        <w:snapToGrid w:val="0"/>
        <w:spacing w:before="156" w:beforeLines="50" w:after="50"/>
        <w:ind w:firstLine="640" w:firstLineChars="200"/>
        <w:rPr>
          <w:rFonts w:hint="eastAsia" w:ascii="宋体" w:hAnsi="宋体" w:cs="仿宋_GB2312"/>
          <w:bCs/>
          <w:color w:val="auto"/>
          <w:sz w:val="32"/>
          <w:szCs w:val="32"/>
          <w:highlight w:val="none"/>
        </w:rPr>
      </w:pPr>
    </w:p>
    <w:p w14:paraId="55C486BC">
      <w:pPr>
        <w:pStyle w:val="10"/>
        <w:snapToGrid w:val="0"/>
        <w:spacing w:before="50" w:after="50"/>
        <w:ind w:firstLine="720" w:firstLineChars="225"/>
        <w:rPr>
          <w:rFonts w:hint="eastAsia" w:ascii="宋体" w:hAnsi="宋体" w:cs="仿宋_GB2312"/>
          <w:bCs/>
          <w:color w:val="auto"/>
          <w:sz w:val="32"/>
          <w:szCs w:val="32"/>
          <w:highlight w:val="none"/>
        </w:rPr>
      </w:pPr>
    </w:p>
    <w:p w14:paraId="6F71BCC0">
      <w:pPr>
        <w:pStyle w:val="10"/>
        <w:snapToGrid w:val="0"/>
        <w:spacing w:before="50" w:after="50"/>
        <w:ind w:firstLine="1280" w:firstLineChars="400"/>
        <w:rPr>
          <w:rFonts w:hint="eastAsia" w:ascii="宋体" w:hAnsi="宋体" w:cs="仿宋_GB2312"/>
          <w:bCs/>
          <w:color w:val="auto"/>
          <w:sz w:val="32"/>
          <w:szCs w:val="32"/>
          <w:highlight w:val="none"/>
        </w:rPr>
      </w:pPr>
    </w:p>
    <w:p w14:paraId="79630583">
      <w:pPr>
        <w:snapToGrid w:val="0"/>
        <w:spacing w:before="156"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66D764DA">
      <w:pPr>
        <w:snapToGrid w:val="0"/>
        <w:spacing w:before="156" w:beforeLines="50" w:after="50" w:line="360" w:lineRule="auto"/>
        <w:ind w:left="142"/>
        <w:jc w:val="left"/>
        <w:rPr>
          <w:rFonts w:hint="eastAsia" w:ascii="宋体" w:hAnsi="宋体"/>
          <w:b/>
          <w:bCs/>
          <w:color w:val="auto"/>
          <w:sz w:val="32"/>
          <w:szCs w:val="32"/>
          <w:highlight w:val="none"/>
        </w:rPr>
      </w:pPr>
      <w:r>
        <w:rPr>
          <w:rFonts w:ascii="宋体" w:hAnsi="宋体"/>
          <w:color w:val="auto"/>
          <w:sz w:val="24"/>
          <w:highlight w:val="none"/>
        </w:rPr>
        <w:br w:type="page"/>
      </w:r>
      <w:r>
        <w:rPr>
          <w:rFonts w:hint="eastAsia" w:ascii="宋体" w:hAnsi="宋体"/>
          <w:b/>
          <w:bCs/>
          <w:color w:val="auto"/>
          <w:sz w:val="32"/>
          <w:szCs w:val="32"/>
          <w:highlight w:val="none"/>
        </w:rPr>
        <w:t>2.资格证明文件目录</w:t>
      </w:r>
    </w:p>
    <w:p w14:paraId="7044FF8B">
      <w:pPr>
        <w:snapToGrid w:val="0"/>
        <w:spacing w:before="156" w:beforeLines="50" w:after="50" w:line="360" w:lineRule="auto"/>
        <w:ind w:firstLine="645"/>
        <w:rPr>
          <w:rFonts w:hint="eastAsia"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220C7D78">
      <w:pPr>
        <w:snapToGrid w:val="0"/>
        <w:spacing w:before="156" w:beforeLines="50" w:after="50"/>
        <w:rPr>
          <w:rFonts w:hint="eastAsia" w:ascii="宋体" w:hAnsi="宋体"/>
          <w:color w:val="auto"/>
          <w:sz w:val="24"/>
          <w:szCs w:val="20"/>
          <w:highlight w:val="none"/>
        </w:rPr>
      </w:pPr>
      <w:r>
        <w:rPr>
          <w:rFonts w:ascii="宋体" w:hAnsi="宋体"/>
          <w:color w:val="auto"/>
          <w:sz w:val="24"/>
          <w:szCs w:val="20"/>
          <w:highlight w:val="none"/>
        </w:rPr>
        <w:t xml:space="preserve"> </w:t>
      </w:r>
    </w:p>
    <w:p w14:paraId="543635BD">
      <w:pPr>
        <w:spacing w:line="300" w:lineRule="auto"/>
        <w:rPr>
          <w:rFonts w:hint="eastAsia" w:ascii="宋体" w:hAnsi="宋体"/>
          <w:color w:val="auto"/>
          <w:szCs w:val="21"/>
          <w:highlight w:val="none"/>
        </w:rPr>
      </w:pPr>
    </w:p>
    <w:p w14:paraId="3EB88900">
      <w:pPr>
        <w:spacing w:line="300" w:lineRule="auto"/>
        <w:rPr>
          <w:rFonts w:hint="eastAsia" w:ascii="宋体" w:hAnsi="宋体"/>
          <w:color w:val="auto"/>
          <w:szCs w:val="21"/>
          <w:highlight w:val="none"/>
        </w:rPr>
      </w:pPr>
    </w:p>
    <w:p w14:paraId="486C89B6">
      <w:pPr>
        <w:spacing w:line="300" w:lineRule="auto"/>
        <w:rPr>
          <w:rFonts w:hint="eastAsia" w:ascii="宋体" w:hAnsi="宋体"/>
          <w:color w:val="auto"/>
          <w:szCs w:val="21"/>
          <w:highlight w:val="none"/>
        </w:rPr>
      </w:pPr>
    </w:p>
    <w:p w14:paraId="06EBD440">
      <w:pPr>
        <w:spacing w:line="300" w:lineRule="auto"/>
        <w:rPr>
          <w:rFonts w:hint="eastAsia" w:ascii="宋体" w:hAnsi="宋体"/>
          <w:color w:val="auto"/>
          <w:szCs w:val="21"/>
          <w:highlight w:val="none"/>
        </w:rPr>
      </w:pPr>
    </w:p>
    <w:p w14:paraId="203A5985">
      <w:pPr>
        <w:spacing w:line="300" w:lineRule="auto"/>
        <w:rPr>
          <w:rFonts w:hint="eastAsia" w:ascii="宋体" w:hAnsi="宋体"/>
          <w:color w:val="auto"/>
          <w:szCs w:val="21"/>
          <w:highlight w:val="none"/>
        </w:rPr>
      </w:pPr>
    </w:p>
    <w:p w14:paraId="7988F49E">
      <w:pPr>
        <w:spacing w:line="300" w:lineRule="auto"/>
        <w:rPr>
          <w:rFonts w:hint="eastAsia" w:ascii="宋体" w:hAnsi="宋体"/>
          <w:color w:val="auto"/>
          <w:szCs w:val="21"/>
          <w:highlight w:val="none"/>
        </w:rPr>
      </w:pPr>
    </w:p>
    <w:p w14:paraId="161D3F2C">
      <w:pPr>
        <w:spacing w:line="300" w:lineRule="auto"/>
        <w:rPr>
          <w:rFonts w:hint="eastAsia" w:ascii="宋体" w:hAnsi="宋体"/>
          <w:color w:val="auto"/>
          <w:szCs w:val="21"/>
          <w:highlight w:val="none"/>
        </w:rPr>
      </w:pPr>
    </w:p>
    <w:p w14:paraId="7B0D3281">
      <w:pPr>
        <w:spacing w:line="300" w:lineRule="auto"/>
        <w:rPr>
          <w:rFonts w:hint="eastAsia" w:ascii="宋体" w:hAnsi="宋体"/>
          <w:color w:val="auto"/>
          <w:szCs w:val="21"/>
          <w:highlight w:val="none"/>
        </w:rPr>
      </w:pPr>
    </w:p>
    <w:p w14:paraId="44576F8E">
      <w:pPr>
        <w:spacing w:line="300" w:lineRule="auto"/>
        <w:rPr>
          <w:rFonts w:hint="eastAsia" w:ascii="宋体" w:hAnsi="宋体"/>
          <w:color w:val="auto"/>
          <w:szCs w:val="21"/>
          <w:highlight w:val="none"/>
        </w:rPr>
      </w:pPr>
    </w:p>
    <w:p w14:paraId="695F7B9E">
      <w:pPr>
        <w:spacing w:line="300" w:lineRule="auto"/>
        <w:rPr>
          <w:rFonts w:hint="eastAsia" w:ascii="宋体" w:hAnsi="宋体"/>
          <w:color w:val="auto"/>
          <w:szCs w:val="21"/>
          <w:highlight w:val="none"/>
        </w:rPr>
      </w:pPr>
    </w:p>
    <w:p w14:paraId="0F163EDC">
      <w:pPr>
        <w:spacing w:line="300" w:lineRule="auto"/>
        <w:rPr>
          <w:rFonts w:hint="eastAsia" w:ascii="宋体" w:hAnsi="宋体"/>
          <w:color w:val="auto"/>
          <w:szCs w:val="21"/>
          <w:highlight w:val="none"/>
        </w:rPr>
      </w:pPr>
    </w:p>
    <w:p w14:paraId="637624F5">
      <w:pPr>
        <w:spacing w:line="300" w:lineRule="auto"/>
        <w:rPr>
          <w:rFonts w:hint="eastAsia" w:ascii="宋体" w:hAnsi="宋体"/>
          <w:color w:val="auto"/>
          <w:szCs w:val="21"/>
          <w:highlight w:val="none"/>
        </w:rPr>
      </w:pPr>
    </w:p>
    <w:p w14:paraId="4674BD32">
      <w:pPr>
        <w:spacing w:line="300" w:lineRule="auto"/>
        <w:rPr>
          <w:rFonts w:hint="eastAsia" w:ascii="宋体" w:hAnsi="宋体"/>
          <w:color w:val="auto"/>
          <w:szCs w:val="21"/>
          <w:highlight w:val="none"/>
        </w:rPr>
      </w:pPr>
    </w:p>
    <w:p w14:paraId="078AFA1D">
      <w:pPr>
        <w:spacing w:line="300" w:lineRule="auto"/>
        <w:rPr>
          <w:rFonts w:hint="eastAsia" w:ascii="宋体" w:hAnsi="宋体"/>
          <w:color w:val="auto"/>
          <w:szCs w:val="21"/>
          <w:highlight w:val="none"/>
        </w:rPr>
      </w:pPr>
    </w:p>
    <w:p w14:paraId="79A9E0EE">
      <w:pPr>
        <w:spacing w:line="300" w:lineRule="auto"/>
        <w:rPr>
          <w:rFonts w:hint="eastAsia" w:ascii="宋体" w:hAnsi="宋体"/>
          <w:color w:val="auto"/>
          <w:szCs w:val="21"/>
          <w:highlight w:val="none"/>
        </w:rPr>
      </w:pPr>
    </w:p>
    <w:p w14:paraId="052705B9">
      <w:pPr>
        <w:spacing w:line="320" w:lineRule="exact"/>
        <w:jc w:val="center"/>
        <w:rPr>
          <w:rFonts w:hint="eastAsia" w:ascii="宋体" w:hAnsi="宋体"/>
          <w:b/>
          <w:color w:val="auto"/>
          <w:sz w:val="32"/>
          <w:szCs w:val="32"/>
          <w:highlight w:val="none"/>
        </w:rPr>
      </w:pPr>
      <w:r>
        <w:rPr>
          <w:rFonts w:ascii="宋体" w:hAnsi="宋体"/>
          <w:color w:val="auto"/>
          <w:szCs w:val="21"/>
          <w:highlight w:val="none"/>
        </w:rPr>
        <w:br w:type="page"/>
      </w:r>
      <w:r>
        <w:rPr>
          <w:rFonts w:hint="eastAsia" w:ascii="宋体" w:hAnsi="宋体"/>
          <w:b/>
          <w:color w:val="auto"/>
          <w:sz w:val="32"/>
          <w:szCs w:val="32"/>
          <w:highlight w:val="none"/>
        </w:rPr>
        <w:t>竞标声明（格式）</w:t>
      </w:r>
    </w:p>
    <w:p w14:paraId="4513360A">
      <w:pPr>
        <w:spacing w:line="320" w:lineRule="exact"/>
        <w:jc w:val="center"/>
        <w:rPr>
          <w:rFonts w:hint="eastAsia" w:ascii="宋体" w:hAnsi="宋体"/>
          <w:color w:val="auto"/>
          <w:sz w:val="24"/>
          <w:szCs w:val="20"/>
          <w:highlight w:val="none"/>
        </w:rPr>
      </w:pPr>
    </w:p>
    <w:p w14:paraId="0D0D0171">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46FCFD6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293335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（项目名称）（项目编号）</w:t>
      </w:r>
      <w:r>
        <w:rPr>
          <w:rFonts w:hint="eastAsia" w:ascii="宋体" w:hAnsi="宋体" w:cs="宋体"/>
          <w:color w:val="auto"/>
          <w:sz w:val="24"/>
          <w:highlight w:val="none"/>
        </w:rPr>
        <w:t>项目的竞标，为便于贵方公正、择优地确定成交供应商及其服务，我方就本次竞标有关事项郑重声明如下：</w:t>
      </w:r>
    </w:p>
    <w:p w14:paraId="142543E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74ABEBA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027B8E7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5914C17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0C4FF85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72F5D10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5B5FF93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（4）响应磋商文件规定的竞标有效期。</w:t>
      </w:r>
    </w:p>
    <w:p w14:paraId="0BE7A0F3">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50163D1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003207F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1A67CD6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1B3F668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6A4DDC4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4809B1B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（6）法律、行政法规规定的其他条件。</w:t>
      </w:r>
    </w:p>
    <w:p w14:paraId="36F4A735">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62BF6648">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63C3C3A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6836B6C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160F2F4A">
      <w:pPr>
        <w:pStyle w:val="14"/>
        <w:spacing w:line="360" w:lineRule="auto"/>
        <w:ind w:firstLine="480" w:firstLineChars="200"/>
        <w:contextualSpacing/>
        <w:rPr>
          <w:rFonts w:hint="eastAsia" w:hAnsi="宋体" w:cs="宋体"/>
          <w:color w:val="auto"/>
          <w:sz w:val="24"/>
          <w:szCs w:val="24"/>
          <w:highlight w:val="none"/>
          <w:u w:val="single"/>
        </w:rPr>
      </w:pPr>
      <w:r>
        <w:rPr>
          <w:rFonts w:hint="eastAsia" w:hAnsi="宋体" w:cs="宋体"/>
          <w:color w:val="auto"/>
          <w:sz w:val="24"/>
          <w:szCs w:val="24"/>
          <w:highlight w:val="none"/>
        </w:rPr>
        <w:t>7.与本磋商有关的一切正式往来信函请寄：</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szCs w:val="24"/>
          <w:highlight w:val="none"/>
          <w:u w:val="single"/>
        </w:rPr>
        <w:t xml:space="preserve">        </w:t>
      </w:r>
    </w:p>
    <w:p w14:paraId="5F95DD6F">
      <w:pPr>
        <w:pStyle w:val="14"/>
        <w:spacing w:line="360" w:lineRule="auto"/>
        <w:ind w:firstLine="480" w:firstLineChars="200"/>
        <w:contextualSpacing/>
        <w:rPr>
          <w:rFonts w:hint="eastAsia"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电子邮箱：</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135CC3F8">
      <w:pPr>
        <w:pStyle w:val="13"/>
        <w:tabs>
          <w:tab w:val="left" w:pos="939"/>
        </w:tabs>
        <w:spacing w:line="360" w:lineRule="auto"/>
        <w:ind w:left="141" w:leftChars="67" w:firstLine="360" w:firstLineChars="150"/>
        <w:rPr>
          <w:rFonts w:hint="eastAsia" w:ascii="宋体" w:hAnsi="宋体" w:cs="宋体"/>
          <w:color w:val="auto"/>
          <w:sz w:val="24"/>
          <w:highlight w:val="none"/>
          <w:u w:val="singl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帐号：</w:t>
      </w:r>
      <w:r>
        <w:rPr>
          <w:rFonts w:hint="eastAsia" w:ascii="宋体" w:hAnsi="宋体" w:cs="宋体"/>
          <w:color w:val="auto"/>
          <w:sz w:val="24"/>
          <w:highlight w:val="none"/>
          <w:u w:val="single"/>
        </w:rPr>
        <w:t xml:space="preserve">                             </w:t>
      </w:r>
    </w:p>
    <w:p w14:paraId="68D6AFFF">
      <w:pPr>
        <w:pStyle w:val="13"/>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手机号码：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0F2ABE9A">
      <w:pPr>
        <w:pStyle w:val="13"/>
        <w:tabs>
          <w:tab w:val="left" w:pos="939"/>
        </w:tabs>
        <w:spacing w:line="360" w:lineRule="auto"/>
        <w:ind w:left="0" w:leftChars="0" w:firstLine="480" w:firstLineChars="200"/>
        <w:rPr>
          <w:rFonts w:hint="eastAsia"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75DEE22C">
      <w:pPr>
        <w:pStyle w:val="13"/>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特此承诺。</w:t>
      </w:r>
    </w:p>
    <w:p w14:paraId="0297B616">
      <w:pPr>
        <w:spacing w:line="360" w:lineRule="auto"/>
        <w:ind w:firstLine="482" w:firstLineChars="200"/>
        <w:contextualSpacing/>
        <w:jc w:val="left"/>
        <w:rPr>
          <w:rFonts w:hint="eastAsia" w:ascii="宋体" w:hAnsi="宋体"/>
          <w:b/>
          <w:color w:val="auto"/>
          <w:sz w:val="24"/>
          <w:highlight w:val="none"/>
        </w:rPr>
      </w:pPr>
      <w:r>
        <w:rPr>
          <w:rFonts w:hint="eastAsia" w:ascii="宋体" w:hAnsi="宋体" w:cs="宋体"/>
          <w:b/>
          <w:color w:val="auto"/>
          <w:sz w:val="24"/>
          <w:highlight w:val="none"/>
        </w:rPr>
        <w:t>注：</w:t>
      </w:r>
      <w:r>
        <w:rPr>
          <w:rFonts w:hint="eastAsia" w:ascii="宋体" w:hAnsi="宋体"/>
          <w:b/>
          <w:color w:val="auto"/>
          <w:sz w:val="24"/>
          <w:highlight w:val="none"/>
        </w:rPr>
        <w:t>如为联合体竞标，盖章处须加盖联合体牵头人电子签章并由联合体牵头人法定代表人分别签字或者盖章或者电子签名，否则响应文件按无效处理。</w:t>
      </w:r>
    </w:p>
    <w:p w14:paraId="11312676">
      <w:pPr>
        <w:spacing w:line="360" w:lineRule="auto"/>
        <w:contextualSpacing/>
        <w:jc w:val="left"/>
        <w:rPr>
          <w:rFonts w:hint="eastAsia" w:ascii="宋体" w:hAnsi="宋体" w:cs="宋体"/>
          <w:color w:val="auto"/>
          <w:szCs w:val="21"/>
          <w:highlight w:val="none"/>
        </w:rPr>
      </w:pPr>
    </w:p>
    <w:p w14:paraId="259D46C0">
      <w:pPr>
        <w:spacing w:line="360" w:lineRule="auto"/>
        <w:ind w:firstLine="1800" w:firstLineChars="750"/>
        <w:contextualSpacing/>
        <w:rPr>
          <w:color w:val="auto"/>
          <w:sz w:val="24"/>
          <w:highlight w:val="none"/>
        </w:rPr>
      </w:pPr>
      <w:r>
        <w:rPr>
          <w:rFonts w:hint="eastAsia" w:ascii="宋体" w:hAnsi="宋体"/>
          <w:color w:val="auto"/>
          <w:sz w:val="24"/>
          <w:highlight w:val="none"/>
        </w:rPr>
        <w:t>法定代表人（签字或者盖章或者电子签名</w:t>
      </w:r>
      <w:r>
        <w:rPr>
          <w:rFonts w:hint="eastAsia"/>
          <w:color w:val="auto"/>
          <w:sz w:val="24"/>
          <w:highlight w:val="none"/>
        </w:rPr>
        <w:t>）：</w:t>
      </w:r>
      <w:r>
        <w:rPr>
          <w:rFonts w:hint="eastAsia"/>
          <w:color w:val="auto"/>
          <w:sz w:val="24"/>
          <w:highlight w:val="none"/>
          <w:u w:val="single"/>
        </w:rPr>
        <w:t xml:space="preserve">                     </w:t>
      </w:r>
      <w:r>
        <w:rPr>
          <w:rFonts w:hint="eastAsia"/>
          <w:color w:val="auto"/>
          <w:sz w:val="24"/>
          <w:highlight w:val="none"/>
        </w:rPr>
        <w:t xml:space="preserve">                                     </w:t>
      </w:r>
    </w:p>
    <w:p w14:paraId="1DB001FA">
      <w:pPr>
        <w:spacing w:line="360" w:lineRule="auto"/>
        <w:ind w:firstLine="4320" w:firstLineChars="1800"/>
        <w:contextualSpacing/>
        <w:rPr>
          <w:rFonts w:hint="eastAsia" w:ascii="宋体" w:hAnsi="宋体" w:cs="宋体"/>
          <w:color w:val="auto"/>
          <w:sz w:val="24"/>
          <w:highlight w:val="none"/>
          <w:u w:val="single"/>
        </w:rPr>
      </w:pPr>
      <w:r>
        <w:rPr>
          <w:rFonts w:hint="eastAsia" w:ascii="宋体" w:hAnsi="宋体"/>
          <w:color w:val="auto"/>
          <w:sz w:val="24"/>
          <w:highlight w:val="none"/>
        </w:rPr>
        <w:t>供应商（电子签章）</w:t>
      </w:r>
      <w:r>
        <w:rPr>
          <w:rFonts w:hint="eastAsia"/>
          <w:color w:val="auto"/>
          <w:sz w:val="24"/>
          <w:highlight w:val="none"/>
        </w:rPr>
        <w:t>：</w:t>
      </w:r>
      <w:r>
        <w:rPr>
          <w:rFonts w:hint="eastAsia"/>
          <w:color w:val="auto"/>
          <w:sz w:val="24"/>
          <w:highlight w:val="none"/>
          <w:u w:val="single"/>
        </w:rPr>
        <w:t xml:space="preserve">                    </w:t>
      </w:r>
      <w:r>
        <w:rPr>
          <w:rFonts w:hint="eastAsia"/>
          <w:color w:val="auto"/>
          <w:sz w:val="24"/>
          <w:highlight w:val="none"/>
        </w:rPr>
        <w:t xml:space="preserve">       </w:t>
      </w:r>
      <w:r>
        <w:rPr>
          <w:rFonts w:hint="eastAsia" w:ascii="宋体" w:hAnsi="宋体" w:cs="宋体"/>
          <w:color w:val="auto"/>
          <w:sz w:val="24"/>
          <w:highlight w:val="none"/>
        </w:rPr>
        <w:t xml:space="preserve">    </w:t>
      </w:r>
    </w:p>
    <w:p w14:paraId="04489F94">
      <w:pPr>
        <w:pStyle w:val="13"/>
        <w:tabs>
          <w:tab w:val="left" w:pos="939"/>
        </w:tabs>
        <w:spacing w:line="360" w:lineRule="auto"/>
        <w:ind w:left="0" w:leftChars="0" w:firstLine="480" w:firstLineChars="200"/>
        <w:rPr>
          <w:color w:val="auto"/>
          <w:sz w:val="24"/>
          <w:highlight w:val="none"/>
        </w:rPr>
      </w:pPr>
      <w:r>
        <w:rPr>
          <w:rFonts w:hint="eastAsia" w:ascii="宋体" w:hAnsi="宋体" w:cs="宋体"/>
          <w:color w:val="auto"/>
          <w:sz w:val="24"/>
          <w:highlight w:val="none"/>
        </w:rPr>
        <w:t xml:space="preserve">                                                        </w:t>
      </w:r>
      <w:r>
        <w:rPr>
          <w:rFonts w:hint="eastAsia"/>
          <w:color w:val="auto"/>
          <w:sz w:val="24"/>
          <w:highlight w:val="none"/>
        </w:rPr>
        <w:t xml:space="preserve"> 年    月    日</w:t>
      </w:r>
    </w:p>
    <w:p w14:paraId="711E9661">
      <w:pPr>
        <w:spacing w:line="320" w:lineRule="exact"/>
        <w:jc w:val="left"/>
        <w:rPr>
          <w:rFonts w:hint="eastAsia" w:ascii="宋体" w:hAnsi="宋体"/>
          <w:color w:val="auto"/>
          <w:szCs w:val="21"/>
          <w:highlight w:val="none"/>
        </w:rPr>
      </w:pPr>
    </w:p>
    <w:p w14:paraId="3D7BE81F">
      <w:pPr>
        <w:spacing w:line="320" w:lineRule="exact"/>
        <w:jc w:val="center"/>
        <w:rPr>
          <w:rFonts w:hint="eastAsia" w:ascii="宋体" w:hAnsi="宋体"/>
          <w:b/>
          <w:color w:val="auto"/>
          <w:sz w:val="32"/>
          <w:szCs w:val="32"/>
          <w:highlight w:val="none"/>
        </w:rPr>
      </w:pPr>
    </w:p>
    <w:p w14:paraId="5584C1DB">
      <w:pPr>
        <w:spacing w:line="320" w:lineRule="exact"/>
        <w:jc w:val="center"/>
        <w:rPr>
          <w:rFonts w:hint="eastAsia" w:ascii="宋体" w:hAnsi="宋体"/>
          <w:b/>
          <w:color w:val="auto"/>
          <w:sz w:val="32"/>
          <w:szCs w:val="32"/>
          <w:highlight w:val="none"/>
        </w:rPr>
      </w:pPr>
    </w:p>
    <w:p w14:paraId="610DCB2B">
      <w:pPr>
        <w:spacing w:line="320" w:lineRule="exact"/>
        <w:jc w:val="center"/>
        <w:rPr>
          <w:rFonts w:hint="eastAsia" w:ascii="宋体" w:hAnsi="宋体"/>
          <w:b/>
          <w:color w:val="auto"/>
          <w:sz w:val="32"/>
          <w:szCs w:val="32"/>
          <w:highlight w:val="none"/>
        </w:rPr>
      </w:pPr>
    </w:p>
    <w:p w14:paraId="69381DF0">
      <w:pPr>
        <w:spacing w:line="320" w:lineRule="exact"/>
        <w:jc w:val="center"/>
        <w:rPr>
          <w:rFonts w:hint="eastAsia" w:ascii="宋体" w:hAnsi="宋体"/>
          <w:b/>
          <w:color w:val="auto"/>
          <w:sz w:val="32"/>
          <w:szCs w:val="32"/>
          <w:highlight w:val="none"/>
        </w:rPr>
      </w:pPr>
    </w:p>
    <w:p w14:paraId="28E180EB">
      <w:pPr>
        <w:spacing w:line="320" w:lineRule="exact"/>
        <w:jc w:val="center"/>
        <w:rPr>
          <w:rFonts w:hint="eastAsia" w:ascii="宋体" w:hAnsi="宋体"/>
          <w:b/>
          <w:color w:val="auto"/>
          <w:sz w:val="32"/>
          <w:szCs w:val="32"/>
          <w:highlight w:val="none"/>
        </w:rPr>
      </w:pPr>
    </w:p>
    <w:p w14:paraId="6E1B6D18">
      <w:pPr>
        <w:spacing w:line="320" w:lineRule="exact"/>
        <w:jc w:val="center"/>
        <w:rPr>
          <w:rFonts w:hint="eastAsia" w:ascii="宋体" w:hAnsi="宋体"/>
          <w:b/>
          <w:color w:val="auto"/>
          <w:sz w:val="32"/>
          <w:szCs w:val="32"/>
          <w:highlight w:val="none"/>
        </w:rPr>
      </w:pPr>
    </w:p>
    <w:p w14:paraId="2D3514A0">
      <w:pPr>
        <w:spacing w:line="320" w:lineRule="exact"/>
        <w:jc w:val="center"/>
        <w:rPr>
          <w:rFonts w:hint="eastAsia" w:ascii="宋体" w:hAnsi="宋体"/>
          <w:b/>
          <w:color w:val="auto"/>
          <w:sz w:val="32"/>
          <w:szCs w:val="32"/>
          <w:highlight w:val="none"/>
        </w:rPr>
      </w:pPr>
    </w:p>
    <w:p w14:paraId="68650EF8">
      <w:pPr>
        <w:spacing w:line="320" w:lineRule="exact"/>
        <w:jc w:val="center"/>
        <w:rPr>
          <w:rFonts w:hint="eastAsia" w:ascii="宋体" w:hAnsi="宋体"/>
          <w:b/>
          <w:color w:val="auto"/>
          <w:sz w:val="32"/>
          <w:szCs w:val="32"/>
          <w:highlight w:val="none"/>
        </w:rPr>
      </w:pPr>
    </w:p>
    <w:p w14:paraId="07FC3FED">
      <w:pPr>
        <w:spacing w:line="320" w:lineRule="exact"/>
        <w:jc w:val="center"/>
        <w:rPr>
          <w:rFonts w:hint="eastAsia" w:ascii="宋体" w:hAnsi="宋体"/>
          <w:b/>
          <w:color w:val="auto"/>
          <w:sz w:val="32"/>
          <w:szCs w:val="32"/>
          <w:highlight w:val="none"/>
        </w:rPr>
      </w:pPr>
    </w:p>
    <w:p w14:paraId="732D15ED">
      <w:pPr>
        <w:spacing w:line="320" w:lineRule="exact"/>
        <w:jc w:val="center"/>
        <w:rPr>
          <w:rFonts w:hint="eastAsia" w:ascii="宋体" w:hAnsi="宋体"/>
          <w:b/>
          <w:color w:val="auto"/>
          <w:sz w:val="32"/>
          <w:szCs w:val="32"/>
          <w:highlight w:val="none"/>
        </w:rPr>
      </w:pPr>
    </w:p>
    <w:p w14:paraId="23AF1318">
      <w:pPr>
        <w:spacing w:line="320" w:lineRule="exact"/>
        <w:jc w:val="center"/>
        <w:rPr>
          <w:rFonts w:hint="eastAsia" w:ascii="宋体" w:hAnsi="宋体"/>
          <w:b/>
          <w:color w:val="auto"/>
          <w:sz w:val="32"/>
          <w:szCs w:val="32"/>
          <w:highlight w:val="none"/>
        </w:rPr>
      </w:pPr>
    </w:p>
    <w:p w14:paraId="0E7C4C13">
      <w:pPr>
        <w:spacing w:line="320" w:lineRule="exact"/>
        <w:jc w:val="center"/>
        <w:rPr>
          <w:rFonts w:hint="eastAsia" w:ascii="宋体" w:hAnsi="宋体"/>
          <w:b/>
          <w:color w:val="auto"/>
          <w:sz w:val="32"/>
          <w:szCs w:val="32"/>
          <w:highlight w:val="none"/>
        </w:rPr>
      </w:pPr>
    </w:p>
    <w:p w14:paraId="517F2BE6">
      <w:pPr>
        <w:spacing w:line="320" w:lineRule="exact"/>
        <w:jc w:val="center"/>
        <w:rPr>
          <w:rFonts w:hint="eastAsia" w:ascii="宋体" w:hAnsi="宋体"/>
          <w:b/>
          <w:color w:val="auto"/>
          <w:sz w:val="32"/>
          <w:szCs w:val="32"/>
          <w:highlight w:val="none"/>
        </w:rPr>
      </w:pPr>
    </w:p>
    <w:p w14:paraId="16C3FCD6">
      <w:pPr>
        <w:spacing w:line="320" w:lineRule="exact"/>
        <w:jc w:val="center"/>
        <w:rPr>
          <w:rFonts w:hint="eastAsia" w:ascii="宋体" w:hAnsi="宋体"/>
          <w:b/>
          <w:color w:val="auto"/>
          <w:sz w:val="32"/>
          <w:szCs w:val="32"/>
          <w:highlight w:val="none"/>
        </w:rPr>
      </w:pPr>
    </w:p>
    <w:p w14:paraId="77C74EE4">
      <w:pPr>
        <w:spacing w:line="320" w:lineRule="exact"/>
        <w:jc w:val="center"/>
        <w:rPr>
          <w:rFonts w:hint="eastAsia" w:ascii="宋体" w:hAnsi="宋体"/>
          <w:b/>
          <w:color w:val="auto"/>
          <w:sz w:val="32"/>
          <w:szCs w:val="32"/>
          <w:highlight w:val="none"/>
        </w:rPr>
      </w:pPr>
    </w:p>
    <w:p w14:paraId="342A8707">
      <w:pPr>
        <w:spacing w:line="320" w:lineRule="exact"/>
        <w:jc w:val="center"/>
        <w:rPr>
          <w:rFonts w:hint="eastAsia" w:ascii="宋体" w:hAnsi="宋体"/>
          <w:b/>
          <w:color w:val="auto"/>
          <w:sz w:val="32"/>
          <w:szCs w:val="32"/>
          <w:highlight w:val="none"/>
        </w:rPr>
      </w:pPr>
    </w:p>
    <w:p w14:paraId="5E8AD74E">
      <w:pPr>
        <w:spacing w:line="320" w:lineRule="exact"/>
        <w:jc w:val="center"/>
        <w:rPr>
          <w:rFonts w:hint="eastAsia" w:ascii="宋体" w:hAnsi="宋体"/>
          <w:b/>
          <w:color w:val="auto"/>
          <w:sz w:val="32"/>
          <w:szCs w:val="32"/>
          <w:highlight w:val="none"/>
        </w:rPr>
      </w:pPr>
    </w:p>
    <w:p w14:paraId="0F72BB48">
      <w:pPr>
        <w:spacing w:line="320" w:lineRule="exact"/>
        <w:jc w:val="center"/>
        <w:rPr>
          <w:rFonts w:hint="eastAsia" w:ascii="宋体" w:hAnsi="宋体"/>
          <w:b/>
          <w:color w:val="auto"/>
          <w:sz w:val="32"/>
          <w:szCs w:val="32"/>
          <w:highlight w:val="none"/>
        </w:rPr>
      </w:pPr>
    </w:p>
    <w:p w14:paraId="3F877ADE">
      <w:pPr>
        <w:spacing w:line="320" w:lineRule="exact"/>
        <w:jc w:val="center"/>
        <w:rPr>
          <w:rFonts w:hint="eastAsia" w:ascii="宋体" w:hAnsi="宋体"/>
          <w:b/>
          <w:color w:val="auto"/>
          <w:sz w:val="32"/>
          <w:szCs w:val="32"/>
          <w:highlight w:val="none"/>
        </w:rPr>
      </w:pPr>
    </w:p>
    <w:p w14:paraId="4B817BF3">
      <w:pPr>
        <w:spacing w:line="320" w:lineRule="exact"/>
        <w:jc w:val="center"/>
        <w:rPr>
          <w:rFonts w:hint="eastAsia" w:ascii="宋体" w:hAnsi="宋体"/>
          <w:b/>
          <w:color w:val="auto"/>
          <w:sz w:val="32"/>
          <w:szCs w:val="32"/>
          <w:highlight w:val="none"/>
        </w:rPr>
      </w:pPr>
    </w:p>
    <w:p w14:paraId="417D094C">
      <w:pPr>
        <w:spacing w:line="320" w:lineRule="exact"/>
        <w:jc w:val="center"/>
        <w:rPr>
          <w:rFonts w:hint="eastAsia" w:ascii="宋体" w:hAnsi="宋体"/>
          <w:b/>
          <w:color w:val="auto"/>
          <w:sz w:val="32"/>
          <w:szCs w:val="32"/>
          <w:highlight w:val="none"/>
        </w:rPr>
      </w:pPr>
    </w:p>
    <w:p w14:paraId="74DA7149">
      <w:pPr>
        <w:spacing w:line="320" w:lineRule="exact"/>
        <w:jc w:val="center"/>
        <w:rPr>
          <w:rFonts w:hint="eastAsia" w:ascii="宋体" w:hAnsi="宋体"/>
          <w:b/>
          <w:color w:val="auto"/>
          <w:sz w:val="32"/>
          <w:szCs w:val="32"/>
          <w:highlight w:val="none"/>
        </w:rPr>
      </w:pPr>
    </w:p>
    <w:p w14:paraId="7B390510">
      <w:pPr>
        <w:spacing w:line="320" w:lineRule="exact"/>
        <w:jc w:val="center"/>
        <w:rPr>
          <w:rFonts w:hint="eastAsia" w:ascii="宋体" w:hAnsi="宋体"/>
          <w:b/>
          <w:color w:val="auto"/>
          <w:sz w:val="32"/>
          <w:szCs w:val="32"/>
          <w:highlight w:val="none"/>
        </w:rPr>
      </w:pPr>
    </w:p>
    <w:p w14:paraId="55842747">
      <w:pPr>
        <w:spacing w:line="320" w:lineRule="exact"/>
        <w:jc w:val="center"/>
        <w:rPr>
          <w:rFonts w:hint="eastAsia" w:ascii="宋体" w:hAnsi="宋体"/>
          <w:b/>
          <w:color w:val="auto"/>
          <w:sz w:val="32"/>
          <w:szCs w:val="32"/>
          <w:highlight w:val="none"/>
        </w:rPr>
      </w:pPr>
    </w:p>
    <w:p w14:paraId="49E3C15C">
      <w:pPr>
        <w:spacing w:line="320" w:lineRule="exact"/>
        <w:jc w:val="center"/>
        <w:rPr>
          <w:rFonts w:hint="eastAsia" w:ascii="宋体" w:hAnsi="宋体"/>
          <w:b/>
          <w:color w:val="auto"/>
          <w:sz w:val="32"/>
          <w:szCs w:val="32"/>
          <w:highlight w:val="none"/>
        </w:rPr>
      </w:pPr>
    </w:p>
    <w:p w14:paraId="417DB5D9">
      <w:pPr>
        <w:spacing w:line="32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供应商直接控股、管理关系信息表（格式）</w:t>
      </w:r>
    </w:p>
    <w:p w14:paraId="0EB60DFE">
      <w:pPr>
        <w:spacing w:line="360" w:lineRule="auto"/>
        <w:contextualSpacing/>
        <w:jc w:val="center"/>
        <w:rPr>
          <w:rFonts w:hint="eastAsia" w:ascii="宋体" w:hAnsi="宋体"/>
          <w:b/>
          <w:color w:val="auto"/>
          <w:sz w:val="32"/>
          <w:szCs w:val="32"/>
          <w:highlight w:val="none"/>
        </w:rPr>
      </w:pPr>
    </w:p>
    <w:p w14:paraId="794379AD">
      <w:pPr>
        <w:spacing w:line="360" w:lineRule="auto"/>
        <w:contextualSpacing/>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供应商直接控股股东信息表（格式）</w:t>
      </w:r>
    </w:p>
    <w:p w14:paraId="2C9FC8BA">
      <w:pPr>
        <w:spacing w:line="360" w:lineRule="auto"/>
        <w:contextualSpacing/>
        <w:jc w:val="center"/>
        <w:rPr>
          <w:rFonts w:hint="eastAsia" w:ascii="宋体" w:hAnsi="宋体"/>
          <w:b/>
          <w:color w:val="auto"/>
          <w:sz w:val="24"/>
          <w:highlight w:val="none"/>
        </w:rPr>
      </w:pPr>
    </w:p>
    <w:tbl>
      <w:tblPr>
        <w:tblStyle w:val="31"/>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02DC3A38">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8E44A2F">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8FEB2E8">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E225336">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5DF0BCC">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8D44807">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06D9586D">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5B22B9E">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F402BDC">
            <w:pPr>
              <w:widowControl/>
              <w:spacing w:line="360" w:lineRule="auto"/>
              <w:contextualSpacing/>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BDF7123">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0419DD">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611E6E">
            <w:pPr>
              <w:widowControl/>
              <w:spacing w:line="360" w:lineRule="auto"/>
              <w:contextualSpacing/>
              <w:jc w:val="center"/>
              <w:rPr>
                <w:rFonts w:hint="eastAsia" w:ascii="宋体" w:hAnsi="宋体" w:cs="宋体"/>
                <w:color w:val="auto"/>
                <w:kern w:val="0"/>
                <w:sz w:val="24"/>
                <w:highlight w:val="none"/>
              </w:rPr>
            </w:pPr>
          </w:p>
        </w:tc>
      </w:tr>
      <w:tr w14:paraId="36842CE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2207D1">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392BBEF">
            <w:pPr>
              <w:widowControl/>
              <w:spacing w:line="360" w:lineRule="auto"/>
              <w:contextualSpacing/>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F40A5F3">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E2B4B39">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DF18B91">
            <w:pPr>
              <w:widowControl/>
              <w:spacing w:line="360" w:lineRule="auto"/>
              <w:contextualSpacing/>
              <w:jc w:val="center"/>
              <w:rPr>
                <w:rFonts w:hint="eastAsia" w:ascii="宋体" w:hAnsi="宋体" w:cs="宋体"/>
                <w:color w:val="auto"/>
                <w:kern w:val="0"/>
                <w:sz w:val="24"/>
                <w:highlight w:val="none"/>
              </w:rPr>
            </w:pPr>
          </w:p>
        </w:tc>
      </w:tr>
      <w:tr w14:paraId="2F6F2A50">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7BBF4F0">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0B04C31">
            <w:pPr>
              <w:widowControl/>
              <w:spacing w:line="360" w:lineRule="auto"/>
              <w:contextualSpacing/>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667C5B3">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6182BF6">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85B3E3C">
            <w:pPr>
              <w:widowControl/>
              <w:spacing w:line="360" w:lineRule="auto"/>
              <w:contextualSpacing/>
              <w:jc w:val="center"/>
              <w:rPr>
                <w:rFonts w:hint="eastAsia" w:ascii="宋体" w:hAnsi="宋体" w:cs="宋体"/>
                <w:color w:val="auto"/>
                <w:kern w:val="0"/>
                <w:sz w:val="24"/>
                <w:highlight w:val="none"/>
              </w:rPr>
            </w:pPr>
          </w:p>
        </w:tc>
      </w:tr>
      <w:tr w14:paraId="7CF0735B">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B70079">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59A11C0">
            <w:pPr>
              <w:widowControl/>
              <w:spacing w:line="360" w:lineRule="auto"/>
              <w:contextualSpacing/>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2A7CCE4">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A6C0E03">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E6251FE">
            <w:pPr>
              <w:widowControl/>
              <w:spacing w:line="360" w:lineRule="auto"/>
              <w:contextualSpacing/>
              <w:jc w:val="center"/>
              <w:rPr>
                <w:rFonts w:hint="eastAsia" w:ascii="宋体" w:hAnsi="宋体" w:cs="宋体"/>
                <w:color w:val="auto"/>
                <w:kern w:val="0"/>
                <w:sz w:val="24"/>
                <w:highlight w:val="none"/>
              </w:rPr>
            </w:pPr>
          </w:p>
        </w:tc>
      </w:tr>
    </w:tbl>
    <w:p w14:paraId="2F867474">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w:t>
      </w:r>
    </w:p>
    <w:p w14:paraId="542E4C7F">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0F39937C">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2EDBAC61">
      <w:pPr>
        <w:spacing w:line="360" w:lineRule="auto"/>
        <w:ind w:firstLine="480" w:firstLineChars="200"/>
        <w:contextualSpacing/>
        <w:jc w:val="left"/>
        <w:rPr>
          <w:rFonts w:hint="eastAsia" w:ascii="宋体" w:hAnsi="宋体" w:cs="宋体"/>
          <w:color w:val="auto"/>
          <w:sz w:val="24"/>
          <w:highlight w:val="none"/>
        </w:rPr>
      </w:pPr>
      <w:r>
        <w:rPr>
          <w:rFonts w:hint="eastAsia" w:ascii="宋体" w:hAnsi="宋体" w:cs="宋体"/>
          <w:color w:val="auto"/>
          <w:sz w:val="24"/>
          <w:highlight w:val="none"/>
        </w:rPr>
        <w:t>3.供应商不存在直接控股股东的，</w:t>
      </w:r>
      <w:r>
        <w:rPr>
          <w:rFonts w:hint="eastAsia" w:ascii="宋体" w:hAnsi="宋体"/>
          <w:color w:val="auto"/>
          <w:sz w:val="24"/>
          <w:highlight w:val="none"/>
        </w:rPr>
        <w:t>则在“直接控股股东名称”填“无”</w:t>
      </w:r>
      <w:r>
        <w:rPr>
          <w:rFonts w:hint="eastAsia" w:ascii="宋体" w:hAnsi="宋体" w:cs="宋体"/>
          <w:color w:val="auto"/>
          <w:sz w:val="24"/>
          <w:highlight w:val="none"/>
        </w:rPr>
        <w:t>。</w:t>
      </w:r>
    </w:p>
    <w:p w14:paraId="3C70BEC9">
      <w:pPr>
        <w:spacing w:line="360" w:lineRule="auto"/>
        <w:ind w:firstLine="420" w:firstLineChars="200"/>
        <w:contextualSpacing/>
        <w:jc w:val="left"/>
        <w:rPr>
          <w:rFonts w:hint="eastAsia" w:ascii="宋体" w:hAnsi="宋体" w:cs="宋体"/>
          <w:color w:val="auto"/>
          <w:szCs w:val="21"/>
          <w:highlight w:val="none"/>
        </w:rPr>
      </w:pPr>
    </w:p>
    <w:p w14:paraId="4C53EBAD">
      <w:pPr>
        <w:spacing w:line="360" w:lineRule="auto"/>
        <w:ind w:firstLine="560" w:firstLineChars="200"/>
        <w:contextualSpacing/>
        <w:jc w:val="left"/>
        <w:rPr>
          <w:rFonts w:hint="eastAsia" w:ascii="宋体" w:hAnsi="宋体" w:cs="宋体"/>
          <w:color w:val="auto"/>
          <w:sz w:val="28"/>
          <w:szCs w:val="28"/>
          <w:highlight w:val="none"/>
        </w:rPr>
      </w:pPr>
    </w:p>
    <w:p w14:paraId="4A8530B3">
      <w:pPr>
        <w:spacing w:line="360" w:lineRule="auto"/>
        <w:ind w:right="480"/>
        <w:contextualSpacing/>
        <w:jc w:val="center"/>
        <w:rPr>
          <w:rFonts w:hint="eastAsia" w:ascii="宋体" w:hAnsi="宋体" w:cs="宋体"/>
          <w:color w:val="auto"/>
          <w:sz w:val="24"/>
          <w:highlight w:val="none"/>
          <w:u w:val="single"/>
        </w:rPr>
      </w:pPr>
      <w:r>
        <w:rPr>
          <w:rFonts w:hint="eastAsia" w:ascii="宋体" w:hAnsi="宋体" w:cs="宋体"/>
          <w:color w:val="auto"/>
          <w:sz w:val="24"/>
          <w:highlight w:val="none"/>
        </w:rPr>
        <w:t xml:space="preserve"> </w:t>
      </w:r>
      <w:r>
        <w:rPr>
          <w:rFonts w:ascii="宋体" w:hAnsi="宋体" w:cs="宋体"/>
          <w:color w:val="auto"/>
          <w:sz w:val="24"/>
          <w:highlight w:val="none"/>
        </w:rPr>
        <w:t xml:space="preserve">       </w:t>
      </w:r>
      <w:r>
        <w:rPr>
          <w:rFonts w:hint="eastAsia" w:ascii="宋体" w:hAnsi="宋体" w:cs="宋体"/>
          <w:color w:val="auto"/>
          <w:sz w:val="24"/>
          <w:highlight w:val="none"/>
        </w:rPr>
        <w:t>法定代表人或者委托代理人</w:t>
      </w:r>
      <w:r>
        <w:rPr>
          <w:rFonts w:hint="eastAsia" w:ascii="宋体" w:hAnsi="宋体"/>
          <w:color w:val="auto"/>
          <w:sz w:val="24"/>
          <w:highlight w:val="none"/>
        </w:rPr>
        <w:t>（签字或者电子签名）</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72AA2F98">
      <w:pPr>
        <w:spacing w:line="360" w:lineRule="auto"/>
        <w:ind w:right="480" w:firstLine="3000" w:firstLineChars="1250"/>
        <w:contextualSpacing/>
        <w:rPr>
          <w:rFonts w:hint="eastAsia" w:ascii="宋体" w:hAnsi="宋体" w:cs="宋体"/>
          <w:color w:val="auto"/>
          <w:sz w:val="24"/>
          <w:highlight w:val="none"/>
          <w:u w:val="single"/>
        </w:rPr>
      </w:pPr>
      <w:r>
        <w:rPr>
          <w:rFonts w:hint="eastAsia" w:ascii="宋体" w:hAnsi="宋体" w:cs="宋体"/>
          <w:color w:val="auto"/>
          <w:sz w:val="24"/>
          <w:highlight w:val="none"/>
        </w:rPr>
        <w:t>供应商</w:t>
      </w:r>
      <w:r>
        <w:rPr>
          <w:rFonts w:hint="eastAsia" w:ascii="宋体" w:hAnsi="宋体"/>
          <w:color w:val="auto"/>
          <w:sz w:val="24"/>
          <w:highlight w:val="none"/>
        </w:rPr>
        <w:t>（电子签章）</w:t>
      </w: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p>
    <w:p w14:paraId="05F0E1FE">
      <w:pPr>
        <w:spacing w:line="360" w:lineRule="auto"/>
        <w:ind w:firstLine="480" w:firstLineChars="200"/>
        <w:contextualSpacing/>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051A85D9">
      <w:pPr>
        <w:snapToGrid w:val="0"/>
        <w:jc w:val="center"/>
        <w:rPr>
          <w:rFonts w:hint="eastAsia" w:ascii="宋体" w:hAnsi="宋体"/>
          <w:b/>
          <w:color w:val="auto"/>
          <w:sz w:val="28"/>
          <w:szCs w:val="28"/>
          <w:highlight w:val="none"/>
        </w:rPr>
      </w:pPr>
      <w:r>
        <w:rPr>
          <w:rFonts w:ascii="宋体" w:hAnsi="宋体"/>
          <w:b/>
          <w:color w:val="auto"/>
          <w:sz w:val="28"/>
          <w:szCs w:val="28"/>
          <w:highlight w:val="none"/>
        </w:rPr>
        <w:br w:type="page"/>
      </w:r>
    </w:p>
    <w:p w14:paraId="658D8EA0">
      <w:pPr>
        <w:spacing w:line="32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供应商直接管理关系信息表（格式）</w:t>
      </w:r>
    </w:p>
    <w:p w14:paraId="02A58431">
      <w:pPr>
        <w:snapToGrid w:val="0"/>
        <w:spacing w:line="360" w:lineRule="auto"/>
        <w:jc w:val="center"/>
        <w:rPr>
          <w:rFonts w:hint="eastAsia" w:ascii="宋体" w:hAnsi="宋体"/>
          <w:b/>
          <w:color w:val="auto"/>
          <w:sz w:val="24"/>
          <w:highlight w:val="none"/>
        </w:rPr>
      </w:pPr>
    </w:p>
    <w:tbl>
      <w:tblPr>
        <w:tblStyle w:val="31"/>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4172E85C">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2CD0D24">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F7DE08B">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1C0366">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CBB1DCC">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相互关系</w:t>
            </w:r>
          </w:p>
        </w:tc>
      </w:tr>
      <w:tr w14:paraId="7BFFAF93">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048F5AC">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A05C909">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AFE3A5C">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61197F7">
            <w:pPr>
              <w:widowControl/>
              <w:spacing w:line="360" w:lineRule="auto"/>
              <w:contextualSpacing/>
              <w:jc w:val="center"/>
              <w:rPr>
                <w:rFonts w:hint="eastAsia" w:ascii="宋体" w:hAnsi="宋体" w:cs="宋体"/>
                <w:color w:val="auto"/>
                <w:kern w:val="0"/>
                <w:sz w:val="24"/>
                <w:highlight w:val="none"/>
              </w:rPr>
            </w:pPr>
          </w:p>
        </w:tc>
      </w:tr>
      <w:tr w14:paraId="108A4FE1">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AFF9A3C">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ACC9EC7">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6F40DDC">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0BC49B66">
            <w:pPr>
              <w:widowControl/>
              <w:spacing w:line="360" w:lineRule="auto"/>
              <w:contextualSpacing/>
              <w:jc w:val="center"/>
              <w:rPr>
                <w:rFonts w:hint="eastAsia" w:ascii="宋体" w:hAnsi="宋体" w:cs="宋体"/>
                <w:color w:val="auto"/>
                <w:kern w:val="0"/>
                <w:sz w:val="24"/>
                <w:highlight w:val="none"/>
              </w:rPr>
            </w:pPr>
          </w:p>
        </w:tc>
      </w:tr>
      <w:tr w14:paraId="0276EA7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5272A94">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A994050">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4452105">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B107C22">
            <w:pPr>
              <w:widowControl/>
              <w:spacing w:line="360" w:lineRule="auto"/>
              <w:contextualSpacing/>
              <w:jc w:val="center"/>
              <w:rPr>
                <w:rFonts w:hint="eastAsia" w:ascii="宋体" w:hAnsi="宋体" w:cs="宋体"/>
                <w:color w:val="auto"/>
                <w:kern w:val="0"/>
                <w:sz w:val="24"/>
                <w:highlight w:val="none"/>
              </w:rPr>
            </w:pPr>
          </w:p>
        </w:tc>
      </w:tr>
      <w:tr w14:paraId="1BE18469">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70E717D">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024851A">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4132C3C">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E94C1F4">
            <w:pPr>
              <w:widowControl/>
              <w:spacing w:line="360" w:lineRule="auto"/>
              <w:contextualSpacing/>
              <w:jc w:val="center"/>
              <w:rPr>
                <w:rFonts w:hint="eastAsia" w:ascii="宋体" w:hAnsi="宋体" w:cs="宋体"/>
                <w:color w:val="auto"/>
                <w:kern w:val="0"/>
                <w:sz w:val="24"/>
                <w:highlight w:val="none"/>
              </w:rPr>
            </w:pPr>
          </w:p>
        </w:tc>
      </w:tr>
    </w:tbl>
    <w:p w14:paraId="35A170A9">
      <w:pPr>
        <w:spacing w:line="360" w:lineRule="auto"/>
        <w:contextualSpacing/>
        <w:jc w:val="left"/>
        <w:rPr>
          <w:rFonts w:hint="eastAsia" w:ascii="宋体" w:hAnsi="宋体"/>
          <w:color w:val="auto"/>
          <w:sz w:val="24"/>
          <w:highlight w:val="none"/>
        </w:rPr>
      </w:pPr>
      <w:r>
        <w:rPr>
          <w:rFonts w:hint="eastAsia" w:ascii="宋体" w:hAnsi="宋体"/>
          <w:color w:val="auto"/>
          <w:sz w:val="24"/>
          <w:highlight w:val="none"/>
        </w:rPr>
        <w:t>注：</w:t>
      </w:r>
    </w:p>
    <w:p w14:paraId="0D6BC5EF">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7A9520B0">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2.本表所指的管理关系仅限于直接管理关系，不包括间接的管理关系。</w:t>
      </w:r>
    </w:p>
    <w:p w14:paraId="4613E8FD">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3.供应商不存在直接管理关系的，则在“直接管理关系单位名称”填“无”。</w:t>
      </w:r>
    </w:p>
    <w:p w14:paraId="04DDFEDE">
      <w:pPr>
        <w:spacing w:line="360" w:lineRule="auto"/>
        <w:contextualSpacing/>
        <w:jc w:val="left"/>
        <w:rPr>
          <w:rFonts w:hint="eastAsia" w:ascii="宋体" w:hAnsi="宋体"/>
          <w:color w:val="auto"/>
          <w:sz w:val="28"/>
          <w:szCs w:val="28"/>
          <w:highlight w:val="none"/>
        </w:rPr>
      </w:pPr>
    </w:p>
    <w:p w14:paraId="53872CAA">
      <w:pPr>
        <w:spacing w:line="360" w:lineRule="auto"/>
        <w:contextualSpacing/>
        <w:jc w:val="left"/>
        <w:rPr>
          <w:rFonts w:hint="eastAsia" w:ascii="宋体" w:hAnsi="宋体"/>
          <w:color w:val="auto"/>
          <w:sz w:val="28"/>
          <w:szCs w:val="28"/>
          <w:highlight w:val="none"/>
        </w:rPr>
      </w:pPr>
    </w:p>
    <w:p w14:paraId="03C9616F">
      <w:pPr>
        <w:spacing w:line="360" w:lineRule="auto"/>
        <w:contextualSpacing/>
        <w:jc w:val="left"/>
        <w:rPr>
          <w:color w:val="auto"/>
          <w:sz w:val="28"/>
          <w:szCs w:val="28"/>
          <w:highlight w:val="none"/>
        </w:rPr>
      </w:pPr>
    </w:p>
    <w:p w14:paraId="5FAB9379">
      <w:pPr>
        <w:spacing w:line="360" w:lineRule="auto"/>
        <w:contextualSpacing/>
        <w:jc w:val="left"/>
        <w:rPr>
          <w:rFonts w:hint="eastAsia" w:ascii="宋体" w:hAnsi="宋体"/>
          <w:color w:val="auto"/>
          <w:sz w:val="28"/>
          <w:szCs w:val="28"/>
          <w:highlight w:val="none"/>
        </w:rPr>
      </w:pPr>
    </w:p>
    <w:p w14:paraId="544572FB">
      <w:pPr>
        <w:spacing w:line="360" w:lineRule="auto"/>
        <w:ind w:right="480"/>
        <w:contextualSpacing/>
        <w:jc w:val="center"/>
        <w:rPr>
          <w:rFonts w:hint="eastAsia" w:ascii="宋体" w:hAnsi="宋体"/>
          <w:color w:val="auto"/>
          <w:sz w:val="24"/>
          <w:highlight w:val="none"/>
          <w:u w:val="single"/>
        </w:rPr>
      </w:pPr>
      <w:r>
        <w:rPr>
          <w:rFonts w:hint="eastAsia" w:ascii="宋体" w:hAnsi="宋体"/>
          <w:color w:val="auto"/>
          <w:sz w:val="24"/>
          <w:highlight w:val="none"/>
        </w:rPr>
        <w:t xml:space="preserve"> </w:t>
      </w:r>
      <w:r>
        <w:rPr>
          <w:rFonts w:ascii="宋体" w:hAnsi="宋体"/>
          <w:color w:val="auto"/>
          <w:sz w:val="24"/>
          <w:highlight w:val="none"/>
        </w:rPr>
        <w:t xml:space="preserve">             </w:t>
      </w:r>
      <w:r>
        <w:rPr>
          <w:rFonts w:hint="eastAsia" w:ascii="宋体" w:hAnsi="宋体"/>
          <w:color w:val="auto"/>
          <w:sz w:val="24"/>
          <w:highlight w:val="none"/>
        </w:rPr>
        <w:t>法定代表人或者委托代理人（签字或者电子签名）：</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0758E1DA">
      <w:pPr>
        <w:spacing w:line="360" w:lineRule="auto"/>
        <w:ind w:right="480" w:firstLine="3360" w:firstLineChars="1400"/>
        <w:contextualSpacing/>
        <w:rPr>
          <w:rFonts w:hint="eastAsia" w:ascii="宋体" w:hAnsi="宋体"/>
          <w:color w:val="auto"/>
          <w:sz w:val="24"/>
          <w:highlight w:val="none"/>
        </w:rPr>
      </w:pPr>
      <w:r>
        <w:rPr>
          <w:rFonts w:hint="eastAsia" w:ascii="宋体" w:hAnsi="宋体"/>
          <w:color w:val="auto"/>
          <w:sz w:val="24"/>
          <w:highlight w:val="none"/>
        </w:rPr>
        <w:t>供应商（电子签章）：</w:t>
      </w:r>
      <w:r>
        <w:rPr>
          <w:rFonts w:hint="eastAsia" w:ascii="宋体" w:hAnsi="宋体"/>
          <w:color w:val="auto"/>
          <w:sz w:val="24"/>
          <w:highlight w:val="none"/>
          <w:u w:val="single"/>
        </w:rPr>
        <w:t xml:space="preserve">                </w:t>
      </w:r>
    </w:p>
    <w:p w14:paraId="77DD136D">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 xml:space="preserve">                                        年    月    日</w:t>
      </w:r>
    </w:p>
    <w:p w14:paraId="773F3561">
      <w:pPr>
        <w:pStyle w:val="13"/>
        <w:tabs>
          <w:tab w:val="left" w:pos="939"/>
        </w:tabs>
        <w:spacing w:line="360" w:lineRule="auto"/>
        <w:ind w:left="0" w:leftChars="0" w:firstLine="560" w:firstLineChars="200"/>
        <w:rPr>
          <w:rFonts w:hint="eastAsia" w:ascii="宋体" w:hAnsi="宋体"/>
          <w:color w:val="auto"/>
          <w:sz w:val="28"/>
          <w:szCs w:val="28"/>
          <w:highlight w:val="none"/>
        </w:rPr>
      </w:pPr>
    </w:p>
    <w:p w14:paraId="4EEFC2F2">
      <w:pPr>
        <w:pStyle w:val="13"/>
        <w:tabs>
          <w:tab w:val="left" w:pos="939"/>
        </w:tabs>
        <w:spacing w:line="360" w:lineRule="auto"/>
        <w:ind w:left="980" w:hanging="560"/>
        <w:rPr>
          <w:rFonts w:hint="eastAsia" w:ascii="宋体" w:hAnsi="宋体"/>
          <w:color w:val="auto"/>
          <w:sz w:val="28"/>
          <w:szCs w:val="28"/>
          <w:highlight w:val="none"/>
        </w:rPr>
      </w:pPr>
    </w:p>
    <w:p w14:paraId="5F16AFBB">
      <w:pPr>
        <w:pStyle w:val="13"/>
        <w:tabs>
          <w:tab w:val="left" w:pos="939"/>
        </w:tabs>
        <w:spacing w:line="360" w:lineRule="auto"/>
        <w:ind w:left="980" w:hanging="560"/>
        <w:rPr>
          <w:rFonts w:hint="eastAsia" w:ascii="宋体" w:hAnsi="宋体"/>
          <w:color w:val="auto"/>
          <w:sz w:val="28"/>
          <w:szCs w:val="28"/>
          <w:highlight w:val="none"/>
        </w:rPr>
      </w:pPr>
    </w:p>
    <w:p w14:paraId="04606F68">
      <w:pPr>
        <w:pStyle w:val="13"/>
        <w:tabs>
          <w:tab w:val="left" w:pos="939"/>
        </w:tabs>
        <w:spacing w:line="360" w:lineRule="auto"/>
        <w:ind w:left="980" w:hanging="560"/>
        <w:rPr>
          <w:rFonts w:hint="eastAsia" w:ascii="宋体" w:hAnsi="宋体"/>
          <w:color w:val="auto"/>
          <w:sz w:val="28"/>
          <w:szCs w:val="28"/>
          <w:highlight w:val="none"/>
        </w:rPr>
      </w:pPr>
    </w:p>
    <w:p w14:paraId="029E8D6D">
      <w:pPr>
        <w:pStyle w:val="13"/>
        <w:tabs>
          <w:tab w:val="left" w:pos="939"/>
        </w:tabs>
        <w:spacing w:line="360" w:lineRule="auto"/>
        <w:ind w:left="980" w:hanging="560"/>
        <w:rPr>
          <w:rFonts w:hint="eastAsia" w:ascii="宋体" w:hAnsi="宋体"/>
          <w:color w:val="auto"/>
          <w:sz w:val="28"/>
          <w:szCs w:val="28"/>
          <w:highlight w:val="none"/>
        </w:rPr>
      </w:pPr>
    </w:p>
    <w:p w14:paraId="17A43B42">
      <w:pPr>
        <w:pStyle w:val="13"/>
        <w:tabs>
          <w:tab w:val="left" w:pos="939"/>
        </w:tabs>
        <w:spacing w:line="360" w:lineRule="auto"/>
        <w:ind w:left="980" w:hanging="560"/>
        <w:rPr>
          <w:rFonts w:hint="eastAsia" w:ascii="宋体" w:hAnsi="宋体"/>
          <w:color w:val="auto"/>
          <w:sz w:val="28"/>
          <w:szCs w:val="28"/>
          <w:highlight w:val="none"/>
        </w:rPr>
      </w:pPr>
    </w:p>
    <w:p w14:paraId="12821059">
      <w:pPr>
        <w:spacing w:line="500" w:lineRule="exact"/>
        <w:jc w:val="center"/>
        <w:rPr>
          <w:rFonts w:hint="eastAsia" w:ascii="宋体" w:hAnsi="宋体"/>
          <w:b/>
          <w:color w:val="auto"/>
          <w:sz w:val="32"/>
          <w:szCs w:val="32"/>
          <w:highlight w:val="none"/>
        </w:rPr>
      </w:pPr>
      <w:bookmarkStart w:id="74" w:name="_Toc71365926"/>
      <w:r>
        <w:rPr>
          <w:rFonts w:hint="eastAsia" w:ascii="宋体" w:hAnsi="宋体"/>
          <w:b/>
          <w:color w:val="auto"/>
          <w:sz w:val="32"/>
          <w:szCs w:val="32"/>
          <w:highlight w:val="none"/>
        </w:rPr>
        <w:t>中小企业声明函（工程）</w:t>
      </w:r>
      <w:bookmarkEnd w:id="74"/>
    </w:p>
    <w:p w14:paraId="22B9E7BF">
      <w:pPr>
        <w:pStyle w:val="2"/>
        <w:spacing w:line="500" w:lineRule="exact"/>
        <w:ind w:right="142" w:firstLine="705" w:firstLineChars="294"/>
        <w:rPr>
          <w:rFonts w:hint="eastAsia" w:hAnsi="宋体"/>
          <w:color w:val="auto"/>
          <w:sz w:val="24"/>
          <w:highlight w:val="none"/>
        </w:rPr>
      </w:pPr>
    </w:p>
    <w:p w14:paraId="50FC53D1">
      <w:pPr>
        <w:pStyle w:val="2"/>
        <w:spacing w:line="500" w:lineRule="exact"/>
        <w:ind w:right="142" w:firstLine="705" w:firstLineChars="294"/>
        <w:rPr>
          <w:rFonts w:hint="eastAsia" w:hAnsi="宋体"/>
          <w:color w:val="auto"/>
          <w:sz w:val="24"/>
          <w:highlight w:val="none"/>
        </w:rPr>
      </w:pPr>
      <w:r>
        <w:rPr>
          <w:rFonts w:hAnsi="宋体"/>
          <w:color w:val="auto"/>
          <w:sz w:val="24"/>
          <w:highlight w:val="none"/>
        </w:rPr>
        <w:t>本公司（联合体）郑重声明，根据《政府采购促进中小企业发展管理办法》（财库﹝2020﹞46号）的规定，本公司（联合体）参加</w:t>
      </w:r>
      <w:r>
        <w:rPr>
          <w:rFonts w:hAnsi="宋体"/>
          <w:color w:val="auto"/>
          <w:sz w:val="24"/>
          <w:highlight w:val="none"/>
          <w:u w:val="single"/>
        </w:rPr>
        <w:t>（单位名称）</w:t>
      </w:r>
      <w:r>
        <w:rPr>
          <w:rFonts w:hAnsi="宋体"/>
          <w:color w:val="auto"/>
          <w:sz w:val="24"/>
          <w:highlight w:val="none"/>
        </w:rPr>
        <w:t>的</w:t>
      </w:r>
      <w:r>
        <w:rPr>
          <w:rFonts w:hAnsi="宋体"/>
          <w:color w:val="auto"/>
          <w:sz w:val="24"/>
          <w:highlight w:val="none"/>
          <w:u w:val="single"/>
        </w:rPr>
        <w:t>（项目名称）</w:t>
      </w:r>
      <w:r>
        <w:rPr>
          <w:rFonts w:hAnsi="宋体"/>
          <w:color w:val="auto"/>
          <w:sz w:val="24"/>
          <w:highlight w:val="none"/>
        </w:rPr>
        <w:t>采购活动，</w:t>
      </w:r>
      <w:r>
        <w:rPr>
          <w:rFonts w:hint="eastAsia" w:hAnsi="宋体"/>
          <w:color w:val="auto"/>
          <w:sz w:val="24"/>
          <w:highlight w:val="none"/>
        </w:rPr>
        <w:t>工程的施工单位全部为符合政策要求的中小企业。相关企业（含联合体中的中小企业、签订分包意向协议的中小企业）的具体情况如下：</w:t>
      </w:r>
    </w:p>
    <w:p w14:paraId="7B285310">
      <w:pPr>
        <w:tabs>
          <w:tab w:val="left" w:pos="1384"/>
          <w:tab w:val="left" w:pos="4562"/>
          <w:tab w:val="left" w:pos="6803"/>
        </w:tabs>
        <w:spacing w:before="13" w:line="500" w:lineRule="exact"/>
        <w:ind w:right="142" w:firstLine="480" w:firstLineChars="200"/>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w:t>
      </w:r>
      <w:r>
        <w:rPr>
          <w:rFonts w:ascii="宋体" w:hAnsi="宋体"/>
          <w:color w:val="auto"/>
          <w:sz w:val="24"/>
          <w:highlight w:val="none"/>
          <w:u w:val="single"/>
        </w:rPr>
        <w:t>业）</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55077A5B">
      <w:pPr>
        <w:tabs>
          <w:tab w:val="left" w:pos="1065"/>
          <w:tab w:val="left" w:pos="4262"/>
          <w:tab w:val="left" w:pos="6477"/>
        </w:tabs>
        <w:spacing w:before="20" w:line="500" w:lineRule="exact"/>
        <w:ind w:right="84" w:firstLine="480" w:firstLineChars="200"/>
        <w:rPr>
          <w:rFonts w:hint="eastAsia" w:ascii="宋体" w:hAnsi="宋体"/>
          <w:color w:val="auto"/>
          <w:sz w:val="24"/>
          <w:highlight w:val="none"/>
          <w:u w:val="single"/>
        </w:rPr>
      </w:pPr>
      <w:r>
        <w:rPr>
          <w:rFonts w:ascii="宋体" w:hAnsi="宋体"/>
          <w:color w:val="auto"/>
          <w:sz w:val="24"/>
          <w:highlight w:val="none"/>
        </w:rPr>
        <w:t>2.</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行业</w:t>
      </w:r>
      <w:r>
        <w:rPr>
          <w:rFonts w:ascii="宋体" w:hAnsi="宋体"/>
          <w:color w:val="auto"/>
          <w:sz w:val="24"/>
          <w:highlight w:val="none"/>
          <w:u w:val="single"/>
        </w:rPr>
        <w:t>）</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1AEDE47B">
      <w:pPr>
        <w:pStyle w:val="2"/>
        <w:spacing w:before="34" w:line="500" w:lineRule="exact"/>
        <w:ind w:right="142" w:firstLine="705" w:firstLineChars="294"/>
        <w:rPr>
          <w:rFonts w:hint="eastAsia" w:hAnsi="宋体"/>
          <w:color w:val="auto"/>
          <w:sz w:val="24"/>
          <w:highlight w:val="none"/>
        </w:rPr>
      </w:pPr>
      <w:r>
        <w:rPr>
          <w:rFonts w:hAnsi="宋体"/>
          <w:color w:val="auto"/>
          <w:sz w:val="24"/>
          <w:highlight w:val="none"/>
        </w:rPr>
        <w:t xml:space="preserve">…… </w:t>
      </w:r>
    </w:p>
    <w:p w14:paraId="3362F9FB">
      <w:pPr>
        <w:pStyle w:val="2"/>
        <w:spacing w:before="34" w:line="500" w:lineRule="exact"/>
        <w:ind w:right="142" w:firstLine="723" w:firstLineChars="200"/>
        <w:rPr>
          <w:rFonts w:hint="eastAsia" w:hAnsi="宋体"/>
          <w:b/>
          <w:bCs/>
          <w:color w:val="auto"/>
          <w:sz w:val="36"/>
          <w:szCs w:val="24"/>
          <w:highlight w:val="none"/>
        </w:rPr>
      </w:pPr>
      <w:r>
        <w:rPr>
          <w:rFonts w:hAnsi="宋体"/>
          <w:b/>
          <w:bCs/>
          <w:color w:val="auto"/>
          <w:sz w:val="36"/>
          <w:szCs w:val="24"/>
          <w:highlight w:val="none"/>
        </w:rPr>
        <w:t>以上企业，不属于大企业的分支机构，不存在控股股东为大企业的情形，也不存在与大企业的负责人为同一人的情形。</w:t>
      </w:r>
    </w:p>
    <w:p w14:paraId="771CEDF8">
      <w:pPr>
        <w:pStyle w:val="2"/>
        <w:spacing w:before="25" w:line="500" w:lineRule="exact"/>
        <w:ind w:right="142" w:firstLine="480" w:firstLineChars="200"/>
        <w:rPr>
          <w:rFonts w:hint="eastAsia" w:hAnsi="宋体"/>
          <w:color w:val="auto"/>
          <w:sz w:val="24"/>
          <w:highlight w:val="none"/>
        </w:rPr>
      </w:pPr>
      <w:r>
        <w:rPr>
          <w:rFonts w:hAnsi="宋体"/>
          <w:color w:val="auto"/>
          <w:sz w:val="24"/>
          <w:highlight w:val="none"/>
        </w:rPr>
        <w:t>本企业对上述声明内容的真实性负责。如有虚假，将依法承担相应责任。</w:t>
      </w:r>
    </w:p>
    <w:p w14:paraId="2BE2307E">
      <w:pPr>
        <w:pStyle w:val="2"/>
        <w:spacing w:before="56" w:line="500" w:lineRule="exact"/>
        <w:ind w:right="1808" w:firstLine="705" w:firstLineChars="294"/>
        <w:rPr>
          <w:rFonts w:hint="eastAsia" w:hAnsi="宋体"/>
          <w:color w:val="auto"/>
          <w:sz w:val="24"/>
          <w:highlight w:val="none"/>
        </w:rPr>
      </w:pPr>
    </w:p>
    <w:p w14:paraId="1F6B0CBF">
      <w:pPr>
        <w:pStyle w:val="2"/>
        <w:spacing w:before="56" w:line="500" w:lineRule="exact"/>
        <w:ind w:right="650" w:firstLine="5625" w:firstLineChars="2344"/>
        <w:rPr>
          <w:rFonts w:hint="eastAsia" w:hAnsi="宋体"/>
          <w:color w:val="auto"/>
          <w:sz w:val="24"/>
          <w:highlight w:val="none"/>
        </w:rPr>
      </w:pPr>
      <w:r>
        <w:rPr>
          <w:rFonts w:hAnsi="宋体"/>
          <w:color w:val="auto"/>
          <w:sz w:val="24"/>
          <w:highlight w:val="none"/>
        </w:rPr>
        <w:t>企业名称（</w:t>
      </w:r>
      <w:r>
        <w:rPr>
          <w:rFonts w:hint="eastAsia" w:hAnsi="宋体"/>
          <w:color w:val="auto"/>
          <w:sz w:val="24"/>
          <w:szCs w:val="24"/>
          <w:highlight w:val="none"/>
        </w:rPr>
        <w:t>电子签章</w:t>
      </w:r>
      <w:r>
        <w:rPr>
          <w:rFonts w:hAnsi="宋体"/>
          <w:color w:val="auto"/>
          <w:sz w:val="24"/>
          <w:highlight w:val="none"/>
        </w:rPr>
        <w:t xml:space="preserve">）： </w:t>
      </w:r>
    </w:p>
    <w:p w14:paraId="68D4ACFD">
      <w:pPr>
        <w:pStyle w:val="2"/>
        <w:spacing w:before="56" w:line="500" w:lineRule="exact"/>
        <w:ind w:right="1808" w:firstLine="5625" w:firstLineChars="2344"/>
        <w:rPr>
          <w:rFonts w:hint="eastAsia" w:hAnsi="宋体"/>
          <w:color w:val="auto"/>
          <w:sz w:val="24"/>
          <w:highlight w:val="none"/>
        </w:rPr>
      </w:pPr>
      <w:r>
        <w:rPr>
          <w:rFonts w:hAnsi="宋体"/>
          <w:color w:val="auto"/>
          <w:sz w:val="24"/>
          <w:highlight w:val="none"/>
        </w:rPr>
        <w:t>日 期：</w:t>
      </w:r>
    </w:p>
    <w:p w14:paraId="41FD4931">
      <w:pPr>
        <w:pStyle w:val="2"/>
        <w:spacing w:before="56" w:line="500" w:lineRule="exact"/>
        <w:ind w:right="1808" w:firstLine="5625" w:firstLineChars="2344"/>
        <w:rPr>
          <w:rFonts w:hint="eastAsia" w:hAnsi="宋体"/>
          <w:color w:val="auto"/>
          <w:sz w:val="24"/>
          <w:highlight w:val="none"/>
        </w:rPr>
      </w:pPr>
    </w:p>
    <w:p w14:paraId="2CEDAA21">
      <w:pPr>
        <w:spacing w:line="520" w:lineRule="exact"/>
        <w:ind w:firstLine="480" w:firstLineChars="200"/>
        <w:jc w:val="left"/>
        <w:rPr>
          <w:rFonts w:hint="eastAsia" w:ascii="宋体" w:hAnsi="宋体" w:cs="仿宋_GB2312"/>
          <w:color w:val="auto"/>
          <w:sz w:val="24"/>
          <w:highlight w:val="none"/>
        </w:rPr>
      </w:pPr>
      <w:r>
        <w:rPr>
          <w:rFonts w:hint="eastAsia" w:ascii="宋体" w:hAnsi="宋体" w:cs="仿宋_GB2312"/>
          <w:color w:val="auto"/>
          <w:sz w:val="24"/>
          <w:highlight w:val="none"/>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34A478D9">
      <w:pPr>
        <w:spacing w:line="520" w:lineRule="exact"/>
        <w:jc w:val="center"/>
        <w:rPr>
          <w:rFonts w:hint="eastAsia" w:ascii="仿宋_GB2312" w:hAnsi="仿宋_GB2312" w:eastAsia="仿宋_GB2312" w:cs="仿宋_GB2312"/>
          <w:color w:val="auto"/>
          <w:sz w:val="32"/>
          <w:szCs w:val="32"/>
          <w:highlight w:val="none"/>
        </w:rPr>
      </w:pPr>
      <w:r>
        <w:rPr>
          <w:rFonts w:ascii="宋体" w:hAnsi="宋体"/>
          <w:color w:val="auto"/>
          <w:sz w:val="24"/>
          <w:highlight w:val="none"/>
        </w:rPr>
        <w:br w:type="page"/>
      </w:r>
      <w:r>
        <w:rPr>
          <w:rFonts w:hint="eastAsia" w:ascii="方正小标宋简体" w:hAnsi="方正小标宋简体" w:eastAsia="方正小标宋简体" w:cs="方正小标宋简体"/>
          <w:color w:val="auto"/>
          <w:sz w:val="40"/>
          <w:szCs w:val="40"/>
          <w:highlight w:val="none"/>
        </w:rPr>
        <w:t>残疾人福利性单位声明函</w:t>
      </w:r>
    </w:p>
    <w:p w14:paraId="24BCF3E7">
      <w:pPr>
        <w:spacing w:line="360" w:lineRule="auto"/>
        <w:contextualSpacing/>
        <w:rPr>
          <w:rFonts w:hint="eastAsia" w:ascii="仿宋_GB2312" w:hAnsi="仿宋_GB2312" w:eastAsia="仿宋_GB2312" w:cs="仿宋_GB2312"/>
          <w:color w:val="auto"/>
          <w:sz w:val="32"/>
          <w:szCs w:val="32"/>
          <w:highlight w:val="none"/>
        </w:rPr>
      </w:pPr>
    </w:p>
    <w:p w14:paraId="7FE59AF0">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单位的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2675E7F8">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本单位对上述声明的真实性负责。如有虚假，将依法承担相应责任。</w:t>
      </w:r>
    </w:p>
    <w:p w14:paraId="1450D576">
      <w:pPr>
        <w:spacing w:line="360" w:lineRule="auto"/>
        <w:contextualSpacing/>
        <w:rPr>
          <w:rFonts w:hint="eastAsia" w:ascii="宋体" w:hAnsi="宋体" w:cs="仿宋_GB2312"/>
          <w:color w:val="auto"/>
          <w:sz w:val="24"/>
          <w:highlight w:val="none"/>
        </w:rPr>
      </w:pPr>
    </w:p>
    <w:p w14:paraId="7C19C477">
      <w:pPr>
        <w:spacing w:line="360" w:lineRule="auto"/>
        <w:contextualSpacing/>
        <w:rPr>
          <w:rFonts w:hint="eastAsia" w:ascii="宋体" w:hAnsi="宋体" w:cs="仿宋_GB2312"/>
          <w:color w:val="auto"/>
          <w:sz w:val="24"/>
          <w:highlight w:val="none"/>
        </w:rPr>
      </w:pPr>
    </w:p>
    <w:p w14:paraId="0392F6B4">
      <w:pPr>
        <w:spacing w:line="360" w:lineRule="auto"/>
        <w:contextualSpacing/>
        <w:rPr>
          <w:rFonts w:hint="eastAsia" w:ascii="宋体" w:hAnsi="宋体" w:cs="仿宋_GB2312"/>
          <w:color w:val="auto"/>
          <w:sz w:val="24"/>
          <w:highlight w:val="none"/>
        </w:rPr>
      </w:pPr>
    </w:p>
    <w:p w14:paraId="380F1967">
      <w:pPr>
        <w:spacing w:line="360" w:lineRule="auto"/>
        <w:ind w:firstLine="4560" w:firstLineChars="1900"/>
        <w:contextualSpacing/>
        <w:rPr>
          <w:rFonts w:hint="eastAsia" w:ascii="宋体" w:hAnsi="宋体" w:cs="仿宋_GB2312"/>
          <w:color w:val="auto"/>
          <w:sz w:val="24"/>
          <w:highlight w:val="none"/>
        </w:rPr>
      </w:pPr>
      <w:r>
        <w:rPr>
          <w:rFonts w:hint="eastAsia" w:ascii="宋体" w:hAnsi="宋体" w:cs="仿宋_GB2312"/>
          <w:color w:val="auto"/>
          <w:sz w:val="24"/>
          <w:highlight w:val="none"/>
        </w:rPr>
        <w:t>单位名称（</w:t>
      </w:r>
      <w:r>
        <w:rPr>
          <w:rFonts w:hint="eastAsia" w:ascii="宋体" w:hAnsi="宋体"/>
          <w:color w:val="auto"/>
          <w:sz w:val="24"/>
          <w:highlight w:val="none"/>
        </w:rPr>
        <w:t>电子签章</w:t>
      </w:r>
      <w:r>
        <w:rPr>
          <w:rFonts w:hint="eastAsia" w:ascii="宋体" w:hAnsi="宋体" w:cs="仿宋_GB2312"/>
          <w:color w:val="auto"/>
          <w:sz w:val="24"/>
          <w:highlight w:val="none"/>
        </w:rPr>
        <w:t>）：</w:t>
      </w:r>
    </w:p>
    <w:p w14:paraId="364E5F3B">
      <w:pPr>
        <w:spacing w:line="360" w:lineRule="auto"/>
        <w:ind w:firstLine="5040" w:firstLineChars="2100"/>
        <w:contextualSpacing/>
        <w:rPr>
          <w:rFonts w:hint="eastAsia" w:ascii="宋体" w:hAnsi="宋体" w:cs="仿宋_GB2312"/>
          <w:color w:val="auto"/>
          <w:sz w:val="24"/>
          <w:highlight w:val="none"/>
        </w:rPr>
      </w:pPr>
      <w:r>
        <w:rPr>
          <w:rFonts w:hint="eastAsia" w:ascii="宋体" w:hAnsi="宋体" w:cs="仿宋_GB2312"/>
          <w:color w:val="auto"/>
          <w:sz w:val="24"/>
          <w:highlight w:val="none"/>
        </w:rPr>
        <w:t>日  期：</w:t>
      </w:r>
    </w:p>
    <w:p w14:paraId="77A839F7">
      <w:pPr>
        <w:spacing w:line="360" w:lineRule="auto"/>
        <w:contextualSpacing/>
        <w:rPr>
          <w:rFonts w:hint="eastAsia" w:ascii="宋体" w:hAnsi="宋体" w:cs="仿宋_GB2312"/>
          <w:color w:val="auto"/>
          <w:sz w:val="24"/>
          <w:highlight w:val="none"/>
        </w:rPr>
      </w:pPr>
    </w:p>
    <w:p w14:paraId="0BC4A947">
      <w:pPr>
        <w:spacing w:line="360" w:lineRule="auto"/>
        <w:contextualSpacing/>
        <w:rPr>
          <w:rFonts w:hint="eastAsia" w:ascii="宋体" w:hAnsi="宋体" w:cs="仿宋_GB2312"/>
          <w:color w:val="auto"/>
          <w:sz w:val="24"/>
          <w:highlight w:val="none"/>
        </w:rPr>
      </w:pPr>
    </w:p>
    <w:p w14:paraId="129EB5AE">
      <w:pPr>
        <w:spacing w:line="360" w:lineRule="auto"/>
        <w:contextualSpacing/>
        <w:rPr>
          <w:rFonts w:hint="eastAsia" w:ascii="宋体" w:hAnsi="宋体" w:cs="仿宋_GB2312"/>
          <w:color w:val="auto"/>
          <w:sz w:val="24"/>
          <w:highlight w:val="none"/>
        </w:rPr>
      </w:pPr>
    </w:p>
    <w:p w14:paraId="6DAC801E">
      <w:pPr>
        <w:pStyle w:val="13"/>
        <w:tabs>
          <w:tab w:val="left" w:pos="939"/>
        </w:tabs>
        <w:spacing w:line="360" w:lineRule="auto"/>
        <w:ind w:left="0" w:leftChars="0" w:firstLine="720" w:firstLineChars="300"/>
        <w:rPr>
          <w:color w:val="auto"/>
          <w:sz w:val="24"/>
          <w:highlight w:val="none"/>
        </w:rPr>
      </w:pPr>
      <w:r>
        <w:rPr>
          <w:rFonts w:hint="eastAsia" w:ascii="宋体" w:hAnsi="宋体" w:cs="仿宋_GB2312"/>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r>
        <w:rPr>
          <w:rFonts w:ascii="宋体" w:hAnsi="宋体"/>
          <w:color w:val="auto"/>
          <w:sz w:val="28"/>
          <w:szCs w:val="28"/>
          <w:highlight w:val="none"/>
        </w:rPr>
        <w:br w:type="page"/>
      </w:r>
    </w:p>
    <w:p w14:paraId="0DBBE9AD">
      <w:pPr>
        <w:spacing w:line="360" w:lineRule="auto"/>
        <w:ind w:right="420"/>
        <w:contextualSpacing/>
        <w:jc w:val="left"/>
        <w:rPr>
          <w:rFonts w:hint="eastAsia" w:ascii="宋体" w:hAnsi="宋体"/>
          <w:b/>
          <w:color w:val="auto"/>
          <w:sz w:val="32"/>
          <w:szCs w:val="32"/>
          <w:highlight w:val="none"/>
        </w:rPr>
      </w:pPr>
      <w:r>
        <w:rPr>
          <w:rFonts w:hint="eastAsia" w:ascii="宋体" w:hAnsi="宋体"/>
          <w:b/>
          <w:bCs/>
          <w:color w:val="auto"/>
          <w:sz w:val="32"/>
          <w:szCs w:val="32"/>
          <w:highlight w:val="none"/>
        </w:rPr>
        <w:t>二、</w:t>
      </w:r>
      <w:r>
        <w:rPr>
          <w:rFonts w:hint="eastAsia" w:ascii="宋体" w:hAnsi="宋体"/>
          <w:b/>
          <w:color w:val="auto"/>
          <w:sz w:val="32"/>
          <w:szCs w:val="32"/>
          <w:highlight w:val="none"/>
        </w:rPr>
        <w:t xml:space="preserve">报价文件格式 </w:t>
      </w:r>
    </w:p>
    <w:p w14:paraId="7D003F2D">
      <w:pPr>
        <w:snapToGrid w:val="0"/>
        <w:spacing w:before="156" w:beforeLines="50" w:after="50"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t>1.报价文件封面格式</w:t>
      </w:r>
    </w:p>
    <w:p w14:paraId="0D849D6F">
      <w:pPr>
        <w:snapToGrid w:val="0"/>
        <w:spacing w:before="156"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p>
    <w:p w14:paraId="33985702">
      <w:pPr>
        <w:snapToGrid w:val="0"/>
        <w:spacing w:before="156" w:beforeLines="5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764EBD97">
      <w:pPr>
        <w:snapToGrid w:val="0"/>
        <w:spacing w:before="156" w:beforeLines="50" w:after="50"/>
        <w:rPr>
          <w:rFonts w:hint="eastAsia" w:ascii="宋体" w:hAnsi="宋体"/>
          <w:color w:val="auto"/>
          <w:sz w:val="24"/>
          <w:szCs w:val="20"/>
          <w:highlight w:val="none"/>
        </w:rPr>
      </w:pPr>
    </w:p>
    <w:p w14:paraId="45CC5034">
      <w:pPr>
        <w:snapToGrid w:val="0"/>
        <w:spacing w:before="156" w:beforeLines="50" w:after="50"/>
        <w:rPr>
          <w:rFonts w:hint="eastAsia" w:ascii="宋体" w:hAnsi="宋体"/>
          <w:color w:val="auto"/>
          <w:sz w:val="24"/>
          <w:szCs w:val="20"/>
          <w:highlight w:val="none"/>
        </w:rPr>
      </w:pPr>
    </w:p>
    <w:p w14:paraId="4A2DA897">
      <w:pPr>
        <w:snapToGrid w:val="0"/>
        <w:spacing w:before="156"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w:t>
      </w:r>
    </w:p>
    <w:p w14:paraId="54A9908E">
      <w:pPr>
        <w:snapToGrid w:val="0"/>
        <w:spacing w:before="156" w:beforeLines="50" w:after="50"/>
        <w:rPr>
          <w:rFonts w:hint="eastAsia" w:ascii="宋体" w:hAnsi="宋体"/>
          <w:bCs/>
          <w:color w:val="auto"/>
          <w:sz w:val="24"/>
          <w:szCs w:val="20"/>
          <w:highlight w:val="none"/>
        </w:rPr>
      </w:pPr>
    </w:p>
    <w:p w14:paraId="081B806A">
      <w:pPr>
        <w:snapToGrid w:val="0"/>
        <w:spacing w:before="156" w:beforeLines="50" w:after="50"/>
        <w:rPr>
          <w:rFonts w:hint="eastAsia" w:ascii="宋体" w:hAnsi="宋体"/>
          <w:bCs/>
          <w:color w:val="auto"/>
          <w:sz w:val="24"/>
          <w:szCs w:val="20"/>
          <w:highlight w:val="none"/>
        </w:rPr>
      </w:pPr>
    </w:p>
    <w:p w14:paraId="221A1A68">
      <w:pPr>
        <w:snapToGrid w:val="0"/>
        <w:spacing w:before="156" w:beforeLines="50" w:after="50"/>
        <w:rPr>
          <w:rFonts w:hint="eastAsia" w:ascii="宋体" w:hAnsi="宋体"/>
          <w:bCs/>
          <w:color w:val="auto"/>
          <w:sz w:val="24"/>
          <w:szCs w:val="20"/>
          <w:highlight w:val="none"/>
        </w:rPr>
      </w:pPr>
    </w:p>
    <w:p w14:paraId="5E73CE96">
      <w:pPr>
        <w:snapToGrid w:val="0"/>
        <w:spacing w:before="156" w:beforeLines="50" w:after="50"/>
        <w:rPr>
          <w:rFonts w:hint="eastAsia" w:ascii="宋体" w:hAnsi="宋体"/>
          <w:bCs/>
          <w:color w:val="auto"/>
          <w:sz w:val="24"/>
          <w:szCs w:val="20"/>
          <w:highlight w:val="none"/>
        </w:rPr>
      </w:pPr>
    </w:p>
    <w:p w14:paraId="1BC94349">
      <w:pPr>
        <w:snapToGrid w:val="0"/>
        <w:spacing w:before="156" w:beforeLines="50" w:after="50"/>
        <w:rPr>
          <w:rFonts w:hint="eastAsia" w:ascii="宋体" w:hAnsi="宋体"/>
          <w:bCs/>
          <w:color w:val="auto"/>
          <w:sz w:val="24"/>
          <w:szCs w:val="20"/>
          <w:highlight w:val="none"/>
        </w:rPr>
      </w:pPr>
    </w:p>
    <w:p w14:paraId="1327057D">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5B0A4834">
      <w:pPr>
        <w:snapToGrid w:val="0"/>
        <w:spacing w:before="156" w:beforeLines="50" w:after="50"/>
        <w:ind w:firstLine="720" w:firstLineChars="225"/>
        <w:rPr>
          <w:rFonts w:hint="eastAsia" w:ascii="宋体" w:hAnsi="宋体" w:cs="仿宋_GB2312"/>
          <w:bCs/>
          <w:color w:val="auto"/>
          <w:sz w:val="32"/>
          <w:szCs w:val="32"/>
          <w:highlight w:val="none"/>
        </w:rPr>
      </w:pPr>
    </w:p>
    <w:p w14:paraId="3480CAC8">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4BF036F8">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5979998A">
      <w:pPr>
        <w:pStyle w:val="10"/>
        <w:snapToGrid w:val="0"/>
        <w:spacing w:before="5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29042DFB">
      <w:pPr>
        <w:pStyle w:val="10"/>
        <w:snapToGrid w:val="0"/>
        <w:spacing w:before="50" w:after="50"/>
        <w:ind w:firstLine="640"/>
        <w:rPr>
          <w:rFonts w:hint="eastAsia" w:ascii="宋体" w:hAnsi="宋体" w:cs="仿宋_GB2312"/>
          <w:bCs/>
          <w:color w:val="auto"/>
          <w:sz w:val="32"/>
          <w:szCs w:val="32"/>
          <w:highlight w:val="none"/>
        </w:rPr>
      </w:pPr>
    </w:p>
    <w:p w14:paraId="2064D0C6">
      <w:pPr>
        <w:pStyle w:val="10"/>
        <w:snapToGrid w:val="0"/>
        <w:spacing w:before="5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供应商地址：</w:t>
      </w:r>
    </w:p>
    <w:p w14:paraId="56AA068F">
      <w:pPr>
        <w:pStyle w:val="10"/>
        <w:snapToGrid w:val="0"/>
        <w:spacing w:before="50" w:after="50"/>
        <w:ind w:firstLine="640"/>
        <w:rPr>
          <w:rFonts w:hint="eastAsia" w:ascii="宋体" w:hAnsi="宋体" w:cs="仿宋_GB2312"/>
          <w:bCs/>
          <w:color w:val="auto"/>
          <w:sz w:val="32"/>
          <w:szCs w:val="32"/>
          <w:highlight w:val="none"/>
        </w:rPr>
      </w:pPr>
    </w:p>
    <w:p w14:paraId="53CA727E">
      <w:pPr>
        <w:pStyle w:val="10"/>
        <w:snapToGrid w:val="0"/>
        <w:spacing w:before="50" w:after="50"/>
        <w:ind w:firstLine="720" w:firstLineChars="225"/>
        <w:rPr>
          <w:rFonts w:hint="eastAsia" w:ascii="宋体" w:hAnsi="宋体" w:cs="仿宋_GB2312"/>
          <w:bCs/>
          <w:color w:val="auto"/>
          <w:sz w:val="32"/>
          <w:szCs w:val="32"/>
          <w:highlight w:val="none"/>
        </w:rPr>
      </w:pPr>
    </w:p>
    <w:p w14:paraId="18971DBF">
      <w:pPr>
        <w:pStyle w:val="10"/>
        <w:snapToGrid w:val="0"/>
        <w:spacing w:before="50" w:after="50"/>
        <w:ind w:firstLine="640"/>
        <w:rPr>
          <w:rFonts w:hint="eastAsia" w:ascii="宋体" w:hAnsi="宋体" w:cs="仿宋_GB2312"/>
          <w:bCs/>
          <w:color w:val="auto"/>
          <w:sz w:val="32"/>
          <w:szCs w:val="32"/>
          <w:highlight w:val="none"/>
        </w:rPr>
      </w:pPr>
    </w:p>
    <w:p w14:paraId="785CF748">
      <w:pPr>
        <w:pStyle w:val="10"/>
        <w:snapToGrid w:val="0"/>
        <w:spacing w:before="50" w:after="50"/>
        <w:ind w:firstLine="1280" w:firstLineChars="400"/>
        <w:rPr>
          <w:rFonts w:hint="eastAsia" w:ascii="宋体" w:hAnsi="宋体" w:cs="仿宋_GB2312"/>
          <w:bCs/>
          <w:color w:val="auto"/>
          <w:sz w:val="32"/>
          <w:szCs w:val="32"/>
          <w:highlight w:val="none"/>
        </w:rPr>
      </w:pPr>
    </w:p>
    <w:p w14:paraId="21878FA0">
      <w:pPr>
        <w:snapToGrid w:val="0"/>
        <w:spacing w:before="156"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689DBA60">
      <w:pPr>
        <w:snapToGrid w:val="0"/>
        <w:spacing w:before="156" w:beforeLines="50" w:after="50" w:line="360" w:lineRule="auto"/>
        <w:ind w:left="142"/>
        <w:jc w:val="left"/>
        <w:rPr>
          <w:rFonts w:hint="eastAsia" w:ascii="宋体" w:hAnsi="宋体"/>
          <w:b/>
          <w:bCs/>
          <w:color w:val="auto"/>
          <w:sz w:val="24"/>
          <w:highlight w:val="none"/>
        </w:rPr>
      </w:pPr>
      <w:r>
        <w:rPr>
          <w:rFonts w:hint="eastAsia" w:ascii="宋体" w:hAnsi="宋体"/>
          <w:color w:val="auto"/>
          <w:szCs w:val="21"/>
          <w:highlight w:val="none"/>
        </w:rPr>
        <w:br w:type="page"/>
      </w:r>
      <w:r>
        <w:rPr>
          <w:rFonts w:hint="eastAsia" w:ascii="宋体" w:hAnsi="宋体"/>
          <w:b/>
          <w:bCs/>
          <w:color w:val="auto"/>
          <w:sz w:val="32"/>
          <w:szCs w:val="32"/>
          <w:highlight w:val="none"/>
        </w:rPr>
        <w:t>2.报价文件目录</w:t>
      </w:r>
    </w:p>
    <w:p w14:paraId="0603D922">
      <w:pPr>
        <w:autoSpaceDE w:val="0"/>
        <w:autoSpaceDN w:val="0"/>
        <w:adjustRightInd w:val="0"/>
        <w:spacing w:line="360" w:lineRule="auto"/>
        <w:ind w:firstLine="640" w:firstLineChars="200"/>
        <w:rPr>
          <w:rFonts w:hint="eastAsia" w:ascii="宋体" w:hAnsi="宋体"/>
          <w:b/>
          <w:bCs/>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r>
        <w:rPr>
          <w:rFonts w:ascii="宋体" w:hAnsi="宋体"/>
          <w:b/>
          <w:bCs/>
          <w:color w:val="auto"/>
          <w:sz w:val="32"/>
          <w:szCs w:val="32"/>
          <w:highlight w:val="none"/>
        </w:rPr>
        <w:br w:type="page"/>
      </w:r>
    </w:p>
    <w:p w14:paraId="5CADA22D">
      <w:pPr>
        <w:pStyle w:val="3"/>
        <w:jc w:val="center"/>
        <w:rPr>
          <w:rFonts w:hint="eastAsia" w:asciiTheme="majorEastAsia" w:hAnsiTheme="majorEastAsia" w:eastAsiaTheme="majorEastAsia" w:cstheme="majorEastAsia"/>
          <w:b/>
          <w:bCs/>
          <w:color w:val="auto"/>
          <w:sz w:val="32"/>
          <w:szCs w:val="32"/>
          <w:highlight w:val="none"/>
        </w:rPr>
      </w:pPr>
      <w:r>
        <w:rPr>
          <w:rFonts w:hint="eastAsia" w:asciiTheme="majorEastAsia" w:hAnsiTheme="majorEastAsia" w:eastAsiaTheme="majorEastAsia" w:cstheme="majorEastAsia"/>
          <w:b/>
          <w:bCs/>
          <w:color w:val="auto"/>
          <w:sz w:val="32"/>
          <w:szCs w:val="32"/>
          <w:highlight w:val="none"/>
        </w:rPr>
        <w:t>磋商函（格式）</w:t>
      </w:r>
    </w:p>
    <w:p w14:paraId="0C33745D">
      <w:pPr>
        <w:pStyle w:val="3"/>
        <w:jc w:val="both"/>
        <w:rPr>
          <w:rFonts w:hint="eastAsia" w:asciiTheme="majorEastAsia" w:hAnsiTheme="majorEastAsia" w:eastAsiaTheme="majorEastAsia" w:cstheme="majorEastAsia"/>
          <w:color w:val="auto"/>
          <w:highlight w:val="none"/>
        </w:rPr>
      </w:pPr>
    </w:p>
    <w:p w14:paraId="2D03C95C">
      <w:pPr>
        <w:spacing w:line="360" w:lineRule="auto"/>
        <w:contextualSpacing/>
        <w:rPr>
          <w:rFonts w:hint="eastAsia" w:ascii="宋体" w:hAnsi="宋体" w:cs="宋体"/>
          <w:color w:val="auto"/>
          <w:sz w:val="22"/>
          <w:szCs w:val="22"/>
          <w:highlight w:val="none"/>
        </w:rPr>
      </w:pPr>
      <w:r>
        <w:rPr>
          <w:rFonts w:hint="eastAsia" w:ascii="宋体" w:hAnsi="宋体" w:cs="宋体"/>
          <w:color w:val="auto"/>
          <w:sz w:val="22"/>
          <w:szCs w:val="22"/>
          <w:highlight w:val="none"/>
        </w:rPr>
        <w:t>致：</w:t>
      </w:r>
      <w:r>
        <w:rPr>
          <w:rFonts w:hint="eastAsia" w:ascii="宋体" w:hAnsi="宋体" w:cs="宋体"/>
          <w:color w:val="auto"/>
          <w:sz w:val="22"/>
          <w:szCs w:val="22"/>
          <w:highlight w:val="none"/>
          <w:u w:val="single"/>
        </w:rPr>
        <w:t>（采购人名称）</w:t>
      </w:r>
    </w:p>
    <w:p w14:paraId="0550A365">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1、根据你方项目编号为</w:t>
      </w:r>
      <w:r>
        <w:rPr>
          <w:rFonts w:hint="eastAsia" w:asciiTheme="majorEastAsia" w:hAnsiTheme="majorEastAsia" w:eastAsiaTheme="majorEastAsia" w:cstheme="majorEastAsia"/>
          <w:color w:val="auto"/>
          <w:highlight w:val="none"/>
          <w:u w:val="single"/>
        </w:rPr>
        <w:t xml:space="preserve">    （项目编号）   </w:t>
      </w:r>
      <w:r>
        <w:rPr>
          <w:rFonts w:hint="eastAsia" w:asciiTheme="majorEastAsia" w:hAnsiTheme="majorEastAsia" w:eastAsiaTheme="majorEastAsia" w:cstheme="majorEastAsia"/>
          <w:color w:val="auto"/>
          <w:highlight w:val="none"/>
        </w:rPr>
        <w:t>的</w:t>
      </w:r>
      <w:r>
        <w:rPr>
          <w:rFonts w:hint="eastAsia" w:asciiTheme="majorEastAsia" w:hAnsiTheme="majorEastAsia" w:eastAsiaTheme="majorEastAsia" w:cstheme="majorEastAsia"/>
          <w:color w:val="auto"/>
          <w:highlight w:val="none"/>
          <w:u w:val="single"/>
        </w:rPr>
        <w:t xml:space="preserve">   （项目名称）   </w:t>
      </w:r>
      <w:r>
        <w:rPr>
          <w:rFonts w:hint="eastAsia" w:asciiTheme="majorEastAsia" w:hAnsiTheme="majorEastAsia" w:eastAsiaTheme="majorEastAsia" w:cstheme="majorEastAsia"/>
          <w:color w:val="auto"/>
          <w:highlight w:val="none"/>
        </w:rPr>
        <w:t>工程竞争性磋商文件，遵照《中华人民共和国政府采购法》、《中华人民共和国政府采购法实施条例》、《政府采购竞争性磋商采购方式管理暂行办法》等有关规定，经研究上述竞争性磋商文件的磋商须知、合同条款、图纸和工程量清单及其他有关文件后，我方愿以人民币（大 写：</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w:t>
      </w:r>
      <w:r>
        <w:rPr>
          <w:rFonts w:hint="eastAsia" w:asciiTheme="majorEastAsia" w:hAnsiTheme="majorEastAsia" w:eastAsiaTheme="majorEastAsia" w:cstheme="majorEastAsia"/>
          <w:color w:val="auto"/>
          <w:highlight w:val="none"/>
          <w:u w:val="single"/>
        </w:rPr>
        <w:t>（</w:t>
      </w:r>
      <w:r>
        <w:rPr>
          <w:rFonts w:ascii="Arial" w:hAnsi="Arial" w:cs="Arial" w:eastAsiaTheme="majorEastAsia"/>
          <w:color w:val="auto"/>
          <w:highlight w:val="none"/>
          <w:u w:val="single"/>
        </w:rPr>
        <w:t>¥</w:t>
      </w:r>
      <w:r>
        <w:rPr>
          <w:rFonts w:hint="eastAsia" w:asciiTheme="majorEastAsia" w:hAnsiTheme="majorEastAsia" w:eastAsiaTheme="majorEastAsia" w:cstheme="majorEastAsia"/>
          <w:color w:val="auto"/>
          <w:highlight w:val="none"/>
          <w:u w:val="single"/>
        </w:rPr>
        <w:t xml:space="preserve">         元）</w:t>
      </w:r>
      <w:r>
        <w:rPr>
          <w:rFonts w:hint="eastAsia" w:asciiTheme="majorEastAsia" w:hAnsiTheme="majorEastAsia" w:eastAsiaTheme="majorEastAsia" w:cstheme="majorEastAsia"/>
          <w:color w:val="auto"/>
          <w:highlight w:val="none"/>
        </w:rPr>
        <w:t>的磋商报价并按上述图纸、合同条款和工程量清单（如有时）的条件要求承包上述工程的施工、竣工，并承担任何质量缺陷保修责任。我方保证工程质量达到</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等级。</w:t>
      </w:r>
    </w:p>
    <w:p w14:paraId="01990C6C">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2、我方已详细审核全部竞争性磋商文件，包括修改文件（如有时）及有关附件。</w:t>
      </w:r>
    </w:p>
    <w:p w14:paraId="677E3D96">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3、我方承认磋商函附录是我方磋商函的组成部分。</w:t>
      </w:r>
    </w:p>
    <w:p w14:paraId="710D7FBA">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4、我方承诺已经具备《中华人民共和国政府采购法》中规定的参加招标投标采购活动的供应商应当具备的条件：</w:t>
      </w:r>
    </w:p>
    <w:p w14:paraId="2DE9FEE1">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（1）具有独立承担民事责任的能力；</w:t>
      </w:r>
    </w:p>
    <w:p w14:paraId="04E3BE68">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（2）具有良好的商业信誉和健全的财务会计制度；</w:t>
      </w:r>
    </w:p>
    <w:p w14:paraId="300C45E4">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（3）具有履行合同所必需的设备和专业技术能力；</w:t>
      </w:r>
    </w:p>
    <w:p w14:paraId="61E218D0">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（4）有依法缴纳税收和社会保障资金的良好记录；</w:t>
      </w:r>
    </w:p>
    <w:p w14:paraId="39DECD5D">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（5）参加招标投标采购活动前三年内，在经营活动中没有重大违法记录；</w:t>
      </w:r>
    </w:p>
    <w:p w14:paraId="33792E8B">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（6）法律、行政法规规定的其他条件。</w:t>
      </w:r>
    </w:p>
    <w:p w14:paraId="4AFB6875">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5、一旦我方成交，我方保证按合同书中规定的工期</w:t>
      </w:r>
      <w:r>
        <w:rPr>
          <w:rFonts w:hint="eastAsia" w:asciiTheme="majorEastAsia" w:hAnsiTheme="majorEastAsia" w:eastAsiaTheme="majorEastAsia" w:cstheme="majorEastAsia"/>
          <w:color w:val="auto"/>
          <w:highlight w:val="none"/>
          <w:u w:val="single"/>
        </w:rPr>
        <w:t xml:space="preserve">         </w:t>
      </w:r>
      <w:r>
        <w:rPr>
          <w:rFonts w:hint="eastAsia" w:asciiTheme="majorEastAsia" w:hAnsiTheme="majorEastAsia" w:eastAsiaTheme="majorEastAsia" w:cstheme="majorEastAsia"/>
          <w:color w:val="auto"/>
          <w:highlight w:val="none"/>
        </w:rPr>
        <w:t>日历天内完成并移交全部工程。</w:t>
      </w:r>
    </w:p>
    <w:p w14:paraId="29E321CE">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6、如果我方成交，我方将按照文件规定提交履约保证金作为履约担保。</w:t>
      </w:r>
    </w:p>
    <w:p w14:paraId="09949263">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7、我方同意所提交的响应文件在竞争性磋商文件的“磋商须知”中第 11 条规定的响应文件有效期内有效，在此期间内如果成交，我方将受此约束。</w:t>
      </w:r>
    </w:p>
    <w:p w14:paraId="23C09C6F">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8、除非另外达成协议并生效，你方的成交通知书和本响应文件将成为约束双方的合同文件的组成部分。</w:t>
      </w:r>
    </w:p>
    <w:p w14:paraId="2F3E1834">
      <w:pPr>
        <w:pStyle w:val="3"/>
        <w:spacing w:line="400" w:lineRule="exact"/>
        <w:ind w:firstLine="420" w:firstLineChars="200"/>
        <w:jc w:val="both"/>
        <w:rPr>
          <w:rFonts w:hint="eastAsia" w:asciiTheme="majorEastAsia" w:hAnsiTheme="majorEastAsia" w:eastAsiaTheme="majorEastAsia" w:cstheme="majorEastAsia"/>
          <w:color w:val="auto"/>
          <w:highlight w:val="none"/>
        </w:rPr>
      </w:pPr>
    </w:p>
    <w:p w14:paraId="7C336079">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供 应 商（电子签章）：</w:t>
      </w:r>
      <w:r>
        <w:rPr>
          <w:rFonts w:hint="eastAsia" w:asciiTheme="majorEastAsia" w:hAnsiTheme="majorEastAsia" w:eastAsiaTheme="majorEastAsia" w:cstheme="majorEastAsia"/>
          <w:color w:val="auto"/>
          <w:highlight w:val="none"/>
          <w:u w:val="single"/>
        </w:rPr>
        <w:t xml:space="preserve">                 </w:t>
      </w:r>
    </w:p>
    <w:p w14:paraId="5A08FD23">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法定代表人或其委托代理人</w:t>
      </w:r>
      <w:r>
        <w:rPr>
          <w:rFonts w:hint="eastAsia" w:ascii="宋体" w:hAnsi="宋体"/>
          <w:color w:val="auto"/>
          <w:sz w:val="24"/>
          <w:highlight w:val="none"/>
        </w:rPr>
        <w:t>（签字或者电子签名）</w:t>
      </w:r>
      <w:r>
        <w:rPr>
          <w:rFonts w:hint="eastAsia" w:asciiTheme="majorEastAsia" w:hAnsiTheme="majorEastAsia" w:eastAsiaTheme="majorEastAsia" w:cstheme="majorEastAsia"/>
          <w:color w:val="auto"/>
          <w:highlight w:val="none"/>
        </w:rPr>
        <w:t xml:space="preserve">：    </w:t>
      </w:r>
    </w:p>
    <w:p w14:paraId="25E4193C">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 xml:space="preserve">单位地址：     </w:t>
      </w:r>
    </w:p>
    <w:p w14:paraId="3AA8CD64">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邮政编码：           电话：            传真：</w:t>
      </w:r>
    </w:p>
    <w:p w14:paraId="78DC50D0">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开户银行名称：</w:t>
      </w:r>
    </w:p>
    <w:p w14:paraId="37153373">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开户银行账号：</w:t>
      </w:r>
    </w:p>
    <w:p w14:paraId="43638E3B">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开户银行地址：</w:t>
      </w:r>
    </w:p>
    <w:p w14:paraId="5D5443E6">
      <w:pPr>
        <w:pStyle w:val="3"/>
        <w:spacing w:line="400" w:lineRule="exact"/>
        <w:ind w:firstLine="420" w:firstLineChars="200"/>
        <w:jc w:val="both"/>
        <w:rPr>
          <w:rFonts w:hint="eastAsia" w:asciiTheme="majorEastAsia" w:hAnsiTheme="majorEastAsia" w:eastAsiaTheme="majorEastAsia" w:cstheme="majorEastAsia"/>
          <w:color w:val="auto"/>
          <w:highlight w:val="none"/>
        </w:rPr>
      </w:pPr>
      <w:r>
        <w:rPr>
          <w:rFonts w:hint="eastAsia" w:asciiTheme="majorEastAsia" w:hAnsiTheme="majorEastAsia" w:eastAsiaTheme="majorEastAsia" w:cstheme="majorEastAsia"/>
          <w:color w:val="auto"/>
          <w:highlight w:val="none"/>
        </w:rPr>
        <w:t>日期：      年    月   日</w:t>
      </w:r>
    </w:p>
    <w:p w14:paraId="04BDBFED">
      <w:pPr>
        <w:pStyle w:val="3"/>
        <w:spacing w:line="400" w:lineRule="exact"/>
        <w:ind w:firstLine="420" w:firstLineChars="200"/>
        <w:jc w:val="both"/>
        <w:rPr>
          <w:rFonts w:hint="eastAsia" w:asciiTheme="majorEastAsia" w:hAnsiTheme="majorEastAsia" w:eastAsiaTheme="majorEastAsia" w:cstheme="majorEastAsia"/>
          <w:color w:val="auto"/>
          <w:highlight w:val="none"/>
        </w:rPr>
      </w:pPr>
    </w:p>
    <w:p w14:paraId="7E7893C0">
      <w:pPr>
        <w:pStyle w:val="3"/>
        <w:spacing w:line="360" w:lineRule="exact"/>
        <w:jc w:val="center"/>
        <w:rPr>
          <w:rFonts w:hint="eastAsia" w:asciiTheme="majorEastAsia" w:hAnsiTheme="majorEastAsia" w:eastAsiaTheme="majorEastAsia" w:cstheme="majorEastAsia"/>
          <w:b/>
          <w:bCs/>
          <w:color w:val="auto"/>
          <w:sz w:val="28"/>
          <w:szCs w:val="28"/>
          <w:highlight w:val="none"/>
        </w:rPr>
      </w:pPr>
      <w:r>
        <w:rPr>
          <w:rFonts w:hint="eastAsia" w:asciiTheme="majorEastAsia" w:hAnsiTheme="majorEastAsia" w:eastAsiaTheme="majorEastAsia" w:cstheme="majorEastAsia"/>
          <w:b/>
          <w:bCs/>
          <w:color w:val="auto"/>
          <w:sz w:val="28"/>
          <w:szCs w:val="28"/>
          <w:highlight w:val="none"/>
        </w:rPr>
        <w:t>磋商函附录（格式）</w:t>
      </w:r>
    </w:p>
    <w:p w14:paraId="72C936D7">
      <w:pPr>
        <w:pStyle w:val="3"/>
        <w:spacing w:line="360" w:lineRule="exact"/>
        <w:jc w:val="center"/>
        <w:rPr>
          <w:rFonts w:hint="eastAsia" w:asciiTheme="majorEastAsia" w:hAnsiTheme="majorEastAsia" w:eastAsiaTheme="majorEastAsia" w:cstheme="majorEastAsia"/>
          <w:b/>
          <w:bCs/>
          <w:color w:val="auto"/>
          <w:sz w:val="28"/>
          <w:szCs w:val="28"/>
          <w:highlight w:val="none"/>
        </w:rPr>
      </w:pPr>
    </w:p>
    <w:tbl>
      <w:tblPr>
        <w:tblStyle w:val="59"/>
        <w:tblW w:w="89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6"/>
        <w:gridCol w:w="3424"/>
        <w:gridCol w:w="2818"/>
        <w:gridCol w:w="1696"/>
      </w:tblGrid>
      <w:tr w14:paraId="3F1D6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5" w:hRule="atLeast"/>
        </w:trPr>
        <w:tc>
          <w:tcPr>
            <w:tcW w:w="996" w:type="dxa"/>
          </w:tcPr>
          <w:p w14:paraId="2C49CD51">
            <w:pPr>
              <w:spacing w:before="181" w:line="230" w:lineRule="auto"/>
              <w:ind w:left="292"/>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3424" w:type="dxa"/>
          </w:tcPr>
          <w:p w14:paraId="265675F8">
            <w:pPr>
              <w:spacing w:before="181" w:line="228" w:lineRule="auto"/>
              <w:ind w:left="1298"/>
              <w:rPr>
                <w:rFonts w:hint="eastAsia" w:ascii="宋体" w:hAnsi="宋体" w:cs="宋体"/>
                <w:color w:val="auto"/>
                <w:szCs w:val="21"/>
                <w:highlight w:val="none"/>
              </w:rPr>
            </w:pPr>
            <w:r>
              <w:rPr>
                <w:rFonts w:hint="eastAsia" w:ascii="宋体" w:hAnsi="宋体" w:cs="宋体"/>
                <w:color w:val="auto"/>
                <w:szCs w:val="21"/>
                <w:highlight w:val="none"/>
              </w:rPr>
              <w:t>条款内容</w:t>
            </w:r>
          </w:p>
        </w:tc>
        <w:tc>
          <w:tcPr>
            <w:tcW w:w="2818" w:type="dxa"/>
          </w:tcPr>
          <w:p w14:paraId="5DF860E4">
            <w:pPr>
              <w:spacing w:before="181" w:line="228" w:lineRule="auto"/>
              <w:ind w:left="1000"/>
              <w:rPr>
                <w:rFonts w:hint="eastAsia" w:ascii="宋体" w:hAnsi="宋体" w:cs="宋体"/>
                <w:color w:val="auto"/>
                <w:szCs w:val="21"/>
                <w:highlight w:val="none"/>
              </w:rPr>
            </w:pPr>
            <w:r>
              <w:rPr>
                <w:rFonts w:hint="eastAsia" w:ascii="宋体" w:hAnsi="宋体" w:cs="宋体"/>
                <w:color w:val="auto"/>
                <w:szCs w:val="21"/>
                <w:highlight w:val="none"/>
              </w:rPr>
              <w:t>约定内容</w:t>
            </w:r>
          </w:p>
        </w:tc>
        <w:tc>
          <w:tcPr>
            <w:tcW w:w="1696" w:type="dxa"/>
          </w:tcPr>
          <w:p w14:paraId="1CA9F4B4">
            <w:pPr>
              <w:spacing w:before="181" w:line="230" w:lineRule="auto"/>
              <w:ind w:left="646"/>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7664E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996" w:type="dxa"/>
          </w:tcPr>
          <w:p w14:paraId="667CDABC">
            <w:pPr>
              <w:spacing w:before="211" w:line="193" w:lineRule="auto"/>
              <w:ind w:left="467"/>
              <w:rPr>
                <w:rFonts w:hint="eastAsia" w:ascii="宋体" w:hAnsi="宋体" w:cs="宋体"/>
                <w:color w:val="auto"/>
                <w:szCs w:val="21"/>
                <w:highlight w:val="none"/>
              </w:rPr>
            </w:pPr>
            <w:r>
              <w:rPr>
                <w:rFonts w:hint="eastAsia" w:ascii="宋体" w:hAnsi="宋体" w:cs="宋体"/>
                <w:color w:val="auto"/>
                <w:szCs w:val="21"/>
                <w:highlight w:val="none"/>
              </w:rPr>
              <w:t>1</w:t>
            </w:r>
          </w:p>
        </w:tc>
        <w:tc>
          <w:tcPr>
            <w:tcW w:w="3424" w:type="dxa"/>
          </w:tcPr>
          <w:p w14:paraId="5EE05655">
            <w:pPr>
              <w:spacing w:before="180" w:line="229" w:lineRule="auto"/>
              <w:ind w:left="1300"/>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818" w:type="dxa"/>
          </w:tcPr>
          <w:p w14:paraId="5F5CD444">
            <w:pPr>
              <w:spacing w:before="180" w:line="228" w:lineRule="auto"/>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696" w:type="dxa"/>
          </w:tcPr>
          <w:p w14:paraId="0748294C">
            <w:pPr>
              <w:rPr>
                <w:rFonts w:hint="eastAsia" w:ascii="宋体" w:hAnsi="宋体" w:cs="宋体"/>
                <w:color w:val="auto"/>
                <w:szCs w:val="21"/>
                <w:highlight w:val="none"/>
              </w:rPr>
            </w:pPr>
          </w:p>
        </w:tc>
      </w:tr>
      <w:tr w14:paraId="6A6CF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996" w:type="dxa"/>
          </w:tcPr>
          <w:p w14:paraId="190B41FB">
            <w:pPr>
              <w:spacing w:before="211" w:line="192" w:lineRule="auto"/>
              <w:ind w:left="454"/>
              <w:rPr>
                <w:rFonts w:hint="eastAsia" w:ascii="宋体" w:hAnsi="宋体" w:cs="宋体"/>
                <w:color w:val="auto"/>
                <w:szCs w:val="21"/>
                <w:highlight w:val="none"/>
              </w:rPr>
            </w:pPr>
            <w:r>
              <w:rPr>
                <w:rFonts w:hint="eastAsia" w:ascii="宋体" w:hAnsi="宋体" w:cs="宋体"/>
                <w:color w:val="auto"/>
                <w:szCs w:val="21"/>
                <w:highlight w:val="none"/>
              </w:rPr>
              <w:t>2</w:t>
            </w:r>
          </w:p>
        </w:tc>
        <w:tc>
          <w:tcPr>
            <w:tcW w:w="3424" w:type="dxa"/>
          </w:tcPr>
          <w:p w14:paraId="5FEEF4DA">
            <w:pPr>
              <w:spacing w:before="179" w:line="228" w:lineRule="auto"/>
              <w:ind w:left="993"/>
              <w:rPr>
                <w:rFonts w:hint="eastAsia" w:ascii="宋体" w:hAnsi="宋体" w:cs="宋体"/>
                <w:color w:val="auto"/>
                <w:szCs w:val="21"/>
                <w:highlight w:val="none"/>
              </w:rPr>
            </w:pPr>
            <w:r>
              <w:rPr>
                <w:rFonts w:hint="eastAsia" w:ascii="宋体" w:hAnsi="宋体" w:cs="宋体"/>
                <w:color w:val="auto"/>
                <w:szCs w:val="21"/>
                <w:highlight w:val="none"/>
              </w:rPr>
              <w:t>响应文件有效期</w:t>
            </w:r>
          </w:p>
        </w:tc>
        <w:tc>
          <w:tcPr>
            <w:tcW w:w="2818" w:type="dxa"/>
          </w:tcPr>
          <w:p w14:paraId="6D3431A6">
            <w:pPr>
              <w:rPr>
                <w:rFonts w:hint="eastAsia" w:ascii="宋体" w:hAnsi="宋体" w:cs="宋体"/>
                <w:color w:val="auto"/>
                <w:szCs w:val="21"/>
                <w:highlight w:val="none"/>
              </w:rPr>
            </w:pPr>
          </w:p>
        </w:tc>
        <w:tc>
          <w:tcPr>
            <w:tcW w:w="1696" w:type="dxa"/>
          </w:tcPr>
          <w:p w14:paraId="0661A113">
            <w:pPr>
              <w:rPr>
                <w:rFonts w:hint="eastAsia" w:ascii="宋体" w:hAnsi="宋体" w:cs="宋体"/>
                <w:color w:val="auto"/>
                <w:szCs w:val="21"/>
                <w:highlight w:val="none"/>
              </w:rPr>
            </w:pPr>
          </w:p>
        </w:tc>
      </w:tr>
      <w:tr w14:paraId="4C18A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96" w:type="dxa"/>
          </w:tcPr>
          <w:p w14:paraId="71F6F7F6">
            <w:pPr>
              <w:spacing w:before="212" w:line="190" w:lineRule="auto"/>
              <w:ind w:left="456"/>
              <w:rPr>
                <w:rFonts w:hint="eastAsia" w:ascii="宋体" w:hAnsi="宋体" w:cs="宋体"/>
                <w:color w:val="auto"/>
                <w:szCs w:val="21"/>
                <w:highlight w:val="none"/>
              </w:rPr>
            </w:pPr>
            <w:r>
              <w:rPr>
                <w:rFonts w:hint="eastAsia" w:ascii="宋体" w:hAnsi="宋体" w:cs="宋体"/>
                <w:color w:val="auto"/>
                <w:szCs w:val="21"/>
                <w:highlight w:val="none"/>
              </w:rPr>
              <w:t>3</w:t>
            </w:r>
          </w:p>
        </w:tc>
        <w:tc>
          <w:tcPr>
            <w:tcW w:w="3424" w:type="dxa"/>
          </w:tcPr>
          <w:p w14:paraId="2A93975F">
            <w:pPr>
              <w:spacing w:before="179" w:line="229" w:lineRule="auto"/>
              <w:ind w:left="1510"/>
              <w:rPr>
                <w:rFonts w:hint="eastAsia" w:ascii="宋体" w:hAnsi="宋体" w:cs="宋体"/>
                <w:color w:val="auto"/>
                <w:szCs w:val="21"/>
                <w:highlight w:val="none"/>
              </w:rPr>
            </w:pPr>
            <w:r>
              <w:rPr>
                <w:rFonts w:hint="eastAsia" w:ascii="宋体" w:hAnsi="宋体" w:cs="宋体"/>
                <w:color w:val="auto"/>
                <w:szCs w:val="21"/>
                <w:highlight w:val="none"/>
              </w:rPr>
              <w:t>工期</w:t>
            </w:r>
          </w:p>
        </w:tc>
        <w:tc>
          <w:tcPr>
            <w:tcW w:w="2818" w:type="dxa"/>
          </w:tcPr>
          <w:p w14:paraId="7B22ECDA">
            <w:pPr>
              <w:tabs>
                <w:tab w:val="left" w:pos="1506"/>
              </w:tabs>
              <w:spacing w:before="179" w:line="229" w:lineRule="auto"/>
              <w:ind w:left="832"/>
              <w:rPr>
                <w:rFonts w:hint="eastAsia" w:ascii="宋体" w:hAnsi="宋体" w:cs="宋体"/>
                <w:color w:val="auto"/>
                <w:szCs w:val="21"/>
                <w:highlight w:val="none"/>
              </w:rPr>
            </w:pPr>
            <w:r>
              <w:rPr>
                <w:rFonts w:hint="eastAsia" w:ascii="宋体" w:hAnsi="宋体" w:cs="宋体"/>
                <w:color w:val="auto"/>
                <w:szCs w:val="21"/>
                <w:highlight w:val="none"/>
                <w:u w:val="single"/>
              </w:rPr>
              <w:tab/>
            </w:r>
            <w:r>
              <w:rPr>
                <w:rFonts w:hint="eastAsia" w:ascii="宋体" w:hAnsi="宋体" w:cs="宋体"/>
                <w:color w:val="auto"/>
                <w:szCs w:val="21"/>
                <w:highlight w:val="none"/>
              </w:rPr>
              <w:t>日历天</w:t>
            </w:r>
          </w:p>
        </w:tc>
        <w:tc>
          <w:tcPr>
            <w:tcW w:w="1696" w:type="dxa"/>
          </w:tcPr>
          <w:p w14:paraId="05E56321">
            <w:pPr>
              <w:rPr>
                <w:rFonts w:hint="eastAsia" w:ascii="宋体" w:hAnsi="宋体" w:cs="宋体"/>
                <w:color w:val="auto"/>
                <w:szCs w:val="21"/>
                <w:highlight w:val="none"/>
              </w:rPr>
            </w:pPr>
          </w:p>
        </w:tc>
      </w:tr>
      <w:tr w14:paraId="4C68B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996" w:type="dxa"/>
          </w:tcPr>
          <w:p w14:paraId="69BB35EE">
            <w:pPr>
              <w:spacing w:before="215" w:line="192" w:lineRule="auto"/>
              <w:ind w:left="451"/>
              <w:rPr>
                <w:rFonts w:hint="eastAsia" w:ascii="宋体" w:hAnsi="宋体" w:cs="宋体"/>
                <w:color w:val="auto"/>
                <w:szCs w:val="21"/>
                <w:highlight w:val="none"/>
              </w:rPr>
            </w:pPr>
            <w:r>
              <w:rPr>
                <w:rFonts w:hint="eastAsia" w:ascii="宋体" w:hAnsi="宋体" w:cs="宋体"/>
                <w:color w:val="auto"/>
                <w:szCs w:val="21"/>
                <w:highlight w:val="none"/>
              </w:rPr>
              <w:t>4</w:t>
            </w:r>
          </w:p>
        </w:tc>
        <w:tc>
          <w:tcPr>
            <w:tcW w:w="3424" w:type="dxa"/>
          </w:tcPr>
          <w:p w14:paraId="4E10E8D1">
            <w:pPr>
              <w:spacing w:before="182" w:line="229" w:lineRule="auto"/>
              <w:ind w:left="1191"/>
              <w:rPr>
                <w:rFonts w:hint="eastAsia" w:ascii="宋体" w:hAnsi="宋体" w:cs="宋体"/>
                <w:color w:val="auto"/>
                <w:szCs w:val="21"/>
                <w:highlight w:val="none"/>
              </w:rPr>
            </w:pPr>
            <w:r>
              <w:rPr>
                <w:rFonts w:hint="eastAsia" w:ascii="宋体" w:hAnsi="宋体" w:cs="宋体"/>
                <w:color w:val="auto"/>
                <w:szCs w:val="21"/>
                <w:highlight w:val="none"/>
              </w:rPr>
              <w:t>质量保证金</w:t>
            </w:r>
          </w:p>
        </w:tc>
        <w:tc>
          <w:tcPr>
            <w:tcW w:w="2818" w:type="dxa"/>
          </w:tcPr>
          <w:p w14:paraId="79C06F57">
            <w:pPr>
              <w:spacing w:before="182" w:line="227" w:lineRule="auto"/>
              <w:ind w:left="690"/>
              <w:rPr>
                <w:rFonts w:hint="eastAsia" w:ascii="宋体" w:hAnsi="宋体" w:cs="宋体"/>
                <w:color w:val="auto"/>
                <w:szCs w:val="21"/>
                <w:highlight w:val="none"/>
              </w:rPr>
            </w:pPr>
            <w:r>
              <w:rPr>
                <w:rFonts w:hint="eastAsia" w:ascii="宋体" w:hAnsi="宋体" w:cs="宋体"/>
                <w:color w:val="auto"/>
                <w:szCs w:val="21"/>
                <w:highlight w:val="none"/>
              </w:rPr>
              <w:t>结算价的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tc>
        <w:tc>
          <w:tcPr>
            <w:tcW w:w="1696" w:type="dxa"/>
          </w:tcPr>
          <w:p w14:paraId="667C5F81">
            <w:pPr>
              <w:rPr>
                <w:rFonts w:hint="eastAsia" w:ascii="宋体" w:hAnsi="宋体" w:cs="宋体"/>
                <w:color w:val="auto"/>
                <w:szCs w:val="21"/>
                <w:highlight w:val="none"/>
              </w:rPr>
            </w:pPr>
          </w:p>
        </w:tc>
      </w:tr>
      <w:tr w14:paraId="7C3C90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96" w:type="dxa"/>
          </w:tcPr>
          <w:p w14:paraId="69590255">
            <w:pPr>
              <w:spacing w:before="215" w:line="189" w:lineRule="auto"/>
              <w:ind w:left="456"/>
              <w:rPr>
                <w:rFonts w:hint="eastAsia" w:ascii="宋体" w:hAnsi="宋体" w:cs="宋体"/>
                <w:color w:val="auto"/>
                <w:szCs w:val="21"/>
                <w:highlight w:val="none"/>
              </w:rPr>
            </w:pPr>
            <w:r>
              <w:rPr>
                <w:rFonts w:hint="eastAsia" w:ascii="宋体" w:hAnsi="宋体" w:cs="宋体"/>
                <w:color w:val="auto"/>
                <w:szCs w:val="21"/>
                <w:highlight w:val="none"/>
              </w:rPr>
              <w:t>5</w:t>
            </w:r>
          </w:p>
        </w:tc>
        <w:tc>
          <w:tcPr>
            <w:tcW w:w="3424" w:type="dxa"/>
          </w:tcPr>
          <w:p w14:paraId="16BB74D6">
            <w:pPr>
              <w:spacing w:before="181" w:line="229" w:lineRule="auto"/>
              <w:ind w:left="1297"/>
              <w:rPr>
                <w:rFonts w:hint="eastAsia" w:ascii="宋体" w:hAnsi="宋体" w:cs="宋体"/>
                <w:color w:val="auto"/>
                <w:szCs w:val="21"/>
                <w:highlight w:val="none"/>
              </w:rPr>
            </w:pPr>
            <w:r>
              <w:rPr>
                <w:rFonts w:hint="eastAsia" w:ascii="宋体" w:hAnsi="宋体" w:cs="宋体"/>
                <w:color w:val="auto"/>
                <w:szCs w:val="21"/>
                <w:highlight w:val="none"/>
              </w:rPr>
              <w:t>质量标准</w:t>
            </w:r>
          </w:p>
        </w:tc>
        <w:tc>
          <w:tcPr>
            <w:tcW w:w="2818" w:type="dxa"/>
          </w:tcPr>
          <w:p w14:paraId="307DF62F">
            <w:pPr>
              <w:rPr>
                <w:rFonts w:hint="eastAsia" w:ascii="宋体" w:hAnsi="宋体" w:cs="宋体"/>
                <w:color w:val="auto"/>
                <w:szCs w:val="21"/>
                <w:highlight w:val="none"/>
              </w:rPr>
            </w:pPr>
          </w:p>
        </w:tc>
        <w:tc>
          <w:tcPr>
            <w:tcW w:w="1696" w:type="dxa"/>
          </w:tcPr>
          <w:p w14:paraId="6B5A24A4">
            <w:pPr>
              <w:rPr>
                <w:rFonts w:hint="eastAsia" w:ascii="宋体" w:hAnsi="宋体" w:cs="宋体"/>
                <w:color w:val="auto"/>
                <w:szCs w:val="21"/>
                <w:highlight w:val="none"/>
              </w:rPr>
            </w:pPr>
          </w:p>
        </w:tc>
      </w:tr>
      <w:tr w14:paraId="0D627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96" w:type="dxa"/>
          </w:tcPr>
          <w:p w14:paraId="3A90BCEC">
            <w:pPr>
              <w:spacing w:before="215" w:line="189" w:lineRule="auto"/>
              <w:ind w:left="456"/>
              <w:rPr>
                <w:rFonts w:hint="eastAsia" w:ascii="宋体" w:hAnsi="宋体" w:cs="宋体"/>
                <w:color w:val="auto"/>
                <w:szCs w:val="21"/>
                <w:highlight w:val="none"/>
              </w:rPr>
            </w:pPr>
            <w:r>
              <w:rPr>
                <w:rFonts w:hint="eastAsia" w:ascii="宋体" w:hAnsi="宋体" w:cs="宋体"/>
                <w:color w:val="auto"/>
                <w:szCs w:val="21"/>
                <w:highlight w:val="none"/>
              </w:rPr>
              <w:t>6</w:t>
            </w:r>
          </w:p>
        </w:tc>
        <w:tc>
          <w:tcPr>
            <w:tcW w:w="3424" w:type="dxa"/>
          </w:tcPr>
          <w:p w14:paraId="5DAC8811">
            <w:pPr>
              <w:spacing w:before="181" w:line="229" w:lineRule="auto"/>
              <w:ind w:left="1297"/>
              <w:rPr>
                <w:rFonts w:hint="eastAsia" w:ascii="宋体" w:hAnsi="宋体" w:cs="宋体"/>
                <w:color w:val="auto"/>
                <w:szCs w:val="21"/>
                <w:highlight w:val="none"/>
              </w:rPr>
            </w:pPr>
            <w:r>
              <w:rPr>
                <w:rFonts w:hint="eastAsia" w:ascii="宋体" w:hAnsi="宋体" w:cs="宋体"/>
                <w:color w:val="auto"/>
                <w:szCs w:val="21"/>
                <w:highlight w:val="none"/>
              </w:rPr>
              <w:t>付款方式</w:t>
            </w:r>
          </w:p>
        </w:tc>
        <w:tc>
          <w:tcPr>
            <w:tcW w:w="2818" w:type="dxa"/>
          </w:tcPr>
          <w:p w14:paraId="3EECE851">
            <w:pPr>
              <w:rPr>
                <w:rFonts w:hint="eastAsia" w:ascii="宋体" w:hAnsi="宋体" w:cs="宋体"/>
                <w:color w:val="auto"/>
                <w:szCs w:val="21"/>
                <w:highlight w:val="none"/>
              </w:rPr>
            </w:pPr>
          </w:p>
        </w:tc>
        <w:tc>
          <w:tcPr>
            <w:tcW w:w="1696" w:type="dxa"/>
          </w:tcPr>
          <w:p w14:paraId="219933BC">
            <w:pPr>
              <w:rPr>
                <w:rFonts w:hint="eastAsia" w:ascii="宋体" w:hAnsi="宋体" w:cs="宋体"/>
                <w:color w:val="auto"/>
                <w:szCs w:val="21"/>
                <w:highlight w:val="none"/>
              </w:rPr>
            </w:pPr>
          </w:p>
        </w:tc>
      </w:tr>
      <w:tr w14:paraId="27714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96" w:type="dxa"/>
          </w:tcPr>
          <w:p w14:paraId="14AE58DA">
            <w:pPr>
              <w:spacing w:before="181" w:line="325" w:lineRule="exact"/>
              <w:ind w:left="306"/>
              <w:rPr>
                <w:rFonts w:hint="eastAsia" w:ascii="宋体" w:hAnsi="宋体" w:cs="宋体"/>
                <w:color w:val="auto"/>
                <w:szCs w:val="21"/>
                <w:highlight w:val="none"/>
              </w:rPr>
            </w:pPr>
            <w:r>
              <w:rPr>
                <w:rFonts w:hint="eastAsia" w:ascii="宋体" w:hAnsi="宋体" w:cs="宋体"/>
                <w:color w:val="auto"/>
                <w:szCs w:val="21"/>
                <w:highlight w:val="none"/>
              </w:rPr>
              <w:t>……</w:t>
            </w:r>
          </w:p>
        </w:tc>
        <w:tc>
          <w:tcPr>
            <w:tcW w:w="3424" w:type="dxa"/>
          </w:tcPr>
          <w:p w14:paraId="7F93667A">
            <w:pPr>
              <w:spacing w:before="181" w:line="325" w:lineRule="exact"/>
              <w:ind w:left="1521"/>
              <w:rPr>
                <w:rFonts w:hint="eastAsia" w:ascii="宋体" w:hAnsi="宋体" w:cs="宋体"/>
                <w:color w:val="auto"/>
                <w:szCs w:val="21"/>
                <w:highlight w:val="none"/>
              </w:rPr>
            </w:pPr>
            <w:r>
              <w:rPr>
                <w:rFonts w:hint="eastAsia" w:ascii="宋体" w:hAnsi="宋体" w:cs="宋体"/>
                <w:color w:val="auto"/>
                <w:szCs w:val="21"/>
                <w:highlight w:val="none"/>
              </w:rPr>
              <w:t>……</w:t>
            </w:r>
          </w:p>
        </w:tc>
        <w:tc>
          <w:tcPr>
            <w:tcW w:w="2818" w:type="dxa"/>
          </w:tcPr>
          <w:p w14:paraId="54CF5ADE">
            <w:pPr>
              <w:rPr>
                <w:rFonts w:hint="eastAsia" w:ascii="宋体" w:hAnsi="宋体" w:cs="宋体"/>
                <w:color w:val="auto"/>
                <w:szCs w:val="21"/>
                <w:highlight w:val="none"/>
              </w:rPr>
            </w:pPr>
          </w:p>
        </w:tc>
        <w:tc>
          <w:tcPr>
            <w:tcW w:w="1696" w:type="dxa"/>
          </w:tcPr>
          <w:p w14:paraId="31DDDCED">
            <w:pPr>
              <w:rPr>
                <w:rFonts w:hint="eastAsia" w:ascii="宋体" w:hAnsi="宋体" w:cs="宋体"/>
                <w:color w:val="auto"/>
                <w:szCs w:val="21"/>
                <w:highlight w:val="none"/>
              </w:rPr>
            </w:pPr>
          </w:p>
        </w:tc>
      </w:tr>
      <w:tr w14:paraId="70E6F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8934" w:type="dxa"/>
            <w:gridSpan w:val="4"/>
          </w:tcPr>
          <w:p w14:paraId="3FD531DE">
            <w:pPr>
              <w:spacing w:line="400" w:lineRule="exact"/>
              <w:ind w:left="119" w:right="102" w:firstLine="6"/>
              <w:rPr>
                <w:rFonts w:hint="eastAsia" w:ascii="宋体" w:hAnsi="宋体" w:cs="宋体"/>
                <w:color w:val="auto"/>
                <w:szCs w:val="21"/>
                <w:highlight w:val="none"/>
              </w:rPr>
            </w:pPr>
            <w:r>
              <w:rPr>
                <w:rFonts w:hint="eastAsia" w:ascii="宋体" w:hAnsi="宋体" w:cs="宋体"/>
                <w:color w:val="auto"/>
                <w:szCs w:val="21"/>
                <w:highlight w:val="none"/>
              </w:rPr>
              <w:t>备注：供应商在响应竞争性磋商文件中规定的实质性要求和条件的基础上，可做出其他有利于采购单位的承诺。此类承诺可在本表中予以补充填写。</w:t>
            </w:r>
          </w:p>
        </w:tc>
      </w:tr>
    </w:tbl>
    <w:p w14:paraId="67B97700">
      <w:pPr>
        <w:pStyle w:val="3"/>
        <w:spacing w:line="360" w:lineRule="exact"/>
        <w:ind w:firstLine="482" w:firstLineChars="200"/>
        <w:jc w:val="both"/>
        <w:rPr>
          <w:rFonts w:hint="eastAsia" w:asciiTheme="majorEastAsia" w:hAnsiTheme="majorEastAsia" w:eastAsiaTheme="majorEastAsia" w:cstheme="majorEastAsia"/>
          <w:b/>
          <w:bCs/>
          <w:color w:val="auto"/>
          <w:sz w:val="24"/>
          <w:szCs w:val="32"/>
          <w:highlight w:val="none"/>
        </w:rPr>
      </w:pPr>
    </w:p>
    <w:p w14:paraId="51172745">
      <w:pPr>
        <w:spacing w:line="360" w:lineRule="auto"/>
        <w:ind w:right="480"/>
        <w:contextualSpacing/>
        <w:jc w:val="center"/>
        <w:rPr>
          <w:rFonts w:hint="eastAsia" w:ascii="宋体" w:hAnsi="宋体"/>
          <w:color w:val="auto"/>
          <w:sz w:val="24"/>
          <w:highlight w:val="none"/>
          <w:u w:val="single"/>
        </w:rPr>
      </w:pPr>
      <w:r>
        <w:rPr>
          <w:rFonts w:hint="eastAsia" w:ascii="宋体" w:hAnsi="宋体"/>
          <w:color w:val="auto"/>
          <w:sz w:val="24"/>
          <w:highlight w:val="none"/>
        </w:rPr>
        <w:t xml:space="preserve"> </w:t>
      </w:r>
      <w:r>
        <w:rPr>
          <w:rFonts w:ascii="宋体" w:hAnsi="宋体"/>
          <w:color w:val="auto"/>
          <w:sz w:val="24"/>
          <w:highlight w:val="none"/>
        </w:rPr>
        <w:t xml:space="preserve">             </w:t>
      </w:r>
      <w:r>
        <w:rPr>
          <w:rFonts w:hint="eastAsia" w:ascii="宋体" w:hAnsi="宋体"/>
          <w:color w:val="auto"/>
          <w:sz w:val="24"/>
          <w:highlight w:val="none"/>
        </w:rPr>
        <w:t>法定代表人或者委托代理人（签字或者电子签名）：</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004A6DF8">
      <w:pPr>
        <w:spacing w:line="360" w:lineRule="auto"/>
        <w:ind w:right="480" w:firstLine="3360" w:firstLineChars="1400"/>
        <w:contextualSpacing/>
        <w:rPr>
          <w:rFonts w:hint="eastAsia" w:ascii="宋体" w:hAnsi="宋体"/>
          <w:color w:val="auto"/>
          <w:sz w:val="24"/>
          <w:highlight w:val="none"/>
        </w:rPr>
      </w:pPr>
      <w:r>
        <w:rPr>
          <w:rFonts w:hint="eastAsia" w:ascii="宋体" w:hAnsi="宋体"/>
          <w:color w:val="auto"/>
          <w:sz w:val="24"/>
          <w:highlight w:val="none"/>
        </w:rPr>
        <w:t>供应商（电子签章）：</w:t>
      </w:r>
      <w:r>
        <w:rPr>
          <w:rFonts w:hint="eastAsia" w:ascii="宋体" w:hAnsi="宋体"/>
          <w:color w:val="auto"/>
          <w:sz w:val="24"/>
          <w:highlight w:val="none"/>
          <w:u w:val="single"/>
        </w:rPr>
        <w:t xml:space="preserve">                </w:t>
      </w:r>
    </w:p>
    <w:p w14:paraId="426965C9">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 xml:space="preserve">                                        年    月    日</w:t>
      </w:r>
    </w:p>
    <w:p w14:paraId="6072ADAE">
      <w:pPr>
        <w:pStyle w:val="3"/>
        <w:spacing w:line="360" w:lineRule="auto"/>
        <w:jc w:val="both"/>
        <w:rPr>
          <w:rFonts w:hint="eastAsia" w:asciiTheme="majorEastAsia" w:hAnsiTheme="majorEastAsia" w:eastAsiaTheme="majorEastAsia" w:cstheme="majorEastAsia"/>
          <w:b/>
          <w:bCs/>
          <w:color w:val="auto"/>
          <w:sz w:val="32"/>
          <w:szCs w:val="40"/>
          <w:highlight w:val="none"/>
        </w:rPr>
      </w:pPr>
    </w:p>
    <w:p w14:paraId="2A7DD663">
      <w:pPr>
        <w:pStyle w:val="3"/>
        <w:spacing w:line="360" w:lineRule="auto"/>
        <w:jc w:val="both"/>
        <w:rPr>
          <w:rFonts w:hint="eastAsia" w:asciiTheme="majorEastAsia" w:hAnsiTheme="majorEastAsia" w:eastAsiaTheme="majorEastAsia" w:cstheme="majorEastAsia"/>
          <w:b/>
          <w:bCs/>
          <w:color w:val="auto"/>
          <w:sz w:val="32"/>
          <w:szCs w:val="40"/>
          <w:highlight w:val="none"/>
        </w:rPr>
      </w:pPr>
    </w:p>
    <w:p w14:paraId="38965634">
      <w:pPr>
        <w:pStyle w:val="3"/>
        <w:spacing w:line="360" w:lineRule="auto"/>
        <w:jc w:val="both"/>
        <w:rPr>
          <w:rFonts w:hint="eastAsia" w:asciiTheme="majorEastAsia" w:hAnsiTheme="majorEastAsia" w:eastAsiaTheme="majorEastAsia" w:cstheme="majorEastAsia"/>
          <w:b/>
          <w:bCs/>
          <w:color w:val="auto"/>
          <w:sz w:val="32"/>
          <w:szCs w:val="40"/>
          <w:highlight w:val="none"/>
        </w:rPr>
      </w:pPr>
    </w:p>
    <w:p w14:paraId="7A75D23E">
      <w:pPr>
        <w:pStyle w:val="3"/>
        <w:spacing w:line="360" w:lineRule="auto"/>
        <w:jc w:val="both"/>
        <w:rPr>
          <w:rFonts w:hint="eastAsia" w:asciiTheme="majorEastAsia" w:hAnsiTheme="majorEastAsia" w:eastAsiaTheme="majorEastAsia" w:cstheme="majorEastAsia"/>
          <w:b/>
          <w:bCs/>
          <w:color w:val="auto"/>
          <w:sz w:val="32"/>
          <w:szCs w:val="40"/>
          <w:highlight w:val="none"/>
        </w:rPr>
      </w:pPr>
    </w:p>
    <w:p w14:paraId="150F8E0F">
      <w:pPr>
        <w:pStyle w:val="3"/>
        <w:spacing w:line="360" w:lineRule="auto"/>
        <w:jc w:val="both"/>
        <w:rPr>
          <w:rFonts w:hint="eastAsia" w:asciiTheme="majorEastAsia" w:hAnsiTheme="majorEastAsia" w:eastAsiaTheme="majorEastAsia" w:cstheme="majorEastAsia"/>
          <w:b/>
          <w:bCs/>
          <w:color w:val="auto"/>
          <w:sz w:val="32"/>
          <w:szCs w:val="40"/>
          <w:highlight w:val="none"/>
        </w:rPr>
      </w:pPr>
    </w:p>
    <w:p w14:paraId="10C9A0E8">
      <w:pPr>
        <w:pStyle w:val="3"/>
        <w:spacing w:line="360" w:lineRule="auto"/>
        <w:jc w:val="both"/>
        <w:rPr>
          <w:rFonts w:hint="eastAsia" w:asciiTheme="majorEastAsia" w:hAnsiTheme="majorEastAsia" w:eastAsiaTheme="majorEastAsia" w:cstheme="majorEastAsia"/>
          <w:b/>
          <w:bCs/>
          <w:color w:val="auto"/>
          <w:sz w:val="32"/>
          <w:szCs w:val="40"/>
          <w:highlight w:val="none"/>
        </w:rPr>
      </w:pPr>
    </w:p>
    <w:p w14:paraId="222E9463">
      <w:pPr>
        <w:pStyle w:val="3"/>
        <w:spacing w:line="360" w:lineRule="auto"/>
        <w:jc w:val="both"/>
        <w:rPr>
          <w:rFonts w:hint="eastAsia" w:asciiTheme="majorEastAsia" w:hAnsiTheme="majorEastAsia" w:eastAsiaTheme="majorEastAsia" w:cstheme="majorEastAsia"/>
          <w:b/>
          <w:bCs/>
          <w:color w:val="auto"/>
          <w:sz w:val="32"/>
          <w:szCs w:val="40"/>
          <w:highlight w:val="none"/>
        </w:rPr>
      </w:pPr>
    </w:p>
    <w:p w14:paraId="6FFF64F7">
      <w:pPr>
        <w:pStyle w:val="3"/>
        <w:spacing w:line="360" w:lineRule="auto"/>
        <w:jc w:val="both"/>
        <w:rPr>
          <w:rFonts w:hint="eastAsia" w:asciiTheme="majorEastAsia" w:hAnsiTheme="majorEastAsia" w:eastAsiaTheme="majorEastAsia" w:cstheme="majorEastAsia"/>
          <w:b/>
          <w:bCs/>
          <w:color w:val="auto"/>
          <w:sz w:val="32"/>
          <w:szCs w:val="40"/>
          <w:highlight w:val="none"/>
        </w:rPr>
      </w:pPr>
    </w:p>
    <w:p w14:paraId="33D1511E">
      <w:pPr>
        <w:pStyle w:val="3"/>
        <w:spacing w:line="360" w:lineRule="auto"/>
        <w:jc w:val="both"/>
        <w:rPr>
          <w:rFonts w:hint="eastAsia" w:asciiTheme="majorEastAsia" w:hAnsiTheme="majorEastAsia" w:eastAsiaTheme="majorEastAsia" w:cstheme="majorEastAsia"/>
          <w:b/>
          <w:bCs/>
          <w:color w:val="auto"/>
          <w:sz w:val="32"/>
          <w:szCs w:val="40"/>
          <w:highlight w:val="none"/>
        </w:rPr>
      </w:pPr>
    </w:p>
    <w:p w14:paraId="0021A945">
      <w:pPr>
        <w:pStyle w:val="3"/>
        <w:spacing w:line="360" w:lineRule="auto"/>
        <w:jc w:val="both"/>
        <w:rPr>
          <w:rFonts w:hint="eastAsia" w:ascii="宋体" w:hAnsi="宋体" w:eastAsia="宋体" w:cs="方正小标宋简体"/>
          <w:b/>
          <w:bCs/>
          <w:color w:val="auto"/>
          <w:kern w:val="2"/>
          <w:sz w:val="32"/>
          <w:szCs w:val="32"/>
          <w:highlight w:val="none"/>
        </w:rPr>
      </w:pPr>
    </w:p>
    <w:p w14:paraId="2667667A">
      <w:pPr>
        <w:spacing w:line="360" w:lineRule="auto"/>
        <w:jc w:val="center"/>
        <w:rPr>
          <w:rFonts w:hint="eastAsia" w:ascii="宋体" w:hAnsi="宋体" w:cs="方正小标宋简体"/>
          <w:b/>
          <w:bCs/>
          <w:color w:val="auto"/>
          <w:sz w:val="32"/>
          <w:szCs w:val="32"/>
          <w:highlight w:val="none"/>
        </w:rPr>
      </w:pPr>
      <w:r>
        <w:rPr>
          <w:rFonts w:hint="eastAsia" w:ascii="宋体" w:hAnsi="宋体" w:cs="方正小标宋简体"/>
          <w:b/>
          <w:bCs/>
          <w:color w:val="auto"/>
          <w:sz w:val="32"/>
          <w:szCs w:val="32"/>
          <w:highlight w:val="none"/>
        </w:rPr>
        <w:t>竞标报价表（格式）</w:t>
      </w:r>
    </w:p>
    <w:p w14:paraId="67D328D1">
      <w:pPr>
        <w:spacing w:line="440" w:lineRule="exact"/>
        <w:jc w:val="center"/>
        <w:rPr>
          <w:rFonts w:hint="eastAsia" w:ascii="方正小标宋简体" w:hAnsi="方正小标宋简体" w:eastAsia="方正小标宋简体" w:cs="方正小标宋简体"/>
          <w:bCs/>
          <w:color w:val="auto"/>
          <w:sz w:val="32"/>
          <w:szCs w:val="32"/>
          <w:highlight w:val="none"/>
        </w:rPr>
      </w:pPr>
    </w:p>
    <w:p w14:paraId="2AD1C1A1">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单位：元</w:t>
      </w:r>
    </w:p>
    <w:tbl>
      <w:tblPr>
        <w:tblStyle w:val="31"/>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1505"/>
        <w:gridCol w:w="3107"/>
        <w:gridCol w:w="1184"/>
      </w:tblGrid>
      <w:tr w14:paraId="432F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4BFDFFF3">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序号</w:t>
            </w:r>
          </w:p>
        </w:tc>
        <w:tc>
          <w:tcPr>
            <w:tcW w:w="2712" w:type="dxa"/>
            <w:tcBorders>
              <w:top w:val="single" w:color="auto" w:sz="4" w:space="0"/>
              <w:left w:val="single" w:color="auto" w:sz="4" w:space="0"/>
              <w:bottom w:val="single" w:color="auto" w:sz="4" w:space="0"/>
              <w:right w:val="single" w:color="auto" w:sz="4" w:space="0"/>
            </w:tcBorders>
            <w:vAlign w:val="center"/>
          </w:tcPr>
          <w:p w14:paraId="6A50EB89">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标的</w:t>
            </w:r>
            <w:r>
              <w:rPr>
                <w:rFonts w:ascii="宋体" w:hAnsi="宋体" w:cs="仿宋_GB2312"/>
                <w:color w:val="auto"/>
                <w:sz w:val="24"/>
                <w:highlight w:val="none"/>
              </w:rPr>
              <w:t>名称</w:t>
            </w:r>
          </w:p>
        </w:tc>
        <w:tc>
          <w:tcPr>
            <w:tcW w:w="1505" w:type="dxa"/>
            <w:tcBorders>
              <w:top w:val="single" w:color="auto" w:sz="4" w:space="0"/>
              <w:left w:val="single" w:color="auto" w:sz="4" w:space="0"/>
              <w:bottom w:val="single" w:color="auto" w:sz="4" w:space="0"/>
              <w:right w:val="single" w:color="auto" w:sz="4" w:space="0"/>
            </w:tcBorders>
            <w:vAlign w:val="center"/>
          </w:tcPr>
          <w:p w14:paraId="3D68D3F1">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数量及单位</w:t>
            </w:r>
          </w:p>
        </w:tc>
        <w:tc>
          <w:tcPr>
            <w:tcW w:w="3107" w:type="dxa"/>
            <w:tcBorders>
              <w:top w:val="single" w:color="auto" w:sz="4" w:space="0"/>
              <w:left w:val="single" w:color="auto" w:sz="4" w:space="0"/>
              <w:bottom w:val="single" w:color="auto" w:sz="4" w:space="0"/>
              <w:right w:val="single" w:color="auto" w:sz="4" w:space="0"/>
            </w:tcBorders>
            <w:vAlign w:val="center"/>
          </w:tcPr>
          <w:p w14:paraId="799790F9">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竞标报价（元）</w:t>
            </w:r>
          </w:p>
        </w:tc>
        <w:tc>
          <w:tcPr>
            <w:tcW w:w="1184" w:type="dxa"/>
            <w:tcBorders>
              <w:top w:val="single" w:color="auto" w:sz="4" w:space="0"/>
              <w:left w:val="single" w:color="auto" w:sz="4" w:space="0"/>
              <w:bottom w:val="single" w:color="auto" w:sz="4" w:space="0"/>
              <w:right w:val="single" w:color="auto" w:sz="4" w:space="0"/>
            </w:tcBorders>
            <w:vAlign w:val="center"/>
          </w:tcPr>
          <w:p w14:paraId="46A1AB26">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备注</w:t>
            </w:r>
          </w:p>
        </w:tc>
      </w:tr>
      <w:tr w14:paraId="72EDD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17F43F22">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1</w:t>
            </w:r>
          </w:p>
        </w:tc>
        <w:tc>
          <w:tcPr>
            <w:tcW w:w="2712" w:type="dxa"/>
            <w:tcBorders>
              <w:top w:val="single" w:color="auto" w:sz="4" w:space="0"/>
              <w:left w:val="single" w:color="auto" w:sz="4" w:space="0"/>
              <w:bottom w:val="single" w:color="auto" w:sz="4" w:space="0"/>
              <w:right w:val="single" w:color="auto" w:sz="4" w:space="0"/>
            </w:tcBorders>
            <w:vAlign w:val="center"/>
          </w:tcPr>
          <w:p w14:paraId="1026AD2F">
            <w:pPr>
              <w:spacing w:line="360" w:lineRule="auto"/>
              <w:contextualSpacing/>
              <w:jc w:val="center"/>
              <w:rPr>
                <w:rFonts w:hint="eastAsia" w:ascii="宋体" w:hAnsi="宋体" w:cs="仿宋_GB2312"/>
                <w:color w:val="auto"/>
                <w:sz w:val="24"/>
                <w:highlight w:val="none"/>
              </w:rPr>
            </w:pPr>
          </w:p>
        </w:tc>
        <w:tc>
          <w:tcPr>
            <w:tcW w:w="1505" w:type="dxa"/>
            <w:tcBorders>
              <w:top w:val="single" w:color="auto" w:sz="4" w:space="0"/>
              <w:left w:val="single" w:color="auto" w:sz="4" w:space="0"/>
              <w:bottom w:val="single" w:color="auto" w:sz="4" w:space="0"/>
              <w:right w:val="single" w:color="auto" w:sz="4" w:space="0"/>
            </w:tcBorders>
            <w:vAlign w:val="center"/>
          </w:tcPr>
          <w:p w14:paraId="36CE8F89">
            <w:pPr>
              <w:spacing w:line="360" w:lineRule="auto"/>
              <w:contextualSpacing/>
              <w:jc w:val="center"/>
              <w:rPr>
                <w:rFonts w:hint="eastAsia" w:ascii="宋体" w:hAnsi="宋体" w:cs="仿宋_GB2312"/>
                <w:color w:val="auto"/>
                <w:sz w:val="24"/>
                <w:highlight w:val="none"/>
              </w:rPr>
            </w:pPr>
          </w:p>
        </w:tc>
        <w:tc>
          <w:tcPr>
            <w:tcW w:w="3107" w:type="dxa"/>
            <w:tcBorders>
              <w:top w:val="single" w:color="auto" w:sz="4" w:space="0"/>
              <w:left w:val="single" w:color="auto" w:sz="4" w:space="0"/>
              <w:bottom w:val="single" w:color="auto" w:sz="4" w:space="0"/>
              <w:right w:val="single" w:color="auto" w:sz="4" w:space="0"/>
            </w:tcBorders>
          </w:tcPr>
          <w:p w14:paraId="2D653BBC">
            <w:pPr>
              <w:spacing w:line="360" w:lineRule="auto"/>
              <w:contextualSpacing/>
              <w:rPr>
                <w:rFonts w:hint="eastAsia" w:ascii="宋体" w:hAnsi="宋体" w:cs="仿宋_GB2312"/>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1FB16148">
            <w:pPr>
              <w:spacing w:line="360" w:lineRule="auto"/>
              <w:contextualSpacing/>
              <w:rPr>
                <w:rFonts w:hint="eastAsia" w:ascii="宋体" w:hAnsi="宋体" w:cs="仿宋_GB2312"/>
                <w:color w:val="auto"/>
                <w:sz w:val="24"/>
                <w:highlight w:val="none"/>
              </w:rPr>
            </w:pPr>
          </w:p>
        </w:tc>
      </w:tr>
      <w:tr w14:paraId="2FEA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28DDBF55">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w:t>
            </w:r>
          </w:p>
        </w:tc>
        <w:tc>
          <w:tcPr>
            <w:tcW w:w="2712" w:type="dxa"/>
            <w:tcBorders>
              <w:top w:val="single" w:color="auto" w:sz="4" w:space="0"/>
              <w:left w:val="single" w:color="auto" w:sz="4" w:space="0"/>
              <w:bottom w:val="single" w:color="auto" w:sz="4" w:space="0"/>
              <w:right w:val="single" w:color="auto" w:sz="4" w:space="0"/>
            </w:tcBorders>
            <w:vAlign w:val="center"/>
          </w:tcPr>
          <w:p w14:paraId="5E01D78D">
            <w:pPr>
              <w:spacing w:line="360" w:lineRule="auto"/>
              <w:contextualSpacing/>
              <w:jc w:val="center"/>
              <w:rPr>
                <w:rFonts w:hint="eastAsia" w:ascii="宋体" w:hAnsi="宋体" w:cs="仿宋_GB2312"/>
                <w:color w:val="auto"/>
                <w:sz w:val="24"/>
                <w:highlight w:val="none"/>
              </w:rPr>
            </w:pPr>
          </w:p>
        </w:tc>
        <w:tc>
          <w:tcPr>
            <w:tcW w:w="1505" w:type="dxa"/>
            <w:tcBorders>
              <w:top w:val="single" w:color="auto" w:sz="4" w:space="0"/>
              <w:left w:val="single" w:color="auto" w:sz="4" w:space="0"/>
              <w:bottom w:val="single" w:color="auto" w:sz="4" w:space="0"/>
              <w:right w:val="single" w:color="auto" w:sz="4" w:space="0"/>
            </w:tcBorders>
            <w:vAlign w:val="center"/>
          </w:tcPr>
          <w:p w14:paraId="07B7147E">
            <w:pPr>
              <w:spacing w:line="360" w:lineRule="auto"/>
              <w:contextualSpacing/>
              <w:jc w:val="center"/>
              <w:rPr>
                <w:rFonts w:hint="eastAsia" w:ascii="宋体" w:hAnsi="宋体" w:cs="仿宋_GB2312"/>
                <w:color w:val="auto"/>
                <w:sz w:val="24"/>
                <w:highlight w:val="none"/>
              </w:rPr>
            </w:pPr>
          </w:p>
        </w:tc>
        <w:tc>
          <w:tcPr>
            <w:tcW w:w="3107" w:type="dxa"/>
            <w:tcBorders>
              <w:top w:val="single" w:color="auto" w:sz="4" w:space="0"/>
              <w:left w:val="single" w:color="auto" w:sz="4" w:space="0"/>
              <w:bottom w:val="single" w:color="auto" w:sz="4" w:space="0"/>
              <w:right w:val="single" w:color="auto" w:sz="4" w:space="0"/>
            </w:tcBorders>
          </w:tcPr>
          <w:p w14:paraId="1599D834">
            <w:pPr>
              <w:spacing w:line="360" w:lineRule="auto"/>
              <w:contextualSpacing/>
              <w:rPr>
                <w:rFonts w:hint="eastAsia" w:ascii="宋体" w:hAnsi="宋体" w:cs="仿宋_GB2312"/>
                <w:color w:val="auto"/>
                <w:sz w:val="24"/>
                <w:highlight w:val="none"/>
              </w:rPr>
            </w:pPr>
          </w:p>
        </w:tc>
        <w:tc>
          <w:tcPr>
            <w:tcW w:w="1184" w:type="dxa"/>
            <w:tcBorders>
              <w:top w:val="single" w:color="auto" w:sz="4" w:space="0"/>
              <w:left w:val="single" w:color="auto" w:sz="4" w:space="0"/>
              <w:bottom w:val="single" w:color="auto" w:sz="4" w:space="0"/>
              <w:right w:val="single" w:color="auto" w:sz="4" w:space="0"/>
            </w:tcBorders>
            <w:vAlign w:val="center"/>
          </w:tcPr>
          <w:p w14:paraId="4A07FFBB">
            <w:pPr>
              <w:spacing w:line="360" w:lineRule="auto"/>
              <w:contextualSpacing/>
              <w:rPr>
                <w:rFonts w:hint="eastAsia" w:ascii="宋体" w:hAnsi="宋体" w:cs="仿宋_GB2312"/>
                <w:color w:val="auto"/>
                <w:sz w:val="24"/>
                <w:highlight w:val="none"/>
              </w:rPr>
            </w:pPr>
          </w:p>
        </w:tc>
      </w:tr>
      <w:tr w14:paraId="148B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095" w:type="dxa"/>
            <w:gridSpan w:val="5"/>
            <w:tcBorders>
              <w:top w:val="single" w:color="auto" w:sz="4" w:space="0"/>
              <w:left w:val="single" w:color="auto" w:sz="4" w:space="0"/>
              <w:bottom w:val="single" w:color="auto" w:sz="4" w:space="0"/>
              <w:right w:val="single" w:color="auto" w:sz="4" w:space="0"/>
            </w:tcBorders>
            <w:vAlign w:val="center"/>
          </w:tcPr>
          <w:p w14:paraId="557C1703">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合计金额（人民币）</w:t>
            </w:r>
            <w:r>
              <w:rPr>
                <w:rFonts w:hint="eastAsia" w:ascii="宋体" w:hAnsi="宋体" w:cs="仿宋_GB2312"/>
                <w:color w:val="auto"/>
                <w:sz w:val="24"/>
                <w:highlight w:val="none"/>
                <w:u w:val="single"/>
              </w:rPr>
              <w:t xml:space="preserve">大写：                      </w:t>
            </w:r>
            <w:r>
              <w:rPr>
                <w:rFonts w:hint="eastAsia" w:ascii="宋体" w:hAnsi="宋体" w:cs="仿宋_GB2312"/>
                <w:color w:val="auto"/>
                <w:sz w:val="24"/>
                <w:highlight w:val="none"/>
              </w:rPr>
              <w:t>（</w:t>
            </w:r>
            <w:r>
              <w:rPr>
                <w:rFonts w:ascii="Arial" w:hAnsi="Arial" w:cs="Arial"/>
                <w:color w:val="auto"/>
                <w:sz w:val="24"/>
                <w:highlight w:val="none"/>
              </w:rPr>
              <w:t>¥</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p>
        </w:tc>
      </w:tr>
    </w:tbl>
    <w:p w14:paraId="4C3D6C90">
      <w:pPr>
        <w:spacing w:line="360" w:lineRule="auto"/>
        <w:contextualSpacing/>
        <w:jc w:val="left"/>
        <w:rPr>
          <w:rFonts w:hint="eastAsia" w:ascii="宋体" w:hAnsi="宋体" w:cs="仿宋_GB2312"/>
          <w:color w:val="auto"/>
          <w:sz w:val="24"/>
          <w:highlight w:val="none"/>
        </w:rPr>
      </w:pPr>
    </w:p>
    <w:p w14:paraId="6B7ABD55">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注： </w:t>
      </w:r>
    </w:p>
    <w:p w14:paraId="5EBE4ABB">
      <w:pPr>
        <w:spacing w:line="360" w:lineRule="auto"/>
        <w:ind w:firstLine="480" w:firstLineChars="20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1. 供应商的报价表必须加盖供应商电子签章并由法定代表人或者委托代理人签字或者电子签名，</w:t>
      </w:r>
      <w:r>
        <w:rPr>
          <w:rFonts w:hint="eastAsia" w:ascii="宋体" w:hAnsi="宋体" w:cs="仿宋_GB2312"/>
          <w:b/>
          <w:color w:val="auto"/>
          <w:sz w:val="24"/>
          <w:highlight w:val="none"/>
        </w:rPr>
        <w:t>否则其响应文件按无效处理</w:t>
      </w:r>
      <w:r>
        <w:rPr>
          <w:rFonts w:hint="eastAsia" w:ascii="宋体" w:hAnsi="宋体" w:cs="仿宋_GB2312"/>
          <w:color w:val="auto"/>
          <w:sz w:val="24"/>
          <w:highlight w:val="none"/>
        </w:rPr>
        <w:t>。</w:t>
      </w:r>
    </w:p>
    <w:p w14:paraId="4545D4A8">
      <w:pPr>
        <w:spacing w:line="360" w:lineRule="auto"/>
        <w:ind w:firstLine="480" w:firstLineChars="200"/>
        <w:contextualSpacing/>
        <w:jc w:val="left"/>
        <w:rPr>
          <w:rFonts w:hint="eastAsia"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color w:val="auto"/>
          <w:sz w:val="24"/>
          <w:highlight w:val="none"/>
        </w:rPr>
        <w:t xml:space="preserve"> 报价一经涂改，应在涂改处加盖供应商公章或者加盖电子签章或者由法定代表人或者授权委托人签字</w:t>
      </w:r>
      <w:r>
        <w:rPr>
          <w:rFonts w:hint="eastAsia" w:ascii="宋体" w:hAnsi="宋体"/>
          <w:color w:val="auto"/>
          <w:sz w:val="24"/>
          <w:highlight w:val="none"/>
        </w:rPr>
        <w:t>（或者电子签名）</w:t>
      </w:r>
      <w:r>
        <w:rPr>
          <w:rFonts w:hint="eastAsia" w:ascii="宋体" w:hAnsi="宋体" w:cs="仿宋_GB2312"/>
          <w:b/>
          <w:color w:val="auto"/>
          <w:sz w:val="24"/>
          <w:highlight w:val="none"/>
        </w:rPr>
        <w:t>，否则其响应文件按无效处理。</w:t>
      </w:r>
    </w:p>
    <w:p w14:paraId="22FBFA03">
      <w:pPr>
        <w:spacing w:line="360" w:lineRule="auto"/>
        <w:ind w:firstLine="643" w:firstLineChars="200"/>
        <w:contextualSpacing/>
        <w:jc w:val="left"/>
        <w:rPr>
          <w:rFonts w:hint="eastAsia" w:ascii="宋体" w:hAnsi="宋体" w:cs="仿宋_GB2312"/>
          <w:b/>
          <w:bCs/>
          <w:color w:val="auto"/>
          <w:sz w:val="32"/>
          <w:szCs w:val="32"/>
          <w:highlight w:val="none"/>
        </w:rPr>
      </w:pPr>
      <w:r>
        <w:rPr>
          <w:rFonts w:hint="eastAsia" w:ascii="宋体" w:hAnsi="宋体" w:cs="仿宋_GB2312"/>
          <w:b/>
          <w:bCs/>
          <w:color w:val="auto"/>
          <w:sz w:val="32"/>
          <w:szCs w:val="32"/>
          <w:highlight w:val="none"/>
        </w:rPr>
        <w:t>3.</w:t>
      </w:r>
      <w:r>
        <w:rPr>
          <w:rFonts w:hint="eastAsia" w:ascii="宋体" w:hAnsi="宋体" w:cs="宋体"/>
          <w:b/>
          <w:bCs/>
          <w:color w:val="auto"/>
          <w:sz w:val="32"/>
          <w:szCs w:val="32"/>
          <w:highlight w:val="none"/>
        </w:rPr>
        <w:t>在广西政府采购云平台评审过程中，供应商提交的</w:t>
      </w:r>
      <w:r>
        <w:rPr>
          <w:rFonts w:hint="eastAsia" w:ascii="宋体" w:hAnsi="宋体" w:cs="仿宋_GB2312"/>
          <w:b/>
          <w:bCs/>
          <w:color w:val="auto"/>
          <w:sz w:val="32"/>
          <w:szCs w:val="32"/>
          <w:highlight w:val="none"/>
        </w:rPr>
        <w:t>最后报价与首次报价相比有调整的，必须同时上传相对应的“已标价的工程量清单”作为附件，否则其响应文件按无效处理。</w:t>
      </w:r>
    </w:p>
    <w:p w14:paraId="37B31BC8">
      <w:pPr>
        <w:spacing w:line="360" w:lineRule="auto"/>
        <w:ind w:right="-817" w:rightChars="-389"/>
        <w:contextualSpacing/>
        <w:rPr>
          <w:rFonts w:hint="eastAsia" w:ascii="宋体" w:hAnsi="宋体" w:cs="仿宋_GB2312"/>
          <w:color w:val="auto"/>
          <w:sz w:val="24"/>
          <w:highlight w:val="none"/>
        </w:rPr>
      </w:pPr>
    </w:p>
    <w:p w14:paraId="6D3DA790">
      <w:pPr>
        <w:spacing w:line="360" w:lineRule="auto"/>
        <w:ind w:right="-817" w:rightChars="-389"/>
        <w:contextualSpacing/>
        <w:rPr>
          <w:rFonts w:hint="eastAsia" w:ascii="宋体" w:hAnsi="宋体" w:cs="仿宋_GB2312"/>
          <w:color w:val="auto"/>
          <w:sz w:val="24"/>
          <w:highlight w:val="none"/>
        </w:rPr>
      </w:pPr>
    </w:p>
    <w:p w14:paraId="71522C55">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787B9DCE">
      <w:pPr>
        <w:spacing w:line="360" w:lineRule="auto"/>
        <w:ind w:right="-817" w:rightChars="-389" w:firstLine="2640" w:firstLineChars="11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3961DB73">
      <w:pPr>
        <w:spacing w:line="360" w:lineRule="auto"/>
        <w:ind w:right="-817" w:rightChars="-389" w:firstLine="4080" w:firstLineChars="170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7A2CAF1A">
      <w:pPr>
        <w:pStyle w:val="3"/>
        <w:spacing w:line="360" w:lineRule="auto"/>
        <w:jc w:val="both"/>
        <w:rPr>
          <w:rFonts w:hint="eastAsia" w:asciiTheme="majorEastAsia" w:hAnsiTheme="majorEastAsia" w:eastAsiaTheme="majorEastAsia" w:cstheme="majorEastAsia"/>
          <w:b/>
          <w:bCs/>
          <w:color w:val="auto"/>
          <w:sz w:val="32"/>
          <w:szCs w:val="40"/>
          <w:highlight w:val="none"/>
        </w:rPr>
      </w:pPr>
    </w:p>
    <w:p w14:paraId="1F4680F8">
      <w:pPr>
        <w:pStyle w:val="3"/>
        <w:spacing w:line="360" w:lineRule="auto"/>
        <w:jc w:val="both"/>
        <w:rPr>
          <w:rFonts w:hint="eastAsia" w:asciiTheme="majorEastAsia" w:hAnsiTheme="majorEastAsia" w:eastAsiaTheme="majorEastAsia" w:cstheme="majorEastAsia"/>
          <w:b/>
          <w:bCs/>
          <w:color w:val="auto"/>
          <w:sz w:val="32"/>
          <w:szCs w:val="40"/>
          <w:highlight w:val="none"/>
        </w:rPr>
      </w:pPr>
    </w:p>
    <w:p w14:paraId="6ECE5BC5">
      <w:pPr>
        <w:pStyle w:val="3"/>
        <w:spacing w:line="360" w:lineRule="auto"/>
        <w:jc w:val="both"/>
        <w:rPr>
          <w:rFonts w:hint="eastAsia" w:asciiTheme="majorEastAsia" w:hAnsiTheme="majorEastAsia" w:eastAsiaTheme="majorEastAsia" w:cstheme="majorEastAsia"/>
          <w:b/>
          <w:bCs/>
          <w:color w:val="auto"/>
          <w:sz w:val="32"/>
          <w:szCs w:val="40"/>
          <w:highlight w:val="none"/>
        </w:rPr>
      </w:pPr>
    </w:p>
    <w:p w14:paraId="7DA37ED0">
      <w:pPr>
        <w:pStyle w:val="3"/>
        <w:spacing w:line="360" w:lineRule="auto"/>
        <w:jc w:val="center"/>
        <w:rPr>
          <w:rFonts w:hint="eastAsia" w:ascii="宋体" w:hAnsi="宋体" w:eastAsia="宋体" w:cs="宋体"/>
          <w:b/>
          <w:bCs/>
          <w:color w:val="auto"/>
          <w:sz w:val="32"/>
          <w:szCs w:val="40"/>
          <w:highlight w:val="none"/>
        </w:rPr>
      </w:pPr>
    </w:p>
    <w:p w14:paraId="0444E149">
      <w:pPr>
        <w:pStyle w:val="3"/>
        <w:spacing w:line="360" w:lineRule="auto"/>
        <w:jc w:val="center"/>
        <w:rPr>
          <w:rFonts w:hint="eastAsia" w:ascii="宋体" w:hAnsi="宋体" w:eastAsia="宋体" w:cs="宋体"/>
          <w:b/>
          <w:bCs/>
          <w:color w:val="auto"/>
          <w:sz w:val="32"/>
          <w:szCs w:val="40"/>
          <w:highlight w:val="none"/>
        </w:rPr>
      </w:pPr>
      <w:r>
        <w:rPr>
          <w:rFonts w:hint="eastAsia" w:ascii="宋体" w:hAnsi="宋体" w:eastAsia="宋体" w:cs="宋体"/>
          <w:b/>
          <w:bCs/>
          <w:color w:val="auto"/>
          <w:sz w:val="32"/>
          <w:szCs w:val="40"/>
          <w:highlight w:val="none"/>
        </w:rPr>
        <w:t>已标价工程量清单</w:t>
      </w:r>
    </w:p>
    <w:p w14:paraId="61835A66">
      <w:pPr>
        <w:pStyle w:val="3"/>
        <w:spacing w:line="360" w:lineRule="auto"/>
        <w:ind w:firstLine="420" w:firstLineChars="200"/>
        <w:jc w:val="both"/>
        <w:rPr>
          <w:rFonts w:hint="eastAsia" w:ascii="宋体" w:hAnsi="宋体" w:eastAsia="宋体" w:cs="宋体"/>
          <w:color w:val="auto"/>
          <w:highlight w:val="none"/>
        </w:rPr>
      </w:pPr>
    </w:p>
    <w:p w14:paraId="072FF3B1">
      <w:pPr>
        <w:pStyle w:val="5"/>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1、已标价工程量清单按照第三章发放的“工程量清单”相关内容填写。</w:t>
      </w:r>
    </w:p>
    <w:p w14:paraId="55A491B6">
      <w:pPr>
        <w:pStyle w:val="3"/>
        <w:spacing w:line="360" w:lineRule="auto"/>
        <w:jc w:val="both"/>
        <w:rPr>
          <w:rFonts w:hint="eastAsia" w:ascii="宋体" w:hAnsi="宋体" w:eastAsia="宋体" w:cs="宋体"/>
          <w:color w:val="auto"/>
          <w:highlight w:val="none"/>
        </w:rPr>
      </w:pPr>
      <w:r>
        <w:rPr>
          <w:rFonts w:hint="eastAsia" w:ascii="宋体" w:hAnsi="宋体" w:eastAsia="宋体" w:cs="宋体"/>
          <w:color w:val="auto"/>
          <w:sz w:val="24"/>
          <w:highlight w:val="none"/>
        </w:rPr>
        <w:t>2、招标人提供的工程量清单（由投标人自行在网上下载）</w:t>
      </w:r>
    </w:p>
    <w:p w14:paraId="2576C6BD">
      <w:pPr>
        <w:autoSpaceDE w:val="0"/>
        <w:autoSpaceDN w:val="0"/>
        <w:adjustRightInd w:val="0"/>
        <w:spacing w:line="360" w:lineRule="auto"/>
        <w:rPr>
          <w:rFonts w:hint="eastAsia" w:ascii="宋体" w:hAnsi="宋体"/>
          <w:b/>
          <w:bCs/>
          <w:color w:val="auto"/>
          <w:sz w:val="32"/>
          <w:szCs w:val="32"/>
          <w:highlight w:val="none"/>
          <w:lang w:val="zh-CN"/>
        </w:rPr>
      </w:pPr>
    </w:p>
    <w:p w14:paraId="58B30F69">
      <w:pPr>
        <w:autoSpaceDE w:val="0"/>
        <w:autoSpaceDN w:val="0"/>
        <w:adjustRightInd w:val="0"/>
        <w:spacing w:line="360" w:lineRule="auto"/>
        <w:rPr>
          <w:rFonts w:hint="eastAsia" w:ascii="宋体" w:hAnsi="宋体"/>
          <w:b/>
          <w:bCs/>
          <w:color w:val="auto"/>
          <w:sz w:val="32"/>
          <w:szCs w:val="32"/>
          <w:highlight w:val="none"/>
          <w:lang w:val="zh-CN"/>
        </w:rPr>
      </w:pPr>
    </w:p>
    <w:p w14:paraId="6863054F">
      <w:pPr>
        <w:autoSpaceDE w:val="0"/>
        <w:autoSpaceDN w:val="0"/>
        <w:adjustRightInd w:val="0"/>
        <w:spacing w:line="360" w:lineRule="auto"/>
        <w:rPr>
          <w:rFonts w:hint="eastAsia" w:ascii="宋体" w:hAnsi="宋体"/>
          <w:b/>
          <w:bCs/>
          <w:color w:val="auto"/>
          <w:sz w:val="32"/>
          <w:szCs w:val="32"/>
          <w:highlight w:val="none"/>
          <w:lang w:val="zh-CN"/>
        </w:rPr>
      </w:pPr>
    </w:p>
    <w:p w14:paraId="39CFA38E">
      <w:pPr>
        <w:autoSpaceDE w:val="0"/>
        <w:autoSpaceDN w:val="0"/>
        <w:adjustRightInd w:val="0"/>
        <w:spacing w:line="360" w:lineRule="auto"/>
        <w:rPr>
          <w:rFonts w:hint="eastAsia" w:ascii="宋体" w:hAnsi="宋体"/>
          <w:b/>
          <w:bCs/>
          <w:color w:val="auto"/>
          <w:sz w:val="32"/>
          <w:szCs w:val="32"/>
          <w:highlight w:val="none"/>
          <w:lang w:val="zh-CN"/>
        </w:rPr>
      </w:pPr>
    </w:p>
    <w:p w14:paraId="6DC26217">
      <w:pPr>
        <w:autoSpaceDE w:val="0"/>
        <w:autoSpaceDN w:val="0"/>
        <w:adjustRightInd w:val="0"/>
        <w:spacing w:line="360" w:lineRule="auto"/>
        <w:rPr>
          <w:rFonts w:hint="eastAsia" w:ascii="宋体" w:hAnsi="宋体"/>
          <w:b/>
          <w:bCs/>
          <w:color w:val="auto"/>
          <w:sz w:val="32"/>
          <w:szCs w:val="32"/>
          <w:highlight w:val="none"/>
          <w:lang w:val="zh-CN"/>
        </w:rPr>
      </w:pPr>
    </w:p>
    <w:p w14:paraId="5539EE96">
      <w:pPr>
        <w:autoSpaceDE w:val="0"/>
        <w:autoSpaceDN w:val="0"/>
        <w:adjustRightInd w:val="0"/>
        <w:spacing w:line="360" w:lineRule="auto"/>
        <w:rPr>
          <w:rFonts w:hint="eastAsia" w:ascii="宋体" w:hAnsi="宋体"/>
          <w:b/>
          <w:bCs/>
          <w:color w:val="auto"/>
          <w:sz w:val="32"/>
          <w:szCs w:val="32"/>
          <w:highlight w:val="none"/>
          <w:lang w:val="zh-CN"/>
        </w:rPr>
      </w:pPr>
    </w:p>
    <w:p w14:paraId="2A82CF6E">
      <w:pPr>
        <w:autoSpaceDE w:val="0"/>
        <w:autoSpaceDN w:val="0"/>
        <w:adjustRightInd w:val="0"/>
        <w:spacing w:line="360" w:lineRule="auto"/>
        <w:rPr>
          <w:rFonts w:hint="eastAsia" w:ascii="宋体" w:hAnsi="宋体"/>
          <w:b/>
          <w:bCs/>
          <w:color w:val="auto"/>
          <w:sz w:val="32"/>
          <w:szCs w:val="32"/>
          <w:highlight w:val="none"/>
          <w:lang w:val="zh-CN"/>
        </w:rPr>
      </w:pPr>
    </w:p>
    <w:p w14:paraId="775C67C1">
      <w:pPr>
        <w:autoSpaceDE w:val="0"/>
        <w:autoSpaceDN w:val="0"/>
        <w:adjustRightInd w:val="0"/>
        <w:spacing w:line="360" w:lineRule="auto"/>
        <w:rPr>
          <w:rFonts w:hint="eastAsia" w:ascii="宋体" w:hAnsi="宋体"/>
          <w:b/>
          <w:bCs/>
          <w:color w:val="auto"/>
          <w:sz w:val="32"/>
          <w:szCs w:val="32"/>
          <w:highlight w:val="none"/>
          <w:lang w:val="zh-CN"/>
        </w:rPr>
      </w:pPr>
    </w:p>
    <w:p w14:paraId="2F054B2E">
      <w:pPr>
        <w:autoSpaceDE w:val="0"/>
        <w:autoSpaceDN w:val="0"/>
        <w:adjustRightInd w:val="0"/>
        <w:spacing w:line="360" w:lineRule="auto"/>
        <w:rPr>
          <w:rFonts w:hint="eastAsia" w:ascii="宋体" w:hAnsi="宋体"/>
          <w:b/>
          <w:bCs/>
          <w:color w:val="auto"/>
          <w:sz w:val="32"/>
          <w:szCs w:val="32"/>
          <w:highlight w:val="none"/>
          <w:lang w:val="zh-CN"/>
        </w:rPr>
      </w:pPr>
    </w:p>
    <w:p w14:paraId="7921E51F">
      <w:pPr>
        <w:autoSpaceDE w:val="0"/>
        <w:autoSpaceDN w:val="0"/>
        <w:adjustRightInd w:val="0"/>
        <w:spacing w:line="360" w:lineRule="auto"/>
        <w:rPr>
          <w:rFonts w:hint="eastAsia" w:ascii="宋体" w:hAnsi="宋体"/>
          <w:b/>
          <w:bCs/>
          <w:color w:val="auto"/>
          <w:sz w:val="32"/>
          <w:szCs w:val="32"/>
          <w:highlight w:val="none"/>
          <w:lang w:val="zh-CN"/>
        </w:rPr>
      </w:pPr>
    </w:p>
    <w:p w14:paraId="245FC60F">
      <w:pPr>
        <w:autoSpaceDE w:val="0"/>
        <w:autoSpaceDN w:val="0"/>
        <w:adjustRightInd w:val="0"/>
        <w:spacing w:line="360" w:lineRule="auto"/>
        <w:rPr>
          <w:rFonts w:hint="eastAsia" w:ascii="宋体" w:hAnsi="宋体"/>
          <w:b/>
          <w:bCs/>
          <w:color w:val="auto"/>
          <w:sz w:val="32"/>
          <w:szCs w:val="32"/>
          <w:highlight w:val="none"/>
          <w:lang w:val="zh-CN"/>
        </w:rPr>
      </w:pPr>
    </w:p>
    <w:p w14:paraId="093DE13A">
      <w:pPr>
        <w:autoSpaceDE w:val="0"/>
        <w:autoSpaceDN w:val="0"/>
        <w:adjustRightInd w:val="0"/>
        <w:spacing w:line="360" w:lineRule="auto"/>
        <w:rPr>
          <w:rFonts w:hint="eastAsia" w:ascii="宋体" w:hAnsi="宋体"/>
          <w:b/>
          <w:bCs/>
          <w:color w:val="auto"/>
          <w:sz w:val="32"/>
          <w:szCs w:val="32"/>
          <w:highlight w:val="none"/>
          <w:lang w:val="zh-CN"/>
        </w:rPr>
      </w:pPr>
    </w:p>
    <w:p w14:paraId="25F63541">
      <w:pPr>
        <w:autoSpaceDE w:val="0"/>
        <w:autoSpaceDN w:val="0"/>
        <w:adjustRightInd w:val="0"/>
        <w:spacing w:line="360" w:lineRule="auto"/>
        <w:rPr>
          <w:rFonts w:hint="eastAsia" w:ascii="宋体" w:hAnsi="宋体"/>
          <w:b/>
          <w:bCs/>
          <w:color w:val="auto"/>
          <w:sz w:val="32"/>
          <w:szCs w:val="32"/>
          <w:highlight w:val="none"/>
          <w:lang w:val="zh-CN"/>
        </w:rPr>
      </w:pPr>
    </w:p>
    <w:p w14:paraId="7165C784">
      <w:pPr>
        <w:autoSpaceDE w:val="0"/>
        <w:autoSpaceDN w:val="0"/>
        <w:adjustRightInd w:val="0"/>
        <w:spacing w:line="360" w:lineRule="auto"/>
        <w:rPr>
          <w:rFonts w:hint="eastAsia" w:ascii="宋体" w:hAnsi="宋体"/>
          <w:b/>
          <w:bCs/>
          <w:color w:val="auto"/>
          <w:sz w:val="32"/>
          <w:szCs w:val="32"/>
          <w:highlight w:val="none"/>
          <w:lang w:val="zh-CN"/>
        </w:rPr>
      </w:pPr>
    </w:p>
    <w:p w14:paraId="68A4090A">
      <w:pPr>
        <w:autoSpaceDE w:val="0"/>
        <w:autoSpaceDN w:val="0"/>
        <w:adjustRightInd w:val="0"/>
        <w:spacing w:line="360" w:lineRule="auto"/>
        <w:rPr>
          <w:rFonts w:hint="eastAsia" w:ascii="宋体" w:hAnsi="宋体"/>
          <w:b/>
          <w:bCs/>
          <w:color w:val="auto"/>
          <w:sz w:val="32"/>
          <w:szCs w:val="32"/>
          <w:highlight w:val="none"/>
          <w:lang w:val="zh-CN"/>
        </w:rPr>
      </w:pPr>
    </w:p>
    <w:p w14:paraId="77FBA8A9">
      <w:pPr>
        <w:autoSpaceDE w:val="0"/>
        <w:autoSpaceDN w:val="0"/>
        <w:adjustRightInd w:val="0"/>
        <w:spacing w:line="360" w:lineRule="auto"/>
        <w:rPr>
          <w:rFonts w:hint="eastAsia" w:ascii="宋体" w:hAnsi="宋体"/>
          <w:b/>
          <w:bCs/>
          <w:color w:val="auto"/>
          <w:sz w:val="32"/>
          <w:szCs w:val="32"/>
          <w:highlight w:val="none"/>
          <w:lang w:val="zh-CN"/>
        </w:rPr>
      </w:pPr>
    </w:p>
    <w:p w14:paraId="0C82480B">
      <w:pPr>
        <w:autoSpaceDE w:val="0"/>
        <w:autoSpaceDN w:val="0"/>
        <w:adjustRightInd w:val="0"/>
        <w:spacing w:line="360" w:lineRule="auto"/>
        <w:rPr>
          <w:rFonts w:hint="eastAsia" w:ascii="宋体" w:hAnsi="宋体"/>
          <w:b/>
          <w:bCs/>
          <w:color w:val="auto"/>
          <w:sz w:val="32"/>
          <w:szCs w:val="32"/>
          <w:highlight w:val="none"/>
          <w:lang w:val="zh-CN"/>
        </w:rPr>
      </w:pPr>
    </w:p>
    <w:p w14:paraId="7D129028">
      <w:pPr>
        <w:autoSpaceDE w:val="0"/>
        <w:autoSpaceDN w:val="0"/>
        <w:adjustRightInd w:val="0"/>
        <w:spacing w:line="360" w:lineRule="auto"/>
        <w:rPr>
          <w:rFonts w:hint="eastAsia" w:ascii="宋体" w:hAnsi="宋体"/>
          <w:b/>
          <w:bCs/>
          <w:color w:val="auto"/>
          <w:sz w:val="32"/>
          <w:szCs w:val="32"/>
          <w:highlight w:val="none"/>
          <w:lang w:val="zh-CN"/>
        </w:rPr>
      </w:pPr>
    </w:p>
    <w:p w14:paraId="4C313748">
      <w:pPr>
        <w:autoSpaceDE w:val="0"/>
        <w:autoSpaceDN w:val="0"/>
        <w:adjustRightInd w:val="0"/>
        <w:spacing w:line="360" w:lineRule="auto"/>
        <w:rPr>
          <w:rFonts w:hint="eastAsia" w:ascii="宋体" w:hAnsi="宋体"/>
          <w:b/>
          <w:bCs/>
          <w:color w:val="auto"/>
          <w:sz w:val="32"/>
          <w:szCs w:val="32"/>
          <w:highlight w:val="none"/>
          <w:lang w:val="zh-CN"/>
        </w:rPr>
      </w:pPr>
    </w:p>
    <w:p w14:paraId="17229C9A">
      <w:pPr>
        <w:spacing w:line="360" w:lineRule="auto"/>
        <w:contextualSpacing/>
        <w:rPr>
          <w:rFonts w:hint="eastAsia" w:ascii="宋体" w:hAnsi="宋体"/>
          <w:b/>
          <w:color w:val="auto"/>
          <w:sz w:val="32"/>
          <w:szCs w:val="32"/>
          <w:highlight w:val="none"/>
        </w:rPr>
      </w:pPr>
      <w:r>
        <w:rPr>
          <w:rFonts w:hint="eastAsia" w:ascii="宋体" w:hAnsi="宋体"/>
          <w:b/>
          <w:bCs/>
          <w:color w:val="auto"/>
          <w:sz w:val="32"/>
          <w:szCs w:val="32"/>
          <w:highlight w:val="none"/>
        </w:rPr>
        <w:t>三、</w:t>
      </w:r>
      <w:r>
        <w:rPr>
          <w:rFonts w:hint="eastAsia" w:ascii="宋体" w:hAnsi="宋体"/>
          <w:b/>
          <w:color w:val="auto"/>
          <w:sz w:val="32"/>
          <w:szCs w:val="32"/>
          <w:highlight w:val="none"/>
        </w:rPr>
        <w:t>商务技术文件格式</w:t>
      </w:r>
    </w:p>
    <w:p w14:paraId="25DE7273">
      <w:pPr>
        <w:snapToGrid w:val="0"/>
        <w:spacing w:before="156" w:beforeLines="50" w:after="50"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t>1.商务技术文件封面格式</w:t>
      </w:r>
    </w:p>
    <w:p w14:paraId="61D96996">
      <w:pPr>
        <w:snapToGrid w:val="0"/>
        <w:spacing w:before="156" w:beforeLines="50" w:after="50"/>
        <w:rPr>
          <w:rFonts w:hint="eastAsia" w:ascii="宋体" w:hAnsi="宋体"/>
          <w:bCs/>
          <w:color w:val="auto"/>
          <w:sz w:val="32"/>
          <w:szCs w:val="20"/>
          <w:highlight w:val="none"/>
        </w:rPr>
      </w:pPr>
      <w:r>
        <w:rPr>
          <w:rFonts w:hint="eastAsia" w:ascii="宋体" w:hAnsi="宋体"/>
          <w:color w:val="auto"/>
          <w:sz w:val="24"/>
          <w:highlight w:val="none"/>
        </w:rPr>
        <w:t xml:space="preserve">                                                    </w:t>
      </w:r>
    </w:p>
    <w:p w14:paraId="6CB48817">
      <w:pPr>
        <w:snapToGrid w:val="0"/>
        <w:spacing w:before="156" w:beforeLines="50"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64D5CA12">
      <w:pPr>
        <w:snapToGrid w:val="0"/>
        <w:spacing w:before="156" w:beforeLines="50" w:after="50"/>
        <w:rPr>
          <w:rFonts w:hint="eastAsia" w:ascii="宋体" w:hAnsi="宋体"/>
          <w:color w:val="auto"/>
          <w:sz w:val="24"/>
          <w:szCs w:val="20"/>
          <w:highlight w:val="none"/>
        </w:rPr>
      </w:pPr>
    </w:p>
    <w:p w14:paraId="78B60E25">
      <w:pPr>
        <w:snapToGrid w:val="0"/>
        <w:spacing w:before="156" w:beforeLines="50" w:after="50"/>
        <w:rPr>
          <w:rFonts w:hint="eastAsia" w:ascii="宋体" w:hAnsi="宋体"/>
          <w:color w:val="auto"/>
          <w:sz w:val="24"/>
          <w:szCs w:val="20"/>
          <w:highlight w:val="none"/>
        </w:rPr>
      </w:pPr>
    </w:p>
    <w:p w14:paraId="7B499A13">
      <w:pPr>
        <w:snapToGrid w:val="0"/>
        <w:spacing w:before="156" w:beforeLines="50"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w:t>
      </w:r>
    </w:p>
    <w:p w14:paraId="51A8B5D3">
      <w:pPr>
        <w:snapToGrid w:val="0"/>
        <w:spacing w:before="156" w:beforeLines="50" w:after="50"/>
        <w:rPr>
          <w:rFonts w:hint="eastAsia" w:ascii="宋体" w:hAnsi="宋体"/>
          <w:bCs/>
          <w:color w:val="auto"/>
          <w:sz w:val="24"/>
          <w:szCs w:val="20"/>
          <w:highlight w:val="none"/>
        </w:rPr>
      </w:pPr>
    </w:p>
    <w:p w14:paraId="50544149">
      <w:pPr>
        <w:snapToGrid w:val="0"/>
        <w:spacing w:before="156" w:beforeLines="50" w:after="50"/>
        <w:rPr>
          <w:rFonts w:hint="eastAsia" w:ascii="宋体" w:hAnsi="宋体"/>
          <w:bCs/>
          <w:color w:val="auto"/>
          <w:sz w:val="24"/>
          <w:szCs w:val="20"/>
          <w:highlight w:val="none"/>
        </w:rPr>
      </w:pPr>
    </w:p>
    <w:p w14:paraId="4B595AFF">
      <w:pPr>
        <w:snapToGrid w:val="0"/>
        <w:spacing w:before="156" w:beforeLines="50" w:after="50"/>
        <w:rPr>
          <w:rFonts w:hint="eastAsia" w:ascii="宋体" w:hAnsi="宋体"/>
          <w:bCs/>
          <w:color w:val="auto"/>
          <w:sz w:val="24"/>
          <w:szCs w:val="20"/>
          <w:highlight w:val="none"/>
        </w:rPr>
      </w:pPr>
    </w:p>
    <w:p w14:paraId="3E04BB6F">
      <w:pPr>
        <w:snapToGrid w:val="0"/>
        <w:spacing w:before="156" w:beforeLines="50" w:after="50"/>
        <w:rPr>
          <w:rFonts w:hint="eastAsia" w:ascii="宋体" w:hAnsi="宋体"/>
          <w:bCs/>
          <w:color w:val="auto"/>
          <w:sz w:val="24"/>
          <w:szCs w:val="20"/>
          <w:highlight w:val="none"/>
        </w:rPr>
      </w:pPr>
    </w:p>
    <w:p w14:paraId="56976026">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08506EF2">
      <w:pPr>
        <w:snapToGrid w:val="0"/>
        <w:spacing w:before="156" w:beforeLines="50" w:after="50"/>
        <w:ind w:firstLine="720" w:firstLineChars="225"/>
        <w:rPr>
          <w:rFonts w:hint="eastAsia" w:ascii="宋体" w:hAnsi="宋体" w:cs="仿宋_GB2312"/>
          <w:bCs/>
          <w:color w:val="auto"/>
          <w:sz w:val="32"/>
          <w:szCs w:val="32"/>
          <w:highlight w:val="none"/>
        </w:rPr>
      </w:pPr>
    </w:p>
    <w:p w14:paraId="10BCE4ED">
      <w:pPr>
        <w:snapToGrid w:val="0"/>
        <w:spacing w:before="156" w:beforeLines="50" w:after="50"/>
        <w:ind w:firstLine="640" w:firstLineChars="20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39A7159D">
      <w:pPr>
        <w:snapToGrid w:val="0"/>
        <w:spacing w:before="156" w:beforeLines="50" w:after="50"/>
        <w:ind w:firstLine="720" w:firstLineChars="225"/>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59F506BE">
      <w:pPr>
        <w:pStyle w:val="10"/>
        <w:snapToGrid w:val="0"/>
        <w:spacing w:before="5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281097A4">
      <w:pPr>
        <w:pStyle w:val="10"/>
        <w:snapToGrid w:val="0"/>
        <w:spacing w:before="50" w:after="50"/>
        <w:ind w:firstLine="640"/>
        <w:rPr>
          <w:rFonts w:hint="eastAsia" w:ascii="宋体" w:hAnsi="宋体" w:cs="仿宋_GB2312"/>
          <w:bCs/>
          <w:color w:val="auto"/>
          <w:sz w:val="32"/>
          <w:szCs w:val="32"/>
          <w:highlight w:val="none"/>
        </w:rPr>
      </w:pPr>
    </w:p>
    <w:p w14:paraId="1F9648A5">
      <w:pPr>
        <w:pStyle w:val="10"/>
        <w:snapToGrid w:val="0"/>
        <w:spacing w:before="5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供应商地址：</w:t>
      </w:r>
    </w:p>
    <w:p w14:paraId="636DA227">
      <w:pPr>
        <w:pStyle w:val="10"/>
        <w:snapToGrid w:val="0"/>
        <w:spacing w:before="50" w:after="50"/>
        <w:ind w:firstLine="640"/>
        <w:rPr>
          <w:rFonts w:hint="eastAsia" w:ascii="宋体" w:hAnsi="宋体" w:cs="仿宋_GB2312"/>
          <w:bCs/>
          <w:color w:val="auto"/>
          <w:sz w:val="32"/>
          <w:szCs w:val="32"/>
          <w:highlight w:val="none"/>
        </w:rPr>
      </w:pPr>
    </w:p>
    <w:p w14:paraId="7FF2A58E">
      <w:pPr>
        <w:pStyle w:val="10"/>
        <w:snapToGrid w:val="0"/>
        <w:spacing w:before="50" w:after="50"/>
        <w:ind w:firstLine="720" w:firstLineChars="225"/>
        <w:rPr>
          <w:rFonts w:hint="eastAsia" w:ascii="宋体" w:hAnsi="宋体" w:cs="仿宋_GB2312"/>
          <w:bCs/>
          <w:color w:val="auto"/>
          <w:sz w:val="32"/>
          <w:szCs w:val="32"/>
          <w:highlight w:val="none"/>
        </w:rPr>
      </w:pPr>
    </w:p>
    <w:p w14:paraId="1AC62E4D">
      <w:pPr>
        <w:pStyle w:val="10"/>
        <w:snapToGrid w:val="0"/>
        <w:spacing w:before="50" w:after="50"/>
        <w:ind w:firstLine="1280" w:firstLineChars="400"/>
        <w:rPr>
          <w:rFonts w:hint="eastAsia" w:ascii="宋体" w:hAnsi="宋体" w:cs="仿宋_GB2312"/>
          <w:bCs/>
          <w:color w:val="auto"/>
          <w:sz w:val="32"/>
          <w:szCs w:val="32"/>
          <w:highlight w:val="none"/>
        </w:rPr>
      </w:pPr>
    </w:p>
    <w:p w14:paraId="3FEB013C">
      <w:pPr>
        <w:snapToGrid w:val="0"/>
        <w:spacing w:before="156" w:beforeLines="50"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359B3CA7">
      <w:pPr>
        <w:snapToGrid w:val="0"/>
        <w:spacing w:before="156" w:beforeLines="50" w:after="50" w:line="360" w:lineRule="auto"/>
        <w:ind w:right="480" w:firstLine="240" w:firstLineChars="100"/>
        <w:jc w:val="left"/>
        <w:rPr>
          <w:rFonts w:hint="eastAsia" w:ascii="宋体" w:hAnsi="宋体"/>
          <w:b/>
          <w:bCs/>
          <w:color w:val="auto"/>
          <w:sz w:val="24"/>
          <w:highlight w:val="none"/>
        </w:rPr>
      </w:pPr>
      <w:r>
        <w:rPr>
          <w:rFonts w:ascii="宋体" w:hAnsi="宋体"/>
          <w:color w:val="auto"/>
          <w:sz w:val="24"/>
          <w:highlight w:val="none"/>
        </w:rPr>
        <w:br w:type="page"/>
      </w:r>
      <w:r>
        <w:rPr>
          <w:rFonts w:hint="eastAsia" w:ascii="宋体" w:hAnsi="宋体"/>
          <w:b/>
          <w:bCs/>
          <w:color w:val="auto"/>
          <w:sz w:val="32"/>
          <w:szCs w:val="32"/>
          <w:highlight w:val="none"/>
        </w:rPr>
        <w:t>2.商务技术文件目录</w:t>
      </w:r>
    </w:p>
    <w:p w14:paraId="1F72B50D">
      <w:pPr>
        <w:snapToGrid w:val="0"/>
        <w:spacing w:before="156" w:beforeLines="50" w:after="50" w:line="360" w:lineRule="auto"/>
        <w:ind w:firstLine="640" w:firstLineChars="200"/>
        <w:rPr>
          <w:rFonts w:hint="eastAsia"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0E987A29">
      <w:pPr>
        <w:spacing w:line="400" w:lineRule="exact"/>
        <w:rPr>
          <w:rFonts w:hint="eastAsia" w:ascii="仿宋_GB2312" w:hAnsi="仿宋_GB2312" w:eastAsia="仿宋_GB2312" w:cs="仿宋_GB2312"/>
          <w:color w:val="auto"/>
          <w:sz w:val="32"/>
          <w:szCs w:val="32"/>
          <w:highlight w:val="none"/>
        </w:rPr>
      </w:pPr>
    </w:p>
    <w:p w14:paraId="0A93207C">
      <w:pPr>
        <w:spacing w:line="520" w:lineRule="exact"/>
        <w:jc w:val="center"/>
        <w:rPr>
          <w:rFonts w:hint="eastAsia" w:ascii="仿宋_GB2312" w:hAnsi="仿宋_GB2312" w:eastAsia="方正小标宋简体" w:cs="仿宋_GB2312"/>
          <w:color w:val="auto"/>
          <w:sz w:val="24"/>
          <w:highlight w:val="none"/>
        </w:rPr>
      </w:pPr>
      <w:r>
        <w:rPr>
          <w:rFonts w:hint="eastAsia" w:ascii="方正小标宋简体" w:hAnsi="方正小标宋简体" w:eastAsia="方正小标宋简体" w:cs="方正小标宋简体"/>
          <w:color w:val="auto"/>
          <w:sz w:val="44"/>
          <w:szCs w:val="44"/>
          <w:highlight w:val="none"/>
        </w:rPr>
        <w:br w:type="page"/>
      </w:r>
      <w:r>
        <w:rPr>
          <w:rFonts w:hint="eastAsia" w:ascii="方正小标宋简体" w:hAnsi="方正小标宋简体" w:eastAsia="方正小标宋简体" w:cs="方正小标宋简体"/>
          <w:color w:val="auto"/>
          <w:sz w:val="36"/>
          <w:szCs w:val="36"/>
          <w:highlight w:val="none"/>
        </w:rPr>
        <w:t>无串通竞标行为的承诺函（格式）</w:t>
      </w:r>
    </w:p>
    <w:p w14:paraId="4951E141">
      <w:pPr>
        <w:spacing w:line="360" w:lineRule="auto"/>
        <w:ind w:firstLine="640" w:firstLineChars="200"/>
        <w:contextualSpacing/>
        <w:rPr>
          <w:rFonts w:hint="eastAsia" w:ascii="仿宋_GB2312" w:hAnsi="仿宋_GB2312" w:eastAsia="仿宋_GB2312" w:cs="仿宋_GB2312"/>
          <w:color w:val="auto"/>
          <w:sz w:val="32"/>
          <w:szCs w:val="32"/>
          <w:highlight w:val="none"/>
        </w:rPr>
      </w:pPr>
    </w:p>
    <w:p w14:paraId="653B5AE5">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311AECB1">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1.不同供应商的响应文件由同一单位或者个人编制； </w:t>
      </w:r>
    </w:p>
    <w:p w14:paraId="70F7128C">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518F734E">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3.不同供应商的响应文件载明的项目管理员为同一个人；</w:t>
      </w:r>
    </w:p>
    <w:p w14:paraId="0747474A">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4.不同供应商的响应文件异常一致或者竞标报价呈规律性差异；</w:t>
      </w:r>
    </w:p>
    <w:p w14:paraId="54868E17">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4905E8A3">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6.不同供应商的磋商保证金从同一单位或者个人账户转出。</w:t>
      </w:r>
    </w:p>
    <w:p w14:paraId="02BA9EB8">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4C67A2BA">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3EDAA804">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656C8841">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3.供应商之间协商报价、技术方案等响应文件的实质性内容；</w:t>
      </w:r>
    </w:p>
    <w:p w14:paraId="0FB4078C">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089248D9">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5.供应商之间事先约定一致抬高或者压低竞标报价，或者在竞争性磋商项目中事先约定轮流以高价位或者低价位成交，或者事先约定由某一特定供应商成交，然后再参加竞标；</w:t>
      </w:r>
    </w:p>
    <w:p w14:paraId="6F016F24">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2511AEC4">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7.供应商与采购人或者采购代理机构之间、供应商相互之间，为谋求特定供应商成交或者排斥其他供应商的其他串通行为。</w:t>
      </w:r>
    </w:p>
    <w:p w14:paraId="326A6441">
      <w:pPr>
        <w:spacing w:line="360" w:lineRule="auto"/>
        <w:ind w:firstLine="480" w:firstLineChars="200"/>
        <w:contextualSpacing/>
        <w:rPr>
          <w:rFonts w:hint="eastAsia" w:ascii="宋体" w:hAnsi="宋体" w:cs="仿宋_GB2312"/>
          <w:color w:val="auto"/>
          <w:sz w:val="24"/>
          <w:highlight w:val="none"/>
        </w:rPr>
      </w:pPr>
    </w:p>
    <w:p w14:paraId="3694DD4B">
      <w:pPr>
        <w:spacing w:line="360" w:lineRule="auto"/>
        <w:ind w:firstLine="482" w:firstLineChars="200"/>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以上情形一经核查属实，我方愿意承担一切后果，并不再寻求任何旨在减轻或者免除法律责任的辩解。</w:t>
      </w:r>
    </w:p>
    <w:p w14:paraId="07FA4B42">
      <w:pPr>
        <w:spacing w:line="360" w:lineRule="auto"/>
        <w:contextualSpacing/>
        <w:rPr>
          <w:rFonts w:hint="eastAsia" w:ascii="宋体" w:hAnsi="宋体" w:cs="仿宋_GB2312"/>
          <w:color w:val="auto"/>
          <w:sz w:val="24"/>
          <w:highlight w:val="none"/>
        </w:rPr>
      </w:pPr>
    </w:p>
    <w:p w14:paraId="2825E19E">
      <w:pPr>
        <w:spacing w:line="360" w:lineRule="auto"/>
        <w:contextualSpacing/>
        <w:rPr>
          <w:rFonts w:hint="eastAsia" w:ascii="宋体" w:hAnsi="宋体" w:cs="仿宋_GB2312"/>
          <w:color w:val="auto"/>
          <w:sz w:val="24"/>
          <w:highlight w:val="none"/>
        </w:rPr>
      </w:pPr>
    </w:p>
    <w:p w14:paraId="504D3E8B">
      <w:pPr>
        <w:spacing w:line="360" w:lineRule="auto"/>
        <w:ind w:firstLine="3600" w:firstLineChars="150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p>
    <w:p w14:paraId="3E6533A9">
      <w:pPr>
        <w:spacing w:line="360" w:lineRule="auto"/>
        <w:ind w:firstLine="480" w:firstLineChars="200"/>
        <w:contextualSpacing/>
        <w:jc w:val="center"/>
        <w:rPr>
          <w:rFonts w:hint="eastAsia" w:ascii="仿宋_GB2312" w:hAnsi="仿宋_GB2312" w:eastAsia="仿宋_GB2312" w:cs="仿宋_GB2312"/>
          <w:color w:val="auto"/>
          <w:sz w:val="32"/>
          <w:szCs w:val="32"/>
          <w:highlight w:val="none"/>
        </w:rPr>
      </w:pPr>
      <w:r>
        <w:rPr>
          <w:rFonts w:hint="eastAsia" w:ascii="宋体" w:hAnsi="宋体" w:cs="仿宋_GB2312"/>
          <w:color w:val="auto"/>
          <w:sz w:val="24"/>
          <w:highlight w:val="none"/>
        </w:rPr>
        <w:t xml:space="preserve">                               年   月   日</w:t>
      </w:r>
    </w:p>
    <w:p w14:paraId="4B7BBA14">
      <w:pPr>
        <w:spacing w:line="520" w:lineRule="exact"/>
        <w:jc w:val="center"/>
        <w:rPr>
          <w:rFonts w:hint="eastAsia" w:ascii="仿宋_GB2312" w:hAnsi="仿宋_GB2312" w:eastAsia="仿宋_GB2312" w:cs="仿宋_GB2312"/>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br w:type="page"/>
      </w:r>
      <w:r>
        <w:rPr>
          <w:rFonts w:hint="eastAsia" w:ascii="方正小标宋简体" w:hAnsi="方正小标宋简体" w:eastAsia="方正小标宋简体" w:cs="方正小标宋简体"/>
          <w:bCs/>
          <w:color w:val="auto"/>
          <w:sz w:val="44"/>
          <w:szCs w:val="44"/>
          <w:highlight w:val="none"/>
        </w:rPr>
        <w:t>法定代表人证明书</w:t>
      </w:r>
    </w:p>
    <w:p w14:paraId="649E6961">
      <w:pPr>
        <w:spacing w:line="360" w:lineRule="auto"/>
        <w:ind w:left="540"/>
        <w:contextualSpacing/>
        <w:rPr>
          <w:rFonts w:hint="eastAsia" w:ascii="仿宋_GB2312" w:hAnsi="仿宋_GB2312" w:eastAsia="仿宋_GB2312" w:cs="仿宋_GB2312"/>
          <w:color w:val="auto"/>
          <w:sz w:val="32"/>
          <w:szCs w:val="32"/>
          <w:highlight w:val="none"/>
        </w:rPr>
      </w:pPr>
    </w:p>
    <w:p w14:paraId="2C3D9F75">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531B1096">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地    址：</w:t>
      </w:r>
      <w:r>
        <w:rPr>
          <w:rFonts w:hint="eastAsia" w:ascii="宋体" w:hAnsi="宋体" w:cs="仿宋_GB2312"/>
          <w:color w:val="auto"/>
          <w:sz w:val="24"/>
          <w:highlight w:val="none"/>
          <w:u w:val="single"/>
        </w:rPr>
        <w:t xml:space="preserve">                                           </w:t>
      </w:r>
    </w:p>
    <w:p w14:paraId="50583677">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姓    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     别：</w:t>
      </w:r>
      <w:r>
        <w:rPr>
          <w:rFonts w:hint="eastAsia" w:ascii="宋体" w:hAnsi="宋体" w:cs="仿宋_GB2312"/>
          <w:color w:val="auto"/>
          <w:sz w:val="24"/>
          <w:highlight w:val="none"/>
          <w:u w:val="single"/>
        </w:rPr>
        <w:t xml:space="preserve">                </w:t>
      </w:r>
    </w:p>
    <w:p w14:paraId="632E4341">
      <w:pPr>
        <w:spacing w:line="360" w:lineRule="auto"/>
        <w:ind w:left="540"/>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年    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     务：</w:t>
      </w:r>
      <w:r>
        <w:rPr>
          <w:rFonts w:hint="eastAsia" w:ascii="宋体" w:hAnsi="宋体" w:cs="仿宋_GB2312"/>
          <w:color w:val="auto"/>
          <w:sz w:val="24"/>
          <w:highlight w:val="none"/>
          <w:u w:val="single"/>
        </w:rPr>
        <w:t xml:space="preserve">                </w:t>
      </w:r>
    </w:p>
    <w:p w14:paraId="00D6EE28">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身份证号码：</w:t>
      </w:r>
      <w:r>
        <w:rPr>
          <w:rFonts w:hint="eastAsia" w:ascii="宋体" w:hAnsi="宋体" w:cs="仿宋_GB2312"/>
          <w:color w:val="auto"/>
          <w:sz w:val="24"/>
          <w:highlight w:val="none"/>
          <w:u w:val="single"/>
        </w:rPr>
        <w:t xml:space="preserve">                                        </w:t>
      </w:r>
    </w:p>
    <w:p w14:paraId="507B2A54">
      <w:pPr>
        <w:spacing w:line="360" w:lineRule="auto"/>
        <w:ind w:firstLine="480" w:firstLineChars="200"/>
        <w:contextualSpacing/>
        <w:rPr>
          <w:rFonts w:hint="eastAsia"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（供应商名称）</w:t>
      </w:r>
      <w:r>
        <w:rPr>
          <w:rFonts w:hint="eastAsia" w:ascii="宋体" w:hAnsi="宋体" w:cs="仿宋_GB2312"/>
          <w:color w:val="auto"/>
          <w:sz w:val="24"/>
          <w:highlight w:val="none"/>
        </w:rPr>
        <w:t>的法定代表人。</w:t>
      </w:r>
    </w:p>
    <w:p w14:paraId="2013C265">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特此证明。</w:t>
      </w:r>
    </w:p>
    <w:p w14:paraId="31154E85">
      <w:pPr>
        <w:spacing w:line="360" w:lineRule="auto"/>
        <w:ind w:left="540"/>
        <w:contextualSpacing/>
        <w:rPr>
          <w:rFonts w:hint="eastAsia" w:ascii="宋体" w:hAnsi="宋体" w:cs="仿宋_GB2312"/>
          <w:color w:val="auto"/>
          <w:sz w:val="24"/>
          <w:highlight w:val="none"/>
        </w:rPr>
      </w:pPr>
    </w:p>
    <w:p w14:paraId="19721624">
      <w:pPr>
        <w:spacing w:line="360" w:lineRule="auto"/>
        <w:ind w:left="540"/>
        <w:contextualSpacing/>
        <w:rPr>
          <w:rFonts w:hint="eastAsia" w:ascii="宋体" w:hAnsi="宋体" w:cs="仿宋_GB2312"/>
          <w:color w:val="auto"/>
          <w:sz w:val="24"/>
          <w:highlight w:val="none"/>
        </w:rPr>
      </w:pPr>
    </w:p>
    <w:p w14:paraId="48C8240A">
      <w:pPr>
        <w:spacing w:line="360" w:lineRule="auto"/>
        <w:ind w:left="540"/>
        <w:contextualSpacing/>
        <w:rPr>
          <w:rFonts w:hint="eastAsia" w:ascii="宋体" w:hAnsi="宋体" w:cs="仿宋_GB2312"/>
          <w:color w:val="auto"/>
          <w:sz w:val="24"/>
          <w:highlight w:val="none"/>
        </w:rPr>
      </w:pPr>
    </w:p>
    <w:p w14:paraId="411B7FFB">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附件：法定代表人有效身份证正反面复印件</w:t>
      </w:r>
    </w:p>
    <w:p w14:paraId="57098CAF">
      <w:pPr>
        <w:spacing w:line="360" w:lineRule="auto"/>
        <w:ind w:left="540"/>
        <w:contextualSpacing/>
        <w:rPr>
          <w:rFonts w:hint="eastAsia" w:ascii="宋体" w:hAnsi="宋体" w:cs="仿宋_GB2312"/>
          <w:color w:val="auto"/>
          <w:sz w:val="24"/>
          <w:highlight w:val="none"/>
        </w:rPr>
      </w:pPr>
    </w:p>
    <w:p w14:paraId="246700E0">
      <w:pPr>
        <w:spacing w:line="360" w:lineRule="auto"/>
        <w:ind w:left="540"/>
        <w:contextualSpacing/>
        <w:rPr>
          <w:rFonts w:hint="eastAsia" w:ascii="宋体" w:hAnsi="宋体" w:cs="仿宋_GB2312"/>
          <w:color w:val="auto"/>
          <w:sz w:val="24"/>
          <w:highlight w:val="none"/>
        </w:rPr>
      </w:pPr>
    </w:p>
    <w:p w14:paraId="1E99490D">
      <w:pPr>
        <w:spacing w:line="360" w:lineRule="auto"/>
        <w:ind w:left="540" w:firstLine="3000" w:firstLineChars="125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r>
        <w:rPr>
          <w:rFonts w:hint="eastAsia" w:ascii="宋体" w:hAnsi="宋体" w:cs="仿宋_GB2312"/>
          <w:color w:val="auto"/>
          <w:sz w:val="24"/>
          <w:highlight w:val="none"/>
          <w:u w:val="single"/>
        </w:rPr>
        <w:t xml:space="preserve">               </w:t>
      </w:r>
    </w:p>
    <w:p w14:paraId="7994299F">
      <w:pPr>
        <w:spacing w:line="360" w:lineRule="auto"/>
        <w:ind w:firstLine="4080" w:firstLineChars="1700"/>
        <w:contextualSpacing/>
        <w:rPr>
          <w:rFonts w:hint="eastAsia" w:ascii="宋体" w:hAnsi="宋体" w:cs="仿宋_GB2312"/>
          <w:color w:val="auto"/>
          <w:sz w:val="24"/>
          <w:highlight w:val="none"/>
        </w:rPr>
      </w:pP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年</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月</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日</w:t>
      </w:r>
    </w:p>
    <w:p w14:paraId="440DB7EA">
      <w:pPr>
        <w:spacing w:line="360" w:lineRule="auto"/>
        <w:contextualSpacing/>
        <w:jc w:val="center"/>
        <w:rPr>
          <w:rFonts w:hint="eastAsia" w:ascii="宋体" w:hAnsi="宋体" w:cs="仿宋_GB2312"/>
          <w:b/>
          <w:color w:val="auto"/>
          <w:sz w:val="24"/>
          <w:highlight w:val="none"/>
        </w:rPr>
      </w:pPr>
    </w:p>
    <w:p w14:paraId="5D556F49">
      <w:pPr>
        <w:adjustRightInd w:val="0"/>
        <w:snapToGrid w:val="0"/>
        <w:spacing w:line="300" w:lineRule="auto"/>
        <w:jc w:val="left"/>
        <w:rPr>
          <w:rFonts w:hint="eastAsia" w:ascii="宋体" w:hAnsi="宋体"/>
          <w:b/>
          <w:color w:val="auto"/>
          <w:szCs w:val="21"/>
          <w:highlight w:val="none"/>
        </w:rPr>
      </w:pPr>
    </w:p>
    <w:p w14:paraId="319B3736">
      <w:pPr>
        <w:spacing w:line="5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r>
      <w:bookmarkStart w:id="75" w:name="_Hlk65853643"/>
      <w:r>
        <w:rPr>
          <w:rFonts w:hint="eastAsia" w:ascii="方正小标宋简体" w:hAnsi="方正小标宋简体" w:eastAsia="方正小标宋简体" w:cs="方正小标宋简体"/>
          <w:color w:val="auto"/>
          <w:sz w:val="44"/>
          <w:szCs w:val="44"/>
          <w:highlight w:val="none"/>
        </w:rPr>
        <w:t>授权委托书</w:t>
      </w:r>
    </w:p>
    <w:p w14:paraId="2AA1D77A">
      <w:pPr>
        <w:spacing w:line="52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32"/>
          <w:szCs w:val="32"/>
          <w:highlight w:val="none"/>
        </w:rPr>
        <w:t>（如有委托时）</w:t>
      </w:r>
    </w:p>
    <w:p w14:paraId="1DD43A64">
      <w:pPr>
        <w:spacing w:line="520" w:lineRule="exact"/>
        <w:rPr>
          <w:rFonts w:hint="eastAsia" w:ascii="仿宋_GB2312" w:hAnsi="仿宋_GB2312" w:eastAsia="仿宋_GB2312" w:cs="仿宋_GB2312"/>
          <w:color w:val="auto"/>
          <w:sz w:val="32"/>
          <w:szCs w:val="32"/>
          <w:highlight w:val="none"/>
        </w:rPr>
      </w:pPr>
    </w:p>
    <w:p w14:paraId="71D0C459">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致：</w:t>
      </w:r>
      <w:r>
        <w:rPr>
          <w:rFonts w:hint="eastAsia" w:ascii="宋体" w:hAnsi="宋体" w:cs="仿宋_GB2312"/>
          <w:color w:val="auto"/>
          <w:sz w:val="24"/>
          <w:highlight w:val="none"/>
          <w:u w:val="single"/>
        </w:rPr>
        <w:t>（采购人名称）</w:t>
      </w:r>
      <w:r>
        <w:rPr>
          <w:rFonts w:hint="eastAsia" w:ascii="宋体" w:hAnsi="宋体" w:cs="仿宋_GB2312"/>
          <w:color w:val="auto"/>
          <w:sz w:val="24"/>
          <w:highlight w:val="none"/>
        </w:rPr>
        <w:t>：</w:t>
      </w:r>
    </w:p>
    <w:p w14:paraId="7109891C">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t>□法定代表人/□负责人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（姓名）</w:t>
      </w:r>
      <w:r>
        <w:rPr>
          <w:rFonts w:hint="eastAsia" w:ascii="宋体" w:hAnsi="宋体" w:cs="仿宋_GB2312"/>
          <w:color w:val="auto"/>
          <w:sz w:val="24"/>
          <w:highlight w:val="none"/>
        </w:rPr>
        <w:t>以我方的名义参加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项目的竞标活动，并代表我方全权办理针对上述项目的所有采购程序和环节的具体事务和签署相关文件。</w:t>
      </w:r>
    </w:p>
    <w:p w14:paraId="15DDDDE7">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我方对委托代理人的签字</w:t>
      </w:r>
      <w:r>
        <w:rPr>
          <w:rFonts w:hint="eastAsia" w:ascii="宋体" w:hAnsi="宋体"/>
          <w:color w:val="auto"/>
          <w:sz w:val="24"/>
          <w:highlight w:val="none"/>
        </w:rPr>
        <w:t>或者电子签名</w:t>
      </w:r>
      <w:r>
        <w:rPr>
          <w:rFonts w:hint="eastAsia" w:ascii="宋体" w:hAnsi="宋体" w:cs="仿宋_GB2312"/>
          <w:color w:val="auto"/>
          <w:sz w:val="24"/>
          <w:highlight w:val="none"/>
        </w:rPr>
        <w:t>事项负全部责任。</w:t>
      </w:r>
    </w:p>
    <w:p w14:paraId="7B969B97">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5BDBE44B">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1DD1F594">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附：法定代表人身份证明书及委托代理人有效身份证正反面复印件</w:t>
      </w:r>
    </w:p>
    <w:p w14:paraId="1AC6EA90">
      <w:pPr>
        <w:spacing w:line="360" w:lineRule="auto"/>
        <w:rPr>
          <w:rFonts w:hint="eastAsia" w:ascii="宋体" w:hAnsi="宋体" w:cs="仿宋_GB2312"/>
          <w:color w:val="auto"/>
          <w:sz w:val="24"/>
          <w:highlight w:val="none"/>
        </w:rPr>
      </w:pPr>
    </w:p>
    <w:p w14:paraId="5C2147D7">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委托代理人（</w:t>
      </w:r>
      <w:r>
        <w:rPr>
          <w:rFonts w:hint="eastAsia" w:ascii="宋体" w:hAnsi="宋体"/>
          <w:color w:val="auto"/>
          <w:sz w:val="24"/>
          <w:highlight w:val="none"/>
        </w:rPr>
        <w:t>签字或者电子签名</w:t>
      </w:r>
      <w:r>
        <w:rPr>
          <w:rFonts w:hint="eastAsia" w:ascii="宋体" w:hAnsi="宋体" w:cs="仿宋_GB2312"/>
          <w:color w:val="auto"/>
          <w:sz w:val="24"/>
          <w:highlight w:val="none"/>
        </w:rPr>
        <w:t xml:space="preserve">）：     法定代表人（签字或者盖章或者电子签名）：                    </w:t>
      </w:r>
    </w:p>
    <w:p w14:paraId="03CDDF6C">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0C00DD52">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18375747">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供应商（电子签章）：                      </w:t>
      </w:r>
    </w:p>
    <w:p w14:paraId="1E1BF305">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年    月    日</w:t>
      </w:r>
    </w:p>
    <w:p w14:paraId="3146D172">
      <w:pPr>
        <w:spacing w:line="360" w:lineRule="auto"/>
        <w:rPr>
          <w:rFonts w:hint="eastAsia" w:ascii="宋体" w:hAnsi="宋体" w:cs="仿宋_GB2312"/>
          <w:color w:val="auto"/>
          <w:sz w:val="24"/>
          <w:highlight w:val="none"/>
        </w:rPr>
      </w:pPr>
    </w:p>
    <w:p w14:paraId="04DDD8F6">
      <w:pPr>
        <w:spacing w:line="360" w:lineRule="auto"/>
        <w:rPr>
          <w:rFonts w:hint="eastAsia" w:ascii="宋体" w:hAnsi="宋体" w:cs="仿宋_GB2312"/>
          <w:color w:val="auto"/>
          <w:sz w:val="24"/>
          <w:highlight w:val="none"/>
        </w:rPr>
      </w:pPr>
    </w:p>
    <w:p w14:paraId="4DD900FA">
      <w:pPr>
        <w:spacing w:line="360" w:lineRule="auto"/>
        <w:rPr>
          <w:rFonts w:hint="eastAsia" w:ascii="宋体" w:hAnsi="宋体" w:cs="仿宋_GB2312"/>
          <w:color w:val="auto"/>
          <w:sz w:val="24"/>
          <w:highlight w:val="none"/>
        </w:rPr>
      </w:pPr>
    </w:p>
    <w:p w14:paraId="190745B9">
      <w:pPr>
        <w:spacing w:line="360" w:lineRule="auto"/>
        <w:rPr>
          <w:rFonts w:hint="eastAsia" w:ascii="宋体" w:hAnsi="宋体" w:cs="仿宋_GB2312"/>
          <w:color w:val="auto"/>
          <w:sz w:val="24"/>
          <w:highlight w:val="none"/>
        </w:rPr>
      </w:pPr>
    </w:p>
    <w:p w14:paraId="470A87F3">
      <w:pPr>
        <w:spacing w:line="360" w:lineRule="auto"/>
        <w:rPr>
          <w:rFonts w:hint="eastAsia" w:ascii="宋体" w:hAnsi="宋体" w:cs="仿宋_GB2312"/>
          <w:color w:val="auto"/>
          <w:sz w:val="24"/>
          <w:highlight w:val="none"/>
        </w:rPr>
      </w:pPr>
    </w:p>
    <w:p w14:paraId="7A0E4286">
      <w:pPr>
        <w:spacing w:line="360" w:lineRule="auto"/>
        <w:ind w:firstLine="480" w:firstLineChars="200"/>
        <w:rPr>
          <w:rFonts w:hint="eastAsia" w:ascii="宋体" w:hAnsi="宋体" w:cs="仿宋_GB2312"/>
          <w:color w:val="auto"/>
          <w:sz w:val="24"/>
          <w:highlight w:val="none"/>
        </w:rPr>
      </w:pPr>
      <w:r>
        <w:rPr>
          <w:rFonts w:hint="eastAsia" w:ascii="宋体" w:hAnsi="宋体" w:cs="仿宋_GB2312"/>
          <w:color w:val="auto"/>
          <w:sz w:val="24"/>
          <w:highlight w:val="none"/>
        </w:rPr>
        <w:t>注：法定代表人必须在授权委托书上签字或者盖章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否则其响应文件按无效处理。</w:t>
      </w:r>
    </w:p>
    <w:p w14:paraId="101B194D">
      <w:pPr>
        <w:spacing w:line="360" w:lineRule="auto"/>
        <w:ind w:firstLine="420" w:firstLineChars="200"/>
        <w:jc w:val="left"/>
        <w:rPr>
          <w:rFonts w:hint="eastAsia" w:ascii="仿宋_GB2312" w:hAnsi="仿宋_GB2312" w:eastAsia="仿宋_GB2312" w:cs="仿宋_GB2312"/>
          <w:color w:val="auto"/>
          <w:szCs w:val="21"/>
          <w:highlight w:val="none"/>
        </w:rPr>
      </w:pPr>
    </w:p>
    <w:p w14:paraId="7AA653F2">
      <w:pPr>
        <w:spacing w:line="500" w:lineRule="exact"/>
        <w:jc w:val="center"/>
        <w:rPr>
          <w:rFonts w:hint="eastAsia" w:ascii="方正小标宋简体" w:hAnsi="方正小标宋简体" w:eastAsia="方正小标宋简体" w:cs="方正小标宋简体"/>
          <w:bCs/>
          <w:color w:val="auto"/>
          <w:sz w:val="44"/>
          <w:szCs w:val="44"/>
          <w:highlight w:val="none"/>
        </w:rPr>
      </w:pPr>
      <w:r>
        <w:rPr>
          <w:rFonts w:ascii="仿宋_GB2312" w:hAnsi="仿宋_GB2312" w:eastAsia="仿宋_GB2312" w:cs="仿宋_GB2312"/>
          <w:color w:val="auto"/>
          <w:szCs w:val="21"/>
          <w:highlight w:val="none"/>
        </w:rPr>
        <w:br w:type="page"/>
      </w:r>
      <w:bookmarkEnd w:id="75"/>
      <w:r>
        <w:rPr>
          <w:rFonts w:hint="eastAsia" w:ascii="方正小标宋简体" w:hAnsi="方正小标宋简体" w:eastAsia="方正小标宋简体" w:cs="方正小标宋简体"/>
          <w:bCs/>
          <w:color w:val="auto"/>
          <w:sz w:val="44"/>
          <w:szCs w:val="44"/>
          <w:highlight w:val="none"/>
        </w:rPr>
        <w:t>施工组织设计</w:t>
      </w:r>
    </w:p>
    <w:p w14:paraId="59EF54DD">
      <w:pPr>
        <w:spacing w:line="500" w:lineRule="exact"/>
        <w:jc w:val="center"/>
        <w:rPr>
          <w:rFonts w:hint="eastAsia" w:ascii="方正小标宋简体" w:hAnsi="方正小标宋简体" w:eastAsia="方正小标宋简体" w:cs="方正小标宋简体"/>
          <w:bCs/>
          <w:color w:val="auto"/>
          <w:sz w:val="28"/>
          <w:szCs w:val="28"/>
          <w:highlight w:val="none"/>
        </w:rPr>
      </w:pPr>
      <w:r>
        <w:rPr>
          <w:rFonts w:hint="eastAsia" w:ascii="方正小标宋简体" w:hAnsi="方正小标宋简体" w:eastAsia="方正小标宋简体" w:cs="方正小标宋简体"/>
          <w:bCs/>
          <w:color w:val="auto"/>
          <w:sz w:val="28"/>
          <w:szCs w:val="28"/>
          <w:highlight w:val="none"/>
        </w:rPr>
        <w:t>（格式自拟）</w:t>
      </w:r>
    </w:p>
    <w:p w14:paraId="4D977621">
      <w:pPr>
        <w:adjustRightInd w:val="0"/>
        <w:snapToGrid w:val="0"/>
        <w:spacing w:line="300" w:lineRule="auto"/>
        <w:jc w:val="center"/>
        <w:rPr>
          <w:rFonts w:hint="eastAsia" w:ascii="方正小标宋简体" w:hAnsi="方正小标宋简体" w:eastAsia="方正小标宋简体" w:cs="方正小标宋简体"/>
          <w:bCs/>
          <w:color w:val="auto"/>
          <w:sz w:val="36"/>
          <w:szCs w:val="36"/>
          <w:highlight w:val="none"/>
        </w:rPr>
      </w:pPr>
      <w:r>
        <w:rPr>
          <w:rFonts w:ascii="方正小标宋简体" w:hAnsi="方正小标宋简体" w:eastAsia="方正小标宋简体" w:cs="方正小标宋简体"/>
          <w:bCs/>
          <w:color w:val="auto"/>
          <w:sz w:val="44"/>
          <w:szCs w:val="44"/>
          <w:highlight w:val="none"/>
        </w:rPr>
        <w:br w:type="page"/>
      </w:r>
      <w:r>
        <w:rPr>
          <w:rFonts w:hint="eastAsia" w:ascii="方正小标宋简体" w:hAnsi="方正小标宋简体" w:eastAsia="方正小标宋简体" w:cs="方正小标宋简体"/>
          <w:bCs/>
          <w:color w:val="auto"/>
          <w:sz w:val="36"/>
          <w:szCs w:val="36"/>
          <w:highlight w:val="none"/>
        </w:rPr>
        <w:t>项目管理机构配备情况表（格式）</w:t>
      </w:r>
    </w:p>
    <w:p w14:paraId="469BB3A5">
      <w:pPr>
        <w:adjustRightInd w:val="0"/>
        <w:snapToGrid w:val="0"/>
        <w:spacing w:line="300" w:lineRule="auto"/>
        <w:jc w:val="center"/>
        <w:rPr>
          <w:rFonts w:hint="eastAsia" w:ascii="方正小标宋简体" w:hAnsi="方正小标宋简体" w:eastAsia="方正小标宋简体" w:cs="方正小标宋简体"/>
          <w:bCs/>
          <w:color w:val="auto"/>
          <w:sz w:val="36"/>
          <w:szCs w:val="36"/>
          <w:highlight w:val="none"/>
        </w:rPr>
      </w:pP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670"/>
        <w:gridCol w:w="829"/>
        <w:gridCol w:w="816"/>
        <w:gridCol w:w="1148"/>
        <w:gridCol w:w="1148"/>
        <w:gridCol w:w="1148"/>
        <w:gridCol w:w="744"/>
        <w:gridCol w:w="1167"/>
        <w:gridCol w:w="1276"/>
      </w:tblGrid>
      <w:tr w14:paraId="66B5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20" w:type="dxa"/>
            <w:vMerge w:val="restart"/>
            <w:vAlign w:val="center"/>
          </w:tcPr>
          <w:p w14:paraId="5E478ABF">
            <w:pPr>
              <w:ind w:left="223" w:hanging="222" w:hangingChars="106"/>
              <w:jc w:val="center"/>
              <w:rPr>
                <w:color w:val="auto"/>
                <w:highlight w:val="none"/>
              </w:rPr>
            </w:pPr>
            <w:r>
              <w:rPr>
                <w:color w:val="auto"/>
                <w:highlight w:val="none"/>
              </w:rPr>
              <w:t>岗位</w:t>
            </w:r>
          </w:p>
        </w:tc>
        <w:tc>
          <w:tcPr>
            <w:tcW w:w="670" w:type="dxa"/>
            <w:vMerge w:val="restart"/>
            <w:vAlign w:val="center"/>
          </w:tcPr>
          <w:p w14:paraId="79A29800">
            <w:pPr>
              <w:ind w:left="223" w:hanging="222" w:hangingChars="106"/>
              <w:jc w:val="center"/>
              <w:rPr>
                <w:color w:val="auto"/>
                <w:highlight w:val="none"/>
              </w:rPr>
            </w:pPr>
            <w:r>
              <w:rPr>
                <w:color w:val="auto"/>
                <w:highlight w:val="none"/>
              </w:rPr>
              <w:t>姓名</w:t>
            </w:r>
          </w:p>
        </w:tc>
        <w:tc>
          <w:tcPr>
            <w:tcW w:w="829" w:type="dxa"/>
            <w:vMerge w:val="restart"/>
            <w:vAlign w:val="center"/>
          </w:tcPr>
          <w:p w14:paraId="6DAE374D">
            <w:pPr>
              <w:jc w:val="center"/>
              <w:rPr>
                <w:color w:val="auto"/>
                <w:highlight w:val="none"/>
              </w:rPr>
            </w:pPr>
            <w:r>
              <w:rPr>
                <w:color w:val="auto"/>
                <w:highlight w:val="none"/>
              </w:rPr>
              <w:t>身份证号</w:t>
            </w:r>
          </w:p>
        </w:tc>
        <w:tc>
          <w:tcPr>
            <w:tcW w:w="816" w:type="dxa"/>
            <w:vMerge w:val="restart"/>
            <w:vAlign w:val="center"/>
          </w:tcPr>
          <w:p w14:paraId="4F8C7630">
            <w:pPr>
              <w:ind w:left="223" w:hanging="222" w:hangingChars="106"/>
              <w:jc w:val="center"/>
              <w:rPr>
                <w:color w:val="auto"/>
                <w:highlight w:val="none"/>
              </w:rPr>
            </w:pPr>
            <w:r>
              <w:rPr>
                <w:color w:val="auto"/>
                <w:highlight w:val="none"/>
              </w:rPr>
              <w:t>职称</w:t>
            </w:r>
          </w:p>
        </w:tc>
        <w:tc>
          <w:tcPr>
            <w:tcW w:w="4188" w:type="dxa"/>
            <w:gridSpan w:val="4"/>
            <w:vAlign w:val="center"/>
          </w:tcPr>
          <w:p w14:paraId="5A9EFAF5">
            <w:pPr>
              <w:ind w:left="223" w:hanging="222" w:hangingChars="106"/>
              <w:jc w:val="center"/>
              <w:rPr>
                <w:color w:val="auto"/>
                <w:highlight w:val="none"/>
              </w:rPr>
            </w:pPr>
            <w:r>
              <w:rPr>
                <w:color w:val="auto"/>
                <w:highlight w:val="none"/>
              </w:rPr>
              <w:t>执业或职业资格</w:t>
            </w:r>
          </w:p>
        </w:tc>
        <w:tc>
          <w:tcPr>
            <w:tcW w:w="2443" w:type="dxa"/>
            <w:gridSpan w:val="2"/>
            <w:vAlign w:val="center"/>
          </w:tcPr>
          <w:p w14:paraId="200E7BF2">
            <w:pPr>
              <w:jc w:val="left"/>
              <w:rPr>
                <w:color w:val="auto"/>
                <w:highlight w:val="none"/>
              </w:rPr>
            </w:pPr>
            <w:r>
              <w:rPr>
                <w:color w:val="auto"/>
                <w:highlight w:val="none"/>
              </w:rPr>
              <w:t>承担完工</w:t>
            </w:r>
            <w:r>
              <w:rPr>
                <w:rFonts w:hint="eastAsia"/>
                <w:color w:val="auto"/>
                <w:highlight w:val="none"/>
              </w:rPr>
              <w:t>、</w:t>
            </w:r>
            <w:r>
              <w:rPr>
                <w:color w:val="auto"/>
                <w:highlight w:val="none"/>
              </w:rPr>
              <w:t>在建工程情况</w:t>
            </w:r>
          </w:p>
        </w:tc>
      </w:tr>
      <w:tr w14:paraId="68FA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20" w:type="dxa"/>
            <w:vMerge w:val="continue"/>
            <w:vAlign w:val="center"/>
          </w:tcPr>
          <w:p w14:paraId="656631D6">
            <w:pPr>
              <w:ind w:left="223" w:hanging="222" w:hangingChars="106"/>
              <w:jc w:val="center"/>
              <w:rPr>
                <w:color w:val="auto"/>
                <w:highlight w:val="none"/>
              </w:rPr>
            </w:pPr>
          </w:p>
        </w:tc>
        <w:tc>
          <w:tcPr>
            <w:tcW w:w="670" w:type="dxa"/>
            <w:vMerge w:val="continue"/>
            <w:vAlign w:val="center"/>
          </w:tcPr>
          <w:p w14:paraId="1C92DDC0">
            <w:pPr>
              <w:ind w:left="223" w:hanging="222" w:hangingChars="106"/>
              <w:jc w:val="center"/>
              <w:rPr>
                <w:color w:val="auto"/>
                <w:highlight w:val="none"/>
              </w:rPr>
            </w:pPr>
          </w:p>
        </w:tc>
        <w:tc>
          <w:tcPr>
            <w:tcW w:w="829" w:type="dxa"/>
            <w:vMerge w:val="continue"/>
            <w:vAlign w:val="center"/>
          </w:tcPr>
          <w:p w14:paraId="4951BDA8">
            <w:pPr>
              <w:ind w:left="223" w:hanging="222" w:hangingChars="106"/>
              <w:jc w:val="center"/>
              <w:rPr>
                <w:color w:val="auto"/>
                <w:highlight w:val="none"/>
              </w:rPr>
            </w:pPr>
          </w:p>
        </w:tc>
        <w:tc>
          <w:tcPr>
            <w:tcW w:w="816" w:type="dxa"/>
            <w:vMerge w:val="continue"/>
            <w:vAlign w:val="center"/>
          </w:tcPr>
          <w:p w14:paraId="5FE5A4A1">
            <w:pPr>
              <w:ind w:left="223" w:hanging="222" w:hangingChars="106"/>
              <w:jc w:val="center"/>
              <w:rPr>
                <w:color w:val="auto"/>
                <w:highlight w:val="none"/>
              </w:rPr>
            </w:pPr>
          </w:p>
        </w:tc>
        <w:tc>
          <w:tcPr>
            <w:tcW w:w="1148" w:type="dxa"/>
            <w:vAlign w:val="center"/>
          </w:tcPr>
          <w:p w14:paraId="07E9A316">
            <w:pPr>
              <w:ind w:left="223" w:hanging="222" w:hangingChars="106"/>
              <w:jc w:val="center"/>
              <w:rPr>
                <w:color w:val="auto"/>
                <w:highlight w:val="none"/>
              </w:rPr>
            </w:pPr>
            <w:r>
              <w:rPr>
                <w:color w:val="auto"/>
                <w:highlight w:val="none"/>
              </w:rPr>
              <w:t>证书名称</w:t>
            </w:r>
          </w:p>
        </w:tc>
        <w:tc>
          <w:tcPr>
            <w:tcW w:w="1148" w:type="dxa"/>
            <w:vAlign w:val="center"/>
          </w:tcPr>
          <w:p w14:paraId="29223A5E">
            <w:pPr>
              <w:ind w:left="223" w:hanging="222" w:hangingChars="106"/>
              <w:jc w:val="center"/>
              <w:rPr>
                <w:color w:val="auto"/>
                <w:highlight w:val="none"/>
              </w:rPr>
            </w:pPr>
            <w:r>
              <w:rPr>
                <w:color w:val="auto"/>
                <w:highlight w:val="none"/>
              </w:rPr>
              <w:t>级别</w:t>
            </w:r>
          </w:p>
        </w:tc>
        <w:tc>
          <w:tcPr>
            <w:tcW w:w="1148" w:type="dxa"/>
            <w:vAlign w:val="center"/>
          </w:tcPr>
          <w:p w14:paraId="2125E48B">
            <w:pPr>
              <w:ind w:left="223" w:hanging="222" w:hangingChars="106"/>
              <w:jc w:val="center"/>
              <w:rPr>
                <w:color w:val="auto"/>
                <w:highlight w:val="none"/>
              </w:rPr>
            </w:pPr>
            <w:r>
              <w:rPr>
                <w:color w:val="auto"/>
                <w:highlight w:val="none"/>
              </w:rPr>
              <w:t>证号</w:t>
            </w:r>
          </w:p>
        </w:tc>
        <w:tc>
          <w:tcPr>
            <w:tcW w:w="744" w:type="dxa"/>
            <w:vAlign w:val="center"/>
          </w:tcPr>
          <w:p w14:paraId="45BD6B68">
            <w:pPr>
              <w:ind w:left="223" w:hanging="222" w:hangingChars="106"/>
              <w:jc w:val="center"/>
              <w:rPr>
                <w:color w:val="auto"/>
                <w:highlight w:val="none"/>
              </w:rPr>
            </w:pPr>
            <w:r>
              <w:rPr>
                <w:color w:val="auto"/>
                <w:highlight w:val="none"/>
              </w:rPr>
              <w:t>专业</w:t>
            </w:r>
          </w:p>
        </w:tc>
        <w:tc>
          <w:tcPr>
            <w:tcW w:w="1167" w:type="dxa"/>
            <w:vAlign w:val="center"/>
          </w:tcPr>
          <w:p w14:paraId="0ECE567E">
            <w:pPr>
              <w:jc w:val="center"/>
              <w:rPr>
                <w:color w:val="auto"/>
                <w:highlight w:val="none"/>
              </w:rPr>
            </w:pPr>
            <w:r>
              <w:rPr>
                <w:rFonts w:hint="eastAsia"/>
                <w:color w:val="auto"/>
                <w:highlight w:val="none"/>
              </w:rPr>
              <w:t>完工/在建</w:t>
            </w:r>
          </w:p>
        </w:tc>
        <w:tc>
          <w:tcPr>
            <w:tcW w:w="1276" w:type="dxa"/>
            <w:vAlign w:val="center"/>
          </w:tcPr>
          <w:p w14:paraId="1CD8CDDB">
            <w:pPr>
              <w:jc w:val="center"/>
              <w:rPr>
                <w:color w:val="auto"/>
                <w:highlight w:val="none"/>
              </w:rPr>
            </w:pPr>
            <w:r>
              <w:rPr>
                <w:color w:val="auto"/>
                <w:highlight w:val="none"/>
              </w:rPr>
              <w:t>主要项目</w:t>
            </w:r>
          </w:p>
          <w:p w14:paraId="445E193C">
            <w:pPr>
              <w:jc w:val="center"/>
              <w:rPr>
                <w:color w:val="auto"/>
                <w:highlight w:val="none"/>
              </w:rPr>
            </w:pPr>
            <w:r>
              <w:rPr>
                <w:color w:val="auto"/>
                <w:highlight w:val="none"/>
              </w:rPr>
              <w:t>名称</w:t>
            </w:r>
          </w:p>
        </w:tc>
      </w:tr>
      <w:tr w14:paraId="2D54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7BBCCD3F">
            <w:pPr>
              <w:pStyle w:val="78"/>
              <w:spacing w:line="240" w:lineRule="auto"/>
              <w:ind w:firstLine="0"/>
              <w:rPr>
                <w:rFonts w:hint="eastAsia"/>
                <w:color w:val="auto"/>
                <w:sz w:val="21"/>
                <w:szCs w:val="21"/>
                <w:highlight w:val="none"/>
              </w:rPr>
            </w:pPr>
            <w:r>
              <w:rPr>
                <w:rFonts w:ascii="Times New Roman" w:hAnsi="Times New Roman" w:eastAsia="Times New Roman" w:cs="Times New Roman"/>
                <w:color w:val="auto"/>
                <w:sz w:val="21"/>
                <w:szCs w:val="21"/>
                <w:highlight w:val="none"/>
                <w:lang w:val="en-US" w:eastAsia="en-US" w:bidi="en-US"/>
              </w:rPr>
              <w:t>1.</w:t>
            </w:r>
            <w:r>
              <w:rPr>
                <w:color w:val="auto"/>
                <w:sz w:val="21"/>
                <w:szCs w:val="21"/>
                <w:highlight w:val="none"/>
              </w:rPr>
              <w:t>项目经理</w:t>
            </w:r>
          </w:p>
        </w:tc>
        <w:tc>
          <w:tcPr>
            <w:tcW w:w="670" w:type="dxa"/>
            <w:vAlign w:val="center"/>
          </w:tcPr>
          <w:p w14:paraId="151AF362">
            <w:pPr>
              <w:ind w:left="223" w:hanging="222" w:hangingChars="106"/>
              <w:jc w:val="center"/>
              <w:rPr>
                <w:color w:val="auto"/>
                <w:szCs w:val="21"/>
                <w:highlight w:val="none"/>
              </w:rPr>
            </w:pPr>
          </w:p>
        </w:tc>
        <w:tc>
          <w:tcPr>
            <w:tcW w:w="829" w:type="dxa"/>
            <w:vAlign w:val="center"/>
          </w:tcPr>
          <w:p w14:paraId="45F7B611">
            <w:pPr>
              <w:ind w:left="223" w:hanging="222" w:hangingChars="106"/>
              <w:jc w:val="center"/>
              <w:rPr>
                <w:color w:val="auto"/>
                <w:szCs w:val="21"/>
                <w:highlight w:val="none"/>
              </w:rPr>
            </w:pPr>
          </w:p>
        </w:tc>
        <w:tc>
          <w:tcPr>
            <w:tcW w:w="816" w:type="dxa"/>
            <w:vAlign w:val="center"/>
          </w:tcPr>
          <w:p w14:paraId="4B107E3F">
            <w:pPr>
              <w:ind w:left="223" w:hanging="222" w:hangingChars="106"/>
              <w:jc w:val="center"/>
              <w:rPr>
                <w:color w:val="auto"/>
                <w:szCs w:val="21"/>
                <w:highlight w:val="none"/>
              </w:rPr>
            </w:pPr>
          </w:p>
        </w:tc>
        <w:tc>
          <w:tcPr>
            <w:tcW w:w="1148" w:type="dxa"/>
            <w:vAlign w:val="center"/>
          </w:tcPr>
          <w:p w14:paraId="52C80915">
            <w:pPr>
              <w:ind w:left="223" w:hanging="222" w:hangingChars="106"/>
              <w:jc w:val="center"/>
              <w:rPr>
                <w:color w:val="auto"/>
                <w:szCs w:val="21"/>
                <w:highlight w:val="none"/>
              </w:rPr>
            </w:pPr>
          </w:p>
        </w:tc>
        <w:tc>
          <w:tcPr>
            <w:tcW w:w="1148" w:type="dxa"/>
            <w:vAlign w:val="center"/>
          </w:tcPr>
          <w:p w14:paraId="5F114E6F">
            <w:pPr>
              <w:ind w:left="223" w:hanging="222" w:hangingChars="106"/>
              <w:jc w:val="center"/>
              <w:rPr>
                <w:color w:val="auto"/>
                <w:szCs w:val="21"/>
                <w:highlight w:val="none"/>
              </w:rPr>
            </w:pPr>
          </w:p>
        </w:tc>
        <w:tc>
          <w:tcPr>
            <w:tcW w:w="1148" w:type="dxa"/>
            <w:vAlign w:val="center"/>
          </w:tcPr>
          <w:p w14:paraId="35FAD011">
            <w:pPr>
              <w:ind w:left="223" w:hanging="222" w:hangingChars="106"/>
              <w:jc w:val="center"/>
              <w:rPr>
                <w:color w:val="auto"/>
                <w:szCs w:val="21"/>
                <w:highlight w:val="none"/>
              </w:rPr>
            </w:pPr>
          </w:p>
        </w:tc>
        <w:tc>
          <w:tcPr>
            <w:tcW w:w="744" w:type="dxa"/>
            <w:vAlign w:val="center"/>
          </w:tcPr>
          <w:p w14:paraId="720CEA8C">
            <w:pPr>
              <w:ind w:left="223" w:hanging="222" w:hangingChars="106"/>
              <w:jc w:val="center"/>
              <w:rPr>
                <w:color w:val="auto"/>
                <w:szCs w:val="21"/>
                <w:highlight w:val="none"/>
              </w:rPr>
            </w:pPr>
          </w:p>
        </w:tc>
        <w:tc>
          <w:tcPr>
            <w:tcW w:w="1167" w:type="dxa"/>
            <w:vAlign w:val="center"/>
          </w:tcPr>
          <w:p w14:paraId="748EFCE9">
            <w:pPr>
              <w:ind w:left="223" w:hanging="222" w:hangingChars="106"/>
              <w:jc w:val="center"/>
              <w:rPr>
                <w:color w:val="auto"/>
                <w:szCs w:val="21"/>
                <w:highlight w:val="none"/>
              </w:rPr>
            </w:pPr>
          </w:p>
        </w:tc>
        <w:tc>
          <w:tcPr>
            <w:tcW w:w="1276" w:type="dxa"/>
            <w:vAlign w:val="center"/>
          </w:tcPr>
          <w:p w14:paraId="2C8960D2">
            <w:pPr>
              <w:ind w:left="223" w:hanging="222" w:hangingChars="106"/>
              <w:jc w:val="center"/>
              <w:rPr>
                <w:color w:val="auto"/>
                <w:szCs w:val="21"/>
                <w:highlight w:val="none"/>
              </w:rPr>
            </w:pPr>
          </w:p>
        </w:tc>
      </w:tr>
      <w:tr w14:paraId="226A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0E8D5646">
            <w:pPr>
              <w:pStyle w:val="78"/>
              <w:spacing w:line="240" w:lineRule="auto"/>
              <w:ind w:firstLine="0"/>
              <w:rPr>
                <w:rFonts w:hint="eastAsia"/>
                <w:color w:val="auto"/>
                <w:sz w:val="21"/>
                <w:szCs w:val="21"/>
                <w:highlight w:val="none"/>
              </w:rPr>
            </w:pPr>
            <w:r>
              <w:rPr>
                <w:rFonts w:ascii="Times New Roman" w:hAnsi="Times New Roman" w:eastAsia="Times New Roman" w:cs="Times New Roman"/>
                <w:color w:val="auto"/>
                <w:sz w:val="21"/>
                <w:szCs w:val="21"/>
                <w:highlight w:val="none"/>
                <w:lang w:val="en-US" w:bidi="en-US"/>
              </w:rPr>
              <w:t>2.</w:t>
            </w:r>
            <w:r>
              <w:rPr>
                <w:color w:val="auto"/>
                <w:sz w:val="21"/>
                <w:szCs w:val="21"/>
                <w:highlight w:val="none"/>
              </w:rPr>
              <w:t>技术负责人</w:t>
            </w:r>
            <w:r>
              <w:rPr>
                <w:rFonts w:hint="eastAsia"/>
                <w:color w:val="auto"/>
                <w:sz w:val="21"/>
                <w:szCs w:val="21"/>
                <w:highlight w:val="none"/>
              </w:rPr>
              <w:t>（项目总工）</w:t>
            </w:r>
          </w:p>
        </w:tc>
        <w:tc>
          <w:tcPr>
            <w:tcW w:w="670" w:type="dxa"/>
            <w:vAlign w:val="center"/>
          </w:tcPr>
          <w:p w14:paraId="5F33641D">
            <w:pPr>
              <w:ind w:left="223" w:hanging="222" w:hangingChars="106"/>
              <w:jc w:val="center"/>
              <w:rPr>
                <w:color w:val="auto"/>
                <w:szCs w:val="21"/>
                <w:highlight w:val="none"/>
              </w:rPr>
            </w:pPr>
          </w:p>
        </w:tc>
        <w:tc>
          <w:tcPr>
            <w:tcW w:w="829" w:type="dxa"/>
            <w:vAlign w:val="center"/>
          </w:tcPr>
          <w:p w14:paraId="51949E93">
            <w:pPr>
              <w:ind w:left="223" w:hanging="222" w:hangingChars="106"/>
              <w:jc w:val="center"/>
              <w:rPr>
                <w:color w:val="auto"/>
                <w:szCs w:val="21"/>
                <w:highlight w:val="none"/>
              </w:rPr>
            </w:pPr>
          </w:p>
        </w:tc>
        <w:tc>
          <w:tcPr>
            <w:tcW w:w="816" w:type="dxa"/>
            <w:vAlign w:val="center"/>
          </w:tcPr>
          <w:p w14:paraId="4D9458C6">
            <w:pPr>
              <w:ind w:left="223" w:hanging="222" w:hangingChars="106"/>
              <w:jc w:val="center"/>
              <w:rPr>
                <w:color w:val="auto"/>
                <w:szCs w:val="21"/>
                <w:highlight w:val="none"/>
              </w:rPr>
            </w:pPr>
          </w:p>
        </w:tc>
        <w:tc>
          <w:tcPr>
            <w:tcW w:w="1148" w:type="dxa"/>
            <w:vAlign w:val="center"/>
          </w:tcPr>
          <w:p w14:paraId="4F1E88EF">
            <w:pPr>
              <w:ind w:left="223" w:hanging="222" w:hangingChars="106"/>
              <w:jc w:val="center"/>
              <w:rPr>
                <w:color w:val="auto"/>
                <w:szCs w:val="21"/>
                <w:highlight w:val="none"/>
              </w:rPr>
            </w:pPr>
          </w:p>
        </w:tc>
        <w:tc>
          <w:tcPr>
            <w:tcW w:w="1148" w:type="dxa"/>
            <w:vAlign w:val="center"/>
          </w:tcPr>
          <w:p w14:paraId="61780CF8">
            <w:pPr>
              <w:ind w:left="223" w:hanging="222" w:hangingChars="106"/>
              <w:jc w:val="center"/>
              <w:rPr>
                <w:color w:val="auto"/>
                <w:szCs w:val="21"/>
                <w:highlight w:val="none"/>
              </w:rPr>
            </w:pPr>
          </w:p>
        </w:tc>
        <w:tc>
          <w:tcPr>
            <w:tcW w:w="1148" w:type="dxa"/>
            <w:vAlign w:val="center"/>
          </w:tcPr>
          <w:p w14:paraId="55965F42">
            <w:pPr>
              <w:ind w:left="223" w:hanging="222" w:hangingChars="106"/>
              <w:jc w:val="center"/>
              <w:rPr>
                <w:color w:val="auto"/>
                <w:szCs w:val="21"/>
                <w:highlight w:val="none"/>
              </w:rPr>
            </w:pPr>
          </w:p>
        </w:tc>
        <w:tc>
          <w:tcPr>
            <w:tcW w:w="744" w:type="dxa"/>
            <w:vAlign w:val="center"/>
          </w:tcPr>
          <w:p w14:paraId="04D146AA">
            <w:pPr>
              <w:ind w:left="223" w:hanging="222" w:hangingChars="106"/>
              <w:jc w:val="center"/>
              <w:rPr>
                <w:color w:val="auto"/>
                <w:szCs w:val="21"/>
                <w:highlight w:val="none"/>
              </w:rPr>
            </w:pPr>
          </w:p>
        </w:tc>
        <w:tc>
          <w:tcPr>
            <w:tcW w:w="1167" w:type="dxa"/>
            <w:vAlign w:val="center"/>
          </w:tcPr>
          <w:p w14:paraId="6B909982">
            <w:pPr>
              <w:ind w:left="223" w:hanging="222" w:hangingChars="106"/>
              <w:jc w:val="center"/>
              <w:rPr>
                <w:color w:val="auto"/>
                <w:szCs w:val="21"/>
                <w:highlight w:val="none"/>
              </w:rPr>
            </w:pPr>
          </w:p>
        </w:tc>
        <w:tc>
          <w:tcPr>
            <w:tcW w:w="1276" w:type="dxa"/>
            <w:vAlign w:val="center"/>
          </w:tcPr>
          <w:p w14:paraId="255E0172">
            <w:pPr>
              <w:ind w:left="223" w:hanging="222" w:hangingChars="106"/>
              <w:jc w:val="center"/>
              <w:rPr>
                <w:color w:val="auto"/>
                <w:szCs w:val="21"/>
                <w:highlight w:val="none"/>
              </w:rPr>
            </w:pPr>
          </w:p>
        </w:tc>
      </w:tr>
      <w:tr w14:paraId="040D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5FE2CEFA">
            <w:pPr>
              <w:pStyle w:val="78"/>
              <w:spacing w:line="240" w:lineRule="auto"/>
              <w:ind w:firstLine="0"/>
              <w:rPr>
                <w:rFonts w:hint="eastAsia"/>
                <w:color w:val="auto"/>
                <w:sz w:val="21"/>
                <w:szCs w:val="21"/>
                <w:highlight w:val="none"/>
              </w:rPr>
            </w:pPr>
            <w:r>
              <w:rPr>
                <w:rFonts w:ascii="Times New Roman" w:hAnsi="Times New Roman" w:eastAsia="Times New Roman" w:cs="Times New Roman"/>
                <w:color w:val="auto"/>
                <w:sz w:val="21"/>
                <w:szCs w:val="21"/>
                <w:highlight w:val="none"/>
                <w:lang w:val="en-US" w:eastAsia="en-US" w:bidi="en-US"/>
              </w:rPr>
              <w:t>3.</w:t>
            </w:r>
            <w:r>
              <w:rPr>
                <w:rFonts w:hint="eastAsia"/>
                <w:color w:val="auto"/>
                <w:sz w:val="21"/>
                <w:szCs w:val="21"/>
                <w:highlight w:val="none"/>
              </w:rPr>
              <w:t xml:space="preserve"> 施工员</w:t>
            </w:r>
          </w:p>
        </w:tc>
        <w:tc>
          <w:tcPr>
            <w:tcW w:w="670" w:type="dxa"/>
            <w:vAlign w:val="center"/>
          </w:tcPr>
          <w:p w14:paraId="1B2B3F17">
            <w:pPr>
              <w:ind w:left="223" w:hanging="222" w:hangingChars="106"/>
              <w:jc w:val="center"/>
              <w:rPr>
                <w:color w:val="auto"/>
                <w:szCs w:val="21"/>
                <w:highlight w:val="none"/>
              </w:rPr>
            </w:pPr>
          </w:p>
        </w:tc>
        <w:tc>
          <w:tcPr>
            <w:tcW w:w="829" w:type="dxa"/>
            <w:vAlign w:val="center"/>
          </w:tcPr>
          <w:p w14:paraId="652008E7">
            <w:pPr>
              <w:ind w:left="223" w:hanging="222" w:hangingChars="106"/>
              <w:jc w:val="center"/>
              <w:rPr>
                <w:color w:val="auto"/>
                <w:szCs w:val="21"/>
                <w:highlight w:val="none"/>
              </w:rPr>
            </w:pPr>
          </w:p>
        </w:tc>
        <w:tc>
          <w:tcPr>
            <w:tcW w:w="816" w:type="dxa"/>
            <w:vAlign w:val="center"/>
          </w:tcPr>
          <w:p w14:paraId="190284ED">
            <w:pPr>
              <w:ind w:left="223" w:hanging="222" w:hangingChars="106"/>
              <w:jc w:val="center"/>
              <w:rPr>
                <w:color w:val="auto"/>
                <w:szCs w:val="21"/>
                <w:highlight w:val="none"/>
              </w:rPr>
            </w:pPr>
          </w:p>
        </w:tc>
        <w:tc>
          <w:tcPr>
            <w:tcW w:w="1148" w:type="dxa"/>
            <w:vAlign w:val="center"/>
          </w:tcPr>
          <w:p w14:paraId="10B22702">
            <w:pPr>
              <w:ind w:left="223" w:hanging="222" w:hangingChars="106"/>
              <w:jc w:val="center"/>
              <w:rPr>
                <w:color w:val="auto"/>
                <w:szCs w:val="21"/>
                <w:highlight w:val="none"/>
              </w:rPr>
            </w:pPr>
          </w:p>
        </w:tc>
        <w:tc>
          <w:tcPr>
            <w:tcW w:w="1148" w:type="dxa"/>
            <w:vAlign w:val="center"/>
          </w:tcPr>
          <w:p w14:paraId="1D8F1FF7">
            <w:pPr>
              <w:ind w:left="223" w:hanging="222" w:hangingChars="106"/>
              <w:jc w:val="center"/>
              <w:rPr>
                <w:color w:val="auto"/>
                <w:szCs w:val="21"/>
                <w:highlight w:val="none"/>
              </w:rPr>
            </w:pPr>
          </w:p>
        </w:tc>
        <w:tc>
          <w:tcPr>
            <w:tcW w:w="1148" w:type="dxa"/>
            <w:vAlign w:val="center"/>
          </w:tcPr>
          <w:p w14:paraId="16CA0EF7">
            <w:pPr>
              <w:ind w:left="223" w:hanging="222" w:hangingChars="106"/>
              <w:jc w:val="center"/>
              <w:rPr>
                <w:color w:val="auto"/>
                <w:szCs w:val="21"/>
                <w:highlight w:val="none"/>
              </w:rPr>
            </w:pPr>
          </w:p>
        </w:tc>
        <w:tc>
          <w:tcPr>
            <w:tcW w:w="744" w:type="dxa"/>
            <w:vAlign w:val="center"/>
          </w:tcPr>
          <w:p w14:paraId="60ACD11A">
            <w:pPr>
              <w:ind w:left="223" w:hanging="222" w:hangingChars="106"/>
              <w:jc w:val="center"/>
              <w:rPr>
                <w:color w:val="auto"/>
                <w:szCs w:val="21"/>
                <w:highlight w:val="none"/>
              </w:rPr>
            </w:pPr>
          </w:p>
        </w:tc>
        <w:tc>
          <w:tcPr>
            <w:tcW w:w="1167" w:type="dxa"/>
            <w:vAlign w:val="center"/>
          </w:tcPr>
          <w:p w14:paraId="60DEB533">
            <w:pPr>
              <w:ind w:left="223" w:hanging="222" w:hangingChars="106"/>
              <w:jc w:val="center"/>
              <w:rPr>
                <w:color w:val="auto"/>
                <w:szCs w:val="21"/>
                <w:highlight w:val="none"/>
              </w:rPr>
            </w:pPr>
          </w:p>
        </w:tc>
        <w:tc>
          <w:tcPr>
            <w:tcW w:w="1276" w:type="dxa"/>
            <w:vAlign w:val="center"/>
          </w:tcPr>
          <w:p w14:paraId="5ADA4ECD">
            <w:pPr>
              <w:ind w:left="223" w:hanging="222" w:hangingChars="106"/>
              <w:jc w:val="center"/>
              <w:rPr>
                <w:color w:val="auto"/>
                <w:szCs w:val="21"/>
                <w:highlight w:val="none"/>
              </w:rPr>
            </w:pPr>
          </w:p>
        </w:tc>
      </w:tr>
      <w:tr w14:paraId="061D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25C3E928">
            <w:pPr>
              <w:pStyle w:val="78"/>
              <w:spacing w:line="240" w:lineRule="auto"/>
              <w:ind w:firstLine="0"/>
              <w:rPr>
                <w:rFonts w:hint="eastAsia"/>
                <w:color w:val="auto"/>
                <w:sz w:val="21"/>
                <w:szCs w:val="21"/>
                <w:highlight w:val="none"/>
              </w:rPr>
            </w:pPr>
            <w:r>
              <w:rPr>
                <w:rFonts w:ascii="Times New Roman" w:hAnsi="Times New Roman" w:eastAsia="Times New Roman" w:cs="Times New Roman"/>
                <w:color w:val="auto"/>
                <w:sz w:val="21"/>
                <w:szCs w:val="21"/>
                <w:highlight w:val="none"/>
                <w:lang w:val="en-US" w:eastAsia="en-US" w:bidi="en-US"/>
              </w:rPr>
              <w:t>4.</w:t>
            </w:r>
            <w:r>
              <w:rPr>
                <w:color w:val="auto"/>
                <w:sz w:val="21"/>
                <w:szCs w:val="21"/>
                <w:highlight w:val="none"/>
              </w:rPr>
              <w:t>安全员</w:t>
            </w:r>
          </w:p>
        </w:tc>
        <w:tc>
          <w:tcPr>
            <w:tcW w:w="670" w:type="dxa"/>
            <w:vAlign w:val="center"/>
          </w:tcPr>
          <w:p w14:paraId="67D47234">
            <w:pPr>
              <w:ind w:left="223" w:hanging="222" w:hangingChars="106"/>
              <w:jc w:val="center"/>
              <w:rPr>
                <w:color w:val="auto"/>
                <w:szCs w:val="21"/>
                <w:highlight w:val="none"/>
              </w:rPr>
            </w:pPr>
          </w:p>
        </w:tc>
        <w:tc>
          <w:tcPr>
            <w:tcW w:w="829" w:type="dxa"/>
            <w:vAlign w:val="center"/>
          </w:tcPr>
          <w:p w14:paraId="5C2E2A74">
            <w:pPr>
              <w:ind w:left="223" w:hanging="222" w:hangingChars="106"/>
              <w:jc w:val="center"/>
              <w:rPr>
                <w:color w:val="auto"/>
                <w:szCs w:val="21"/>
                <w:highlight w:val="none"/>
              </w:rPr>
            </w:pPr>
          </w:p>
        </w:tc>
        <w:tc>
          <w:tcPr>
            <w:tcW w:w="816" w:type="dxa"/>
            <w:vAlign w:val="center"/>
          </w:tcPr>
          <w:p w14:paraId="721F7DC1">
            <w:pPr>
              <w:ind w:left="223" w:hanging="222" w:hangingChars="106"/>
              <w:jc w:val="center"/>
              <w:rPr>
                <w:color w:val="auto"/>
                <w:szCs w:val="21"/>
                <w:highlight w:val="none"/>
              </w:rPr>
            </w:pPr>
          </w:p>
        </w:tc>
        <w:tc>
          <w:tcPr>
            <w:tcW w:w="1148" w:type="dxa"/>
            <w:vAlign w:val="center"/>
          </w:tcPr>
          <w:p w14:paraId="3D28383E">
            <w:pPr>
              <w:ind w:left="223" w:hanging="222" w:hangingChars="106"/>
              <w:jc w:val="center"/>
              <w:rPr>
                <w:color w:val="auto"/>
                <w:szCs w:val="21"/>
                <w:highlight w:val="none"/>
              </w:rPr>
            </w:pPr>
          </w:p>
        </w:tc>
        <w:tc>
          <w:tcPr>
            <w:tcW w:w="1148" w:type="dxa"/>
            <w:vAlign w:val="center"/>
          </w:tcPr>
          <w:p w14:paraId="4B02885A">
            <w:pPr>
              <w:ind w:left="223" w:hanging="222" w:hangingChars="106"/>
              <w:jc w:val="center"/>
              <w:rPr>
                <w:color w:val="auto"/>
                <w:szCs w:val="21"/>
                <w:highlight w:val="none"/>
              </w:rPr>
            </w:pPr>
          </w:p>
        </w:tc>
        <w:tc>
          <w:tcPr>
            <w:tcW w:w="1148" w:type="dxa"/>
            <w:vAlign w:val="center"/>
          </w:tcPr>
          <w:p w14:paraId="3B35B8C4">
            <w:pPr>
              <w:ind w:left="223" w:hanging="222" w:hangingChars="106"/>
              <w:jc w:val="center"/>
              <w:rPr>
                <w:color w:val="auto"/>
                <w:szCs w:val="21"/>
                <w:highlight w:val="none"/>
              </w:rPr>
            </w:pPr>
          </w:p>
        </w:tc>
        <w:tc>
          <w:tcPr>
            <w:tcW w:w="744" w:type="dxa"/>
            <w:vAlign w:val="center"/>
          </w:tcPr>
          <w:p w14:paraId="16FE0967">
            <w:pPr>
              <w:ind w:left="223" w:hanging="222" w:hangingChars="106"/>
              <w:jc w:val="center"/>
              <w:rPr>
                <w:color w:val="auto"/>
                <w:szCs w:val="21"/>
                <w:highlight w:val="none"/>
              </w:rPr>
            </w:pPr>
          </w:p>
        </w:tc>
        <w:tc>
          <w:tcPr>
            <w:tcW w:w="1167" w:type="dxa"/>
            <w:vAlign w:val="center"/>
          </w:tcPr>
          <w:p w14:paraId="2ABB71DC">
            <w:pPr>
              <w:ind w:left="223" w:hanging="222" w:hangingChars="106"/>
              <w:jc w:val="center"/>
              <w:rPr>
                <w:color w:val="auto"/>
                <w:szCs w:val="21"/>
                <w:highlight w:val="none"/>
              </w:rPr>
            </w:pPr>
          </w:p>
        </w:tc>
        <w:tc>
          <w:tcPr>
            <w:tcW w:w="1276" w:type="dxa"/>
            <w:vAlign w:val="center"/>
          </w:tcPr>
          <w:p w14:paraId="740BDCA9">
            <w:pPr>
              <w:ind w:left="223" w:hanging="222" w:hangingChars="106"/>
              <w:jc w:val="center"/>
              <w:rPr>
                <w:color w:val="auto"/>
                <w:szCs w:val="21"/>
                <w:highlight w:val="none"/>
              </w:rPr>
            </w:pPr>
          </w:p>
        </w:tc>
      </w:tr>
      <w:tr w14:paraId="6AA01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2965D631">
            <w:pPr>
              <w:jc w:val="left"/>
              <w:rPr>
                <w:color w:val="auto"/>
                <w:szCs w:val="21"/>
                <w:highlight w:val="none"/>
              </w:rPr>
            </w:pPr>
            <w:r>
              <w:rPr>
                <w:rFonts w:hint="eastAsia"/>
                <w:color w:val="auto"/>
                <w:szCs w:val="21"/>
                <w:highlight w:val="none"/>
              </w:rPr>
              <w:t>5.</w:t>
            </w:r>
            <w:r>
              <w:rPr>
                <w:color w:val="auto"/>
                <w:szCs w:val="21"/>
                <w:highlight w:val="none"/>
              </w:rPr>
              <w:t xml:space="preserve"> 质量员</w:t>
            </w:r>
          </w:p>
        </w:tc>
        <w:tc>
          <w:tcPr>
            <w:tcW w:w="670" w:type="dxa"/>
            <w:vAlign w:val="center"/>
          </w:tcPr>
          <w:p w14:paraId="42D6E779">
            <w:pPr>
              <w:ind w:left="223" w:hanging="222" w:hangingChars="106"/>
              <w:jc w:val="center"/>
              <w:rPr>
                <w:color w:val="auto"/>
                <w:szCs w:val="21"/>
                <w:highlight w:val="none"/>
              </w:rPr>
            </w:pPr>
          </w:p>
        </w:tc>
        <w:tc>
          <w:tcPr>
            <w:tcW w:w="829" w:type="dxa"/>
            <w:vAlign w:val="center"/>
          </w:tcPr>
          <w:p w14:paraId="497AE659">
            <w:pPr>
              <w:ind w:left="223" w:hanging="222" w:hangingChars="106"/>
              <w:jc w:val="center"/>
              <w:rPr>
                <w:color w:val="auto"/>
                <w:szCs w:val="21"/>
                <w:highlight w:val="none"/>
              </w:rPr>
            </w:pPr>
          </w:p>
        </w:tc>
        <w:tc>
          <w:tcPr>
            <w:tcW w:w="816" w:type="dxa"/>
            <w:vAlign w:val="center"/>
          </w:tcPr>
          <w:p w14:paraId="0AE3B290">
            <w:pPr>
              <w:ind w:left="223" w:hanging="222" w:hangingChars="106"/>
              <w:jc w:val="center"/>
              <w:rPr>
                <w:color w:val="auto"/>
                <w:szCs w:val="21"/>
                <w:highlight w:val="none"/>
              </w:rPr>
            </w:pPr>
          </w:p>
        </w:tc>
        <w:tc>
          <w:tcPr>
            <w:tcW w:w="1148" w:type="dxa"/>
            <w:vAlign w:val="center"/>
          </w:tcPr>
          <w:p w14:paraId="5C45E3B3">
            <w:pPr>
              <w:ind w:left="223" w:hanging="222" w:hangingChars="106"/>
              <w:jc w:val="center"/>
              <w:rPr>
                <w:color w:val="auto"/>
                <w:szCs w:val="21"/>
                <w:highlight w:val="none"/>
              </w:rPr>
            </w:pPr>
          </w:p>
        </w:tc>
        <w:tc>
          <w:tcPr>
            <w:tcW w:w="1148" w:type="dxa"/>
            <w:vAlign w:val="center"/>
          </w:tcPr>
          <w:p w14:paraId="003D3C5F">
            <w:pPr>
              <w:ind w:left="223" w:hanging="222" w:hangingChars="106"/>
              <w:jc w:val="center"/>
              <w:rPr>
                <w:color w:val="auto"/>
                <w:szCs w:val="21"/>
                <w:highlight w:val="none"/>
              </w:rPr>
            </w:pPr>
          </w:p>
        </w:tc>
        <w:tc>
          <w:tcPr>
            <w:tcW w:w="1148" w:type="dxa"/>
            <w:vAlign w:val="center"/>
          </w:tcPr>
          <w:p w14:paraId="4841C308">
            <w:pPr>
              <w:ind w:left="223" w:hanging="222" w:hangingChars="106"/>
              <w:jc w:val="center"/>
              <w:rPr>
                <w:color w:val="auto"/>
                <w:szCs w:val="21"/>
                <w:highlight w:val="none"/>
              </w:rPr>
            </w:pPr>
          </w:p>
        </w:tc>
        <w:tc>
          <w:tcPr>
            <w:tcW w:w="744" w:type="dxa"/>
            <w:vAlign w:val="center"/>
          </w:tcPr>
          <w:p w14:paraId="1DE3DE6E">
            <w:pPr>
              <w:ind w:left="223" w:hanging="222" w:hangingChars="106"/>
              <w:jc w:val="center"/>
              <w:rPr>
                <w:color w:val="auto"/>
                <w:szCs w:val="21"/>
                <w:highlight w:val="none"/>
              </w:rPr>
            </w:pPr>
          </w:p>
        </w:tc>
        <w:tc>
          <w:tcPr>
            <w:tcW w:w="1167" w:type="dxa"/>
            <w:vAlign w:val="center"/>
          </w:tcPr>
          <w:p w14:paraId="49D8DFA0">
            <w:pPr>
              <w:ind w:left="223" w:hanging="222" w:hangingChars="106"/>
              <w:jc w:val="center"/>
              <w:rPr>
                <w:color w:val="auto"/>
                <w:szCs w:val="21"/>
                <w:highlight w:val="none"/>
              </w:rPr>
            </w:pPr>
          </w:p>
        </w:tc>
        <w:tc>
          <w:tcPr>
            <w:tcW w:w="1276" w:type="dxa"/>
            <w:vAlign w:val="center"/>
          </w:tcPr>
          <w:p w14:paraId="2007E9C6">
            <w:pPr>
              <w:ind w:left="223" w:hanging="222" w:hangingChars="106"/>
              <w:jc w:val="center"/>
              <w:rPr>
                <w:color w:val="auto"/>
                <w:szCs w:val="21"/>
                <w:highlight w:val="none"/>
              </w:rPr>
            </w:pPr>
          </w:p>
        </w:tc>
      </w:tr>
      <w:tr w14:paraId="23F58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1A03825E">
            <w:pPr>
              <w:jc w:val="left"/>
              <w:rPr>
                <w:color w:val="auto"/>
                <w:szCs w:val="21"/>
                <w:highlight w:val="none"/>
              </w:rPr>
            </w:pPr>
            <w:r>
              <w:rPr>
                <w:rFonts w:hint="eastAsia"/>
                <w:color w:val="auto"/>
                <w:szCs w:val="21"/>
                <w:highlight w:val="none"/>
              </w:rPr>
              <w:t>6.材料员</w:t>
            </w:r>
          </w:p>
        </w:tc>
        <w:tc>
          <w:tcPr>
            <w:tcW w:w="670" w:type="dxa"/>
            <w:vAlign w:val="center"/>
          </w:tcPr>
          <w:p w14:paraId="13AD0952">
            <w:pPr>
              <w:ind w:left="223" w:hanging="222" w:hangingChars="106"/>
              <w:jc w:val="center"/>
              <w:rPr>
                <w:color w:val="auto"/>
                <w:szCs w:val="21"/>
                <w:highlight w:val="none"/>
              </w:rPr>
            </w:pPr>
          </w:p>
        </w:tc>
        <w:tc>
          <w:tcPr>
            <w:tcW w:w="829" w:type="dxa"/>
            <w:vAlign w:val="center"/>
          </w:tcPr>
          <w:p w14:paraId="704B58F7">
            <w:pPr>
              <w:ind w:left="223" w:hanging="222" w:hangingChars="106"/>
              <w:jc w:val="center"/>
              <w:rPr>
                <w:color w:val="auto"/>
                <w:szCs w:val="21"/>
                <w:highlight w:val="none"/>
              </w:rPr>
            </w:pPr>
          </w:p>
        </w:tc>
        <w:tc>
          <w:tcPr>
            <w:tcW w:w="816" w:type="dxa"/>
            <w:vAlign w:val="center"/>
          </w:tcPr>
          <w:p w14:paraId="15A0F531">
            <w:pPr>
              <w:ind w:left="223" w:hanging="222" w:hangingChars="106"/>
              <w:jc w:val="center"/>
              <w:rPr>
                <w:color w:val="auto"/>
                <w:szCs w:val="21"/>
                <w:highlight w:val="none"/>
              </w:rPr>
            </w:pPr>
          </w:p>
        </w:tc>
        <w:tc>
          <w:tcPr>
            <w:tcW w:w="1148" w:type="dxa"/>
            <w:vAlign w:val="center"/>
          </w:tcPr>
          <w:p w14:paraId="5AEB1D36">
            <w:pPr>
              <w:ind w:left="223" w:hanging="222" w:hangingChars="106"/>
              <w:jc w:val="center"/>
              <w:rPr>
                <w:color w:val="auto"/>
                <w:szCs w:val="21"/>
                <w:highlight w:val="none"/>
              </w:rPr>
            </w:pPr>
          </w:p>
        </w:tc>
        <w:tc>
          <w:tcPr>
            <w:tcW w:w="1148" w:type="dxa"/>
            <w:vAlign w:val="center"/>
          </w:tcPr>
          <w:p w14:paraId="08CC743E">
            <w:pPr>
              <w:ind w:left="223" w:hanging="222" w:hangingChars="106"/>
              <w:jc w:val="center"/>
              <w:rPr>
                <w:color w:val="auto"/>
                <w:szCs w:val="21"/>
                <w:highlight w:val="none"/>
              </w:rPr>
            </w:pPr>
          </w:p>
        </w:tc>
        <w:tc>
          <w:tcPr>
            <w:tcW w:w="1148" w:type="dxa"/>
            <w:vAlign w:val="center"/>
          </w:tcPr>
          <w:p w14:paraId="269416E9">
            <w:pPr>
              <w:ind w:left="223" w:hanging="222" w:hangingChars="106"/>
              <w:jc w:val="center"/>
              <w:rPr>
                <w:color w:val="auto"/>
                <w:szCs w:val="21"/>
                <w:highlight w:val="none"/>
              </w:rPr>
            </w:pPr>
          </w:p>
        </w:tc>
        <w:tc>
          <w:tcPr>
            <w:tcW w:w="744" w:type="dxa"/>
            <w:vAlign w:val="center"/>
          </w:tcPr>
          <w:p w14:paraId="1A3FBED1">
            <w:pPr>
              <w:ind w:left="223" w:hanging="222" w:hangingChars="106"/>
              <w:jc w:val="center"/>
              <w:rPr>
                <w:color w:val="auto"/>
                <w:szCs w:val="21"/>
                <w:highlight w:val="none"/>
              </w:rPr>
            </w:pPr>
          </w:p>
        </w:tc>
        <w:tc>
          <w:tcPr>
            <w:tcW w:w="1167" w:type="dxa"/>
            <w:vAlign w:val="center"/>
          </w:tcPr>
          <w:p w14:paraId="1A88070F">
            <w:pPr>
              <w:ind w:left="223" w:hanging="222" w:hangingChars="106"/>
              <w:jc w:val="center"/>
              <w:rPr>
                <w:color w:val="auto"/>
                <w:szCs w:val="21"/>
                <w:highlight w:val="none"/>
              </w:rPr>
            </w:pPr>
          </w:p>
        </w:tc>
        <w:tc>
          <w:tcPr>
            <w:tcW w:w="1276" w:type="dxa"/>
            <w:vAlign w:val="center"/>
          </w:tcPr>
          <w:p w14:paraId="6F838797">
            <w:pPr>
              <w:ind w:left="223" w:hanging="222" w:hangingChars="106"/>
              <w:jc w:val="center"/>
              <w:rPr>
                <w:color w:val="auto"/>
                <w:szCs w:val="21"/>
                <w:highlight w:val="none"/>
              </w:rPr>
            </w:pPr>
          </w:p>
        </w:tc>
      </w:tr>
      <w:tr w14:paraId="04D5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vAlign w:val="center"/>
          </w:tcPr>
          <w:p w14:paraId="1E58C0EE">
            <w:pPr>
              <w:ind w:left="223" w:hanging="222" w:hangingChars="106"/>
              <w:jc w:val="center"/>
              <w:rPr>
                <w:color w:val="auto"/>
                <w:szCs w:val="21"/>
                <w:highlight w:val="none"/>
              </w:rPr>
            </w:pPr>
          </w:p>
        </w:tc>
        <w:tc>
          <w:tcPr>
            <w:tcW w:w="670" w:type="dxa"/>
            <w:vAlign w:val="center"/>
          </w:tcPr>
          <w:p w14:paraId="4DEE2342">
            <w:pPr>
              <w:ind w:left="223" w:hanging="222" w:hangingChars="106"/>
              <w:jc w:val="center"/>
              <w:rPr>
                <w:color w:val="auto"/>
                <w:szCs w:val="21"/>
                <w:highlight w:val="none"/>
              </w:rPr>
            </w:pPr>
          </w:p>
        </w:tc>
        <w:tc>
          <w:tcPr>
            <w:tcW w:w="829" w:type="dxa"/>
            <w:vAlign w:val="center"/>
          </w:tcPr>
          <w:p w14:paraId="43CB68AD">
            <w:pPr>
              <w:ind w:left="223" w:hanging="222" w:hangingChars="106"/>
              <w:jc w:val="center"/>
              <w:rPr>
                <w:color w:val="auto"/>
                <w:szCs w:val="21"/>
                <w:highlight w:val="none"/>
              </w:rPr>
            </w:pPr>
          </w:p>
        </w:tc>
        <w:tc>
          <w:tcPr>
            <w:tcW w:w="816" w:type="dxa"/>
            <w:vAlign w:val="center"/>
          </w:tcPr>
          <w:p w14:paraId="6D7B9C8C">
            <w:pPr>
              <w:ind w:left="223" w:hanging="222" w:hangingChars="106"/>
              <w:jc w:val="center"/>
              <w:rPr>
                <w:color w:val="auto"/>
                <w:szCs w:val="21"/>
                <w:highlight w:val="none"/>
              </w:rPr>
            </w:pPr>
          </w:p>
        </w:tc>
        <w:tc>
          <w:tcPr>
            <w:tcW w:w="1148" w:type="dxa"/>
            <w:vAlign w:val="center"/>
          </w:tcPr>
          <w:p w14:paraId="3A318FAF">
            <w:pPr>
              <w:ind w:left="223" w:hanging="222" w:hangingChars="106"/>
              <w:jc w:val="center"/>
              <w:rPr>
                <w:color w:val="auto"/>
                <w:szCs w:val="21"/>
                <w:highlight w:val="none"/>
              </w:rPr>
            </w:pPr>
          </w:p>
        </w:tc>
        <w:tc>
          <w:tcPr>
            <w:tcW w:w="1148" w:type="dxa"/>
            <w:vAlign w:val="center"/>
          </w:tcPr>
          <w:p w14:paraId="1A620AE9">
            <w:pPr>
              <w:ind w:left="223" w:hanging="222" w:hangingChars="106"/>
              <w:jc w:val="center"/>
              <w:rPr>
                <w:color w:val="auto"/>
                <w:szCs w:val="21"/>
                <w:highlight w:val="none"/>
              </w:rPr>
            </w:pPr>
          </w:p>
        </w:tc>
        <w:tc>
          <w:tcPr>
            <w:tcW w:w="1148" w:type="dxa"/>
            <w:vAlign w:val="center"/>
          </w:tcPr>
          <w:p w14:paraId="3E495A6C">
            <w:pPr>
              <w:ind w:left="223" w:hanging="222" w:hangingChars="106"/>
              <w:jc w:val="center"/>
              <w:rPr>
                <w:color w:val="auto"/>
                <w:szCs w:val="21"/>
                <w:highlight w:val="none"/>
              </w:rPr>
            </w:pPr>
          </w:p>
        </w:tc>
        <w:tc>
          <w:tcPr>
            <w:tcW w:w="744" w:type="dxa"/>
            <w:vAlign w:val="center"/>
          </w:tcPr>
          <w:p w14:paraId="1F1EA98B">
            <w:pPr>
              <w:ind w:left="223" w:hanging="222" w:hangingChars="106"/>
              <w:jc w:val="center"/>
              <w:rPr>
                <w:color w:val="auto"/>
                <w:szCs w:val="21"/>
                <w:highlight w:val="none"/>
              </w:rPr>
            </w:pPr>
          </w:p>
        </w:tc>
        <w:tc>
          <w:tcPr>
            <w:tcW w:w="1167" w:type="dxa"/>
            <w:vAlign w:val="center"/>
          </w:tcPr>
          <w:p w14:paraId="765AF7D5">
            <w:pPr>
              <w:ind w:left="223" w:hanging="222" w:hangingChars="106"/>
              <w:jc w:val="center"/>
              <w:rPr>
                <w:color w:val="auto"/>
                <w:szCs w:val="21"/>
                <w:highlight w:val="none"/>
              </w:rPr>
            </w:pPr>
          </w:p>
        </w:tc>
        <w:tc>
          <w:tcPr>
            <w:tcW w:w="1276" w:type="dxa"/>
            <w:vAlign w:val="center"/>
          </w:tcPr>
          <w:p w14:paraId="1AE2AB61">
            <w:pPr>
              <w:ind w:left="223" w:hanging="222" w:hangingChars="106"/>
              <w:jc w:val="center"/>
              <w:rPr>
                <w:color w:val="auto"/>
                <w:szCs w:val="21"/>
                <w:highlight w:val="none"/>
              </w:rPr>
            </w:pPr>
          </w:p>
        </w:tc>
      </w:tr>
      <w:tr w14:paraId="78E85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9866" w:type="dxa"/>
            <w:gridSpan w:val="10"/>
            <w:vAlign w:val="center"/>
          </w:tcPr>
          <w:p w14:paraId="0A8DB1BD">
            <w:pPr>
              <w:ind w:firstLine="420" w:firstLineChars="200"/>
              <w:rPr>
                <w:color w:val="auto"/>
                <w:highlight w:val="none"/>
              </w:rPr>
            </w:pPr>
            <w:r>
              <w:rPr>
                <w:rFonts w:hint="eastAsia"/>
                <w:color w:val="auto"/>
                <w:highlight w:val="none"/>
              </w:rPr>
              <w:t>一旦我单位成交，将实行项目经理负责制，我方保证并配备上述项目管理机构。上述填报内容真实，若不真实，愿按有关规定接受处理。项目管理班子机构设置、职责分工等情况另附资料说明。</w:t>
            </w:r>
          </w:p>
        </w:tc>
      </w:tr>
    </w:tbl>
    <w:p w14:paraId="0506692A">
      <w:pPr>
        <w:spacing w:line="360" w:lineRule="auto"/>
        <w:contextualSpacing/>
        <w:jc w:val="left"/>
        <w:rPr>
          <w:rFonts w:hint="eastAsia" w:ascii="宋体" w:hAnsi="宋体"/>
          <w:color w:val="auto"/>
          <w:sz w:val="24"/>
          <w:szCs w:val="20"/>
          <w:highlight w:val="none"/>
        </w:rPr>
      </w:pPr>
      <w:r>
        <w:rPr>
          <w:rFonts w:hint="eastAsia" w:ascii="宋体" w:hAnsi="宋体"/>
          <w:color w:val="auto"/>
          <w:sz w:val="24"/>
          <w:szCs w:val="20"/>
          <w:highlight w:val="none"/>
        </w:rPr>
        <w:t>备注：</w:t>
      </w:r>
    </w:p>
    <w:p w14:paraId="61FD2A53">
      <w:pPr>
        <w:spacing w:line="360" w:lineRule="auto"/>
        <w:ind w:firstLine="480" w:firstLineChars="200"/>
        <w:contextualSpacing/>
        <w:jc w:val="left"/>
        <w:rPr>
          <w:rFonts w:hint="eastAsia"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w:t>
      </w:r>
      <w:r>
        <w:rPr>
          <w:rFonts w:hint="eastAsia" w:ascii="宋体" w:hAnsi="宋体"/>
          <w:color w:val="auto"/>
          <w:sz w:val="24"/>
          <w:szCs w:val="20"/>
          <w:highlight w:val="none"/>
        </w:rPr>
        <w:t>本表所列岗位的所有管理人员的情况均应如实填写。可按以上格式扩展为多页填写。</w:t>
      </w:r>
    </w:p>
    <w:p w14:paraId="484DA996">
      <w:pPr>
        <w:spacing w:line="360" w:lineRule="auto"/>
        <w:ind w:firstLine="480" w:firstLineChars="200"/>
        <w:contextualSpacing/>
        <w:jc w:val="left"/>
        <w:rPr>
          <w:rFonts w:hint="eastAsia" w:ascii="宋体" w:hAnsi="宋体"/>
          <w:color w:val="auto"/>
          <w:sz w:val="24"/>
          <w:szCs w:val="20"/>
          <w:highlight w:val="none"/>
        </w:rPr>
      </w:pPr>
      <w:r>
        <w:rPr>
          <w:rFonts w:hint="eastAsia" w:ascii="宋体" w:hAnsi="宋体"/>
          <w:color w:val="auto"/>
          <w:sz w:val="24"/>
          <w:szCs w:val="20"/>
          <w:highlight w:val="none"/>
        </w:rPr>
        <w:t>2</w:t>
      </w:r>
      <w:r>
        <w:rPr>
          <w:rFonts w:ascii="宋体" w:hAnsi="宋体"/>
          <w:color w:val="auto"/>
          <w:sz w:val="24"/>
          <w:szCs w:val="20"/>
          <w:highlight w:val="none"/>
        </w:rPr>
        <w:t>.</w:t>
      </w:r>
      <w:r>
        <w:rPr>
          <w:rFonts w:hint="eastAsia" w:ascii="宋体" w:hAnsi="宋体"/>
          <w:color w:val="auto"/>
          <w:sz w:val="24"/>
          <w:szCs w:val="20"/>
          <w:highlight w:val="none"/>
        </w:rPr>
        <w:t>供应商应当在本表后附所有管理人员的身份证、职称证（如有）、执业或职业资格证书的复印件并加盖供应商电子签章。</w:t>
      </w:r>
    </w:p>
    <w:p w14:paraId="666FCDDC">
      <w:pPr>
        <w:spacing w:line="360" w:lineRule="auto"/>
        <w:ind w:firstLine="480" w:firstLineChars="200"/>
        <w:contextualSpacing/>
        <w:jc w:val="left"/>
        <w:rPr>
          <w:rFonts w:hint="eastAsia" w:ascii="宋体" w:hAnsi="宋体"/>
          <w:color w:val="auto"/>
          <w:sz w:val="24"/>
          <w:szCs w:val="20"/>
          <w:highlight w:val="none"/>
        </w:rPr>
      </w:pPr>
    </w:p>
    <w:p w14:paraId="6A39601D">
      <w:pPr>
        <w:spacing w:line="360" w:lineRule="auto"/>
        <w:ind w:right="480"/>
        <w:contextualSpacing/>
        <w:jc w:val="center"/>
        <w:rPr>
          <w:rFonts w:hint="eastAsia" w:ascii="宋体" w:hAnsi="宋体"/>
          <w:color w:val="auto"/>
          <w:sz w:val="24"/>
          <w:highlight w:val="none"/>
          <w:u w:val="single"/>
        </w:rPr>
      </w:pPr>
      <w:r>
        <w:rPr>
          <w:rFonts w:hint="eastAsia" w:ascii="宋体" w:hAnsi="宋体"/>
          <w:color w:val="auto"/>
          <w:sz w:val="24"/>
          <w:highlight w:val="none"/>
        </w:rPr>
        <w:t xml:space="preserve"> </w:t>
      </w:r>
      <w:r>
        <w:rPr>
          <w:rFonts w:ascii="宋体" w:hAnsi="宋体"/>
          <w:color w:val="auto"/>
          <w:sz w:val="24"/>
          <w:highlight w:val="none"/>
        </w:rPr>
        <w:t xml:space="preserve">             </w:t>
      </w:r>
      <w:r>
        <w:rPr>
          <w:rFonts w:hint="eastAsia" w:ascii="宋体" w:hAnsi="宋体"/>
          <w:color w:val="auto"/>
          <w:sz w:val="24"/>
          <w:highlight w:val="none"/>
        </w:rPr>
        <w:t>法定代表人或者委托代理人（签字或者电子签名）：</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362927A8">
      <w:pPr>
        <w:spacing w:line="360" w:lineRule="auto"/>
        <w:ind w:right="480" w:firstLine="3360" w:firstLineChars="1400"/>
        <w:contextualSpacing/>
        <w:rPr>
          <w:rFonts w:hint="eastAsia" w:ascii="宋体" w:hAnsi="宋体"/>
          <w:color w:val="auto"/>
          <w:sz w:val="24"/>
          <w:highlight w:val="none"/>
        </w:rPr>
      </w:pPr>
      <w:r>
        <w:rPr>
          <w:rFonts w:hint="eastAsia" w:ascii="宋体" w:hAnsi="宋体"/>
          <w:color w:val="auto"/>
          <w:sz w:val="24"/>
          <w:highlight w:val="none"/>
        </w:rPr>
        <w:t>供应商（电子签章）：</w:t>
      </w:r>
      <w:r>
        <w:rPr>
          <w:rFonts w:hint="eastAsia" w:ascii="宋体" w:hAnsi="宋体"/>
          <w:color w:val="auto"/>
          <w:sz w:val="24"/>
          <w:highlight w:val="none"/>
          <w:u w:val="single"/>
        </w:rPr>
        <w:t xml:space="preserve">                </w:t>
      </w:r>
    </w:p>
    <w:p w14:paraId="63E319D1">
      <w:pPr>
        <w:spacing w:line="360" w:lineRule="auto"/>
        <w:ind w:firstLine="480" w:firstLineChars="200"/>
        <w:contextualSpacing/>
        <w:jc w:val="left"/>
        <w:rPr>
          <w:rFonts w:hint="eastAsia" w:ascii="宋体" w:hAnsi="宋体"/>
          <w:color w:val="auto"/>
          <w:sz w:val="24"/>
          <w:highlight w:val="none"/>
        </w:rPr>
      </w:pPr>
      <w:r>
        <w:rPr>
          <w:rFonts w:hint="eastAsia" w:ascii="宋体" w:hAnsi="宋体"/>
          <w:color w:val="auto"/>
          <w:sz w:val="24"/>
          <w:highlight w:val="none"/>
        </w:rPr>
        <w:t xml:space="preserve">                                        年    月    日</w:t>
      </w:r>
    </w:p>
    <w:p w14:paraId="1A625333">
      <w:pPr>
        <w:spacing w:before="100" w:line="225" w:lineRule="auto"/>
        <w:ind w:left="16"/>
        <w:outlineLvl w:val="1"/>
        <w:rPr>
          <w:rFonts w:ascii="Cambria" w:hAnsi="Cambria" w:eastAsia="Cambria" w:cs="Cambria"/>
          <w:color w:val="auto"/>
          <w:sz w:val="31"/>
          <w:szCs w:val="31"/>
          <w:highlight w:val="none"/>
        </w:rPr>
      </w:pPr>
      <w:r>
        <w:rPr>
          <w:rFonts w:ascii="宋体" w:hAnsi="宋体"/>
          <w:b/>
          <w:color w:val="auto"/>
          <w:sz w:val="32"/>
          <w:szCs w:val="32"/>
          <w:highlight w:val="none"/>
        </w:rPr>
        <w:br w:type="page"/>
      </w:r>
    </w:p>
    <w:p w14:paraId="491E9110">
      <w:pPr>
        <w:pStyle w:val="3"/>
        <w:spacing w:line="400" w:lineRule="exact"/>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附：大型、 中型和小型、微型企业划型标准</w:t>
      </w:r>
    </w:p>
    <w:p w14:paraId="34AFDBDE">
      <w:pPr>
        <w:pStyle w:val="3"/>
        <w:spacing w:line="400" w:lineRule="exact"/>
        <w:jc w:val="center"/>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根据（工信部联企业[2011]300 号）文</w:t>
      </w:r>
    </w:p>
    <w:tbl>
      <w:tblPr>
        <w:tblStyle w:val="59"/>
        <w:tblW w:w="85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4"/>
        <w:gridCol w:w="1187"/>
        <w:gridCol w:w="900"/>
        <w:gridCol w:w="1399"/>
        <w:gridCol w:w="1535"/>
        <w:gridCol w:w="1295"/>
        <w:gridCol w:w="1004"/>
      </w:tblGrid>
      <w:tr w14:paraId="2E216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8" w:hRule="atLeast"/>
        </w:trPr>
        <w:tc>
          <w:tcPr>
            <w:tcW w:w="1184" w:type="dxa"/>
          </w:tcPr>
          <w:p w14:paraId="5992B14F">
            <w:pPr>
              <w:spacing w:before="104" w:line="200" w:lineRule="exact"/>
              <w:ind w:left="126"/>
              <w:rPr>
                <w:rFonts w:hint="eastAsia" w:ascii="仿宋" w:hAnsi="仿宋" w:eastAsia="仿宋" w:cs="仿宋"/>
                <w:color w:val="auto"/>
                <w:sz w:val="23"/>
                <w:szCs w:val="23"/>
                <w:highlight w:val="none"/>
              </w:rPr>
            </w:pPr>
            <w:r>
              <w:rPr>
                <w:rFonts w:ascii="仿宋" w:hAnsi="仿宋" w:eastAsia="仿宋" w:cs="仿宋"/>
                <w:color w:val="auto"/>
                <w:sz w:val="23"/>
                <w:szCs w:val="23"/>
                <w:highlight w:val="none"/>
                <w14:textOutline w14:w="4356" w14:cap="sq" w14:cmpd="sng" w14:algn="ctr">
                  <w14:solidFill>
                    <w14:srgbClr w14:val="000000"/>
                  </w14:solidFill>
                  <w14:prstDash w14:val="solid"/>
                  <w14:bevel/>
                </w14:textOutline>
              </w:rPr>
              <w:t>行业名称</w:t>
            </w:r>
          </w:p>
        </w:tc>
        <w:tc>
          <w:tcPr>
            <w:tcW w:w="1187" w:type="dxa"/>
          </w:tcPr>
          <w:p w14:paraId="6BA8FF7C">
            <w:pPr>
              <w:spacing w:before="104" w:line="200" w:lineRule="exact"/>
              <w:ind w:left="126"/>
              <w:rPr>
                <w:rFonts w:hint="eastAsia" w:ascii="仿宋" w:hAnsi="仿宋" w:eastAsia="仿宋" w:cs="仿宋"/>
                <w:color w:val="auto"/>
                <w:sz w:val="23"/>
                <w:szCs w:val="23"/>
                <w:highlight w:val="none"/>
              </w:rPr>
            </w:pPr>
            <w:r>
              <w:rPr>
                <w:rFonts w:ascii="仿宋" w:hAnsi="仿宋" w:eastAsia="仿宋" w:cs="仿宋"/>
                <w:color w:val="auto"/>
                <w:sz w:val="23"/>
                <w:szCs w:val="23"/>
                <w:highlight w:val="none"/>
                <w14:textOutline w14:w="4356" w14:cap="sq" w14:cmpd="sng" w14:algn="ctr">
                  <w14:solidFill>
                    <w14:srgbClr w14:val="000000"/>
                  </w14:solidFill>
                  <w14:prstDash w14:val="solid"/>
                  <w14:bevel/>
                </w14:textOutline>
              </w:rPr>
              <w:t>指标名称</w:t>
            </w:r>
          </w:p>
        </w:tc>
        <w:tc>
          <w:tcPr>
            <w:tcW w:w="900" w:type="dxa"/>
          </w:tcPr>
          <w:p w14:paraId="4D5E2571">
            <w:pPr>
              <w:spacing w:before="104" w:line="200" w:lineRule="exact"/>
              <w:ind w:left="228"/>
              <w:rPr>
                <w:rFonts w:hint="eastAsia" w:ascii="仿宋" w:hAnsi="仿宋" w:eastAsia="仿宋" w:cs="仿宋"/>
                <w:color w:val="auto"/>
                <w:sz w:val="23"/>
                <w:szCs w:val="23"/>
                <w:highlight w:val="none"/>
              </w:rPr>
            </w:pPr>
            <w:r>
              <w:rPr>
                <w:rFonts w:ascii="仿宋" w:hAnsi="仿宋" w:eastAsia="仿宋" w:cs="仿宋"/>
                <w:color w:val="auto"/>
                <w:sz w:val="23"/>
                <w:szCs w:val="23"/>
                <w:highlight w:val="none"/>
                <w14:textOutline w14:w="4356" w14:cap="sq" w14:cmpd="sng" w14:algn="ctr">
                  <w14:solidFill>
                    <w14:srgbClr w14:val="000000"/>
                  </w14:solidFill>
                  <w14:prstDash w14:val="solid"/>
                  <w14:bevel/>
                </w14:textOutline>
              </w:rPr>
              <w:t>单位</w:t>
            </w:r>
          </w:p>
        </w:tc>
        <w:tc>
          <w:tcPr>
            <w:tcW w:w="1399" w:type="dxa"/>
          </w:tcPr>
          <w:p w14:paraId="2FCF4162">
            <w:pPr>
              <w:spacing w:before="104" w:line="200" w:lineRule="exact"/>
              <w:ind w:left="47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14:textOutline w14:w="4356" w14:cap="sq" w14:cmpd="sng" w14:algn="ctr">
                  <w14:solidFill>
                    <w14:srgbClr w14:val="000000"/>
                  </w14:solidFill>
                  <w14:prstDash w14:val="solid"/>
                  <w14:bevel/>
                </w14:textOutline>
              </w:rPr>
              <w:t>大型</w:t>
            </w:r>
          </w:p>
        </w:tc>
        <w:tc>
          <w:tcPr>
            <w:tcW w:w="1535" w:type="dxa"/>
          </w:tcPr>
          <w:p w14:paraId="3D0C2491">
            <w:pPr>
              <w:spacing w:before="104" w:line="200" w:lineRule="exact"/>
              <w:ind w:left="57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14:textOutline w14:w="4356" w14:cap="sq" w14:cmpd="sng" w14:algn="ctr">
                  <w14:solidFill>
                    <w14:srgbClr w14:val="000000"/>
                  </w14:solidFill>
                  <w14:prstDash w14:val="solid"/>
                  <w14:bevel/>
                </w14:textOutline>
              </w:rPr>
              <w:t>中型</w:t>
            </w:r>
          </w:p>
        </w:tc>
        <w:tc>
          <w:tcPr>
            <w:tcW w:w="1295" w:type="dxa"/>
          </w:tcPr>
          <w:p w14:paraId="15E3B1F5">
            <w:pPr>
              <w:spacing w:before="105" w:line="200" w:lineRule="exact"/>
              <w:ind w:left="42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14:textOutline w14:w="4356" w14:cap="sq" w14:cmpd="sng" w14:algn="ctr">
                  <w14:solidFill>
                    <w14:srgbClr w14:val="000000"/>
                  </w14:solidFill>
                  <w14:prstDash w14:val="solid"/>
                  <w14:bevel/>
                </w14:textOutline>
              </w:rPr>
              <w:t>小型</w:t>
            </w:r>
          </w:p>
        </w:tc>
        <w:tc>
          <w:tcPr>
            <w:tcW w:w="1004" w:type="dxa"/>
          </w:tcPr>
          <w:p w14:paraId="5B2ED154">
            <w:pPr>
              <w:spacing w:before="104" w:line="200" w:lineRule="exact"/>
              <w:ind w:left="27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14:textOutline w14:w="4356" w14:cap="sq" w14:cmpd="sng" w14:algn="ctr">
                  <w14:solidFill>
                    <w14:srgbClr w14:val="000000"/>
                  </w14:solidFill>
                  <w14:prstDash w14:val="solid"/>
                  <w14:bevel/>
                </w14:textOutline>
              </w:rPr>
              <w:t>微型</w:t>
            </w:r>
          </w:p>
        </w:tc>
      </w:tr>
      <w:tr w14:paraId="44D87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184" w:type="dxa"/>
          </w:tcPr>
          <w:p w14:paraId="53A21FBA">
            <w:pPr>
              <w:spacing w:before="99"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农林牧渔</w:t>
            </w:r>
          </w:p>
        </w:tc>
        <w:tc>
          <w:tcPr>
            <w:tcW w:w="1187" w:type="dxa"/>
          </w:tcPr>
          <w:p w14:paraId="0DA7FEF6">
            <w:pPr>
              <w:spacing w:before="100" w:line="200" w:lineRule="exact"/>
              <w:ind w:left="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营业收入</w:t>
            </w:r>
          </w:p>
        </w:tc>
        <w:tc>
          <w:tcPr>
            <w:tcW w:w="900" w:type="dxa"/>
          </w:tcPr>
          <w:p w14:paraId="00ECD56C">
            <w:pPr>
              <w:spacing w:before="100"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18C4509A">
            <w:pPr>
              <w:spacing w:before="100" w:line="200" w:lineRule="exact"/>
              <w:ind w:left="31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≥20000</w:t>
            </w:r>
          </w:p>
        </w:tc>
        <w:tc>
          <w:tcPr>
            <w:tcW w:w="1535" w:type="dxa"/>
          </w:tcPr>
          <w:p w14:paraId="3E54D88C">
            <w:pPr>
              <w:spacing w:before="141" w:line="200" w:lineRule="exact"/>
              <w:ind w:left="23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500-20000</w:t>
            </w:r>
          </w:p>
        </w:tc>
        <w:tc>
          <w:tcPr>
            <w:tcW w:w="1295" w:type="dxa"/>
          </w:tcPr>
          <w:p w14:paraId="58044577">
            <w:pPr>
              <w:spacing w:before="141" w:line="200" w:lineRule="exact"/>
              <w:ind w:left="298"/>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50-500</w:t>
            </w:r>
          </w:p>
        </w:tc>
        <w:tc>
          <w:tcPr>
            <w:tcW w:w="1004" w:type="dxa"/>
          </w:tcPr>
          <w:p w14:paraId="36E9DD38">
            <w:pPr>
              <w:spacing w:before="100" w:line="200" w:lineRule="exact"/>
              <w:ind w:left="28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＜50</w:t>
            </w:r>
          </w:p>
        </w:tc>
      </w:tr>
      <w:tr w14:paraId="4428C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1184" w:type="dxa"/>
            <w:vMerge w:val="restart"/>
            <w:tcBorders>
              <w:bottom w:val="nil"/>
            </w:tcBorders>
          </w:tcPr>
          <w:p w14:paraId="3E968C7A">
            <w:pPr>
              <w:spacing w:line="200" w:lineRule="exact"/>
              <w:rPr>
                <w:rFonts w:ascii="Arial"/>
                <w:color w:val="auto"/>
                <w:highlight w:val="none"/>
              </w:rPr>
            </w:pPr>
          </w:p>
          <w:p w14:paraId="3097EAD4">
            <w:pPr>
              <w:spacing w:before="75" w:line="200" w:lineRule="exact"/>
              <w:ind w:left="37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工业</w:t>
            </w:r>
          </w:p>
        </w:tc>
        <w:tc>
          <w:tcPr>
            <w:tcW w:w="1187" w:type="dxa"/>
          </w:tcPr>
          <w:p w14:paraId="4F189DEF">
            <w:pPr>
              <w:spacing w:before="101"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从业人员</w:t>
            </w:r>
          </w:p>
        </w:tc>
        <w:tc>
          <w:tcPr>
            <w:tcW w:w="900" w:type="dxa"/>
          </w:tcPr>
          <w:p w14:paraId="7E6FA845">
            <w:pPr>
              <w:spacing w:before="101" w:line="200" w:lineRule="exact"/>
              <w:ind w:left="34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人</w:t>
            </w:r>
          </w:p>
        </w:tc>
        <w:tc>
          <w:tcPr>
            <w:tcW w:w="1399" w:type="dxa"/>
          </w:tcPr>
          <w:p w14:paraId="1C976617">
            <w:pPr>
              <w:spacing w:before="101" w:line="200" w:lineRule="exact"/>
              <w:ind w:left="37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w:t>
            </w:r>
          </w:p>
        </w:tc>
        <w:tc>
          <w:tcPr>
            <w:tcW w:w="1535" w:type="dxa"/>
          </w:tcPr>
          <w:p w14:paraId="7734401E">
            <w:pPr>
              <w:spacing w:before="142" w:line="200" w:lineRule="exact"/>
              <w:ind w:left="29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300-1000</w:t>
            </w:r>
          </w:p>
        </w:tc>
        <w:tc>
          <w:tcPr>
            <w:tcW w:w="1295" w:type="dxa"/>
          </w:tcPr>
          <w:p w14:paraId="2A8CAED8">
            <w:pPr>
              <w:spacing w:before="142" w:line="200" w:lineRule="exact"/>
              <w:ind w:left="296"/>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20-300</w:t>
            </w:r>
          </w:p>
        </w:tc>
        <w:tc>
          <w:tcPr>
            <w:tcW w:w="1004" w:type="dxa"/>
          </w:tcPr>
          <w:p w14:paraId="721C5654">
            <w:pPr>
              <w:spacing w:before="101" w:line="200" w:lineRule="exact"/>
              <w:ind w:left="28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w:t>
            </w:r>
          </w:p>
        </w:tc>
      </w:tr>
      <w:tr w14:paraId="1996C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184" w:type="dxa"/>
            <w:vMerge w:val="continue"/>
            <w:tcBorders>
              <w:top w:val="nil"/>
            </w:tcBorders>
          </w:tcPr>
          <w:p w14:paraId="6B841F09">
            <w:pPr>
              <w:spacing w:line="200" w:lineRule="exact"/>
              <w:rPr>
                <w:rFonts w:ascii="Arial"/>
                <w:color w:val="auto"/>
                <w:highlight w:val="none"/>
              </w:rPr>
            </w:pPr>
          </w:p>
        </w:tc>
        <w:tc>
          <w:tcPr>
            <w:tcW w:w="1187" w:type="dxa"/>
          </w:tcPr>
          <w:p w14:paraId="46A79A00">
            <w:pPr>
              <w:spacing w:before="101" w:line="200" w:lineRule="exact"/>
              <w:ind w:left="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营业收入</w:t>
            </w:r>
          </w:p>
        </w:tc>
        <w:tc>
          <w:tcPr>
            <w:tcW w:w="900" w:type="dxa"/>
          </w:tcPr>
          <w:p w14:paraId="26CBC40C">
            <w:pPr>
              <w:spacing w:before="101"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722CD639">
            <w:pPr>
              <w:spacing w:before="101" w:line="200" w:lineRule="exact"/>
              <w:ind w:left="31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≥40000</w:t>
            </w:r>
          </w:p>
        </w:tc>
        <w:tc>
          <w:tcPr>
            <w:tcW w:w="1535" w:type="dxa"/>
          </w:tcPr>
          <w:p w14:paraId="3D234F0E">
            <w:pPr>
              <w:spacing w:before="142" w:line="200" w:lineRule="exact"/>
              <w:ind w:left="17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2000-40000</w:t>
            </w:r>
          </w:p>
        </w:tc>
        <w:tc>
          <w:tcPr>
            <w:tcW w:w="1295" w:type="dxa"/>
          </w:tcPr>
          <w:p w14:paraId="0E9C99CA">
            <w:pPr>
              <w:spacing w:before="142" w:line="200" w:lineRule="exact"/>
              <w:ind w:left="178"/>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300-2000</w:t>
            </w:r>
          </w:p>
        </w:tc>
        <w:tc>
          <w:tcPr>
            <w:tcW w:w="1004" w:type="dxa"/>
          </w:tcPr>
          <w:p w14:paraId="28C49BB9">
            <w:pPr>
              <w:spacing w:before="101" w:line="200" w:lineRule="exact"/>
              <w:ind w:left="22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w:t>
            </w:r>
          </w:p>
        </w:tc>
      </w:tr>
      <w:tr w14:paraId="7AA4A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184" w:type="dxa"/>
            <w:vMerge w:val="restart"/>
            <w:tcBorders>
              <w:bottom w:val="nil"/>
            </w:tcBorders>
          </w:tcPr>
          <w:p w14:paraId="48E9E061">
            <w:pPr>
              <w:spacing w:line="200" w:lineRule="exact"/>
              <w:rPr>
                <w:rFonts w:ascii="Arial"/>
                <w:color w:val="auto"/>
                <w:highlight w:val="none"/>
              </w:rPr>
            </w:pPr>
          </w:p>
          <w:p w14:paraId="4F51D668">
            <w:pPr>
              <w:spacing w:before="74" w:line="200" w:lineRule="exact"/>
              <w:ind w:left="244"/>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建筑业</w:t>
            </w:r>
          </w:p>
        </w:tc>
        <w:tc>
          <w:tcPr>
            <w:tcW w:w="1187" w:type="dxa"/>
          </w:tcPr>
          <w:p w14:paraId="119B4693">
            <w:pPr>
              <w:spacing w:before="101" w:line="200" w:lineRule="exact"/>
              <w:ind w:left="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营业收入</w:t>
            </w:r>
          </w:p>
        </w:tc>
        <w:tc>
          <w:tcPr>
            <w:tcW w:w="900" w:type="dxa"/>
          </w:tcPr>
          <w:p w14:paraId="0CEF335F">
            <w:pPr>
              <w:spacing w:before="101"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4F927F4E">
            <w:pPr>
              <w:spacing w:before="100" w:line="200" w:lineRule="exact"/>
              <w:ind w:left="31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≥80000</w:t>
            </w:r>
          </w:p>
        </w:tc>
        <w:tc>
          <w:tcPr>
            <w:tcW w:w="1535" w:type="dxa"/>
          </w:tcPr>
          <w:p w14:paraId="422AAB3A">
            <w:pPr>
              <w:spacing w:before="141" w:line="200" w:lineRule="exact"/>
              <w:ind w:left="174"/>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6000-80000</w:t>
            </w:r>
          </w:p>
        </w:tc>
        <w:tc>
          <w:tcPr>
            <w:tcW w:w="1295" w:type="dxa"/>
          </w:tcPr>
          <w:p w14:paraId="79F7AC61">
            <w:pPr>
              <w:spacing w:before="141" w:line="200" w:lineRule="exact"/>
              <w:ind w:left="178"/>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300-6000</w:t>
            </w:r>
          </w:p>
        </w:tc>
        <w:tc>
          <w:tcPr>
            <w:tcW w:w="1004" w:type="dxa"/>
          </w:tcPr>
          <w:p w14:paraId="2D9CFD0D">
            <w:pPr>
              <w:spacing w:before="100" w:line="200" w:lineRule="exact"/>
              <w:ind w:left="22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w:t>
            </w:r>
          </w:p>
        </w:tc>
      </w:tr>
      <w:tr w14:paraId="0A6F2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184" w:type="dxa"/>
            <w:vMerge w:val="continue"/>
            <w:tcBorders>
              <w:top w:val="nil"/>
            </w:tcBorders>
          </w:tcPr>
          <w:p w14:paraId="18A5CBB7">
            <w:pPr>
              <w:spacing w:line="200" w:lineRule="exact"/>
              <w:rPr>
                <w:rFonts w:ascii="Arial"/>
                <w:color w:val="auto"/>
                <w:highlight w:val="none"/>
              </w:rPr>
            </w:pPr>
          </w:p>
        </w:tc>
        <w:tc>
          <w:tcPr>
            <w:tcW w:w="1187" w:type="dxa"/>
          </w:tcPr>
          <w:p w14:paraId="2B84F224">
            <w:pPr>
              <w:spacing w:before="101" w:line="200" w:lineRule="exact"/>
              <w:ind w:left="138"/>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资产总额</w:t>
            </w:r>
          </w:p>
        </w:tc>
        <w:tc>
          <w:tcPr>
            <w:tcW w:w="900" w:type="dxa"/>
          </w:tcPr>
          <w:p w14:paraId="264A0D92">
            <w:pPr>
              <w:spacing w:before="101"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01F76040">
            <w:pPr>
              <w:spacing w:before="101" w:line="200" w:lineRule="exact"/>
              <w:ind w:left="31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≥80000</w:t>
            </w:r>
          </w:p>
        </w:tc>
        <w:tc>
          <w:tcPr>
            <w:tcW w:w="1535" w:type="dxa"/>
          </w:tcPr>
          <w:p w14:paraId="0A34324C">
            <w:pPr>
              <w:spacing w:before="142" w:line="200" w:lineRule="exact"/>
              <w:ind w:left="17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5000-80000</w:t>
            </w:r>
          </w:p>
        </w:tc>
        <w:tc>
          <w:tcPr>
            <w:tcW w:w="1295" w:type="dxa"/>
          </w:tcPr>
          <w:p w14:paraId="0F7A4630">
            <w:pPr>
              <w:spacing w:before="142" w:line="200" w:lineRule="exact"/>
              <w:ind w:left="178"/>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300-5000</w:t>
            </w:r>
          </w:p>
        </w:tc>
        <w:tc>
          <w:tcPr>
            <w:tcW w:w="1004" w:type="dxa"/>
          </w:tcPr>
          <w:p w14:paraId="60E348DD">
            <w:pPr>
              <w:spacing w:before="101" w:line="200" w:lineRule="exact"/>
              <w:ind w:left="22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w:t>
            </w:r>
          </w:p>
        </w:tc>
      </w:tr>
      <w:tr w14:paraId="396755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1184" w:type="dxa"/>
            <w:vMerge w:val="restart"/>
            <w:tcBorders>
              <w:bottom w:val="nil"/>
            </w:tcBorders>
          </w:tcPr>
          <w:p w14:paraId="64798A09">
            <w:pPr>
              <w:spacing w:line="200" w:lineRule="exact"/>
              <w:rPr>
                <w:rFonts w:ascii="Arial"/>
                <w:color w:val="auto"/>
                <w:highlight w:val="none"/>
              </w:rPr>
            </w:pPr>
          </w:p>
          <w:p w14:paraId="25B16226">
            <w:pPr>
              <w:spacing w:before="74" w:line="200" w:lineRule="exact"/>
              <w:ind w:left="244"/>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批发业</w:t>
            </w:r>
          </w:p>
        </w:tc>
        <w:tc>
          <w:tcPr>
            <w:tcW w:w="1187" w:type="dxa"/>
          </w:tcPr>
          <w:p w14:paraId="210F0E58">
            <w:pPr>
              <w:spacing w:before="101"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从业人员</w:t>
            </w:r>
          </w:p>
        </w:tc>
        <w:tc>
          <w:tcPr>
            <w:tcW w:w="900" w:type="dxa"/>
          </w:tcPr>
          <w:p w14:paraId="59A604D5">
            <w:pPr>
              <w:spacing w:before="101" w:line="200" w:lineRule="exact"/>
              <w:ind w:left="34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人</w:t>
            </w:r>
          </w:p>
        </w:tc>
        <w:tc>
          <w:tcPr>
            <w:tcW w:w="1399" w:type="dxa"/>
          </w:tcPr>
          <w:p w14:paraId="5114486D">
            <w:pPr>
              <w:spacing w:before="101" w:line="200" w:lineRule="exact"/>
              <w:ind w:left="43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≥200</w:t>
            </w:r>
          </w:p>
        </w:tc>
        <w:tc>
          <w:tcPr>
            <w:tcW w:w="1535" w:type="dxa"/>
          </w:tcPr>
          <w:p w14:paraId="122B70C4">
            <w:pPr>
              <w:spacing w:before="142" w:line="200" w:lineRule="exact"/>
              <w:ind w:left="41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20-200</w:t>
            </w:r>
          </w:p>
        </w:tc>
        <w:tc>
          <w:tcPr>
            <w:tcW w:w="1295" w:type="dxa"/>
          </w:tcPr>
          <w:p w14:paraId="2791C9A6">
            <w:pPr>
              <w:spacing w:before="142" w:line="200" w:lineRule="exact"/>
              <w:ind w:left="418"/>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5-20</w:t>
            </w:r>
          </w:p>
        </w:tc>
        <w:tc>
          <w:tcPr>
            <w:tcW w:w="1004" w:type="dxa"/>
          </w:tcPr>
          <w:p w14:paraId="1EF1B2DC">
            <w:pPr>
              <w:spacing w:before="101" w:line="200" w:lineRule="exact"/>
              <w:ind w:left="34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w:t>
            </w:r>
          </w:p>
        </w:tc>
      </w:tr>
      <w:tr w14:paraId="0D5C4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184" w:type="dxa"/>
            <w:vMerge w:val="continue"/>
            <w:tcBorders>
              <w:top w:val="nil"/>
            </w:tcBorders>
          </w:tcPr>
          <w:p w14:paraId="4C411BDB">
            <w:pPr>
              <w:spacing w:line="200" w:lineRule="exact"/>
              <w:rPr>
                <w:rFonts w:ascii="Arial"/>
                <w:color w:val="auto"/>
                <w:highlight w:val="none"/>
              </w:rPr>
            </w:pPr>
          </w:p>
        </w:tc>
        <w:tc>
          <w:tcPr>
            <w:tcW w:w="1187" w:type="dxa"/>
          </w:tcPr>
          <w:p w14:paraId="78D67E11">
            <w:pPr>
              <w:spacing w:before="102" w:line="200" w:lineRule="exact"/>
              <w:ind w:left="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营业收入</w:t>
            </w:r>
          </w:p>
        </w:tc>
        <w:tc>
          <w:tcPr>
            <w:tcW w:w="900" w:type="dxa"/>
          </w:tcPr>
          <w:p w14:paraId="57AF4663">
            <w:pPr>
              <w:spacing w:before="102"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7A2C39AD">
            <w:pPr>
              <w:spacing w:before="102" w:line="200" w:lineRule="exact"/>
              <w:ind w:left="31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≥40000</w:t>
            </w:r>
          </w:p>
        </w:tc>
        <w:tc>
          <w:tcPr>
            <w:tcW w:w="1535" w:type="dxa"/>
          </w:tcPr>
          <w:p w14:paraId="0DAD8967">
            <w:pPr>
              <w:spacing w:before="143" w:line="200" w:lineRule="exact"/>
              <w:ind w:left="17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5000-40000</w:t>
            </w:r>
          </w:p>
        </w:tc>
        <w:tc>
          <w:tcPr>
            <w:tcW w:w="1295" w:type="dxa"/>
          </w:tcPr>
          <w:p w14:paraId="557CE917">
            <w:pPr>
              <w:spacing w:before="143" w:line="200" w:lineRule="exact"/>
              <w:ind w:left="13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1000-5000</w:t>
            </w:r>
          </w:p>
        </w:tc>
        <w:tc>
          <w:tcPr>
            <w:tcW w:w="1004" w:type="dxa"/>
          </w:tcPr>
          <w:p w14:paraId="34070BCC">
            <w:pPr>
              <w:spacing w:before="102" w:line="200" w:lineRule="exact"/>
              <w:ind w:left="16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w:t>
            </w:r>
          </w:p>
        </w:tc>
      </w:tr>
      <w:tr w14:paraId="2B1FA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184" w:type="dxa"/>
            <w:vMerge w:val="restart"/>
            <w:tcBorders>
              <w:bottom w:val="nil"/>
            </w:tcBorders>
          </w:tcPr>
          <w:p w14:paraId="294CAE52">
            <w:pPr>
              <w:spacing w:line="200" w:lineRule="exact"/>
              <w:rPr>
                <w:rFonts w:ascii="Arial"/>
                <w:color w:val="auto"/>
                <w:highlight w:val="none"/>
              </w:rPr>
            </w:pPr>
          </w:p>
          <w:p w14:paraId="7DC8398E">
            <w:pPr>
              <w:spacing w:before="75" w:line="200" w:lineRule="exact"/>
              <w:ind w:left="24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零售业</w:t>
            </w:r>
          </w:p>
        </w:tc>
        <w:tc>
          <w:tcPr>
            <w:tcW w:w="1187" w:type="dxa"/>
          </w:tcPr>
          <w:p w14:paraId="0554FE84">
            <w:pPr>
              <w:spacing w:before="102"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从业人员</w:t>
            </w:r>
          </w:p>
        </w:tc>
        <w:tc>
          <w:tcPr>
            <w:tcW w:w="900" w:type="dxa"/>
          </w:tcPr>
          <w:p w14:paraId="28B4C03B">
            <w:pPr>
              <w:spacing w:before="101" w:line="200" w:lineRule="exact"/>
              <w:ind w:left="34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人</w:t>
            </w:r>
          </w:p>
        </w:tc>
        <w:tc>
          <w:tcPr>
            <w:tcW w:w="1399" w:type="dxa"/>
          </w:tcPr>
          <w:p w14:paraId="393F6CB4">
            <w:pPr>
              <w:spacing w:before="102" w:line="200" w:lineRule="exact"/>
              <w:ind w:left="43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w:t>
            </w:r>
          </w:p>
        </w:tc>
        <w:tc>
          <w:tcPr>
            <w:tcW w:w="1535" w:type="dxa"/>
          </w:tcPr>
          <w:p w14:paraId="513A03FD">
            <w:pPr>
              <w:spacing w:before="143" w:line="200" w:lineRule="exact"/>
              <w:ind w:left="41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50-300</w:t>
            </w:r>
          </w:p>
        </w:tc>
        <w:tc>
          <w:tcPr>
            <w:tcW w:w="1295" w:type="dxa"/>
          </w:tcPr>
          <w:p w14:paraId="39B7EF81">
            <w:pPr>
              <w:spacing w:before="143" w:line="200" w:lineRule="exact"/>
              <w:ind w:left="37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10-50</w:t>
            </w:r>
          </w:p>
        </w:tc>
        <w:tc>
          <w:tcPr>
            <w:tcW w:w="1004" w:type="dxa"/>
          </w:tcPr>
          <w:p w14:paraId="606C0599">
            <w:pPr>
              <w:spacing w:before="102" w:line="200" w:lineRule="exact"/>
              <w:ind w:left="28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w:t>
            </w:r>
          </w:p>
        </w:tc>
      </w:tr>
      <w:tr w14:paraId="1A3F92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184" w:type="dxa"/>
            <w:vMerge w:val="continue"/>
            <w:tcBorders>
              <w:top w:val="nil"/>
            </w:tcBorders>
          </w:tcPr>
          <w:p w14:paraId="777D4983">
            <w:pPr>
              <w:spacing w:line="200" w:lineRule="exact"/>
              <w:rPr>
                <w:rFonts w:ascii="Arial"/>
                <w:color w:val="auto"/>
                <w:highlight w:val="none"/>
              </w:rPr>
            </w:pPr>
          </w:p>
        </w:tc>
        <w:tc>
          <w:tcPr>
            <w:tcW w:w="1187" w:type="dxa"/>
          </w:tcPr>
          <w:p w14:paraId="1C7A2EAA">
            <w:pPr>
              <w:spacing w:before="102" w:line="200" w:lineRule="exact"/>
              <w:ind w:left="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营业收入</w:t>
            </w:r>
          </w:p>
        </w:tc>
        <w:tc>
          <w:tcPr>
            <w:tcW w:w="900" w:type="dxa"/>
          </w:tcPr>
          <w:p w14:paraId="165CDDD7">
            <w:pPr>
              <w:spacing w:before="102"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03B74FC9">
            <w:pPr>
              <w:spacing w:before="101" w:line="200" w:lineRule="exact"/>
              <w:ind w:left="30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≤20000</w:t>
            </w:r>
          </w:p>
        </w:tc>
        <w:tc>
          <w:tcPr>
            <w:tcW w:w="1535" w:type="dxa"/>
          </w:tcPr>
          <w:p w14:paraId="2A7C7ADB">
            <w:pPr>
              <w:spacing w:before="142" w:line="200" w:lineRule="exact"/>
              <w:ind w:left="23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500-20000</w:t>
            </w:r>
          </w:p>
        </w:tc>
        <w:tc>
          <w:tcPr>
            <w:tcW w:w="1295" w:type="dxa"/>
          </w:tcPr>
          <w:p w14:paraId="0481FD2D">
            <w:pPr>
              <w:spacing w:before="142" w:line="200" w:lineRule="exact"/>
              <w:ind w:left="25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100-500</w:t>
            </w:r>
          </w:p>
        </w:tc>
        <w:tc>
          <w:tcPr>
            <w:tcW w:w="1004" w:type="dxa"/>
          </w:tcPr>
          <w:p w14:paraId="09DA641E">
            <w:pPr>
              <w:spacing w:before="101" w:line="200" w:lineRule="exact"/>
              <w:ind w:left="22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w:t>
            </w:r>
          </w:p>
        </w:tc>
      </w:tr>
      <w:tr w14:paraId="213C9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1184" w:type="dxa"/>
            <w:vMerge w:val="restart"/>
            <w:tcBorders>
              <w:bottom w:val="nil"/>
            </w:tcBorders>
          </w:tcPr>
          <w:p w14:paraId="13DBEDFD">
            <w:pPr>
              <w:spacing w:line="200" w:lineRule="exact"/>
              <w:rPr>
                <w:rFonts w:ascii="Arial"/>
                <w:color w:val="auto"/>
                <w:highlight w:val="none"/>
              </w:rPr>
            </w:pPr>
          </w:p>
          <w:p w14:paraId="7745B2DC">
            <w:pPr>
              <w:spacing w:before="75" w:line="200" w:lineRule="exact"/>
              <w:ind w:left="13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交通运输</w:t>
            </w:r>
          </w:p>
        </w:tc>
        <w:tc>
          <w:tcPr>
            <w:tcW w:w="1187" w:type="dxa"/>
          </w:tcPr>
          <w:p w14:paraId="47EBABB7">
            <w:pPr>
              <w:spacing w:before="102"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从业人员</w:t>
            </w:r>
          </w:p>
        </w:tc>
        <w:tc>
          <w:tcPr>
            <w:tcW w:w="900" w:type="dxa"/>
          </w:tcPr>
          <w:p w14:paraId="372766D2">
            <w:pPr>
              <w:spacing w:before="102" w:line="200" w:lineRule="exact"/>
              <w:ind w:left="34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人</w:t>
            </w:r>
          </w:p>
        </w:tc>
        <w:tc>
          <w:tcPr>
            <w:tcW w:w="1399" w:type="dxa"/>
          </w:tcPr>
          <w:p w14:paraId="7DA049DF">
            <w:pPr>
              <w:spacing w:before="102" w:line="200" w:lineRule="exact"/>
              <w:ind w:left="37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w:t>
            </w:r>
          </w:p>
        </w:tc>
        <w:tc>
          <w:tcPr>
            <w:tcW w:w="1535" w:type="dxa"/>
          </w:tcPr>
          <w:p w14:paraId="093EEA13">
            <w:pPr>
              <w:spacing w:before="143" w:line="200" w:lineRule="exact"/>
              <w:ind w:left="29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300-1000</w:t>
            </w:r>
          </w:p>
        </w:tc>
        <w:tc>
          <w:tcPr>
            <w:tcW w:w="1295" w:type="dxa"/>
          </w:tcPr>
          <w:p w14:paraId="4DA68A55">
            <w:pPr>
              <w:spacing w:before="143" w:line="200" w:lineRule="exact"/>
              <w:ind w:left="296"/>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20-300</w:t>
            </w:r>
          </w:p>
        </w:tc>
        <w:tc>
          <w:tcPr>
            <w:tcW w:w="1004" w:type="dxa"/>
          </w:tcPr>
          <w:p w14:paraId="0915B7E6">
            <w:pPr>
              <w:spacing w:before="102" w:line="200" w:lineRule="exact"/>
              <w:ind w:left="28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w:t>
            </w:r>
          </w:p>
        </w:tc>
      </w:tr>
      <w:tr w14:paraId="6ADD1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184" w:type="dxa"/>
            <w:vMerge w:val="continue"/>
            <w:tcBorders>
              <w:top w:val="nil"/>
            </w:tcBorders>
          </w:tcPr>
          <w:p w14:paraId="2D83E08C">
            <w:pPr>
              <w:spacing w:line="200" w:lineRule="exact"/>
              <w:rPr>
                <w:rFonts w:ascii="Arial"/>
                <w:color w:val="auto"/>
                <w:highlight w:val="none"/>
              </w:rPr>
            </w:pPr>
          </w:p>
        </w:tc>
        <w:tc>
          <w:tcPr>
            <w:tcW w:w="1187" w:type="dxa"/>
          </w:tcPr>
          <w:p w14:paraId="374A24F7">
            <w:pPr>
              <w:spacing w:before="105" w:line="200" w:lineRule="exact"/>
              <w:ind w:left="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营业收入</w:t>
            </w:r>
          </w:p>
        </w:tc>
        <w:tc>
          <w:tcPr>
            <w:tcW w:w="900" w:type="dxa"/>
          </w:tcPr>
          <w:p w14:paraId="3278E3DC">
            <w:pPr>
              <w:spacing w:before="105"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62CA3760">
            <w:pPr>
              <w:spacing w:before="104" w:line="200" w:lineRule="exact"/>
              <w:ind w:left="31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≥30000</w:t>
            </w:r>
          </w:p>
        </w:tc>
        <w:tc>
          <w:tcPr>
            <w:tcW w:w="1535" w:type="dxa"/>
          </w:tcPr>
          <w:p w14:paraId="02BB5085">
            <w:pPr>
              <w:spacing w:before="145" w:line="200" w:lineRule="exact"/>
              <w:ind w:left="17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3000-30000</w:t>
            </w:r>
          </w:p>
        </w:tc>
        <w:tc>
          <w:tcPr>
            <w:tcW w:w="1295" w:type="dxa"/>
          </w:tcPr>
          <w:p w14:paraId="670CAE58">
            <w:pPr>
              <w:spacing w:before="145" w:line="200" w:lineRule="exact"/>
              <w:ind w:left="176"/>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200-3000</w:t>
            </w:r>
          </w:p>
        </w:tc>
        <w:tc>
          <w:tcPr>
            <w:tcW w:w="1004" w:type="dxa"/>
          </w:tcPr>
          <w:p w14:paraId="6C89505E">
            <w:pPr>
              <w:spacing w:before="104" w:line="200" w:lineRule="exact"/>
              <w:ind w:left="22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＜200</w:t>
            </w:r>
          </w:p>
        </w:tc>
      </w:tr>
      <w:tr w14:paraId="581B78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184" w:type="dxa"/>
            <w:vMerge w:val="restart"/>
            <w:tcBorders>
              <w:bottom w:val="nil"/>
            </w:tcBorders>
          </w:tcPr>
          <w:p w14:paraId="3E605BAF">
            <w:pPr>
              <w:spacing w:line="200" w:lineRule="exact"/>
              <w:rPr>
                <w:rFonts w:ascii="Arial"/>
                <w:color w:val="auto"/>
                <w:highlight w:val="none"/>
              </w:rPr>
            </w:pPr>
          </w:p>
          <w:p w14:paraId="11AA2BB5">
            <w:pPr>
              <w:spacing w:before="75" w:line="200" w:lineRule="exact"/>
              <w:ind w:left="369"/>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仓储</w:t>
            </w:r>
          </w:p>
        </w:tc>
        <w:tc>
          <w:tcPr>
            <w:tcW w:w="1187" w:type="dxa"/>
          </w:tcPr>
          <w:p w14:paraId="485B7E25">
            <w:pPr>
              <w:spacing w:before="104"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从业人员</w:t>
            </w:r>
          </w:p>
        </w:tc>
        <w:tc>
          <w:tcPr>
            <w:tcW w:w="900" w:type="dxa"/>
          </w:tcPr>
          <w:p w14:paraId="79031E8A">
            <w:pPr>
              <w:spacing w:before="104" w:line="200" w:lineRule="exact"/>
              <w:ind w:left="34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人</w:t>
            </w:r>
          </w:p>
        </w:tc>
        <w:tc>
          <w:tcPr>
            <w:tcW w:w="1399" w:type="dxa"/>
          </w:tcPr>
          <w:p w14:paraId="07B790D1">
            <w:pPr>
              <w:spacing w:before="104" w:line="200" w:lineRule="exact"/>
              <w:ind w:left="43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≥200</w:t>
            </w:r>
          </w:p>
        </w:tc>
        <w:tc>
          <w:tcPr>
            <w:tcW w:w="1535" w:type="dxa"/>
          </w:tcPr>
          <w:p w14:paraId="283B5EFE">
            <w:pPr>
              <w:spacing w:before="145" w:line="200" w:lineRule="exact"/>
              <w:ind w:left="37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100-200</w:t>
            </w:r>
          </w:p>
        </w:tc>
        <w:tc>
          <w:tcPr>
            <w:tcW w:w="1295" w:type="dxa"/>
          </w:tcPr>
          <w:p w14:paraId="08B8118A">
            <w:pPr>
              <w:spacing w:before="145" w:line="200" w:lineRule="exact"/>
              <w:ind w:left="296"/>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20-100</w:t>
            </w:r>
          </w:p>
        </w:tc>
        <w:tc>
          <w:tcPr>
            <w:tcW w:w="1004" w:type="dxa"/>
          </w:tcPr>
          <w:p w14:paraId="188597C1">
            <w:pPr>
              <w:spacing w:before="104" w:line="200" w:lineRule="exact"/>
              <w:ind w:left="28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w:t>
            </w:r>
          </w:p>
        </w:tc>
      </w:tr>
      <w:tr w14:paraId="5C750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184" w:type="dxa"/>
            <w:vMerge w:val="continue"/>
            <w:tcBorders>
              <w:top w:val="nil"/>
            </w:tcBorders>
          </w:tcPr>
          <w:p w14:paraId="30ED2805">
            <w:pPr>
              <w:spacing w:line="200" w:lineRule="exact"/>
              <w:rPr>
                <w:rFonts w:ascii="Arial"/>
                <w:color w:val="auto"/>
                <w:highlight w:val="none"/>
              </w:rPr>
            </w:pPr>
          </w:p>
        </w:tc>
        <w:tc>
          <w:tcPr>
            <w:tcW w:w="1187" w:type="dxa"/>
          </w:tcPr>
          <w:p w14:paraId="15251D63">
            <w:pPr>
              <w:spacing w:before="104" w:line="200" w:lineRule="exact"/>
              <w:ind w:left="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营业收入</w:t>
            </w:r>
          </w:p>
        </w:tc>
        <w:tc>
          <w:tcPr>
            <w:tcW w:w="900" w:type="dxa"/>
          </w:tcPr>
          <w:p w14:paraId="4BE52313">
            <w:pPr>
              <w:spacing w:before="104"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307F6E03">
            <w:pPr>
              <w:spacing w:before="104" w:line="200" w:lineRule="exact"/>
              <w:ind w:left="31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≥30000</w:t>
            </w:r>
          </w:p>
        </w:tc>
        <w:tc>
          <w:tcPr>
            <w:tcW w:w="1535" w:type="dxa"/>
          </w:tcPr>
          <w:p w14:paraId="23AC4853">
            <w:pPr>
              <w:spacing w:before="145" w:line="200" w:lineRule="exact"/>
              <w:ind w:left="19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1000-30000</w:t>
            </w:r>
          </w:p>
        </w:tc>
        <w:tc>
          <w:tcPr>
            <w:tcW w:w="1295" w:type="dxa"/>
          </w:tcPr>
          <w:p w14:paraId="235F6CD3">
            <w:pPr>
              <w:spacing w:before="145" w:line="200" w:lineRule="exact"/>
              <w:ind w:left="19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100-1000</w:t>
            </w:r>
          </w:p>
        </w:tc>
        <w:tc>
          <w:tcPr>
            <w:tcW w:w="1004" w:type="dxa"/>
          </w:tcPr>
          <w:p w14:paraId="1EDE97DF">
            <w:pPr>
              <w:spacing w:before="104" w:line="200" w:lineRule="exact"/>
              <w:ind w:left="22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w:t>
            </w:r>
          </w:p>
        </w:tc>
      </w:tr>
      <w:tr w14:paraId="29801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184" w:type="dxa"/>
            <w:vMerge w:val="restart"/>
            <w:tcBorders>
              <w:bottom w:val="nil"/>
            </w:tcBorders>
          </w:tcPr>
          <w:p w14:paraId="10E14793">
            <w:pPr>
              <w:spacing w:line="200" w:lineRule="exact"/>
              <w:rPr>
                <w:rFonts w:ascii="Arial"/>
                <w:color w:val="auto"/>
                <w:highlight w:val="none"/>
              </w:rPr>
            </w:pPr>
          </w:p>
          <w:p w14:paraId="2D83849B">
            <w:pPr>
              <w:spacing w:before="75" w:line="200" w:lineRule="exact"/>
              <w:ind w:left="262"/>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邮政业</w:t>
            </w:r>
          </w:p>
        </w:tc>
        <w:tc>
          <w:tcPr>
            <w:tcW w:w="1187" w:type="dxa"/>
          </w:tcPr>
          <w:p w14:paraId="2982FC9C">
            <w:pPr>
              <w:spacing w:before="104"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从业人员</w:t>
            </w:r>
          </w:p>
        </w:tc>
        <w:tc>
          <w:tcPr>
            <w:tcW w:w="900" w:type="dxa"/>
          </w:tcPr>
          <w:p w14:paraId="2121BF65">
            <w:pPr>
              <w:spacing w:before="104" w:line="200" w:lineRule="exact"/>
              <w:ind w:left="34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人</w:t>
            </w:r>
          </w:p>
        </w:tc>
        <w:tc>
          <w:tcPr>
            <w:tcW w:w="1399" w:type="dxa"/>
          </w:tcPr>
          <w:p w14:paraId="26B84D8D">
            <w:pPr>
              <w:spacing w:before="104" w:line="200" w:lineRule="exact"/>
              <w:ind w:left="37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w:t>
            </w:r>
          </w:p>
        </w:tc>
        <w:tc>
          <w:tcPr>
            <w:tcW w:w="1535" w:type="dxa"/>
          </w:tcPr>
          <w:p w14:paraId="0783D51F">
            <w:pPr>
              <w:spacing w:before="145" w:line="200" w:lineRule="exact"/>
              <w:ind w:left="23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300- 1000</w:t>
            </w:r>
          </w:p>
        </w:tc>
        <w:tc>
          <w:tcPr>
            <w:tcW w:w="1295" w:type="dxa"/>
          </w:tcPr>
          <w:p w14:paraId="6793B0E5">
            <w:pPr>
              <w:spacing w:before="145" w:line="200" w:lineRule="exact"/>
              <w:ind w:left="296"/>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20-300</w:t>
            </w:r>
          </w:p>
        </w:tc>
        <w:tc>
          <w:tcPr>
            <w:tcW w:w="1004" w:type="dxa"/>
          </w:tcPr>
          <w:p w14:paraId="27F62898">
            <w:pPr>
              <w:spacing w:before="104" w:line="200" w:lineRule="exact"/>
              <w:ind w:left="28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w:t>
            </w:r>
          </w:p>
        </w:tc>
      </w:tr>
      <w:tr w14:paraId="6318B9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1184" w:type="dxa"/>
            <w:vMerge w:val="continue"/>
            <w:tcBorders>
              <w:top w:val="nil"/>
            </w:tcBorders>
          </w:tcPr>
          <w:p w14:paraId="32C58C5E">
            <w:pPr>
              <w:spacing w:line="200" w:lineRule="exact"/>
              <w:rPr>
                <w:rFonts w:ascii="Arial"/>
                <w:color w:val="auto"/>
                <w:highlight w:val="none"/>
              </w:rPr>
            </w:pPr>
          </w:p>
        </w:tc>
        <w:tc>
          <w:tcPr>
            <w:tcW w:w="1187" w:type="dxa"/>
          </w:tcPr>
          <w:p w14:paraId="5FA6B775">
            <w:pPr>
              <w:spacing w:before="104" w:line="200" w:lineRule="exact"/>
              <w:ind w:left="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营业收入</w:t>
            </w:r>
          </w:p>
        </w:tc>
        <w:tc>
          <w:tcPr>
            <w:tcW w:w="900" w:type="dxa"/>
          </w:tcPr>
          <w:p w14:paraId="19D8DE05">
            <w:pPr>
              <w:spacing w:before="104"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2FCA297A">
            <w:pPr>
              <w:spacing w:before="104" w:line="200" w:lineRule="exact"/>
              <w:ind w:left="31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≥30000</w:t>
            </w:r>
          </w:p>
        </w:tc>
        <w:tc>
          <w:tcPr>
            <w:tcW w:w="1535" w:type="dxa"/>
          </w:tcPr>
          <w:p w14:paraId="79A607FB">
            <w:pPr>
              <w:spacing w:before="145" w:line="200" w:lineRule="exact"/>
              <w:ind w:left="17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2000-30000</w:t>
            </w:r>
          </w:p>
        </w:tc>
        <w:tc>
          <w:tcPr>
            <w:tcW w:w="1295" w:type="dxa"/>
          </w:tcPr>
          <w:p w14:paraId="718D2024">
            <w:pPr>
              <w:spacing w:before="145" w:line="200" w:lineRule="exact"/>
              <w:ind w:left="19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100-2000</w:t>
            </w:r>
          </w:p>
        </w:tc>
        <w:tc>
          <w:tcPr>
            <w:tcW w:w="1004" w:type="dxa"/>
          </w:tcPr>
          <w:p w14:paraId="4E16FDF0">
            <w:pPr>
              <w:spacing w:before="104" w:line="200" w:lineRule="exact"/>
              <w:ind w:left="22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w:t>
            </w:r>
          </w:p>
        </w:tc>
      </w:tr>
      <w:tr w14:paraId="7B0B8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184" w:type="dxa"/>
            <w:vMerge w:val="restart"/>
            <w:tcBorders>
              <w:bottom w:val="nil"/>
            </w:tcBorders>
          </w:tcPr>
          <w:p w14:paraId="469430FE">
            <w:pPr>
              <w:spacing w:line="200" w:lineRule="exact"/>
              <w:rPr>
                <w:rFonts w:ascii="Arial"/>
                <w:color w:val="auto"/>
                <w:highlight w:val="none"/>
              </w:rPr>
            </w:pPr>
          </w:p>
          <w:p w14:paraId="3E284C07">
            <w:pPr>
              <w:spacing w:before="75" w:line="200" w:lineRule="exact"/>
              <w:ind w:left="124"/>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住宿餐饮</w:t>
            </w:r>
          </w:p>
        </w:tc>
        <w:tc>
          <w:tcPr>
            <w:tcW w:w="1187" w:type="dxa"/>
          </w:tcPr>
          <w:p w14:paraId="2AF97486">
            <w:pPr>
              <w:spacing w:before="104"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从业人员</w:t>
            </w:r>
          </w:p>
        </w:tc>
        <w:tc>
          <w:tcPr>
            <w:tcW w:w="900" w:type="dxa"/>
          </w:tcPr>
          <w:p w14:paraId="3EF7F333">
            <w:pPr>
              <w:spacing w:before="103" w:line="200" w:lineRule="exact"/>
              <w:ind w:left="34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人</w:t>
            </w:r>
          </w:p>
        </w:tc>
        <w:tc>
          <w:tcPr>
            <w:tcW w:w="1399" w:type="dxa"/>
          </w:tcPr>
          <w:p w14:paraId="4939C00C">
            <w:pPr>
              <w:spacing w:before="103" w:line="200" w:lineRule="exact"/>
              <w:ind w:left="43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w:t>
            </w:r>
          </w:p>
        </w:tc>
        <w:tc>
          <w:tcPr>
            <w:tcW w:w="1535" w:type="dxa"/>
          </w:tcPr>
          <w:p w14:paraId="47896201">
            <w:pPr>
              <w:spacing w:before="144" w:line="200" w:lineRule="exact"/>
              <w:ind w:left="37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100-300</w:t>
            </w:r>
          </w:p>
        </w:tc>
        <w:tc>
          <w:tcPr>
            <w:tcW w:w="1295" w:type="dxa"/>
          </w:tcPr>
          <w:p w14:paraId="7C818B70">
            <w:pPr>
              <w:spacing w:before="144" w:line="200" w:lineRule="exact"/>
              <w:ind w:left="31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10-100</w:t>
            </w:r>
          </w:p>
        </w:tc>
        <w:tc>
          <w:tcPr>
            <w:tcW w:w="1004" w:type="dxa"/>
          </w:tcPr>
          <w:p w14:paraId="10CF480B">
            <w:pPr>
              <w:spacing w:before="103" w:line="200" w:lineRule="exact"/>
              <w:ind w:left="28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w:t>
            </w:r>
          </w:p>
        </w:tc>
      </w:tr>
      <w:tr w14:paraId="15208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184" w:type="dxa"/>
            <w:vMerge w:val="continue"/>
            <w:tcBorders>
              <w:top w:val="nil"/>
            </w:tcBorders>
          </w:tcPr>
          <w:p w14:paraId="0453068C">
            <w:pPr>
              <w:spacing w:line="200" w:lineRule="exact"/>
              <w:rPr>
                <w:rFonts w:ascii="Arial"/>
                <w:color w:val="auto"/>
                <w:highlight w:val="none"/>
              </w:rPr>
            </w:pPr>
          </w:p>
        </w:tc>
        <w:tc>
          <w:tcPr>
            <w:tcW w:w="1187" w:type="dxa"/>
          </w:tcPr>
          <w:p w14:paraId="002ECD5B">
            <w:pPr>
              <w:spacing w:before="103" w:line="200" w:lineRule="exact"/>
              <w:ind w:left="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营业收入</w:t>
            </w:r>
          </w:p>
        </w:tc>
        <w:tc>
          <w:tcPr>
            <w:tcW w:w="900" w:type="dxa"/>
          </w:tcPr>
          <w:p w14:paraId="1E88BAC8">
            <w:pPr>
              <w:spacing w:before="103"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7E725043">
            <w:pPr>
              <w:spacing w:before="103" w:line="200" w:lineRule="exact"/>
              <w:ind w:left="31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≥10000</w:t>
            </w:r>
          </w:p>
        </w:tc>
        <w:tc>
          <w:tcPr>
            <w:tcW w:w="1535" w:type="dxa"/>
          </w:tcPr>
          <w:p w14:paraId="027E1F1E">
            <w:pPr>
              <w:spacing w:before="144" w:line="200" w:lineRule="exact"/>
              <w:ind w:left="17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2000-10000</w:t>
            </w:r>
          </w:p>
        </w:tc>
        <w:tc>
          <w:tcPr>
            <w:tcW w:w="1295" w:type="dxa"/>
          </w:tcPr>
          <w:p w14:paraId="3B7C7048">
            <w:pPr>
              <w:spacing w:before="144" w:line="200" w:lineRule="exact"/>
              <w:ind w:left="19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100-2000</w:t>
            </w:r>
          </w:p>
        </w:tc>
        <w:tc>
          <w:tcPr>
            <w:tcW w:w="1004" w:type="dxa"/>
          </w:tcPr>
          <w:p w14:paraId="2FEC3E58">
            <w:pPr>
              <w:spacing w:before="103" w:line="200" w:lineRule="exact"/>
              <w:ind w:left="22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w:t>
            </w:r>
          </w:p>
        </w:tc>
      </w:tr>
      <w:tr w14:paraId="04DD7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184" w:type="dxa"/>
            <w:vMerge w:val="restart"/>
            <w:tcBorders>
              <w:bottom w:val="nil"/>
            </w:tcBorders>
          </w:tcPr>
          <w:p w14:paraId="1C9BB0FD">
            <w:pPr>
              <w:spacing w:before="172" w:line="200" w:lineRule="exact"/>
              <w:ind w:left="124" w:right="110" w:firstLine="124"/>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房地产 开发经营</w:t>
            </w:r>
          </w:p>
        </w:tc>
        <w:tc>
          <w:tcPr>
            <w:tcW w:w="1187" w:type="dxa"/>
          </w:tcPr>
          <w:p w14:paraId="1BE1896B">
            <w:pPr>
              <w:spacing w:before="103" w:line="200" w:lineRule="exact"/>
              <w:ind w:left="138"/>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资产总额</w:t>
            </w:r>
          </w:p>
        </w:tc>
        <w:tc>
          <w:tcPr>
            <w:tcW w:w="900" w:type="dxa"/>
          </w:tcPr>
          <w:p w14:paraId="3661877E">
            <w:pPr>
              <w:spacing w:before="103"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5697BA66">
            <w:pPr>
              <w:spacing w:before="103" w:line="200" w:lineRule="exact"/>
              <w:ind w:left="31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≥10000</w:t>
            </w:r>
          </w:p>
        </w:tc>
        <w:tc>
          <w:tcPr>
            <w:tcW w:w="1535" w:type="dxa"/>
          </w:tcPr>
          <w:p w14:paraId="15D6BBCA">
            <w:pPr>
              <w:spacing w:before="144" w:line="200" w:lineRule="exact"/>
              <w:ind w:left="17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5000-10000</w:t>
            </w:r>
          </w:p>
        </w:tc>
        <w:tc>
          <w:tcPr>
            <w:tcW w:w="1295" w:type="dxa"/>
          </w:tcPr>
          <w:p w14:paraId="69EEFAF7">
            <w:pPr>
              <w:spacing w:before="103" w:line="200" w:lineRule="exact"/>
              <w:ind w:left="116"/>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2000&lt;5000</w:t>
            </w:r>
          </w:p>
        </w:tc>
        <w:tc>
          <w:tcPr>
            <w:tcW w:w="1004" w:type="dxa"/>
          </w:tcPr>
          <w:p w14:paraId="101EB39E">
            <w:pPr>
              <w:spacing w:before="103" w:line="200" w:lineRule="exact"/>
              <w:ind w:left="16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＜2000</w:t>
            </w:r>
          </w:p>
        </w:tc>
      </w:tr>
      <w:tr w14:paraId="7EC24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184" w:type="dxa"/>
            <w:vMerge w:val="continue"/>
            <w:tcBorders>
              <w:top w:val="nil"/>
            </w:tcBorders>
          </w:tcPr>
          <w:p w14:paraId="4053869A">
            <w:pPr>
              <w:spacing w:line="200" w:lineRule="exact"/>
              <w:rPr>
                <w:rFonts w:ascii="Arial"/>
                <w:color w:val="auto"/>
                <w:highlight w:val="none"/>
              </w:rPr>
            </w:pPr>
          </w:p>
        </w:tc>
        <w:tc>
          <w:tcPr>
            <w:tcW w:w="1187" w:type="dxa"/>
          </w:tcPr>
          <w:p w14:paraId="5F5FA466">
            <w:pPr>
              <w:spacing w:before="103" w:line="200" w:lineRule="exact"/>
              <w:ind w:left="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营业收入</w:t>
            </w:r>
          </w:p>
        </w:tc>
        <w:tc>
          <w:tcPr>
            <w:tcW w:w="900" w:type="dxa"/>
          </w:tcPr>
          <w:p w14:paraId="7332D0D1">
            <w:pPr>
              <w:spacing w:before="103"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7F81D41D">
            <w:pPr>
              <w:spacing w:before="103" w:line="200" w:lineRule="exact"/>
              <w:ind w:left="25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≥200000</w:t>
            </w:r>
          </w:p>
        </w:tc>
        <w:tc>
          <w:tcPr>
            <w:tcW w:w="1535" w:type="dxa"/>
          </w:tcPr>
          <w:p w14:paraId="32B355D8">
            <w:pPr>
              <w:spacing w:before="144" w:line="200" w:lineRule="exact"/>
              <w:ind w:left="13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1000-200000</w:t>
            </w:r>
          </w:p>
        </w:tc>
        <w:tc>
          <w:tcPr>
            <w:tcW w:w="1295" w:type="dxa"/>
          </w:tcPr>
          <w:p w14:paraId="24F11C4F">
            <w:pPr>
              <w:spacing w:before="103" w:line="200" w:lineRule="exact"/>
              <w:ind w:left="13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100&lt;10000</w:t>
            </w:r>
          </w:p>
        </w:tc>
        <w:tc>
          <w:tcPr>
            <w:tcW w:w="1004" w:type="dxa"/>
          </w:tcPr>
          <w:p w14:paraId="50D7B833">
            <w:pPr>
              <w:spacing w:before="103" w:line="200" w:lineRule="exact"/>
              <w:ind w:left="22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w:t>
            </w:r>
          </w:p>
        </w:tc>
      </w:tr>
      <w:tr w14:paraId="4898A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6" w:hRule="atLeast"/>
        </w:trPr>
        <w:tc>
          <w:tcPr>
            <w:tcW w:w="1184" w:type="dxa"/>
            <w:vMerge w:val="restart"/>
            <w:tcBorders>
              <w:bottom w:val="nil"/>
            </w:tcBorders>
          </w:tcPr>
          <w:p w14:paraId="7EB1FA40">
            <w:pPr>
              <w:spacing w:before="263"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物业管理</w:t>
            </w:r>
          </w:p>
        </w:tc>
        <w:tc>
          <w:tcPr>
            <w:tcW w:w="1187" w:type="dxa"/>
          </w:tcPr>
          <w:p w14:paraId="0CDA67F5">
            <w:pPr>
              <w:spacing w:before="40"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从业人员</w:t>
            </w:r>
          </w:p>
        </w:tc>
        <w:tc>
          <w:tcPr>
            <w:tcW w:w="900" w:type="dxa"/>
          </w:tcPr>
          <w:p w14:paraId="31D2DB7A">
            <w:pPr>
              <w:spacing w:before="40" w:line="200" w:lineRule="exact"/>
              <w:ind w:left="34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人</w:t>
            </w:r>
          </w:p>
        </w:tc>
        <w:tc>
          <w:tcPr>
            <w:tcW w:w="1399" w:type="dxa"/>
          </w:tcPr>
          <w:p w14:paraId="013A9703">
            <w:pPr>
              <w:spacing w:before="40" w:line="200" w:lineRule="exact"/>
              <w:ind w:left="37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w:t>
            </w:r>
          </w:p>
        </w:tc>
        <w:tc>
          <w:tcPr>
            <w:tcW w:w="1535" w:type="dxa"/>
          </w:tcPr>
          <w:p w14:paraId="3FC010B4">
            <w:pPr>
              <w:spacing w:before="81" w:line="200" w:lineRule="exact"/>
              <w:ind w:left="29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300-1000</w:t>
            </w:r>
          </w:p>
        </w:tc>
        <w:tc>
          <w:tcPr>
            <w:tcW w:w="1295" w:type="dxa"/>
          </w:tcPr>
          <w:p w14:paraId="464D8F3A">
            <w:pPr>
              <w:spacing w:before="81" w:line="200" w:lineRule="exact"/>
              <w:ind w:left="25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100-300</w:t>
            </w:r>
          </w:p>
        </w:tc>
        <w:tc>
          <w:tcPr>
            <w:tcW w:w="1004" w:type="dxa"/>
          </w:tcPr>
          <w:p w14:paraId="287C6E1A">
            <w:pPr>
              <w:spacing w:before="40" w:line="200" w:lineRule="exact"/>
              <w:ind w:left="22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w:t>
            </w:r>
          </w:p>
        </w:tc>
      </w:tr>
      <w:tr w14:paraId="08439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1184" w:type="dxa"/>
            <w:vMerge w:val="continue"/>
            <w:tcBorders>
              <w:top w:val="nil"/>
            </w:tcBorders>
          </w:tcPr>
          <w:p w14:paraId="225626E3">
            <w:pPr>
              <w:spacing w:line="200" w:lineRule="exact"/>
              <w:rPr>
                <w:rFonts w:ascii="Arial"/>
                <w:color w:val="auto"/>
                <w:highlight w:val="none"/>
              </w:rPr>
            </w:pPr>
          </w:p>
        </w:tc>
        <w:tc>
          <w:tcPr>
            <w:tcW w:w="1187" w:type="dxa"/>
          </w:tcPr>
          <w:p w14:paraId="5E1E9E5E">
            <w:pPr>
              <w:spacing w:before="103" w:line="200" w:lineRule="exact"/>
              <w:ind w:left="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营业收入</w:t>
            </w:r>
          </w:p>
        </w:tc>
        <w:tc>
          <w:tcPr>
            <w:tcW w:w="900" w:type="dxa"/>
          </w:tcPr>
          <w:p w14:paraId="57AE5610">
            <w:pPr>
              <w:spacing w:before="103"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56287C74">
            <w:pPr>
              <w:spacing w:before="103" w:line="200" w:lineRule="exact"/>
              <w:ind w:left="37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≥5000</w:t>
            </w:r>
          </w:p>
        </w:tc>
        <w:tc>
          <w:tcPr>
            <w:tcW w:w="1535" w:type="dxa"/>
          </w:tcPr>
          <w:p w14:paraId="6A3B4368">
            <w:pPr>
              <w:spacing w:before="144" w:line="200" w:lineRule="exact"/>
              <w:ind w:left="25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1000-5000</w:t>
            </w:r>
          </w:p>
        </w:tc>
        <w:tc>
          <w:tcPr>
            <w:tcW w:w="1295" w:type="dxa"/>
          </w:tcPr>
          <w:p w14:paraId="7E95E1BE">
            <w:pPr>
              <w:spacing w:before="144" w:line="200" w:lineRule="exact"/>
              <w:ind w:left="118"/>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500- 1000</w:t>
            </w:r>
          </w:p>
        </w:tc>
        <w:tc>
          <w:tcPr>
            <w:tcW w:w="1004" w:type="dxa"/>
          </w:tcPr>
          <w:p w14:paraId="5702249E">
            <w:pPr>
              <w:spacing w:before="103" w:line="200" w:lineRule="exact"/>
              <w:ind w:left="22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＜500</w:t>
            </w:r>
          </w:p>
        </w:tc>
      </w:tr>
      <w:tr w14:paraId="799E8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 w:hRule="atLeast"/>
        </w:trPr>
        <w:tc>
          <w:tcPr>
            <w:tcW w:w="1184" w:type="dxa"/>
            <w:vMerge w:val="restart"/>
            <w:tcBorders>
              <w:bottom w:val="nil"/>
            </w:tcBorders>
          </w:tcPr>
          <w:p w14:paraId="253CBE1C">
            <w:pPr>
              <w:spacing w:before="263" w:line="200" w:lineRule="exact"/>
              <w:ind w:left="124"/>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信息传输</w:t>
            </w:r>
          </w:p>
        </w:tc>
        <w:tc>
          <w:tcPr>
            <w:tcW w:w="1187" w:type="dxa"/>
          </w:tcPr>
          <w:p w14:paraId="2655FB16">
            <w:pPr>
              <w:spacing w:before="40"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从业人员</w:t>
            </w:r>
          </w:p>
        </w:tc>
        <w:tc>
          <w:tcPr>
            <w:tcW w:w="900" w:type="dxa"/>
          </w:tcPr>
          <w:p w14:paraId="4B8E3656">
            <w:pPr>
              <w:spacing w:before="40" w:line="200" w:lineRule="exact"/>
              <w:ind w:left="34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人</w:t>
            </w:r>
          </w:p>
        </w:tc>
        <w:tc>
          <w:tcPr>
            <w:tcW w:w="1399" w:type="dxa"/>
          </w:tcPr>
          <w:p w14:paraId="29C755B0">
            <w:pPr>
              <w:spacing w:before="40" w:line="200" w:lineRule="exact"/>
              <w:ind w:left="37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≥2000</w:t>
            </w:r>
          </w:p>
        </w:tc>
        <w:tc>
          <w:tcPr>
            <w:tcW w:w="1535" w:type="dxa"/>
          </w:tcPr>
          <w:p w14:paraId="5F2F0F9C">
            <w:pPr>
              <w:spacing w:before="82" w:line="200" w:lineRule="exact"/>
              <w:ind w:left="37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100-200</w:t>
            </w:r>
          </w:p>
        </w:tc>
        <w:tc>
          <w:tcPr>
            <w:tcW w:w="1295" w:type="dxa"/>
          </w:tcPr>
          <w:p w14:paraId="2B76C93C">
            <w:pPr>
              <w:spacing w:before="82" w:line="200" w:lineRule="exact"/>
              <w:ind w:left="31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10-100</w:t>
            </w:r>
          </w:p>
        </w:tc>
        <w:tc>
          <w:tcPr>
            <w:tcW w:w="1004" w:type="dxa"/>
          </w:tcPr>
          <w:p w14:paraId="0712DC6A">
            <w:pPr>
              <w:spacing w:before="40" w:line="200" w:lineRule="exact"/>
              <w:ind w:left="28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w:t>
            </w:r>
          </w:p>
        </w:tc>
      </w:tr>
      <w:tr w14:paraId="202BF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84" w:type="dxa"/>
            <w:vMerge w:val="continue"/>
            <w:tcBorders>
              <w:top w:val="nil"/>
            </w:tcBorders>
          </w:tcPr>
          <w:p w14:paraId="5251E22E">
            <w:pPr>
              <w:spacing w:line="200" w:lineRule="exact"/>
              <w:rPr>
                <w:rFonts w:ascii="Arial"/>
                <w:color w:val="auto"/>
                <w:highlight w:val="none"/>
              </w:rPr>
            </w:pPr>
          </w:p>
        </w:tc>
        <w:tc>
          <w:tcPr>
            <w:tcW w:w="1187" w:type="dxa"/>
          </w:tcPr>
          <w:p w14:paraId="2A5EF254">
            <w:pPr>
              <w:spacing w:before="103" w:line="200" w:lineRule="exact"/>
              <w:ind w:left="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营业收入</w:t>
            </w:r>
          </w:p>
        </w:tc>
        <w:tc>
          <w:tcPr>
            <w:tcW w:w="900" w:type="dxa"/>
          </w:tcPr>
          <w:p w14:paraId="17833E69">
            <w:pPr>
              <w:spacing w:before="103"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20FDF6F9">
            <w:pPr>
              <w:spacing w:before="103" w:line="200" w:lineRule="exact"/>
              <w:ind w:left="25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≥100000</w:t>
            </w:r>
          </w:p>
        </w:tc>
        <w:tc>
          <w:tcPr>
            <w:tcW w:w="1535" w:type="dxa"/>
          </w:tcPr>
          <w:p w14:paraId="49F8641B">
            <w:pPr>
              <w:spacing w:before="144" w:line="200" w:lineRule="exact"/>
              <w:ind w:left="13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1000-100000</w:t>
            </w:r>
          </w:p>
        </w:tc>
        <w:tc>
          <w:tcPr>
            <w:tcW w:w="1295" w:type="dxa"/>
          </w:tcPr>
          <w:p w14:paraId="59253BBF">
            <w:pPr>
              <w:spacing w:before="144" w:line="200" w:lineRule="exact"/>
              <w:ind w:left="19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100-1000</w:t>
            </w:r>
          </w:p>
        </w:tc>
        <w:tc>
          <w:tcPr>
            <w:tcW w:w="1004" w:type="dxa"/>
          </w:tcPr>
          <w:p w14:paraId="0471E35C">
            <w:pPr>
              <w:spacing w:before="103" w:line="200" w:lineRule="exact"/>
              <w:ind w:left="22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w:t>
            </w:r>
          </w:p>
        </w:tc>
      </w:tr>
      <w:tr w14:paraId="741A8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1184" w:type="dxa"/>
            <w:vMerge w:val="restart"/>
            <w:tcBorders>
              <w:bottom w:val="nil"/>
            </w:tcBorders>
          </w:tcPr>
          <w:p w14:paraId="511BD185">
            <w:pPr>
              <w:spacing w:before="127" w:line="200" w:lineRule="exact"/>
              <w:ind w:left="124" w:right="110" w:firstLine="12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软件和 信息技术</w:t>
            </w:r>
          </w:p>
        </w:tc>
        <w:tc>
          <w:tcPr>
            <w:tcW w:w="1187" w:type="dxa"/>
          </w:tcPr>
          <w:p w14:paraId="3341B78E">
            <w:pPr>
              <w:spacing w:before="57"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从业人员</w:t>
            </w:r>
          </w:p>
        </w:tc>
        <w:tc>
          <w:tcPr>
            <w:tcW w:w="900" w:type="dxa"/>
          </w:tcPr>
          <w:p w14:paraId="7B2B8D10">
            <w:pPr>
              <w:spacing w:before="57" w:line="200" w:lineRule="exact"/>
              <w:ind w:left="34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人</w:t>
            </w:r>
          </w:p>
        </w:tc>
        <w:tc>
          <w:tcPr>
            <w:tcW w:w="1399" w:type="dxa"/>
          </w:tcPr>
          <w:p w14:paraId="50CF8DC8">
            <w:pPr>
              <w:spacing w:before="57" w:line="200" w:lineRule="exact"/>
              <w:ind w:left="43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w:t>
            </w:r>
          </w:p>
        </w:tc>
        <w:tc>
          <w:tcPr>
            <w:tcW w:w="1535" w:type="dxa"/>
          </w:tcPr>
          <w:p w14:paraId="457F0BF2">
            <w:pPr>
              <w:spacing w:before="98" w:line="200" w:lineRule="exact"/>
              <w:ind w:left="37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100-300</w:t>
            </w:r>
          </w:p>
        </w:tc>
        <w:tc>
          <w:tcPr>
            <w:tcW w:w="1295" w:type="dxa"/>
          </w:tcPr>
          <w:p w14:paraId="35FA1809">
            <w:pPr>
              <w:spacing w:before="98" w:line="200" w:lineRule="exact"/>
              <w:ind w:left="31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10-100</w:t>
            </w:r>
          </w:p>
        </w:tc>
        <w:tc>
          <w:tcPr>
            <w:tcW w:w="1004" w:type="dxa"/>
          </w:tcPr>
          <w:p w14:paraId="5678D1EE">
            <w:pPr>
              <w:spacing w:before="57" w:line="200" w:lineRule="exact"/>
              <w:ind w:left="28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w:t>
            </w:r>
          </w:p>
        </w:tc>
      </w:tr>
      <w:tr w14:paraId="488E2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84" w:type="dxa"/>
            <w:vMerge w:val="continue"/>
            <w:tcBorders>
              <w:top w:val="nil"/>
            </w:tcBorders>
          </w:tcPr>
          <w:p w14:paraId="39D1D699">
            <w:pPr>
              <w:spacing w:line="200" w:lineRule="exact"/>
              <w:rPr>
                <w:rFonts w:ascii="Arial"/>
                <w:color w:val="auto"/>
                <w:highlight w:val="none"/>
              </w:rPr>
            </w:pPr>
          </w:p>
        </w:tc>
        <w:tc>
          <w:tcPr>
            <w:tcW w:w="1187" w:type="dxa"/>
          </w:tcPr>
          <w:p w14:paraId="42226F18">
            <w:pPr>
              <w:spacing w:before="104" w:line="200" w:lineRule="exact"/>
              <w:ind w:left="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营业收入</w:t>
            </w:r>
          </w:p>
        </w:tc>
        <w:tc>
          <w:tcPr>
            <w:tcW w:w="900" w:type="dxa"/>
          </w:tcPr>
          <w:p w14:paraId="3E0CB872">
            <w:pPr>
              <w:spacing w:before="104"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090CC742">
            <w:pPr>
              <w:spacing w:before="103" w:line="200" w:lineRule="exact"/>
              <w:ind w:left="31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≥10000</w:t>
            </w:r>
          </w:p>
        </w:tc>
        <w:tc>
          <w:tcPr>
            <w:tcW w:w="1535" w:type="dxa"/>
          </w:tcPr>
          <w:p w14:paraId="4A44DA49">
            <w:pPr>
              <w:spacing w:before="144" w:line="200" w:lineRule="exact"/>
              <w:ind w:left="19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1000-10000</w:t>
            </w:r>
          </w:p>
        </w:tc>
        <w:tc>
          <w:tcPr>
            <w:tcW w:w="1295" w:type="dxa"/>
          </w:tcPr>
          <w:p w14:paraId="4E76FBE9">
            <w:pPr>
              <w:spacing w:before="144" w:line="200" w:lineRule="exact"/>
              <w:ind w:left="238"/>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50-1000</w:t>
            </w:r>
          </w:p>
        </w:tc>
        <w:tc>
          <w:tcPr>
            <w:tcW w:w="1004" w:type="dxa"/>
          </w:tcPr>
          <w:p w14:paraId="45AAE7DF">
            <w:pPr>
              <w:spacing w:before="103" w:line="200" w:lineRule="exact"/>
              <w:ind w:left="28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＜50</w:t>
            </w:r>
          </w:p>
        </w:tc>
      </w:tr>
      <w:tr w14:paraId="2C680A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1184" w:type="dxa"/>
            <w:vMerge w:val="restart"/>
            <w:tcBorders>
              <w:bottom w:val="nil"/>
            </w:tcBorders>
          </w:tcPr>
          <w:p w14:paraId="0FB2282F">
            <w:pPr>
              <w:spacing w:before="117" w:line="200" w:lineRule="exact"/>
              <w:ind w:left="133" w:right="110" w:firstLine="112"/>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租赁和 商务服务</w:t>
            </w:r>
          </w:p>
        </w:tc>
        <w:tc>
          <w:tcPr>
            <w:tcW w:w="1187" w:type="dxa"/>
          </w:tcPr>
          <w:p w14:paraId="40BC4D98">
            <w:pPr>
              <w:spacing w:before="48"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从业人员</w:t>
            </w:r>
          </w:p>
        </w:tc>
        <w:tc>
          <w:tcPr>
            <w:tcW w:w="900" w:type="dxa"/>
          </w:tcPr>
          <w:p w14:paraId="12F994BE">
            <w:pPr>
              <w:spacing w:before="48" w:line="200" w:lineRule="exact"/>
              <w:ind w:left="34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人</w:t>
            </w:r>
          </w:p>
        </w:tc>
        <w:tc>
          <w:tcPr>
            <w:tcW w:w="1399" w:type="dxa"/>
          </w:tcPr>
          <w:p w14:paraId="0BCBEC4F">
            <w:pPr>
              <w:spacing w:before="48" w:line="200" w:lineRule="exact"/>
              <w:ind w:left="43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w:t>
            </w:r>
          </w:p>
        </w:tc>
        <w:tc>
          <w:tcPr>
            <w:tcW w:w="1535" w:type="dxa"/>
          </w:tcPr>
          <w:p w14:paraId="2935376A">
            <w:pPr>
              <w:spacing w:before="89" w:line="200" w:lineRule="exact"/>
              <w:ind w:left="37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100-300</w:t>
            </w:r>
          </w:p>
        </w:tc>
        <w:tc>
          <w:tcPr>
            <w:tcW w:w="1295" w:type="dxa"/>
          </w:tcPr>
          <w:p w14:paraId="799BB77E">
            <w:pPr>
              <w:spacing w:before="89" w:line="200" w:lineRule="exact"/>
              <w:ind w:left="31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10-100</w:t>
            </w:r>
          </w:p>
        </w:tc>
        <w:tc>
          <w:tcPr>
            <w:tcW w:w="1004" w:type="dxa"/>
          </w:tcPr>
          <w:p w14:paraId="65DB62BE">
            <w:pPr>
              <w:spacing w:before="48" w:line="200" w:lineRule="exact"/>
              <w:ind w:left="28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w:t>
            </w:r>
          </w:p>
        </w:tc>
      </w:tr>
      <w:tr w14:paraId="56C9AB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1184" w:type="dxa"/>
            <w:vMerge w:val="continue"/>
            <w:tcBorders>
              <w:top w:val="nil"/>
            </w:tcBorders>
          </w:tcPr>
          <w:p w14:paraId="2E68F8BF">
            <w:pPr>
              <w:spacing w:line="200" w:lineRule="exact"/>
              <w:rPr>
                <w:rFonts w:ascii="Arial"/>
                <w:color w:val="auto"/>
                <w:highlight w:val="none"/>
              </w:rPr>
            </w:pPr>
          </w:p>
        </w:tc>
        <w:tc>
          <w:tcPr>
            <w:tcW w:w="1187" w:type="dxa"/>
          </w:tcPr>
          <w:p w14:paraId="0C1B7C19">
            <w:pPr>
              <w:spacing w:before="102" w:line="200" w:lineRule="exact"/>
              <w:ind w:left="138"/>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资产总额</w:t>
            </w:r>
          </w:p>
        </w:tc>
        <w:tc>
          <w:tcPr>
            <w:tcW w:w="900" w:type="dxa"/>
          </w:tcPr>
          <w:p w14:paraId="15749437">
            <w:pPr>
              <w:spacing w:before="102" w:line="200" w:lineRule="exact"/>
              <w:ind w:left="2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万元</w:t>
            </w:r>
          </w:p>
        </w:tc>
        <w:tc>
          <w:tcPr>
            <w:tcW w:w="1399" w:type="dxa"/>
          </w:tcPr>
          <w:p w14:paraId="3466C03F">
            <w:pPr>
              <w:spacing w:before="102" w:line="200" w:lineRule="exact"/>
              <w:ind w:left="25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≥120000</w:t>
            </w:r>
          </w:p>
        </w:tc>
        <w:tc>
          <w:tcPr>
            <w:tcW w:w="1535" w:type="dxa"/>
          </w:tcPr>
          <w:p w14:paraId="64EA088D">
            <w:pPr>
              <w:spacing w:before="143" w:line="200" w:lineRule="exact"/>
              <w:ind w:left="11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8000-120000</w:t>
            </w:r>
          </w:p>
        </w:tc>
        <w:tc>
          <w:tcPr>
            <w:tcW w:w="1295" w:type="dxa"/>
          </w:tcPr>
          <w:p w14:paraId="0156F6FF">
            <w:pPr>
              <w:spacing w:before="143" w:line="200" w:lineRule="exact"/>
              <w:ind w:left="19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100-8000</w:t>
            </w:r>
          </w:p>
        </w:tc>
        <w:tc>
          <w:tcPr>
            <w:tcW w:w="1004" w:type="dxa"/>
          </w:tcPr>
          <w:p w14:paraId="004E4C16">
            <w:pPr>
              <w:spacing w:before="102" w:line="200" w:lineRule="exact"/>
              <w:ind w:left="22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w:t>
            </w:r>
          </w:p>
        </w:tc>
      </w:tr>
      <w:tr w14:paraId="10EC9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1184" w:type="dxa"/>
          </w:tcPr>
          <w:p w14:paraId="11BF8C5A">
            <w:pPr>
              <w:spacing w:before="40" w:line="200" w:lineRule="exact"/>
              <w:ind w:left="259" w:right="110" w:hanging="133"/>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其他未列 明行业</w:t>
            </w:r>
          </w:p>
        </w:tc>
        <w:tc>
          <w:tcPr>
            <w:tcW w:w="1187" w:type="dxa"/>
          </w:tcPr>
          <w:p w14:paraId="7C780EF1">
            <w:pPr>
              <w:spacing w:before="195" w:line="200" w:lineRule="exact"/>
              <w:ind w:left="125"/>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从业人员</w:t>
            </w:r>
          </w:p>
        </w:tc>
        <w:tc>
          <w:tcPr>
            <w:tcW w:w="900" w:type="dxa"/>
          </w:tcPr>
          <w:p w14:paraId="24E220E0">
            <w:pPr>
              <w:spacing w:before="195" w:line="200" w:lineRule="exact"/>
              <w:ind w:left="34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人</w:t>
            </w:r>
          </w:p>
        </w:tc>
        <w:tc>
          <w:tcPr>
            <w:tcW w:w="1399" w:type="dxa"/>
          </w:tcPr>
          <w:p w14:paraId="1213E574">
            <w:pPr>
              <w:spacing w:before="195" w:line="200" w:lineRule="exact"/>
              <w:ind w:left="43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≥300</w:t>
            </w:r>
          </w:p>
        </w:tc>
        <w:tc>
          <w:tcPr>
            <w:tcW w:w="1535" w:type="dxa"/>
          </w:tcPr>
          <w:p w14:paraId="20564FD6">
            <w:pPr>
              <w:spacing w:before="236" w:line="200" w:lineRule="exact"/>
              <w:ind w:left="370"/>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100-300</w:t>
            </w:r>
          </w:p>
        </w:tc>
        <w:tc>
          <w:tcPr>
            <w:tcW w:w="1295" w:type="dxa"/>
          </w:tcPr>
          <w:p w14:paraId="2A417D2A">
            <w:pPr>
              <w:spacing w:before="236" w:line="200" w:lineRule="exact"/>
              <w:ind w:left="311"/>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10-100</w:t>
            </w:r>
          </w:p>
        </w:tc>
        <w:tc>
          <w:tcPr>
            <w:tcW w:w="1004" w:type="dxa"/>
          </w:tcPr>
          <w:p w14:paraId="2D6B857B">
            <w:pPr>
              <w:spacing w:before="195" w:line="200" w:lineRule="exact"/>
              <w:ind w:left="287"/>
              <w:rPr>
                <w:rFonts w:hint="eastAsia" w:ascii="仿宋" w:hAnsi="仿宋" w:eastAsia="仿宋" w:cs="仿宋"/>
                <w:color w:val="auto"/>
                <w:sz w:val="23"/>
                <w:szCs w:val="23"/>
                <w:highlight w:val="none"/>
              </w:rPr>
            </w:pPr>
            <w:r>
              <w:rPr>
                <w:rFonts w:ascii="仿宋" w:hAnsi="仿宋" w:eastAsia="仿宋" w:cs="仿宋"/>
                <w:color w:val="auto"/>
                <w:sz w:val="23"/>
                <w:szCs w:val="23"/>
                <w:highlight w:val="none"/>
              </w:rPr>
              <w:t>＜10</w:t>
            </w:r>
          </w:p>
        </w:tc>
      </w:tr>
    </w:tbl>
    <w:p w14:paraId="5F350213">
      <w:pPr>
        <w:widowControl/>
        <w:spacing w:line="360" w:lineRule="auto"/>
        <w:ind w:left="420" w:hanging="420" w:hanging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说明：</w:t>
      </w:r>
    </w:p>
    <w:p w14:paraId="0F9D82C6">
      <w:pPr>
        <w:widowControl/>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1.大型、中型和小型企业须同时满足所列指标的下限，否则下划一档；微型企业只须满足所列指标中的一项即可。</w:t>
      </w:r>
    </w:p>
    <w:p w14:paraId="28AEA0AD">
      <w:pPr>
        <w:widowControl/>
        <w:spacing w:line="360" w:lineRule="auto"/>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4E56CFE8">
      <w:pPr>
        <w:pStyle w:val="3"/>
        <w:spacing w:line="360" w:lineRule="auto"/>
        <w:jc w:val="both"/>
        <w:rPr>
          <w:rFonts w:hint="eastAsia" w:ascii="宋体" w:hAnsi="宋体" w:cs="宋体"/>
          <w:color w:val="auto"/>
          <w:szCs w:val="21"/>
          <w:highlight w:val="none"/>
        </w:rPr>
        <w:sectPr>
          <w:pgSz w:w="11906" w:h="16838"/>
          <w:pgMar w:top="1247" w:right="1417" w:bottom="1247" w:left="1417" w:header="851" w:footer="992" w:gutter="0"/>
          <w:cols w:space="0" w:num="1"/>
          <w:docGrid w:type="lines" w:linePitch="312" w:charSpace="0"/>
        </w:sectPr>
      </w:pPr>
      <w:r>
        <w:rPr>
          <w:rFonts w:hint="eastAsia" w:ascii="宋体" w:hAnsi="宋体" w:cs="宋体"/>
          <w:color w:val="auto"/>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7372E6EC">
      <w:pPr>
        <w:snapToGrid w:val="0"/>
        <w:spacing w:before="156" w:beforeLines="50" w:after="50" w:line="360" w:lineRule="auto"/>
        <w:ind w:right="480" w:firstLine="321" w:firstLineChars="100"/>
        <w:jc w:val="center"/>
        <w:outlineLvl w:val="2"/>
        <w:rPr>
          <w:rFonts w:hint="eastAsia" w:ascii="宋体" w:hAnsi="宋体" w:cs="宋体"/>
          <w:b/>
          <w:bCs/>
          <w:color w:val="auto"/>
          <w:sz w:val="32"/>
          <w:szCs w:val="32"/>
          <w:highlight w:val="none"/>
          <w:lang w:bidi="ar"/>
        </w:rPr>
      </w:pPr>
      <w:r>
        <w:rPr>
          <w:rFonts w:hint="eastAsia" w:ascii="宋体" w:hAnsi="宋体" w:cs="宋体"/>
          <w:b/>
          <w:bCs/>
          <w:color w:val="auto"/>
          <w:sz w:val="32"/>
          <w:szCs w:val="32"/>
          <w:highlight w:val="none"/>
          <w:lang w:bidi="ar"/>
        </w:rPr>
        <w:t>其他文书、文件格式</w:t>
      </w:r>
    </w:p>
    <w:p w14:paraId="1A11DE4D">
      <w:pPr>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lang w:bidi="ar"/>
        </w:rPr>
        <w:t>质疑函（格式）</w:t>
      </w:r>
    </w:p>
    <w:p w14:paraId="3A89FF79">
      <w:pPr>
        <w:pStyle w:val="25"/>
        <w:widowControl w:val="0"/>
        <w:snapToGrid w:val="0"/>
        <w:spacing w:before="0" w:beforeAutospacing="0" w:after="0" w:afterAutospacing="0" w:line="360" w:lineRule="auto"/>
        <w:ind w:firstLine="482" w:firstLineChars="200"/>
        <w:jc w:val="both"/>
        <w:outlineLvl w:val="2"/>
        <w:rPr>
          <w:rFonts w:hint="eastAsia"/>
          <w:b/>
          <w:bCs/>
          <w:color w:val="auto"/>
          <w:highlight w:val="none"/>
        </w:rPr>
      </w:pPr>
      <w:r>
        <w:rPr>
          <w:rFonts w:hint="eastAsia"/>
          <w:b/>
          <w:bCs/>
          <w:color w:val="auto"/>
          <w:highlight w:val="none"/>
          <w:lang w:bidi="ar"/>
        </w:rPr>
        <w:t>一、质疑供应商基本信息：</w:t>
      </w:r>
    </w:p>
    <w:p w14:paraId="5B1A9414">
      <w:pPr>
        <w:pStyle w:val="25"/>
        <w:widowControl w:val="0"/>
        <w:snapToGrid w:val="0"/>
        <w:spacing w:before="0" w:beforeAutospacing="0" w:after="0" w:afterAutospacing="0" w:line="360" w:lineRule="auto"/>
        <w:ind w:firstLine="480" w:firstLineChars="200"/>
        <w:jc w:val="both"/>
        <w:rPr>
          <w:rFonts w:hint="eastAsia"/>
          <w:bCs/>
          <w:color w:val="auto"/>
          <w:highlight w:val="none"/>
          <w:u w:val="single"/>
        </w:rPr>
      </w:pPr>
      <w:r>
        <w:rPr>
          <w:rFonts w:hint="eastAsia"/>
          <w:bCs/>
          <w:color w:val="auto"/>
          <w:highlight w:val="none"/>
          <w:lang w:bidi="ar"/>
        </w:rPr>
        <w:t>质疑供应商：</w:t>
      </w:r>
      <w:r>
        <w:rPr>
          <w:rFonts w:hint="eastAsia"/>
          <w:bCs/>
          <w:color w:val="auto"/>
          <w:highlight w:val="none"/>
          <w:u w:val="single"/>
          <w:lang w:bidi="ar"/>
        </w:rPr>
        <w:t xml:space="preserve">                                       </w:t>
      </w:r>
      <w:r>
        <w:rPr>
          <w:rFonts w:hint="eastAsia"/>
          <w:bCs/>
          <w:color w:val="auto"/>
          <w:highlight w:val="none"/>
          <w:lang w:bidi="ar"/>
        </w:rPr>
        <w:t xml:space="preserve">                 </w:t>
      </w:r>
    </w:p>
    <w:p w14:paraId="25AFBC47">
      <w:pPr>
        <w:pStyle w:val="25"/>
        <w:widowControl w:val="0"/>
        <w:snapToGrid w:val="0"/>
        <w:spacing w:before="0" w:beforeAutospacing="0" w:after="0" w:afterAutospacing="0" w:line="360" w:lineRule="auto"/>
        <w:ind w:firstLine="480" w:firstLineChars="200"/>
        <w:jc w:val="both"/>
        <w:rPr>
          <w:rFonts w:hint="eastAsia"/>
          <w:bCs/>
          <w:color w:val="auto"/>
          <w:highlight w:val="none"/>
        </w:rPr>
      </w:pPr>
      <w:r>
        <w:rPr>
          <w:rFonts w:hint="eastAsia"/>
          <w:bCs/>
          <w:color w:val="auto"/>
          <w:highlight w:val="none"/>
          <w:lang w:bidi="ar"/>
        </w:rPr>
        <w:t>地址：</w:t>
      </w:r>
      <w:r>
        <w:rPr>
          <w:rFonts w:hint="eastAsia"/>
          <w:bCs/>
          <w:color w:val="auto"/>
          <w:highlight w:val="none"/>
          <w:u w:val="single"/>
          <w:lang w:bidi="ar"/>
        </w:rPr>
        <w:t xml:space="preserve">                                          </w:t>
      </w:r>
      <w:r>
        <w:rPr>
          <w:rFonts w:hint="eastAsia"/>
          <w:bCs/>
          <w:color w:val="auto"/>
          <w:highlight w:val="none"/>
          <w:lang w:bidi="ar"/>
        </w:rPr>
        <w:t>邮编：</w:t>
      </w:r>
      <w:r>
        <w:rPr>
          <w:rFonts w:hint="eastAsia"/>
          <w:bCs/>
          <w:color w:val="auto"/>
          <w:highlight w:val="none"/>
          <w:u w:val="single"/>
          <w:lang w:bidi="ar"/>
        </w:rPr>
        <w:t xml:space="preserve">                  </w:t>
      </w:r>
      <w:r>
        <w:rPr>
          <w:rFonts w:hint="eastAsia"/>
          <w:bCs/>
          <w:color w:val="auto"/>
          <w:highlight w:val="none"/>
          <w:lang w:bidi="ar"/>
        </w:rPr>
        <w:t xml:space="preserve">                 </w:t>
      </w:r>
    </w:p>
    <w:p w14:paraId="61D6B0AE">
      <w:pPr>
        <w:pStyle w:val="25"/>
        <w:widowControl w:val="0"/>
        <w:snapToGrid w:val="0"/>
        <w:spacing w:before="0" w:beforeAutospacing="0" w:after="0" w:afterAutospacing="0" w:line="360" w:lineRule="auto"/>
        <w:ind w:firstLine="480" w:firstLineChars="200"/>
        <w:jc w:val="both"/>
        <w:rPr>
          <w:rFonts w:hint="eastAsia"/>
          <w:bCs/>
          <w:color w:val="auto"/>
          <w:highlight w:val="none"/>
        </w:rPr>
      </w:pPr>
      <w:r>
        <w:rPr>
          <w:rFonts w:hint="eastAsia"/>
          <w:bCs/>
          <w:color w:val="auto"/>
          <w:highlight w:val="none"/>
          <w:lang w:bidi="ar"/>
        </w:rPr>
        <w:t>联系人：</w:t>
      </w:r>
      <w:r>
        <w:rPr>
          <w:rFonts w:hint="eastAsia"/>
          <w:bCs/>
          <w:color w:val="auto"/>
          <w:highlight w:val="none"/>
          <w:u w:val="single"/>
          <w:lang w:bidi="ar"/>
        </w:rPr>
        <w:t xml:space="preserve">                     </w:t>
      </w:r>
      <w:r>
        <w:rPr>
          <w:rFonts w:hint="eastAsia"/>
          <w:bCs/>
          <w:color w:val="auto"/>
          <w:highlight w:val="none"/>
          <w:lang w:bidi="ar"/>
        </w:rPr>
        <w:t>联系电话：</w:t>
      </w:r>
      <w:r>
        <w:rPr>
          <w:rFonts w:hint="eastAsia"/>
          <w:bCs/>
          <w:color w:val="auto"/>
          <w:highlight w:val="none"/>
          <w:u w:val="single"/>
          <w:lang w:bidi="ar"/>
        </w:rPr>
        <w:t xml:space="preserve">                 </w:t>
      </w:r>
    </w:p>
    <w:p w14:paraId="0444E898">
      <w:pPr>
        <w:pStyle w:val="25"/>
        <w:widowControl w:val="0"/>
        <w:snapToGrid w:val="0"/>
        <w:spacing w:before="0" w:beforeAutospacing="0" w:after="0" w:afterAutospacing="0" w:line="360" w:lineRule="auto"/>
        <w:ind w:firstLine="480" w:firstLineChars="200"/>
        <w:jc w:val="both"/>
        <w:rPr>
          <w:rFonts w:hint="eastAsia"/>
          <w:bCs/>
          <w:color w:val="auto"/>
          <w:highlight w:val="none"/>
        </w:rPr>
      </w:pPr>
      <w:r>
        <w:rPr>
          <w:rFonts w:hint="eastAsia"/>
          <w:bCs/>
          <w:color w:val="auto"/>
          <w:highlight w:val="none"/>
          <w:lang w:bidi="ar"/>
        </w:rPr>
        <w:t>授权代表：</w:t>
      </w:r>
      <w:r>
        <w:rPr>
          <w:rFonts w:hint="eastAsia"/>
          <w:bCs/>
          <w:color w:val="auto"/>
          <w:highlight w:val="none"/>
          <w:u w:val="single"/>
          <w:lang w:bidi="ar"/>
        </w:rPr>
        <w:t xml:space="preserve">                      </w:t>
      </w:r>
    </w:p>
    <w:p w14:paraId="629BB97A">
      <w:pPr>
        <w:pStyle w:val="25"/>
        <w:widowControl w:val="0"/>
        <w:snapToGrid w:val="0"/>
        <w:spacing w:before="0" w:beforeAutospacing="0" w:after="0" w:afterAutospacing="0" w:line="360" w:lineRule="auto"/>
        <w:ind w:firstLine="480" w:firstLineChars="200"/>
        <w:jc w:val="both"/>
        <w:rPr>
          <w:rFonts w:hint="eastAsia"/>
          <w:bCs/>
          <w:color w:val="auto"/>
          <w:highlight w:val="none"/>
          <w:u w:val="single"/>
        </w:rPr>
      </w:pPr>
      <w:r>
        <w:rPr>
          <w:rFonts w:hint="eastAsia"/>
          <w:bCs/>
          <w:color w:val="auto"/>
          <w:highlight w:val="none"/>
          <w:lang w:bidi="ar"/>
        </w:rPr>
        <w:t>联系电话：</w:t>
      </w:r>
      <w:r>
        <w:rPr>
          <w:rFonts w:hint="eastAsia"/>
          <w:bCs/>
          <w:color w:val="auto"/>
          <w:highlight w:val="none"/>
          <w:u w:val="single"/>
          <w:lang w:bidi="ar"/>
        </w:rPr>
        <w:t xml:space="preserve">                      </w:t>
      </w:r>
    </w:p>
    <w:p w14:paraId="0B27683F">
      <w:pPr>
        <w:pStyle w:val="25"/>
        <w:widowControl w:val="0"/>
        <w:snapToGrid w:val="0"/>
        <w:spacing w:before="0" w:beforeAutospacing="0" w:after="0" w:afterAutospacing="0" w:line="360" w:lineRule="auto"/>
        <w:ind w:firstLine="480" w:firstLineChars="200"/>
        <w:jc w:val="both"/>
        <w:rPr>
          <w:rFonts w:hint="eastAsia"/>
          <w:bCs/>
          <w:color w:val="auto"/>
          <w:highlight w:val="none"/>
        </w:rPr>
      </w:pPr>
      <w:r>
        <w:rPr>
          <w:rFonts w:hint="eastAsia"/>
          <w:bCs/>
          <w:color w:val="auto"/>
          <w:highlight w:val="none"/>
          <w:lang w:bidi="ar"/>
        </w:rPr>
        <w:t>地址：</w:t>
      </w:r>
      <w:r>
        <w:rPr>
          <w:rFonts w:hint="eastAsia"/>
          <w:bCs/>
          <w:color w:val="auto"/>
          <w:highlight w:val="none"/>
          <w:u w:val="single"/>
          <w:lang w:bidi="ar"/>
        </w:rPr>
        <w:t xml:space="preserve">                 </w:t>
      </w:r>
      <w:r>
        <w:rPr>
          <w:rFonts w:hint="eastAsia"/>
          <w:bCs/>
          <w:color w:val="auto"/>
          <w:highlight w:val="none"/>
          <w:lang w:bidi="ar"/>
        </w:rPr>
        <w:t>邮编：</w:t>
      </w:r>
      <w:r>
        <w:rPr>
          <w:rFonts w:hint="eastAsia"/>
          <w:bCs/>
          <w:color w:val="auto"/>
          <w:highlight w:val="none"/>
          <w:u w:val="single"/>
          <w:lang w:bidi="ar"/>
        </w:rPr>
        <w:t xml:space="preserve">                  </w:t>
      </w:r>
      <w:r>
        <w:rPr>
          <w:rFonts w:hint="eastAsia"/>
          <w:bCs/>
          <w:color w:val="auto"/>
          <w:highlight w:val="none"/>
          <w:lang w:bidi="ar"/>
        </w:rPr>
        <w:t xml:space="preserve">     </w:t>
      </w:r>
    </w:p>
    <w:p w14:paraId="01D6F416">
      <w:pPr>
        <w:pStyle w:val="25"/>
        <w:widowControl w:val="0"/>
        <w:snapToGrid w:val="0"/>
        <w:spacing w:before="0" w:beforeAutospacing="0" w:after="0" w:afterAutospacing="0" w:line="360" w:lineRule="auto"/>
        <w:ind w:firstLine="482" w:firstLineChars="200"/>
        <w:jc w:val="both"/>
        <w:outlineLvl w:val="2"/>
        <w:rPr>
          <w:rFonts w:hint="eastAsia"/>
          <w:b/>
          <w:bCs/>
          <w:color w:val="auto"/>
          <w:highlight w:val="none"/>
        </w:rPr>
      </w:pPr>
      <w:r>
        <w:rPr>
          <w:rFonts w:hint="eastAsia"/>
          <w:b/>
          <w:bCs/>
          <w:color w:val="auto"/>
          <w:highlight w:val="none"/>
          <w:lang w:bidi="ar"/>
        </w:rPr>
        <w:t>二、质疑项目基本情况：</w:t>
      </w:r>
    </w:p>
    <w:p w14:paraId="2E5E9023">
      <w:pPr>
        <w:pStyle w:val="25"/>
        <w:widowControl w:val="0"/>
        <w:spacing w:before="0" w:beforeAutospacing="0" w:after="0" w:afterAutospacing="0" w:line="360" w:lineRule="auto"/>
        <w:ind w:left="25" w:leftChars="12" w:firstLine="472" w:firstLineChars="197"/>
        <w:jc w:val="both"/>
        <w:rPr>
          <w:rFonts w:hint="eastAsia"/>
          <w:color w:val="auto"/>
          <w:highlight w:val="none"/>
        </w:rPr>
      </w:pPr>
      <w:r>
        <w:rPr>
          <w:rFonts w:hint="eastAsia"/>
          <w:bCs/>
          <w:color w:val="auto"/>
          <w:highlight w:val="none"/>
          <w:lang w:bidi="ar"/>
        </w:rPr>
        <w:t>质疑</w:t>
      </w:r>
      <w:r>
        <w:rPr>
          <w:rFonts w:hint="eastAsia"/>
          <w:color w:val="auto"/>
          <w:highlight w:val="none"/>
          <w:lang w:bidi="ar"/>
        </w:rPr>
        <w:t>项目的名称：</w:t>
      </w:r>
      <w:r>
        <w:rPr>
          <w:rFonts w:hint="eastAsia"/>
          <w:bCs/>
          <w:color w:val="auto"/>
          <w:highlight w:val="none"/>
          <w:u w:val="single"/>
          <w:lang w:bidi="ar"/>
        </w:rPr>
        <w:t xml:space="preserve">                                     </w:t>
      </w:r>
    </w:p>
    <w:p w14:paraId="7CCC65A1">
      <w:pPr>
        <w:pStyle w:val="25"/>
        <w:widowControl w:val="0"/>
        <w:spacing w:before="0" w:beforeAutospacing="0" w:after="0" w:afterAutospacing="0" w:line="360" w:lineRule="auto"/>
        <w:ind w:left="25" w:leftChars="12" w:firstLine="472" w:firstLineChars="197"/>
        <w:jc w:val="both"/>
        <w:rPr>
          <w:rFonts w:hint="eastAsia"/>
          <w:color w:val="auto"/>
          <w:highlight w:val="none"/>
        </w:rPr>
      </w:pPr>
      <w:r>
        <w:rPr>
          <w:rFonts w:hint="eastAsia"/>
          <w:bCs/>
          <w:color w:val="auto"/>
          <w:highlight w:val="none"/>
          <w:lang w:bidi="ar"/>
        </w:rPr>
        <w:t>质疑</w:t>
      </w:r>
      <w:r>
        <w:rPr>
          <w:rFonts w:hint="eastAsia"/>
          <w:color w:val="auto"/>
          <w:highlight w:val="none"/>
          <w:lang w:bidi="ar"/>
        </w:rPr>
        <w:t>项目的编号：</w:t>
      </w:r>
      <w:r>
        <w:rPr>
          <w:rFonts w:hint="eastAsia"/>
          <w:bCs/>
          <w:color w:val="auto"/>
          <w:highlight w:val="none"/>
          <w:u w:val="single"/>
          <w:lang w:bidi="ar"/>
        </w:rPr>
        <w:t xml:space="preserve">                                     </w:t>
      </w:r>
    </w:p>
    <w:p w14:paraId="4863DD4E">
      <w:pPr>
        <w:pStyle w:val="25"/>
        <w:widowControl w:val="0"/>
        <w:spacing w:before="0" w:beforeAutospacing="0" w:after="0" w:afterAutospacing="0" w:line="360" w:lineRule="auto"/>
        <w:ind w:left="25" w:leftChars="12" w:firstLine="472" w:firstLineChars="197"/>
        <w:jc w:val="both"/>
        <w:rPr>
          <w:rFonts w:hint="eastAsia"/>
          <w:color w:val="auto"/>
          <w:highlight w:val="none"/>
        </w:rPr>
      </w:pPr>
      <w:r>
        <w:rPr>
          <w:rFonts w:hint="eastAsia"/>
          <w:color w:val="auto"/>
          <w:highlight w:val="none"/>
          <w:lang w:bidi="ar"/>
        </w:rPr>
        <w:t>采购人名称：</w:t>
      </w:r>
      <w:r>
        <w:rPr>
          <w:rFonts w:hint="eastAsia"/>
          <w:bCs/>
          <w:color w:val="auto"/>
          <w:highlight w:val="none"/>
          <w:u w:val="single"/>
          <w:lang w:bidi="ar"/>
        </w:rPr>
        <w:t xml:space="preserve">                                         </w:t>
      </w:r>
    </w:p>
    <w:p w14:paraId="3A2DD114">
      <w:pPr>
        <w:pStyle w:val="25"/>
        <w:widowControl w:val="0"/>
        <w:spacing w:before="0" w:beforeAutospacing="0" w:after="0" w:afterAutospacing="0" w:line="360" w:lineRule="auto"/>
        <w:ind w:left="25" w:leftChars="12" w:firstLine="472" w:firstLineChars="197"/>
        <w:jc w:val="both"/>
        <w:rPr>
          <w:rFonts w:hint="eastAsia"/>
          <w:color w:val="auto"/>
          <w:highlight w:val="none"/>
        </w:rPr>
      </w:pPr>
      <w:r>
        <w:rPr>
          <w:rFonts w:hint="eastAsia"/>
          <w:color w:val="auto"/>
          <w:highlight w:val="none"/>
          <w:lang w:bidi="ar"/>
        </w:rPr>
        <w:t>质疑事项：</w:t>
      </w:r>
    </w:p>
    <w:p w14:paraId="0ABABAA5">
      <w:pPr>
        <w:pStyle w:val="25"/>
        <w:widowControl w:val="0"/>
        <w:spacing w:before="0" w:beforeAutospacing="0" w:after="0" w:afterAutospacing="0" w:line="360" w:lineRule="auto"/>
        <w:ind w:left="25" w:leftChars="12" w:firstLine="352" w:firstLineChars="147"/>
        <w:jc w:val="both"/>
        <w:rPr>
          <w:rFonts w:hint="eastAsia"/>
          <w:color w:val="auto"/>
          <w:highlight w:val="none"/>
        </w:rPr>
      </w:pPr>
      <w:r>
        <w:rPr>
          <w:rFonts w:hint="eastAsia"/>
          <w:color w:val="auto"/>
          <w:highlight w:val="none"/>
          <w:lang w:bidi="ar"/>
        </w:rPr>
        <w:t>□采购文件   采购文件获取日期：</w:t>
      </w:r>
      <w:r>
        <w:rPr>
          <w:rFonts w:hint="eastAsia"/>
          <w:bCs/>
          <w:color w:val="auto"/>
          <w:highlight w:val="none"/>
          <w:u w:val="single"/>
          <w:lang w:bidi="ar"/>
        </w:rPr>
        <w:t xml:space="preserve">                                   </w:t>
      </w:r>
    </w:p>
    <w:p w14:paraId="3896FF45">
      <w:pPr>
        <w:pStyle w:val="25"/>
        <w:widowControl w:val="0"/>
        <w:spacing w:before="0" w:beforeAutospacing="0" w:after="0" w:afterAutospacing="0" w:line="360" w:lineRule="auto"/>
        <w:ind w:left="25" w:leftChars="12" w:firstLine="352" w:firstLineChars="147"/>
        <w:jc w:val="both"/>
        <w:rPr>
          <w:rFonts w:hint="eastAsia"/>
          <w:color w:val="auto"/>
          <w:highlight w:val="none"/>
        </w:rPr>
      </w:pPr>
      <w:r>
        <w:rPr>
          <w:rFonts w:hint="eastAsia"/>
          <w:color w:val="auto"/>
          <w:highlight w:val="none"/>
          <w:lang w:bidi="ar"/>
        </w:rPr>
        <w:t xml:space="preserve">□采购过程   </w:t>
      </w:r>
    </w:p>
    <w:p w14:paraId="13CBBDCE">
      <w:pPr>
        <w:pStyle w:val="25"/>
        <w:widowControl w:val="0"/>
        <w:spacing w:before="0" w:beforeAutospacing="0" w:after="0" w:afterAutospacing="0" w:line="360" w:lineRule="auto"/>
        <w:ind w:left="25" w:leftChars="12" w:firstLine="352" w:firstLineChars="147"/>
        <w:jc w:val="both"/>
        <w:rPr>
          <w:rFonts w:hint="eastAsia"/>
          <w:bCs/>
          <w:color w:val="auto"/>
          <w:highlight w:val="none"/>
          <w:u w:val="single"/>
        </w:rPr>
      </w:pPr>
      <w:r>
        <w:rPr>
          <w:rFonts w:hint="eastAsia"/>
          <w:color w:val="auto"/>
          <w:highlight w:val="none"/>
          <w:lang w:bidi="ar"/>
        </w:rPr>
        <w:t xml:space="preserve">□成交结果   </w:t>
      </w:r>
    </w:p>
    <w:p w14:paraId="0A3D431C">
      <w:pPr>
        <w:pStyle w:val="25"/>
        <w:widowControl w:val="0"/>
        <w:spacing w:before="0" w:beforeAutospacing="0" w:after="0" w:afterAutospacing="0" w:line="360" w:lineRule="auto"/>
        <w:ind w:left="25" w:leftChars="12" w:firstLine="472" w:firstLineChars="196"/>
        <w:jc w:val="both"/>
        <w:outlineLvl w:val="2"/>
        <w:rPr>
          <w:rFonts w:hint="eastAsia"/>
          <w:b/>
          <w:color w:val="auto"/>
          <w:highlight w:val="none"/>
        </w:rPr>
      </w:pPr>
      <w:r>
        <w:rPr>
          <w:rFonts w:hint="eastAsia"/>
          <w:b/>
          <w:color w:val="auto"/>
          <w:highlight w:val="none"/>
          <w:lang w:bidi="ar"/>
        </w:rPr>
        <w:t>三、质疑事项具体内容</w:t>
      </w:r>
    </w:p>
    <w:p w14:paraId="6B443048">
      <w:pPr>
        <w:pStyle w:val="25"/>
        <w:widowControl w:val="0"/>
        <w:spacing w:before="0" w:beforeAutospacing="0" w:after="0" w:afterAutospacing="0" w:line="360" w:lineRule="auto"/>
        <w:ind w:left="25" w:leftChars="12" w:firstLine="472" w:firstLineChars="197"/>
        <w:jc w:val="both"/>
        <w:rPr>
          <w:rFonts w:hint="eastAsia"/>
          <w:color w:val="auto"/>
          <w:highlight w:val="none"/>
        </w:rPr>
      </w:pPr>
      <w:r>
        <w:rPr>
          <w:rFonts w:hint="eastAsia"/>
          <w:color w:val="auto"/>
          <w:highlight w:val="none"/>
          <w:lang w:bidi="ar"/>
        </w:rPr>
        <w:t>质疑事项1：</w:t>
      </w:r>
      <w:r>
        <w:rPr>
          <w:rFonts w:hint="eastAsia"/>
          <w:bCs/>
          <w:color w:val="auto"/>
          <w:highlight w:val="none"/>
          <w:u w:val="single"/>
          <w:lang w:bidi="ar"/>
        </w:rPr>
        <w:t xml:space="preserve">                                                                    </w:t>
      </w:r>
    </w:p>
    <w:p w14:paraId="31FD3351">
      <w:pPr>
        <w:pStyle w:val="25"/>
        <w:widowControl w:val="0"/>
        <w:spacing w:before="0" w:beforeAutospacing="0" w:after="0" w:afterAutospacing="0" w:line="360" w:lineRule="auto"/>
        <w:ind w:left="25" w:leftChars="12" w:firstLine="472" w:firstLineChars="197"/>
        <w:jc w:val="both"/>
        <w:rPr>
          <w:rFonts w:hint="eastAsia"/>
          <w:color w:val="auto"/>
          <w:highlight w:val="none"/>
        </w:rPr>
      </w:pPr>
      <w:r>
        <w:rPr>
          <w:rFonts w:hint="eastAsia"/>
          <w:color w:val="auto"/>
          <w:highlight w:val="none"/>
          <w:lang w:bidi="ar"/>
        </w:rPr>
        <w:t>事实依据：</w:t>
      </w:r>
      <w:r>
        <w:rPr>
          <w:rFonts w:hint="eastAsia"/>
          <w:bCs/>
          <w:color w:val="auto"/>
          <w:highlight w:val="none"/>
          <w:u w:val="single"/>
          <w:lang w:bidi="ar"/>
        </w:rPr>
        <w:t xml:space="preserve">                                                                      </w:t>
      </w:r>
    </w:p>
    <w:p w14:paraId="59A67953">
      <w:pPr>
        <w:pStyle w:val="25"/>
        <w:widowControl w:val="0"/>
        <w:spacing w:before="0" w:beforeAutospacing="0" w:after="0" w:afterAutospacing="0" w:line="360" w:lineRule="auto"/>
        <w:ind w:left="25" w:leftChars="12" w:firstLine="472" w:firstLineChars="197"/>
        <w:jc w:val="both"/>
        <w:rPr>
          <w:rFonts w:hint="eastAsia"/>
          <w:color w:val="auto"/>
          <w:highlight w:val="none"/>
        </w:rPr>
      </w:pPr>
      <w:r>
        <w:rPr>
          <w:rFonts w:hint="eastAsia"/>
          <w:color w:val="auto"/>
          <w:highlight w:val="none"/>
          <w:lang w:bidi="ar"/>
        </w:rPr>
        <w:t>法律依据：</w:t>
      </w:r>
      <w:r>
        <w:rPr>
          <w:rFonts w:hint="eastAsia"/>
          <w:color w:val="auto"/>
          <w:highlight w:val="none"/>
          <w:u w:val="single"/>
          <w:lang w:bidi="ar"/>
        </w:rPr>
        <w:t xml:space="preserve">                                                        </w:t>
      </w:r>
      <w:r>
        <w:rPr>
          <w:rFonts w:hint="eastAsia"/>
          <w:bCs/>
          <w:color w:val="auto"/>
          <w:highlight w:val="none"/>
          <w:u w:val="single"/>
          <w:lang w:bidi="ar"/>
        </w:rPr>
        <w:t xml:space="preserve">               </w:t>
      </w:r>
    </w:p>
    <w:p w14:paraId="62894941">
      <w:pPr>
        <w:pStyle w:val="25"/>
        <w:widowControl w:val="0"/>
        <w:spacing w:before="0" w:beforeAutospacing="0" w:after="0" w:afterAutospacing="0" w:line="360" w:lineRule="auto"/>
        <w:ind w:left="25" w:leftChars="12" w:firstLine="472" w:firstLineChars="197"/>
        <w:jc w:val="both"/>
        <w:rPr>
          <w:rFonts w:hint="eastAsia"/>
          <w:color w:val="auto"/>
          <w:highlight w:val="none"/>
        </w:rPr>
      </w:pPr>
      <w:r>
        <w:rPr>
          <w:rFonts w:hint="eastAsia"/>
          <w:color w:val="auto"/>
          <w:highlight w:val="none"/>
          <w:lang w:bidi="ar"/>
        </w:rPr>
        <w:t>质疑事项2</w:t>
      </w:r>
    </w:p>
    <w:p w14:paraId="47CC363A">
      <w:pPr>
        <w:pStyle w:val="25"/>
        <w:widowControl w:val="0"/>
        <w:spacing w:before="0" w:beforeAutospacing="0" w:after="0" w:afterAutospacing="0" w:line="360" w:lineRule="auto"/>
        <w:ind w:left="25" w:leftChars="12" w:firstLine="472" w:firstLineChars="197"/>
        <w:jc w:val="both"/>
        <w:rPr>
          <w:rFonts w:hint="eastAsia"/>
          <w:color w:val="auto"/>
          <w:highlight w:val="none"/>
        </w:rPr>
      </w:pPr>
      <w:r>
        <w:rPr>
          <w:rFonts w:hint="eastAsia"/>
          <w:color w:val="auto"/>
          <w:highlight w:val="none"/>
          <w:lang w:bidi="ar"/>
        </w:rPr>
        <w:t>……</w:t>
      </w:r>
    </w:p>
    <w:p w14:paraId="00493354">
      <w:pPr>
        <w:pStyle w:val="25"/>
        <w:widowControl w:val="0"/>
        <w:spacing w:before="0" w:beforeAutospacing="0" w:after="0" w:afterAutospacing="0" w:line="360" w:lineRule="auto"/>
        <w:ind w:left="25" w:leftChars="12" w:firstLine="472" w:firstLineChars="196"/>
        <w:jc w:val="both"/>
        <w:outlineLvl w:val="2"/>
        <w:rPr>
          <w:rFonts w:hint="eastAsia"/>
          <w:b/>
          <w:color w:val="auto"/>
          <w:highlight w:val="none"/>
          <w:lang w:bidi="ar"/>
        </w:rPr>
      </w:pPr>
      <w:r>
        <w:rPr>
          <w:rFonts w:hint="eastAsia"/>
          <w:b/>
          <w:color w:val="auto"/>
          <w:highlight w:val="none"/>
          <w:lang w:bidi="ar"/>
        </w:rPr>
        <w:t>四、与质疑事项相关的质疑请求：</w:t>
      </w:r>
    </w:p>
    <w:p w14:paraId="1342D258">
      <w:pPr>
        <w:pStyle w:val="25"/>
        <w:widowControl w:val="0"/>
        <w:spacing w:before="0" w:beforeAutospacing="0" w:after="0" w:afterAutospacing="0" w:line="360" w:lineRule="auto"/>
        <w:ind w:left="25" w:leftChars="12" w:firstLine="472" w:firstLineChars="197"/>
        <w:jc w:val="both"/>
        <w:rPr>
          <w:rFonts w:hint="eastAsia"/>
          <w:color w:val="auto"/>
          <w:highlight w:val="none"/>
        </w:rPr>
      </w:pPr>
      <w:r>
        <w:rPr>
          <w:rFonts w:hint="eastAsia"/>
          <w:color w:val="auto"/>
          <w:highlight w:val="none"/>
          <w:lang w:bidi="ar"/>
        </w:rPr>
        <w:t>请求：</w:t>
      </w:r>
      <w:r>
        <w:rPr>
          <w:rFonts w:hint="eastAsia"/>
          <w:bCs/>
          <w:color w:val="auto"/>
          <w:highlight w:val="none"/>
          <w:u w:val="single"/>
          <w:lang w:bidi="ar"/>
        </w:rPr>
        <w:t xml:space="preserve">                                                                </w:t>
      </w:r>
    </w:p>
    <w:p w14:paraId="058C2F9F">
      <w:pPr>
        <w:pStyle w:val="25"/>
        <w:widowControl w:val="0"/>
        <w:spacing w:before="0" w:beforeAutospacing="0" w:after="0" w:afterAutospacing="0" w:line="360" w:lineRule="auto"/>
        <w:ind w:left="25" w:leftChars="12" w:firstLine="352" w:firstLineChars="147"/>
        <w:jc w:val="both"/>
        <w:rPr>
          <w:rFonts w:hint="eastAsia"/>
          <w:color w:val="auto"/>
          <w:highlight w:val="none"/>
        </w:rPr>
      </w:pPr>
      <w:r>
        <w:rPr>
          <w:rFonts w:hint="eastAsia"/>
          <w:color w:val="auto"/>
          <w:highlight w:val="none"/>
          <w:lang w:bidi="ar"/>
        </w:rPr>
        <w:t xml:space="preserve"> </w:t>
      </w:r>
    </w:p>
    <w:p w14:paraId="6E0BAAB3">
      <w:pPr>
        <w:pStyle w:val="25"/>
        <w:widowControl w:val="0"/>
        <w:spacing w:before="0" w:beforeAutospacing="0" w:after="0" w:afterAutospacing="0" w:line="360" w:lineRule="auto"/>
        <w:ind w:left="25" w:leftChars="12" w:firstLine="472" w:firstLineChars="197"/>
        <w:jc w:val="both"/>
        <w:rPr>
          <w:rFonts w:hint="eastAsia"/>
          <w:color w:val="auto"/>
          <w:highlight w:val="none"/>
        </w:rPr>
      </w:pPr>
      <w:r>
        <w:rPr>
          <w:rFonts w:hint="eastAsia"/>
          <w:color w:val="auto"/>
          <w:highlight w:val="none"/>
          <w:lang w:bidi="ar"/>
        </w:rPr>
        <w:t>签字（签章）：                                       公章：</w:t>
      </w:r>
    </w:p>
    <w:p w14:paraId="50A09369">
      <w:pPr>
        <w:pStyle w:val="25"/>
        <w:widowControl w:val="0"/>
        <w:spacing w:before="0" w:beforeAutospacing="0" w:after="0" w:afterAutospacing="0" w:line="360" w:lineRule="auto"/>
        <w:ind w:left="25" w:leftChars="12" w:firstLine="352" w:firstLineChars="147"/>
        <w:jc w:val="both"/>
        <w:rPr>
          <w:rFonts w:hint="eastAsia"/>
          <w:color w:val="auto"/>
          <w:highlight w:val="none"/>
        </w:rPr>
      </w:pPr>
      <w:r>
        <w:rPr>
          <w:rFonts w:hint="eastAsia"/>
          <w:color w:val="auto"/>
          <w:highlight w:val="none"/>
          <w:lang w:bidi="ar"/>
        </w:rPr>
        <w:t xml:space="preserve"> </w:t>
      </w:r>
    </w:p>
    <w:p w14:paraId="3B441543">
      <w:pPr>
        <w:pStyle w:val="25"/>
        <w:widowControl w:val="0"/>
        <w:spacing w:before="0" w:beforeAutospacing="0" w:after="0" w:afterAutospacing="0" w:line="360" w:lineRule="auto"/>
        <w:ind w:left="25" w:leftChars="12" w:firstLine="472" w:firstLineChars="197"/>
        <w:jc w:val="both"/>
        <w:rPr>
          <w:rFonts w:hint="eastAsia"/>
          <w:color w:val="auto"/>
          <w:highlight w:val="none"/>
        </w:rPr>
      </w:pPr>
      <w:r>
        <w:rPr>
          <w:rFonts w:hint="eastAsia"/>
          <w:color w:val="auto"/>
          <w:highlight w:val="none"/>
          <w:lang w:bidi="ar"/>
        </w:rPr>
        <w:t>日期：</w:t>
      </w:r>
    </w:p>
    <w:p w14:paraId="3DF07751">
      <w:pPr>
        <w:pStyle w:val="25"/>
        <w:widowControl w:val="0"/>
        <w:snapToGrid w:val="0"/>
        <w:spacing w:before="0" w:beforeAutospacing="0" w:after="0" w:afterAutospacing="0" w:line="360" w:lineRule="auto"/>
        <w:jc w:val="both"/>
        <w:rPr>
          <w:rFonts w:hint="eastAsia"/>
          <w:b/>
          <w:color w:val="auto"/>
          <w:highlight w:val="none"/>
        </w:rPr>
      </w:pPr>
      <w:r>
        <w:rPr>
          <w:rFonts w:hint="eastAsia"/>
          <w:b/>
          <w:color w:val="auto"/>
          <w:highlight w:val="none"/>
          <w:lang w:bidi="ar"/>
        </w:rPr>
        <w:t xml:space="preserve"> </w:t>
      </w:r>
    </w:p>
    <w:p w14:paraId="4D1E3F4F">
      <w:pPr>
        <w:pStyle w:val="25"/>
        <w:widowControl w:val="0"/>
        <w:snapToGrid w:val="0"/>
        <w:spacing w:before="0" w:beforeAutospacing="0" w:after="0" w:afterAutospacing="0" w:line="360" w:lineRule="auto"/>
        <w:jc w:val="both"/>
        <w:rPr>
          <w:rFonts w:hint="eastAsia"/>
          <w:b/>
          <w:color w:val="auto"/>
          <w:highlight w:val="none"/>
          <w:lang w:bidi="ar"/>
        </w:rPr>
      </w:pPr>
    </w:p>
    <w:p w14:paraId="1C6F8E39">
      <w:pPr>
        <w:pStyle w:val="25"/>
        <w:widowControl w:val="0"/>
        <w:snapToGrid w:val="0"/>
        <w:spacing w:before="0" w:beforeAutospacing="0" w:after="0" w:afterAutospacing="0" w:line="360" w:lineRule="auto"/>
        <w:jc w:val="both"/>
        <w:rPr>
          <w:rFonts w:hint="eastAsia"/>
          <w:b/>
          <w:color w:val="auto"/>
          <w:highlight w:val="none"/>
        </w:rPr>
      </w:pPr>
      <w:r>
        <w:rPr>
          <w:rFonts w:hint="eastAsia"/>
          <w:b/>
          <w:color w:val="auto"/>
          <w:highlight w:val="none"/>
          <w:lang w:bidi="ar"/>
        </w:rPr>
        <w:t>说明：</w:t>
      </w:r>
    </w:p>
    <w:p w14:paraId="7EAFCFFC">
      <w:pPr>
        <w:pStyle w:val="25"/>
        <w:widowControl w:val="0"/>
        <w:spacing w:before="0" w:beforeAutospacing="0" w:after="0" w:afterAutospacing="0" w:line="360" w:lineRule="auto"/>
        <w:ind w:left="25" w:leftChars="12" w:firstLine="354" w:firstLineChars="147"/>
        <w:jc w:val="both"/>
        <w:rPr>
          <w:rFonts w:hint="eastAsia"/>
          <w:b/>
          <w:bCs/>
          <w:color w:val="auto"/>
          <w:highlight w:val="none"/>
        </w:rPr>
      </w:pPr>
      <w:r>
        <w:rPr>
          <w:rFonts w:hint="eastAsia"/>
          <w:b/>
          <w:color w:val="auto"/>
          <w:highlight w:val="none"/>
          <w:lang w:bidi="ar"/>
        </w:rPr>
        <w:t>1.供应商提出质疑时，应提交质疑函和必要的证明材料</w:t>
      </w:r>
      <w:r>
        <w:rPr>
          <w:rFonts w:hint="eastAsia"/>
          <w:b/>
          <w:bCs/>
          <w:color w:val="auto"/>
          <w:highlight w:val="none"/>
          <w:lang w:bidi="ar"/>
        </w:rPr>
        <w:t>。</w:t>
      </w:r>
    </w:p>
    <w:p w14:paraId="39CAE7FD">
      <w:pPr>
        <w:pStyle w:val="25"/>
        <w:widowControl w:val="0"/>
        <w:spacing w:before="0" w:beforeAutospacing="0" w:after="0" w:afterAutospacing="0" w:line="360" w:lineRule="auto"/>
        <w:ind w:left="25" w:leftChars="12" w:firstLine="354" w:firstLineChars="147"/>
        <w:jc w:val="both"/>
        <w:rPr>
          <w:rFonts w:hint="eastAsia"/>
          <w:b/>
          <w:color w:val="auto"/>
          <w:highlight w:val="none"/>
        </w:rPr>
      </w:pPr>
      <w:r>
        <w:rPr>
          <w:rFonts w:hint="eastAsia"/>
          <w:b/>
          <w:color w:val="auto"/>
          <w:highlight w:val="none"/>
          <w:lang w:bidi="ar"/>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832AF0D">
      <w:pPr>
        <w:pStyle w:val="25"/>
        <w:widowControl w:val="0"/>
        <w:spacing w:before="0" w:beforeAutospacing="0" w:after="0" w:afterAutospacing="0" w:line="360" w:lineRule="auto"/>
        <w:ind w:left="25" w:leftChars="12" w:firstLine="354" w:firstLineChars="147"/>
        <w:jc w:val="both"/>
        <w:rPr>
          <w:rFonts w:hint="eastAsia"/>
          <w:b/>
          <w:color w:val="auto"/>
          <w:highlight w:val="none"/>
        </w:rPr>
      </w:pPr>
      <w:r>
        <w:rPr>
          <w:rFonts w:hint="eastAsia"/>
          <w:b/>
          <w:color w:val="auto"/>
          <w:highlight w:val="none"/>
          <w:lang w:bidi="ar"/>
        </w:rPr>
        <w:t>3.质疑函的质疑事项应具体、明确，并有必要的事实依据和法律依据。</w:t>
      </w:r>
    </w:p>
    <w:p w14:paraId="0B724CE8">
      <w:pPr>
        <w:pStyle w:val="25"/>
        <w:widowControl w:val="0"/>
        <w:spacing w:before="0" w:beforeAutospacing="0" w:after="0" w:afterAutospacing="0" w:line="360" w:lineRule="auto"/>
        <w:ind w:left="25" w:leftChars="12" w:firstLine="354" w:firstLineChars="147"/>
        <w:jc w:val="both"/>
        <w:rPr>
          <w:rFonts w:hint="eastAsia"/>
          <w:b/>
          <w:color w:val="auto"/>
          <w:highlight w:val="none"/>
        </w:rPr>
      </w:pPr>
      <w:r>
        <w:rPr>
          <w:rFonts w:hint="eastAsia"/>
          <w:b/>
          <w:color w:val="auto"/>
          <w:highlight w:val="none"/>
          <w:lang w:bidi="ar"/>
        </w:rPr>
        <w:t>4.质疑函的质疑请求应与质疑事项相关。</w:t>
      </w:r>
    </w:p>
    <w:p w14:paraId="3AFD2930">
      <w:pPr>
        <w:pStyle w:val="25"/>
        <w:widowControl w:val="0"/>
        <w:spacing w:before="0" w:beforeAutospacing="0" w:after="0" w:afterAutospacing="0" w:line="360" w:lineRule="auto"/>
        <w:ind w:left="25" w:leftChars="12" w:firstLine="354" w:firstLineChars="147"/>
        <w:jc w:val="both"/>
        <w:rPr>
          <w:rFonts w:hint="eastAsia"/>
          <w:b/>
          <w:color w:val="auto"/>
          <w:sz w:val="20"/>
          <w:szCs w:val="20"/>
          <w:highlight w:val="none"/>
        </w:rPr>
      </w:pPr>
      <w:r>
        <w:rPr>
          <w:rFonts w:hint="eastAsia"/>
          <w:b/>
          <w:color w:val="auto"/>
          <w:highlight w:val="none"/>
          <w:lang w:bidi="ar"/>
        </w:rPr>
        <w:t>5.质疑供应商为法人或者其他组织的，质疑函应由法定代表人、主要负责人，或者其授权代表签字或者盖章，并加盖公章。</w:t>
      </w:r>
    </w:p>
    <w:p w14:paraId="1D21E62A">
      <w:pPr>
        <w:pStyle w:val="4"/>
        <w:spacing w:line="600" w:lineRule="auto"/>
        <w:ind w:firstLine="843" w:firstLineChars="300"/>
        <w:rPr>
          <w:rFonts w:hint="eastAsia" w:ascii="宋体" w:hAnsi="宋体" w:cs="宋体"/>
          <w:color w:val="auto"/>
          <w:highlight w:val="none"/>
        </w:rPr>
      </w:pPr>
    </w:p>
    <w:p w14:paraId="388796ED">
      <w:pPr>
        <w:rPr>
          <w:rFonts w:hint="eastAsia" w:ascii="宋体" w:hAnsi="宋体" w:cs="宋体"/>
          <w:color w:val="auto"/>
          <w:highlight w:val="none"/>
        </w:rPr>
      </w:pPr>
    </w:p>
    <w:p w14:paraId="44B5C861">
      <w:pPr>
        <w:pStyle w:val="2"/>
        <w:rPr>
          <w:rFonts w:hint="eastAsia" w:hAnsi="宋体" w:cs="宋体"/>
          <w:color w:val="auto"/>
          <w:highlight w:val="none"/>
        </w:rPr>
      </w:pPr>
    </w:p>
    <w:p w14:paraId="0CD5199E">
      <w:pPr>
        <w:pStyle w:val="2"/>
        <w:rPr>
          <w:rFonts w:hint="eastAsia" w:hAnsi="宋体" w:cs="宋体"/>
          <w:color w:val="auto"/>
          <w:highlight w:val="none"/>
        </w:rPr>
      </w:pPr>
    </w:p>
    <w:p w14:paraId="664476D9">
      <w:pPr>
        <w:pStyle w:val="2"/>
        <w:rPr>
          <w:rFonts w:hint="eastAsia" w:hAnsi="宋体" w:cs="宋体"/>
          <w:color w:val="auto"/>
          <w:highlight w:val="none"/>
        </w:rPr>
      </w:pPr>
    </w:p>
    <w:p w14:paraId="6B90425D">
      <w:pPr>
        <w:pStyle w:val="2"/>
        <w:rPr>
          <w:rFonts w:hint="eastAsia" w:hAnsi="宋体" w:cs="宋体"/>
          <w:color w:val="auto"/>
          <w:highlight w:val="none"/>
        </w:rPr>
      </w:pPr>
    </w:p>
    <w:p w14:paraId="184EDA55">
      <w:pPr>
        <w:pStyle w:val="2"/>
        <w:rPr>
          <w:rFonts w:hint="eastAsia" w:hAnsi="宋体" w:cs="宋体"/>
          <w:color w:val="auto"/>
          <w:highlight w:val="none"/>
        </w:rPr>
      </w:pPr>
    </w:p>
    <w:p w14:paraId="241A9BC3">
      <w:pPr>
        <w:pStyle w:val="2"/>
        <w:rPr>
          <w:rFonts w:hint="eastAsia" w:hAnsi="宋体" w:cs="宋体"/>
          <w:color w:val="auto"/>
          <w:highlight w:val="none"/>
        </w:rPr>
      </w:pPr>
    </w:p>
    <w:p w14:paraId="2BD65A1D">
      <w:pPr>
        <w:pStyle w:val="2"/>
        <w:rPr>
          <w:rFonts w:hint="eastAsia" w:hAnsi="宋体" w:cs="宋体"/>
          <w:color w:val="auto"/>
          <w:highlight w:val="none"/>
        </w:rPr>
      </w:pPr>
    </w:p>
    <w:p w14:paraId="594BCEF2">
      <w:pPr>
        <w:pStyle w:val="2"/>
        <w:rPr>
          <w:rFonts w:hint="eastAsia" w:hAnsi="宋体" w:cs="宋体"/>
          <w:color w:val="auto"/>
          <w:highlight w:val="none"/>
        </w:rPr>
      </w:pPr>
    </w:p>
    <w:p w14:paraId="4C4EED89">
      <w:pPr>
        <w:pStyle w:val="2"/>
        <w:rPr>
          <w:rFonts w:hint="eastAsia" w:hAnsi="宋体" w:cs="宋体"/>
          <w:color w:val="auto"/>
          <w:highlight w:val="none"/>
        </w:rPr>
      </w:pPr>
    </w:p>
    <w:p w14:paraId="0AFB6F86">
      <w:pPr>
        <w:pStyle w:val="2"/>
        <w:rPr>
          <w:rFonts w:hint="eastAsia" w:hAnsi="宋体" w:cs="宋体"/>
          <w:color w:val="auto"/>
          <w:highlight w:val="none"/>
        </w:rPr>
      </w:pPr>
    </w:p>
    <w:p w14:paraId="6AF2177B">
      <w:pPr>
        <w:spacing w:line="360" w:lineRule="auto"/>
        <w:jc w:val="center"/>
        <w:rPr>
          <w:rFonts w:hint="eastAsia" w:ascii="宋体" w:hAnsi="宋体" w:cs="宋体"/>
          <w:b/>
          <w:color w:val="auto"/>
          <w:sz w:val="32"/>
          <w:highlight w:val="none"/>
        </w:rPr>
      </w:pPr>
      <w:r>
        <w:rPr>
          <w:rFonts w:hint="eastAsia" w:ascii="宋体" w:hAnsi="宋体" w:cs="宋体"/>
          <w:b/>
          <w:color w:val="auto"/>
          <w:sz w:val="32"/>
          <w:highlight w:val="none"/>
        </w:rPr>
        <w:br w:type="page"/>
      </w:r>
      <w:r>
        <w:rPr>
          <w:rFonts w:hint="eastAsia" w:ascii="宋体" w:hAnsi="宋体" w:cs="宋体"/>
          <w:b/>
          <w:color w:val="auto"/>
          <w:sz w:val="32"/>
          <w:highlight w:val="none"/>
        </w:rPr>
        <w:t>投诉书（格式）</w:t>
      </w:r>
    </w:p>
    <w:p w14:paraId="647BC58A">
      <w:pPr>
        <w:snapToGrid w:val="0"/>
        <w:spacing w:line="360" w:lineRule="auto"/>
        <w:ind w:firstLine="482" w:firstLineChars="200"/>
        <w:outlineLvl w:val="2"/>
        <w:rPr>
          <w:rFonts w:hint="eastAsia" w:ascii="宋体" w:hAnsi="宋体" w:cs="宋体"/>
          <w:b/>
          <w:color w:val="auto"/>
          <w:kern w:val="0"/>
          <w:sz w:val="24"/>
          <w:highlight w:val="none"/>
        </w:rPr>
      </w:pPr>
      <w:r>
        <w:rPr>
          <w:rFonts w:hint="eastAsia" w:ascii="宋体" w:hAnsi="宋体" w:cs="宋体"/>
          <w:b/>
          <w:color w:val="auto"/>
          <w:kern w:val="0"/>
          <w:sz w:val="24"/>
          <w:highlight w:val="none"/>
        </w:rPr>
        <w:t>一、投诉相关主体基本情况：</w:t>
      </w:r>
    </w:p>
    <w:p w14:paraId="7B5622B6">
      <w:pPr>
        <w:snapToGrid w:val="0"/>
        <w:spacing w:line="360" w:lineRule="auto"/>
        <w:ind w:firstLine="480" w:firstLineChars="200"/>
        <w:rPr>
          <w:rFonts w:hint="eastAsia" w:ascii="宋体" w:hAnsi="宋体" w:cs="宋体"/>
          <w:color w:val="auto"/>
          <w:kern w:val="0"/>
          <w:sz w:val="24"/>
          <w:highlight w:val="none"/>
          <w:u w:val="single"/>
        </w:rPr>
      </w:pPr>
      <w:r>
        <w:rPr>
          <w:rFonts w:hint="eastAsia" w:ascii="宋体" w:hAnsi="宋体" w:cs="宋体"/>
          <w:color w:val="auto"/>
          <w:kern w:val="0"/>
          <w:sz w:val="24"/>
          <w:highlight w:val="none"/>
        </w:rPr>
        <w:t>供应商：</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 xml:space="preserve">                 </w:t>
      </w:r>
    </w:p>
    <w:p w14:paraId="327E8951">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地址：</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邮编：</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 xml:space="preserve">                 </w:t>
      </w:r>
    </w:p>
    <w:p w14:paraId="3B66C32A">
      <w:pPr>
        <w:snapToGrid w:val="0"/>
        <w:spacing w:line="360" w:lineRule="auto"/>
        <w:ind w:firstLine="480" w:firstLineChars="200"/>
        <w:rPr>
          <w:rFonts w:hint="eastAsia" w:ascii="宋体" w:hAnsi="宋体" w:cs="宋体"/>
          <w:color w:val="auto"/>
          <w:kern w:val="0"/>
          <w:sz w:val="24"/>
          <w:highlight w:val="none"/>
          <w:u w:val="single"/>
        </w:rPr>
      </w:pPr>
      <w:r>
        <w:rPr>
          <w:rFonts w:hint="eastAsia" w:ascii="宋体" w:hAnsi="宋体" w:cs="宋体"/>
          <w:color w:val="auto"/>
          <w:kern w:val="0"/>
          <w:sz w:val="24"/>
          <w:highlight w:val="none"/>
        </w:rPr>
        <w:t>法定代表人/主要负责人：</w:t>
      </w:r>
      <w:r>
        <w:rPr>
          <w:rFonts w:hint="eastAsia" w:ascii="宋体" w:hAnsi="宋体" w:cs="宋体"/>
          <w:color w:val="auto"/>
          <w:kern w:val="0"/>
          <w:sz w:val="24"/>
          <w:highlight w:val="none"/>
          <w:u w:val="single"/>
        </w:rPr>
        <w:t xml:space="preserve">                                                         </w:t>
      </w:r>
    </w:p>
    <w:p w14:paraId="7059FAD2">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联系电话：</w:t>
      </w:r>
      <w:r>
        <w:rPr>
          <w:rFonts w:hint="eastAsia" w:ascii="宋体" w:hAnsi="宋体" w:cs="宋体"/>
          <w:color w:val="auto"/>
          <w:kern w:val="0"/>
          <w:sz w:val="24"/>
          <w:highlight w:val="none"/>
          <w:u w:val="single"/>
        </w:rPr>
        <w:t xml:space="preserve">                                         </w:t>
      </w:r>
    </w:p>
    <w:p w14:paraId="46F83EF4">
      <w:pPr>
        <w:snapToGrid w:val="0"/>
        <w:spacing w:line="360" w:lineRule="auto"/>
        <w:ind w:firstLine="480" w:firstLineChars="200"/>
        <w:rPr>
          <w:rFonts w:hint="eastAsia" w:ascii="宋体" w:hAnsi="宋体" w:cs="宋体"/>
          <w:color w:val="auto"/>
          <w:kern w:val="0"/>
          <w:sz w:val="24"/>
          <w:highlight w:val="none"/>
          <w:u w:val="single"/>
        </w:rPr>
      </w:pPr>
      <w:r>
        <w:rPr>
          <w:rFonts w:hint="eastAsia" w:ascii="宋体" w:hAnsi="宋体" w:cs="宋体"/>
          <w:color w:val="auto"/>
          <w:kern w:val="0"/>
          <w:sz w:val="24"/>
          <w:highlight w:val="none"/>
        </w:rPr>
        <w:t>授权代表：</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联系电话：</w:t>
      </w:r>
      <w:r>
        <w:rPr>
          <w:rFonts w:hint="eastAsia" w:ascii="宋体" w:hAnsi="宋体" w:cs="宋体"/>
          <w:color w:val="auto"/>
          <w:kern w:val="0"/>
          <w:sz w:val="24"/>
          <w:highlight w:val="none"/>
          <w:u w:val="single"/>
        </w:rPr>
        <w:t xml:space="preserve">                   </w:t>
      </w:r>
    </w:p>
    <w:p w14:paraId="3C93E970">
      <w:pPr>
        <w:snapToGrid w:val="0"/>
        <w:spacing w:line="360" w:lineRule="auto"/>
        <w:ind w:firstLine="480" w:firstLineChars="200"/>
        <w:rPr>
          <w:rFonts w:hint="eastAsia" w:ascii="宋体" w:hAnsi="宋体" w:cs="宋体"/>
          <w:color w:val="auto"/>
          <w:kern w:val="0"/>
          <w:sz w:val="24"/>
          <w:highlight w:val="none"/>
          <w:u w:val="single"/>
        </w:rPr>
      </w:pPr>
      <w:r>
        <w:rPr>
          <w:rFonts w:hint="eastAsia" w:ascii="宋体" w:hAnsi="宋体" w:cs="宋体"/>
          <w:color w:val="auto"/>
          <w:kern w:val="0"/>
          <w:sz w:val="24"/>
          <w:highlight w:val="none"/>
        </w:rPr>
        <w:t>地址：</w:t>
      </w:r>
      <w:r>
        <w:rPr>
          <w:rFonts w:hint="eastAsia" w:ascii="宋体" w:hAnsi="宋体" w:cs="宋体"/>
          <w:color w:val="auto"/>
          <w:kern w:val="0"/>
          <w:sz w:val="24"/>
          <w:highlight w:val="none"/>
          <w:u w:val="single"/>
        </w:rPr>
        <w:t xml:space="preserve">                                                            </w:t>
      </w:r>
    </w:p>
    <w:p w14:paraId="116F3C84">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邮编：</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 xml:space="preserve">   </w:t>
      </w:r>
    </w:p>
    <w:p w14:paraId="73714AB9">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被投诉人1：</w:t>
      </w:r>
    </w:p>
    <w:p w14:paraId="5C4C92F1">
      <w:pPr>
        <w:snapToGrid w:val="0"/>
        <w:spacing w:line="360" w:lineRule="auto"/>
        <w:ind w:firstLine="480" w:firstLineChars="200"/>
        <w:rPr>
          <w:rFonts w:hint="eastAsia" w:ascii="宋体" w:hAnsi="宋体" w:cs="宋体"/>
          <w:color w:val="auto"/>
          <w:kern w:val="0"/>
          <w:sz w:val="24"/>
          <w:highlight w:val="none"/>
          <w:u w:val="single"/>
        </w:rPr>
      </w:pPr>
      <w:r>
        <w:rPr>
          <w:rFonts w:hint="eastAsia" w:ascii="宋体" w:hAnsi="宋体" w:cs="宋体"/>
          <w:color w:val="auto"/>
          <w:kern w:val="0"/>
          <w:sz w:val="24"/>
          <w:highlight w:val="none"/>
        </w:rPr>
        <w:t>地址：</w:t>
      </w:r>
      <w:r>
        <w:rPr>
          <w:rFonts w:hint="eastAsia" w:ascii="宋体" w:hAnsi="宋体" w:cs="宋体"/>
          <w:color w:val="auto"/>
          <w:kern w:val="0"/>
          <w:sz w:val="24"/>
          <w:highlight w:val="none"/>
          <w:u w:val="single"/>
        </w:rPr>
        <w:t xml:space="preserve">                                                            </w:t>
      </w:r>
    </w:p>
    <w:p w14:paraId="00AE0B96">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邮编：</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 xml:space="preserve">  </w:t>
      </w:r>
    </w:p>
    <w:p w14:paraId="2FFF196A">
      <w:pPr>
        <w:snapToGrid w:val="0"/>
        <w:spacing w:line="360" w:lineRule="auto"/>
        <w:ind w:firstLine="480" w:firstLineChars="200"/>
        <w:rPr>
          <w:rFonts w:hint="eastAsia" w:ascii="宋体" w:hAnsi="宋体" w:cs="宋体"/>
          <w:color w:val="auto"/>
          <w:kern w:val="0"/>
          <w:sz w:val="24"/>
          <w:highlight w:val="none"/>
          <w:u w:val="single"/>
        </w:rPr>
      </w:pPr>
      <w:r>
        <w:rPr>
          <w:rFonts w:hint="eastAsia" w:ascii="宋体" w:hAnsi="宋体" w:cs="宋体"/>
          <w:color w:val="auto"/>
          <w:kern w:val="0"/>
          <w:sz w:val="24"/>
          <w:highlight w:val="none"/>
        </w:rPr>
        <w:t>联系人：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联系电话：</w:t>
      </w:r>
      <w:r>
        <w:rPr>
          <w:rFonts w:hint="eastAsia" w:ascii="宋体" w:hAnsi="宋体" w:cs="宋体"/>
          <w:color w:val="auto"/>
          <w:kern w:val="0"/>
          <w:sz w:val="24"/>
          <w:highlight w:val="none"/>
          <w:u w:val="single"/>
        </w:rPr>
        <w:t xml:space="preserve">                </w:t>
      </w:r>
    </w:p>
    <w:p w14:paraId="687EB985">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被投诉人2：</w:t>
      </w:r>
    </w:p>
    <w:p w14:paraId="60A009A1">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w:t>
      </w:r>
    </w:p>
    <w:p w14:paraId="769E53A1">
      <w:pPr>
        <w:snapToGrid w:val="0"/>
        <w:spacing w:line="360" w:lineRule="auto"/>
        <w:ind w:firstLine="480" w:firstLineChars="200"/>
        <w:rPr>
          <w:rFonts w:hint="eastAsia" w:ascii="宋体" w:hAnsi="宋体" w:cs="宋体"/>
          <w:color w:val="auto"/>
          <w:kern w:val="0"/>
          <w:sz w:val="24"/>
          <w:highlight w:val="none"/>
          <w:u w:val="single"/>
        </w:rPr>
      </w:pPr>
      <w:r>
        <w:rPr>
          <w:rFonts w:hint="eastAsia" w:ascii="宋体" w:hAnsi="宋体" w:cs="宋体"/>
          <w:color w:val="auto"/>
          <w:kern w:val="0"/>
          <w:sz w:val="24"/>
          <w:highlight w:val="none"/>
        </w:rPr>
        <w:t>相关供应商：</w:t>
      </w:r>
      <w:r>
        <w:rPr>
          <w:rFonts w:hint="eastAsia" w:ascii="宋体" w:hAnsi="宋体" w:cs="宋体"/>
          <w:color w:val="auto"/>
          <w:kern w:val="0"/>
          <w:sz w:val="24"/>
          <w:highlight w:val="none"/>
          <w:u w:val="single"/>
        </w:rPr>
        <w:t xml:space="preserve">                                                                       </w:t>
      </w:r>
    </w:p>
    <w:p w14:paraId="32FB4824">
      <w:pPr>
        <w:snapToGrid w:val="0"/>
        <w:spacing w:line="360" w:lineRule="auto"/>
        <w:ind w:firstLine="480" w:firstLineChars="200"/>
        <w:rPr>
          <w:rFonts w:hint="eastAsia" w:ascii="宋体" w:hAnsi="宋体" w:cs="宋体"/>
          <w:color w:val="auto"/>
          <w:kern w:val="0"/>
          <w:sz w:val="24"/>
          <w:highlight w:val="none"/>
          <w:u w:val="single"/>
        </w:rPr>
      </w:pPr>
      <w:r>
        <w:rPr>
          <w:rFonts w:hint="eastAsia" w:ascii="宋体" w:hAnsi="宋体" w:cs="宋体"/>
          <w:color w:val="auto"/>
          <w:kern w:val="0"/>
          <w:sz w:val="24"/>
          <w:highlight w:val="none"/>
        </w:rPr>
        <w:t>地址：</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邮编：</w:t>
      </w:r>
      <w:r>
        <w:rPr>
          <w:rFonts w:hint="eastAsia" w:ascii="宋体" w:hAnsi="宋体" w:cs="宋体"/>
          <w:color w:val="auto"/>
          <w:kern w:val="0"/>
          <w:sz w:val="24"/>
          <w:highlight w:val="none"/>
          <w:u w:val="single"/>
        </w:rPr>
        <w:t xml:space="preserve">                         </w:t>
      </w:r>
    </w:p>
    <w:p w14:paraId="6D0B6245">
      <w:pPr>
        <w:snapToGrid w:val="0"/>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联系人：</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联系电话：</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 xml:space="preserve">                </w:t>
      </w:r>
    </w:p>
    <w:p w14:paraId="68C5DF0F">
      <w:pPr>
        <w:snapToGrid w:val="0"/>
        <w:spacing w:line="360" w:lineRule="auto"/>
        <w:ind w:firstLine="482" w:firstLineChars="200"/>
        <w:outlineLvl w:val="2"/>
        <w:rPr>
          <w:rFonts w:hint="eastAsia" w:ascii="宋体" w:hAnsi="宋体" w:cs="宋体"/>
          <w:b/>
          <w:color w:val="auto"/>
          <w:kern w:val="0"/>
          <w:sz w:val="24"/>
          <w:highlight w:val="none"/>
        </w:rPr>
      </w:pPr>
      <w:r>
        <w:rPr>
          <w:rFonts w:hint="eastAsia" w:ascii="宋体" w:hAnsi="宋体" w:cs="宋体"/>
          <w:b/>
          <w:color w:val="auto"/>
          <w:kern w:val="0"/>
          <w:sz w:val="24"/>
          <w:highlight w:val="none"/>
        </w:rPr>
        <w:t>二、投诉项目基本情况：</w:t>
      </w:r>
    </w:p>
    <w:p w14:paraId="0A0B352B">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color w:val="auto"/>
          <w:kern w:val="0"/>
          <w:sz w:val="24"/>
          <w:highlight w:val="none"/>
        </w:rPr>
        <w:t>采购项目的名称：</w:t>
      </w:r>
      <w:r>
        <w:rPr>
          <w:rFonts w:hint="eastAsia" w:ascii="宋体" w:hAnsi="宋体" w:cs="宋体"/>
          <w:color w:val="auto"/>
          <w:kern w:val="0"/>
          <w:sz w:val="24"/>
          <w:highlight w:val="none"/>
          <w:u w:val="single"/>
        </w:rPr>
        <w:t xml:space="preserve">                                                                   </w:t>
      </w:r>
    </w:p>
    <w:p w14:paraId="6B03699E">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color w:val="auto"/>
          <w:kern w:val="0"/>
          <w:sz w:val="24"/>
          <w:highlight w:val="none"/>
        </w:rPr>
        <w:t>采购项目的编号：</w:t>
      </w:r>
      <w:r>
        <w:rPr>
          <w:rFonts w:hint="eastAsia" w:ascii="宋体" w:hAnsi="宋体" w:cs="宋体"/>
          <w:color w:val="auto"/>
          <w:kern w:val="0"/>
          <w:sz w:val="24"/>
          <w:highlight w:val="none"/>
          <w:u w:val="single"/>
        </w:rPr>
        <w:t xml:space="preserve">                                          </w:t>
      </w:r>
    </w:p>
    <w:p w14:paraId="7CF7B8AC">
      <w:pPr>
        <w:spacing w:line="360" w:lineRule="auto"/>
        <w:ind w:left="25" w:leftChars="12" w:firstLine="472" w:firstLineChars="197"/>
        <w:rPr>
          <w:rFonts w:hint="eastAsia" w:ascii="宋体" w:hAnsi="宋体" w:cs="宋体"/>
          <w:color w:val="auto"/>
          <w:kern w:val="0"/>
          <w:sz w:val="24"/>
          <w:highlight w:val="none"/>
          <w:u w:val="single"/>
        </w:rPr>
      </w:pPr>
      <w:r>
        <w:rPr>
          <w:rFonts w:hint="eastAsia" w:ascii="宋体" w:hAnsi="宋体" w:cs="宋体"/>
          <w:color w:val="auto"/>
          <w:kern w:val="0"/>
          <w:sz w:val="24"/>
          <w:highlight w:val="none"/>
        </w:rPr>
        <w:t>采购人名称：</w:t>
      </w:r>
      <w:r>
        <w:rPr>
          <w:rFonts w:hint="eastAsia" w:ascii="宋体" w:hAnsi="宋体" w:cs="宋体"/>
          <w:color w:val="auto"/>
          <w:kern w:val="0"/>
          <w:sz w:val="24"/>
          <w:highlight w:val="none"/>
          <w:u w:val="single"/>
        </w:rPr>
        <w:t xml:space="preserve">                                                                        </w:t>
      </w:r>
    </w:p>
    <w:p w14:paraId="46749C70">
      <w:pPr>
        <w:spacing w:line="360" w:lineRule="auto"/>
        <w:ind w:left="25" w:leftChars="12" w:firstLine="472" w:firstLineChars="197"/>
        <w:rPr>
          <w:rFonts w:hint="eastAsia" w:ascii="宋体" w:hAnsi="宋体" w:cs="宋体"/>
          <w:color w:val="auto"/>
          <w:kern w:val="0"/>
          <w:sz w:val="24"/>
          <w:highlight w:val="none"/>
          <w:u w:val="single"/>
        </w:rPr>
      </w:pPr>
      <w:r>
        <w:rPr>
          <w:rFonts w:hint="eastAsia" w:ascii="宋体" w:hAnsi="宋体" w:cs="宋体"/>
          <w:color w:val="auto"/>
          <w:kern w:val="0"/>
          <w:sz w:val="24"/>
          <w:highlight w:val="none"/>
        </w:rPr>
        <w:t>代理机构名称：</w:t>
      </w:r>
      <w:r>
        <w:rPr>
          <w:rFonts w:hint="eastAsia" w:ascii="宋体" w:hAnsi="宋体" w:cs="宋体"/>
          <w:color w:val="auto"/>
          <w:kern w:val="0"/>
          <w:sz w:val="24"/>
          <w:highlight w:val="none"/>
          <w:u w:val="single"/>
        </w:rPr>
        <w:t xml:space="preserve">                                                                      </w:t>
      </w:r>
    </w:p>
    <w:p w14:paraId="02A25B91">
      <w:pPr>
        <w:spacing w:line="360" w:lineRule="auto"/>
        <w:ind w:left="25" w:leftChars="12" w:firstLine="472" w:firstLineChars="197"/>
        <w:rPr>
          <w:rFonts w:hint="eastAsia" w:ascii="宋体" w:hAnsi="宋体" w:cs="宋体"/>
          <w:color w:val="auto"/>
          <w:kern w:val="0"/>
          <w:sz w:val="24"/>
          <w:highlight w:val="none"/>
          <w:u w:val="single"/>
        </w:rPr>
      </w:pPr>
      <w:r>
        <w:rPr>
          <w:rFonts w:hint="eastAsia" w:ascii="宋体" w:hAnsi="宋体" w:cs="宋体"/>
          <w:color w:val="auto"/>
          <w:kern w:val="0"/>
          <w:sz w:val="24"/>
          <w:highlight w:val="none"/>
        </w:rPr>
        <w:t>招标文件公告：</w:t>
      </w:r>
      <w:r>
        <w:rPr>
          <w:rFonts w:hint="eastAsia" w:ascii="宋体" w:hAnsi="宋体" w:cs="宋体"/>
          <w:color w:val="auto"/>
          <w:kern w:val="0"/>
          <w:sz w:val="24"/>
          <w:highlight w:val="none"/>
          <w:u w:val="single"/>
        </w:rPr>
        <w:t>是/否</w:t>
      </w:r>
      <w:r>
        <w:rPr>
          <w:rFonts w:hint="eastAsia" w:ascii="宋体" w:hAnsi="宋体" w:cs="宋体"/>
          <w:color w:val="auto"/>
          <w:kern w:val="0"/>
          <w:sz w:val="24"/>
          <w:highlight w:val="none"/>
        </w:rPr>
        <w:t>公告期限：</w:t>
      </w:r>
      <w:r>
        <w:rPr>
          <w:rFonts w:hint="eastAsia" w:ascii="宋体" w:hAnsi="宋体" w:cs="宋体"/>
          <w:color w:val="auto"/>
          <w:kern w:val="0"/>
          <w:sz w:val="24"/>
          <w:highlight w:val="none"/>
          <w:u w:val="single"/>
        </w:rPr>
        <w:t xml:space="preserve">                                                       </w:t>
      </w:r>
    </w:p>
    <w:p w14:paraId="299F8C37">
      <w:pPr>
        <w:spacing w:line="360" w:lineRule="auto"/>
        <w:ind w:left="25" w:leftChars="12" w:firstLine="472" w:firstLineChars="197"/>
        <w:rPr>
          <w:rFonts w:hint="eastAsia" w:ascii="宋体" w:hAnsi="宋体" w:cs="宋体"/>
          <w:b/>
          <w:color w:val="auto"/>
          <w:kern w:val="0"/>
          <w:sz w:val="24"/>
          <w:highlight w:val="none"/>
        </w:rPr>
      </w:pPr>
      <w:r>
        <w:rPr>
          <w:rFonts w:hint="eastAsia" w:ascii="宋体" w:hAnsi="宋体" w:cs="宋体"/>
          <w:color w:val="auto"/>
          <w:kern w:val="0"/>
          <w:sz w:val="24"/>
          <w:highlight w:val="none"/>
        </w:rPr>
        <w:t>采购结果公告：</w:t>
      </w:r>
      <w:r>
        <w:rPr>
          <w:rFonts w:hint="eastAsia" w:ascii="宋体" w:hAnsi="宋体" w:cs="宋体"/>
          <w:color w:val="auto"/>
          <w:kern w:val="0"/>
          <w:sz w:val="24"/>
          <w:highlight w:val="none"/>
          <w:u w:val="single"/>
        </w:rPr>
        <w:t>是/否</w:t>
      </w:r>
      <w:r>
        <w:rPr>
          <w:rFonts w:hint="eastAsia" w:ascii="宋体" w:hAnsi="宋体" w:cs="宋体"/>
          <w:color w:val="auto"/>
          <w:kern w:val="0"/>
          <w:sz w:val="24"/>
          <w:highlight w:val="none"/>
        </w:rPr>
        <w:t>公告期限：</w:t>
      </w:r>
      <w:r>
        <w:rPr>
          <w:rFonts w:hint="eastAsia" w:ascii="宋体" w:hAnsi="宋体" w:cs="宋体"/>
          <w:color w:val="auto"/>
          <w:kern w:val="0"/>
          <w:sz w:val="24"/>
          <w:highlight w:val="none"/>
          <w:u w:val="single"/>
        </w:rPr>
        <w:t xml:space="preserve">                                                       </w:t>
      </w:r>
    </w:p>
    <w:p w14:paraId="68D2D8D8">
      <w:pPr>
        <w:spacing w:line="360" w:lineRule="auto"/>
        <w:ind w:left="25" w:leftChars="12" w:firstLine="472" w:firstLineChars="196"/>
        <w:outlineLvl w:val="2"/>
        <w:rPr>
          <w:rFonts w:hint="eastAsia" w:ascii="宋体" w:hAnsi="宋体" w:cs="宋体"/>
          <w:b/>
          <w:color w:val="auto"/>
          <w:kern w:val="0"/>
          <w:sz w:val="24"/>
          <w:highlight w:val="none"/>
        </w:rPr>
      </w:pPr>
      <w:r>
        <w:rPr>
          <w:rFonts w:hint="eastAsia" w:ascii="宋体" w:hAnsi="宋体" w:cs="宋体"/>
          <w:b/>
          <w:color w:val="auto"/>
          <w:kern w:val="0"/>
          <w:sz w:val="24"/>
          <w:highlight w:val="none"/>
        </w:rPr>
        <w:t>三、质疑基本情况</w:t>
      </w:r>
    </w:p>
    <w:p w14:paraId="7BD5D685">
      <w:pPr>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投诉人于</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日，向</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提出质疑，质疑事项为：</w:t>
      </w:r>
    </w:p>
    <w:p w14:paraId="5593966A">
      <w:pPr>
        <w:spacing w:line="360" w:lineRule="auto"/>
        <w:ind w:firstLine="241"/>
        <w:rPr>
          <w:rFonts w:hint="eastAsia" w:ascii="宋体" w:hAnsi="宋体" w:cs="宋体"/>
          <w:color w:val="auto"/>
          <w:kern w:val="0"/>
          <w:sz w:val="24"/>
          <w:highlight w:val="none"/>
          <w:u w:val="singl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u w:val="single"/>
        </w:rPr>
        <w:t xml:space="preserve">                                                                                      </w:t>
      </w:r>
    </w:p>
    <w:p w14:paraId="19FE4224">
      <w:pPr>
        <w:spacing w:line="360" w:lineRule="auto"/>
        <w:ind w:firstLine="241"/>
        <w:rPr>
          <w:rFonts w:hint="eastAsia" w:ascii="宋体" w:hAnsi="宋体" w:cs="宋体"/>
          <w:color w:val="auto"/>
          <w:kern w:val="0"/>
          <w:sz w:val="24"/>
          <w:highlight w:val="none"/>
          <w:u w:val="singl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u w:val="single"/>
        </w:rPr>
        <w:t xml:space="preserve">                                                                                      </w:t>
      </w:r>
    </w:p>
    <w:p w14:paraId="4A3C2C8E">
      <w:pPr>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u w:val="single"/>
        </w:rPr>
        <w:t>采购人/代理机构</w:t>
      </w:r>
      <w:r>
        <w:rPr>
          <w:rFonts w:hint="eastAsia" w:ascii="宋体" w:hAnsi="宋体" w:cs="宋体"/>
          <w:color w:val="auto"/>
          <w:kern w:val="0"/>
          <w:sz w:val="24"/>
          <w:highlight w:val="none"/>
        </w:rPr>
        <w:t>于</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 xml:space="preserve">日，就质疑事项作出了答复/没有在法定期限内作出答复。                                                                                             </w:t>
      </w:r>
    </w:p>
    <w:p w14:paraId="01861663">
      <w:pPr>
        <w:spacing w:line="360" w:lineRule="auto"/>
        <w:ind w:left="25" w:leftChars="12" w:firstLine="472" w:firstLineChars="196"/>
        <w:outlineLvl w:val="2"/>
        <w:rPr>
          <w:rFonts w:hint="eastAsia" w:ascii="宋体" w:hAnsi="宋体" w:cs="宋体"/>
          <w:b/>
          <w:color w:val="auto"/>
          <w:kern w:val="0"/>
          <w:sz w:val="24"/>
          <w:highlight w:val="none"/>
        </w:rPr>
      </w:pPr>
      <w:r>
        <w:rPr>
          <w:rFonts w:hint="eastAsia" w:ascii="宋体" w:hAnsi="宋体" w:cs="宋体"/>
          <w:b/>
          <w:color w:val="auto"/>
          <w:kern w:val="0"/>
          <w:sz w:val="24"/>
          <w:highlight w:val="none"/>
        </w:rPr>
        <w:t>四、投诉事项具体内容</w:t>
      </w:r>
    </w:p>
    <w:p w14:paraId="10157C6E">
      <w:pPr>
        <w:spacing w:line="360" w:lineRule="auto"/>
        <w:ind w:left="25" w:leftChars="12" w:firstLine="472" w:firstLineChars="197"/>
        <w:rPr>
          <w:rFonts w:hint="eastAsia" w:ascii="宋体" w:hAnsi="宋体" w:cs="宋体"/>
          <w:color w:val="auto"/>
          <w:kern w:val="0"/>
          <w:sz w:val="24"/>
          <w:highlight w:val="none"/>
          <w:u w:val="single"/>
        </w:rPr>
      </w:pPr>
      <w:r>
        <w:rPr>
          <w:rFonts w:hint="eastAsia" w:ascii="宋体" w:hAnsi="宋体" w:cs="宋体"/>
          <w:color w:val="auto"/>
          <w:kern w:val="0"/>
          <w:sz w:val="24"/>
          <w:highlight w:val="none"/>
        </w:rPr>
        <w:t>投诉事项1：</w:t>
      </w:r>
      <w:r>
        <w:rPr>
          <w:rFonts w:hint="eastAsia" w:ascii="宋体" w:hAnsi="宋体" w:cs="宋体"/>
          <w:color w:val="auto"/>
          <w:kern w:val="0"/>
          <w:sz w:val="24"/>
          <w:highlight w:val="none"/>
          <w:u w:val="single"/>
        </w:rPr>
        <w:t xml:space="preserve">                                                                           </w:t>
      </w:r>
    </w:p>
    <w:p w14:paraId="23533EBD">
      <w:pPr>
        <w:spacing w:line="360" w:lineRule="auto"/>
        <w:ind w:firstLine="480" w:firstLineChars="200"/>
        <w:rPr>
          <w:rFonts w:hint="eastAsia" w:ascii="宋体" w:hAnsi="宋体" w:cs="宋体"/>
          <w:color w:val="auto"/>
          <w:kern w:val="0"/>
          <w:sz w:val="24"/>
          <w:highlight w:val="none"/>
          <w:u w:val="single"/>
        </w:rPr>
      </w:pPr>
      <w:r>
        <w:rPr>
          <w:rFonts w:hint="eastAsia" w:ascii="宋体" w:hAnsi="宋体" w:cs="宋体"/>
          <w:color w:val="auto"/>
          <w:kern w:val="0"/>
          <w:sz w:val="24"/>
          <w:highlight w:val="none"/>
        </w:rPr>
        <w:t xml:space="preserve">事实依据： </w:t>
      </w:r>
      <w:r>
        <w:rPr>
          <w:rFonts w:hint="eastAsia" w:ascii="宋体" w:hAnsi="宋体" w:cs="宋体"/>
          <w:color w:val="auto"/>
          <w:kern w:val="0"/>
          <w:sz w:val="24"/>
          <w:highlight w:val="none"/>
          <w:u w:val="single"/>
        </w:rPr>
        <w:t xml:space="preserve">                                                                                      </w:t>
      </w:r>
    </w:p>
    <w:p w14:paraId="4B9A8F2C">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color w:val="auto"/>
          <w:kern w:val="0"/>
          <w:sz w:val="24"/>
          <w:highlight w:val="none"/>
          <w:u w:val="single"/>
        </w:rPr>
        <w:t xml:space="preserve">                                                                                        </w:t>
      </w:r>
    </w:p>
    <w:p w14:paraId="03735727">
      <w:pPr>
        <w:spacing w:line="360" w:lineRule="auto"/>
        <w:ind w:firstLine="480" w:firstLineChars="200"/>
        <w:rPr>
          <w:rFonts w:hint="eastAsia" w:ascii="宋体" w:hAnsi="宋体" w:cs="宋体"/>
          <w:color w:val="auto"/>
          <w:kern w:val="0"/>
          <w:sz w:val="24"/>
          <w:highlight w:val="none"/>
          <w:u w:val="single"/>
        </w:rPr>
      </w:pPr>
      <w:r>
        <w:rPr>
          <w:rFonts w:hint="eastAsia" w:ascii="宋体" w:hAnsi="宋体" w:cs="宋体"/>
          <w:color w:val="auto"/>
          <w:kern w:val="0"/>
          <w:sz w:val="24"/>
          <w:highlight w:val="none"/>
        </w:rPr>
        <w:t xml:space="preserve">法律依据： </w:t>
      </w:r>
      <w:r>
        <w:rPr>
          <w:rFonts w:hint="eastAsia" w:ascii="宋体" w:hAnsi="宋体" w:cs="宋体"/>
          <w:color w:val="auto"/>
          <w:kern w:val="0"/>
          <w:sz w:val="24"/>
          <w:highlight w:val="none"/>
          <w:u w:val="single"/>
        </w:rPr>
        <w:t xml:space="preserve">                                                                                      </w:t>
      </w:r>
    </w:p>
    <w:p w14:paraId="7AE32BF6">
      <w:pPr>
        <w:spacing w:line="360" w:lineRule="auto"/>
        <w:ind w:left="25" w:leftChars="12" w:firstLine="352" w:firstLineChars="147"/>
        <w:rPr>
          <w:rFonts w:hint="eastAsia" w:ascii="宋体" w:hAnsi="宋体" w:cs="宋体"/>
          <w:color w:val="auto"/>
          <w:kern w:val="0"/>
          <w:sz w:val="24"/>
          <w:highlight w:val="none"/>
          <w:u w:val="singl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u w:val="single"/>
        </w:rPr>
        <w:t xml:space="preserve">                                                                                        </w:t>
      </w:r>
    </w:p>
    <w:p w14:paraId="781A706E">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投诉事项2     </w:t>
      </w:r>
    </w:p>
    <w:p w14:paraId="295813BD">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color w:val="auto"/>
          <w:kern w:val="0"/>
          <w:sz w:val="24"/>
          <w:highlight w:val="none"/>
        </w:rPr>
        <w:t>……</w:t>
      </w:r>
    </w:p>
    <w:p w14:paraId="32FA032A">
      <w:pPr>
        <w:spacing w:line="360" w:lineRule="auto"/>
        <w:ind w:left="25" w:leftChars="12" w:firstLine="472" w:firstLineChars="196"/>
        <w:outlineLvl w:val="2"/>
        <w:rPr>
          <w:rFonts w:hint="eastAsia" w:ascii="宋体" w:hAnsi="宋体" w:cs="宋体"/>
          <w:b/>
          <w:color w:val="auto"/>
          <w:kern w:val="0"/>
          <w:sz w:val="24"/>
          <w:highlight w:val="none"/>
        </w:rPr>
      </w:pPr>
      <w:r>
        <w:rPr>
          <w:rFonts w:hint="eastAsia" w:ascii="宋体" w:hAnsi="宋体" w:cs="宋体"/>
          <w:b/>
          <w:color w:val="auto"/>
          <w:kern w:val="0"/>
          <w:sz w:val="24"/>
          <w:highlight w:val="none"/>
        </w:rPr>
        <w:t>五、与投诉事项相关的投诉请求：</w:t>
      </w:r>
    </w:p>
    <w:p w14:paraId="3C58435E">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color w:val="auto"/>
          <w:kern w:val="0"/>
          <w:sz w:val="24"/>
          <w:highlight w:val="none"/>
        </w:rPr>
        <w:t>请求：</w:t>
      </w:r>
      <w:r>
        <w:rPr>
          <w:rFonts w:hint="eastAsia" w:ascii="宋体" w:hAnsi="宋体" w:cs="宋体"/>
          <w:color w:val="auto"/>
          <w:kern w:val="0"/>
          <w:sz w:val="24"/>
          <w:highlight w:val="none"/>
          <w:u w:val="single"/>
        </w:rPr>
        <w:t xml:space="preserve">                                                                                 </w:t>
      </w:r>
    </w:p>
    <w:p w14:paraId="211D3036">
      <w:pPr>
        <w:spacing w:line="360" w:lineRule="auto"/>
        <w:ind w:left="25" w:leftChars="12" w:firstLine="352" w:firstLineChars="147"/>
        <w:rPr>
          <w:rFonts w:hint="eastAsia" w:ascii="宋体" w:hAnsi="宋体" w:cs="宋体"/>
          <w:color w:val="auto"/>
          <w:kern w:val="0"/>
          <w:sz w:val="24"/>
          <w:highlight w:val="none"/>
        </w:rPr>
      </w:pPr>
    </w:p>
    <w:p w14:paraId="77CF50E5">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color w:val="auto"/>
          <w:kern w:val="0"/>
          <w:sz w:val="24"/>
          <w:highlight w:val="none"/>
        </w:rPr>
        <w:t>签字（签章）：                                       公章：</w:t>
      </w:r>
    </w:p>
    <w:p w14:paraId="675F53C1">
      <w:pPr>
        <w:spacing w:line="360" w:lineRule="auto"/>
        <w:rPr>
          <w:rFonts w:hint="eastAsia" w:ascii="宋体" w:hAnsi="宋体" w:cs="宋体"/>
          <w:color w:val="auto"/>
          <w:kern w:val="0"/>
          <w:sz w:val="24"/>
          <w:highlight w:val="none"/>
        </w:rPr>
      </w:pPr>
    </w:p>
    <w:p w14:paraId="4F1D08FA">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日期：                                                                               </w:t>
      </w:r>
    </w:p>
    <w:p w14:paraId="27EE2DF2">
      <w:pPr>
        <w:snapToGrid w:val="0"/>
        <w:spacing w:line="360" w:lineRule="auto"/>
        <w:rPr>
          <w:rFonts w:hint="eastAsia" w:ascii="宋体" w:hAnsi="宋体" w:cs="宋体"/>
          <w:b/>
          <w:color w:val="auto"/>
          <w:kern w:val="0"/>
          <w:sz w:val="24"/>
          <w:highlight w:val="none"/>
        </w:rPr>
      </w:pPr>
    </w:p>
    <w:p w14:paraId="77656F8F">
      <w:pPr>
        <w:snapToGrid w:val="0"/>
        <w:spacing w:line="360" w:lineRule="auto"/>
        <w:rPr>
          <w:rFonts w:hint="eastAsia" w:ascii="宋体" w:hAnsi="宋体" w:cs="宋体"/>
          <w:b/>
          <w:color w:val="auto"/>
          <w:kern w:val="0"/>
          <w:sz w:val="24"/>
          <w:highlight w:val="none"/>
        </w:rPr>
      </w:pPr>
      <w:r>
        <w:rPr>
          <w:rFonts w:hint="eastAsia" w:ascii="宋体" w:hAnsi="宋体" w:cs="宋体"/>
          <w:b/>
          <w:color w:val="auto"/>
          <w:kern w:val="0"/>
          <w:sz w:val="24"/>
          <w:highlight w:val="none"/>
        </w:rPr>
        <w:t>说明：</w:t>
      </w:r>
    </w:p>
    <w:p w14:paraId="0975A834">
      <w:pPr>
        <w:spacing w:line="360" w:lineRule="auto"/>
        <w:ind w:left="25" w:leftChars="12" w:firstLine="354" w:firstLineChars="147"/>
        <w:rPr>
          <w:rFonts w:hint="eastAsia" w:ascii="宋体" w:hAnsi="宋体" w:cs="宋体"/>
          <w:b/>
          <w:color w:val="auto"/>
          <w:kern w:val="0"/>
          <w:sz w:val="24"/>
          <w:highlight w:val="none"/>
        </w:rPr>
      </w:pPr>
      <w:r>
        <w:rPr>
          <w:rFonts w:hint="eastAsia" w:ascii="宋体" w:hAnsi="宋体" w:cs="宋体"/>
          <w:b/>
          <w:color w:val="auto"/>
          <w:kern w:val="0"/>
          <w:sz w:val="24"/>
          <w:highlight w:val="none"/>
        </w:rPr>
        <w:t>1.投诉人提起投诉时，应当提交投诉书和必要的证明材料，并按照被投诉人和与投诉事项有关的供应商数量提供投诉书副本。</w:t>
      </w:r>
    </w:p>
    <w:p w14:paraId="01C2920F">
      <w:pPr>
        <w:spacing w:line="360" w:lineRule="auto"/>
        <w:ind w:left="25" w:leftChars="12" w:firstLine="354" w:firstLineChars="147"/>
        <w:rPr>
          <w:rFonts w:hint="eastAsia" w:ascii="宋体" w:hAnsi="宋体" w:cs="宋体"/>
          <w:b/>
          <w:color w:val="auto"/>
          <w:kern w:val="0"/>
          <w:sz w:val="24"/>
          <w:highlight w:val="none"/>
        </w:rPr>
      </w:pPr>
      <w:r>
        <w:rPr>
          <w:rFonts w:hint="eastAsia" w:ascii="宋体" w:hAnsi="宋体" w:cs="宋体"/>
          <w:b/>
          <w:color w:val="auto"/>
          <w:kern w:val="0"/>
          <w:sz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206A01A6">
      <w:pPr>
        <w:spacing w:line="360" w:lineRule="auto"/>
        <w:ind w:left="25" w:leftChars="12" w:firstLine="354" w:firstLineChars="147"/>
        <w:rPr>
          <w:rFonts w:hint="eastAsia" w:ascii="宋体" w:hAnsi="宋体" w:cs="宋体"/>
          <w:b/>
          <w:color w:val="auto"/>
          <w:kern w:val="0"/>
          <w:sz w:val="24"/>
          <w:highlight w:val="none"/>
        </w:rPr>
      </w:pPr>
      <w:r>
        <w:rPr>
          <w:rFonts w:hint="eastAsia" w:ascii="宋体" w:hAnsi="宋体" w:cs="宋体"/>
          <w:b/>
          <w:color w:val="auto"/>
          <w:kern w:val="0"/>
          <w:sz w:val="24"/>
          <w:highlight w:val="none"/>
        </w:rPr>
        <w:t>3.投诉书应简要列明质疑事项，质疑函、质疑答复等作为附件材料提供。</w:t>
      </w:r>
    </w:p>
    <w:p w14:paraId="1DCDF9A0">
      <w:pPr>
        <w:spacing w:line="360" w:lineRule="auto"/>
        <w:ind w:left="25" w:leftChars="12" w:firstLine="354" w:firstLineChars="147"/>
        <w:rPr>
          <w:rFonts w:hint="eastAsia" w:ascii="宋体" w:hAnsi="宋体" w:cs="宋体"/>
          <w:b/>
          <w:color w:val="auto"/>
          <w:kern w:val="0"/>
          <w:sz w:val="24"/>
          <w:highlight w:val="none"/>
        </w:rPr>
      </w:pPr>
      <w:r>
        <w:rPr>
          <w:rFonts w:hint="eastAsia" w:ascii="宋体" w:hAnsi="宋体" w:cs="宋体"/>
          <w:b/>
          <w:color w:val="auto"/>
          <w:kern w:val="0"/>
          <w:sz w:val="24"/>
          <w:highlight w:val="none"/>
        </w:rPr>
        <w:t>4.投诉书的投诉事项应具体、明确，并有必要的事实依据和法律依据。</w:t>
      </w:r>
    </w:p>
    <w:p w14:paraId="01EE4213">
      <w:pPr>
        <w:spacing w:line="360" w:lineRule="auto"/>
        <w:ind w:left="25" w:leftChars="12" w:firstLine="354" w:firstLineChars="147"/>
        <w:rPr>
          <w:rFonts w:hint="eastAsia" w:ascii="宋体" w:hAnsi="宋体" w:cs="宋体"/>
          <w:b/>
          <w:color w:val="auto"/>
          <w:kern w:val="0"/>
          <w:sz w:val="24"/>
          <w:highlight w:val="none"/>
        </w:rPr>
      </w:pPr>
      <w:r>
        <w:rPr>
          <w:rFonts w:hint="eastAsia" w:ascii="宋体" w:hAnsi="宋体" w:cs="宋体"/>
          <w:b/>
          <w:color w:val="auto"/>
          <w:kern w:val="0"/>
          <w:sz w:val="24"/>
          <w:highlight w:val="none"/>
        </w:rPr>
        <w:t>5.投诉书的投诉请求应与投诉事项相关。</w:t>
      </w:r>
    </w:p>
    <w:p w14:paraId="2C69894D">
      <w:pPr>
        <w:spacing w:line="360" w:lineRule="auto"/>
        <w:ind w:left="25" w:leftChars="12" w:firstLine="354" w:firstLineChars="147"/>
        <w:rPr>
          <w:rFonts w:hint="eastAsia" w:ascii="宋体" w:hAnsi="宋体" w:cs="宋体"/>
          <w:b/>
          <w:color w:val="auto"/>
          <w:kern w:val="0"/>
          <w:sz w:val="24"/>
          <w:highlight w:val="none"/>
        </w:rPr>
      </w:pPr>
      <w:r>
        <w:rPr>
          <w:rFonts w:hint="eastAsia" w:ascii="宋体" w:hAnsi="宋体" w:cs="宋体"/>
          <w:b/>
          <w:color w:val="auto"/>
          <w:kern w:val="0"/>
          <w:sz w:val="24"/>
          <w:highlight w:val="none"/>
        </w:rPr>
        <w:t>6.投诉人为法人或者其他组织的，投诉书应由法定代表人、主要负责人，或者其授权代表签字或者盖章，并加盖公章。</w:t>
      </w:r>
    </w:p>
    <w:p w14:paraId="67C523DE">
      <w:pPr>
        <w:pStyle w:val="3"/>
        <w:spacing w:line="360" w:lineRule="auto"/>
        <w:jc w:val="both"/>
        <w:rPr>
          <w:rFonts w:hint="eastAsia" w:ascii="宋体" w:hAnsi="宋体" w:cs="宋体"/>
          <w:color w:val="auto"/>
          <w:szCs w:val="21"/>
          <w:highlight w:val="none"/>
        </w:rPr>
        <w:sectPr>
          <w:pgSz w:w="11906" w:h="16838"/>
          <w:pgMar w:top="1247" w:right="1417" w:bottom="1247" w:left="1417" w:header="851" w:footer="992" w:gutter="0"/>
          <w:cols w:space="0" w:num="1"/>
          <w:docGrid w:type="lines" w:linePitch="312" w:charSpace="0"/>
        </w:sectPr>
      </w:pPr>
    </w:p>
    <w:p w14:paraId="10FDE4C7">
      <w:pPr>
        <w:pStyle w:val="3"/>
        <w:spacing w:line="360" w:lineRule="auto"/>
        <w:jc w:val="both"/>
        <w:rPr>
          <w:rFonts w:hint="eastAsia" w:ascii="宋体" w:hAnsi="宋体" w:eastAsia="宋体" w:cs="宋体"/>
          <w:b/>
          <w:bCs/>
          <w:color w:val="auto"/>
          <w:highlight w:val="none"/>
        </w:rPr>
      </w:pPr>
    </w:p>
    <w:p w14:paraId="773E53B2">
      <w:pPr>
        <w:pStyle w:val="4"/>
        <w:numPr>
          <w:ilvl w:val="0"/>
          <w:numId w:val="2"/>
        </w:numPr>
        <w:spacing w:line="560" w:lineRule="exact"/>
        <w:jc w:val="center"/>
        <w:rPr>
          <w:rFonts w:hint="eastAsia" w:ascii="宋体" w:hAnsi="宋体" w:cs="宋体"/>
          <w:color w:val="auto"/>
          <w:kern w:val="0"/>
          <w:sz w:val="36"/>
          <w:szCs w:val="36"/>
          <w:highlight w:val="none"/>
        </w:rPr>
      </w:pPr>
      <w:r>
        <w:rPr>
          <w:rFonts w:hint="eastAsia" w:ascii="宋体" w:hAnsi="宋体" w:cs="宋体"/>
          <w:color w:val="auto"/>
          <w:kern w:val="0"/>
          <w:sz w:val="36"/>
          <w:szCs w:val="36"/>
          <w:highlight w:val="none"/>
        </w:rPr>
        <w:t xml:space="preserve">   </w:t>
      </w:r>
      <w:bookmarkStart w:id="76" w:name="_Toc3612"/>
      <w:r>
        <w:rPr>
          <w:rFonts w:hint="eastAsia" w:ascii="宋体" w:hAnsi="宋体" w:cs="宋体"/>
          <w:color w:val="auto"/>
          <w:kern w:val="0"/>
          <w:sz w:val="36"/>
          <w:szCs w:val="36"/>
          <w:highlight w:val="none"/>
        </w:rPr>
        <w:t>合同主要条款（参考格式</w:t>
      </w:r>
      <w:bookmarkEnd w:id="76"/>
      <w:r>
        <w:rPr>
          <w:rFonts w:hint="eastAsia" w:ascii="宋体" w:hAnsi="宋体" w:cs="宋体"/>
          <w:color w:val="auto"/>
          <w:kern w:val="0"/>
          <w:sz w:val="36"/>
          <w:szCs w:val="36"/>
          <w:highlight w:val="none"/>
        </w:rPr>
        <w:t>）</w:t>
      </w:r>
    </w:p>
    <w:p w14:paraId="2D1DD6B7">
      <w:pPr>
        <w:pStyle w:val="4"/>
        <w:spacing w:line="560" w:lineRule="exact"/>
        <w:jc w:val="center"/>
        <w:rPr>
          <w:rFonts w:hint="eastAsia" w:ascii="宋体" w:hAnsi="宋体" w:cs="宋体"/>
          <w:color w:val="auto"/>
          <w:kern w:val="0"/>
          <w:sz w:val="32"/>
          <w:szCs w:val="32"/>
          <w:highlight w:val="none"/>
        </w:rPr>
      </w:pPr>
      <w:bookmarkStart w:id="77" w:name="_Toc31567"/>
      <w:r>
        <w:rPr>
          <w:rFonts w:hint="eastAsia" w:ascii="宋体" w:hAnsi="宋体" w:cs="宋体"/>
          <w:color w:val="auto"/>
          <w:kern w:val="0"/>
          <w:sz w:val="32"/>
          <w:szCs w:val="32"/>
          <w:highlight w:val="none"/>
        </w:rPr>
        <w:t>（仅供参考，由双方按实际情况调整</w:t>
      </w:r>
      <w:bookmarkEnd w:id="77"/>
      <w:r>
        <w:rPr>
          <w:rFonts w:hint="eastAsia" w:ascii="宋体" w:hAnsi="宋体" w:cs="宋体"/>
          <w:color w:val="auto"/>
          <w:kern w:val="0"/>
          <w:sz w:val="32"/>
          <w:szCs w:val="32"/>
          <w:highlight w:val="none"/>
        </w:rPr>
        <w:t>）</w:t>
      </w:r>
    </w:p>
    <w:p w14:paraId="6CC2F87A">
      <w:pPr>
        <w:jc w:val="center"/>
        <w:rPr>
          <w:rFonts w:hint="eastAsia" w:ascii="宋体" w:hAnsi="宋体" w:cs="宋体"/>
          <w:b/>
          <w:bCs/>
          <w:color w:val="auto"/>
          <w:sz w:val="72"/>
          <w:szCs w:val="144"/>
          <w:highlight w:val="none"/>
        </w:rPr>
      </w:pPr>
    </w:p>
    <w:p w14:paraId="0EC363E6">
      <w:pPr>
        <w:jc w:val="center"/>
        <w:rPr>
          <w:rFonts w:hint="eastAsia" w:ascii="宋体" w:hAnsi="宋体" w:cs="宋体"/>
          <w:b/>
          <w:bCs/>
          <w:color w:val="auto"/>
          <w:spacing w:val="20"/>
          <w:sz w:val="56"/>
          <w:szCs w:val="96"/>
          <w:highlight w:val="none"/>
        </w:rPr>
      </w:pPr>
      <w:r>
        <w:rPr>
          <w:rFonts w:hint="eastAsia" w:ascii="宋体" w:hAnsi="宋体" w:cs="宋体"/>
          <w:b/>
          <w:bCs/>
          <w:color w:val="auto"/>
          <w:spacing w:val="20"/>
          <w:sz w:val="56"/>
          <w:szCs w:val="96"/>
          <w:highlight w:val="none"/>
        </w:rPr>
        <w:t xml:space="preserve">                      副本</w:t>
      </w:r>
    </w:p>
    <w:p w14:paraId="78DC2087">
      <w:pPr>
        <w:jc w:val="center"/>
        <w:rPr>
          <w:rFonts w:hint="eastAsia" w:ascii="宋体" w:hAnsi="宋体" w:cs="宋体"/>
          <w:b/>
          <w:bCs/>
          <w:color w:val="auto"/>
          <w:spacing w:val="20"/>
          <w:sz w:val="56"/>
          <w:szCs w:val="96"/>
          <w:highlight w:val="none"/>
        </w:rPr>
      </w:pPr>
      <w:r>
        <w:rPr>
          <w:rFonts w:hint="eastAsia" w:ascii="宋体" w:hAnsi="宋体" w:cs="宋体"/>
          <w:b/>
          <w:bCs/>
          <w:color w:val="auto"/>
          <w:spacing w:val="20"/>
          <w:sz w:val="48"/>
          <w:szCs w:val="56"/>
          <w:highlight w:val="none"/>
        </w:rPr>
        <w:t xml:space="preserve">                         </w:t>
      </w:r>
      <w:r>
        <w:rPr>
          <w:rFonts w:hint="eastAsia" w:ascii="宋体" w:hAnsi="宋体" w:cs="宋体"/>
          <w:b/>
          <w:bCs/>
          <w:color w:val="auto"/>
          <w:spacing w:val="20"/>
          <w:sz w:val="56"/>
          <w:szCs w:val="96"/>
          <w:highlight w:val="none"/>
        </w:rPr>
        <w:t xml:space="preserve"> </w:t>
      </w:r>
    </w:p>
    <w:p w14:paraId="2FD8E12A">
      <w:pPr>
        <w:rPr>
          <w:rFonts w:hint="eastAsia" w:ascii="宋体" w:hAnsi="宋体" w:cs="宋体"/>
          <w:b/>
          <w:bCs/>
          <w:color w:val="auto"/>
          <w:spacing w:val="20"/>
          <w:sz w:val="48"/>
          <w:szCs w:val="56"/>
          <w:highlight w:val="none"/>
        </w:rPr>
      </w:pPr>
    </w:p>
    <w:p w14:paraId="2E42E77E">
      <w:pPr>
        <w:jc w:val="center"/>
        <w:rPr>
          <w:rFonts w:hint="eastAsia" w:ascii="宋体" w:hAnsi="宋体" w:cs="宋体"/>
          <w:b/>
          <w:bCs/>
          <w:color w:val="auto"/>
          <w:spacing w:val="20"/>
          <w:sz w:val="96"/>
          <w:szCs w:val="160"/>
          <w:highlight w:val="none"/>
        </w:rPr>
      </w:pPr>
      <w:r>
        <w:rPr>
          <w:rFonts w:hint="eastAsia" w:ascii="宋体" w:hAnsi="宋体" w:cs="宋体"/>
          <w:b/>
          <w:bCs/>
          <w:color w:val="auto"/>
          <w:spacing w:val="20"/>
          <w:sz w:val="72"/>
          <w:szCs w:val="144"/>
          <w:highlight w:val="none"/>
        </w:rPr>
        <w:t>施 工 承 包 合 同 书</w:t>
      </w:r>
    </w:p>
    <w:p w14:paraId="57B7A171">
      <w:pPr>
        <w:jc w:val="center"/>
        <w:rPr>
          <w:rFonts w:hint="eastAsia" w:ascii="宋体" w:hAnsi="宋体" w:cs="宋体"/>
          <w:color w:val="auto"/>
          <w:spacing w:val="20"/>
          <w:sz w:val="32"/>
          <w:szCs w:val="40"/>
          <w:highlight w:val="none"/>
        </w:rPr>
      </w:pPr>
    </w:p>
    <w:p w14:paraId="3AB94FA2">
      <w:pPr>
        <w:jc w:val="center"/>
        <w:rPr>
          <w:rFonts w:hint="eastAsia" w:ascii="宋体" w:hAnsi="宋体" w:cs="宋体"/>
          <w:color w:val="auto"/>
          <w:spacing w:val="20"/>
          <w:sz w:val="32"/>
          <w:szCs w:val="40"/>
          <w:highlight w:val="none"/>
        </w:rPr>
      </w:pPr>
    </w:p>
    <w:p w14:paraId="7230BCAF">
      <w:pPr>
        <w:jc w:val="center"/>
        <w:rPr>
          <w:rFonts w:hint="eastAsia" w:ascii="宋体" w:hAnsi="宋体" w:cs="宋体"/>
          <w:color w:val="auto"/>
          <w:spacing w:val="20"/>
          <w:sz w:val="32"/>
          <w:szCs w:val="40"/>
          <w:highlight w:val="none"/>
        </w:rPr>
      </w:pPr>
    </w:p>
    <w:p w14:paraId="52C386AD">
      <w:pPr>
        <w:jc w:val="center"/>
        <w:rPr>
          <w:rFonts w:hint="eastAsia" w:ascii="宋体" w:hAnsi="宋体" w:cs="宋体"/>
          <w:color w:val="auto"/>
          <w:spacing w:val="20"/>
          <w:sz w:val="32"/>
          <w:szCs w:val="40"/>
          <w:highlight w:val="none"/>
        </w:rPr>
      </w:pPr>
    </w:p>
    <w:p w14:paraId="3212737D">
      <w:pPr>
        <w:rPr>
          <w:rFonts w:hint="eastAsia" w:ascii="宋体" w:hAnsi="宋体" w:cs="宋体"/>
          <w:b/>
          <w:bCs/>
          <w:color w:val="auto"/>
          <w:spacing w:val="20"/>
          <w:sz w:val="48"/>
          <w:szCs w:val="56"/>
          <w:highlight w:val="none"/>
        </w:rPr>
      </w:pPr>
      <w:r>
        <w:rPr>
          <w:rFonts w:hint="eastAsia" w:ascii="宋体" w:hAnsi="宋体" w:cs="宋体"/>
          <w:color w:val="auto"/>
          <w:spacing w:val="20"/>
          <w:sz w:val="28"/>
          <w:szCs w:val="28"/>
          <w:highlight w:val="none"/>
        </w:rPr>
        <w:t>工程名称：</w:t>
      </w:r>
      <w:r>
        <w:rPr>
          <w:rFonts w:hint="eastAsia" w:ascii="宋体" w:hAnsi="宋体" w:cs="宋体"/>
          <w:color w:val="auto"/>
          <w:sz w:val="28"/>
          <w:szCs w:val="28"/>
          <w:highlight w:val="none"/>
          <w:u w:val="single"/>
        </w:rPr>
        <w:t xml:space="preserve">                       </w:t>
      </w:r>
    </w:p>
    <w:p w14:paraId="08E557AF">
      <w:pPr>
        <w:rPr>
          <w:rFonts w:hint="eastAsia" w:ascii="宋体" w:hAnsi="宋体" w:cs="宋体"/>
          <w:color w:val="auto"/>
          <w:spacing w:val="20"/>
          <w:sz w:val="28"/>
          <w:szCs w:val="36"/>
          <w:highlight w:val="none"/>
        </w:rPr>
      </w:pPr>
    </w:p>
    <w:p w14:paraId="61617CCF">
      <w:pPr>
        <w:rPr>
          <w:rFonts w:hint="eastAsia" w:ascii="宋体" w:hAnsi="宋体" w:cs="宋体"/>
          <w:color w:val="auto"/>
          <w:spacing w:val="20"/>
          <w:sz w:val="28"/>
          <w:szCs w:val="36"/>
          <w:highlight w:val="none"/>
          <w:u w:val="single"/>
        </w:rPr>
      </w:pPr>
      <w:r>
        <w:rPr>
          <w:rFonts w:hint="eastAsia" w:ascii="宋体" w:hAnsi="宋体" w:cs="宋体"/>
          <w:color w:val="auto"/>
          <w:spacing w:val="20"/>
          <w:sz w:val="28"/>
          <w:szCs w:val="36"/>
          <w:highlight w:val="none"/>
        </w:rPr>
        <w:t>发包人（甲方）：</w:t>
      </w:r>
      <w:r>
        <w:rPr>
          <w:rFonts w:hint="eastAsia" w:ascii="宋体" w:hAnsi="宋体" w:cs="宋体"/>
          <w:color w:val="auto"/>
          <w:spacing w:val="20"/>
          <w:sz w:val="28"/>
          <w:szCs w:val="36"/>
          <w:highlight w:val="none"/>
          <w:u w:val="single"/>
        </w:rPr>
        <w:t xml:space="preserve"> </w:t>
      </w:r>
      <w:r>
        <w:rPr>
          <w:rFonts w:hint="eastAsia" w:ascii="宋体" w:hAnsi="宋体" w:cs="宋体"/>
          <w:color w:val="auto"/>
          <w:spacing w:val="20"/>
          <w:sz w:val="28"/>
          <w:szCs w:val="36"/>
          <w:highlight w:val="none"/>
          <w:u w:val="single"/>
          <w:lang w:eastAsia="zh-CN"/>
        </w:rPr>
        <w:t>浦北县江城街道办事处</w:t>
      </w:r>
      <w:r>
        <w:rPr>
          <w:rFonts w:hint="eastAsia" w:ascii="宋体" w:hAnsi="宋体" w:cs="宋体"/>
          <w:color w:val="auto"/>
          <w:spacing w:val="20"/>
          <w:sz w:val="28"/>
          <w:szCs w:val="36"/>
          <w:highlight w:val="none"/>
          <w:u w:val="single"/>
        </w:rPr>
        <w:t xml:space="preserve"> </w:t>
      </w:r>
    </w:p>
    <w:p w14:paraId="73FDFFCA">
      <w:pPr>
        <w:rPr>
          <w:rFonts w:hint="eastAsia" w:ascii="宋体" w:hAnsi="宋体" w:cs="宋体"/>
          <w:color w:val="auto"/>
          <w:spacing w:val="20"/>
          <w:sz w:val="28"/>
          <w:szCs w:val="36"/>
          <w:highlight w:val="none"/>
        </w:rPr>
      </w:pPr>
    </w:p>
    <w:p w14:paraId="724AEC7B">
      <w:pPr>
        <w:rPr>
          <w:rFonts w:hint="eastAsia" w:ascii="宋体" w:hAnsi="宋体" w:cs="宋体"/>
          <w:color w:val="auto"/>
          <w:spacing w:val="20"/>
          <w:sz w:val="28"/>
          <w:szCs w:val="36"/>
          <w:highlight w:val="none"/>
          <w:u w:val="single"/>
        </w:rPr>
      </w:pPr>
      <w:r>
        <w:rPr>
          <w:rFonts w:hint="eastAsia" w:ascii="宋体" w:hAnsi="宋体" w:cs="宋体"/>
          <w:color w:val="auto"/>
          <w:spacing w:val="20"/>
          <w:sz w:val="28"/>
          <w:szCs w:val="36"/>
          <w:highlight w:val="none"/>
        </w:rPr>
        <w:t>承包人（乙方）：</w:t>
      </w:r>
      <w:r>
        <w:rPr>
          <w:rFonts w:hint="eastAsia" w:ascii="宋体" w:hAnsi="宋体" w:cs="宋体"/>
          <w:color w:val="auto"/>
          <w:spacing w:val="20"/>
          <w:sz w:val="28"/>
          <w:szCs w:val="36"/>
          <w:highlight w:val="none"/>
          <w:u w:val="single"/>
        </w:rPr>
        <w:t xml:space="preserve">                         </w:t>
      </w:r>
    </w:p>
    <w:p w14:paraId="3F5F0D84">
      <w:pPr>
        <w:rPr>
          <w:rFonts w:hint="eastAsia" w:ascii="宋体" w:hAnsi="宋体" w:cs="宋体"/>
          <w:color w:val="auto"/>
          <w:spacing w:val="20"/>
          <w:sz w:val="28"/>
          <w:szCs w:val="36"/>
          <w:highlight w:val="none"/>
        </w:rPr>
      </w:pPr>
    </w:p>
    <w:p w14:paraId="3C964AE8">
      <w:pPr>
        <w:rPr>
          <w:rFonts w:hint="eastAsia" w:ascii="宋体" w:hAnsi="宋体" w:cs="宋体"/>
          <w:color w:val="auto"/>
          <w:spacing w:val="20"/>
          <w:sz w:val="32"/>
          <w:szCs w:val="40"/>
          <w:highlight w:val="none"/>
        </w:rPr>
      </w:pPr>
      <w:r>
        <w:rPr>
          <w:rFonts w:hint="eastAsia" w:ascii="宋体" w:hAnsi="宋体" w:cs="宋体"/>
          <w:color w:val="auto"/>
          <w:spacing w:val="20"/>
          <w:sz w:val="28"/>
          <w:szCs w:val="28"/>
          <w:highlight w:val="none"/>
        </w:rPr>
        <w:t>日      期：</w:t>
      </w:r>
      <w:r>
        <w:rPr>
          <w:rFonts w:hint="eastAsia" w:ascii="宋体" w:hAnsi="宋体" w:cs="宋体"/>
          <w:color w:val="auto"/>
          <w:spacing w:val="20"/>
          <w:sz w:val="28"/>
          <w:szCs w:val="28"/>
          <w:highlight w:val="none"/>
          <w:u w:val="single"/>
        </w:rPr>
        <w:t xml:space="preserve">     年   月   日</w:t>
      </w:r>
    </w:p>
    <w:p w14:paraId="6CC48AD5">
      <w:pPr>
        <w:pStyle w:val="4"/>
        <w:rPr>
          <w:rFonts w:hint="eastAsia" w:ascii="宋体" w:hAnsi="宋体" w:cs="宋体"/>
          <w:color w:val="auto"/>
          <w:spacing w:val="20"/>
          <w:sz w:val="40"/>
          <w:szCs w:val="52"/>
          <w:highlight w:val="none"/>
        </w:rPr>
        <w:sectPr>
          <w:pgSz w:w="11906" w:h="16838"/>
          <w:pgMar w:top="1190" w:right="1453" w:bottom="1368" w:left="1633" w:header="851" w:footer="992" w:gutter="0"/>
          <w:cols w:space="0" w:num="1"/>
          <w:docGrid w:type="lines" w:linePitch="312" w:charSpace="0"/>
        </w:sectPr>
      </w:pPr>
      <w:bookmarkStart w:id="78" w:name="_Toc373478199"/>
      <w:bookmarkStart w:id="79" w:name="_Toc296503025"/>
      <w:bookmarkStart w:id="80" w:name="_Toc373227552"/>
      <w:bookmarkStart w:id="81" w:name="_Toc12680"/>
      <w:bookmarkStart w:id="82" w:name="_Toc351203480"/>
      <w:bookmarkStart w:id="83" w:name="_Toc296890982"/>
      <w:bookmarkStart w:id="84" w:name="_Toc389065255"/>
      <w:bookmarkStart w:id="85" w:name="_Toc26265"/>
    </w:p>
    <w:p w14:paraId="4B0F0471">
      <w:pPr>
        <w:pStyle w:val="4"/>
        <w:numPr>
          <w:ilvl w:val="0"/>
          <w:numId w:val="3"/>
        </w:numPr>
        <w:jc w:val="center"/>
        <w:rPr>
          <w:color w:val="auto"/>
          <w:highlight w:val="none"/>
        </w:rPr>
      </w:pPr>
      <w:r>
        <w:rPr>
          <w:rFonts w:hint="eastAsia" w:ascii="宋体" w:hAnsi="宋体" w:cs="宋体"/>
          <w:color w:val="auto"/>
          <w:spacing w:val="20"/>
          <w:sz w:val="36"/>
          <w:szCs w:val="48"/>
          <w:highlight w:val="none"/>
        </w:rPr>
        <w:t>合同协议书</w:t>
      </w:r>
      <w:bookmarkEnd w:id="78"/>
      <w:bookmarkEnd w:id="79"/>
      <w:bookmarkEnd w:id="80"/>
      <w:bookmarkEnd w:id="81"/>
      <w:bookmarkEnd w:id="82"/>
      <w:bookmarkEnd w:id="83"/>
      <w:bookmarkEnd w:id="84"/>
      <w:bookmarkEnd w:id="85"/>
    </w:p>
    <w:p w14:paraId="1A2A2EA8">
      <w:pPr>
        <w:rPr>
          <w:color w:val="auto"/>
          <w:highlight w:val="none"/>
        </w:rPr>
      </w:pPr>
    </w:p>
    <w:p w14:paraId="27CC395E">
      <w:pPr>
        <w:adjustRightInd w:val="0"/>
        <w:snapToGrid w:val="0"/>
        <w:spacing w:line="360" w:lineRule="auto"/>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发包人（全称）：</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u w:val="single"/>
          <w:lang w:eastAsia="zh-CN"/>
        </w:rPr>
        <w:t>浦北县江城街道办事处</w:t>
      </w:r>
      <w:r>
        <w:rPr>
          <w:rFonts w:hint="eastAsia" w:ascii="宋体" w:hAnsi="宋体" w:cs="宋体"/>
          <w:color w:val="auto"/>
          <w:spacing w:val="20"/>
          <w:sz w:val="24"/>
          <w:highlight w:val="none"/>
          <w:u w:val="single"/>
        </w:rPr>
        <w:t xml:space="preserve">   </w:t>
      </w:r>
    </w:p>
    <w:p w14:paraId="19CC68D5">
      <w:pPr>
        <w:adjustRightInd w:val="0"/>
        <w:snapToGrid w:val="0"/>
        <w:spacing w:line="360" w:lineRule="auto"/>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承包人（全称）：</w:t>
      </w:r>
      <w:r>
        <w:rPr>
          <w:rFonts w:hint="eastAsia" w:ascii="宋体" w:hAnsi="宋体" w:cs="宋体"/>
          <w:color w:val="auto"/>
          <w:spacing w:val="20"/>
          <w:sz w:val="24"/>
          <w:highlight w:val="none"/>
          <w:u w:val="single"/>
        </w:rPr>
        <w:t xml:space="preserve">                                       </w:t>
      </w:r>
    </w:p>
    <w:p w14:paraId="457ECF22">
      <w:pPr>
        <w:adjustRightInd w:val="0"/>
        <w:snapToGrid w:val="0"/>
        <w:spacing w:line="360" w:lineRule="auto"/>
        <w:ind w:firstLine="560" w:firstLineChars="200"/>
        <w:rPr>
          <w:rFonts w:hint="eastAsia" w:ascii="宋体" w:hAnsi="宋体" w:cs="宋体"/>
          <w:color w:val="auto"/>
          <w:spacing w:val="20"/>
          <w:sz w:val="24"/>
          <w:highlight w:val="none"/>
        </w:rPr>
      </w:pPr>
      <w:r>
        <w:rPr>
          <w:rFonts w:hint="eastAsia" w:ascii="宋体" w:hAnsi="宋体" w:cs="宋体"/>
          <w:color w:val="auto"/>
          <w:spacing w:val="20"/>
          <w:sz w:val="24"/>
          <w:highlight w:val="none"/>
          <w:u w:val="single"/>
          <w:lang w:eastAsia="zh-CN"/>
        </w:rPr>
        <w:t>浦北县江城街道办事处</w:t>
      </w:r>
      <w:r>
        <w:rPr>
          <w:rFonts w:hint="eastAsia" w:ascii="宋体" w:hAnsi="宋体" w:cs="宋体"/>
          <w:color w:val="auto"/>
          <w:spacing w:val="20"/>
          <w:sz w:val="24"/>
          <w:highlight w:val="none"/>
        </w:rPr>
        <w:t>（以下称发包人）为实施</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，根据《中华人民共和国合同法》、《中华人民共和国建筑法》及有关法律规定，遵循平等、自愿、公平和诚实信用的原则，双方就</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工程施工及有关事项协商一致，共同达成如下协议：</w:t>
      </w:r>
      <w:bookmarkStart w:id="86" w:name="_Toc351203481"/>
    </w:p>
    <w:p w14:paraId="2878D0C6">
      <w:pPr>
        <w:adjustRightInd w:val="0"/>
        <w:snapToGrid w:val="0"/>
        <w:spacing w:line="360" w:lineRule="auto"/>
        <w:ind w:firstLine="562" w:firstLineChars="200"/>
        <w:outlineLvl w:val="0"/>
        <w:rPr>
          <w:rFonts w:hint="eastAsia" w:ascii="宋体" w:hAnsi="宋体" w:cs="宋体"/>
          <w:b/>
          <w:bCs/>
          <w:color w:val="auto"/>
          <w:spacing w:val="20"/>
          <w:sz w:val="24"/>
          <w:highlight w:val="none"/>
        </w:rPr>
      </w:pPr>
      <w:r>
        <w:rPr>
          <w:rFonts w:hint="eastAsia" w:ascii="宋体" w:hAnsi="宋体" w:cs="宋体"/>
          <w:b/>
          <w:bCs/>
          <w:color w:val="auto"/>
          <w:spacing w:val="20"/>
          <w:sz w:val="24"/>
          <w:highlight w:val="none"/>
        </w:rPr>
        <w:t>一、工程概况</w:t>
      </w:r>
      <w:bookmarkEnd w:id="86"/>
    </w:p>
    <w:p w14:paraId="609B7A2A">
      <w:pPr>
        <w:adjustRightInd w:val="0"/>
        <w:snapToGrid w:val="0"/>
        <w:spacing w:line="360" w:lineRule="auto"/>
        <w:ind w:firstLine="548" w:firstLineChars="196"/>
        <w:rPr>
          <w:rFonts w:hint="eastAsia" w:ascii="宋体" w:hAnsi="宋体" w:cs="宋体"/>
          <w:color w:val="auto"/>
          <w:spacing w:val="20"/>
          <w:sz w:val="24"/>
          <w:highlight w:val="none"/>
          <w:u w:val="single"/>
        </w:rPr>
      </w:pPr>
      <w:r>
        <w:rPr>
          <w:rFonts w:hint="eastAsia" w:ascii="宋体" w:hAnsi="宋体" w:cs="宋体"/>
          <w:bCs/>
          <w:color w:val="auto"/>
          <w:spacing w:val="20"/>
          <w:sz w:val="24"/>
          <w:highlight w:val="none"/>
        </w:rPr>
        <w:t>1. 工程名称</w:t>
      </w:r>
      <w:r>
        <w:rPr>
          <w:rFonts w:hint="eastAsia" w:ascii="宋体" w:hAnsi="宋体" w:cs="宋体"/>
          <w:color w:val="auto"/>
          <w:spacing w:val="20"/>
          <w:sz w:val="24"/>
          <w:highlight w:val="none"/>
        </w:rPr>
        <w:t>：</w:t>
      </w:r>
      <w:r>
        <w:rPr>
          <w:rFonts w:hint="eastAsia" w:ascii="宋体" w:hAnsi="宋体" w:cs="宋体"/>
          <w:color w:val="auto"/>
          <w:spacing w:val="20"/>
          <w:sz w:val="24"/>
          <w:highlight w:val="none"/>
          <w:u w:val="single"/>
        </w:rPr>
        <w:t xml:space="preserve"> </w:t>
      </w:r>
      <w:r>
        <w:rPr>
          <w:rFonts w:hint="eastAsia" w:ascii="宋体" w:hAnsi="宋体" w:cs="宋体"/>
          <w:b/>
          <w:bCs/>
          <w:color w:val="auto"/>
          <w:spacing w:val="20"/>
          <w:sz w:val="24"/>
          <w:highlight w:val="none"/>
          <w:u w:val="single"/>
        </w:rPr>
        <w:t xml:space="preserve">                         </w:t>
      </w:r>
      <w:r>
        <w:rPr>
          <w:rFonts w:hint="eastAsia" w:ascii="宋体" w:hAnsi="宋体" w:cs="宋体"/>
          <w:color w:val="auto"/>
          <w:spacing w:val="20"/>
          <w:sz w:val="24"/>
          <w:highlight w:val="none"/>
        </w:rPr>
        <w:t>。</w:t>
      </w:r>
    </w:p>
    <w:p w14:paraId="71012E53">
      <w:pPr>
        <w:adjustRightInd w:val="0"/>
        <w:snapToGrid w:val="0"/>
        <w:spacing w:line="360" w:lineRule="auto"/>
        <w:ind w:firstLine="548" w:firstLineChars="196"/>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2. 工程地点：</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w:t>
      </w:r>
    </w:p>
    <w:p w14:paraId="2F95B5CF">
      <w:pPr>
        <w:adjustRightInd w:val="0"/>
        <w:snapToGrid w:val="0"/>
        <w:spacing w:line="360" w:lineRule="auto"/>
        <w:ind w:firstLine="548" w:firstLineChars="196"/>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3. 工程立项批准文号：</w:t>
      </w:r>
      <w:r>
        <w:rPr>
          <w:rFonts w:hint="eastAsia" w:ascii="宋体" w:hAnsi="宋体" w:cs="宋体"/>
          <w:color w:val="auto"/>
          <w:spacing w:val="20"/>
          <w:sz w:val="24"/>
          <w:highlight w:val="none"/>
          <w:u w:val="single"/>
        </w:rPr>
        <w:t xml:space="preserve">      </w:t>
      </w:r>
      <w:r>
        <w:rPr>
          <w:rFonts w:hint="eastAsia" w:ascii="宋体" w:hAnsi="宋体" w:cs="宋体"/>
          <w:bCs/>
          <w:color w:val="auto"/>
          <w:spacing w:val="20"/>
          <w:sz w:val="24"/>
          <w:highlight w:val="none"/>
        </w:rPr>
        <w:t>。</w:t>
      </w:r>
    </w:p>
    <w:p w14:paraId="594B0AF8">
      <w:pPr>
        <w:adjustRightInd w:val="0"/>
        <w:snapToGrid w:val="0"/>
        <w:spacing w:line="360" w:lineRule="auto"/>
        <w:ind w:firstLine="548" w:firstLineChars="196"/>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4. 资金来源：</w:t>
      </w:r>
      <w:r>
        <w:rPr>
          <w:rFonts w:hint="eastAsia" w:ascii="宋体" w:hAnsi="宋体" w:cs="宋体"/>
          <w:color w:val="auto"/>
          <w:spacing w:val="20"/>
          <w:sz w:val="24"/>
          <w:highlight w:val="none"/>
          <w:u w:val="single"/>
        </w:rPr>
        <w:t xml:space="preserve">             </w:t>
      </w:r>
      <w:r>
        <w:rPr>
          <w:rFonts w:hint="eastAsia" w:ascii="宋体" w:hAnsi="宋体" w:cs="宋体"/>
          <w:bCs/>
          <w:color w:val="auto"/>
          <w:spacing w:val="20"/>
          <w:sz w:val="24"/>
          <w:highlight w:val="none"/>
        </w:rPr>
        <w:t>。</w:t>
      </w:r>
    </w:p>
    <w:p w14:paraId="4B89BA3C">
      <w:pPr>
        <w:adjustRightInd w:val="0"/>
        <w:snapToGrid w:val="0"/>
        <w:spacing w:line="360" w:lineRule="auto"/>
        <w:ind w:firstLine="548" w:firstLineChars="196"/>
        <w:rPr>
          <w:rFonts w:hint="eastAsia" w:ascii="宋体" w:hAnsi="宋体" w:cs="宋体"/>
          <w:color w:val="auto"/>
          <w:spacing w:val="20"/>
          <w:sz w:val="24"/>
          <w:highlight w:val="none"/>
          <w:u w:val="single"/>
        </w:rPr>
      </w:pPr>
      <w:r>
        <w:rPr>
          <w:rFonts w:hint="eastAsia" w:ascii="宋体" w:hAnsi="宋体" w:cs="宋体"/>
          <w:bCs/>
          <w:color w:val="auto"/>
          <w:spacing w:val="20"/>
          <w:sz w:val="24"/>
          <w:highlight w:val="none"/>
        </w:rPr>
        <w:t>5. 工程内容：</w:t>
      </w:r>
      <w:r>
        <w:rPr>
          <w:rFonts w:hint="eastAsia" w:ascii="宋体" w:hAnsi="宋体" w:cs="宋体"/>
          <w:bCs/>
          <w:color w:val="auto"/>
          <w:spacing w:val="20"/>
          <w:sz w:val="24"/>
          <w:highlight w:val="none"/>
          <w:u w:val="single"/>
        </w:rPr>
        <w:t xml:space="preserve">                                      </w:t>
      </w:r>
      <w:r>
        <w:rPr>
          <w:rFonts w:hint="eastAsia" w:ascii="宋体" w:hAnsi="宋体" w:cs="宋体"/>
          <w:color w:val="auto"/>
          <w:spacing w:val="20"/>
          <w:sz w:val="24"/>
          <w:highlight w:val="none"/>
          <w:u w:val="single"/>
          <w:lang w:val="zh-CN"/>
        </w:rPr>
        <w:t>等</w:t>
      </w:r>
      <w:r>
        <w:rPr>
          <w:rFonts w:hint="eastAsia" w:ascii="宋体" w:hAnsi="宋体" w:cs="宋体"/>
          <w:color w:val="auto"/>
          <w:spacing w:val="20"/>
          <w:sz w:val="24"/>
          <w:highlight w:val="none"/>
          <w:u w:val="single"/>
        </w:rPr>
        <w:t>。</w:t>
      </w:r>
    </w:p>
    <w:p w14:paraId="7FE9864A">
      <w:pPr>
        <w:adjustRightInd w:val="0"/>
        <w:snapToGrid w:val="0"/>
        <w:spacing w:line="360" w:lineRule="auto"/>
        <w:ind w:firstLine="548" w:firstLineChars="196"/>
        <w:outlineLvl w:val="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6. 工程承包范围：</w:t>
      </w:r>
      <w:r>
        <w:rPr>
          <w:rFonts w:hint="eastAsia" w:ascii="宋体" w:hAnsi="宋体" w:cs="宋体"/>
          <w:color w:val="auto"/>
          <w:spacing w:val="20"/>
          <w:sz w:val="24"/>
          <w:highlight w:val="none"/>
          <w:u w:val="single"/>
        </w:rPr>
        <w:t xml:space="preserve"> 详见工程量清单所包含内容 </w:t>
      </w:r>
      <w:r>
        <w:rPr>
          <w:rFonts w:hint="eastAsia" w:ascii="宋体" w:hAnsi="宋体" w:cs="宋体"/>
          <w:color w:val="auto"/>
          <w:spacing w:val="20"/>
          <w:sz w:val="24"/>
          <w:highlight w:val="none"/>
        </w:rPr>
        <w:t>。</w:t>
      </w:r>
    </w:p>
    <w:p w14:paraId="5C9FC950">
      <w:pPr>
        <w:adjustRightInd w:val="0"/>
        <w:snapToGrid w:val="0"/>
        <w:spacing w:line="360" w:lineRule="auto"/>
        <w:ind w:firstLine="542" w:firstLineChars="193"/>
        <w:outlineLvl w:val="0"/>
        <w:rPr>
          <w:rFonts w:hint="eastAsia" w:ascii="宋体" w:hAnsi="宋体" w:cs="宋体"/>
          <w:b/>
          <w:bCs/>
          <w:color w:val="auto"/>
          <w:spacing w:val="20"/>
          <w:sz w:val="24"/>
          <w:highlight w:val="none"/>
        </w:rPr>
      </w:pPr>
      <w:bookmarkStart w:id="87" w:name="_Toc351203482"/>
      <w:r>
        <w:rPr>
          <w:rFonts w:hint="eastAsia" w:ascii="宋体" w:hAnsi="宋体" w:cs="宋体"/>
          <w:b/>
          <w:bCs/>
          <w:color w:val="auto"/>
          <w:spacing w:val="20"/>
          <w:sz w:val="24"/>
          <w:highlight w:val="none"/>
        </w:rPr>
        <w:t>二、合同工期</w:t>
      </w:r>
      <w:bookmarkEnd w:id="87"/>
    </w:p>
    <w:p w14:paraId="5EAA249D">
      <w:pPr>
        <w:adjustRightInd w:val="0"/>
        <w:snapToGrid w:val="0"/>
        <w:spacing w:line="360" w:lineRule="auto"/>
        <w:ind w:firstLine="459"/>
        <w:rPr>
          <w:rFonts w:hint="eastAsia" w:ascii="宋体" w:hAnsi="宋体" w:cs="宋体"/>
          <w:color w:val="auto"/>
          <w:spacing w:val="20"/>
          <w:sz w:val="24"/>
          <w:highlight w:val="none"/>
        </w:rPr>
      </w:pPr>
      <w:r>
        <w:rPr>
          <w:rFonts w:hint="eastAsia" w:ascii="宋体" w:hAnsi="宋体" w:cs="宋体"/>
          <w:color w:val="auto"/>
          <w:spacing w:val="20"/>
          <w:sz w:val="24"/>
          <w:highlight w:val="none"/>
        </w:rPr>
        <w:t>计划开工日期：</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年</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月</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日。（具体以开工令为准）</w:t>
      </w:r>
    </w:p>
    <w:p w14:paraId="69BCD9BB">
      <w:pPr>
        <w:adjustRightInd w:val="0"/>
        <w:snapToGrid w:val="0"/>
        <w:spacing w:line="360" w:lineRule="auto"/>
        <w:ind w:firstLine="459"/>
        <w:rPr>
          <w:rFonts w:hint="eastAsia" w:ascii="宋体" w:hAnsi="宋体" w:cs="宋体"/>
          <w:color w:val="auto"/>
          <w:spacing w:val="20"/>
          <w:sz w:val="24"/>
          <w:highlight w:val="none"/>
        </w:rPr>
      </w:pPr>
      <w:r>
        <w:rPr>
          <w:rFonts w:hint="eastAsia" w:ascii="宋体" w:hAnsi="宋体" w:cs="宋体"/>
          <w:color w:val="auto"/>
          <w:spacing w:val="20"/>
          <w:sz w:val="24"/>
          <w:highlight w:val="none"/>
        </w:rPr>
        <w:t>计划竣工日期：</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年</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月</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日。</w:t>
      </w:r>
    </w:p>
    <w:p w14:paraId="03639750">
      <w:pPr>
        <w:adjustRightInd w:val="0"/>
        <w:snapToGrid w:val="0"/>
        <w:spacing w:line="360" w:lineRule="auto"/>
        <w:ind w:firstLine="459"/>
        <w:rPr>
          <w:rFonts w:hint="eastAsia" w:ascii="宋体" w:hAnsi="宋体" w:cs="宋体"/>
          <w:color w:val="auto"/>
          <w:spacing w:val="20"/>
          <w:sz w:val="24"/>
          <w:highlight w:val="none"/>
        </w:rPr>
      </w:pPr>
      <w:r>
        <w:rPr>
          <w:rFonts w:hint="eastAsia" w:ascii="宋体" w:hAnsi="宋体" w:cs="宋体"/>
          <w:color w:val="auto"/>
          <w:spacing w:val="20"/>
          <w:sz w:val="24"/>
          <w:highlight w:val="none"/>
        </w:rPr>
        <w:t>工期总日历天数：</w:t>
      </w:r>
      <w:r>
        <w:rPr>
          <w:rFonts w:hint="eastAsia" w:ascii="宋体" w:hAnsi="宋体" w:cs="宋体"/>
          <w:b/>
          <w:bCs/>
          <w:color w:val="auto"/>
          <w:spacing w:val="20"/>
          <w:sz w:val="24"/>
          <w:highlight w:val="none"/>
          <w:u w:val="single"/>
        </w:rPr>
        <w:t xml:space="preserve">     </w:t>
      </w:r>
      <w:r>
        <w:rPr>
          <w:rFonts w:hint="eastAsia" w:ascii="宋体" w:hAnsi="宋体" w:cs="宋体"/>
          <w:color w:val="auto"/>
          <w:spacing w:val="20"/>
          <w:sz w:val="24"/>
          <w:highlight w:val="none"/>
        </w:rPr>
        <w:t>天。工期总日历天数与根据前述计划开竣工日期计算的工期天数不一致的，以工期总日历天数为准。</w:t>
      </w:r>
    </w:p>
    <w:p w14:paraId="2319F181">
      <w:pPr>
        <w:adjustRightInd w:val="0"/>
        <w:snapToGrid w:val="0"/>
        <w:spacing w:line="360" w:lineRule="auto"/>
        <w:ind w:firstLine="459"/>
        <w:outlineLvl w:val="0"/>
        <w:rPr>
          <w:rFonts w:hint="eastAsia" w:ascii="宋体" w:hAnsi="宋体" w:cs="宋体"/>
          <w:b/>
          <w:bCs/>
          <w:color w:val="auto"/>
          <w:spacing w:val="20"/>
          <w:sz w:val="24"/>
          <w:highlight w:val="none"/>
        </w:rPr>
      </w:pPr>
      <w:bookmarkStart w:id="88" w:name="_Toc351203483"/>
      <w:r>
        <w:rPr>
          <w:rFonts w:hint="eastAsia" w:ascii="宋体" w:hAnsi="宋体" w:cs="宋体"/>
          <w:b/>
          <w:bCs/>
          <w:color w:val="auto"/>
          <w:spacing w:val="20"/>
          <w:sz w:val="24"/>
          <w:highlight w:val="none"/>
        </w:rPr>
        <w:t>三、质量标准</w:t>
      </w:r>
      <w:bookmarkEnd w:id="88"/>
    </w:p>
    <w:p w14:paraId="5A80B4E9">
      <w:pPr>
        <w:adjustRightInd w:val="0"/>
        <w:snapToGrid w:val="0"/>
        <w:spacing w:line="360" w:lineRule="auto"/>
        <w:ind w:firstLine="459"/>
        <w:rPr>
          <w:rFonts w:hint="eastAsia" w:ascii="宋体" w:hAnsi="宋体" w:cs="宋体"/>
          <w:color w:val="auto"/>
          <w:spacing w:val="20"/>
          <w:sz w:val="24"/>
          <w:highlight w:val="none"/>
        </w:rPr>
      </w:pPr>
      <w:r>
        <w:rPr>
          <w:rFonts w:hint="eastAsia" w:ascii="宋体" w:hAnsi="宋体" w:cs="宋体"/>
          <w:color w:val="auto"/>
          <w:spacing w:val="20"/>
          <w:sz w:val="24"/>
          <w:highlight w:val="none"/>
        </w:rPr>
        <w:t>工程质量符合</w:t>
      </w:r>
      <w:r>
        <w:rPr>
          <w:rFonts w:hint="eastAsia" w:ascii="宋体" w:hAnsi="宋体" w:cs="宋体"/>
          <w:color w:val="auto"/>
          <w:spacing w:val="20"/>
          <w:sz w:val="24"/>
          <w:highlight w:val="none"/>
          <w:u w:val="single"/>
        </w:rPr>
        <w:t>《工程施工质量验收规范》合格</w:t>
      </w:r>
      <w:r>
        <w:rPr>
          <w:rFonts w:hint="eastAsia" w:ascii="宋体" w:hAnsi="宋体" w:cs="宋体"/>
          <w:color w:val="auto"/>
          <w:spacing w:val="20"/>
          <w:sz w:val="24"/>
          <w:highlight w:val="none"/>
        </w:rPr>
        <w:t>标准。</w:t>
      </w:r>
    </w:p>
    <w:p w14:paraId="71A26229">
      <w:pPr>
        <w:adjustRightInd w:val="0"/>
        <w:snapToGrid w:val="0"/>
        <w:spacing w:line="360" w:lineRule="auto"/>
        <w:ind w:firstLine="459"/>
        <w:outlineLvl w:val="0"/>
        <w:rPr>
          <w:rFonts w:hint="eastAsia" w:ascii="宋体" w:hAnsi="宋体" w:cs="宋体"/>
          <w:b/>
          <w:bCs/>
          <w:color w:val="auto"/>
          <w:spacing w:val="20"/>
          <w:sz w:val="24"/>
          <w:highlight w:val="none"/>
        </w:rPr>
      </w:pPr>
      <w:bookmarkStart w:id="89" w:name="_Toc351203484"/>
      <w:r>
        <w:rPr>
          <w:rFonts w:hint="eastAsia" w:ascii="宋体" w:hAnsi="宋体" w:cs="宋体"/>
          <w:b/>
          <w:bCs/>
          <w:color w:val="auto"/>
          <w:spacing w:val="20"/>
          <w:sz w:val="24"/>
          <w:highlight w:val="none"/>
        </w:rPr>
        <w:t>四、签约合同价与合同价格形式</w:t>
      </w:r>
      <w:bookmarkEnd w:id="89"/>
    </w:p>
    <w:p w14:paraId="77B5D8D6">
      <w:pPr>
        <w:adjustRightInd w:val="0"/>
        <w:snapToGrid w:val="0"/>
        <w:spacing w:line="360" w:lineRule="auto"/>
        <w:ind w:firstLine="459"/>
        <w:rPr>
          <w:rFonts w:hint="eastAsia" w:ascii="宋体" w:hAnsi="宋体" w:cs="宋体"/>
          <w:color w:val="auto"/>
          <w:spacing w:val="20"/>
          <w:sz w:val="24"/>
          <w:highlight w:val="none"/>
        </w:rPr>
      </w:pPr>
      <w:r>
        <w:rPr>
          <w:rFonts w:hint="eastAsia" w:ascii="宋体" w:hAnsi="宋体" w:cs="宋体"/>
          <w:color w:val="auto"/>
          <w:spacing w:val="20"/>
          <w:sz w:val="24"/>
          <w:highlight w:val="none"/>
        </w:rPr>
        <w:t>1. 签约合同价为：</w:t>
      </w:r>
    </w:p>
    <w:p w14:paraId="1F5682AD">
      <w:pPr>
        <w:adjustRightInd w:val="0"/>
        <w:snapToGrid w:val="0"/>
        <w:spacing w:line="360" w:lineRule="auto"/>
        <w:ind w:firstLine="560" w:firstLineChars="200"/>
        <w:rPr>
          <w:rFonts w:hint="eastAsia" w:ascii="宋体" w:hAnsi="宋体" w:cs="宋体"/>
          <w:color w:val="auto"/>
          <w:spacing w:val="20"/>
          <w:sz w:val="24"/>
          <w:highlight w:val="none"/>
        </w:rPr>
      </w:pPr>
      <w:r>
        <w:rPr>
          <w:rFonts w:hint="eastAsia" w:ascii="宋体" w:hAnsi="宋体" w:cs="宋体"/>
          <w:color w:val="auto"/>
          <w:spacing w:val="20"/>
          <w:sz w:val="24"/>
          <w:highlight w:val="none"/>
        </w:rPr>
        <w:t>人民币（大写：</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w:t>
      </w:r>
    </w:p>
    <w:p w14:paraId="28278170">
      <w:pPr>
        <w:adjustRightInd w:val="0"/>
        <w:snapToGrid w:val="0"/>
        <w:spacing w:line="360" w:lineRule="auto"/>
        <w:ind w:firstLine="560" w:firstLineChars="200"/>
        <w:rPr>
          <w:rFonts w:hint="eastAsia" w:ascii="宋体" w:hAnsi="宋体" w:cs="宋体"/>
          <w:color w:val="auto"/>
          <w:spacing w:val="20"/>
          <w:sz w:val="24"/>
          <w:highlight w:val="none"/>
        </w:rPr>
      </w:pPr>
      <w:r>
        <w:rPr>
          <w:rFonts w:hint="eastAsia" w:ascii="宋体" w:hAnsi="宋体" w:cs="宋体"/>
          <w:color w:val="auto"/>
          <w:spacing w:val="20"/>
          <w:sz w:val="24"/>
          <w:highlight w:val="none"/>
        </w:rPr>
        <w:t>最终执行：如果结算审计价高于合同的按合同价执行，如果低于合同价的按审计价执行。</w:t>
      </w:r>
    </w:p>
    <w:p w14:paraId="6AECBB2C">
      <w:pPr>
        <w:adjustRightInd w:val="0"/>
        <w:snapToGrid w:val="0"/>
        <w:spacing w:line="360" w:lineRule="auto"/>
        <w:ind w:firstLine="560" w:firstLineChars="200"/>
        <w:rPr>
          <w:rFonts w:hint="eastAsia" w:ascii="宋体" w:hAnsi="宋体" w:cs="宋体"/>
          <w:color w:val="auto"/>
          <w:spacing w:val="20"/>
          <w:sz w:val="24"/>
          <w:highlight w:val="none"/>
        </w:rPr>
      </w:pPr>
      <w:r>
        <w:rPr>
          <w:rFonts w:hint="eastAsia" w:ascii="宋体" w:hAnsi="宋体" w:cs="宋体"/>
          <w:color w:val="auto"/>
          <w:spacing w:val="20"/>
          <w:sz w:val="24"/>
          <w:highlight w:val="none"/>
        </w:rPr>
        <w:t>2. 合同价格形式：</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w:t>
      </w:r>
    </w:p>
    <w:p w14:paraId="353F54FD">
      <w:pPr>
        <w:adjustRightInd w:val="0"/>
        <w:snapToGrid w:val="0"/>
        <w:spacing w:line="360" w:lineRule="auto"/>
        <w:ind w:firstLine="562" w:firstLineChars="200"/>
        <w:outlineLvl w:val="0"/>
        <w:rPr>
          <w:rFonts w:hint="eastAsia" w:ascii="宋体" w:hAnsi="宋体" w:cs="宋体"/>
          <w:b/>
          <w:bCs/>
          <w:color w:val="auto"/>
          <w:spacing w:val="20"/>
          <w:sz w:val="24"/>
          <w:highlight w:val="none"/>
        </w:rPr>
      </w:pPr>
      <w:bookmarkStart w:id="90" w:name="_Toc351203485"/>
      <w:r>
        <w:rPr>
          <w:rFonts w:hint="eastAsia" w:ascii="宋体" w:hAnsi="宋体" w:cs="宋体"/>
          <w:b/>
          <w:bCs/>
          <w:color w:val="auto"/>
          <w:spacing w:val="20"/>
          <w:sz w:val="24"/>
          <w:highlight w:val="none"/>
        </w:rPr>
        <w:t>五、</w:t>
      </w:r>
      <w:bookmarkEnd w:id="90"/>
      <w:r>
        <w:rPr>
          <w:rFonts w:hint="eastAsia" w:ascii="宋体" w:hAnsi="宋体" w:cs="宋体"/>
          <w:b/>
          <w:bCs/>
          <w:color w:val="auto"/>
          <w:spacing w:val="20"/>
          <w:sz w:val="24"/>
          <w:highlight w:val="none"/>
        </w:rPr>
        <w:t>项目经理</w:t>
      </w:r>
    </w:p>
    <w:p w14:paraId="59A9DED4">
      <w:pPr>
        <w:adjustRightInd w:val="0"/>
        <w:snapToGrid w:val="0"/>
        <w:spacing w:line="360" w:lineRule="auto"/>
        <w:ind w:firstLine="560" w:firstLineChars="200"/>
        <w:rPr>
          <w:rFonts w:hint="eastAsia" w:ascii="宋体" w:hAnsi="宋体" w:cs="宋体"/>
          <w:color w:val="auto"/>
          <w:spacing w:val="20"/>
          <w:sz w:val="24"/>
          <w:highlight w:val="none"/>
        </w:rPr>
      </w:pPr>
      <w:r>
        <w:rPr>
          <w:rFonts w:hint="eastAsia" w:ascii="宋体" w:hAnsi="宋体" w:cs="宋体"/>
          <w:color w:val="auto"/>
          <w:spacing w:val="20"/>
          <w:sz w:val="24"/>
          <w:highlight w:val="none"/>
        </w:rPr>
        <w:t>承包人项目经理：</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w:t>
      </w:r>
    </w:p>
    <w:p w14:paraId="055D8494">
      <w:pPr>
        <w:adjustRightInd w:val="0"/>
        <w:snapToGrid w:val="0"/>
        <w:spacing w:line="360" w:lineRule="auto"/>
        <w:ind w:firstLine="562" w:firstLineChars="200"/>
        <w:outlineLvl w:val="0"/>
        <w:rPr>
          <w:rFonts w:hint="eastAsia" w:ascii="宋体" w:hAnsi="宋体" w:cs="宋体"/>
          <w:b/>
          <w:bCs/>
          <w:color w:val="auto"/>
          <w:spacing w:val="20"/>
          <w:sz w:val="24"/>
          <w:highlight w:val="none"/>
        </w:rPr>
      </w:pPr>
      <w:bookmarkStart w:id="91" w:name="_Toc351203486"/>
      <w:r>
        <w:rPr>
          <w:rFonts w:hint="eastAsia" w:ascii="宋体" w:hAnsi="宋体" w:cs="宋体"/>
          <w:b/>
          <w:bCs/>
          <w:color w:val="auto"/>
          <w:spacing w:val="20"/>
          <w:sz w:val="24"/>
          <w:highlight w:val="none"/>
        </w:rPr>
        <w:t>六、合同文件构成</w:t>
      </w:r>
      <w:bookmarkEnd w:id="91"/>
    </w:p>
    <w:p w14:paraId="172347B4">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1.本协议书与下列文件一起构成合同文件：</w:t>
      </w:r>
    </w:p>
    <w:p w14:paraId="30306088">
      <w:pPr>
        <w:autoSpaceDE w:val="0"/>
        <w:autoSpaceDN w:val="0"/>
        <w:adjustRightInd w:val="0"/>
        <w:snapToGrid w:val="0"/>
        <w:spacing w:line="360" w:lineRule="auto"/>
        <w:ind w:firstLine="560" w:firstLineChars="200"/>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（1）中标通知书（如有）；</w:t>
      </w:r>
    </w:p>
    <w:p w14:paraId="45F80F1A">
      <w:pPr>
        <w:autoSpaceDE w:val="0"/>
        <w:autoSpaceDN w:val="0"/>
        <w:adjustRightInd w:val="0"/>
        <w:snapToGrid w:val="0"/>
        <w:spacing w:line="360" w:lineRule="auto"/>
        <w:ind w:firstLine="560" w:firstLineChars="200"/>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 xml:space="preserve">（2）投标函及其附录（如有）； </w:t>
      </w:r>
    </w:p>
    <w:p w14:paraId="0010CD41">
      <w:pPr>
        <w:autoSpaceDE w:val="0"/>
        <w:autoSpaceDN w:val="0"/>
        <w:adjustRightInd w:val="0"/>
        <w:snapToGrid w:val="0"/>
        <w:spacing w:line="360" w:lineRule="auto"/>
        <w:ind w:firstLine="560" w:firstLineChars="200"/>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（3）专用合同条款及其附件；</w:t>
      </w:r>
    </w:p>
    <w:p w14:paraId="727BFB88">
      <w:pPr>
        <w:autoSpaceDE w:val="0"/>
        <w:autoSpaceDN w:val="0"/>
        <w:adjustRightInd w:val="0"/>
        <w:snapToGrid w:val="0"/>
        <w:spacing w:line="360" w:lineRule="auto"/>
        <w:ind w:firstLine="560" w:firstLineChars="200"/>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（4）通用合同条款；</w:t>
      </w:r>
    </w:p>
    <w:p w14:paraId="6BE962BD">
      <w:pPr>
        <w:autoSpaceDE w:val="0"/>
        <w:autoSpaceDN w:val="0"/>
        <w:adjustRightInd w:val="0"/>
        <w:snapToGrid w:val="0"/>
        <w:spacing w:line="360" w:lineRule="auto"/>
        <w:ind w:firstLine="560" w:firstLineChars="200"/>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（5）技术标准和要求；</w:t>
      </w:r>
    </w:p>
    <w:p w14:paraId="4909E033">
      <w:pPr>
        <w:autoSpaceDE w:val="0"/>
        <w:autoSpaceDN w:val="0"/>
        <w:adjustRightInd w:val="0"/>
        <w:snapToGrid w:val="0"/>
        <w:spacing w:line="360" w:lineRule="auto"/>
        <w:ind w:firstLine="560" w:firstLineChars="200"/>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 xml:space="preserve">（6）已标价工程量清单或预算书； </w:t>
      </w:r>
    </w:p>
    <w:p w14:paraId="3E1A31CA">
      <w:pPr>
        <w:autoSpaceDE w:val="0"/>
        <w:autoSpaceDN w:val="0"/>
        <w:adjustRightInd w:val="0"/>
        <w:snapToGrid w:val="0"/>
        <w:spacing w:line="360" w:lineRule="auto"/>
        <w:ind w:firstLine="560" w:firstLineChars="200"/>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（7）图纸；</w:t>
      </w:r>
    </w:p>
    <w:p w14:paraId="6AB34EA8">
      <w:pPr>
        <w:autoSpaceDE w:val="0"/>
        <w:autoSpaceDN w:val="0"/>
        <w:adjustRightInd w:val="0"/>
        <w:snapToGrid w:val="0"/>
        <w:spacing w:line="360" w:lineRule="auto"/>
        <w:ind w:firstLine="560" w:firstLineChars="200"/>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（8）其他合同文件。</w:t>
      </w:r>
    </w:p>
    <w:p w14:paraId="28B6D8A3">
      <w:pPr>
        <w:autoSpaceDE w:val="0"/>
        <w:autoSpaceDN w:val="0"/>
        <w:adjustRightInd w:val="0"/>
        <w:snapToGrid w:val="0"/>
        <w:spacing w:line="360" w:lineRule="auto"/>
        <w:ind w:firstLine="560" w:firstLineChars="200"/>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2.双方有关工程的洽商、变更等书面协议或文件视为本合同的组成部分。</w:t>
      </w:r>
    </w:p>
    <w:p w14:paraId="586029AD">
      <w:pPr>
        <w:autoSpaceDE w:val="0"/>
        <w:autoSpaceDN w:val="0"/>
        <w:adjustRightInd w:val="0"/>
        <w:snapToGrid w:val="0"/>
        <w:spacing w:line="360" w:lineRule="auto"/>
        <w:ind w:firstLine="560" w:firstLineChars="200"/>
        <w:jc w:val="left"/>
        <w:rPr>
          <w:rFonts w:hint="eastAsia" w:ascii="宋体" w:hAnsi="宋体" w:cs="宋体"/>
          <w:color w:val="auto"/>
          <w:spacing w:val="20"/>
          <w:sz w:val="24"/>
          <w:highlight w:val="none"/>
        </w:rPr>
      </w:pPr>
      <w:r>
        <w:rPr>
          <w:rFonts w:hint="eastAsia" w:ascii="宋体" w:hAnsi="宋体" w:cs="宋体"/>
          <w:color w:val="auto"/>
          <w:spacing w:val="20"/>
          <w:sz w:val="24"/>
          <w:highlight w:val="none"/>
        </w:rPr>
        <w:t>上述各项合同文件包括合同当事人就该项合同文件所作出的补充和修改，属于同一类内容的文件，应以最新签署的为准。专用合同条款及其附件须经合同当事人签字或盖章。</w:t>
      </w:r>
    </w:p>
    <w:p w14:paraId="5D5A0E6B">
      <w:pPr>
        <w:autoSpaceDE w:val="0"/>
        <w:autoSpaceDN w:val="0"/>
        <w:adjustRightInd w:val="0"/>
        <w:snapToGrid w:val="0"/>
        <w:spacing w:line="360" w:lineRule="auto"/>
        <w:ind w:firstLine="562" w:firstLineChars="200"/>
        <w:jc w:val="left"/>
        <w:outlineLvl w:val="0"/>
        <w:rPr>
          <w:rFonts w:hint="eastAsia" w:ascii="宋体" w:hAnsi="宋体" w:cs="宋体"/>
          <w:b/>
          <w:bCs/>
          <w:color w:val="auto"/>
          <w:spacing w:val="20"/>
          <w:sz w:val="24"/>
          <w:highlight w:val="none"/>
        </w:rPr>
      </w:pPr>
      <w:bookmarkStart w:id="92" w:name="_Toc351203487"/>
      <w:r>
        <w:rPr>
          <w:rFonts w:hint="eastAsia" w:ascii="宋体" w:hAnsi="宋体" w:cs="宋体"/>
          <w:b/>
          <w:bCs/>
          <w:color w:val="auto"/>
          <w:spacing w:val="20"/>
          <w:sz w:val="24"/>
          <w:highlight w:val="none"/>
        </w:rPr>
        <w:t>七、承诺</w:t>
      </w:r>
      <w:bookmarkEnd w:id="92"/>
    </w:p>
    <w:p w14:paraId="33D7BB23">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1. 发包人承诺按照法律规定履行项目审批手续、筹集工程建设资金并按照合同约定的期限和方式支付合同价款。</w:t>
      </w:r>
    </w:p>
    <w:p w14:paraId="30EA42F4">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2. 承包人承诺按照法律规定及合同约定组织完成工程施工，确保工程质量和安全，不进行转包及违法分包，并在缺陷责任期及保修期内承担相应的工程维修责任。</w:t>
      </w:r>
    </w:p>
    <w:p w14:paraId="70700D8E">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3. 发包人和承包人签订的合同，双方理解并承诺不再就同一工程另行签订与合同实质性内容相背离的协议。</w:t>
      </w:r>
      <w:bookmarkStart w:id="93" w:name="_Toc351203488"/>
      <w:r>
        <w:rPr>
          <w:rFonts w:hint="eastAsia" w:ascii="宋体" w:hAnsi="宋体" w:cs="宋体"/>
          <w:bCs/>
          <w:color w:val="auto"/>
          <w:spacing w:val="20"/>
          <w:sz w:val="24"/>
          <w:highlight w:val="none"/>
        </w:rPr>
        <w:t xml:space="preserve">其他未说明的有关管理办法严格按浦政规〔2020〕1号及相关规范执行。比如 </w:t>
      </w:r>
    </w:p>
    <w:p w14:paraId="2AE5B2F3">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1）因勘察原因导致工程的最终结算价超过工程合同价10%以上的，县审计局要及时将审计发现的问题函告县投资项目建设办及县行业行政监管部门，由县行业行政监管部门通报县直单位及各镇（街道）两年内不得委托该勘察单位承领本县政府资金投资工程的勘察业务。</w:t>
      </w:r>
    </w:p>
    <w:p w14:paraId="3FC26C38">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2）因设计单位原因导致工程的最终结算价超过工程合同价10%以上，县审计局要及时将审计发现的问题函告县投资项目建设办及县行业行政监管部门，同县行业行政监管部门通报县直单位及各镇（街道）两年内不得委托该设计单位承领本县政府资金投资工程的设计业务。</w:t>
      </w:r>
    </w:p>
    <w:p w14:paraId="332A94EA">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（3）监理单位弄虚作假、超越权限，导致虚增工程量、多计价款的，不支付监理费，并由县行业行政监管部门给予处罚；给项目业主造成损失的，依法承担经济和法律责任。</w:t>
      </w:r>
    </w:p>
    <w:p w14:paraId="75EC4823">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监理单位一次弄虚作假、超越权限的，由县行业行政监管部门通报全县各镇（街道）、县直单位五年内不得参加本县政府投资项目的监理；造成经济损失的，依法承担赔偿责任；涉嫌犯罪的，依法追究刑事责任。</w:t>
      </w:r>
    </w:p>
    <w:p w14:paraId="2AEF2026">
      <w:pPr>
        <w:adjustRightInd w:val="0"/>
        <w:snapToGrid w:val="0"/>
        <w:spacing w:line="360" w:lineRule="auto"/>
        <w:ind w:firstLine="562" w:firstLineChars="200"/>
        <w:outlineLvl w:val="0"/>
        <w:rPr>
          <w:rFonts w:hint="eastAsia" w:ascii="宋体" w:hAnsi="宋体" w:cs="宋体"/>
          <w:b/>
          <w:bCs/>
          <w:color w:val="auto"/>
          <w:spacing w:val="20"/>
          <w:sz w:val="24"/>
          <w:highlight w:val="none"/>
        </w:rPr>
      </w:pPr>
      <w:r>
        <w:rPr>
          <w:rFonts w:hint="eastAsia" w:ascii="宋体" w:hAnsi="宋体" w:cs="宋体"/>
          <w:b/>
          <w:bCs/>
          <w:color w:val="auto"/>
          <w:spacing w:val="20"/>
          <w:sz w:val="24"/>
          <w:highlight w:val="none"/>
        </w:rPr>
        <w:t>八、词语含义</w:t>
      </w:r>
      <w:bookmarkEnd w:id="93"/>
    </w:p>
    <w:p w14:paraId="3FCEFFFA">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本协议书中词语含义与第二部分通用合同条款中赋予的含义相同。</w:t>
      </w:r>
    </w:p>
    <w:p w14:paraId="66B0D577">
      <w:pPr>
        <w:adjustRightInd w:val="0"/>
        <w:snapToGrid w:val="0"/>
        <w:spacing w:line="360" w:lineRule="auto"/>
        <w:ind w:firstLine="562" w:firstLineChars="200"/>
        <w:outlineLvl w:val="0"/>
        <w:rPr>
          <w:rFonts w:hint="eastAsia" w:ascii="宋体" w:hAnsi="宋体" w:cs="宋体"/>
          <w:b/>
          <w:bCs/>
          <w:color w:val="auto"/>
          <w:spacing w:val="20"/>
          <w:sz w:val="24"/>
          <w:highlight w:val="none"/>
        </w:rPr>
      </w:pPr>
      <w:bookmarkStart w:id="94" w:name="_Toc351203489"/>
      <w:r>
        <w:rPr>
          <w:rFonts w:hint="eastAsia" w:ascii="宋体" w:hAnsi="宋体" w:cs="宋体"/>
          <w:b/>
          <w:bCs/>
          <w:color w:val="auto"/>
          <w:spacing w:val="20"/>
          <w:sz w:val="24"/>
          <w:highlight w:val="none"/>
        </w:rPr>
        <w:t>九、签订时间</w:t>
      </w:r>
      <w:bookmarkEnd w:id="94"/>
    </w:p>
    <w:p w14:paraId="2BB31F91">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本合同于</w:t>
      </w:r>
      <w:r>
        <w:rPr>
          <w:rFonts w:hint="eastAsia" w:ascii="宋体" w:hAnsi="宋体" w:cs="宋体"/>
          <w:bCs/>
          <w:color w:val="auto"/>
          <w:spacing w:val="20"/>
          <w:sz w:val="24"/>
          <w:highlight w:val="none"/>
          <w:u w:val="single"/>
        </w:rPr>
        <w:t xml:space="preserve">      </w:t>
      </w:r>
      <w:r>
        <w:rPr>
          <w:rFonts w:hint="eastAsia" w:ascii="宋体" w:hAnsi="宋体" w:cs="宋体"/>
          <w:bCs/>
          <w:color w:val="auto"/>
          <w:spacing w:val="20"/>
          <w:sz w:val="24"/>
          <w:highlight w:val="none"/>
        </w:rPr>
        <w:t>年</w:t>
      </w:r>
      <w:r>
        <w:rPr>
          <w:rFonts w:hint="eastAsia" w:ascii="宋体" w:hAnsi="宋体" w:cs="宋体"/>
          <w:bCs/>
          <w:color w:val="auto"/>
          <w:spacing w:val="20"/>
          <w:sz w:val="24"/>
          <w:highlight w:val="none"/>
          <w:u w:val="single"/>
        </w:rPr>
        <w:t xml:space="preserve">    </w:t>
      </w:r>
      <w:r>
        <w:rPr>
          <w:rFonts w:hint="eastAsia" w:ascii="宋体" w:hAnsi="宋体" w:cs="宋体"/>
          <w:bCs/>
          <w:color w:val="auto"/>
          <w:spacing w:val="20"/>
          <w:sz w:val="24"/>
          <w:highlight w:val="none"/>
        </w:rPr>
        <w:t>月</w:t>
      </w:r>
      <w:r>
        <w:rPr>
          <w:rFonts w:hint="eastAsia" w:ascii="宋体" w:hAnsi="宋体" w:cs="宋体"/>
          <w:bCs/>
          <w:color w:val="auto"/>
          <w:spacing w:val="20"/>
          <w:sz w:val="24"/>
          <w:highlight w:val="none"/>
          <w:u w:val="single"/>
        </w:rPr>
        <w:t xml:space="preserve">    </w:t>
      </w:r>
      <w:r>
        <w:rPr>
          <w:rFonts w:hint="eastAsia" w:ascii="宋体" w:hAnsi="宋体" w:cs="宋体"/>
          <w:bCs/>
          <w:color w:val="auto"/>
          <w:spacing w:val="20"/>
          <w:sz w:val="24"/>
          <w:highlight w:val="none"/>
        </w:rPr>
        <w:t>日签订。</w:t>
      </w:r>
    </w:p>
    <w:p w14:paraId="70E8B498">
      <w:pPr>
        <w:adjustRightInd w:val="0"/>
        <w:snapToGrid w:val="0"/>
        <w:spacing w:line="360" w:lineRule="auto"/>
        <w:ind w:firstLine="562" w:firstLineChars="200"/>
        <w:outlineLvl w:val="0"/>
        <w:rPr>
          <w:rFonts w:hint="eastAsia" w:ascii="宋体" w:hAnsi="宋体" w:cs="宋体"/>
          <w:b/>
          <w:bCs/>
          <w:color w:val="auto"/>
          <w:spacing w:val="20"/>
          <w:sz w:val="24"/>
          <w:highlight w:val="none"/>
        </w:rPr>
      </w:pPr>
      <w:bookmarkStart w:id="95" w:name="_Toc351203490"/>
      <w:r>
        <w:rPr>
          <w:rFonts w:hint="eastAsia" w:ascii="宋体" w:hAnsi="宋体" w:cs="宋体"/>
          <w:b/>
          <w:bCs/>
          <w:color w:val="auto"/>
          <w:spacing w:val="20"/>
          <w:sz w:val="24"/>
          <w:highlight w:val="none"/>
        </w:rPr>
        <w:t>十、签订地点</w:t>
      </w:r>
      <w:bookmarkEnd w:id="95"/>
    </w:p>
    <w:p w14:paraId="4F0CB617">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本合同在</w:t>
      </w:r>
      <w:r>
        <w:rPr>
          <w:rFonts w:hint="eastAsia" w:ascii="宋体" w:hAnsi="宋体" w:cs="宋体"/>
          <w:bCs/>
          <w:color w:val="auto"/>
          <w:spacing w:val="20"/>
          <w:sz w:val="24"/>
          <w:highlight w:val="none"/>
          <w:u w:val="single"/>
        </w:rPr>
        <w:t xml:space="preserve">                    </w:t>
      </w:r>
      <w:r>
        <w:rPr>
          <w:rFonts w:hint="eastAsia" w:ascii="宋体" w:hAnsi="宋体" w:cs="宋体"/>
          <w:bCs/>
          <w:color w:val="auto"/>
          <w:spacing w:val="20"/>
          <w:sz w:val="24"/>
          <w:highlight w:val="none"/>
        </w:rPr>
        <w:t>签订。</w:t>
      </w:r>
    </w:p>
    <w:p w14:paraId="09927251">
      <w:pPr>
        <w:adjustRightInd w:val="0"/>
        <w:snapToGrid w:val="0"/>
        <w:spacing w:line="360" w:lineRule="auto"/>
        <w:ind w:firstLine="562" w:firstLineChars="200"/>
        <w:outlineLvl w:val="0"/>
        <w:rPr>
          <w:rFonts w:hint="eastAsia" w:ascii="宋体" w:hAnsi="宋体" w:cs="宋体"/>
          <w:b/>
          <w:bCs/>
          <w:color w:val="auto"/>
          <w:spacing w:val="20"/>
          <w:sz w:val="24"/>
          <w:highlight w:val="none"/>
        </w:rPr>
      </w:pPr>
      <w:bookmarkStart w:id="96" w:name="_Toc351203491"/>
      <w:r>
        <w:rPr>
          <w:rFonts w:hint="eastAsia" w:ascii="宋体" w:hAnsi="宋体" w:cs="宋体"/>
          <w:b/>
          <w:bCs/>
          <w:color w:val="auto"/>
          <w:spacing w:val="20"/>
          <w:sz w:val="24"/>
          <w:highlight w:val="none"/>
        </w:rPr>
        <w:t>十一、补充协议</w:t>
      </w:r>
      <w:bookmarkEnd w:id="96"/>
    </w:p>
    <w:p w14:paraId="025CF157">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合同未尽事宜，合同当事人另行签订补充协议，补充协议是合同的组成部分。</w:t>
      </w:r>
    </w:p>
    <w:p w14:paraId="48996CAD">
      <w:pPr>
        <w:adjustRightInd w:val="0"/>
        <w:snapToGrid w:val="0"/>
        <w:spacing w:line="360" w:lineRule="auto"/>
        <w:ind w:firstLine="562" w:firstLineChars="200"/>
        <w:outlineLvl w:val="0"/>
        <w:rPr>
          <w:rFonts w:hint="eastAsia" w:ascii="宋体" w:hAnsi="宋体" w:cs="宋体"/>
          <w:b/>
          <w:bCs/>
          <w:color w:val="auto"/>
          <w:spacing w:val="20"/>
          <w:sz w:val="24"/>
          <w:highlight w:val="none"/>
        </w:rPr>
      </w:pPr>
      <w:bookmarkStart w:id="97" w:name="_Toc351203492"/>
      <w:r>
        <w:rPr>
          <w:rFonts w:hint="eastAsia" w:ascii="宋体" w:hAnsi="宋体" w:cs="宋体"/>
          <w:b/>
          <w:bCs/>
          <w:color w:val="auto"/>
          <w:spacing w:val="20"/>
          <w:sz w:val="24"/>
          <w:highlight w:val="none"/>
        </w:rPr>
        <w:t>十二、合同生效</w:t>
      </w:r>
      <w:bookmarkEnd w:id="97"/>
    </w:p>
    <w:p w14:paraId="7726089B">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本合同自</w:t>
      </w:r>
      <w:r>
        <w:rPr>
          <w:rFonts w:hint="eastAsia" w:ascii="宋体" w:hAnsi="宋体" w:cs="宋体"/>
          <w:bCs/>
          <w:color w:val="auto"/>
          <w:spacing w:val="20"/>
          <w:sz w:val="24"/>
          <w:highlight w:val="none"/>
          <w:u w:val="single"/>
        </w:rPr>
        <w:t xml:space="preserve"> 双方法定代表人或其授权代理人签字并加盖单位公章之日起 </w:t>
      </w:r>
      <w:r>
        <w:rPr>
          <w:rFonts w:hint="eastAsia" w:ascii="宋体" w:hAnsi="宋体" w:cs="宋体"/>
          <w:bCs/>
          <w:color w:val="auto"/>
          <w:spacing w:val="20"/>
          <w:sz w:val="24"/>
          <w:highlight w:val="none"/>
        </w:rPr>
        <w:t>生效。</w:t>
      </w:r>
    </w:p>
    <w:p w14:paraId="13DB52FB">
      <w:pPr>
        <w:adjustRightInd w:val="0"/>
        <w:snapToGrid w:val="0"/>
        <w:spacing w:line="360" w:lineRule="auto"/>
        <w:ind w:firstLine="562" w:firstLineChars="200"/>
        <w:outlineLvl w:val="0"/>
        <w:rPr>
          <w:rFonts w:hint="eastAsia" w:ascii="宋体" w:hAnsi="宋体" w:cs="宋体"/>
          <w:b/>
          <w:bCs/>
          <w:color w:val="auto"/>
          <w:spacing w:val="20"/>
          <w:sz w:val="24"/>
          <w:highlight w:val="none"/>
        </w:rPr>
      </w:pPr>
      <w:bookmarkStart w:id="98" w:name="_Toc351203493"/>
      <w:r>
        <w:rPr>
          <w:rFonts w:hint="eastAsia" w:ascii="宋体" w:hAnsi="宋体" w:cs="宋体"/>
          <w:b/>
          <w:bCs/>
          <w:color w:val="auto"/>
          <w:spacing w:val="20"/>
          <w:sz w:val="24"/>
          <w:highlight w:val="none"/>
        </w:rPr>
        <w:t>十三、合同份数</w:t>
      </w:r>
      <w:bookmarkEnd w:id="98"/>
    </w:p>
    <w:p w14:paraId="07A5135C">
      <w:pPr>
        <w:adjustRightInd w:val="0"/>
        <w:snapToGrid w:val="0"/>
        <w:spacing w:line="360" w:lineRule="auto"/>
        <w:ind w:firstLine="560" w:firstLineChars="200"/>
        <w:rPr>
          <w:rFonts w:hint="eastAsia" w:ascii="宋体" w:hAnsi="宋体" w:cs="宋体"/>
          <w:bCs/>
          <w:color w:val="auto"/>
          <w:spacing w:val="20"/>
          <w:sz w:val="24"/>
          <w:highlight w:val="none"/>
        </w:rPr>
      </w:pPr>
      <w:r>
        <w:rPr>
          <w:rFonts w:hint="eastAsia" w:ascii="宋体" w:hAnsi="宋体" w:cs="宋体"/>
          <w:bCs/>
          <w:color w:val="auto"/>
          <w:spacing w:val="20"/>
          <w:sz w:val="24"/>
          <w:highlight w:val="none"/>
        </w:rPr>
        <w:t>本合同一式</w:t>
      </w:r>
      <w:r>
        <w:rPr>
          <w:rFonts w:hint="eastAsia" w:ascii="宋体" w:hAnsi="宋体" w:cs="宋体"/>
          <w:bCs/>
          <w:color w:val="auto"/>
          <w:spacing w:val="20"/>
          <w:sz w:val="24"/>
          <w:highlight w:val="none"/>
          <w:u w:val="single"/>
        </w:rPr>
        <w:t xml:space="preserve"> 六 </w:t>
      </w:r>
      <w:r>
        <w:rPr>
          <w:rFonts w:hint="eastAsia" w:ascii="宋体" w:hAnsi="宋体" w:cs="宋体"/>
          <w:bCs/>
          <w:color w:val="auto"/>
          <w:spacing w:val="20"/>
          <w:sz w:val="24"/>
          <w:highlight w:val="none"/>
        </w:rPr>
        <w:t>份，均具有同等法律效力，发包人执</w:t>
      </w:r>
      <w:r>
        <w:rPr>
          <w:rFonts w:hint="eastAsia" w:ascii="宋体" w:hAnsi="宋体" w:cs="宋体"/>
          <w:bCs/>
          <w:color w:val="auto"/>
          <w:spacing w:val="20"/>
          <w:sz w:val="24"/>
          <w:highlight w:val="none"/>
          <w:u w:val="single"/>
        </w:rPr>
        <w:t xml:space="preserve"> 三 </w:t>
      </w:r>
      <w:r>
        <w:rPr>
          <w:rFonts w:hint="eastAsia" w:ascii="宋体" w:hAnsi="宋体" w:cs="宋体"/>
          <w:bCs/>
          <w:color w:val="auto"/>
          <w:spacing w:val="20"/>
          <w:sz w:val="24"/>
          <w:highlight w:val="none"/>
        </w:rPr>
        <w:t>份，承包人执</w:t>
      </w:r>
      <w:r>
        <w:rPr>
          <w:rFonts w:hint="eastAsia" w:ascii="宋体" w:hAnsi="宋体" w:cs="宋体"/>
          <w:bCs/>
          <w:color w:val="auto"/>
          <w:spacing w:val="20"/>
          <w:sz w:val="24"/>
          <w:highlight w:val="none"/>
          <w:u w:val="single"/>
        </w:rPr>
        <w:t xml:space="preserve"> 三 </w:t>
      </w:r>
      <w:r>
        <w:rPr>
          <w:rFonts w:hint="eastAsia" w:ascii="宋体" w:hAnsi="宋体" w:cs="宋体"/>
          <w:bCs/>
          <w:color w:val="auto"/>
          <w:spacing w:val="20"/>
          <w:sz w:val="24"/>
          <w:highlight w:val="none"/>
        </w:rPr>
        <w:t>份。</w:t>
      </w:r>
    </w:p>
    <w:p w14:paraId="6FE06453">
      <w:pPr>
        <w:adjustRightInd w:val="0"/>
        <w:snapToGrid w:val="0"/>
        <w:spacing w:line="360" w:lineRule="auto"/>
        <w:rPr>
          <w:rFonts w:hint="eastAsia" w:ascii="宋体" w:hAnsi="宋体" w:cs="宋体"/>
          <w:bCs/>
          <w:color w:val="auto"/>
          <w:spacing w:val="20"/>
          <w:sz w:val="24"/>
          <w:highlight w:val="none"/>
        </w:rPr>
      </w:pPr>
    </w:p>
    <w:p w14:paraId="0E69CB1D">
      <w:pPr>
        <w:adjustRightInd w:val="0"/>
        <w:snapToGrid w:val="0"/>
        <w:spacing w:line="420" w:lineRule="exact"/>
        <w:rPr>
          <w:rFonts w:hint="eastAsia" w:ascii="宋体" w:hAnsi="宋体" w:cs="宋体"/>
          <w:color w:val="auto"/>
          <w:spacing w:val="20"/>
          <w:sz w:val="24"/>
          <w:highlight w:val="none"/>
        </w:rPr>
      </w:pPr>
      <w:bookmarkStart w:id="99" w:name="_Toc16007"/>
      <w:bookmarkStart w:id="100" w:name="_Toc461982824"/>
      <w:bookmarkStart w:id="101" w:name="_Toc21285"/>
      <w:bookmarkStart w:id="102" w:name="_Toc389065256"/>
      <w:bookmarkStart w:id="103" w:name="_Toc425437329"/>
      <w:bookmarkStart w:id="104" w:name="_Toc439779029"/>
      <w:bookmarkStart w:id="105" w:name="_Toc373227691"/>
      <w:bookmarkStart w:id="106" w:name="_Toc351203632"/>
      <w:bookmarkStart w:id="107" w:name="_Toc373478338"/>
      <w:r>
        <w:rPr>
          <w:rFonts w:hint="eastAsia" w:ascii="宋体" w:hAnsi="宋体" w:cs="宋体"/>
          <w:color w:val="auto"/>
          <w:spacing w:val="20"/>
          <w:sz w:val="24"/>
          <w:highlight w:val="none"/>
        </w:rPr>
        <w:t>发包人：  （公章）              承包人：  （公章）</w:t>
      </w:r>
    </w:p>
    <w:p w14:paraId="573C5EAE">
      <w:pPr>
        <w:adjustRightInd w:val="0"/>
        <w:snapToGrid w:val="0"/>
        <w:spacing w:line="420" w:lineRule="exact"/>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lang w:eastAsia="zh-CN"/>
        </w:rPr>
        <w:t>浦北县江城街道办事处</w:t>
      </w:r>
      <w:r>
        <w:rPr>
          <w:rFonts w:hint="eastAsia" w:ascii="宋体" w:hAnsi="宋体" w:cs="宋体"/>
          <w:color w:val="auto"/>
          <w:spacing w:val="20"/>
          <w:sz w:val="24"/>
          <w:highlight w:val="none"/>
        </w:rPr>
        <w:t xml:space="preserve">                                                                                                </w:t>
      </w:r>
    </w:p>
    <w:p w14:paraId="60DB9A6D">
      <w:pPr>
        <w:adjustRightInd w:val="0"/>
        <w:snapToGrid w:val="0"/>
        <w:spacing w:line="420" w:lineRule="exact"/>
        <w:rPr>
          <w:rFonts w:hint="eastAsia" w:ascii="宋体" w:hAnsi="宋体" w:cs="宋体"/>
          <w:color w:val="auto"/>
          <w:spacing w:val="20"/>
          <w:sz w:val="24"/>
          <w:highlight w:val="none"/>
        </w:rPr>
      </w:pPr>
      <w:r>
        <w:rPr>
          <w:rFonts w:hint="eastAsia" w:ascii="宋体" w:hAnsi="宋体" w:cs="宋体"/>
          <w:color w:val="auto"/>
          <w:spacing w:val="20"/>
          <w:sz w:val="24"/>
          <w:highlight w:val="none"/>
        </w:rPr>
        <w:t>法定代表人：                   法定代表人：</w:t>
      </w:r>
    </w:p>
    <w:p w14:paraId="47A1211C">
      <w:pPr>
        <w:adjustRightInd w:val="0"/>
        <w:snapToGrid w:val="0"/>
        <w:spacing w:line="420" w:lineRule="exact"/>
        <w:rPr>
          <w:rFonts w:hint="eastAsia" w:ascii="宋体" w:hAnsi="宋体" w:cs="宋体"/>
          <w:color w:val="auto"/>
          <w:spacing w:val="20"/>
          <w:sz w:val="24"/>
          <w:highlight w:val="none"/>
        </w:rPr>
      </w:pPr>
      <w:r>
        <w:rPr>
          <w:rFonts w:hint="eastAsia" w:ascii="宋体" w:hAnsi="宋体" w:cs="宋体"/>
          <w:color w:val="auto"/>
          <w:spacing w:val="20"/>
          <w:sz w:val="24"/>
          <w:highlight w:val="none"/>
        </w:rPr>
        <w:t>或其委托代理人：               或其委托代理人：</w:t>
      </w:r>
    </w:p>
    <w:p w14:paraId="4A11242C">
      <w:pPr>
        <w:adjustRightInd w:val="0"/>
        <w:snapToGrid w:val="0"/>
        <w:spacing w:line="420" w:lineRule="exact"/>
        <w:rPr>
          <w:rFonts w:hint="eastAsia" w:ascii="宋体" w:hAnsi="宋体" w:cs="宋体"/>
          <w:color w:val="auto"/>
          <w:spacing w:val="20"/>
          <w:sz w:val="24"/>
          <w:highlight w:val="none"/>
        </w:rPr>
      </w:pPr>
      <w:r>
        <w:rPr>
          <w:rFonts w:hint="eastAsia" w:ascii="宋体" w:hAnsi="宋体" w:cs="宋体"/>
          <w:color w:val="auto"/>
          <w:spacing w:val="20"/>
          <w:sz w:val="24"/>
          <w:highlight w:val="none"/>
        </w:rPr>
        <w:t>地址：</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地址：</w:t>
      </w:r>
      <w:r>
        <w:rPr>
          <w:rFonts w:hint="eastAsia" w:ascii="宋体" w:hAnsi="宋体"/>
          <w:color w:val="auto"/>
          <w:sz w:val="24"/>
          <w:highlight w:val="none"/>
          <w:u w:val="single"/>
        </w:rPr>
        <w:t xml:space="preserve">                       </w:t>
      </w:r>
    </w:p>
    <w:p w14:paraId="3B4C8C9A">
      <w:pPr>
        <w:adjustRightInd w:val="0"/>
        <w:snapToGrid w:val="0"/>
        <w:spacing w:line="420" w:lineRule="exact"/>
        <w:rPr>
          <w:rFonts w:hint="eastAsia" w:ascii="宋体" w:hAnsi="宋体" w:cs="宋体"/>
          <w:color w:val="auto"/>
          <w:spacing w:val="20"/>
          <w:sz w:val="24"/>
          <w:highlight w:val="none"/>
        </w:rPr>
      </w:pPr>
      <w:r>
        <w:rPr>
          <w:rFonts w:hint="eastAsia" w:ascii="宋体" w:hAnsi="宋体" w:cs="宋体"/>
          <w:color w:val="auto"/>
          <w:spacing w:val="20"/>
          <w:sz w:val="24"/>
          <w:highlight w:val="none"/>
        </w:rPr>
        <w:t>邮政编码：</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邮政编码：</w:t>
      </w:r>
      <w:r>
        <w:rPr>
          <w:rFonts w:hint="eastAsia" w:ascii="宋体" w:hAnsi="宋体" w:cs="宋体"/>
          <w:color w:val="auto"/>
          <w:spacing w:val="20"/>
          <w:sz w:val="24"/>
          <w:highlight w:val="none"/>
          <w:u w:val="single"/>
        </w:rPr>
        <w:t xml:space="preserve">               </w:t>
      </w:r>
    </w:p>
    <w:p w14:paraId="1EADFE63">
      <w:pPr>
        <w:adjustRightInd w:val="0"/>
        <w:snapToGrid w:val="0"/>
        <w:spacing w:line="420" w:lineRule="exact"/>
        <w:rPr>
          <w:rFonts w:hint="eastAsia" w:ascii="宋体" w:hAnsi="宋体" w:cs="宋体"/>
          <w:color w:val="auto"/>
          <w:spacing w:val="20"/>
          <w:sz w:val="24"/>
          <w:highlight w:val="none"/>
        </w:rPr>
      </w:pPr>
      <w:r>
        <w:rPr>
          <w:rFonts w:hint="eastAsia" w:ascii="宋体" w:hAnsi="宋体" w:cs="宋体"/>
          <w:color w:val="auto"/>
          <w:spacing w:val="20"/>
          <w:sz w:val="24"/>
          <w:highlight w:val="none"/>
        </w:rPr>
        <w:t>电话（传真）：</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电话（传真）：</w:t>
      </w:r>
      <w:r>
        <w:rPr>
          <w:rFonts w:hint="eastAsia" w:ascii="宋体" w:hAnsi="宋体" w:cs="宋体"/>
          <w:color w:val="auto"/>
          <w:spacing w:val="20"/>
          <w:sz w:val="24"/>
          <w:highlight w:val="none"/>
          <w:u w:val="single"/>
        </w:rPr>
        <w:t xml:space="preserve">             </w:t>
      </w:r>
    </w:p>
    <w:p w14:paraId="3197BBA8">
      <w:pPr>
        <w:adjustRightInd w:val="0"/>
        <w:snapToGrid w:val="0"/>
        <w:spacing w:line="420" w:lineRule="exact"/>
        <w:rPr>
          <w:rFonts w:hint="eastAsia" w:ascii="宋体" w:hAnsi="宋体" w:cs="宋体"/>
          <w:color w:val="auto"/>
          <w:spacing w:val="20"/>
          <w:sz w:val="24"/>
          <w:highlight w:val="none"/>
        </w:rPr>
      </w:pPr>
      <w:r>
        <w:rPr>
          <w:rFonts w:hint="eastAsia" w:ascii="宋体" w:hAnsi="宋体" w:cs="宋体"/>
          <w:color w:val="auto"/>
          <w:spacing w:val="20"/>
          <w:sz w:val="24"/>
          <w:highlight w:val="none"/>
        </w:rPr>
        <w:t>开户银行：</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开户银行：</w:t>
      </w:r>
      <w:r>
        <w:rPr>
          <w:rFonts w:hint="eastAsia" w:ascii="宋体" w:hAnsi="宋体"/>
          <w:color w:val="auto"/>
          <w:sz w:val="24"/>
          <w:highlight w:val="none"/>
          <w:u w:val="single"/>
        </w:rPr>
        <w:t xml:space="preserve">                      </w:t>
      </w:r>
    </w:p>
    <w:p w14:paraId="01389027">
      <w:pPr>
        <w:adjustRightInd w:val="0"/>
        <w:snapToGrid w:val="0"/>
        <w:spacing w:line="420" w:lineRule="exact"/>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账 号：</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账 号：</w:t>
      </w:r>
      <w:r>
        <w:rPr>
          <w:rFonts w:hint="eastAsia" w:ascii="宋体" w:hAnsi="宋体"/>
          <w:color w:val="auto"/>
          <w:sz w:val="24"/>
          <w:highlight w:val="none"/>
          <w:u w:val="single"/>
        </w:rPr>
        <w:t xml:space="preserve">                     </w:t>
      </w:r>
      <w:r>
        <w:rPr>
          <w:rFonts w:hint="eastAsia" w:ascii="宋体" w:hAnsi="宋体" w:cs="宋体"/>
          <w:color w:val="auto"/>
          <w:spacing w:val="20"/>
          <w:szCs w:val="21"/>
          <w:highlight w:val="none"/>
          <w:u w:val="single"/>
        </w:rPr>
        <w:t xml:space="preserve"> </w:t>
      </w:r>
      <w:r>
        <w:rPr>
          <w:rFonts w:hint="eastAsia" w:ascii="宋体" w:hAnsi="宋体" w:cs="宋体"/>
          <w:color w:val="auto"/>
          <w:spacing w:val="20"/>
          <w:sz w:val="24"/>
          <w:highlight w:val="none"/>
          <w:u w:val="single"/>
        </w:rPr>
        <w:t xml:space="preserve"> </w:t>
      </w:r>
    </w:p>
    <w:p w14:paraId="27110FDD">
      <w:pPr>
        <w:pStyle w:val="4"/>
        <w:keepNext w:val="0"/>
        <w:keepLines w:val="0"/>
        <w:spacing w:line="312" w:lineRule="auto"/>
        <w:jc w:val="center"/>
        <w:rPr>
          <w:rFonts w:hint="eastAsia" w:ascii="宋体" w:hAnsi="宋体" w:cs="宋体"/>
          <w:color w:val="auto"/>
          <w:spacing w:val="20"/>
          <w:szCs w:val="32"/>
          <w:highlight w:val="none"/>
        </w:rPr>
      </w:pPr>
    </w:p>
    <w:p w14:paraId="4975452A">
      <w:pPr>
        <w:rPr>
          <w:rFonts w:hint="eastAsia" w:ascii="宋体" w:hAnsi="宋体" w:cs="宋体"/>
          <w:color w:val="auto"/>
          <w:spacing w:val="20"/>
          <w:szCs w:val="32"/>
          <w:highlight w:val="none"/>
        </w:rPr>
      </w:pPr>
    </w:p>
    <w:p w14:paraId="5F136759">
      <w:pPr>
        <w:rPr>
          <w:rFonts w:hint="eastAsia" w:ascii="宋体" w:hAnsi="宋体" w:cs="宋体"/>
          <w:color w:val="auto"/>
          <w:spacing w:val="20"/>
          <w:szCs w:val="32"/>
          <w:highlight w:val="none"/>
        </w:rPr>
      </w:pPr>
    </w:p>
    <w:p w14:paraId="06E16EA6">
      <w:pPr>
        <w:rPr>
          <w:rFonts w:hint="eastAsia" w:ascii="宋体" w:hAnsi="宋体" w:cs="宋体"/>
          <w:color w:val="auto"/>
          <w:spacing w:val="20"/>
          <w:szCs w:val="32"/>
          <w:highlight w:val="none"/>
        </w:rPr>
      </w:pPr>
    </w:p>
    <w:p w14:paraId="0314FC88">
      <w:pPr>
        <w:rPr>
          <w:rFonts w:hint="eastAsia" w:ascii="宋体" w:hAnsi="宋体" w:cs="宋体"/>
          <w:color w:val="auto"/>
          <w:spacing w:val="20"/>
          <w:szCs w:val="32"/>
          <w:highlight w:val="none"/>
        </w:rPr>
      </w:pPr>
    </w:p>
    <w:p w14:paraId="4023374B">
      <w:pPr>
        <w:rPr>
          <w:rFonts w:hint="eastAsia" w:ascii="宋体" w:hAnsi="宋体" w:cs="宋体"/>
          <w:color w:val="auto"/>
          <w:spacing w:val="20"/>
          <w:szCs w:val="32"/>
          <w:highlight w:val="none"/>
        </w:rPr>
      </w:pPr>
    </w:p>
    <w:p w14:paraId="0A9A584F">
      <w:pPr>
        <w:pStyle w:val="4"/>
        <w:keepNext w:val="0"/>
        <w:keepLines w:val="0"/>
        <w:spacing w:line="312" w:lineRule="auto"/>
        <w:jc w:val="center"/>
        <w:rPr>
          <w:rFonts w:hint="eastAsia" w:ascii="宋体" w:hAnsi="宋体" w:cs="宋体"/>
          <w:color w:val="auto"/>
          <w:spacing w:val="20"/>
          <w:szCs w:val="32"/>
          <w:highlight w:val="none"/>
        </w:rPr>
        <w:sectPr>
          <w:headerReference r:id="rId5" w:type="default"/>
          <w:footerReference r:id="rId6" w:type="default"/>
          <w:pgSz w:w="11906" w:h="16838"/>
          <w:pgMar w:top="1440" w:right="1080" w:bottom="1440" w:left="1080" w:header="567" w:footer="567" w:gutter="567"/>
          <w:cols w:space="720" w:num="1"/>
          <w:docGrid w:type="lines" w:linePitch="312" w:charSpace="0"/>
        </w:sectPr>
      </w:pPr>
    </w:p>
    <w:p w14:paraId="585C8DE3">
      <w:pPr>
        <w:pStyle w:val="4"/>
        <w:keepNext w:val="0"/>
        <w:keepLines w:val="0"/>
        <w:spacing w:line="312" w:lineRule="auto"/>
        <w:jc w:val="center"/>
        <w:rPr>
          <w:rFonts w:hint="eastAsia" w:ascii="宋体" w:hAnsi="宋体" w:cs="宋体"/>
          <w:color w:val="auto"/>
          <w:spacing w:val="20"/>
          <w:szCs w:val="32"/>
          <w:highlight w:val="none"/>
        </w:rPr>
      </w:pPr>
      <w:r>
        <w:rPr>
          <w:rFonts w:hint="eastAsia" w:ascii="宋体" w:hAnsi="宋体" w:cs="宋体"/>
          <w:color w:val="auto"/>
          <w:spacing w:val="20"/>
          <w:szCs w:val="32"/>
          <w:highlight w:val="none"/>
        </w:rPr>
        <w:t>第二部分 通用合同条款</w:t>
      </w:r>
      <w:bookmarkEnd w:id="99"/>
      <w:bookmarkEnd w:id="100"/>
      <w:bookmarkEnd w:id="101"/>
      <w:bookmarkEnd w:id="102"/>
      <w:bookmarkEnd w:id="103"/>
      <w:bookmarkEnd w:id="104"/>
    </w:p>
    <w:p w14:paraId="2D393003">
      <w:pPr>
        <w:pStyle w:val="7"/>
        <w:spacing w:before="120" w:after="120" w:line="312" w:lineRule="auto"/>
        <w:rPr>
          <w:rFonts w:hint="eastAsia"/>
          <w:b w:val="0"/>
          <w:color w:val="auto"/>
          <w:sz w:val="24"/>
          <w:szCs w:val="24"/>
          <w:highlight w:val="none"/>
        </w:rPr>
      </w:pPr>
      <w:bookmarkStart w:id="108" w:name="_Toc351203495"/>
      <w:bookmarkStart w:id="109" w:name="_Toc425437330"/>
      <w:bookmarkStart w:id="110" w:name="_Toc439779030"/>
      <w:bookmarkStart w:id="111" w:name="_Toc1320"/>
      <w:bookmarkStart w:id="112" w:name="_Toc389065257"/>
      <w:bookmarkStart w:id="113" w:name="_Toc25546"/>
      <w:bookmarkStart w:id="114" w:name="_Toc461982825"/>
      <w:r>
        <w:rPr>
          <w:rFonts w:hint="eastAsia"/>
          <w:b w:val="0"/>
          <w:color w:val="auto"/>
          <w:sz w:val="24"/>
          <w:szCs w:val="24"/>
          <w:highlight w:val="none"/>
        </w:rPr>
        <w:t>1.</w:t>
      </w:r>
      <w:bookmarkStart w:id="115" w:name="_Toc303538975"/>
      <w:bookmarkEnd w:id="115"/>
      <w:bookmarkStart w:id="116" w:name="_Toc303538972"/>
      <w:bookmarkEnd w:id="116"/>
      <w:bookmarkStart w:id="117" w:name="_Toc303538976"/>
      <w:bookmarkEnd w:id="117"/>
      <w:bookmarkStart w:id="118" w:name="_Toc303538973"/>
      <w:bookmarkEnd w:id="118"/>
      <w:bookmarkStart w:id="119" w:name="_Toc303538974"/>
      <w:bookmarkEnd w:id="119"/>
      <w:bookmarkStart w:id="120" w:name="_Toc296503027"/>
      <w:bookmarkStart w:id="121" w:name="_Toc296346528"/>
      <w:r>
        <w:rPr>
          <w:rFonts w:hint="eastAsia"/>
          <w:b w:val="0"/>
          <w:color w:val="auto"/>
          <w:sz w:val="24"/>
          <w:szCs w:val="24"/>
          <w:highlight w:val="none"/>
        </w:rPr>
        <w:t xml:space="preserve"> 一般约定</w:t>
      </w:r>
      <w:bookmarkEnd w:id="108"/>
      <w:bookmarkEnd w:id="120"/>
      <w:bookmarkEnd w:id="121"/>
    </w:p>
    <w:p w14:paraId="7541184E">
      <w:pPr>
        <w:pStyle w:val="8"/>
        <w:spacing w:before="120" w:after="120" w:line="312" w:lineRule="auto"/>
        <w:ind w:firstLine="480" w:firstLineChars="200"/>
        <w:rPr>
          <w:rFonts w:hint="eastAsia" w:ascii="宋体" w:hAnsi="宋体" w:cs="宋体"/>
          <w:b w:val="0"/>
          <w:color w:val="auto"/>
          <w:sz w:val="24"/>
          <w:szCs w:val="24"/>
          <w:highlight w:val="none"/>
        </w:rPr>
      </w:pPr>
      <w:bookmarkStart w:id="122" w:name="_Toc337558728"/>
      <w:bookmarkStart w:id="123" w:name="_Toc296503028"/>
      <w:bookmarkStart w:id="124" w:name="_Toc296346529"/>
      <w:bookmarkStart w:id="125" w:name="_Toc351203496"/>
      <w:r>
        <w:rPr>
          <w:rFonts w:hint="eastAsia" w:ascii="宋体" w:hAnsi="宋体" w:cs="宋体"/>
          <w:b w:val="0"/>
          <w:color w:val="auto"/>
          <w:sz w:val="24"/>
          <w:szCs w:val="24"/>
          <w:highlight w:val="none"/>
        </w:rPr>
        <w:t>1.1词语定义</w:t>
      </w:r>
      <w:bookmarkEnd w:id="122"/>
      <w:bookmarkEnd w:id="123"/>
      <w:bookmarkEnd w:id="124"/>
      <w:r>
        <w:rPr>
          <w:rFonts w:hint="eastAsia" w:ascii="宋体" w:hAnsi="宋体" w:cs="宋体"/>
          <w:b w:val="0"/>
          <w:color w:val="auto"/>
          <w:sz w:val="24"/>
          <w:szCs w:val="24"/>
          <w:highlight w:val="none"/>
        </w:rPr>
        <w:t>与解释</w:t>
      </w:r>
      <w:bookmarkEnd w:id="125"/>
    </w:p>
    <w:p w14:paraId="5C94A66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合同协议书、通用合同条款、专用合同条款中的下列词语具有本款所赋予的含义：</w:t>
      </w:r>
    </w:p>
    <w:p w14:paraId="6EE25069">
      <w:pPr>
        <w:autoSpaceDE w:val="0"/>
        <w:autoSpaceDN w:val="0"/>
        <w:adjustRightInd w:val="0"/>
        <w:spacing w:line="312"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1.1.1 合同</w:t>
      </w:r>
    </w:p>
    <w:p w14:paraId="7F926A0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1.1.1.1 合同：是指根据法律规定和合同当事人约定具有约束力的文件，构成合同的文件包括合同协议书、中标通知书（如果有）、投标函及其附录（如果有）、专用合同条款</w:t>
      </w:r>
      <w:r>
        <w:rPr>
          <w:rFonts w:hint="eastAsia" w:ascii="宋体" w:hAnsi="宋体" w:cs="宋体"/>
          <w:color w:val="auto"/>
          <w:sz w:val="24"/>
          <w:highlight w:val="none"/>
        </w:rPr>
        <w:t>及其附件</w:t>
      </w:r>
      <w:r>
        <w:rPr>
          <w:rFonts w:hint="eastAsia" w:ascii="宋体" w:hAnsi="宋体" w:cs="宋体"/>
          <w:color w:val="auto"/>
          <w:kern w:val="0"/>
          <w:sz w:val="24"/>
          <w:highlight w:val="none"/>
        </w:rPr>
        <w:t>、通用合同条款、技术标准和要求、图纸、已标价工程量清单或预算书以及其他合同文件。</w:t>
      </w:r>
    </w:p>
    <w:p w14:paraId="147AAA5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1.1.1.2 合同协议书：是指构成合同的由发包人和承包人共同签署的称为“合同协议书”的书面文件。</w:t>
      </w:r>
    </w:p>
    <w:p w14:paraId="7D100C5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1.1.1.3 中标通知书：是指构成合同的由发包人通知承包人中标的书面文件。</w:t>
      </w:r>
    </w:p>
    <w:p w14:paraId="15BCF77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1.1.1.4 投标函：是指构成合同的由承包人填写并签署的用于投标的称为“投标函”的文件。</w:t>
      </w:r>
    </w:p>
    <w:p w14:paraId="704CAE2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1.1.1.5 投标函附录：是指构成合同的附在投标函后的称为“投标函附录”的文件。</w:t>
      </w:r>
    </w:p>
    <w:p w14:paraId="7907899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1.1.1.6 技术标准和要求：是指构成合同的施工应当遵守的或指导施工的国家、行业或地方的技术标准和要求，以及合同约定的技术标准和要求。</w:t>
      </w:r>
    </w:p>
    <w:p w14:paraId="7627620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1.1.1.7 图纸：是指构成合同的图纸，包括由发包人按照合同约定提供或经发包人批准的设计文件、施工图、鸟瞰图及模型等，以及在合同履行过程中形成的图纸文件。图纸应当按照法律规定审查合格。</w:t>
      </w:r>
    </w:p>
    <w:p w14:paraId="698CA186">
      <w:pPr>
        <w:autoSpaceDE w:val="0"/>
        <w:autoSpaceDN w:val="0"/>
        <w:adjustRightInd w:val="0"/>
        <w:spacing w:line="312" w:lineRule="auto"/>
        <w:ind w:firstLine="468" w:firstLineChars="195"/>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1.1.1.8 已标价工程量清单：是指构成合同的由承包人按照规定的格式和要求填写并标明价格的工程量清单，包括说明和表格。</w:t>
      </w:r>
    </w:p>
    <w:p w14:paraId="271178D9">
      <w:pPr>
        <w:autoSpaceDE w:val="0"/>
        <w:autoSpaceDN w:val="0"/>
        <w:adjustRightInd w:val="0"/>
        <w:spacing w:line="312" w:lineRule="auto"/>
        <w:ind w:firstLine="468" w:firstLineChars="195"/>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1.1.1.9 预算书：是指构成合同的由承包人按照发包人规定的格式和要求编制的工程预算文件。</w:t>
      </w:r>
    </w:p>
    <w:p w14:paraId="0899C65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1.1.1.10 其他合同文件：是指经合同当事人约定的与工程施工有关的具有合同约束力的文件或书面协议。合同当事人可以在专用合同条款中进行约定。</w:t>
      </w:r>
    </w:p>
    <w:p w14:paraId="2DC8E70D">
      <w:pPr>
        <w:autoSpaceDE w:val="0"/>
        <w:autoSpaceDN w:val="0"/>
        <w:adjustRightInd w:val="0"/>
        <w:spacing w:line="312"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1.1.2 合同当事人及其他相关方</w:t>
      </w:r>
    </w:p>
    <w:p w14:paraId="0DF2B9A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1.1.2.1 合同当事人：是指发包人和（或）承包人。</w:t>
      </w:r>
    </w:p>
    <w:p w14:paraId="2559CCC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1.1.2.2 发包人：是指与承包人签订合同协议书的当事人及取得该当事人资格的合法继承人。</w:t>
      </w:r>
    </w:p>
    <w:p w14:paraId="1E14A87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1.1.2.3 承包人：是指与发包人签订合同协议书的，具有相应工程施工承包资质的当事人及取得该当事人资格的合法继承人。</w:t>
      </w:r>
    </w:p>
    <w:p w14:paraId="44DBF4E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1.1.2.4 监理人：是指在专用合同条款中指明的，受发包人委托按照法律规定进行工程监督管理的法人或其他组织。</w:t>
      </w:r>
    </w:p>
    <w:p w14:paraId="60EB8B4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1.1.2.5 设计人：是指在专用合同条款中指明的，受发包人委托负责工程设计并具备相应工程设计资质的法人或其他组织。</w:t>
      </w:r>
    </w:p>
    <w:p w14:paraId="06C13BCA">
      <w:pPr>
        <w:spacing w:line="312" w:lineRule="auto"/>
        <w:ind w:firstLine="468" w:firstLineChars="195"/>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1.1.2.6 分包人：</w:t>
      </w:r>
      <w:bookmarkStart w:id="126" w:name="#go5"/>
      <w:bookmarkEnd w:id="126"/>
      <w:r>
        <w:rPr>
          <w:rFonts w:hint="eastAsia" w:ascii="宋体" w:hAnsi="宋体" w:cs="宋体"/>
          <w:color w:val="auto"/>
          <w:kern w:val="0"/>
          <w:sz w:val="24"/>
          <w:highlight w:val="none"/>
        </w:rPr>
        <w:t>是指按照法律规定和合同约定，分包部分工程或工作，并与承包人签订分包合同的具有相应资质的法人。</w:t>
      </w:r>
    </w:p>
    <w:p w14:paraId="54223B2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1.1.2.7 发包人代表：是指由发包人任命并派驻施工现场在发包人授权范围内行使发包人权利的人。</w:t>
      </w:r>
    </w:p>
    <w:p w14:paraId="6838354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1.1.2.8 项目经理：是指由承包人任命并派驻施工现场，在承包人授权范围内负责合同履行，且按照法律规定具有相应资格的项目负责人。</w:t>
      </w:r>
    </w:p>
    <w:p w14:paraId="3827775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1.1.2.9 总监理工程师：是指由监理人任命并派驻施工现场进行工程监理的总负责人。</w:t>
      </w:r>
    </w:p>
    <w:p w14:paraId="76CD886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1.1.3 工程和设备</w:t>
      </w:r>
    </w:p>
    <w:p w14:paraId="52017F7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1.1.3.1 工程：是指与合同协议书中工程承包范围对应的永久工程和（或）临时工程。</w:t>
      </w:r>
    </w:p>
    <w:p w14:paraId="484C1DB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1.1.3.2 永久工程：是指按合同约定建造并移交给发包人的工程，包括工程设备。</w:t>
      </w:r>
    </w:p>
    <w:p w14:paraId="06B7DD4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1.1.3.3 临时工程：是指为完成合同约定的永久工程所修建的各类临时性工程，不包括施工设备。</w:t>
      </w:r>
    </w:p>
    <w:p w14:paraId="191C804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1.1.3.4 单位工程：是指在合同协议书中指明的，具备独立施工条件并能形成独立使用功能的永久工程。</w:t>
      </w:r>
    </w:p>
    <w:p w14:paraId="6068E8A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1.1.3.5 工程设备：是指构成永久工程的机电设备、金属结构设备、仪器及其他类似的设备和装置。</w:t>
      </w:r>
    </w:p>
    <w:p w14:paraId="5E671C9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1.1.3.6 施工设备：是指为完成合同约定的各项工作所需的设备、器具和其他物品，但不包括工程设备、临时工程和材料。</w:t>
      </w:r>
    </w:p>
    <w:p w14:paraId="4C746F6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1.1.3.7 施工现场：是指用于工程施工的场所，以及在专用合同条款中指明作为施工场所组成部分的其他场所，包括永久占地和临时占地。</w:t>
      </w:r>
    </w:p>
    <w:p w14:paraId="58AD21FC">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1.1.3.8临时设施：是指为完成合同约定的各项工作所服务的临时性生产和生活设施。</w:t>
      </w:r>
    </w:p>
    <w:p w14:paraId="241B563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1.1.3.9 永久占地：是指专用合同条款中指明为实施工程需永久占用的土地。</w:t>
      </w:r>
    </w:p>
    <w:p w14:paraId="2A6FD8A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1.1.3.10 临时占地：是指专用合同条款中指明为实施工程需要临时占用的土地。</w:t>
      </w:r>
    </w:p>
    <w:p w14:paraId="5D27051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1.1.4 日期和期限</w:t>
      </w:r>
    </w:p>
    <w:p w14:paraId="6B94F68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0C90C9B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1.1.4.2 竣工日期：包括计划竣工日期和实际竣工日期。计划竣工日期是指合同协议书约定的竣工日期；实际竣工日期按照第13.2.3项〔竣工日期〕的约定确定。 </w:t>
      </w:r>
    </w:p>
    <w:p w14:paraId="5B9F925D">
      <w:pPr>
        <w:spacing w:line="312" w:lineRule="auto"/>
        <w:ind w:firstLine="487" w:firstLineChars="203"/>
        <w:rPr>
          <w:rFonts w:hint="eastAsia" w:ascii="宋体" w:hAnsi="宋体" w:cs="宋体"/>
          <w:color w:val="auto"/>
          <w:sz w:val="24"/>
          <w:highlight w:val="none"/>
        </w:rPr>
      </w:pPr>
      <w:r>
        <w:rPr>
          <w:rFonts w:hint="eastAsia" w:ascii="宋体" w:hAnsi="宋体" w:cs="宋体"/>
          <w:color w:val="auto"/>
          <w:kern w:val="0"/>
          <w:sz w:val="24"/>
          <w:highlight w:val="none"/>
        </w:rPr>
        <w:t>1.1.4.3 工期：是指在合同协议书约定的承包人完成工程所需的期限，包括按照合同约定所作的期限变更。</w:t>
      </w:r>
    </w:p>
    <w:p w14:paraId="32B7ECE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1.1.4.4 缺陷责任期：是指承包人按照合同约定承担缺陷修复义务，且发包人预留质量保证金的期限，自工程实际竣工日期起计算。</w:t>
      </w:r>
    </w:p>
    <w:p w14:paraId="4146A3C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1.1.4.5 保修期：是指承包人按照合同约定对工程承担保修责任的期限，从工程竣工验收合格之日起计算。</w:t>
      </w:r>
    </w:p>
    <w:p w14:paraId="4DB1842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1.1.4.6 基准日期：招标发包的工程以投标截止日前28天的日期为基准日期，直接发包的工程以合同签订日前28天的日期为基准日期。</w:t>
      </w:r>
    </w:p>
    <w:p w14:paraId="75DFF08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1.1.4.7 天：除特别指明外，均指日历天。合同中按天计算时间的，开始当天不计入，从次日开始计算，期限最后一天的截止时间为当天24：00时。</w:t>
      </w:r>
    </w:p>
    <w:p w14:paraId="787DD584">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1.1.5 合同价格和费用</w:t>
      </w:r>
    </w:p>
    <w:p w14:paraId="22DD9E4F">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kern w:val="0"/>
          <w:sz w:val="24"/>
          <w:highlight w:val="none"/>
        </w:rPr>
        <w:t>1.1.5.1 签约合同价：是指</w:t>
      </w:r>
      <w:r>
        <w:rPr>
          <w:rFonts w:hint="eastAsia" w:ascii="宋体" w:hAnsi="宋体" w:cs="宋体"/>
          <w:color w:val="auto"/>
          <w:sz w:val="24"/>
          <w:highlight w:val="none"/>
        </w:rPr>
        <w:t>发包人和承包人在合同协议书中确定的总金额，包括安全文明施工费、暂估价及暂列金额等。</w:t>
      </w:r>
    </w:p>
    <w:p w14:paraId="16E48BE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1.1.5.2 合同价格：是指发包人用于支付承包人按照合同约定完成承包范围内全部工作的金额，包括合同履行过程中按合同约定发生的价格变化。</w:t>
      </w:r>
    </w:p>
    <w:p w14:paraId="728423A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1.1.5.3 费用：是指为履行合同所发生的或将要发生的所有必需的开支，包括管理费和应分摊的其他费用，但不包括利润。</w:t>
      </w:r>
    </w:p>
    <w:p w14:paraId="6A3A9F1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1.1.5.4 暂估价：是指发包人在工程量清单或预算书中提供的用于支付必然发生但暂时不能确定价格的材料、工程设备的单价、专业工程以及服务工作的金额。</w:t>
      </w:r>
    </w:p>
    <w:p w14:paraId="44732B5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37B986D0">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1.1.5.6 计日工：是指合同履行过程中，承包人完成发包人提出的零星工作或需要采用计日工计价的变更工作时，按合同中约定的单价计价的一种方式。</w:t>
      </w:r>
    </w:p>
    <w:p w14:paraId="560F2F6F">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kern w:val="0"/>
          <w:sz w:val="24"/>
          <w:highlight w:val="none"/>
        </w:rPr>
        <w:t>1.1.5.7 质量保证金</w:t>
      </w:r>
      <w:bookmarkStart w:id="127" w:name="#go2"/>
      <w:bookmarkEnd w:id="127"/>
      <w:r>
        <w:rPr>
          <w:rFonts w:hint="eastAsia" w:ascii="宋体" w:hAnsi="宋体" w:cs="宋体"/>
          <w:color w:val="auto"/>
          <w:kern w:val="0"/>
          <w:sz w:val="24"/>
          <w:highlight w:val="none"/>
        </w:rPr>
        <w:t>：是指按照第15.3款〔质量保证金〕约定承包人用于保证其在缺陷责任期内履行缺陷修补义务的担保</w:t>
      </w:r>
      <w:r>
        <w:rPr>
          <w:rFonts w:hint="eastAsia" w:ascii="宋体" w:hAnsi="宋体" w:cs="宋体"/>
          <w:color w:val="auto"/>
          <w:sz w:val="24"/>
          <w:highlight w:val="none"/>
        </w:rPr>
        <w:t>。</w:t>
      </w:r>
    </w:p>
    <w:p w14:paraId="1916D21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1.1.5.8 总价项目：是指在现行国家、行业以及地方的计量规则中无工程量计算规则，在已标价工程量清单或预算书中以总价或以费率形式计算的项目。</w:t>
      </w:r>
    </w:p>
    <w:p w14:paraId="1E54BE9E">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1.1.6 其他</w:t>
      </w:r>
    </w:p>
    <w:p w14:paraId="649650FA">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1.1.6.1 书面形式：是指合同文件、信函、电报、传真等可以有形地表现所载内容的形式。</w:t>
      </w:r>
    </w:p>
    <w:p w14:paraId="7497C477">
      <w:pPr>
        <w:pStyle w:val="8"/>
        <w:spacing w:before="120" w:after="120" w:line="312" w:lineRule="auto"/>
        <w:rPr>
          <w:rFonts w:hint="eastAsia" w:ascii="宋体" w:hAnsi="宋体" w:cs="宋体"/>
          <w:b w:val="0"/>
          <w:color w:val="auto"/>
          <w:sz w:val="24"/>
          <w:szCs w:val="24"/>
          <w:highlight w:val="none"/>
        </w:rPr>
      </w:pPr>
      <w:r>
        <w:rPr>
          <w:rFonts w:hint="eastAsia" w:ascii="宋体" w:hAnsi="宋体" w:cs="宋体"/>
          <w:b w:val="0"/>
          <w:color w:val="auto"/>
          <w:sz w:val="24"/>
          <w:szCs w:val="24"/>
          <w:highlight w:val="none"/>
        </w:rPr>
        <w:t xml:space="preserve">    </w:t>
      </w:r>
      <w:bookmarkStart w:id="128" w:name="_Toc337558729"/>
      <w:bookmarkStart w:id="129" w:name="_Toc296346530"/>
      <w:bookmarkStart w:id="130" w:name="_Toc296503029"/>
      <w:bookmarkStart w:id="131" w:name="_Toc351203497"/>
      <w:r>
        <w:rPr>
          <w:rFonts w:hint="eastAsia" w:ascii="宋体" w:hAnsi="宋体" w:cs="宋体"/>
          <w:b w:val="0"/>
          <w:color w:val="auto"/>
          <w:sz w:val="24"/>
          <w:szCs w:val="24"/>
          <w:highlight w:val="none"/>
        </w:rPr>
        <w:t>1.2语言文字</w:t>
      </w:r>
      <w:bookmarkEnd w:id="128"/>
      <w:bookmarkEnd w:id="129"/>
      <w:bookmarkEnd w:id="130"/>
      <w:bookmarkEnd w:id="131"/>
    </w:p>
    <w:p w14:paraId="07674DC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合同以中国的汉语简体文字编写、解释和说明。合同当事人在专用合同条款中约定使用两种以上语言时，汉语为优先解释和说明合同的语言。</w:t>
      </w:r>
    </w:p>
    <w:p w14:paraId="31E65441">
      <w:pPr>
        <w:pStyle w:val="8"/>
        <w:spacing w:before="120" w:after="120" w:line="312" w:lineRule="auto"/>
        <w:ind w:firstLine="480" w:firstLineChars="200"/>
        <w:rPr>
          <w:rFonts w:hint="eastAsia" w:ascii="宋体" w:hAnsi="宋体" w:cs="宋体"/>
          <w:b w:val="0"/>
          <w:color w:val="auto"/>
          <w:sz w:val="24"/>
          <w:szCs w:val="24"/>
          <w:highlight w:val="none"/>
        </w:rPr>
      </w:pPr>
      <w:bookmarkStart w:id="132" w:name="_Toc296503030"/>
      <w:bookmarkStart w:id="133" w:name="_Toc337558730"/>
      <w:bookmarkStart w:id="134" w:name="_Toc351203498"/>
      <w:bookmarkStart w:id="135" w:name="_Toc296346531"/>
      <w:r>
        <w:rPr>
          <w:rFonts w:hint="eastAsia" w:ascii="宋体" w:hAnsi="宋体" w:cs="宋体"/>
          <w:b w:val="0"/>
          <w:color w:val="auto"/>
          <w:sz w:val="24"/>
          <w:szCs w:val="24"/>
          <w:highlight w:val="none"/>
        </w:rPr>
        <w:t>1.3法律</w:t>
      </w:r>
      <w:bookmarkEnd w:id="132"/>
      <w:bookmarkEnd w:id="133"/>
      <w:bookmarkEnd w:id="134"/>
      <w:bookmarkEnd w:id="135"/>
    </w:p>
    <w:p w14:paraId="4722BE2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合同所称法律是指中华人民共和国法律、行政法规、部门规章，以及工程所在地的地方性法规、自治条例、单行条例和地方政府规章等。</w:t>
      </w:r>
    </w:p>
    <w:p w14:paraId="7481F15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合同当事人可以在专用合同条款中约定合同适用的其他规范性文件。</w:t>
      </w:r>
    </w:p>
    <w:p w14:paraId="5A2A8515">
      <w:pPr>
        <w:pStyle w:val="8"/>
        <w:spacing w:before="120" w:after="120" w:line="312" w:lineRule="auto"/>
        <w:ind w:firstLine="480" w:firstLineChars="200"/>
        <w:rPr>
          <w:rFonts w:hint="eastAsia" w:ascii="宋体" w:hAnsi="宋体" w:cs="宋体"/>
          <w:b w:val="0"/>
          <w:color w:val="auto"/>
          <w:sz w:val="24"/>
          <w:szCs w:val="24"/>
          <w:highlight w:val="none"/>
        </w:rPr>
      </w:pPr>
      <w:bookmarkStart w:id="136" w:name="_Toc351203499"/>
      <w:r>
        <w:rPr>
          <w:rFonts w:hint="eastAsia" w:ascii="宋体" w:hAnsi="宋体" w:cs="宋体"/>
          <w:b w:val="0"/>
          <w:color w:val="auto"/>
          <w:sz w:val="24"/>
          <w:szCs w:val="24"/>
          <w:highlight w:val="none"/>
        </w:rPr>
        <w:t>1.4 标准和规范</w:t>
      </w:r>
      <w:bookmarkEnd w:id="136"/>
    </w:p>
    <w:p w14:paraId="73D0F10C">
      <w:pPr>
        <w:autoSpaceDE w:val="0"/>
        <w:autoSpaceDN w:val="0"/>
        <w:adjustRightInd w:val="0"/>
        <w:spacing w:line="312" w:lineRule="auto"/>
        <w:ind w:firstLine="64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1.4.1 适用于工程的国家标准、行业标准、工程所在地的地方性标准，以及相应的规范、规程等，合同当事人有特别要求的，应在专用合同条款中约定。</w:t>
      </w:r>
    </w:p>
    <w:p w14:paraId="185B02B8">
      <w:pPr>
        <w:autoSpaceDE w:val="0"/>
        <w:autoSpaceDN w:val="0"/>
        <w:adjustRightInd w:val="0"/>
        <w:spacing w:line="312" w:lineRule="auto"/>
        <w:ind w:firstLine="64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1.4.2 发包人要求使用国外标准、规范的，发包人负责提供原文版本和中文译本，并在专用合同条款中约定提供标准规范的名称、份数和时间。</w:t>
      </w:r>
    </w:p>
    <w:p w14:paraId="467B0606">
      <w:pPr>
        <w:autoSpaceDE w:val="0"/>
        <w:autoSpaceDN w:val="0"/>
        <w:adjustRightInd w:val="0"/>
        <w:spacing w:line="312" w:lineRule="auto"/>
        <w:ind w:firstLine="64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1CC33175">
      <w:pPr>
        <w:pStyle w:val="8"/>
        <w:spacing w:before="120" w:after="120" w:line="312" w:lineRule="auto"/>
        <w:ind w:firstLine="480" w:firstLineChars="200"/>
        <w:rPr>
          <w:rFonts w:hint="eastAsia" w:ascii="宋体" w:hAnsi="宋体" w:cs="宋体"/>
          <w:b w:val="0"/>
          <w:color w:val="auto"/>
          <w:sz w:val="24"/>
          <w:szCs w:val="24"/>
          <w:highlight w:val="none"/>
        </w:rPr>
      </w:pPr>
      <w:bookmarkStart w:id="137" w:name="_Toc351203500"/>
      <w:r>
        <w:rPr>
          <w:rFonts w:hint="eastAsia" w:ascii="宋体" w:hAnsi="宋体" w:cs="宋体"/>
          <w:b w:val="0"/>
          <w:color w:val="auto"/>
          <w:sz w:val="24"/>
          <w:szCs w:val="24"/>
          <w:highlight w:val="none"/>
        </w:rPr>
        <w:t>1</w:t>
      </w:r>
      <w:bookmarkStart w:id="138" w:name="_Toc337558731"/>
      <w:bookmarkStart w:id="139" w:name="_Toc296346532"/>
      <w:bookmarkStart w:id="140" w:name="_Toc296503031"/>
      <w:r>
        <w:rPr>
          <w:rFonts w:hint="eastAsia" w:ascii="宋体" w:hAnsi="宋体" w:cs="宋体"/>
          <w:b w:val="0"/>
          <w:color w:val="auto"/>
          <w:sz w:val="24"/>
          <w:szCs w:val="24"/>
          <w:highlight w:val="none"/>
        </w:rPr>
        <w:t>.5 合同文件的优先顺序</w:t>
      </w:r>
      <w:bookmarkEnd w:id="137"/>
    </w:p>
    <w:bookmarkEnd w:id="138"/>
    <w:bookmarkEnd w:id="139"/>
    <w:bookmarkEnd w:id="140"/>
    <w:p w14:paraId="2288CB8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组成合同的各项文件应互相解释，互为说明。除专用合同条款另有约定外，解释合同文件的优先顺序如下：</w:t>
      </w:r>
    </w:p>
    <w:p w14:paraId="2F81D2C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（1）合同协议书；</w:t>
      </w:r>
    </w:p>
    <w:p w14:paraId="776F50A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（2）中标通知书（如果有）；</w:t>
      </w:r>
    </w:p>
    <w:p w14:paraId="455C1B5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（3）投标函及其附录（如果有）；</w:t>
      </w:r>
    </w:p>
    <w:p w14:paraId="7330DD9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（4）专用合同条款</w:t>
      </w:r>
      <w:r>
        <w:rPr>
          <w:rFonts w:hint="eastAsia" w:ascii="宋体" w:hAnsi="宋体" w:cs="宋体"/>
          <w:color w:val="auto"/>
          <w:sz w:val="24"/>
          <w:highlight w:val="none"/>
        </w:rPr>
        <w:t>及其附件</w:t>
      </w:r>
      <w:r>
        <w:rPr>
          <w:rFonts w:hint="eastAsia" w:ascii="宋体" w:hAnsi="宋体" w:cs="宋体"/>
          <w:color w:val="auto"/>
          <w:kern w:val="0"/>
          <w:sz w:val="24"/>
          <w:highlight w:val="none"/>
        </w:rPr>
        <w:t>；</w:t>
      </w:r>
    </w:p>
    <w:p w14:paraId="30C0D57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（5）通用合同条款；</w:t>
      </w:r>
    </w:p>
    <w:p w14:paraId="29923C5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（6）技术标准和要求；</w:t>
      </w:r>
    </w:p>
    <w:p w14:paraId="443DAAC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（7）图纸；</w:t>
      </w:r>
    </w:p>
    <w:p w14:paraId="6CEA833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（8）已标价工程量清单或预算书；</w:t>
      </w:r>
    </w:p>
    <w:p w14:paraId="489B1C97">
      <w:pPr>
        <w:autoSpaceDE w:val="0"/>
        <w:autoSpaceDN w:val="0"/>
        <w:adjustRightInd w:val="0"/>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kern w:val="0"/>
          <w:sz w:val="24"/>
          <w:highlight w:val="none"/>
        </w:rPr>
        <w:t>（9）其他合同文件。</w:t>
      </w:r>
    </w:p>
    <w:p w14:paraId="5CFDE6E5">
      <w:pPr>
        <w:spacing w:line="312" w:lineRule="auto"/>
        <w:ind w:firstLine="511" w:firstLineChars="213"/>
        <w:rPr>
          <w:rFonts w:hint="eastAsia" w:ascii="宋体" w:hAnsi="宋体" w:cs="宋体"/>
          <w:color w:val="auto"/>
          <w:sz w:val="24"/>
          <w:highlight w:val="none"/>
        </w:rPr>
      </w:pPr>
      <w:r>
        <w:rPr>
          <w:rFonts w:hint="eastAsia" w:ascii="宋体" w:hAnsi="宋体" w:cs="宋体"/>
          <w:color w:val="auto"/>
          <w:sz w:val="24"/>
          <w:highlight w:val="none"/>
        </w:rPr>
        <w:t>上述各项合同文件包括合同当事人就该项合同文件所作出的补充和修改，属于同一类内容的文件，应以最新签署的为准。</w:t>
      </w:r>
    </w:p>
    <w:p w14:paraId="656DCFC2">
      <w:pPr>
        <w:spacing w:line="312" w:lineRule="auto"/>
        <w:ind w:firstLine="511" w:firstLineChars="213"/>
        <w:rPr>
          <w:rFonts w:hint="eastAsia" w:ascii="宋体" w:hAnsi="宋体" w:cs="宋体"/>
          <w:color w:val="auto"/>
          <w:sz w:val="24"/>
          <w:highlight w:val="none"/>
        </w:rPr>
      </w:pPr>
      <w:r>
        <w:rPr>
          <w:rFonts w:hint="eastAsia" w:ascii="宋体" w:hAnsi="宋体" w:cs="宋体"/>
          <w:color w:val="auto"/>
          <w:sz w:val="24"/>
          <w:highlight w:val="none"/>
        </w:rPr>
        <w:t>在合同订立及履行过程中形成的与合同有关的文件均构成合同文件组成部分，并根据其性质确定优先解释顺序。</w:t>
      </w:r>
    </w:p>
    <w:p w14:paraId="5B615CCC">
      <w:pPr>
        <w:pStyle w:val="8"/>
        <w:spacing w:before="120" w:after="120" w:line="312" w:lineRule="auto"/>
        <w:ind w:firstLine="480" w:firstLineChars="200"/>
        <w:rPr>
          <w:rFonts w:hint="eastAsia" w:ascii="宋体" w:hAnsi="宋体" w:cs="宋体"/>
          <w:b w:val="0"/>
          <w:color w:val="auto"/>
          <w:sz w:val="24"/>
          <w:szCs w:val="24"/>
          <w:highlight w:val="none"/>
        </w:rPr>
      </w:pPr>
      <w:bookmarkStart w:id="141" w:name="_Toc351203501"/>
      <w:r>
        <w:rPr>
          <w:rFonts w:hint="eastAsia" w:ascii="宋体" w:hAnsi="宋体" w:cs="宋体"/>
          <w:b w:val="0"/>
          <w:color w:val="auto"/>
          <w:sz w:val="24"/>
          <w:szCs w:val="24"/>
          <w:highlight w:val="none"/>
        </w:rPr>
        <w:t>1</w:t>
      </w:r>
      <w:bookmarkStart w:id="142" w:name="_Toc296503032"/>
      <w:bookmarkStart w:id="143" w:name="_Toc296346533"/>
      <w:bookmarkStart w:id="144" w:name="_Toc337558732"/>
      <w:r>
        <w:rPr>
          <w:rFonts w:hint="eastAsia" w:ascii="宋体" w:hAnsi="宋体" w:cs="宋体"/>
          <w:b w:val="0"/>
          <w:color w:val="auto"/>
          <w:sz w:val="24"/>
          <w:szCs w:val="24"/>
          <w:highlight w:val="none"/>
        </w:rPr>
        <w:t>.6图纸和承包人文件</w:t>
      </w:r>
      <w:bookmarkEnd w:id="141"/>
    </w:p>
    <w:bookmarkEnd w:id="142"/>
    <w:bookmarkEnd w:id="143"/>
    <w:bookmarkEnd w:id="144"/>
    <w:p w14:paraId="398ABCA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1.6.1 图纸的提供和交底</w:t>
      </w:r>
    </w:p>
    <w:p w14:paraId="56BD5D5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1BB6C12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因发包人未按合同约定提供图纸导致承包人费用增加和（或）工期延误的，按照第7.5.1项〔因发包人原因导致工期延误〕约定办理。</w:t>
      </w:r>
    </w:p>
    <w:p w14:paraId="71CCA14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1.6.2 图纸的错误</w:t>
      </w:r>
    </w:p>
    <w:p w14:paraId="71435ED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5945553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1.6.3 图纸的修改和补充</w:t>
      </w:r>
    </w:p>
    <w:p w14:paraId="4762BDD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图纸需要修改和补充的，应经图纸原设计人及审批部门同意，并由监理人在工程或工程相应部位施工前将修改后的图纸或补充图纸提交给承包人，承包人应按修改或补充后的图纸施工。</w:t>
      </w:r>
    </w:p>
    <w:p w14:paraId="4E97080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1.6.4 承包人文件</w:t>
      </w:r>
    </w:p>
    <w:p w14:paraId="213DA7D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承包人应按照专用合同条款的约定提供应当由其编制的与工程施工有关的文件，并按照专用合同条款约定的期限、数量和形式提交监理人，并由监理人报送发包人。</w:t>
      </w:r>
    </w:p>
    <w:p w14:paraId="119ABB4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2B60033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1.6.5 图纸和承包人文件的保管</w:t>
      </w:r>
    </w:p>
    <w:p w14:paraId="77688C6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除专用合同条款另有约定外，承包人应在施工现场另外保存一套完整的图纸和承包人文件，供发包人、监理人及有关人员进行工程检查时使用。</w:t>
      </w:r>
    </w:p>
    <w:p w14:paraId="244FC709">
      <w:pPr>
        <w:pStyle w:val="8"/>
        <w:spacing w:before="120" w:after="120" w:line="312" w:lineRule="auto"/>
        <w:ind w:firstLine="480" w:firstLineChars="200"/>
        <w:rPr>
          <w:rFonts w:hint="eastAsia" w:ascii="宋体" w:hAnsi="宋体" w:cs="宋体"/>
          <w:b w:val="0"/>
          <w:color w:val="auto"/>
          <w:sz w:val="24"/>
          <w:szCs w:val="24"/>
          <w:highlight w:val="none"/>
        </w:rPr>
      </w:pPr>
      <w:bookmarkStart w:id="145" w:name="_Toc351203502"/>
      <w:r>
        <w:rPr>
          <w:rFonts w:hint="eastAsia" w:ascii="宋体" w:hAnsi="宋体" w:cs="宋体"/>
          <w:b w:val="0"/>
          <w:color w:val="auto"/>
          <w:sz w:val="24"/>
          <w:szCs w:val="24"/>
          <w:highlight w:val="none"/>
        </w:rPr>
        <w:t>1</w:t>
      </w:r>
      <w:bookmarkStart w:id="146" w:name="_Toc337558733"/>
      <w:bookmarkStart w:id="147" w:name="_Toc296346534"/>
      <w:bookmarkStart w:id="148" w:name="_Toc296503033"/>
      <w:r>
        <w:rPr>
          <w:rFonts w:hint="eastAsia" w:ascii="宋体" w:hAnsi="宋体" w:cs="宋体"/>
          <w:b w:val="0"/>
          <w:color w:val="auto"/>
          <w:sz w:val="24"/>
          <w:szCs w:val="24"/>
          <w:highlight w:val="none"/>
        </w:rPr>
        <w:t>.7联络</w:t>
      </w:r>
      <w:bookmarkEnd w:id="145"/>
    </w:p>
    <w:bookmarkEnd w:id="146"/>
    <w:bookmarkEnd w:id="147"/>
    <w:bookmarkEnd w:id="148"/>
    <w:p w14:paraId="16108E7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1.7.1 与合同有关的通知、批准、证明、证书、指示、指令、要求、请求、同意、意见、确定和决定等，均应采用书面形式，并应在合同约定的期限内送达接收人和送达地点。</w:t>
      </w:r>
    </w:p>
    <w:p w14:paraId="7822396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1.7.2 发包人和承包人应在专用合同条款中约定各自的送达接收人和送达地点。任何一方合同当事人指定的接收人或送达地点发生变动的，应提前3天以书面形式通知对方。</w:t>
      </w:r>
    </w:p>
    <w:p w14:paraId="49B09F2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1.7.3 发包人和承包人应当及时签收另一方送达至送达地点和指定接收人的来往信函。拒不签收的，由此增加的费用和（或）延误的工期由拒绝接收一方承担。</w:t>
      </w:r>
    </w:p>
    <w:p w14:paraId="69E8BA51">
      <w:pPr>
        <w:pStyle w:val="8"/>
        <w:spacing w:before="120" w:after="120" w:line="312" w:lineRule="auto"/>
        <w:ind w:firstLine="480" w:firstLineChars="200"/>
        <w:rPr>
          <w:rFonts w:hint="eastAsia" w:ascii="宋体" w:hAnsi="宋体" w:cs="宋体"/>
          <w:b w:val="0"/>
          <w:color w:val="auto"/>
          <w:sz w:val="24"/>
          <w:szCs w:val="24"/>
          <w:highlight w:val="none"/>
        </w:rPr>
      </w:pPr>
      <w:bookmarkStart w:id="149" w:name="_Toc351203503"/>
      <w:r>
        <w:rPr>
          <w:rFonts w:hint="eastAsia" w:ascii="宋体" w:hAnsi="宋体" w:cs="宋体"/>
          <w:b w:val="0"/>
          <w:color w:val="auto"/>
          <w:sz w:val="24"/>
          <w:szCs w:val="24"/>
          <w:highlight w:val="none"/>
        </w:rPr>
        <w:t>1</w:t>
      </w:r>
      <w:bookmarkStart w:id="150" w:name="_Toc296346536"/>
      <w:bookmarkStart w:id="151" w:name="_Toc296503035"/>
      <w:bookmarkStart w:id="152" w:name="_Toc337558734"/>
      <w:r>
        <w:rPr>
          <w:rFonts w:hint="eastAsia" w:ascii="宋体" w:hAnsi="宋体" w:cs="宋体"/>
          <w:b w:val="0"/>
          <w:color w:val="auto"/>
          <w:sz w:val="24"/>
          <w:szCs w:val="24"/>
          <w:highlight w:val="none"/>
        </w:rPr>
        <w:t>.8严禁贿赂</w:t>
      </w:r>
      <w:bookmarkEnd w:id="149"/>
    </w:p>
    <w:bookmarkEnd w:id="150"/>
    <w:bookmarkEnd w:id="151"/>
    <w:bookmarkEnd w:id="152"/>
    <w:p w14:paraId="6AB5D43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合同当事人不得以贿赂或变相贿赂的方式，谋取非法利益或损害对方权益。因一方合同当事人的贿赂造成对方损失的，应赔偿损失，并承担相应的法律责任。</w:t>
      </w:r>
    </w:p>
    <w:p w14:paraId="59E308E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承包人不得与监理人或发包人聘请的第三方串通损害发包人利益。未经发包人书面同意，承包人不得为监理人提供合同约定以外的通讯设备、交通工具及其他任何形式的利益，不得向监理人支付报酬。</w:t>
      </w:r>
    </w:p>
    <w:p w14:paraId="6CAA6929">
      <w:pPr>
        <w:pStyle w:val="8"/>
        <w:spacing w:before="120" w:after="120" w:line="312" w:lineRule="auto"/>
        <w:ind w:firstLine="480" w:firstLineChars="200"/>
        <w:rPr>
          <w:rFonts w:hint="eastAsia" w:ascii="宋体" w:hAnsi="宋体" w:cs="宋体"/>
          <w:b w:val="0"/>
          <w:color w:val="auto"/>
          <w:sz w:val="24"/>
          <w:szCs w:val="24"/>
          <w:highlight w:val="none"/>
        </w:rPr>
      </w:pPr>
      <w:bookmarkStart w:id="153" w:name="_Toc351203504"/>
      <w:r>
        <w:rPr>
          <w:rFonts w:hint="eastAsia" w:ascii="宋体" w:hAnsi="宋体" w:cs="宋体"/>
          <w:b w:val="0"/>
          <w:color w:val="auto"/>
          <w:sz w:val="24"/>
          <w:szCs w:val="24"/>
          <w:highlight w:val="none"/>
        </w:rPr>
        <w:t>1</w:t>
      </w:r>
      <w:bookmarkStart w:id="154" w:name="_Toc296346537"/>
      <w:bookmarkStart w:id="155" w:name="_Toc337558735"/>
      <w:bookmarkStart w:id="156" w:name="_Toc296503036"/>
      <w:r>
        <w:rPr>
          <w:rFonts w:hint="eastAsia" w:ascii="宋体" w:hAnsi="宋体" w:cs="宋体"/>
          <w:b w:val="0"/>
          <w:color w:val="auto"/>
          <w:sz w:val="24"/>
          <w:szCs w:val="24"/>
          <w:highlight w:val="none"/>
        </w:rPr>
        <w:t>.9化石、文物</w:t>
      </w:r>
      <w:bookmarkEnd w:id="153"/>
    </w:p>
    <w:bookmarkEnd w:id="154"/>
    <w:bookmarkEnd w:id="155"/>
    <w:bookmarkEnd w:id="156"/>
    <w:p w14:paraId="0724861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3F59B1D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发包人、监理人和承包人应按有关政府行政管理部门要求采取妥善的保护措施，由此增加的费用和（或）延误的工期由发包人承担。</w:t>
      </w:r>
    </w:p>
    <w:p w14:paraId="1657C40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承包人发现文物后不及时报告或隐瞒不报，致使文物丢失或损坏的，应赔偿损失，并承担相应的法律责任。</w:t>
      </w:r>
    </w:p>
    <w:p w14:paraId="1CD9D5AF">
      <w:pPr>
        <w:pStyle w:val="8"/>
        <w:spacing w:before="120" w:after="120" w:line="312" w:lineRule="auto"/>
        <w:ind w:firstLine="480" w:firstLineChars="200"/>
        <w:rPr>
          <w:rFonts w:hint="eastAsia" w:ascii="宋体" w:hAnsi="宋体" w:cs="宋体"/>
          <w:b w:val="0"/>
          <w:color w:val="auto"/>
          <w:sz w:val="24"/>
          <w:szCs w:val="24"/>
          <w:highlight w:val="none"/>
        </w:rPr>
      </w:pPr>
      <w:bookmarkStart w:id="157" w:name="_Toc351203505"/>
      <w:r>
        <w:rPr>
          <w:rFonts w:hint="eastAsia" w:ascii="宋体" w:hAnsi="宋体" w:cs="宋体"/>
          <w:b w:val="0"/>
          <w:color w:val="auto"/>
          <w:sz w:val="24"/>
          <w:szCs w:val="24"/>
          <w:highlight w:val="none"/>
        </w:rPr>
        <w:t>1</w:t>
      </w:r>
      <w:bookmarkStart w:id="158" w:name="_Toc337558736"/>
      <w:r>
        <w:rPr>
          <w:rFonts w:hint="eastAsia" w:ascii="宋体" w:hAnsi="宋体" w:cs="宋体"/>
          <w:b w:val="0"/>
          <w:color w:val="auto"/>
          <w:sz w:val="24"/>
          <w:szCs w:val="24"/>
          <w:highlight w:val="none"/>
        </w:rPr>
        <w:t>.10交通运输</w:t>
      </w:r>
      <w:bookmarkEnd w:id="157"/>
    </w:p>
    <w:bookmarkEnd w:id="158"/>
    <w:p w14:paraId="75FF491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1.10.1 出入现场的权利</w:t>
      </w:r>
    </w:p>
    <w:p w14:paraId="70BF7C7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2897500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承包人应在订立合同前查勘施工现场，并根据工程规模及技术参数合理预见工程施工所需的进出施工现场的方式、手段、路径等。因承包人未合理预见所增加的费用和（或）延误的工期由承包人承担。</w:t>
      </w:r>
    </w:p>
    <w:p w14:paraId="6251DC0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1.10.2 场外交通</w:t>
      </w:r>
    </w:p>
    <w:p w14:paraId="11F7B56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1C265567">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1.10.3场内交通</w:t>
      </w:r>
    </w:p>
    <w:p w14:paraId="44408AB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6276AA97">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52F7FA5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场外交通和场内交通的边界由合同当事人在专用合同条款中约定。</w:t>
      </w:r>
    </w:p>
    <w:p w14:paraId="13AE6B2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1.10.4 超大件和超重件的运输</w:t>
      </w:r>
    </w:p>
    <w:p w14:paraId="0C3A6D9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1D44585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1.10.5 道路和桥梁的损坏责任</w:t>
      </w:r>
    </w:p>
    <w:p w14:paraId="4E7CCF9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因承包人运输造成施工场地内外公共道路和桥梁损坏的，由承包人承担修复损坏的全部费用和可能引起的赔偿。</w:t>
      </w:r>
    </w:p>
    <w:p w14:paraId="05D57E5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1.10.6 水路和航空运输</w:t>
      </w:r>
    </w:p>
    <w:p w14:paraId="128D254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本款前述各项的内容适用于水路运输和航空运输，其中“道路”一词的涵义包括河道、航线、船闸、机场、码头、堤防以及水路或航空运输中其他相似结构物；“车辆”一词的涵义包括船舶和飞机等。</w:t>
      </w:r>
    </w:p>
    <w:p w14:paraId="01963886">
      <w:pPr>
        <w:pStyle w:val="8"/>
        <w:spacing w:before="120" w:after="120" w:line="312" w:lineRule="auto"/>
        <w:ind w:firstLine="480" w:firstLineChars="200"/>
        <w:rPr>
          <w:rFonts w:hint="eastAsia" w:ascii="宋体" w:hAnsi="宋体" w:cs="宋体"/>
          <w:b w:val="0"/>
          <w:color w:val="auto"/>
          <w:sz w:val="24"/>
          <w:szCs w:val="24"/>
          <w:highlight w:val="none"/>
        </w:rPr>
      </w:pPr>
      <w:bookmarkStart w:id="159" w:name="_Toc351203506"/>
      <w:r>
        <w:rPr>
          <w:rFonts w:hint="eastAsia" w:ascii="宋体" w:hAnsi="宋体" w:cs="宋体"/>
          <w:b w:val="0"/>
          <w:color w:val="auto"/>
          <w:sz w:val="24"/>
          <w:szCs w:val="24"/>
          <w:highlight w:val="none"/>
        </w:rPr>
        <w:t>1</w:t>
      </w:r>
      <w:bookmarkStart w:id="160" w:name="_Toc337558737"/>
      <w:bookmarkStart w:id="161" w:name="_Toc296503037"/>
      <w:bookmarkStart w:id="162" w:name="_Toc296346538"/>
      <w:r>
        <w:rPr>
          <w:rFonts w:hint="eastAsia" w:ascii="宋体" w:hAnsi="宋体" w:cs="宋体"/>
          <w:b w:val="0"/>
          <w:color w:val="auto"/>
          <w:sz w:val="24"/>
          <w:szCs w:val="24"/>
          <w:highlight w:val="none"/>
        </w:rPr>
        <w:t>.11知识产权</w:t>
      </w:r>
      <w:bookmarkEnd w:id="159"/>
      <w:r>
        <w:rPr>
          <w:rFonts w:hint="eastAsia" w:ascii="宋体" w:hAnsi="宋体" w:cs="宋体"/>
          <w:b w:val="0"/>
          <w:color w:val="auto"/>
          <w:sz w:val="24"/>
          <w:szCs w:val="24"/>
          <w:highlight w:val="none"/>
        </w:rPr>
        <w:t xml:space="preserve"> </w:t>
      </w:r>
      <w:bookmarkEnd w:id="160"/>
    </w:p>
    <w:bookmarkEnd w:id="161"/>
    <w:bookmarkEnd w:id="162"/>
    <w:p w14:paraId="759DCEA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10A964D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21223C8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76C24AA8">
      <w:pPr>
        <w:spacing w:line="312" w:lineRule="auto"/>
        <w:rPr>
          <w:rFonts w:hint="eastAsia" w:ascii="宋体" w:hAnsi="宋体" w:cs="宋体"/>
          <w:color w:val="auto"/>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sz w:val="24"/>
          <w:highlight w:val="none"/>
        </w:rPr>
        <w:t>1.11.4 除专用合同条款另有约定外，承包人在合同签订前和签订时已确定采用的专利、专有技术、技术秘密的使用费已包含在签约合同价中。</w:t>
      </w:r>
    </w:p>
    <w:p w14:paraId="07E5BE5D">
      <w:pPr>
        <w:pStyle w:val="8"/>
        <w:spacing w:before="120" w:after="120" w:line="312" w:lineRule="auto"/>
        <w:ind w:firstLine="480" w:firstLineChars="200"/>
        <w:rPr>
          <w:rFonts w:hint="eastAsia" w:ascii="宋体" w:hAnsi="宋体" w:cs="宋体"/>
          <w:b w:val="0"/>
          <w:color w:val="auto"/>
          <w:sz w:val="24"/>
          <w:szCs w:val="24"/>
          <w:highlight w:val="none"/>
        </w:rPr>
      </w:pPr>
      <w:bookmarkStart w:id="163" w:name="_Toc351203507"/>
      <w:r>
        <w:rPr>
          <w:rFonts w:hint="eastAsia" w:ascii="宋体" w:hAnsi="宋体" w:cs="宋体"/>
          <w:b w:val="0"/>
          <w:color w:val="auto"/>
          <w:sz w:val="24"/>
          <w:szCs w:val="24"/>
          <w:highlight w:val="none"/>
        </w:rPr>
        <w:t>1</w:t>
      </w:r>
      <w:bookmarkStart w:id="164" w:name="_Toc337558738"/>
      <w:r>
        <w:rPr>
          <w:rFonts w:hint="eastAsia" w:ascii="宋体" w:hAnsi="宋体" w:cs="宋体"/>
          <w:b w:val="0"/>
          <w:color w:val="auto"/>
          <w:sz w:val="24"/>
          <w:szCs w:val="24"/>
          <w:highlight w:val="none"/>
        </w:rPr>
        <w:t>.12保密</w:t>
      </w:r>
      <w:bookmarkEnd w:id="163"/>
    </w:p>
    <w:bookmarkEnd w:id="164"/>
    <w:p w14:paraId="35EFE3A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除法律规定或合同另有约定外，未经发包人同意，承包人不得将发包人提供的图纸、文件以及声明需要保密的资料信息等商业秘密泄露给第三方。</w:t>
      </w:r>
    </w:p>
    <w:p w14:paraId="224AA7F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除法律规定或合同另有约定外，未经承包人同意，发包人不得将承包人提供的技术秘密及声明需要保密的资料信息等商业秘密泄露给第三方。</w:t>
      </w:r>
    </w:p>
    <w:p w14:paraId="763F2C1A">
      <w:pPr>
        <w:pStyle w:val="8"/>
        <w:spacing w:before="120" w:after="120" w:line="312" w:lineRule="auto"/>
        <w:ind w:firstLine="480" w:firstLineChars="200"/>
        <w:rPr>
          <w:rFonts w:hint="eastAsia" w:ascii="宋体" w:hAnsi="宋体" w:cs="宋体"/>
          <w:b w:val="0"/>
          <w:color w:val="auto"/>
          <w:sz w:val="24"/>
          <w:szCs w:val="24"/>
          <w:highlight w:val="none"/>
        </w:rPr>
      </w:pPr>
      <w:bookmarkStart w:id="165" w:name="_Toc351203508"/>
      <w:r>
        <w:rPr>
          <w:rFonts w:hint="eastAsia" w:ascii="宋体" w:hAnsi="宋体" w:cs="宋体"/>
          <w:b w:val="0"/>
          <w:color w:val="auto"/>
          <w:sz w:val="24"/>
          <w:szCs w:val="24"/>
          <w:highlight w:val="none"/>
        </w:rPr>
        <w:t>1.13工程量清单错误的修正</w:t>
      </w:r>
      <w:bookmarkEnd w:id="165"/>
    </w:p>
    <w:p w14:paraId="53352DB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除专用合同条款另有约定外，发包人提供的工程量清单，应被认为是准确的和完整的。出现下列情形之一时，发包人应予以修正，并相应调整合同价格：</w:t>
      </w:r>
    </w:p>
    <w:p w14:paraId="2AAFC38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（1）工程量清单存在缺项、漏项的；</w:t>
      </w:r>
    </w:p>
    <w:p w14:paraId="25DD383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（2）工程量清单偏差超出专用合同条款约定的工程量偏差范围的；</w:t>
      </w:r>
    </w:p>
    <w:p w14:paraId="171C279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（3）未按照国家现行计量规范强制性规定计量的。</w:t>
      </w:r>
    </w:p>
    <w:p w14:paraId="3C1F6D48">
      <w:pPr>
        <w:pStyle w:val="7"/>
        <w:spacing w:before="120" w:after="120" w:line="312" w:lineRule="auto"/>
        <w:rPr>
          <w:rFonts w:hint="eastAsia"/>
          <w:b w:val="0"/>
          <w:color w:val="auto"/>
          <w:sz w:val="24"/>
          <w:szCs w:val="24"/>
          <w:highlight w:val="none"/>
        </w:rPr>
      </w:pPr>
      <w:bookmarkStart w:id="166" w:name="_Toc351203509"/>
      <w:r>
        <w:rPr>
          <w:rFonts w:hint="eastAsia"/>
          <w:b w:val="0"/>
          <w:color w:val="auto"/>
          <w:sz w:val="24"/>
          <w:szCs w:val="24"/>
          <w:highlight w:val="none"/>
        </w:rPr>
        <w:t>2</w:t>
      </w:r>
      <w:bookmarkStart w:id="167" w:name="_Toc296503038"/>
      <w:bookmarkStart w:id="168" w:name="_Toc337558739"/>
      <w:bookmarkStart w:id="169" w:name="_Toc296346539"/>
      <w:bookmarkStart w:id="170" w:name="OLE_LINK1"/>
      <w:bookmarkStart w:id="171" w:name="OLE_LINK2"/>
      <w:r>
        <w:rPr>
          <w:rFonts w:hint="eastAsia"/>
          <w:b w:val="0"/>
          <w:color w:val="auto"/>
          <w:sz w:val="24"/>
          <w:szCs w:val="24"/>
          <w:highlight w:val="none"/>
        </w:rPr>
        <w:t>. 发包人</w:t>
      </w:r>
      <w:bookmarkEnd w:id="166"/>
    </w:p>
    <w:bookmarkEnd w:id="167"/>
    <w:bookmarkEnd w:id="168"/>
    <w:bookmarkEnd w:id="169"/>
    <w:p w14:paraId="7B874F9E">
      <w:pPr>
        <w:pStyle w:val="8"/>
        <w:spacing w:before="120" w:after="120" w:line="312" w:lineRule="auto"/>
        <w:ind w:firstLine="480" w:firstLineChars="200"/>
        <w:rPr>
          <w:rFonts w:hint="eastAsia" w:ascii="宋体" w:hAnsi="宋体" w:cs="宋体"/>
          <w:b w:val="0"/>
          <w:color w:val="auto"/>
          <w:sz w:val="24"/>
          <w:szCs w:val="24"/>
          <w:highlight w:val="none"/>
        </w:rPr>
      </w:pPr>
      <w:bookmarkStart w:id="172" w:name="_Toc351203510"/>
      <w:r>
        <w:rPr>
          <w:rFonts w:hint="eastAsia" w:ascii="宋体" w:hAnsi="宋体" w:cs="宋体"/>
          <w:b w:val="0"/>
          <w:color w:val="auto"/>
          <w:sz w:val="24"/>
          <w:szCs w:val="24"/>
          <w:highlight w:val="none"/>
        </w:rPr>
        <w:t>2</w:t>
      </w:r>
      <w:bookmarkStart w:id="173" w:name="_Toc337558740"/>
      <w:bookmarkStart w:id="174" w:name="_Toc296503039"/>
      <w:bookmarkStart w:id="175" w:name="_Toc296346540"/>
      <w:r>
        <w:rPr>
          <w:rFonts w:hint="eastAsia" w:ascii="宋体" w:hAnsi="宋体" w:cs="宋体"/>
          <w:b w:val="0"/>
          <w:color w:val="auto"/>
          <w:sz w:val="24"/>
          <w:szCs w:val="24"/>
          <w:highlight w:val="none"/>
        </w:rPr>
        <w:t>.1 许可或批准</w:t>
      </w:r>
      <w:bookmarkEnd w:id="172"/>
    </w:p>
    <w:p w14:paraId="56A2BE6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0A000D7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因发包人原因未能及时办理完毕前述许可、批准或备案，由发包人承担由此增加的费用和（或）延误的工期，并支付承包人合理的利润。</w:t>
      </w:r>
    </w:p>
    <w:p w14:paraId="1CFB8863">
      <w:pPr>
        <w:pStyle w:val="8"/>
        <w:spacing w:before="120" w:after="120" w:line="312" w:lineRule="auto"/>
        <w:ind w:firstLine="480" w:firstLineChars="200"/>
        <w:rPr>
          <w:rFonts w:hint="eastAsia" w:ascii="宋体" w:hAnsi="宋体" w:cs="宋体"/>
          <w:b w:val="0"/>
          <w:color w:val="auto"/>
          <w:sz w:val="24"/>
          <w:szCs w:val="24"/>
          <w:highlight w:val="none"/>
        </w:rPr>
      </w:pPr>
      <w:bookmarkStart w:id="176" w:name="_Toc351203511"/>
      <w:r>
        <w:rPr>
          <w:rFonts w:hint="eastAsia" w:ascii="宋体" w:hAnsi="宋体" w:cs="宋体"/>
          <w:b w:val="0"/>
          <w:color w:val="auto"/>
          <w:sz w:val="24"/>
          <w:szCs w:val="24"/>
          <w:highlight w:val="none"/>
        </w:rPr>
        <w:t>2.2 发包人代表</w:t>
      </w:r>
      <w:bookmarkEnd w:id="176"/>
    </w:p>
    <w:p w14:paraId="60E2F03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142DCD57">
      <w:pPr>
        <w:spacing w:line="312"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发包人代表不能按照合同约定履行其职责及义务，并导致合同无法继续正常履行的，承包人可以要求发包人撤换发包人代表。</w:t>
      </w:r>
    </w:p>
    <w:p w14:paraId="620B778B">
      <w:pPr>
        <w:spacing w:line="312" w:lineRule="auto"/>
        <w:ind w:firstLine="480" w:firstLineChars="200"/>
        <w:rPr>
          <w:rFonts w:hint="eastAsia" w:ascii="宋体" w:hAnsi="宋体" w:cs="宋体"/>
          <w:color w:val="auto"/>
          <w:sz w:val="24"/>
          <w:highlight w:val="none"/>
        </w:rPr>
      </w:pPr>
      <w:r>
        <w:rPr>
          <w:rFonts w:hint="eastAsia" w:ascii="宋体" w:hAnsi="宋体" w:cs="宋体"/>
          <w:color w:val="auto"/>
          <w:kern w:val="0"/>
          <w:sz w:val="24"/>
          <w:highlight w:val="none"/>
        </w:rPr>
        <w:t>不属于法定必须监理的工程，监理人的职权可以由发包人代表或发包人指定的其他人员行使。</w:t>
      </w:r>
    </w:p>
    <w:p w14:paraId="698077B8">
      <w:pPr>
        <w:pStyle w:val="8"/>
        <w:spacing w:before="120" w:after="120" w:line="312" w:lineRule="auto"/>
        <w:ind w:firstLine="480" w:firstLineChars="200"/>
        <w:rPr>
          <w:rFonts w:hint="eastAsia" w:ascii="宋体" w:hAnsi="宋体" w:cs="宋体"/>
          <w:b w:val="0"/>
          <w:color w:val="auto"/>
          <w:sz w:val="24"/>
          <w:szCs w:val="24"/>
          <w:highlight w:val="none"/>
        </w:rPr>
      </w:pPr>
      <w:bookmarkStart w:id="177" w:name="_Toc351203512"/>
      <w:r>
        <w:rPr>
          <w:rFonts w:hint="eastAsia" w:ascii="宋体" w:hAnsi="宋体" w:cs="宋体"/>
          <w:b w:val="0"/>
          <w:color w:val="auto"/>
          <w:sz w:val="24"/>
          <w:szCs w:val="24"/>
          <w:highlight w:val="none"/>
        </w:rPr>
        <w:t>2.3 发包人人员</w:t>
      </w:r>
      <w:bookmarkEnd w:id="177"/>
    </w:p>
    <w:p w14:paraId="71C8FED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发包人应要求在施工现场的发包人人员遵守法律及有关安全、质量、环境保护、文明施工等规定，并保障承包人免于承受因发包人人员未遵守上述要求给承包人造成的损失和责任。</w:t>
      </w:r>
    </w:p>
    <w:p w14:paraId="55228525">
      <w:pPr>
        <w:spacing w:line="312" w:lineRule="auto"/>
        <w:ind w:firstLine="64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发包人人员包括发包人代表及其他由发包人派驻施工现场的人员。</w:t>
      </w:r>
      <w:bookmarkEnd w:id="173"/>
      <w:bookmarkEnd w:id="174"/>
      <w:bookmarkEnd w:id="175"/>
    </w:p>
    <w:p w14:paraId="3D98624B">
      <w:pPr>
        <w:pStyle w:val="8"/>
        <w:spacing w:before="120" w:after="120" w:line="312" w:lineRule="auto"/>
        <w:ind w:firstLine="480" w:firstLineChars="200"/>
        <w:rPr>
          <w:rFonts w:hint="eastAsia" w:ascii="宋体" w:hAnsi="宋体" w:cs="宋体"/>
          <w:b w:val="0"/>
          <w:color w:val="auto"/>
          <w:sz w:val="24"/>
          <w:szCs w:val="24"/>
          <w:highlight w:val="none"/>
        </w:rPr>
      </w:pPr>
      <w:bookmarkStart w:id="178" w:name="_Toc351203513"/>
      <w:r>
        <w:rPr>
          <w:rFonts w:hint="eastAsia" w:ascii="宋体" w:hAnsi="宋体" w:cs="宋体"/>
          <w:b w:val="0"/>
          <w:color w:val="auto"/>
          <w:sz w:val="24"/>
          <w:szCs w:val="24"/>
          <w:highlight w:val="none"/>
        </w:rPr>
        <w:t>2</w:t>
      </w:r>
      <w:bookmarkStart w:id="179" w:name="_Toc296346541"/>
      <w:bookmarkStart w:id="180" w:name="_Toc296503040"/>
      <w:bookmarkStart w:id="181" w:name="_Toc337558741"/>
      <w:r>
        <w:rPr>
          <w:rFonts w:hint="eastAsia" w:ascii="宋体" w:hAnsi="宋体" w:cs="宋体"/>
          <w:b w:val="0"/>
          <w:color w:val="auto"/>
          <w:sz w:val="24"/>
          <w:szCs w:val="24"/>
          <w:highlight w:val="none"/>
        </w:rPr>
        <w:t>.4 施工现场、施工条件和基础资料的提供</w:t>
      </w:r>
      <w:bookmarkEnd w:id="178"/>
      <w:r>
        <w:rPr>
          <w:rFonts w:hint="eastAsia" w:ascii="宋体" w:hAnsi="宋体" w:cs="宋体"/>
          <w:b w:val="0"/>
          <w:color w:val="auto"/>
          <w:sz w:val="24"/>
          <w:szCs w:val="24"/>
          <w:highlight w:val="none"/>
        </w:rPr>
        <w:t xml:space="preserve"> </w:t>
      </w:r>
      <w:bookmarkEnd w:id="179"/>
      <w:bookmarkEnd w:id="180"/>
      <w:bookmarkEnd w:id="181"/>
      <w:r>
        <w:rPr>
          <w:rFonts w:hint="eastAsia" w:ascii="宋体" w:hAnsi="宋体" w:cs="宋体"/>
          <w:b w:val="0"/>
          <w:color w:val="auto"/>
          <w:sz w:val="24"/>
          <w:szCs w:val="24"/>
          <w:highlight w:val="none"/>
        </w:rPr>
        <w:t xml:space="preserve"> </w:t>
      </w:r>
    </w:p>
    <w:p w14:paraId="23705DA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2.4.1 提供施工现场</w:t>
      </w:r>
    </w:p>
    <w:p w14:paraId="01754E0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w:t>
      </w:r>
      <w:bookmarkEnd w:id="170"/>
      <w:bookmarkEnd w:id="171"/>
      <w:r>
        <w:rPr>
          <w:rFonts w:hint="eastAsia" w:ascii="宋体" w:hAnsi="宋体" w:cs="宋体"/>
          <w:color w:val="auto"/>
          <w:kern w:val="0"/>
          <w:sz w:val="24"/>
          <w:highlight w:val="none"/>
        </w:rPr>
        <w:t>专用合同条款另有约定外，发包人应最迟于开工日期7天前向承包人移交施工现场。</w:t>
      </w:r>
    </w:p>
    <w:p w14:paraId="1C6EA26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2.4.2 提供施工条件</w:t>
      </w:r>
    </w:p>
    <w:p w14:paraId="0F52488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除专用合同条款另有约定外，发包人应负责提供施工所需要的条件，包括：</w:t>
      </w:r>
    </w:p>
    <w:p w14:paraId="7A5963C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（1）将施工用水、电力、通讯线路等施工所必需的条件接至施工现场内；</w:t>
      </w:r>
    </w:p>
    <w:p w14:paraId="5590E29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（2）保证向承包人提供正常施工所需要的进入施工现场的交通条件；</w:t>
      </w:r>
    </w:p>
    <w:p w14:paraId="040E9F2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（3）协调处理施工现场周围地下管线和邻近建筑物、构筑物、古树名木的保护工作，并承担相关费用；</w:t>
      </w:r>
    </w:p>
    <w:p w14:paraId="119E45E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（4）按照专用合同条款约定应提供的其他设施和条件。</w:t>
      </w:r>
    </w:p>
    <w:p w14:paraId="5FC8FB1A">
      <w:pPr>
        <w:autoSpaceDE w:val="0"/>
        <w:autoSpaceDN w:val="0"/>
        <w:adjustRightInd w:val="0"/>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kern w:val="0"/>
          <w:sz w:val="24"/>
          <w:highlight w:val="none"/>
        </w:rPr>
        <w:t>2.4.3 提供基础资料</w:t>
      </w:r>
    </w:p>
    <w:p w14:paraId="4EDE17F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11F8BB3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按照法律规定确需在开工后方能提供的基础资料，发包人应尽其努力及时地在相应工程施工前的合理期限内提供，合理期限应以不影响承包人的正常施工为限。</w:t>
      </w:r>
    </w:p>
    <w:p w14:paraId="0EDA2EB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2.4.4 逾期提供的责任</w:t>
      </w:r>
    </w:p>
    <w:p w14:paraId="5C8CD49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因发包人原因未能按合同约定及时向承包人提供施工现场、施工条件、基础资料的，由发包人承担由此增加的费用和（或）延误的工期。</w:t>
      </w:r>
    </w:p>
    <w:p w14:paraId="58D3B84B">
      <w:pPr>
        <w:pStyle w:val="8"/>
        <w:spacing w:before="120" w:after="120" w:line="312" w:lineRule="auto"/>
        <w:ind w:firstLine="480" w:firstLineChars="200"/>
        <w:rPr>
          <w:rFonts w:hint="eastAsia" w:ascii="宋体" w:hAnsi="宋体" w:cs="宋体"/>
          <w:b w:val="0"/>
          <w:color w:val="auto"/>
          <w:sz w:val="24"/>
          <w:szCs w:val="24"/>
          <w:highlight w:val="none"/>
        </w:rPr>
      </w:pPr>
      <w:bookmarkStart w:id="182" w:name="_Toc351203514"/>
      <w:r>
        <w:rPr>
          <w:rFonts w:hint="eastAsia" w:ascii="宋体" w:hAnsi="宋体" w:cs="宋体"/>
          <w:b w:val="0"/>
          <w:color w:val="auto"/>
          <w:sz w:val="24"/>
          <w:szCs w:val="24"/>
          <w:highlight w:val="none"/>
        </w:rPr>
        <w:t>2</w:t>
      </w:r>
      <w:bookmarkStart w:id="183" w:name="_Toc296346543"/>
      <w:bookmarkStart w:id="184" w:name="_Toc296503042"/>
      <w:bookmarkStart w:id="185" w:name="_Toc337558745"/>
      <w:r>
        <w:rPr>
          <w:rFonts w:hint="eastAsia" w:ascii="宋体" w:hAnsi="宋体" w:cs="宋体"/>
          <w:b w:val="0"/>
          <w:color w:val="auto"/>
          <w:sz w:val="24"/>
          <w:szCs w:val="24"/>
          <w:highlight w:val="none"/>
        </w:rPr>
        <w:t>.5 资</w:t>
      </w:r>
      <w:bookmarkEnd w:id="183"/>
      <w:bookmarkEnd w:id="184"/>
      <w:bookmarkEnd w:id="185"/>
      <w:r>
        <w:rPr>
          <w:rFonts w:hint="eastAsia" w:ascii="宋体" w:hAnsi="宋体" w:cs="宋体"/>
          <w:b w:val="0"/>
          <w:color w:val="auto"/>
          <w:sz w:val="24"/>
          <w:szCs w:val="24"/>
          <w:highlight w:val="none"/>
        </w:rPr>
        <w:t>金来源证明及支付担保</w:t>
      </w:r>
      <w:bookmarkEnd w:id="182"/>
    </w:p>
    <w:p w14:paraId="59EC12F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除专用合同条款另有约定外，发包人应在收到承包人要求提供资金来源证明的书面通知后28天内，向承包人提供能够按照合同约定支付合同价款的相应资金来源证明。</w:t>
      </w:r>
    </w:p>
    <w:p w14:paraId="288F44FC">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除专用合同条款另有约定外，发包人要求承包人提供履约担保的，发包人应当向承包人提供支付担保。支付担保可以采用银行保函或担保公司担保等形式，具体由合同当事人在专用合同条款中约定。</w:t>
      </w:r>
    </w:p>
    <w:p w14:paraId="2A1FA818">
      <w:pPr>
        <w:pStyle w:val="8"/>
        <w:spacing w:before="120" w:after="120" w:line="312" w:lineRule="auto"/>
        <w:ind w:firstLine="480" w:firstLineChars="200"/>
        <w:rPr>
          <w:rFonts w:hint="eastAsia" w:ascii="宋体" w:hAnsi="宋体" w:cs="宋体"/>
          <w:b w:val="0"/>
          <w:color w:val="auto"/>
          <w:sz w:val="24"/>
          <w:szCs w:val="24"/>
          <w:highlight w:val="none"/>
        </w:rPr>
      </w:pPr>
      <w:bookmarkStart w:id="186" w:name="_Toc351203515"/>
      <w:r>
        <w:rPr>
          <w:rFonts w:hint="eastAsia" w:ascii="宋体" w:hAnsi="宋体" w:cs="宋体"/>
          <w:b w:val="0"/>
          <w:color w:val="auto"/>
          <w:sz w:val="24"/>
          <w:szCs w:val="24"/>
          <w:highlight w:val="none"/>
        </w:rPr>
        <w:t>2.6 支付合同价款</w:t>
      </w:r>
      <w:bookmarkEnd w:id="186"/>
    </w:p>
    <w:p w14:paraId="5720D5B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发包人应按合同约定向承包人及时支付合同价款。</w:t>
      </w:r>
    </w:p>
    <w:p w14:paraId="0504367C">
      <w:pPr>
        <w:pStyle w:val="8"/>
        <w:spacing w:before="120" w:after="120" w:line="312" w:lineRule="auto"/>
        <w:ind w:firstLine="480" w:firstLineChars="200"/>
        <w:rPr>
          <w:rFonts w:hint="eastAsia" w:ascii="宋体" w:hAnsi="宋体" w:cs="宋体"/>
          <w:b w:val="0"/>
          <w:color w:val="auto"/>
          <w:sz w:val="24"/>
          <w:szCs w:val="24"/>
          <w:highlight w:val="none"/>
        </w:rPr>
      </w:pPr>
      <w:bookmarkStart w:id="187" w:name="_Toc351203516"/>
      <w:r>
        <w:rPr>
          <w:rFonts w:hint="eastAsia" w:ascii="宋体" w:hAnsi="宋体" w:cs="宋体"/>
          <w:b w:val="0"/>
          <w:color w:val="auto"/>
          <w:sz w:val="24"/>
          <w:szCs w:val="24"/>
          <w:highlight w:val="none"/>
        </w:rPr>
        <w:t>2.7 组织竣工验收</w:t>
      </w:r>
      <w:bookmarkEnd w:id="187"/>
    </w:p>
    <w:p w14:paraId="364651B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发包人应按合同约定及时组织竣工验收。</w:t>
      </w:r>
    </w:p>
    <w:p w14:paraId="2760C970">
      <w:pPr>
        <w:pStyle w:val="8"/>
        <w:spacing w:before="120" w:after="120" w:line="312" w:lineRule="auto"/>
        <w:ind w:firstLine="480" w:firstLineChars="200"/>
        <w:rPr>
          <w:rFonts w:hint="eastAsia" w:ascii="宋体" w:hAnsi="宋体" w:cs="宋体"/>
          <w:b w:val="0"/>
          <w:color w:val="auto"/>
          <w:sz w:val="24"/>
          <w:szCs w:val="24"/>
          <w:highlight w:val="none"/>
        </w:rPr>
      </w:pPr>
      <w:bookmarkStart w:id="188" w:name="_Toc351203517"/>
      <w:r>
        <w:rPr>
          <w:rFonts w:hint="eastAsia" w:ascii="宋体" w:hAnsi="宋体" w:cs="宋体"/>
          <w:b w:val="0"/>
          <w:color w:val="auto"/>
          <w:sz w:val="24"/>
          <w:szCs w:val="24"/>
          <w:highlight w:val="none"/>
        </w:rPr>
        <w:t>2.8 现场统一管理协议</w:t>
      </w:r>
      <w:bookmarkEnd w:id="188"/>
    </w:p>
    <w:p w14:paraId="6759720C">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发包人应与承包人、由发包人直接发包的专业工程的承包人签订施工现场统一管理协议，明确各方的权利义务。施工现场统一管理协议作为专用合同条款的附件。</w:t>
      </w:r>
    </w:p>
    <w:p w14:paraId="19007803">
      <w:pPr>
        <w:pStyle w:val="7"/>
        <w:spacing w:before="120" w:after="120" w:line="312" w:lineRule="auto"/>
        <w:rPr>
          <w:rFonts w:hint="eastAsia"/>
          <w:b w:val="0"/>
          <w:color w:val="auto"/>
          <w:sz w:val="24"/>
          <w:szCs w:val="24"/>
          <w:highlight w:val="none"/>
        </w:rPr>
      </w:pPr>
      <w:bookmarkStart w:id="189" w:name="_Toc351203518"/>
      <w:r>
        <w:rPr>
          <w:rFonts w:hint="eastAsia"/>
          <w:b w:val="0"/>
          <w:color w:val="auto"/>
          <w:sz w:val="24"/>
          <w:szCs w:val="24"/>
          <w:highlight w:val="none"/>
        </w:rPr>
        <w:t>3</w:t>
      </w:r>
      <w:bookmarkStart w:id="190" w:name="_Toc296503045"/>
      <w:bookmarkStart w:id="191" w:name="_Toc296346546"/>
      <w:bookmarkStart w:id="192" w:name="_Toc337558746"/>
      <w:r>
        <w:rPr>
          <w:rFonts w:hint="eastAsia"/>
          <w:b w:val="0"/>
          <w:color w:val="auto"/>
          <w:sz w:val="24"/>
          <w:szCs w:val="24"/>
          <w:highlight w:val="none"/>
        </w:rPr>
        <w:t>. 承包人</w:t>
      </w:r>
      <w:bookmarkEnd w:id="189"/>
    </w:p>
    <w:bookmarkEnd w:id="190"/>
    <w:bookmarkEnd w:id="191"/>
    <w:bookmarkEnd w:id="192"/>
    <w:p w14:paraId="43C8753A">
      <w:pPr>
        <w:pStyle w:val="8"/>
        <w:spacing w:before="120" w:after="120" w:line="312" w:lineRule="auto"/>
        <w:ind w:firstLine="480" w:firstLineChars="200"/>
        <w:rPr>
          <w:rFonts w:hint="eastAsia" w:ascii="宋体" w:hAnsi="宋体" w:cs="宋体"/>
          <w:b w:val="0"/>
          <w:color w:val="auto"/>
          <w:sz w:val="24"/>
          <w:szCs w:val="24"/>
          <w:highlight w:val="none"/>
        </w:rPr>
      </w:pPr>
      <w:bookmarkStart w:id="193" w:name="_Toc351203519"/>
      <w:r>
        <w:rPr>
          <w:rFonts w:hint="eastAsia" w:ascii="宋体" w:hAnsi="宋体" w:cs="宋体"/>
          <w:b w:val="0"/>
          <w:color w:val="auto"/>
          <w:sz w:val="24"/>
          <w:szCs w:val="24"/>
          <w:highlight w:val="none"/>
        </w:rPr>
        <w:t>3</w:t>
      </w:r>
      <w:bookmarkStart w:id="194" w:name="_Toc296503046"/>
      <w:bookmarkStart w:id="195" w:name="_Toc337558747"/>
      <w:bookmarkStart w:id="196" w:name="_Toc296346547"/>
      <w:r>
        <w:rPr>
          <w:rFonts w:hint="eastAsia" w:ascii="宋体" w:hAnsi="宋体" w:cs="宋体"/>
          <w:b w:val="0"/>
          <w:color w:val="auto"/>
          <w:sz w:val="24"/>
          <w:szCs w:val="24"/>
          <w:highlight w:val="none"/>
        </w:rPr>
        <w:t>.1 承包人的一般义务</w:t>
      </w:r>
      <w:bookmarkEnd w:id="193"/>
    </w:p>
    <w:bookmarkEnd w:id="194"/>
    <w:bookmarkEnd w:id="195"/>
    <w:bookmarkEnd w:id="196"/>
    <w:p w14:paraId="7CC0A52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承包人在履行合同过程中应遵守法律和工程建设标准规范，并履行以下义务：</w:t>
      </w:r>
    </w:p>
    <w:p w14:paraId="52C96324">
      <w:pPr>
        <w:numPr>
          <w:ilvl w:val="0"/>
          <w:numId w:val="4"/>
        </w:num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办理法律规定应由承包人办理的许可和批准，并将办理结果书面报送发包人留存；</w:t>
      </w:r>
    </w:p>
    <w:p w14:paraId="74160F0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（2）按法律规定和合同约定完成工程，并在保修期内承担保修义务；</w:t>
      </w:r>
    </w:p>
    <w:p w14:paraId="164C193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（3）按法律规定和合同约定采取施工安全和环境保护措施，办理工伤保险，确保工程及人员、材料、设备和设施的安全；</w:t>
      </w:r>
    </w:p>
    <w:p w14:paraId="405CC59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（4）按合同约定的工作内容和施工进度要求，编制施工组织设计和施工措施计划，并对所有施工作业和施工方法的完备性和安全可靠性负责；</w:t>
      </w:r>
    </w:p>
    <w:p w14:paraId="362C9B9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400FD67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（6）按照第6.3款〔环境保护〕约定负责施工场地及其周边环境与生态的保护工作；</w:t>
      </w:r>
    </w:p>
    <w:p w14:paraId="682F321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（7）按第6.1款〔安全文明施工〕约定采取施工安全措施，确保工程及其人员、材料、设备和设施的安全，防止因工程施工造成的人身伤害和财产损失；</w:t>
      </w:r>
    </w:p>
    <w:p w14:paraId="17A10A7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（8）将发包人按合同约定支付的各项价款专用于合同工程，且应及时支付其雇用人员工资，并及时向分包人支付合同价款；</w:t>
      </w:r>
    </w:p>
    <w:p w14:paraId="70CB5BE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（9）按照法律规定和合同约定编制竣工资料，完成竣工资料立卷及归档，并按专用合同条款约定的竣工资料的套数、内容、时间等要求移交发包人；</w:t>
      </w:r>
    </w:p>
    <w:p w14:paraId="5221721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（10）应履行的其他义务。</w:t>
      </w:r>
    </w:p>
    <w:p w14:paraId="6E4A60A1">
      <w:pPr>
        <w:pStyle w:val="8"/>
        <w:spacing w:before="120" w:after="120" w:line="312" w:lineRule="auto"/>
        <w:ind w:firstLine="480" w:firstLineChars="200"/>
        <w:rPr>
          <w:rFonts w:hint="eastAsia" w:ascii="宋体" w:hAnsi="宋体" w:cs="宋体"/>
          <w:b w:val="0"/>
          <w:color w:val="auto"/>
          <w:sz w:val="24"/>
          <w:szCs w:val="24"/>
          <w:highlight w:val="none"/>
        </w:rPr>
      </w:pPr>
      <w:bookmarkStart w:id="197" w:name="_Toc351203520"/>
      <w:r>
        <w:rPr>
          <w:rFonts w:hint="eastAsia" w:ascii="宋体" w:hAnsi="宋体" w:cs="宋体"/>
          <w:b w:val="0"/>
          <w:color w:val="auto"/>
          <w:sz w:val="24"/>
          <w:szCs w:val="24"/>
          <w:highlight w:val="none"/>
        </w:rPr>
        <w:t>3</w:t>
      </w:r>
      <w:bookmarkStart w:id="198" w:name="_Toc296503047"/>
      <w:bookmarkStart w:id="199" w:name="_Toc337558748"/>
      <w:bookmarkStart w:id="200" w:name="_Toc296346548"/>
      <w:r>
        <w:rPr>
          <w:rFonts w:hint="eastAsia" w:ascii="宋体" w:hAnsi="宋体" w:cs="宋体"/>
          <w:b w:val="0"/>
          <w:color w:val="auto"/>
          <w:sz w:val="24"/>
          <w:szCs w:val="24"/>
          <w:highlight w:val="none"/>
        </w:rPr>
        <w:t xml:space="preserve">.2 </w:t>
      </w:r>
      <w:bookmarkEnd w:id="197"/>
      <w:r>
        <w:rPr>
          <w:rFonts w:hint="eastAsia" w:ascii="宋体" w:hAnsi="宋体" w:cs="宋体"/>
          <w:b w:val="0"/>
          <w:color w:val="auto"/>
          <w:sz w:val="24"/>
          <w:szCs w:val="24"/>
          <w:highlight w:val="none"/>
        </w:rPr>
        <w:t>项目经理</w:t>
      </w:r>
    </w:p>
    <w:bookmarkEnd w:id="198"/>
    <w:bookmarkEnd w:id="199"/>
    <w:bookmarkEnd w:id="200"/>
    <w:p w14:paraId="7C2BBB1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212082A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505A7B7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承包人违反上述约定的，应按照专用合同条款的约定，承担违约责任。</w:t>
      </w:r>
    </w:p>
    <w:p w14:paraId="3F2ADE6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38CAA39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32EF1E5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062670A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3.2.5 项目经理因特殊情况授权其下属人员履行其某项工作职责的，该下属人员应具备履行相应职责的能力，并应提前7天将上述人员的姓名和授权范围书面通知监理人，并征得发包人书面同意。</w:t>
      </w:r>
    </w:p>
    <w:p w14:paraId="1C5B257B">
      <w:pPr>
        <w:pStyle w:val="8"/>
        <w:spacing w:before="120" w:after="120" w:line="312" w:lineRule="auto"/>
        <w:ind w:firstLine="480" w:firstLineChars="200"/>
        <w:rPr>
          <w:rFonts w:hint="eastAsia" w:ascii="宋体" w:hAnsi="宋体" w:cs="宋体"/>
          <w:b w:val="0"/>
          <w:color w:val="auto"/>
          <w:sz w:val="24"/>
          <w:szCs w:val="24"/>
          <w:highlight w:val="none"/>
        </w:rPr>
      </w:pPr>
      <w:bookmarkStart w:id="201" w:name="_Toc351203521"/>
      <w:r>
        <w:rPr>
          <w:rFonts w:hint="eastAsia" w:ascii="宋体" w:hAnsi="宋体" w:cs="宋体"/>
          <w:b w:val="0"/>
          <w:color w:val="auto"/>
          <w:sz w:val="24"/>
          <w:szCs w:val="24"/>
          <w:highlight w:val="none"/>
        </w:rPr>
        <w:t>3</w:t>
      </w:r>
      <w:bookmarkStart w:id="202" w:name="_Toc296346549"/>
      <w:bookmarkStart w:id="203" w:name="_Toc296503048"/>
      <w:bookmarkStart w:id="204" w:name="_Toc337558749"/>
      <w:r>
        <w:rPr>
          <w:rFonts w:hint="eastAsia" w:ascii="宋体" w:hAnsi="宋体" w:cs="宋体"/>
          <w:b w:val="0"/>
          <w:color w:val="auto"/>
          <w:sz w:val="24"/>
          <w:szCs w:val="24"/>
          <w:highlight w:val="none"/>
        </w:rPr>
        <w:t xml:space="preserve">.3 </w:t>
      </w:r>
      <w:bookmarkEnd w:id="202"/>
      <w:bookmarkEnd w:id="203"/>
      <w:r>
        <w:rPr>
          <w:rFonts w:hint="eastAsia" w:ascii="宋体" w:hAnsi="宋体" w:cs="宋体"/>
          <w:b w:val="0"/>
          <w:color w:val="auto"/>
          <w:sz w:val="24"/>
          <w:szCs w:val="24"/>
          <w:highlight w:val="none"/>
        </w:rPr>
        <w:t>承包人人员</w:t>
      </w:r>
      <w:bookmarkEnd w:id="201"/>
    </w:p>
    <w:bookmarkEnd w:id="204"/>
    <w:p w14:paraId="7E1A82D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68A7DD1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604B1A3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特殊工种作业人员均应持有相应的资格证明，监理人可以随时检查。</w:t>
      </w:r>
    </w:p>
    <w:p w14:paraId="7C10496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6A83645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42C55B0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3.3.5 承包人擅自更换主要施工管理人员，或前述人员未经监理人或发包人同意擅自离开施工现场的，应按照专用合同条款约定承担违约责任。</w:t>
      </w:r>
    </w:p>
    <w:p w14:paraId="7D92BBA1">
      <w:pPr>
        <w:pStyle w:val="8"/>
        <w:spacing w:before="120" w:after="120" w:line="312" w:lineRule="auto"/>
        <w:ind w:firstLine="480" w:firstLineChars="200"/>
        <w:rPr>
          <w:rFonts w:hint="eastAsia" w:ascii="宋体" w:hAnsi="宋体" w:cs="宋体"/>
          <w:b w:val="0"/>
          <w:color w:val="auto"/>
          <w:sz w:val="24"/>
          <w:szCs w:val="24"/>
          <w:highlight w:val="none"/>
        </w:rPr>
      </w:pPr>
      <w:bookmarkStart w:id="205" w:name="_Toc351203522"/>
      <w:r>
        <w:rPr>
          <w:rFonts w:hint="eastAsia" w:ascii="宋体" w:hAnsi="宋体" w:cs="宋体"/>
          <w:b w:val="0"/>
          <w:color w:val="auto"/>
          <w:sz w:val="24"/>
          <w:szCs w:val="24"/>
          <w:highlight w:val="none"/>
        </w:rPr>
        <w:t>3</w:t>
      </w:r>
      <w:bookmarkStart w:id="206" w:name="_Toc337558750"/>
      <w:bookmarkStart w:id="207" w:name="_Toc296503050"/>
      <w:bookmarkStart w:id="208" w:name="_Toc296346551"/>
      <w:r>
        <w:rPr>
          <w:rFonts w:hint="eastAsia" w:ascii="宋体" w:hAnsi="宋体" w:cs="宋体"/>
          <w:b w:val="0"/>
          <w:color w:val="auto"/>
          <w:sz w:val="24"/>
          <w:szCs w:val="24"/>
          <w:highlight w:val="none"/>
        </w:rPr>
        <w:t>.4 承包人现场查勘</w:t>
      </w:r>
      <w:bookmarkEnd w:id="205"/>
    </w:p>
    <w:bookmarkEnd w:id="206"/>
    <w:bookmarkEnd w:id="207"/>
    <w:bookmarkEnd w:id="208"/>
    <w:p w14:paraId="0E9F4231">
      <w:pPr>
        <w:autoSpaceDE w:val="0"/>
        <w:autoSpaceDN w:val="0"/>
        <w:adjustRightInd w:val="0"/>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kern w:val="0"/>
          <w:sz w:val="24"/>
          <w:highlight w:val="none"/>
        </w:rPr>
        <w:t>承包人应对基于发包人按照第2.4.3项〔提供基础资料〕提交的基础资料所做出的解释和推断负责，但因基础资料存在错误、遗漏导致承包人解释或推断失实的，由发包人承担责任。</w:t>
      </w:r>
    </w:p>
    <w:p w14:paraId="586CDBD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6E06062F">
      <w:pPr>
        <w:pStyle w:val="8"/>
        <w:spacing w:before="120" w:after="120" w:line="312" w:lineRule="auto"/>
        <w:ind w:firstLine="480" w:firstLineChars="200"/>
        <w:rPr>
          <w:rFonts w:hint="eastAsia" w:ascii="宋体" w:hAnsi="宋体" w:cs="宋体"/>
          <w:b w:val="0"/>
          <w:color w:val="auto"/>
          <w:sz w:val="24"/>
          <w:szCs w:val="24"/>
          <w:highlight w:val="none"/>
        </w:rPr>
      </w:pPr>
      <w:bookmarkStart w:id="209" w:name="_Toc351203523"/>
      <w:r>
        <w:rPr>
          <w:rFonts w:hint="eastAsia" w:ascii="宋体" w:hAnsi="宋体" w:cs="宋体"/>
          <w:b w:val="0"/>
          <w:color w:val="auto"/>
          <w:sz w:val="24"/>
          <w:szCs w:val="24"/>
          <w:highlight w:val="none"/>
        </w:rPr>
        <w:t>3</w:t>
      </w:r>
      <w:bookmarkStart w:id="210" w:name="_Toc296503051"/>
      <w:bookmarkStart w:id="211" w:name="_Toc296346552"/>
      <w:bookmarkStart w:id="212" w:name="_Toc337558751"/>
      <w:r>
        <w:rPr>
          <w:rFonts w:hint="eastAsia" w:ascii="宋体" w:hAnsi="宋体" w:cs="宋体"/>
          <w:b w:val="0"/>
          <w:color w:val="auto"/>
          <w:sz w:val="24"/>
          <w:szCs w:val="24"/>
          <w:highlight w:val="none"/>
        </w:rPr>
        <w:t>.5 分包</w:t>
      </w:r>
      <w:bookmarkEnd w:id="209"/>
    </w:p>
    <w:bookmarkEnd w:id="210"/>
    <w:bookmarkEnd w:id="211"/>
    <w:bookmarkEnd w:id="212"/>
    <w:p w14:paraId="001DF624">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3.5.1 分包的一般约定</w:t>
      </w:r>
    </w:p>
    <w:p w14:paraId="2D5DBD0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0BB8F334">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承包人不得以劳务分包的名义转包或违法分包工程。</w:t>
      </w:r>
    </w:p>
    <w:p w14:paraId="13E76D2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3.5.2 分包的确定</w:t>
      </w:r>
    </w:p>
    <w:p w14:paraId="77C3B75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2CE03C8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3.5.3 分包管理</w:t>
      </w:r>
    </w:p>
    <w:p w14:paraId="3F8B080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承包人应向监理人提交分包人的主要施工管理人员表，并对分包人的施工人员进行实名制管理，包括但不限于进出场管理、登记造册以及各种证照的办理。</w:t>
      </w:r>
    </w:p>
    <w:p w14:paraId="1EDC7B4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3.5.4 分包合同价款</w:t>
      </w:r>
    </w:p>
    <w:p w14:paraId="12CD2E3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（1）除本项第（2）目约定的情况或专用合同条款另有约定外，分包合同价款由承包人与分包人结算，未经承包人同意，发包人不得向分包人支付分包工程价款；</w:t>
      </w:r>
    </w:p>
    <w:p w14:paraId="0075003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（2）生效法律文书要求发包人向分包人支付分包合同价款的，发包人有权从应付承包人工程款中扣除该部分款项。</w:t>
      </w:r>
    </w:p>
    <w:p w14:paraId="5EB5DF2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3.5.5 分包合同权益的转让</w:t>
      </w:r>
    </w:p>
    <w:p w14:paraId="2A9DF797">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213" w:name="_Toc351203524"/>
    </w:p>
    <w:p w14:paraId="3CECB102">
      <w:pPr>
        <w:pStyle w:val="8"/>
        <w:spacing w:before="120" w:after="120" w:line="312" w:lineRule="auto"/>
        <w:ind w:firstLine="480" w:firstLineChars="200"/>
        <w:rPr>
          <w:rFonts w:hint="eastAsia" w:ascii="宋体" w:hAnsi="宋体" w:cs="宋体"/>
          <w:b w:val="0"/>
          <w:color w:val="auto"/>
          <w:sz w:val="24"/>
          <w:szCs w:val="24"/>
          <w:highlight w:val="none"/>
        </w:rPr>
      </w:pPr>
      <w:r>
        <w:rPr>
          <w:rFonts w:hint="eastAsia" w:ascii="宋体" w:hAnsi="宋体" w:cs="宋体"/>
          <w:b w:val="0"/>
          <w:color w:val="auto"/>
          <w:sz w:val="24"/>
          <w:szCs w:val="24"/>
          <w:highlight w:val="none"/>
        </w:rPr>
        <w:t>3.6 工程照管与成品、半成品保护</w:t>
      </w:r>
      <w:bookmarkEnd w:id="213"/>
    </w:p>
    <w:p w14:paraId="006B168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（1）除专用合同条款另有约定外，自发包人向承包人移交施工现场之日起，承包人应负责照管工程及工程相关的材料、工程设备，直到颁发工程接收证书之日止。</w:t>
      </w:r>
    </w:p>
    <w:p w14:paraId="037EE4D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（2）在承包人负责照管期间，因承包人原因造成工程、材料、工程设备损坏的，由承包人负责修复或更换，并承担由此增加的费用和（或）延误的工期。</w:t>
      </w:r>
    </w:p>
    <w:p w14:paraId="697BFB3C">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（3）对合同内分期完成的成品和半成品，在工程接收证书颁发前，由承包人承担保护责任。因承包人原因造成成品或半成品损坏的，由承包人负责修复或更换，并承担由此增加的费用和（或）延误的工期。</w:t>
      </w:r>
    </w:p>
    <w:p w14:paraId="09CABC37">
      <w:pPr>
        <w:pStyle w:val="8"/>
        <w:spacing w:before="120" w:after="120" w:line="312" w:lineRule="auto"/>
        <w:ind w:firstLine="480" w:firstLineChars="200"/>
        <w:rPr>
          <w:rFonts w:hint="eastAsia" w:ascii="宋体" w:hAnsi="宋体" w:cs="宋体"/>
          <w:b w:val="0"/>
          <w:color w:val="auto"/>
          <w:sz w:val="24"/>
          <w:szCs w:val="24"/>
          <w:highlight w:val="none"/>
        </w:rPr>
      </w:pPr>
      <w:bookmarkStart w:id="214" w:name="_Toc351203525"/>
      <w:r>
        <w:rPr>
          <w:rFonts w:hint="eastAsia" w:ascii="宋体" w:hAnsi="宋体" w:cs="宋体"/>
          <w:b w:val="0"/>
          <w:color w:val="auto"/>
          <w:sz w:val="24"/>
          <w:szCs w:val="24"/>
          <w:highlight w:val="none"/>
        </w:rPr>
        <w:t>3</w:t>
      </w:r>
      <w:bookmarkStart w:id="215" w:name="_Toc337558752"/>
      <w:bookmarkStart w:id="216" w:name="_Toc296346553"/>
      <w:bookmarkStart w:id="217" w:name="_Toc296503052"/>
      <w:r>
        <w:rPr>
          <w:rFonts w:hint="eastAsia" w:ascii="宋体" w:hAnsi="宋体" w:cs="宋体"/>
          <w:b w:val="0"/>
          <w:color w:val="auto"/>
          <w:sz w:val="24"/>
          <w:szCs w:val="24"/>
          <w:highlight w:val="none"/>
        </w:rPr>
        <w:t>.7 履约担保</w:t>
      </w:r>
      <w:bookmarkEnd w:id="214"/>
    </w:p>
    <w:bookmarkEnd w:id="215"/>
    <w:bookmarkEnd w:id="216"/>
    <w:bookmarkEnd w:id="217"/>
    <w:p w14:paraId="707D521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2E116D2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因承包人原因导致工期延长的，继续提供履约担保所增加的费用由承包人承担；非因承包人原因导致工期延长的，继续提供履约担保所增加的费用由发包人承担。</w:t>
      </w:r>
    </w:p>
    <w:p w14:paraId="7C442304">
      <w:pPr>
        <w:pStyle w:val="8"/>
        <w:spacing w:before="120" w:after="120" w:line="312" w:lineRule="auto"/>
        <w:ind w:firstLine="480" w:firstLineChars="200"/>
        <w:rPr>
          <w:rFonts w:hint="eastAsia" w:ascii="宋体" w:hAnsi="宋体" w:cs="宋体"/>
          <w:b w:val="0"/>
          <w:color w:val="auto"/>
          <w:sz w:val="24"/>
          <w:szCs w:val="24"/>
          <w:highlight w:val="none"/>
        </w:rPr>
      </w:pPr>
      <w:bookmarkStart w:id="218" w:name="_Toc351203526"/>
      <w:r>
        <w:rPr>
          <w:rFonts w:hint="eastAsia" w:ascii="宋体" w:hAnsi="宋体" w:cs="宋体"/>
          <w:b w:val="0"/>
          <w:color w:val="auto"/>
          <w:sz w:val="24"/>
          <w:szCs w:val="24"/>
          <w:highlight w:val="none"/>
        </w:rPr>
        <w:t>3.8 联合体</w:t>
      </w:r>
      <w:bookmarkEnd w:id="218"/>
    </w:p>
    <w:p w14:paraId="45A03E8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3.8.1 联合体各方应共同与发包人签订合同协议书。联合体各方应为履行合同向发包人承担连带责任。</w:t>
      </w:r>
    </w:p>
    <w:p w14:paraId="263D0D6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3.8.2 联合体协议经发包人确认后作为合同附件。在履行合同过程中，未经发包人同意，不得修改联合体协议。</w:t>
      </w:r>
    </w:p>
    <w:p w14:paraId="1696D75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3.8.3 联合体牵头人负责与发包人和监理人联系，并接受指示，负责组织联合体各成员全面履行合同。</w:t>
      </w:r>
    </w:p>
    <w:p w14:paraId="43D277C1">
      <w:pPr>
        <w:pStyle w:val="7"/>
        <w:spacing w:before="120" w:after="120" w:line="312" w:lineRule="auto"/>
        <w:rPr>
          <w:rFonts w:hint="eastAsia"/>
          <w:b w:val="0"/>
          <w:color w:val="auto"/>
          <w:sz w:val="24"/>
          <w:szCs w:val="24"/>
          <w:highlight w:val="none"/>
        </w:rPr>
      </w:pPr>
      <w:bookmarkStart w:id="219" w:name="_Toc351203527"/>
      <w:r>
        <w:rPr>
          <w:rFonts w:hint="eastAsia"/>
          <w:b w:val="0"/>
          <w:color w:val="auto"/>
          <w:sz w:val="24"/>
          <w:szCs w:val="24"/>
          <w:highlight w:val="none"/>
        </w:rPr>
        <w:t>4</w:t>
      </w:r>
      <w:bookmarkStart w:id="220" w:name="_Toc296346554"/>
      <w:bookmarkStart w:id="221" w:name="_Toc296503053"/>
      <w:bookmarkStart w:id="222" w:name="_Toc337558753"/>
      <w:r>
        <w:rPr>
          <w:rFonts w:hint="eastAsia"/>
          <w:b w:val="0"/>
          <w:color w:val="auto"/>
          <w:sz w:val="24"/>
          <w:szCs w:val="24"/>
          <w:highlight w:val="none"/>
        </w:rPr>
        <w:t>. 监</w:t>
      </w:r>
      <w:bookmarkEnd w:id="220"/>
      <w:bookmarkEnd w:id="221"/>
      <w:r>
        <w:rPr>
          <w:rFonts w:hint="eastAsia"/>
          <w:b w:val="0"/>
          <w:color w:val="auto"/>
          <w:sz w:val="24"/>
          <w:szCs w:val="24"/>
          <w:highlight w:val="none"/>
        </w:rPr>
        <w:t>理人</w:t>
      </w:r>
      <w:bookmarkEnd w:id="219"/>
    </w:p>
    <w:bookmarkEnd w:id="222"/>
    <w:p w14:paraId="4D587606">
      <w:pPr>
        <w:pStyle w:val="8"/>
        <w:spacing w:before="120" w:after="120" w:line="312" w:lineRule="auto"/>
        <w:ind w:firstLine="480" w:firstLineChars="200"/>
        <w:rPr>
          <w:rFonts w:hint="eastAsia" w:ascii="宋体" w:hAnsi="宋体" w:cs="宋体"/>
          <w:b w:val="0"/>
          <w:color w:val="auto"/>
          <w:sz w:val="24"/>
          <w:szCs w:val="24"/>
          <w:highlight w:val="none"/>
        </w:rPr>
      </w:pPr>
      <w:bookmarkStart w:id="223" w:name="_Toc351203528"/>
      <w:r>
        <w:rPr>
          <w:rFonts w:hint="eastAsia" w:ascii="宋体" w:hAnsi="宋体" w:cs="宋体"/>
          <w:b w:val="0"/>
          <w:color w:val="auto"/>
          <w:sz w:val="24"/>
          <w:szCs w:val="24"/>
          <w:highlight w:val="none"/>
        </w:rPr>
        <w:t>4</w:t>
      </w:r>
      <w:bookmarkStart w:id="224" w:name="_Toc296346555"/>
      <w:bookmarkStart w:id="225" w:name="_Toc296503054"/>
      <w:bookmarkStart w:id="226" w:name="_Toc337558754"/>
      <w:r>
        <w:rPr>
          <w:rFonts w:hint="eastAsia" w:ascii="宋体" w:hAnsi="宋体" w:cs="宋体"/>
          <w:b w:val="0"/>
          <w:color w:val="auto"/>
          <w:sz w:val="24"/>
          <w:szCs w:val="24"/>
          <w:highlight w:val="none"/>
        </w:rPr>
        <w:t>.1监理人的一般规定</w:t>
      </w:r>
      <w:bookmarkEnd w:id="223"/>
    </w:p>
    <w:bookmarkEnd w:id="224"/>
    <w:bookmarkEnd w:id="225"/>
    <w:bookmarkEnd w:id="226"/>
    <w:p w14:paraId="05DEA02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381B54B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除专用合同条款另有约定外，监理人在施工现场的办公场所、生活场所由承包人提供，所发生的费用由发包人承担。</w:t>
      </w:r>
    </w:p>
    <w:p w14:paraId="1CB1EC7B">
      <w:pPr>
        <w:pStyle w:val="8"/>
        <w:spacing w:before="120" w:after="120" w:line="312" w:lineRule="auto"/>
        <w:ind w:firstLine="480" w:firstLineChars="200"/>
        <w:rPr>
          <w:rFonts w:hint="eastAsia" w:ascii="宋体" w:hAnsi="宋体" w:cs="宋体"/>
          <w:b w:val="0"/>
          <w:color w:val="auto"/>
          <w:sz w:val="24"/>
          <w:szCs w:val="24"/>
          <w:highlight w:val="none"/>
        </w:rPr>
      </w:pPr>
      <w:bookmarkStart w:id="227" w:name="_Toc351203529"/>
      <w:r>
        <w:rPr>
          <w:rFonts w:hint="eastAsia" w:ascii="宋体" w:hAnsi="宋体" w:cs="宋体"/>
          <w:b w:val="0"/>
          <w:color w:val="auto"/>
          <w:sz w:val="24"/>
          <w:szCs w:val="24"/>
          <w:highlight w:val="none"/>
        </w:rPr>
        <w:t>4</w:t>
      </w:r>
      <w:bookmarkStart w:id="228" w:name="_Toc337558755"/>
      <w:r>
        <w:rPr>
          <w:rFonts w:hint="eastAsia" w:ascii="宋体" w:hAnsi="宋体" w:cs="宋体"/>
          <w:b w:val="0"/>
          <w:color w:val="auto"/>
          <w:sz w:val="24"/>
          <w:szCs w:val="24"/>
          <w:highlight w:val="none"/>
        </w:rPr>
        <w:t>.2监理人员</w:t>
      </w:r>
      <w:bookmarkEnd w:id="227"/>
    </w:p>
    <w:bookmarkEnd w:id="228"/>
    <w:p w14:paraId="1AE2C10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3DA6F950">
      <w:pPr>
        <w:pStyle w:val="8"/>
        <w:spacing w:before="120" w:after="120" w:line="312" w:lineRule="auto"/>
        <w:ind w:firstLine="480" w:firstLineChars="200"/>
        <w:rPr>
          <w:rFonts w:hint="eastAsia" w:ascii="宋体" w:hAnsi="宋体" w:cs="宋体"/>
          <w:b w:val="0"/>
          <w:color w:val="auto"/>
          <w:sz w:val="24"/>
          <w:szCs w:val="24"/>
          <w:highlight w:val="none"/>
        </w:rPr>
      </w:pPr>
      <w:bookmarkStart w:id="229" w:name="_Toc351203530"/>
      <w:r>
        <w:rPr>
          <w:rFonts w:hint="eastAsia" w:ascii="宋体" w:hAnsi="宋体" w:cs="宋体"/>
          <w:b w:val="0"/>
          <w:color w:val="auto"/>
          <w:sz w:val="24"/>
          <w:szCs w:val="24"/>
          <w:highlight w:val="none"/>
        </w:rPr>
        <w:t>4</w:t>
      </w:r>
      <w:bookmarkStart w:id="230" w:name="_Toc296346556"/>
      <w:bookmarkStart w:id="231" w:name="_Toc296503055"/>
      <w:bookmarkStart w:id="232" w:name="_Toc337558756"/>
      <w:r>
        <w:rPr>
          <w:rFonts w:hint="eastAsia" w:ascii="宋体" w:hAnsi="宋体" w:cs="宋体"/>
          <w:b w:val="0"/>
          <w:color w:val="auto"/>
          <w:sz w:val="24"/>
          <w:szCs w:val="24"/>
          <w:highlight w:val="none"/>
        </w:rPr>
        <w:t>.3</w:t>
      </w:r>
      <w:bookmarkEnd w:id="230"/>
      <w:bookmarkEnd w:id="231"/>
      <w:r>
        <w:rPr>
          <w:rFonts w:hint="eastAsia" w:ascii="宋体" w:hAnsi="宋体" w:cs="宋体"/>
          <w:b w:val="0"/>
          <w:color w:val="auto"/>
          <w:sz w:val="24"/>
          <w:szCs w:val="24"/>
          <w:highlight w:val="none"/>
        </w:rPr>
        <w:t>监理人的指</w:t>
      </w:r>
      <w:bookmarkEnd w:id="232"/>
      <w:r>
        <w:rPr>
          <w:rFonts w:hint="eastAsia" w:ascii="宋体" w:hAnsi="宋体" w:cs="宋体"/>
          <w:b w:val="0"/>
          <w:color w:val="auto"/>
          <w:sz w:val="24"/>
          <w:szCs w:val="24"/>
          <w:highlight w:val="none"/>
        </w:rPr>
        <w:t>示</w:t>
      </w:r>
      <w:bookmarkEnd w:id="229"/>
    </w:p>
    <w:p w14:paraId="47367A7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3F1E765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1E7BDD3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承包人对监理人发出的指示有疑问的，应向监理人提出书面异议，监理人应在48小时内对该指示予以确认、更改或撤销，监理人逾期未回复的，承包人有权拒绝执行上述指示。</w:t>
      </w:r>
    </w:p>
    <w:p w14:paraId="60CE7BD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监理人对承包人的任何工作、工程或其采用的材料和工程设备未在约定的或合理期限内提出意见的，视为批准，但不免除或减轻承包人对该工作、工程、材料、工程设备等应承担的责任和义务。</w:t>
      </w:r>
    </w:p>
    <w:p w14:paraId="40F5DAF1">
      <w:pPr>
        <w:pStyle w:val="7"/>
        <w:spacing w:before="120" w:after="120" w:line="312" w:lineRule="auto"/>
        <w:ind w:firstLine="480" w:firstLineChars="200"/>
        <w:rPr>
          <w:rFonts w:hint="eastAsia"/>
          <w:b w:val="0"/>
          <w:color w:val="auto"/>
          <w:sz w:val="24"/>
          <w:szCs w:val="24"/>
          <w:highlight w:val="none"/>
        </w:rPr>
      </w:pPr>
      <w:bookmarkStart w:id="233" w:name="_Toc351203531"/>
      <w:r>
        <w:rPr>
          <w:rFonts w:hint="eastAsia"/>
          <w:b w:val="0"/>
          <w:color w:val="auto"/>
          <w:sz w:val="24"/>
          <w:szCs w:val="24"/>
          <w:highlight w:val="none"/>
        </w:rPr>
        <w:t>4</w:t>
      </w:r>
      <w:bookmarkStart w:id="234" w:name="_Toc337558757"/>
      <w:bookmarkStart w:id="235" w:name="_Toc296503057"/>
      <w:bookmarkStart w:id="236" w:name="_Toc296346558"/>
      <w:r>
        <w:rPr>
          <w:rFonts w:hint="eastAsia"/>
          <w:b w:val="0"/>
          <w:color w:val="auto"/>
          <w:sz w:val="24"/>
          <w:szCs w:val="24"/>
          <w:highlight w:val="none"/>
        </w:rPr>
        <w:t>.4 商定或确定</w:t>
      </w:r>
      <w:bookmarkEnd w:id="233"/>
    </w:p>
    <w:bookmarkEnd w:id="234"/>
    <w:bookmarkEnd w:id="235"/>
    <w:bookmarkEnd w:id="236"/>
    <w:p w14:paraId="412D0C4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合同当事人进行商定或确定时，总监理工程师应当会同合同当事人尽量通过协商达成一致，不能达成一致的，由总监理工程师按照合同约定审慎做出公正的确定。</w:t>
      </w:r>
    </w:p>
    <w:p w14:paraId="4BE0633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14:paraId="57B44D0D">
      <w:pPr>
        <w:pStyle w:val="7"/>
        <w:spacing w:before="120" w:after="120" w:line="312" w:lineRule="auto"/>
        <w:rPr>
          <w:rFonts w:hint="eastAsia"/>
          <w:b w:val="0"/>
          <w:color w:val="auto"/>
          <w:sz w:val="24"/>
          <w:szCs w:val="24"/>
          <w:highlight w:val="none"/>
        </w:rPr>
      </w:pPr>
      <w:bookmarkStart w:id="237" w:name="_Toc351203532"/>
      <w:r>
        <w:rPr>
          <w:rFonts w:hint="eastAsia"/>
          <w:b w:val="0"/>
          <w:color w:val="auto"/>
          <w:sz w:val="24"/>
          <w:szCs w:val="24"/>
          <w:highlight w:val="none"/>
        </w:rPr>
        <w:t>5</w:t>
      </w:r>
      <w:bookmarkStart w:id="238" w:name="_Toc337558758"/>
      <w:r>
        <w:rPr>
          <w:rFonts w:hint="eastAsia"/>
          <w:b w:val="0"/>
          <w:color w:val="auto"/>
          <w:sz w:val="24"/>
          <w:szCs w:val="24"/>
          <w:highlight w:val="none"/>
        </w:rPr>
        <w:t>. 工程质量</w:t>
      </w:r>
      <w:bookmarkEnd w:id="237"/>
    </w:p>
    <w:bookmarkEnd w:id="238"/>
    <w:p w14:paraId="2E8FACDD">
      <w:pPr>
        <w:pStyle w:val="8"/>
        <w:spacing w:before="120" w:after="120" w:line="312" w:lineRule="auto"/>
        <w:ind w:firstLine="480" w:firstLineChars="200"/>
        <w:rPr>
          <w:rFonts w:hint="eastAsia" w:ascii="宋体" w:hAnsi="宋体" w:cs="宋体"/>
          <w:b w:val="0"/>
          <w:color w:val="auto"/>
          <w:sz w:val="24"/>
          <w:szCs w:val="24"/>
          <w:highlight w:val="none"/>
        </w:rPr>
      </w:pPr>
      <w:bookmarkStart w:id="239" w:name="_Toc351203533"/>
      <w:r>
        <w:rPr>
          <w:rFonts w:hint="eastAsia" w:ascii="宋体" w:hAnsi="宋体" w:cs="宋体"/>
          <w:b w:val="0"/>
          <w:color w:val="auto"/>
          <w:sz w:val="24"/>
          <w:szCs w:val="24"/>
          <w:highlight w:val="none"/>
        </w:rPr>
        <w:t>5</w:t>
      </w:r>
      <w:bookmarkStart w:id="240" w:name="_Toc337558759"/>
      <w:r>
        <w:rPr>
          <w:rFonts w:hint="eastAsia" w:ascii="宋体" w:hAnsi="宋体" w:cs="宋体"/>
          <w:b w:val="0"/>
          <w:color w:val="auto"/>
          <w:sz w:val="24"/>
          <w:szCs w:val="24"/>
          <w:highlight w:val="none"/>
        </w:rPr>
        <w:t>.1质量要求</w:t>
      </w:r>
      <w:bookmarkEnd w:id="239"/>
    </w:p>
    <w:bookmarkEnd w:id="240"/>
    <w:p w14:paraId="16D6AD5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5.1.1 工程质量标准必须符合现行国家有关工程施工质量验收规范和标准的要求。有关工程质量的特殊标准或要求由合同当事人在专用合同条款中约定。</w:t>
      </w:r>
    </w:p>
    <w:p w14:paraId="48D0BBC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5.1.2 因发包人原因造成工程质量未达到合同约定标准的，由发包人承担由此增加的费用和（或）延误的工期，并支付承包人合理的利润。</w:t>
      </w:r>
    </w:p>
    <w:p w14:paraId="13218B0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5.1.3 因承包人原因造成工程质量未达到合同约定标准的，发包人有权要求承包人返工直至工程质量达到合同约定的标准为止，并由承包人承担由此增加的费用和（或）延误的工期。</w:t>
      </w:r>
    </w:p>
    <w:p w14:paraId="3ABA94C5">
      <w:pPr>
        <w:pStyle w:val="8"/>
        <w:spacing w:before="120" w:after="120" w:line="312" w:lineRule="auto"/>
        <w:ind w:firstLine="480" w:firstLineChars="200"/>
        <w:rPr>
          <w:rFonts w:hint="eastAsia" w:ascii="宋体" w:hAnsi="宋体" w:cs="宋体"/>
          <w:b w:val="0"/>
          <w:color w:val="auto"/>
          <w:sz w:val="24"/>
          <w:szCs w:val="24"/>
          <w:highlight w:val="none"/>
        </w:rPr>
      </w:pPr>
      <w:bookmarkStart w:id="241" w:name="_Toc351203534"/>
      <w:r>
        <w:rPr>
          <w:rFonts w:hint="eastAsia" w:ascii="宋体" w:hAnsi="宋体" w:cs="宋体"/>
          <w:b w:val="0"/>
          <w:color w:val="auto"/>
          <w:sz w:val="24"/>
          <w:szCs w:val="24"/>
          <w:highlight w:val="none"/>
        </w:rPr>
        <w:t>5</w:t>
      </w:r>
      <w:bookmarkStart w:id="242" w:name="_Toc337558760"/>
      <w:r>
        <w:rPr>
          <w:rFonts w:hint="eastAsia" w:ascii="宋体" w:hAnsi="宋体" w:cs="宋体"/>
          <w:b w:val="0"/>
          <w:color w:val="auto"/>
          <w:sz w:val="24"/>
          <w:szCs w:val="24"/>
          <w:highlight w:val="none"/>
        </w:rPr>
        <w:t>.2质量保证措施</w:t>
      </w:r>
      <w:bookmarkEnd w:id="241"/>
    </w:p>
    <w:bookmarkEnd w:id="242"/>
    <w:p w14:paraId="5D79A06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5.2.1 发包人的质量管理</w:t>
      </w:r>
    </w:p>
    <w:p w14:paraId="582681C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发包人应按照法律规定及合同约定完成与工程质量有关的各项工作。</w:t>
      </w:r>
    </w:p>
    <w:p w14:paraId="78A6278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5.2.2 承包人的质量管理</w:t>
      </w:r>
    </w:p>
    <w:p w14:paraId="7E68769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34F5A19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承包人应对施工人员进行质量教育和技术培训，定期考核施工人员的劳动技能，严格执行施工规范和操作规程。</w:t>
      </w:r>
    </w:p>
    <w:p w14:paraId="3EC52AD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76B7471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5.2.3 监理人的质量检查和检验</w:t>
      </w:r>
    </w:p>
    <w:p w14:paraId="7B5F60A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1FC4099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18DDD0FB">
      <w:pPr>
        <w:pStyle w:val="8"/>
        <w:spacing w:before="120" w:after="120" w:line="312" w:lineRule="auto"/>
        <w:ind w:firstLine="480" w:firstLineChars="200"/>
        <w:rPr>
          <w:rFonts w:hint="eastAsia" w:ascii="宋体" w:hAnsi="宋体" w:cs="宋体"/>
          <w:b w:val="0"/>
          <w:color w:val="auto"/>
          <w:sz w:val="24"/>
          <w:szCs w:val="24"/>
          <w:highlight w:val="none"/>
        </w:rPr>
      </w:pPr>
      <w:bookmarkStart w:id="243" w:name="_Toc351203535"/>
      <w:r>
        <w:rPr>
          <w:rFonts w:hint="eastAsia" w:ascii="宋体" w:hAnsi="宋体" w:cs="宋体"/>
          <w:b w:val="0"/>
          <w:color w:val="auto"/>
          <w:sz w:val="24"/>
          <w:szCs w:val="24"/>
          <w:highlight w:val="none"/>
        </w:rPr>
        <w:t>5</w:t>
      </w:r>
      <w:bookmarkStart w:id="244" w:name="_Toc337558761"/>
      <w:r>
        <w:rPr>
          <w:rFonts w:hint="eastAsia" w:ascii="宋体" w:hAnsi="宋体" w:cs="宋体"/>
          <w:b w:val="0"/>
          <w:color w:val="auto"/>
          <w:sz w:val="24"/>
          <w:szCs w:val="24"/>
          <w:highlight w:val="none"/>
        </w:rPr>
        <w:t>.3 隐蔽工程检查</w:t>
      </w:r>
      <w:bookmarkEnd w:id="243"/>
    </w:p>
    <w:bookmarkEnd w:id="244"/>
    <w:p w14:paraId="0038AAD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5.3.1承包人自检</w:t>
      </w:r>
    </w:p>
    <w:p w14:paraId="415FEEC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承包人应当对工程隐蔽部位进行自检，并经自检确认是否具备覆盖条件。</w:t>
      </w:r>
    </w:p>
    <w:p w14:paraId="5A84A8D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5.3.2检查程序</w:t>
      </w:r>
    </w:p>
    <w:p w14:paraId="2FF5677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1388BD9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3CC3DEB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14:paraId="03A5BAF0">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5.3.3 重新检查</w:t>
      </w:r>
    </w:p>
    <w:p w14:paraId="01429F5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2332DA9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5.3.4 承包人私自覆盖</w:t>
      </w:r>
    </w:p>
    <w:p w14:paraId="4C1951A2">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kern w:val="0"/>
          <w:sz w:val="24"/>
          <w:highlight w:val="none"/>
        </w:rPr>
        <w:t>承包人未通知监理人到场检查，私自将工程隐蔽部位覆盖的，监理人有权指示承包人钻孔探测或揭开检查，无论工程隐蔽部位质量是否合格，由此增加的费用和（或）延误的工期均由承包人承担。</w:t>
      </w:r>
    </w:p>
    <w:p w14:paraId="490B6067">
      <w:pPr>
        <w:pStyle w:val="8"/>
        <w:spacing w:before="120" w:after="120" w:line="312" w:lineRule="auto"/>
        <w:ind w:firstLine="480" w:firstLineChars="200"/>
        <w:rPr>
          <w:rFonts w:hint="eastAsia" w:ascii="宋体" w:hAnsi="宋体" w:cs="宋体"/>
          <w:b w:val="0"/>
          <w:color w:val="auto"/>
          <w:sz w:val="24"/>
          <w:szCs w:val="24"/>
          <w:highlight w:val="none"/>
        </w:rPr>
      </w:pPr>
      <w:bookmarkStart w:id="245" w:name="_Toc351203536"/>
      <w:r>
        <w:rPr>
          <w:rFonts w:hint="eastAsia" w:ascii="宋体" w:hAnsi="宋体" w:cs="宋体"/>
          <w:b w:val="0"/>
          <w:color w:val="auto"/>
          <w:sz w:val="24"/>
          <w:szCs w:val="24"/>
          <w:highlight w:val="none"/>
        </w:rPr>
        <w:t>5</w:t>
      </w:r>
      <w:bookmarkStart w:id="246" w:name="_Toc337558762"/>
      <w:r>
        <w:rPr>
          <w:rFonts w:hint="eastAsia" w:ascii="宋体" w:hAnsi="宋体" w:cs="宋体"/>
          <w:b w:val="0"/>
          <w:color w:val="auto"/>
          <w:sz w:val="24"/>
          <w:szCs w:val="24"/>
          <w:highlight w:val="none"/>
        </w:rPr>
        <w:t>.4不合格工程的处理</w:t>
      </w:r>
      <w:bookmarkEnd w:id="245"/>
    </w:p>
    <w:bookmarkEnd w:id="246"/>
    <w:p w14:paraId="6395FBF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220AB35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5.4.2 因发包人原因造成工程不合格的，由此增加的费用和（或）延误的工期由发包人承担，并支付承包人合理的利润。</w:t>
      </w:r>
    </w:p>
    <w:p w14:paraId="7F93BD9F">
      <w:pPr>
        <w:pStyle w:val="8"/>
        <w:spacing w:before="120" w:after="120" w:line="312" w:lineRule="auto"/>
        <w:ind w:firstLine="480" w:firstLineChars="200"/>
        <w:rPr>
          <w:rFonts w:hint="eastAsia" w:ascii="宋体" w:hAnsi="宋体" w:cs="宋体"/>
          <w:b w:val="0"/>
          <w:color w:val="auto"/>
          <w:sz w:val="24"/>
          <w:szCs w:val="24"/>
          <w:highlight w:val="none"/>
        </w:rPr>
      </w:pPr>
      <w:bookmarkStart w:id="247" w:name="_Toc351203537"/>
      <w:r>
        <w:rPr>
          <w:rFonts w:hint="eastAsia" w:ascii="宋体" w:hAnsi="宋体" w:cs="宋体"/>
          <w:b w:val="0"/>
          <w:color w:val="auto"/>
          <w:sz w:val="24"/>
          <w:szCs w:val="24"/>
          <w:highlight w:val="none"/>
        </w:rPr>
        <w:t>5.5 质量争议检测</w:t>
      </w:r>
      <w:bookmarkEnd w:id="247"/>
    </w:p>
    <w:p w14:paraId="7B8CBCD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合同当事人对工程质量有争议的，由双方协商确定的工程质量检测机构鉴定，由此产生的费用及因此造成的损失，由责任方承担。</w:t>
      </w:r>
    </w:p>
    <w:p w14:paraId="4B3F6D13">
      <w:pPr>
        <w:autoSpaceDE w:val="0"/>
        <w:autoSpaceDN w:val="0"/>
        <w:adjustRightInd w:val="0"/>
        <w:spacing w:line="312"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合同当事人均有责任的，由双方根据其责任分别承担。合同当事人无法达成一致的，按照第4.4款〔商定或确定〕执行。</w:t>
      </w:r>
    </w:p>
    <w:p w14:paraId="707A26BA">
      <w:pPr>
        <w:pStyle w:val="7"/>
        <w:spacing w:before="120" w:after="120" w:line="312" w:lineRule="auto"/>
        <w:rPr>
          <w:rFonts w:hint="eastAsia"/>
          <w:b w:val="0"/>
          <w:color w:val="auto"/>
          <w:sz w:val="24"/>
          <w:szCs w:val="24"/>
          <w:highlight w:val="none"/>
        </w:rPr>
      </w:pPr>
      <w:bookmarkStart w:id="248" w:name="_Toc351203538"/>
      <w:r>
        <w:rPr>
          <w:rFonts w:hint="eastAsia"/>
          <w:b w:val="0"/>
          <w:color w:val="auto"/>
          <w:sz w:val="24"/>
          <w:szCs w:val="24"/>
          <w:highlight w:val="none"/>
        </w:rPr>
        <w:t>6</w:t>
      </w:r>
      <w:bookmarkStart w:id="249" w:name="_Toc337558763"/>
      <w:r>
        <w:rPr>
          <w:rFonts w:hint="eastAsia"/>
          <w:b w:val="0"/>
          <w:color w:val="auto"/>
          <w:sz w:val="24"/>
          <w:szCs w:val="24"/>
          <w:highlight w:val="none"/>
        </w:rPr>
        <w:t>. 安全文明施工与环境保护</w:t>
      </w:r>
      <w:bookmarkEnd w:id="248"/>
    </w:p>
    <w:bookmarkEnd w:id="249"/>
    <w:p w14:paraId="6DEB2631">
      <w:pPr>
        <w:pStyle w:val="8"/>
        <w:spacing w:before="120" w:after="120" w:line="312" w:lineRule="auto"/>
        <w:ind w:firstLine="480" w:firstLineChars="200"/>
        <w:rPr>
          <w:rFonts w:hint="eastAsia" w:ascii="宋体" w:hAnsi="宋体" w:cs="宋体"/>
          <w:b w:val="0"/>
          <w:color w:val="auto"/>
          <w:sz w:val="24"/>
          <w:szCs w:val="24"/>
          <w:highlight w:val="none"/>
        </w:rPr>
      </w:pPr>
      <w:bookmarkStart w:id="250" w:name="_Toc351203539"/>
      <w:r>
        <w:rPr>
          <w:rFonts w:hint="eastAsia" w:ascii="宋体" w:hAnsi="宋体" w:cs="宋体"/>
          <w:b w:val="0"/>
          <w:color w:val="auto"/>
          <w:sz w:val="24"/>
          <w:szCs w:val="24"/>
          <w:highlight w:val="none"/>
        </w:rPr>
        <w:t>6</w:t>
      </w:r>
      <w:bookmarkStart w:id="251" w:name="_Toc337558764"/>
      <w:r>
        <w:rPr>
          <w:rFonts w:hint="eastAsia" w:ascii="宋体" w:hAnsi="宋体" w:cs="宋体"/>
          <w:b w:val="0"/>
          <w:color w:val="auto"/>
          <w:sz w:val="24"/>
          <w:szCs w:val="24"/>
          <w:highlight w:val="none"/>
        </w:rPr>
        <w:t>.1安全文明施工</w:t>
      </w:r>
      <w:bookmarkEnd w:id="250"/>
    </w:p>
    <w:bookmarkEnd w:id="251"/>
    <w:p w14:paraId="6EF63D72">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6.1.1安全生产要求</w:t>
      </w:r>
    </w:p>
    <w:p w14:paraId="2FDF4E4C">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257EF475">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在施工过程中，如遇到突发的地质变动、事先未知的地下施工障碍等影响施工安全的紧急情况，承包人应及时报告监理人和发包人，发包人应当及时下令停工并报</w:t>
      </w:r>
      <w:r>
        <w:rPr>
          <w:rFonts w:hint="eastAsia" w:ascii="宋体" w:hAnsi="宋体" w:cs="宋体"/>
          <w:color w:val="auto"/>
          <w:kern w:val="0"/>
          <w:sz w:val="24"/>
          <w:highlight w:val="none"/>
        </w:rPr>
        <w:t>政府有关行政管理部门</w:t>
      </w:r>
      <w:r>
        <w:rPr>
          <w:rFonts w:hint="eastAsia" w:ascii="宋体" w:hAnsi="宋体" w:cs="宋体"/>
          <w:color w:val="auto"/>
          <w:sz w:val="24"/>
          <w:highlight w:val="none"/>
        </w:rPr>
        <w:t>采取应急措施。</w:t>
      </w:r>
    </w:p>
    <w:p w14:paraId="141EDB82">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因安全生产需要暂停施工的，按照第7.8款〔暂停施工〕的约定执行。</w:t>
      </w:r>
    </w:p>
    <w:p w14:paraId="74E3E076">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6.1.2 安全生产保证措施</w:t>
      </w:r>
    </w:p>
    <w:p w14:paraId="727ABFA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承包人应当按照有关</w:t>
      </w:r>
      <w:r>
        <w:rPr>
          <w:rFonts w:hint="eastAsia" w:ascii="宋体" w:hAnsi="宋体" w:cs="宋体"/>
          <w:color w:val="auto"/>
          <w:kern w:val="0"/>
          <w:sz w:val="24"/>
          <w:highlight w:val="none"/>
        </w:rPr>
        <w:t>规定编制安全技术措施或者专项施工方案，</w:t>
      </w:r>
      <w:r>
        <w:rPr>
          <w:rFonts w:hint="eastAsia" w:ascii="宋体" w:hAnsi="宋体" w:cs="宋体"/>
          <w:color w:val="auto"/>
          <w:sz w:val="24"/>
          <w:highlight w:val="none"/>
        </w:rPr>
        <w:t>建立安全生产责任制度、治安保卫制度及安全生产教育培训制度，并</w:t>
      </w:r>
      <w:r>
        <w:rPr>
          <w:rFonts w:hint="eastAsia" w:ascii="宋体" w:hAnsi="宋体" w:cs="宋体"/>
          <w:color w:val="auto"/>
          <w:kern w:val="0"/>
          <w:sz w:val="24"/>
          <w:highlight w:val="none"/>
        </w:rPr>
        <w:t>按安全生产法律规定及合同约定履行安全职责，如实</w:t>
      </w:r>
      <w:r>
        <w:rPr>
          <w:rFonts w:hint="eastAsia" w:ascii="宋体" w:hAnsi="宋体" w:cs="宋体"/>
          <w:color w:val="auto"/>
          <w:sz w:val="24"/>
          <w:highlight w:val="none"/>
        </w:rPr>
        <w:t>编制工程安全生产的有关记录，</w:t>
      </w:r>
      <w:r>
        <w:rPr>
          <w:rFonts w:hint="eastAsia" w:ascii="宋体" w:hAnsi="宋体" w:cs="宋体"/>
          <w:color w:val="auto"/>
          <w:kern w:val="0"/>
          <w:sz w:val="24"/>
          <w:highlight w:val="none"/>
        </w:rPr>
        <w:t>接受发包人、监理人及政府安全监督部门的检查与监督。</w:t>
      </w:r>
    </w:p>
    <w:p w14:paraId="65D1BCC6">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6.1.3特别安全生产事项</w:t>
      </w:r>
    </w:p>
    <w:p w14:paraId="7A9C2B52">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13774290">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承包人在动力设备、输电线路、地下管道、密封防震车间、易燃易爆地段以及临街交通要道附近施工时，施工开始前应向发包人和监理人提出安全防护措施，经发包人认可后实施。 </w:t>
      </w:r>
    </w:p>
    <w:p w14:paraId="313A94CF">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实施爆破作业，在放射、毒害性环境中施工（含储存、运输、使用）及使用毒害性、腐蚀性物品施工时，承包人应在施工前7天以书面通知发包人和监理人，并报送相应的安全防护措施，经发包人认可后实施。</w:t>
      </w:r>
    </w:p>
    <w:p w14:paraId="6156BAD4">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需单独编制危险性较大分部分项专项工程施工方案的，及要求进行专家论证的超过一定规模的危险性较大的分部分项工程，承包人应及时编制和组织论证。</w:t>
      </w:r>
    </w:p>
    <w:p w14:paraId="28D4526D">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6.1.4 治安保卫</w:t>
      </w:r>
    </w:p>
    <w:p w14:paraId="19C824B5">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除专用合同条款另有约定外，发包人应与当地公安部门协商，在现场建立治安管理机构或联防组织，统一管理施工场地的治安保卫事项，履行合同工程的治安保卫职责。</w:t>
      </w:r>
    </w:p>
    <w:p w14:paraId="62B80954">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发包人和承包人除应协助现场治安管理机构或联防组织维护施工场地的社会治安外，还应做好包括生活区在内的各自管辖区的治安保卫工作。</w:t>
      </w:r>
    </w:p>
    <w:p w14:paraId="25AD9132">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211ECA22">
      <w:pPr>
        <w:spacing w:line="312" w:lineRule="auto"/>
        <w:ind w:firstLine="480" w:firstLineChars="200"/>
        <w:rPr>
          <w:rFonts w:hint="eastAsia" w:ascii="宋体" w:hAnsi="宋体" w:cs="宋体"/>
          <w:color w:val="auto"/>
          <w:kern w:val="0"/>
          <w:sz w:val="24"/>
          <w:highlight w:val="none"/>
        </w:rPr>
      </w:pPr>
      <w:r>
        <w:rPr>
          <w:rFonts w:hint="eastAsia" w:ascii="宋体" w:hAnsi="宋体" w:cs="宋体"/>
          <w:color w:val="auto"/>
          <w:sz w:val="24"/>
          <w:highlight w:val="none"/>
        </w:rPr>
        <w:t>6.1.5 文明施工</w:t>
      </w:r>
    </w:p>
    <w:p w14:paraId="1F9DEF0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2C2CC8D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399EF9DF">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6.1.6 安全文明施工费</w:t>
      </w:r>
    </w:p>
    <w:p w14:paraId="0100691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安全文明施工费由发包人承担，发包人不得以任何形式扣减该部分费用。因基准日期后合同所适用的法律或政府有关规定发生变化，增加的安全文明施工费由发包人承担。</w:t>
      </w:r>
    </w:p>
    <w:p w14:paraId="2792977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7DEA7BE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73AA043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3E823730">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6.1.7 紧急情况处理</w:t>
      </w:r>
    </w:p>
    <w:p w14:paraId="687DE3C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68C29E5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6.1.8 事故处理</w:t>
      </w:r>
    </w:p>
    <w:p w14:paraId="4916A5A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0FB102F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6.1.9 安全生产责任</w:t>
      </w:r>
    </w:p>
    <w:p w14:paraId="4689464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6.1.9.1 发包人的安全责任</w:t>
      </w:r>
    </w:p>
    <w:p w14:paraId="45F7DDF1">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发包人应负责赔偿以下各种情况造成的损失：</w:t>
      </w:r>
    </w:p>
    <w:p w14:paraId="29C8261A">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（1）工程或工程的任何部分对土地的占用所造成的第三者财产损失；</w:t>
      </w:r>
    </w:p>
    <w:p w14:paraId="6E2DC26A">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（2）由于发包人原因在施工场地及其毗邻地带造成的第三者人身伤亡和财产损失；</w:t>
      </w:r>
    </w:p>
    <w:p w14:paraId="1BB434DE">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（3）由于发包人原因对承包人、监理人造成的人员人身伤亡和财产损失；</w:t>
      </w:r>
    </w:p>
    <w:p w14:paraId="2451EA07">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（4）由于发包人原因造成的发包人自身人员的人身伤害以及财产损失。</w:t>
      </w:r>
    </w:p>
    <w:p w14:paraId="44239B5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6.1.9.2 承包人的安全责任</w:t>
      </w:r>
    </w:p>
    <w:p w14:paraId="0803D791">
      <w:pPr>
        <w:spacing w:line="312" w:lineRule="auto"/>
        <w:ind w:firstLine="480" w:firstLineChars="200"/>
        <w:rPr>
          <w:rFonts w:hint="eastAsia" w:ascii="宋体" w:hAnsi="宋体" w:cs="宋体"/>
          <w:color w:val="auto"/>
          <w:kern w:val="0"/>
          <w:sz w:val="24"/>
          <w:highlight w:val="none"/>
        </w:rPr>
      </w:pPr>
      <w:r>
        <w:rPr>
          <w:rFonts w:hint="eastAsia" w:ascii="宋体" w:hAnsi="宋体" w:cs="宋体"/>
          <w:color w:val="auto"/>
          <w:sz w:val="24"/>
          <w:highlight w:val="none"/>
        </w:rPr>
        <w:t>由于承包人原因在施工场地内及其毗邻地带造成的发包人、监理人以及第三者人员伤亡和财产损失，由承包人负责赔偿。</w:t>
      </w:r>
    </w:p>
    <w:p w14:paraId="516A0C95">
      <w:pPr>
        <w:pStyle w:val="8"/>
        <w:spacing w:before="120" w:after="120" w:line="312" w:lineRule="auto"/>
        <w:ind w:firstLine="480" w:firstLineChars="200"/>
        <w:rPr>
          <w:rFonts w:hint="eastAsia" w:ascii="宋体" w:hAnsi="宋体" w:cs="宋体"/>
          <w:b w:val="0"/>
          <w:color w:val="auto"/>
          <w:sz w:val="24"/>
          <w:szCs w:val="24"/>
          <w:highlight w:val="none"/>
        </w:rPr>
      </w:pPr>
      <w:bookmarkStart w:id="252" w:name="_Toc351203540"/>
      <w:r>
        <w:rPr>
          <w:rFonts w:hint="eastAsia" w:ascii="宋体" w:hAnsi="宋体" w:cs="宋体"/>
          <w:b w:val="0"/>
          <w:color w:val="auto"/>
          <w:sz w:val="24"/>
          <w:szCs w:val="24"/>
          <w:highlight w:val="none"/>
        </w:rPr>
        <w:t>6</w:t>
      </w:r>
      <w:bookmarkStart w:id="253" w:name="_Toc337558765"/>
      <w:r>
        <w:rPr>
          <w:rFonts w:hint="eastAsia" w:ascii="宋体" w:hAnsi="宋体" w:cs="宋体"/>
          <w:b w:val="0"/>
          <w:color w:val="auto"/>
          <w:sz w:val="24"/>
          <w:szCs w:val="24"/>
          <w:highlight w:val="none"/>
        </w:rPr>
        <w:t>.2 职业健康</w:t>
      </w:r>
      <w:bookmarkEnd w:id="252"/>
    </w:p>
    <w:bookmarkEnd w:id="253"/>
    <w:p w14:paraId="0A2A61F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6.2.1 劳动保护</w:t>
      </w:r>
    </w:p>
    <w:p w14:paraId="374D0DD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365FBF5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70763F1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承包人应按法律规定安排工作时间，保证其雇佣人员享有休息和休假的权利。因工程施工的特殊需要占用休假日或延长工作时间的，应不超过法律规定的限度，并按法律规定给予补休或付酬。</w:t>
      </w:r>
    </w:p>
    <w:p w14:paraId="38DCF5B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6.2.2 生活条件</w:t>
      </w:r>
    </w:p>
    <w:p w14:paraId="0EFE256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465FF357">
      <w:pPr>
        <w:pStyle w:val="8"/>
        <w:spacing w:before="120" w:after="120" w:line="312" w:lineRule="auto"/>
        <w:ind w:firstLine="480" w:firstLineChars="200"/>
        <w:rPr>
          <w:rFonts w:hint="eastAsia" w:ascii="宋体" w:hAnsi="宋体" w:cs="宋体"/>
          <w:b w:val="0"/>
          <w:color w:val="auto"/>
          <w:sz w:val="24"/>
          <w:szCs w:val="24"/>
          <w:highlight w:val="none"/>
        </w:rPr>
      </w:pPr>
      <w:bookmarkStart w:id="254" w:name="_Toc351203541"/>
      <w:r>
        <w:rPr>
          <w:rFonts w:hint="eastAsia" w:ascii="宋体" w:hAnsi="宋体" w:cs="宋体"/>
          <w:b w:val="0"/>
          <w:color w:val="auto"/>
          <w:sz w:val="24"/>
          <w:szCs w:val="24"/>
          <w:highlight w:val="none"/>
        </w:rPr>
        <w:t>6</w:t>
      </w:r>
      <w:bookmarkStart w:id="255" w:name="_Toc337558766"/>
      <w:r>
        <w:rPr>
          <w:rFonts w:hint="eastAsia" w:ascii="宋体" w:hAnsi="宋体" w:cs="宋体"/>
          <w:b w:val="0"/>
          <w:color w:val="auto"/>
          <w:sz w:val="24"/>
          <w:szCs w:val="24"/>
          <w:highlight w:val="none"/>
        </w:rPr>
        <w:t>.3 环境保护</w:t>
      </w:r>
      <w:bookmarkEnd w:id="254"/>
    </w:p>
    <w:bookmarkEnd w:id="255"/>
    <w:p w14:paraId="410CE47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178545F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承包人应当承担因其原因引起的环境污染侵权损害赔偿责任，因上述环境污染引起纠纷而导致暂停施工的，由此增加的费用和（或）延误的工期由承包人承担。</w:t>
      </w:r>
    </w:p>
    <w:p w14:paraId="6C390CD2">
      <w:pPr>
        <w:pStyle w:val="7"/>
        <w:spacing w:before="120" w:after="120" w:line="312" w:lineRule="auto"/>
        <w:rPr>
          <w:rFonts w:hint="eastAsia"/>
          <w:b w:val="0"/>
          <w:color w:val="auto"/>
          <w:sz w:val="24"/>
          <w:szCs w:val="24"/>
          <w:highlight w:val="none"/>
        </w:rPr>
      </w:pPr>
      <w:bookmarkStart w:id="256" w:name="_Toc351203542"/>
      <w:r>
        <w:rPr>
          <w:rFonts w:hint="eastAsia"/>
          <w:b w:val="0"/>
          <w:color w:val="auto"/>
          <w:sz w:val="24"/>
          <w:szCs w:val="24"/>
          <w:highlight w:val="none"/>
        </w:rPr>
        <w:t>7</w:t>
      </w:r>
      <w:bookmarkStart w:id="257" w:name="_Toc337558767"/>
      <w:r>
        <w:rPr>
          <w:rFonts w:hint="eastAsia"/>
          <w:b w:val="0"/>
          <w:color w:val="auto"/>
          <w:sz w:val="24"/>
          <w:szCs w:val="24"/>
          <w:highlight w:val="none"/>
        </w:rPr>
        <w:t>. 工期和进度</w:t>
      </w:r>
      <w:bookmarkEnd w:id="256"/>
    </w:p>
    <w:bookmarkEnd w:id="257"/>
    <w:p w14:paraId="2F388AE8">
      <w:pPr>
        <w:pStyle w:val="8"/>
        <w:spacing w:before="120" w:after="120" w:line="312" w:lineRule="auto"/>
        <w:ind w:firstLine="480" w:firstLineChars="200"/>
        <w:rPr>
          <w:rFonts w:hint="eastAsia" w:ascii="宋体" w:hAnsi="宋体" w:cs="宋体"/>
          <w:b w:val="0"/>
          <w:color w:val="auto"/>
          <w:sz w:val="24"/>
          <w:szCs w:val="24"/>
          <w:highlight w:val="none"/>
        </w:rPr>
      </w:pPr>
      <w:bookmarkStart w:id="258" w:name="_Toc351203543"/>
      <w:r>
        <w:rPr>
          <w:rFonts w:hint="eastAsia" w:ascii="宋体" w:hAnsi="宋体" w:cs="宋体"/>
          <w:b w:val="0"/>
          <w:color w:val="auto"/>
          <w:sz w:val="24"/>
          <w:szCs w:val="24"/>
          <w:highlight w:val="none"/>
        </w:rPr>
        <w:t>7</w:t>
      </w:r>
      <w:bookmarkStart w:id="259" w:name="_Toc337558768"/>
      <w:bookmarkStart w:id="260" w:name="_Toc296503066"/>
      <w:bookmarkStart w:id="261" w:name="_Toc296346567"/>
      <w:r>
        <w:rPr>
          <w:rFonts w:hint="eastAsia" w:ascii="宋体" w:hAnsi="宋体" w:cs="宋体"/>
          <w:b w:val="0"/>
          <w:color w:val="auto"/>
          <w:sz w:val="24"/>
          <w:szCs w:val="24"/>
          <w:highlight w:val="none"/>
        </w:rPr>
        <w:t>.1施工组织设计</w:t>
      </w:r>
      <w:bookmarkEnd w:id="258"/>
    </w:p>
    <w:bookmarkEnd w:id="259"/>
    <w:p w14:paraId="3CCE35B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 xml:space="preserve">7.1.1 </w:t>
      </w:r>
      <w:r>
        <w:rPr>
          <w:rFonts w:hint="eastAsia" w:ascii="宋体" w:hAnsi="宋体" w:cs="宋体"/>
          <w:color w:val="auto"/>
          <w:kern w:val="0"/>
          <w:sz w:val="24"/>
          <w:highlight w:val="none"/>
        </w:rPr>
        <w:t>施工组织设计的内容</w:t>
      </w:r>
    </w:p>
    <w:p w14:paraId="28D152A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施工组织设计应包含以下内容：</w:t>
      </w:r>
    </w:p>
    <w:p w14:paraId="46968F5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（1）施工方案； </w:t>
      </w:r>
    </w:p>
    <w:p w14:paraId="19B31A2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（2）施工现场平面布置图；</w:t>
      </w:r>
    </w:p>
    <w:p w14:paraId="14D132B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（3）施工进度计划和保证措施； </w:t>
      </w:r>
    </w:p>
    <w:p w14:paraId="73F324B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（4）劳动力及材料供应计划；</w:t>
      </w:r>
    </w:p>
    <w:p w14:paraId="79A250A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（5）施工机械设备的选用；</w:t>
      </w:r>
    </w:p>
    <w:p w14:paraId="01CE2E3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（6）质量保证体系及措施；</w:t>
      </w:r>
    </w:p>
    <w:p w14:paraId="2983136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（7）安全生产、文明施工措施；</w:t>
      </w:r>
    </w:p>
    <w:p w14:paraId="41CF5EA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（8）环境保护、成本控制措施；</w:t>
      </w:r>
    </w:p>
    <w:p w14:paraId="6AEE13D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（9）合同当事人约定的其他内容。</w:t>
      </w:r>
    </w:p>
    <w:p w14:paraId="672702C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 xml:space="preserve">7.1.2 </w:t>
      </w:r>
      <w:r>
        <w:rPr>
          <w:rFonts w:hint="eastAsia" w:ascii="宋体" w:hAnsi="宋体" w:cs="宋体"/>
          <w:color w:val="auto"/>
          <w:kern w:val="0"/>
          <w:sz w:val="24"/>
          <w:highlight w:val="none"/>
        </w:rPr>
        <w:t>施工组织设计的提交和修改</w:t>
      </w:r>
    </w:p>
    <w:p w14:paraId="045C587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5745105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施工进度计划的编制和修改按照第7.2款〔施工进度计划〕执行。</w:t>
      </w:r>
    </w:p>
    <w:p w14:paraId="7CAFB326">
      <w:pPr>
        <w:pStyle w:val="8"/>
        <w:spacing w:before="120" w:after="120" w:line="312" w:lineRule="auto"/>
        <w:ind w:firstLine="480" w:firstLineChars="200"/>
        <w:rPr>
          <w:rFonts w:hint="eastAsia" w:ascii="宋体" w:hAnsi="宋体" w:cs="宋体"/>
          <w:b w:val="0"/>
          <w:color w:val="auto"/>
          <w:sz w:val="24"/>
          <w:szCs w:val="24"/>
          <w:highlight w:val="none"/>
        </w:rPr>
      </w:pPr>
      <w:bookmarkStart w:id="262" w:name="_Toc351203544"/>
      <w:r>
        <w:rPr>
          <w:rFonts w:hint="eastAsia" w:ascii="宋体" w:hAnsi="宋体" w:cs="宋体"/>
          <w:b w:val="0"/>
          <w:color w:val="auto"/>
          <w:sz w:val="24"/>
          <w:szCs w:val="24"/>
          <w:highlight w:val="none"/>
        </w:rPr>
        <w:t>7</w:t>
      </w:r>
      <w:bookmarkStart w:id="263" w:name="_Toc337558769"/>
      <w:r>
        <w:rPr>
          <w:rFonts w:hint="eastAsia" w:ascii="宋体" w:hAnsi="宋体" w:cs="宋体"/>
          <w:b w:val="0"/>
          <w:color w:val="auto"/>
          <w:sz w:val="24"/>
          <w:szCs w:val="24"/>
          <w:highlight w:val="none"/>
        </w:rPr>
        <w:t>.2 施工进度计划</w:t>
      </w:r>
      <w:bookmarkEnd w:id="262"/>
    </w:p>
    <w:bookmarkEnd w:id="263"/>
    <w:p w14:paraId="2C5360C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7.2.1 施工进度计划的编制</w:t>
      </w:r>
    </w:p>
    <w:p w14:paraId="26C0EBC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4ABE1C4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7.2.2 施工进度计划的修订</w:t>
      </w:r>
    </w:p>
    <w:p w14:paraId="3FD958B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0F6CEB85">
      <w:pPr>
        <w:pStyle w:val="8"/>
        <w:spacing w:before="120" w:after="120" w:line="312" w:lineRule="auto"/>
        <w:ind w:firstLine="480" w:firstLineChars="200"/>
        <w:rPr>
          <w:rFonts w:hint="eastAsia" w:ascii="宋体" w:hAnsi="宋体" w:cs="宋体"/>
          <w:b w:val="0"/>
          <w:color w:val="auto"/>
          <w:sz w:val="24"/>
          <w:szCs w:val="24"/>
          <w:highlight w:val="none"/>
        </w:rPr>
      </w:pPr>
      <w:bookmarkStart w:id="264" w:name="_Toc351203545"/>
      <w:r>
        <w:rPr>
          <w:rFonts w:hint="eastAsia" w:ascii="宋体" w:hAnsi="宋体" w:cs="宋体"/>
          <w:b w:val="0"/>
          <w:color w:val="auto"/>
          <w:sz w:val="24"/>
          <w:szCs w:val="24"/>
          <w:highlight w:val="none"/>
        </w:rPr>
        <w:t>7</w:t>
      </w:r>
      <w:bookmarkStart w:id="265" w:name="_Toc337558770"/>
      <w:r>
        <w:rPr>
          <w:rFonts w:hint="eastAsia" w:ascii="宋体" w:hAnsi="宋体" w:cs="宋体"/>
          <w:b w:val="0"/>
          <w:color w:val="auto"/>
          <w:sz w:val="24"/>
          <w:szCs w:val="24"/>
          <w:highlight w:val="none"/>
        </w:rPr>
        <w:t>.3 开工</w:t>
      </w:r>
      <w:bookmarkEnd w:id="264"/>
    </w:p>
    <w:p w14:paraId="31B3F872">
      <w:pPr>
        <w:spacing w:line="312" w:lineRule="auto"/>
        <w:ind w:firstLine="480" w:firstLineChars="200"/>
        <w:rPr>
          <w:rFonts w:hint="eastAsia" w:ascii="宋体" w:hAnsi="宋体" w:cs="宋体"/>
          <w:color w:val="auto"/>
          <w:sz w:val="24"/>
          <w:highlight w:val="none"/>
        </w:rPr>
      </w:pPr>
      <w:r>
        <w:rPr>
          <w:rFonts w:hint="eastAsia" w:ascii="宋体" w:hAnsi="宋体" w:cs="宋体"/>
          <w:color w:val="auto"/>
          <w:kern w:val="0"/>
          <w:sz w:val="24"/>
          <w:highlight w:val="none"/>
        </w:rPr>
        <w:t>7.3.1 开工准备</w:t>
      </w:r>
    </w:p>
    <w:p w14:paraId="3B967ED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70A50C1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除专用合同条款另有约定外，合同当事人应按约定完成开工准备工作。</w:t>
      </w:r>
    </w:p>
    <w:p w14:paraId="3813379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7.3.2 开工通知</w:t>
      </w:r>
    </w:p>
    <w:bookmarkEnd w:id="265"/>
    <w:p w14:paraId="4A9FE14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491F818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548D37C9">
      <w:pPr>
        <w:pStyle w:val="8"/>
        <w:spacing w:before="120" w:after="120" w:line="312" w:lineRule="auto"/>
        <w:ind w:firstLine="480" w:firstLineChars="200"/>
        <w:rPr>
          <w:rFonts w:hint="eastAsia" w:ascii="宋体" w:hAnsi="宋体" w:cs="宋体"/>
          <w:b w:val="0"/>
          <w:color w:val="auto"/>
          <w:sz w:val="24"/>
          <w:szCs w:val="24"/>
          <w:highlight w:val="none"/>
        </w:rPr>
      </w:pPr>
      <w:bookmarkStart w:id="266" w:name="_Toc351203546"/>
      <w:r>
        <w:rPr>
          <w:rFonts w:hint="eastAsia" w:ascii="宋体" w:hAnsi="宋体" w:cs="宋体"/>
          <w:b w:val="0"/>
          <w:color w:val="auto"/>
          <w:sz w:val="24"/>
          <w:szCs w:val="24"/>
          <w:highlight w:val="none"/>
        </w:rPr>
        <w:t>7.4测量放线</w:t>
      </w:r>
      <w:bookmarkEnd w:id="266"/>
    </w:p>
    <w:p w14:paraId="42BA682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091BE87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23ED169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3B13ED2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施工过程中对施工现场内水准点等测量标志物的保护工作由承包人负责。</w:t>
      </w:r>
      <w:bookmarkStart w:id="267" w:name="_Toc351203547"/>
    </w:p>
    <w:p w14:paraId="7038FAA6">
      <w:pPr>
        <w:pStyle w:val="8"/>
        <w:spacing w:before="120" w:after="120" w:line="312" w:lineRule="auto"/>
        <w:ind w:firstLine="480" w:firstLineChars="200"/>
        <w:rPr>
          <w:rFonts w:hint="eastAsia" w:ascii="宋体" w:hAnsi="宋体" w:cs="宋体"/>
          <w:b w:val="0"/>
          <w:color w:val="auto"/>
          <w:sz w:val="24"/>
          <w:szCs w:val="24"/>
          <w:highlight w:val="none"/>
        </w:rPr>
      </w:pPr>
      <w:r>
        <w:rPr>
          <w:rFonts w:hint="eastAsia" w:ascii="宋体" w:hAnsi="宋体" w:cs="宋体"/>
          <w:b w:val="0"/>
          <w:color w:val="auto"/>
          <w:sz w:val="24"/>
          <w:szCs w:val="24"/>
          <w:highlight w:val="none"/>
        </w:rPr>
        <w:t>7</w:t>
      </w:r>
      <w:bookmarkEnd w:id="260"/>
      <w:bookmarkEnd w:id="261"/>
      <w:bookmarkStart w:id="268" w:name="_Toc337558772"/>
      <w:bookmarkStart w:id="269" w:name="_Toc296503073"/>
      <w:bookmarkStart w:id="270" w:name="_Toc296346574"/>
      <w:r>
        <w:rPr>
          <w:rFonts w:hint="eastAsia" w:ascii="宋体" w:hAnsi="宋体" w:cs="宋体"/>
          <w:b w:val="0"/>
          <w:color w:val="auto"/>
          <w:sz w:val="24"/>
          <w:szCs w:val="24"/>
          <w:highlight w:val="none"/>
        </w:rPr>
        <w:t>.5 工期延误</w:t>
      </w:r>
      <w:bookmarkEnd w:id="267"/>
    </w:p>
    <w:bookmarkEnd w:id="268"/>
    <w:bookmarkEnd w:id="269"/>
    <w:bookmarkEnd w:id="270"/>
    <w:p w14:paraId="773805E4">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7.5.1 因发包人原因导致工期延误</w:t>
      </w:r>
    </w:p>
    <w:p w14:paraId="6EAC1D6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在合同履行过程中，因下列情况导致工期延误和（或）费用增加的，由发包人承担由此延误的工期和（或）增加的费用，且发包人应支付承包人合理的利润： </w:t>
      </w:r>
    </w:p>
    <w:p w14:paraId="276B7D8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（1）发包人未能按合同约定提供图纸或所提供图纸不符合合同约定的；</w:t>
      </w:r>
    </w:p>
    <w:p w14:paraId="775C3B8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（2）发包人未能按合同约定提供施工现场、施工条件、基础资料、许可、批准等开工条件的；</w:t>
      </w:r>
    </w:p>
    <w:p w14:paraId="3F9C2D3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（3）发包人提供的测量基准点、基准线和水准点及其书面资料存在错误或疏漏的；</w:t>
      </w:r>
    </w:p>
    <w:p w14:paraId="3F8C0A8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（4）发包人未能在计划开工日期之日起7天内同意下达开工通知的；</w:t>
      </w:r>
    </w:p>
    <w:p w14:paraId="33E8883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（5）发包人未能按合同约定日期支付工程预付款、进度款或竣工结算款的；</w:t>
      </w:r>
    </w:p>
    <w:p w14:paraId="628347C0">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（6）监理人未按合同约定发出指示、批准等文件的；</w:t>
      </w:r>
    </w:p>
    <w:p w14:paraId="5DD6859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（7）专用合同条款中约定的其他情形。</w:t>
      </w:r>
    </w:p>
    <w:p w14:paraId="0A1EBD3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45305D54">
      <w:pPr>
        <w:autoSpaceDE w:val="0"/>
        <w:autoSpaceDN w:val="0"/>
        <w:adjustRightInd w:val="0"/>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kern w:val="0"/>
          <w:sz w:val="24"/>
          <w:highlight w:val="none"/>
        </w:rPr>
        <w:t>7.5.2 因承包人原因导致工期延误</w:t>
      </w:r>
    </w:p>
    <w:p w14:paraId="2BA5E8A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bookmarkStart w:id="271" w:name="_Toc296346577"/>
      <w:bookmarkStart w:id="272" w:name="_Toc296503076"/>
      <w:r>
        <w:rPr>
          <w:rFonts w:hint="eastAsia" w:ascii="宋体" w:hAnsi="宋体" w:cs="宋体"/>
          <w:color w:val="auto"/>
          <w:kern w:val="0"/>
          <w:sz w:val="24"/>
          <w:highlight w:val="none"/>
        </w:rPr>
        <w:t>因</w:t>
      </w:r>
      <w:bookmarkEnd w:id="271"/>
      <w:bookmarkEnd w:id="272"/>
      <w:r>
        <w:rPr>
          <w:rFonts w:hint="eastAsia" w:ascii="宋体" w:hAnsi="宋体" w:cs="宋体"/>
          <w:color w:val="auto"/>
          <w:kern w:val="0"/>
          <w:sz w:val="24"/>
          <w:highlight w:val="none"/>
        </w:rPr>
        <w:t>承包人原因造成工期延误的，可以在专用合同条款中约定逾期竣工违约金的计算方法和逾期竣工违约金的上限。承包人支付逾期竣工违约金后，不免除承包人继续完成工程及修补缺陷的义务。</w:t>
      </w:r>
    </w:p>
    <w:p w14:paraId="006F403E">
      <w:pPr>
        <w:pStyle w:val="8"/>
        <w:spacing w:before="120" w:after="120" w:line="312" w:lineRule="auto"/>
        <w:ind w:firstLine="480" w:firstLineChars="200"/>
        <w:rPr>
          <w:rFonts w:hint="eastAsia" w:ascii="宋体" w:hAnsi="宋体" w:cs="宋体"/>
          <w:b w:val="0"/>
          <w:color w:val="auto"/>
          <w:sz w:val="24"/>
          <w:szCs w:val="24"/>
          <w:highlight w:val="none"/>
        </w:rPr>
      </w:pPr>
      <w:bookmarkStart w:id="273" w:name="_Toc351203548"/>
      <w:r>
        <w:rPr>
          <w:rFonts w:hint="eastAsia" w:ascii="宋体" w:hAnsi="宋体" w:cs="宋体"/>
          <w:b w:val="0"/>
          <w:color w:val="auto"/>
          <w:sz w:val="24"/>
          <w:szCs w:val="24"/>
          <w:highlight w:val="none"/>
        </w:rPr>
        <w:t>7</w:t>
      </w:r>
      <w:bookmarkStart w:id="274" w:name="_Toc296503074"/>
      <w:bookmarkStart w:id="275" w:name="_Toc337558773"/>
      <w:bookmarkStart w:id="276" w:name="_Toc296346575"/>
      <w:bookmarkStart w:id="277" w:name="_Toc296503077"/>
      <w:bookmarkStart w:id="278" w:name="_Toc296346578"/>
      <w:r>
        <w:rPr>
          <w:rFonts w:hint="eastAsia" w:ascii="宋体" w:hAnsi="宋体" w:cs="宋体"/>
          <w:b w:val="0"/>
          <w:color w:val="auto"/>
          <w:sz w:val="24"/>
          <w:szCs w:val="24"/>
          <w:highlight w:val="none"/>
        </w:rPr>
        <w:t>.6 不利物质条件</w:t>
      </w:r>
      <w:bookmarkEnd w:id="273"/>
    </w:p>
    <w:bookmarkEnd w:id="274"/>
    <w:bookmarkEnd w:id="275"/>
    <w:bookmarkEnd w:id="276"/>
    <w:p w14:paraId="5487422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189D06B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14:paraId="11E7B276">
      <w:pPr>
        <w:pStyle w:val="8"/>
        <w:spacing w:before="120" w:after="120" w:line="312" w:lineRule="auto"/>
        <w:ind w:firstLine="480" w:firstLineChars="200"/>
        <w:rPr>
          <w:rFonts w:hint="eastAsia" w:ascii="宋体" w:hAnsi="宋体" w:cs="宋体"/>
          <w:b w:val="0"/>
          <w:color w:val="auto"/>
          <w:sz w:val="24"/>
          <w:szCs w:val="24"/>
          <w:highlight w:val="none"/>
        </w:rPr>
      </w:pPr>
      <w:bookmarkStart w:id="279" w:name="_Toc351203549"/>
      <w:r>
        <w:rPr>
          <w:rFonts w:hint="eastAsia" w:ascii="宋体" w:hAnsi="宋体" w:cs="宋体"/>
          <w:b w:val="0"/>
          <w:color w:val="auto"/>
          <w:sz w:val="24"/>
          <w:szCs w:val="24"/>
          <w:highlight w:val="none"/>
        </w:rPr>
        <w:t>7</w:t>
      </w:r>
      <w:bookmarkStart w:id="280" w:name="_Toc296503075"/>
      <w:bookmarkStart w:id="281" w:name="_Toc337558774"/>
      <w:bookmarkStart w:id="282" w:name="_Toc296346576"/>
      <w:r>
        <w:rPr>
          <w:rFonts w:hint="eastAsia" w:ascii="宋体" w:hAnsi="宋体" w:cs="宋体"/>
          <w:b w:val="0"/>
          <w:color w:val="auto"/>
          <w:sz w:val="24"/>
          <w:szCs w:val="24"/>
          <w:highlight w:val="none"/>
        </w:rPr>
        <w:t>.7 异常恶劣的气候条件</w:t>
      </w:r>
      <w:bookmarkEnd w:id="279"/>
    </w:p>
    <w:bookmarkEnd w:id="280"/>
    <w:bookmarkEnd w:id="281"/>
    <w:bookmarkEnd w:id="282"/>
    <w:p w14:paraId="36E421E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1070F4E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283" w:name="_Toc351203550"/>
    </w:p>
    <w:p w14:paraId="1000293C">
      <w:pPr>
        <w:autoSpaceDE w:val="0"/>
        <w:autoSpaceDN w:val="0"/>
        <w:adjustRightInd w:val="0"/>
        <w:spacing w:line="312"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7</w:t>
      </w:r>
      <w:bookmarkStart w:id="284" w:name="_Toc337558775"/>
      <w:r>
        <w:rPr>
          <w:rFonts w:hint="eastAsia" w:ascii="宋体" w:hAnsi="宋体" w:cs="宋体"/>
          <w:bCs/>
          <w:color w:val="auto"/>
          <w:sz w:val="24"/>
          <w:highlight w:val="none"/>
        </w:rPr>
        <w:t>.8 暂停施工</w:t>
      </w:r>
      <w:bookmarkEnd w:id="283"/>
    </w:p>
    <w:bookmarkEnd w:id="277"/>
    <w:bookmarkEnd w:id="278"/>
    <w:bookmarkEnd w:id="284"/>
    <w:p w14:paraId="75E7A78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7.8.1发包人原因引起的暂停施工</w:t>
      </w:r>
    </w:p>
    <w:p w14:paraId="7E51DC8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因发包人原因引起暂停施工的，监理人经发包人同意后，应及时下达暂停施工指示。情况紧急且监理人未及时下达暂停施工指示的，按照第7.8.4项〔紧急情况下的暂停施工〕执行。</w:t>
      </w:r>
    </w:p>
    <w:p w14:paraId="3DCCEC60">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因发包人原因引起的暂停施工，发包人应承担由此增加的费用和（或）延误的工期，并支付承包人合理的利润。</w:t>
      </w:r>
    </w:p>
    <w:p w14:paraId="04B38164">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7.8.2 承包人原因引起的暂停施工</w:t>
      </w:r>
    </w:p>
    <w:p w14:paraId="11C6CCC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3F27A49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7.8.3 指示暂停施工</w:t>
      </w:r>
    </w:p>
    <w:p w14:paraId="18D06D8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监理人认为有必要时，并经发包人批准后，可向承包人作出暂停施工的指示，承包人应按监理人指示暂停施工。</w:t>
      </w:r>
    </w:p>
    <w:p w14:paraId="7E80858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7.8.4 紧急情况下的暂停施工</w:t>
      </w:r>
    </w:p>
    <w:p w14:paraId="1B58307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7363F93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7.8.5 暂停施工后的复工</w:t>
      </w:r>
    </w:p>
    <w:p w14:paraId="5E2FE6F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23DDFA2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承包人无故拖延和拒绝复工的，承包人承担由此增加的费用和（或）延误的工期；因发包人原因无法按时复工的，按照第7.5.1项〔因发包人原因导致工期延误〕约定办理。</w:t>
      </w:r>
    </w:p>
    <w:p w14:paraId="2C1693EC">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7.8.6 暂停施工持续56天以上</w:t>
      </w:r>
    </w:p>
    <w:p w14:paraId="364CE3C6">
      <w:pPr>
        <w:spacing w:line="312" w:lineRule="auto"/>
        <w:ind w:firstLine="468" w:firstLineChars="195"/>
        <w:jc w:val="left"/>
        <w:rPr>
          <w:rFonts w:hint="eastAsia" w:ascii="宋体" w:hAnsi="宋体" w:cs="宋体"/>
          <w:color w:val="auto"/>
          <w:kern w:val="0"/>
          <w:sz w:val="24"/>
          <w:highlight w:val="none"/>
        </w:rPr>
      </w:pPr>
      <w:r>
        <w:rPr>
          <w:rFonts w:hint="eastAsia" w:ascii="宋体" w:hAnsi="宋体" w:cs="宋体"/>
          <w:color w:val="auto"/>
          <w:kern w:val="0"/>
          <w:sz w:val="24"/>
          <w:highlight w:val="none"/>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2A72455C">
      <w:pPr>
        <w:spacing w:line="312" w:lineRule="auto"/>
        <w:ind w:firstLine="468" w:firstLineChars="195"/>
        <w:jc w:val="left"/>
        <w:rPr>
          <w:rFonts w:hint="eastAsia" w:ascii="宋体" w:hAnsi="宋体" w:cs="宋体"/>
          <w:color w:val="auto"/>
          <w:kern w:val="0"/>
          <w:sz w:val="24"/>
          <w:highlight w:val="none"/>
        </w:rPr>
      </w:pPr>
      <w:r>
        <w:rPr>
          <w:rFonts w:hint="eastAsia" w:ascii="宋体" w:hAnsi="宋体" w:cs="宋体"/>
          <w:color w:val="auto"/>
          <w:kern w:val="0"/>
          <w:sz w:val="24"/>
          <w:highlight w:val="none"/>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11267D40">
      <w:pPr>
        <w:spacing w:line="312" w:lineRule="auto"/>
        <w:ind w:left="16" w:firstLine="468" w:firstLineChars="195"/>
        <w:jc w:val="left"/>
        <w:rPr>
          <w:rFonts w:hint="eastAsia" w:ascii="宋体" w:hAnsi="宋体" w:cs="宋体"/>
          <w:color w:val="auto"/>
          <w:kern w:val="0"/>
          <w:sz w:val="24"/>
          <w:highlight w:val="none"/>
        </w:rPr>
      </w:pPr>
      <w:r>
        <w:rPr>
          <w:rFonts w:hint="eastAsia" w:ascii="宋体" w:hAnsi="宋体" w:cs="宋体"/>
          <w:color w:val="auto"/>
          <w:kern w:val="0"/>
          <w:sz w:val="24"/>
          <w:highlight w:val="none"/>
        </w:rPr>
        <w:t>7.8.7 暂停施工期间的工程照管</w:t>
      </w:r>
    </w:p>
    <w:p w14:paraId="66F2718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暂停施工期间，承包人应负责妥善照管工程并提供安全保障，由此增加的费用由责任方承担。</w:t>
      </w:r>
    </w:p>
    <w:p w14:paraId="171A479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7.8.8 暂停施工的措施</w:t>
      </w:r>
    </w:p>
    <w:p w14:paraId="7295298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暂停施工期间，发包人和承包人均应采取必要的措施确保工程质量及安全，防止因暂停施工扩大损失。</w:t>
      </w:r>
    </w:p>
    <w:p w14:paraId="137A5CFE">
      <w:pPr>
        <w:pStyle w:val="8"/>
        <w:spacing w:before="120" w:after="120" w:line="312" w:lineRule="auto"/>
        <w:ind w:firstLine="480" w:firstLineChars="200"/>
        <w:rPr>
          <w:rFonts w:hint="eastAsia" w:ascii="宋体" w:hAnsi="宋体" w:cs="宋体"/>
          <w:b w:val="0"/>
          <w:color w:val="auto"/>
          <w:sz w:val="24"/>
          <w:szCs w:val="24"/>
          <w:highlight w:val="none"/>
        </w:rPr>
      </w:pPr>
      <w:bookmarkStart w:id="285" w:name="_Toc351203551"/>
      <w:r>
        <w:rPr>
          <w:rFonts w:hint="eastAsia" w:ascii="宋体" w:hAnsi="宋体" w:cs="宋体"/>
          <w:b w:val="0"/>
          <w:color w:val="auto"/>
          <w:sz w:val="24"/>
          <w:szCs w:val="24"/>
          <w:highlight w:val="none"/>
        </w:rPr>
        <w:t>7.9提前竣工</w:t>
      </w:r>
      <w:bookmarkEnd w:id="285"/>
    </w:p>
    <w:p w14:paraId="7072365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0370203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7.9.2 发包人要求承包人提前竣工，或承包人提出提前竣工的建议能够给发包人带来效益的，合同当事人可以在专用合同条款中约定提前竣工的奖励。</w:t>
      </w:r>
    </w:p>
    <w:p w14:paraId="386B4EB9">
      <w:pPr>
        <w:pStyle w:val="7"/>
        <w:spacing w:before="120" w:after="120" w:line="312" w:lineRule="auto"/>
        <w:rPr>
          <w:rFonts w:hint="eastAsia"/>
          <w:b w:val="0"/>
          <w:color w:val="auto"/>
          <w:sz w:val="24"/>
          <w:szCs w:val="24"/>
          <w:highlight w:val="none"/>
        </w:rPr>
      </w:pPr>
      <w:bookmarkStart w:id="286" w:name="_Toc351203552"/>
      <w:r>
        <w:rPr>
          <w:rFonts w:hint="eastAsia"/>
          <w:b w:val="0"/>
          <w:color w:val="auto"/>
          <w:sz w:val="24"/>
          <w:szCs w:val="24"/>
          <w:highlight w:val="none"/>
        </w:rPr>
        <w:t>8</w:t>
      </w:r>
      <w:bookmarkStart w:id="287" w:name="_Toc296503058"/>
      <w:bookmarkStart w:id="288" w:name="_Toc337558776"/>
      <w:bookmarkStart w:id="289" w:name="_Toc296346559"/>
      <w:r>
        <w:rPr>
          <w:rFonts w:hint="eastAsia"/>
          <w:b w:val="0"/>
          <w:color w:val="auto"/>
          <w:sz w:val="24"/>
          <w:szCs w:val="24"/>
          <w:highlight w:val="none"/>
        </w:rPr>
        <w:t>. 材料与设备</w:t>
      </w:r>
      <w:bookmarkEnd w:id="286"/>
    </w:p>
    <w:bookmarkEnd w:id="287"/>
    <w:bookmarkEnd w:id="288"/>
    <w:bookmarkEnd w:id="289"/>
    <w:p w14:paraId="4BB95D0D">
      <w:pPr>
        <w:pStyle w:val="8"/>
        <w:spacing w:before="120" w:after="120" w:line="312" w:lineRule="auto"/>
        <w:ind w:firstLine="480" w:firstLineChars="200"/>
        <w:rPr>
          <w:rFonts w:hint="eastAsia" w:ascii="宋体" w:hAnsi="宋体" w:cs="宋体"/>
          <w:b w:val="0"/>
          <w:color w:val="auto"/>
          <w:sz w:val="24"/>
          <w:szCs w:val="24"/>
          <w:highlight w:val="none"/>
        </w:rPr>
      </w:pPr>
      <w:bookmarkStart w:id="290" w:name="_Toc351203553"/>
      <w:r>
        <w:rPr>
          <w:rFonts w:hint="eastAsia" w:ascii="宋体" w:hAnsi="宋体" w:cs="宋体"/>
          <w:b w:val="0"/>
          <w:color w:val="auto"/>
          <w:sz w:val="24"/>
          <w:szCs w:val="24"/>
          <w:highlight w:val="none"/>
        </w:rPr>
        <w:t>8</w:t>
      </w:r>
      <w:bookmarkStart w:id="291" w:name="_Toc296346560"/>
      <w:bookmarkStart w:id="292" w:name="_Toc337558777"/>
      <w:bookmarkStart w:id="293" w:name="_Toc296503059"/>
      <w:bookmarkStart w:id="294" w:name="_Toc468936960"/>
      <w:r>
        <w:rPr>
          <w:rFonts w:hint="eastAsia" w:ascii="宋体" w:hAnsi="宋体" w:cs="宋体"/>
          <w:b w:val="0"/>
          <w:color w:val="auto"/>
          <w:sz w:val="24"/>
          <w:szCs w:val="24"/>
          <w:highlight w:val="none"/>
        </w:rPr>
        <w:t>.1发包人供应材料与工程设备</w:t>
      </w:r>
      <w:bookmarkEnd w:id="290"/>
    </w:p>
    <w:bookmarkEnd w:id="291"/>
    <w:bookmarkEnd w:id="292"/>
    <w:bookmarkEnd w:id="293"/>
    <w:p w14:paraId="0242C9F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发包人自行供应材料、工程设备的，应在签订合同时在专用合同条款的附件《发包人供应材料设备一览表》中明确材料、工程设备的品种、规格、型号、数量、单价、质量等级和送达地点。</w:t>
      </w:r>
    </w:p>
    <w:p w14:paraId="197A566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14:paraId="2705F94C">
      <w:pPr>
        <w:pStyle w:val="8"/>
        <w:spacing w:before="120" w:after="120" w:line="312" w:lineRule="auto"/>
        <w:ind w:firstLine="480" w:firstLineChars="200"/>
        <w:rPr>
          <w:rFonts w:hint="eastAsia" w:ascii="宋体" w:hAnsi="宋体" w:cs="宋体"/>
          <w:color w:val="auto"/>
          <w:sz w:val="24"/>
          <w:szCs w:val="24"/>
          <w:highlight w:val="none"/>
        </w:rPr>
      </w:pPr>
      <w:bookmarkStart w:id="295" w:name="_Toc351203554"/>
      <w:r>
        <w:rPr>
          <w:rFonts w:hint="eastAsia" w:ascii="宋体" w:hAnsi="宋体" w:cs="宋体"/>
          <w:b w:val="0"/>
          <w:color w:val="auto"/>
          <w:sz w:val="24"/>
          <w:szCs w:val="24"/>
          <w:highlight w:val="none"/>
        </w:rPr>
        <w:t>8</w:t>
      </w:r>
      <w:bookmarkStart w:id="296" w:name="_Toc296503060"/>
      <w:bookmarkStart w:id="297" w:name="_Toc337558778"/>
      <w:bookmarkStart w:id="298" w:name="_Toc296346561"/>
      <w:r>
        <w:rPr>
          <w:rFonts w:hint="eastAsia" w:ascii="宋体" w:hAnsi="宋体" w:cs="宋体"/>
          <w:b w:val="0"/>
          <w:color w:val="auto"/>
          <w:sz w:val="24"/>
          <w:szCs w:val="24"/>
          <w:highlight w:val="none"/>
        </w:rPr>
        <w:t>.2承包人采购材料与工程设备</w:t>
      </w:r>
      <w:bookmarkEnd w:id="295"/>
    </w:p>
    <w:bookmarkEnd w:id="296"/>
    <w:bookmarkEnd w:id="297"/>
    <w:bookmarkEnd w:id="298"/>
    <w:p w14:paraId="63F6A0F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4FED12FB">
      <w:pPr>
        <w:pStyle w:val="8"/>
        <w:spacing w:before="120" w:after="120" w:line="312" w:lineRule="auto"/>
        <w:ind w:firstLine="480" w:firstLineChars="200"/>
        <w:rPr>
          <w:rFonts w:hint="eastAsia" w:ascii="宋体" w:hAnsi="宋体" w:cs="宋体"/>
          <w:b w:val="0"/>
          <w:color w:val="auto"/>
          <w:sz w:val="24"/>
          <w:szCs w:val="24"/>
          <w:highlight w:val="none"/>
        </w:rPr>
      </w:pPr>
      <w:bookmarkStart w:id="299" w:name="_Toc351203555"/>
      <w:r>
        <w:rPr>
          <w:rFonts w:hint="eastAsia" w:ascii="宋体" w:hAnsi="宋体" w:cs="宋体"/>
          <w:b w:val="0"/>
          <w:color w:val="auto"/>
          <w:sz w:val="24"/>
          <w:szCs w:val="24"/>
          <w:highlight w:val="none"/>
        </w:rPr>
        <w:t>8</w:t>
      </w:r>
      <w:bookmarkStart w:id="300" w:name="_Toc296346562"/>
      <w:bookmarkStart w:id="301" w:name="_Toc296503061"/>
      <w:bookmarkStart w:id="302" w:name="_Toc337558779"/>
      <w:r>
        <w:rPr>
          <w:rFonts w:hint="eastAsia" w:ascii="宋体" w:hAnsi="宋体" w:cs="宋体"/>
          <w:b w:val="0"/>
          <w:color w:val="auto"/>
          <w:sz w:val="24"/>
          <w:szCs w:val="24"/>
          <w:highlight w:val="none"/>
        </w:rPr>
        <w:t>.3材料与工程设备的接收与拒收</w:t>
      </w:r>
      <w:bookmarkEnd w:id="299"/>
    </w:p>
    <w:bookmarkEnd w:id="300"/>
    <w:bookmarkEnd w:id="301"/>
    <w:bookmarkEnd w:id="302"/>
    <w:p w14:paraId="24843D5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542718F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发包人提供的材料和工程设备的规格、数量或质量不符合合同约定的，或因发包人原因导致交货日期延误或交货地点变更等情况的，按照第16.1款〔发包人违约〕约定办理。</w:t>
      </w:r>
    </w:p>
    <w:p w14:paraId="21373D2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8.3.2 承包人采购的材料和工程设备，应保证产品质量合格，承包人应在材料和工程设备到货前24小时通知监理人检验。承</w:t>
      </w:r>
      <w:bookmarkStart w:id="303" w:name="_Toc250655469"/>
      <w:r>
        <w:rPr>
          <w:rFonts w:hint="eastAsia" w:ascii="宋体" w:hAnsi="宋体" w:cs="宋体"/>
          <w:color w:val="auto"/>
          <w:kern w:val="0"/>
          <w:sz w:val="24"/>
          <w:highlight w:val="none"/>
        </w:rPr>
        <w:t>包人进行永久设备、材料的制造和生产的，应符合相关质量标准，并向监理人提交材料的样本以及有关资料，并应在使用该材料或工程设备之前获得监理人同意。</w:t>
      </w:r>
    </w:p>
    <w:bookmarkEnd w:id="303"/>
    <w:p w14:paraId="3BC70653">
      <w:pPr>
        <w:autoSpaceDE w:val="0"/>
        <w:autoSpaceDN w:val="0"/>
        <w:adjustRightInd w:val="0"/>
        <w:spacing w:line="312" w:lineRule="auto"/>
        <w:ind w:firstLine="360" w:firstLineChars="15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59BD7E78">
      <w:pPr>
        <w:pStyle w:val="8"/>
        <w:spacing w:before="120" w:after="120" w:line="312" w:lineRule="auto"/>
        <w:ind w:firstLine="480" w:firstLineChars="200"/>
        <w:rPr>
          <w:rFonts w:hint="eastAsia" w:ascii="宋体" w:hAnsi="宋体" w:cs="宋体"/>
          <w:b w:val="0"/>
          <w:color w:val="auto"/>
          <w:sz w:val="24"/>
          <w:szCs w:val="24"/>
          <w:highlight w:val="none"/>
        </w:rPr>
      </w:pPr>
      <w:bookmarkStart w:id="304" w:name="_Toc351203556"/>
      <w:r>
        <w:rPr>
          <w:rFonts w:hint="eastAsia" w:ascii="宋体" w:hAnsi="宋体" w:cs="宋体"/>
          <w:b w:val="0"/>
          <w:color w:val="auto"/>
          <w:sz w:val="24"/>
          <w:szCs w:val="24"/>
          <w:highlight w:val="none"/>
        </w:rPr>
        <w:t>8</w:t>
      </w:r>
      <w:bookmarkStart w:id="305" w:name="_Toc296503062"/>
      <w:bookmarkStart w:id="306" w:name="_Toc337558780"/>
      <w:bookmarkStart w:id="307" w:name="_Toc296346563"/>
      <w:r>
        <w:rPr>
          <w:rFonts w:hint="eastAsia" w:ascii="宋体" w:hAnsi="宋体" w:cs="宋体"/>
          <w:b w:val="0"/>
          <w:color w:val="auto"/>
          <w:sz w:val="24"/>
          <w:szCs w:val="24"/>
          <w:highlight w:val="none"/>
        </w:rPr>
        <w:t>.4材料与工程设备的保管与使用</w:t>
      </w:r>
      <w:bookmarkEnd w:id="304"/>
    </w:p>
    <w:bookmarkEnd w:id="305"/>
    <w:bookmarkEnd w:id="306"/>
    <w:bookmarkEnd w:id="307"/>
    <w:p w14:paraId="6FDEE7C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8.4.1 发包人供应</w:t>
      </w:r>
      <w:r>
        <w:rPr>
          <w:rFonts w:hint="eastAsia" w:ascii="宋体" w:hAnsi="宋体" w:cs="宋体"/>
          <w:color w:val="auto"/>
          <w:sz w:val="24"/>
          <w:highlight w:val="none"/>
        </w:rPr>
        <w:t>材料与</w:t>
      </w:r>
      <w:r>
        <w:rPr>
          <w:rFonts w:hint="eastAsia" w:ascii="宋体" w:hAnsi="宋体" w:cs="宋体"/>
          <w:color w:val="auto"/>
          <w:kern w:val="0"/>
          <w:sz w:val="24"/>
          <w:highlight w:val="none"/>
        </w:rPr>
        <w:t>工程</w:t>
      </w:r>
      <w:r>
        <w:rPr>
          <w:rFonts w:hint="eastAsia" w:ascii="宋体" w:hAnsi="宋体" w:cs="宋体"/>
          <w:color w:val="auto"/>
          <w:sz w:val="24"/>
          <w:highlight w:val="none"/>
        </w:rPr>
        <w:t>设备的保管与使用</w:t>
      </w:r>
    </w:p>
    <w:p w14:paraId="181592D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44084C6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发包人供应的材料和工程设备使用前，由承包人负责检验，检验费用由发包人承担，不合格的不得使用。</w:t>
      </w:r>
    </w:p>
    <w:p w14:paraId="79BF70E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8.4.2 承包人采购</w:t>
      </w:r>
      <w:r>
        <w:rPr>
          <w:rFonts w:hint="eastAsia" w:ascii="宋体" w:hAnsi="宋体" w:cs="宋体"/>
          <w:color w:val="auto"/>
          <w:sz w:val="24"/>
          <w:highlight w:val="none"/>
        </w:rPr>
        <w:t>材料与</w:t>
      </w:r>
      <w:r>
        <w:rPr>
          <w:rFonts w:hint="eastAsia" w:ascii="宋体" w:hAnsi="宋体" w:cs="宋体"/>
          <w:color w:val="auto"/>
          <w:kern w:val="0"/>
          <w:sz w:val="24"/>
          <w:highlight w:val="none"/>
        </w:rPr>
        <w:t>工程</w:t>
      </w:r>
      <w:r>
        <w:rPr>
          <w:rFonts w:hint="eastAsia" w:ascii="宋体" w:hAnsi="宋体" w:cs="宋体"/>
          <w:color w:val="auto"/>
          <w:sz w:val="24"/>
          <w:highlight w:val="none"/>
        </w:rPr>
        <w:t>设备的保管与使用</w:t>
      </w:r>
    </w:p>
    <w:p w14:paraId="4DB8A36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085B761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发包人或监理人发现承包人使用不符合设计或有关标准要求的材料和工程设备时，有权要求承包人进行修复、拆除或重新采购，由此增加的费用和（或）延误的工期，由承包人承担。</w:t>
      </w:r>
    </w:p>
    <w:p w14:paraId="097E7441">
      <w:pPr>
        <w:pStyle w:val="8"/>
        <w:spacing w:before="120" w:after="120" w:line="312" w:lineRule="auto"/>
        <w:ind w:firstLine="480" w:firstLineChars="200"/>
        <w:rPr>
          <w:rFonts w:hint="eastAsia" w:ascii="宋体" w:hAnsi="宋体" w:cs="宋体"/>
          <w:b w:val="0"/>
          <w:color w:val="auto"/>
          <w:sz w:val="24"/>
          <w:szCs w:val="24"/>
          <w:highlight w:val="none"/>
        </w:rPr>
      </w:pPr>
      <w:bookmarkStart w:id="308" w:name="_Toc351203557"/>
      <w:r>
        <w:rPr>
          <w:rFonts w:hint="eastAsia" w:ascii="宋体" w:hAnsi="宋体" w:cs="宋体"/>
          <w:b w:val="0"/>
          <w:color w:val="auto"/>
          <w:sz w:val="24"/>
          <w:szCs w:val="24"/>
          <w:highlight w:val="none"/>
        </w:rPr>
        <w:t>8.5禁止使用不合格的材料和工程设备</w:t>
      </w:r>
      <w:bookmarkEnd w:id="308"/>
    </w:p>
    <w:p w14:paraId="371A02A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8.5.1 监理人有权拒绝承包人提供的不合格材料或工程设备，并要求承包人立即进行更换。监理人应在更换后再次进行检查和检验，由此增加的费用和（或）延误的工期由承包人承担。</w:t>
      </w:r>
    </w:p>
    <w:p w14:paraId="4D640DB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8.5.2 监理人发现承包人使用了不合格的材料和工程设备，承包人应按照监理人的指示立即改正，并禁止在工程中继续使用不合格的材料和工程设备。</w:t>
      </w:r>
    </w:p>
    <w:p w14:paraId="1D5AE48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8.5.3 发包人提供的材料或工程设备不符合合同要求的，承包人有权拒绝，并可要求发包人更换，由此增加的费用和（或）延误的工期由发包人承担，并支付承包人合理的利润。</w:t>
      </w:r>
    </w:p>
    <w:p w14:paraId="33FAC0EA">
      <w:pPr>
        <w:pStyle w:val="8"/>
        <w:spacing w:before="120" w:after="120" w:line="312" w:lineRule="auto"/>
        <w:ind w:firstLine="480" w:firstLineChars="200"/>
        <w:rPr>
          <w:rFonts w:hint="eastAsia" w:ascii="宋体" w:hAnsi="宋体" w:cs="宋体"/>
          <w:b w:val="0"/>
          <w:color w:val="auto"/>
          <w:sz w:val="24"/>
          <w:szCs w:val="24"/>
          <w:highlight w:val="none"/>
        </w:rPr>
      </w:pPr>
      <w:bookmarkStart w:id="309" w:name="_Toc351203558"/>
      <w:r>
        <w:rPr>
          <w:rFonts w:hint="eastAsia" w:ascii="宋体" w:hAnsi="宋体" w:cs="宋体"/>
          <w:b w:val="0"/>
          <w:color w:val="auto"/>
          <w:sz w:val="24"/>
          <w:szCs w:val="24"/>
          <w:highlight w:val="none"/>
        </w:rPr>
        <w:t>8.6 样品</w:t>
      </w:r>
      <w:bookmarkEnd w:id="309"/>
    </w:p>
    <w:p w14:paraId="0FAEAC6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8.6.1</w:t>
      </w:r>
      <w:r>
        <w:rPr>
          <w:rFonts w:hint="eastAsia" w:ascii="宋体" w:hAnsi="宋体" w:cs="宋体"/>
          <w:color w:val="auto"/>
          <w:kern w:val="0"/>
          <w:sz w:val="24"/>
          <w:highlight w:val="none"/>
        </w:rPr>
        <w:tab/>
      </w:r>
      <w:r>
        <w:rPr>
          <w:rFonts w:hint="eastAsia" w:ascii="宋体" w:hAnsi="宋体" w:cs="宋体"/>
          <w:color w:val="auto"/>
          <w:kern w:val="0"/>
          <w:sz w:val="24"/>
          <w:highlight w:val="none"/>
        </w:rPr>
        <w:t>样品的报送与封存</w:t>
      </w:r>
    </w:p>
    <w:p w14:paraId="220EEA4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需要承包人报送样品的材料或工程设备，样品的种类、名称、规格、数量等要求均应在专用合同条款中约定。样品的报送程序如下：</w:t>
      </w:r>
    </w:p>
    <w:p w14:paraId="641AB06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1BC5502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7ABFF62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（3）经发包人和监理人审批确认的样品应按约定的方法封样，封存的样品作为检验工程相关部分的标准之一。承包人在施工过程中不得使用与样品不符的材料或工程设备。</w:t>
      </w:r>
    </w:p>
    <w:p w14:paraId="7F6135E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5FBEC42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8.6.2 样品的保管</w:t>
      </w:r>
    </w:p>
    <w:p w14:paraId="66F4C29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经批准的样品应由监理人负责封存于现场，承包人应在现场为保存样品提供适当和固定的场所并保持适当和良好的存储环境条件。</w:t>
      </w:r>
    </w:p>
    <w:p w14:paraId="4D287536">
      <w:pPr>
        <w:pStyle w:val="8"/>
        <w:spacing w:before="120" w:after="120" w:line="312" w:lineRule="auto"/>
        <w:ind w:firstLine="480" w:firstLineChars="200"/>
        <w:rPr>
          <w:rFonts w:hint="eastAsia" w:ascii="宋体" w:hAnsi="宋体" w:cs="宋体"/>
          <w:b w:val="0"/>
          <w:color w:val="auto"/>
          <w:sz w:val="24"/>
          <w:szCs w:val="24"/>
          <w:highlight w:val="none"/>
        </w:rPr>
      </w:pPr>
      <w:bookmarkStart w:id="310" w:name="_Toc351203559"/>
      <w:r>
        <w:rPr>
          <w:rFonts w:hint="eastAsia" w:ascii="宋体" w:hAnsi="宋体" w:cs="宋体"/>
          <w:b w:val="0"/>
          <w:color w:val="auto"/>
          <w:sz w:val="24"/>
          <w:szCs w:val="24"/>
          <w:highlight w:val="none"/>
        </w:rPr>
        <w:t>8.7材料与工程设备的替代</w:t>
      </w:r>
      <w:bookmarkEnd w:id="310"/>
    </w:p>
    <w:p w14:paraId="37141C1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8.7.1 出现下列情况需要使用替代材料和工程设备的，承包人应按照第8.7.2项约定的程序执行：</w:t>
      </w:r>
    </w:p>
    <w:p w14:paraId="380801B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（1）基准日期后生效的法律规定禁止使用的；</w:t>
      </w:r>
    </w:p>
    <w:p w14:paraId="106C10D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（2）发包人要求使用替代品的；</w:t>
      </w:r>
    </w:p>
    <w:p w14:paraId="4E36DC4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（3）因其他原因必须使用替代品的。</w:t>
      </w:r>
    </w:p>
    <w:p w14:paraId="40B47AF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8.7.2 承包人应在使用替代材料和工程设备28天前书面通知监理人，并附下列文件：</w:t>
      </w:r>
    </w:p>
    <w:p w14:paraId="607AF60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（1）被替代的材料和工程设备的名称、数量、规格、型号、品牌、性能、价格及其他相关资料；</w:t>
      </w:r>
    </w:p>
    <w:p w14:paraId="14FE679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（2）替代品的名称、数量、规格、型号、品牌、性能、价格及其他相关资料；</w:t>
      </w:r>
    </w:p>
    <w:p w14:paraId="636BFFB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（3）替代品与被替代产品之间的差异以及使用替代品可能对工程产生的影响；</w:t>
      </w:r>
    </w:p>
    <w:p w14:paraId="4018179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（4）替代品与被替代产品的价格差异；</w:t>
      </w:r>
    </w:p>
    <w:p w14:paraId="2934F26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（5）使用替代品的理由和原因说明；</w:t>
      </w:r>
    </w:p>
    <w:p w14:paraId="665AC57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（6）监理人要求的其他文件。</w:t>
      </w:r>
    </w:p>
    <w:p w14:paraId="208F3B8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监理人应在收到通知后14天内向承包人发出经发包人签认的书面指示；监理人逾期发出书面指示的，视为发包人和监理人同意使用替代品。</w:t>
      </w:r>
    </w:p>
    <w:p w14:paraId="7F3157D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14:paraId="3F7BC642">
      <w:pPr>
        <w:pStyle w:val="8"/>
        <w:spacing w:before="120" w:after="120" w:line="312" w:lineRule="auto"/>
        <w:ind w:firstLine="480" w:firstLineChars="200"/>
        <w:rPr>
          <w:rFonts w:hint="eastAsia" w:ascii="宋体" w:hAnsi="宋体" w:cs="宋体"/>
          <w:b w:val="0"/>
          <w:color w:val="auto"/>
          <w:sz w:val="24"/>
          <w:szCs w:val="24"/>
          <w:highlight w:val="none"/>
        </w:rPr>
      </w:pPr>
      <w:bookmarkStart w:id="311" w:name="_Toc351203560"/>
      <w:r>
        <w:rPr>
          <w:rFonts w:hint="eastAsia" w:ascii="宋体" w:hAnsi="宋体" w:cs="宋体"/>
          <w:b w:val="0"/>
          <w:color w:val="auto"/>
          <w:sz w:val="24"/>
          <w:szCs w:val="24"/>
          <w:highlight w:val="none"/>
        </w:rPr>
        <w:t>8.8施工设备和临时设施</w:t>
      </w:r>
      <w:bookmarkEnd w:id="311"/>
    </w:p>
    <w:p w14:paraId="1E74E78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8.8.1 承包人提供的施工设备和临时设施</w:t>
      </w:r>
    </w:p>
    <w:p w14:paraId="1F11E5D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承包人应按合同进度计划的要求，及时配置施工设备和修建临时设施。进入施工场地的承包人设备需经监理人核查后才能投入使用。承包人更换合同约定的承包人设备的，应报监理人批准。</w:t>
      </w:r>
    </w:p>
    <w:p w14:paraId="0507862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除专用合同条款另有约定外，承包人应自行承担修建临时设施的费用，需要临时占地的，应由发包人办理申请手续并承担相应费用。</w:t>
      </w:r>
    </w:p>
    <w:p w14:paraId="4C9675A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8.8.2发包人提供的施工设备和临时设施</w:t>
      </w:r>
    </w:p>
    <w:p w14:paraId="39B7AF0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发包人提供的施工设备或临时设施在专用合同条款中约定。</w:t>
      </w:r>
    </w:p>
    <w:p w14:paraId="3427C5D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8.8.3要求承包人增加或更换施工设备</w:t>
      </w:r>
    </w:p>
    <w:p w14:paraId="7F472B8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承包人使用的施工设备不能满足合同进度计划和（或）质量要求时，监理人有权要求承包人增加或更换施工设备，承包人应及时增加或更换，由此增加的费用和（或）延误的工期由承包人承担。</w:t>
      </w:r>
    </w:p>
    <w:p w14:paraId="05F9C835">
      <w:pPr>
        <w:pStyle w:val="8"/>
        <w:spacing w:before="120" w:after="120" w:line="312" w:lineRule="auto"/>
        <w:ind w:firstLine="480" w:firstLineChars="200"/>
        <w:rPr>
          <w:rFonts w:hint="eastAsia" w:ascii="宋体" w:hAnsi="宋体" w:cs="宋体"/>
          <w:b w:val="0"/>
          <w:color w:val="auto"/>
          <w:sz w:val="24"/>
          <w:szCs w:val="24"/>
          <w:highlight w:val="none"/>
        </w:rPr>
      </w:pPr>
      <w:bookmarkStart w:id="312" w:name="_Toc351203561"/>
      <w:r>
        <w:rPr>
          <w:rFonts w:hint="eastAsia" w:ascii="宋体" w:hAnsi="宋体" w:cs="宋体"/>
          <w:b w:val="0"/>
          <w:color w:val="auto"/>
          <w:sz w:val="24"/>
          <w:szCs w:val="24"/>
          <w:highlight w:val="none"/>
        </w:rPr>
        <w:t>8</w:t>
      </w:r>
      <w:bookmarkStart w:id="313" w:name="_Toc296346564"/>
      <w:bookmarkStart w:id="314" w:name="_Toc337558781"/>
      <w:bookmarkStart w:id="315" w:name="_Toc296503063"/>
      <w:r>
        <w:rPr>
          <w:rFonts w:hint="eastAsia" w:ascii="宋体" w:hAnsi="宋体" w:cs="宋体"/>
          <w:b w:val="0"/>
          <w:color w:val="auto"/>
          <w:sz w:val="24"/>
          <w:szCs w:val="24"/>
          <w:highlight w:val="none"/>
        </w:rPr>
        <w:t>.9材料与设备专用</w:t>
      </w:r>
      <w:bookmarkEnd w:id="312"/>
      <w:r>
        <w:rPr>
          <w:rFonts w:hint="eastAsia" w:ascii="宋体" w:hAnsi="宋体" w:cs="宋体"/>
          <w:b w:val="0"/>
          <w:color w:val="auto"/>
          <w:sz w:val="24"/>
          <w:szCs w:val="24"/>
          <w:highlight w:val="none"/>
        </w:rPr>
        <w:t>要求</w:t>
      </w:r>
    </w:p>
    <w:bookmarkEnd w:id="313"/>
    <w:bookmarkEnd w:id="314"/>
    <w:bookmarkEnd w:id="315"/>
    <w:p w14:paraId="08A3C237">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承包人运入施工现场的材料、工程设备、施工设备以及在施工场地建设的临时设施，包括备品备件、安装工具与资料，必须专用于工程。未经发包人批准，承包人不得运出施工现场或挪作他用；</w:t>
      </w:r>
      <w:bookmarkEnd w:id="294"/>
      <w:r>
        <w:rPr>
          <w:rFonts w:hint="eastAsia" w:ascii="宋体" w:hAnsi="宋体" w:cs="宋体"/>
          <w:color w:val="auto"/>
          <w:kern w:val="0"/>
          <w:sz w:val="24"/>
          <w:highlight w:val="none"/>
        </w:rPr>
        <w:t>经发包人批准，承包人可以根据施工进度计划撤走闲置的施工设备和其他物品。</w:t>
      </w:r>
    </w:p>
    <w:p w14:paraId="1E396189">
      <w:pPr>
        <w:pStyle w:val="7"/>
        <w:spacing w:before="120" w:after="120" w:line="312" w:lineRule="auto"/>
        <w:rPr>
          <w:rFonts w:hint="eastAsia"/>
          <w:b w:val="0"/>
          <w:color w:val="auto"/>
          <w:sz w:val="24"/>
          <w:szCs w:val="24"/>
          <w:highlight w:val="none"/>
        </w:rPr>
      </w:pPr>
      <w:bookmarkStart w:id="316" w:name="_Toc351203562"/>
      <w:r>
        <w:rPr>
          <w:rFonts w:hint="eastAsia"/>
          <w:b w:val="0"/>
          <w:color w:val="auto"/>
          <w:sz w:val="24"/>
          <w:szCs w:val="24"/>
          <w:highlight w:val="none"/>
        </w:rPr>
        <w:t>9</w:t>
      </w:r>
      <w:bookmarkStart w:id="317" w:name="_Toc337558782"/>
      <w:bookmarkStart w:id="318" w:name="_Toc296346584"/>
      <w:bookmarkStart w:id="319" w:name="_Toc296503083"/>
      <w:r>
        <w:rPr>
          <w:rFonts w:hint="eastAsia"/>
          <w:b w:val="0"/>
          <w:color w:val="auto"/>
          <w:sz w:val="24"/>
          <w:szCs w:val="24"/>
          <w:highlight w:val="none"/>
        </w:rPr>
        <w:t>. 试验与检验</w:t>
      </w:r>
      <w:bookmarkEnd w:id="316"/>
    </w:p>
    <w:bookmarkEnd w:id="317"/>
    <w:p w14:paraId="3A4FFB23">
      <w:pPr>
        <w:pStyle w:val="8"/>
        <w:spacing w:before="120" w:after="120" w:line="312" w:lineRule="auto"/>
        <w:ind w:firstLine="480" w:firstLineChars="200"/>
        <w:rPr>
          <w:rFonts w:hint="eastAsia" w:ascii="宋体" w:hAnsi="宋体" w:cs="宋体"/>
          <w:b w:val="0"/>
          <w:color w:val="auto"/>
          <w:sz w:val="24"/>
          <w:szCs w:val="24"/>
          <w:highlight w:val="none"/>
        </w:rPr>
      </w:pPr>
      <w:bookmarkStart w:id="320" w:name="_Toc351203563"/>
      <w:r>
        <w:rPr>
          <w:rFonts w:hint="eastAsia" w:ascii="宋体" w:hAnsi="宋体" w:cs="宋体"/>
          <w:b w:val="0"/>
          <w:color w:val="auto"/>
          <w:sz w:val="24"/>
          <w:szCs w:val="24"/>
          <w:highlight w:val="none"/>
        </w:rPr>
        <w:t>9</w:t>
      </w:r>
      <w:bookmarkStart w:id="321" w:name="_Toc337558783"/>
      <w:r>
        <w:rPr>
          <w:rFonts w:hint="eastAsia" w:ascii="宋体" w:hAnsi="宋体" w:cs="宋体"/>
          <w:b w:val="0"/>
          <w:color w:val="auto"/>
          <w:sz w:val="24"/>
          <w:szCs w:val="24"/>
          <w:highlight w:val="none"/>
        </w:rPr>
        <w:t>.1试验设备与试验人员</w:t>
      </w:r>
      <w:bookmarkEnd w:id="320"/>
    </w:p>
    <w:bookmarkEnd w:id="321"/>
    <w:p w14:paraId="1A67955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0926AB1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9.1.2 承包人应按专用合同条款的约定提供试验设备、取样装置、试验场所和试验条件，并向监理人提交相应进场计划表。</w:t>
      </w:r>
    </w:p>
    <w:p w14:paraId="2E59647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承包人配置的试验设备要符合相应试验规程的要求并经过具有资质的检测单位检测，且在正式使用该试验设备前，需要经过监理人与承包人共同校定。</w:t>
      </w:r>
    </w:p>
    <w:p w14:paraId="356B45A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9.1.3 承包人应向监理人提交试验人员的名单及其岗位、资格等证明资料，试验人员必须能够熟练进行相应的检测试验，承包人对试验人员的试验程序和试验结果的正确性负责。</w:t>
      </w:r>
    </w:p>
    <w:p w14:paraId="00DF5A70">
      <w:pPr>
        <w:pStyle w:val="8"/>
        <w:spacing w:before="120" w:after="120" w:line="312" w:lineRule="auto"/>
        <w:ind w:firstLine="480" w:firstLineChars="200"/>
        <w:rPr>
          <w:rFonts w:hint="eastAsia" w:ascii="宋体" w:hAnsi="宋体" w:cs="宋体"/>
          <w:b w:val="0"/>
          <w:color w:val="auto"/>
          <w:sz w:val="24"/>
          <w:szCs w:val="24"/>
          <w:highlight w:val="none"/>
        </w:rPr>
      </w:pPr>
      <w:bookmarkStart w:id="322" w:name="_Toc351203564"/>
      <w:r>
        <w:rPr>
          <w:rFonts w:hint="eastAsia" w:ascii="宋体" w:hAnsi="宋体" w:cs="宋体"/>
          <w:b w:val="0"/>
          <w:color w:val="auto"/>
          <w:sz w:val="24"/>
          <w:szCs w:val="24"/>
          <w:highlight w:val="none"/>
        </w:rPr>
        <w:t>9</w:t>
      </w:r>
      <w:bookmarkStart w:id="323" w:name="_Toc337558784"/>
      <w:r>
        <w:rPr>
          <w:rFonts w:hint="eastAsia" w:ascii="宋体" w:hAnsi="宋体" w:cs="宋体"/>
          <w:b w:val="0"/>
          <w:color w:val="auto"/>
          <w:sz w:val="24"/>
          <w:szCs w:val="24"/>
          <w:highlight w:val="none"/>
        </w:rPr>
        <w:t>.2取样</w:t>
      </w:r>
      <w:bookmarkEnd w:id="322"/>
    </w:p>
    <w:bookmarkEnd w:id="323"/>
    <w:p w14:paraId="693402F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试验属于自检性质的，承包人可以单独取样。试验属于监理人抽检性质的，可由监理人取样，也可由承包人的试验人员在监理人的监督下取样。</w:t>
      </w:r>
    </w:p>
    <w:p w14:paraId="391330C8">
      <w:pPr>
        <w:pStyle w:val="8"/>
        <w:spacing w:before="120" w:after="120" w:line="312" w:lineRule="auto"/>
        <w:ind w:firstLine="480" w:firstLineChars="200"/>
        <w:rPr>
          <w:rFonts w:hint="eastAsia" w:ascii="宋体" w:hAnsi="宋体" w:cs="宋体"/>
          <w:b w:val="0"/>
          <w:color w:val="auto"/>
          <w:sz w:val="24"/>
          <w:szCs w:val="24"/>
          <w:highlight w:val="none"/>
        </w:rPr>
      </w:pPr>
      <w:bookmarkStart w:id="324" w:name="_Toc351203565"/>
      <w:r>
        <w:rPr>
          <w:rFonts w:hint="eastAsia" w:ascii="宋体" w:hAnsi="宋体" w:cs="宋体"/>
          <w:b w:val="0"/>
          <w:color w:val="auto"/>
          <w:sz w:val="24"/>
          <w:szCs w:val="24"/>
          <w:highlight w:val="none"/>
        </w:rPr>
        <w:t>9</w:t>
      </w:r>
      <w:bookmarkStart w:id="325" w:name="_Toc337558785"/>
      <w:r>
        <w:rPr>
          <w:rFonts w:hint="eastAsia" w:ascii="宋体" w:hAnsi="宋体" w:cs="宋体"/>
          <w:b w:val="0"/>
          <w:color w:val="auto"/>
          <w:sz w:val="24"/>
          <w:szCs w:val="24"/>
          <w:highlight w:val="none"/>
        </w:rPr>
        <w:t>.3材料、工程设备和工程的试验和检验</w:t>
      </w:r>
      <w:bookmarkEnd w:id="324"/>
    </w:p>
    <w:bookmarkEnd w:id="325"/>
    <w:p w14:paraId="7220A74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5ECF8A8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3BD4E91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3A56392B">
      <w:pPr>
        <w:pStyle w:val="8"/>
        <w:spacing w:before="120" w:after="120" w:line="312" w:lineRule="auto"/>
        <w:ind w:firstLine="480" w:firstLineChars="200"/>
        <w:rPr>
          <w:rFonts w:hint="eastAsia" w:ascii="宋体" w:hAnsi="宋体" w:cs="宋体"/>
          <w:b w:val="0"/>
          <w:color w:val="auto"/>
          <w:sz w:val="24"/>
          <w:szCs w:val="24"/>
          <w:highlight w:val="none"/>
        </w:rPr>
      </w:pPr>
      <w:bookmarkStart w:id="326" w:name="_Toc351203566"/>
      <w:r>
        <w:rPr>
          <w:rFonts w:hint="eastAsia" w:ascii="宋体" w:hAnsi="宋体" w:cs="宋体"/>
          <w:b w:val="0"/>
          <w:color w:val="auto"/>
          <w:sz w:val="24"/>
          <w:szCs w:val="24"/>
          <w:highlight w:val="none"/>
        </w:rPr>
        <w:t>9</w:t>
      </w:r>
      <w:bookmarkStart w:id="327" w:name="_Toc337558786"/>
      <w:r>
        <w:rPr>
          <w:rFonts w:hint="eastAsia" w:ascii="宋体" w:hAnsi="宋体" w:cs="宋体"/>
          <w:b w:val="0"/>
          <w:color w:val="auto"/>
          <w:sz w:val="24"/>
          <w:szCs w:val="24"/>
          <w:highlight w:val="none"/>
        </w:rPr>
        <w:t>.4现场工艺试验</w:t>
      </w:r>
      <w:bookmarkEnd w:id="326"/>
    </w:p>
    <w:bookmarkEnd w:id="327"/>
    <w:p w14:paraId="50A6D5A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承包人应按合同约定或监理人指示进行现场工艺试验。对大型的现场工艺试验，监理人认为必要时，承包人应根据监理人提出的工艺试验要求，编制工艺试验措施计划，报送监理人审查。</w:t>
      </w:r>
    </w:p>
    <w:p w14:paraId="03A949CC">
      <w:pPr>
        <w:pStyle w:val="7"/>
        <w:spacing w:before="120" w:after="120" w:line="312" w:lineRule="auto"/>
        <w:rPr>
          <w:rFonts w:hint="eastAsia"/>
          <w:b w:val="0"/>
          <w:color w:val="auto"/>
          <w:sz w:val="24"/>
          <w:szCs w:val="24"/>
          <w:highlight w:val="none"/>
        </w:rPr>
      </w:pPr>
      <w:bookmarkStart w:id="328" w:name="_Toc351203567"/>
      <w:r>
        <w:rPr>
          <w:rFonts w:hint="eastAsia"/>
          <w:b w:val="0"/>
          <w:color w:val="auto"/>
          <w:sz w:val="24"/>
          <w:szCs w:val="24"/>
          <w:highlight w:val="none"/>
        </w:rPr>
        <w:t>1</w:t>
      </w:r>
      <w:bookmarkStart w:id="329" w:name="_Toc337558787"/>
      <w:r>
        <w:rPr>
          <w:rFonts w:hint="eastAsia"/>
          <w:b w:val="0"/>
          <w:color w:val="auto"/>
          <w:sz w:val="24"/>
          <w:szCs w:val="24"/>
          <w:highlight w:val="none"/>
        </w:rPr>
        <w:t>0. 变更</w:t>
      </w:r>
      <w:bookmarkEnd w:id="318"/>
      <w:bookmarkEnd w:id="319"/>
      <w:bookmarkEnd w:id="328"/>
    </w:p>
    <w:bookmarkEnd w:id="329"/>
    <w:p w14:paraId="5CCDC2AA">
      <w:pPr>
        <w:pStyle w:val="8"/>
        <w:spacing w:before="120" w:after="120" w:line="312" w:lineRule="auto"/>
        <w:ind w:firstLine="480" w:firstLineChars="200"/>
        <w:rPr>
          <w:rFonts w:hint="eastAsia" w:ascii="宋体" w:hAnsi="宋体" w:cs="宋体"/>
          <w:b w:val="0"/>
          <w:color w:val="auto"/>
          <w:sz w:val="24"/>
          <w:szCs w:val="24"/>
          <w:highlight w:val="none"/>
        </w:rPr>
      </w:pPr>
      <w:bookmarkStart w:id="330" w:name="_Toc351203568"/>
      <w:r>
        <w:rPr>
          <w:rFonts w:hint="eastAsia" w:ascii="宋体" w:hAnsi="宋体" w:cs="宋体"/>
          <w:b w:val="0"/>
          <w:color w:val="auto"/>
          <w:sz w:val="24"/>
          <w:szCs w:val="24"/>
          <w:highlight w:val="none"/>
        </w:rPr>
        <w:t>1</w:t>
      </w:r>
      <w:bookmarkStart w:id="331" w:name="_Toc296346585"/>
      <w:bookmarkStart w:id="332" w:name="_Toc296503084"/>
      <w:bookmarkStart w:id="333" w:name="_Toc337558788"/>
      <w:r>
        <w:rPr>
          <w:rFonts w:hint="eastAsia" w:ascii="宋体" w:hAnsi="宋体" w:cs="宋体"/>
          <w:b w:val="0"/>
          <w:color w:val="auto"/>
          <w:sz w:val="24"/>
          <w:szCs w:val="24"/>
          <w:highlight w:val="none"/>
        </w:rPr>
        <w:t>0.1变更的范围</w:t>
      </w:r>
      <w:bookmarkEnd w:id="330"/>
    </w:p>
    <w:bookmarkEnd w:id="331"/>
    <w:bookmarkEnd w:id="332"/>
    <w:bookmarkEnd w:id="333"/>
    <w:p w14:paraId="05C0DA6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除专用合同条款另有约定外，合同履行过程中发生以下情形的，应按照本条约定进行变更：</w:t>
      </w:r>
    </w:p>
    <w:p w14:paraId="38FAF7C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（1）增加或减少合同中任何工作，或追加额外的工作；</w:t>
      </w:r>
    </w:p>
    <w:p w14:paraId="5A5731E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（2）取消合同中任何工作，但转由他人实施的工作除外；</w:t>
      </w:r>
    </w:p>
    <w:p w14:paraId="3E44010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（3）改变合同中任何工作的质量标准或其他特性；</w:t>
      </w:r>
    </w:p>
    <w:p w14:paraId="3DF8D4E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（4）改变工程的基线、标高、位置和尺寸；</w:t>
      </w:r>
    </w:p>
    <w:p w14:paraId="2CC5BDE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（5）改变工程的时间安排或实施顺序。</w:t>
      </w:r>
    </w:p>
    <w:p w14:paraId="2162D26A">
      <w:pPr>
        <w:pStyle w:val="8"/>
        <w:spacing w:before="120" w:after="120" w:line="312" w:lineRule="auto"/>
        <w:ind w:firstLine="480" w:firstLineChars="200"/>
        <w:rPr>
          <w:rFonts w:hint="eastAsia" w:ascii="宋体" w:hAnsi="宋体" w:cs="宋体"/>
          <w:b w:val="0"/>
          <w:color w:val="auto"/>
          <w:sz w:val="24"/>
          <w:szCs w:val="24"/>
          <w:highlight w:val="none"/>
        </w:rPr>
      </w:pPr>
      <w:bookmarkStart w:id="334" w:name="_Toc351203569"/>
      <w:r>
        <w:rPr>
          <w:rFonts w:hint="eastAsia" w:ascii="宋体" w:hAnsi="宋体" w:cs="宋体"/>
          <w:b w:val="0"/>
          <w:color w:val="auto"/>
          <w:sz w:val="24"/>
          <w:szCs w:val="24"/>
          <w:highlight w:val="none"/>
        </w:rPr>
        <w:t>1</w:t>
      </w:r>
      <w:bookmarkStart w:id="335" w:name="_Toc337558789"/>
      <w:bookmarkStart w:id="336" w:name="_Toc296503085"/>
      <w:bookmarkStart w:id="337" w:name="_Toc296346586"/>
      <w:r>
        <w:rPr>
          <w:rFonts w:hint="eastAsia" w:ascii="宋体" w:hAnsi="宋体" w:cs="宋体"/>
          <w:b w:val="0"/>
          <w:color w:val="auto"/>
          <w:sz w:val="24"/>
          <w:szCs w:val="24"/>
          <w:highlight w:val="none"/>
        </w:rPr>
        <w:t>0.2变更权</w:t>
      </w:r>
      <w:bookmarkEnd w:id="334"/>
    </w:p>
    <w:bookmarkEnd w:id="335"/>
    <w:bookmarkEnd w:id="336"/>
    <w:bookmarkEnd w:id="337"/>
    <w:p w14:paraId="17B23BC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2B77460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涉及设计变更的，应由设计人提供变更后的图纸和说明。如变更超过原设计标准或批准的建设规模时，发包人应及时办理规划、设计变更等审批手续。</w:t>
      </w:r>
    </w:p>
    <w:p w14:paraId="14E3C02A">
      <w:pPr>
        <w:pStyle w:val="8"/>
        <w:spacing w:before="120" w:after="120" w:line="312" w:lineRule="auto"/>
        <w:ind w:firstLine="480" w:firstLineChars="200"/>
        <w:rPr>
          <w:rFonts w:hint="eastAsia" w:ascii="宋体" w:hAnsi="宋体" w:cs="宋体"/>
          <w:b w:val="0"/>
          <w:color w:val="auto"/>
          <w:sz w:val="24"/>
          <w:szCs w:val="24"/>
          <w:highlight w:val="none"/>
        </w:rPr>
      </w:pPr>
      <w:bookmarkStart w:id="338" w:name="_Toc351203570"/>
      <w:r>
        <w:rPr>
          <w:rFonts w:hint="eastAsia" w:ascii="宋体" w:hAnsi="宋体" w:cs="宋体"/>
          <w:b w:val="0"/>
          <w:color w:val="auto"/>
          <w:sz w:val="24"/>
          <w:szCs w:val="24"/>
          <w:highlight w:val="none"/>
        </w:rPr>
        <w:t>1</w:t>
      </w:r>
      <w:bookmarkStart w:id="339" w:name="_Toc296503086"/>
      <w:bookmarkStart w:id="340" w:name="_Toc296346587"/>
      <w:bookmarkStart w:id="341" w:name="_Toc337558790"/>
      <w:r>
        <w:rPr>
          <w:rFonts w:hint="eastAsia" w:ascii="宋体" w:hAnsi="宋体" w:cs="宋体"/>
          <w:b w:val="0"/>
          <w:color w:val="auto"/>
          <w:sz w:val="24"/>
          <w:szCs w:val="24"/>
          <w:highlight w:val="none"/>
        </w:rPr>
        <w:t>0.3变更程序</w:t>
      </w:r>
      <w:bookmarkEnd w:id="338"/>
    </w:p>
    <w:bookmarkEnd w:id="339"/>
    <w:bookmarkEnd w:id="340"/>
    <w:bookmarkEnd w:id="341"/>
    <w:p w14:paraId="6EE98D5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10</w:t>
      </w:r>
      <w:r>
        <w:rPr>
          <w:rFonts w:hint="eastAsia" w:ascii="宋体" w:hAnsi="宋体" w:cs="宋体"/>
          <w:color w:val="auto"/>
          <w:kern w:val="0"/>
          <w:sz w:val="24"/>
          <w:highlight w:val="none"/>
        </w:rPr>
        <w:t>.3.1 发包人提出变更</w:t>
      </w:r>
    </w:p>
    <w:p w14:paraId="33B47BA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发包人提出变更的，应通过监理人向承包人发出变更指示，变更指示应说明计划变更的工程范围和变更的内容。</w:t>
      </w:r>
    </w:p>
    <w:p w14:paraId="6DDC566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10</w:t>
      </w:r>
      <w:r>
        <w:rPr>
          <w:rFonts w:hint="eastAsia" w:ascii="宋体" w:hAnsi="宋体" w:cs="宋体"/>
          <w:color w:val="auto"/>
          <w:kern w:val="0"/>
          <w:sz w:val="24"/>
          <w:highlight w:val="none"/>
        </w:rPr>
        <w:t>.3.2 监理人提出变更建议</w:t>
      </w:r>
    </w:p>
    <w:p w14:paraId="3A49956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7CFF5CD3">
      <w:pPr>
        <w:autoSpaceDE w:val="0"/>
        <w:autoSpaceDN w:val="0"/>
        <w:adjustRightInd w:val="0"/>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10.3.3 变更执行</w:t>
      </w:r>
    </w:p>
    <w:p w14:paraId="74D763F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40BDA968">
      <w:pPr>
        <w:pStyle w:val="8"/>
        <w:spacing w:before="120" w:after="120" w:line="312" w:lineRule="auto"/>
        <w:ind w:firstLine="480" w:firstLineChars="200"/>
        <w:rPr>
          <w:rFonts w:hint="eastAsia" w:ascii="宋体" w:hAnsi="宋体" w:cs="宋体"/>
          <w:b w:val="0"/>
          <w:color w:val="auto"/>
          <w:sz w:val="24"/>
          <w:szCs w:val="24"/>
          <w:highlight w:val="none"/>
        </w:rPr>
      </w:pPr>
      <w:bookmarkStart w:id="342" w:name="_Toc351203571"/>
      <w:r>
        <w:rPr>
          <w:rFonts w:hint="eastAsia" w:ascii="宋体" w:hAnsi="宋体" w:cs="宋体"/>
          <w:b w:val="0"/>
          <w:color w:val="auto"/>
          <w:sz w:val="24"/>
          <w:szCs w:val="24"/>
          <w:highlight w:val="none"/>
        </w:rPr>
        <w:t>1</w:t>
      </w:r>
      <w:bookmarkStart w:id="343" w:name="_Toc337558791"/>
      <w:bookmarkStart w:id="344" w:name="_Toc296346588"/>
      <w:bookmarkStart w:id="345" w:name="_Toc296503087"/>
      <w:r>
        <w:rPr>
          <w:rFonts w:hint="eastAsia" w:ascii="宋体" w:hAnsi="宋体" w:cs="宋体"/>
          <w:b w:val="0"/>
          <w:color w:val="auto"/>
          <w:sz w:val="24"/>
          <w:szCs w:val="24"/>
          <w:highlight w:val="none"/>
        </w:rPr>
        <w:t>0.4变更估价</w:t>
      </w:r>
      <w:bookmarkEnd w:id="342"/>
    </w:p>
    <w:bookmarkEnd w:id="343"/>
    <w:bookmarkEnd w:id="344"/>
    <w:bookmarkEnd w:id="345"/>
    <w:p w14:paraId="33E36D1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10.4.1 变更估价原则</w:t>
      </w:r>
    </w:p>
    <w:p w14:paraId="5830E99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除专用合同条款另有约定外，变更估价按照本款约定处理：</w:t>
      </w:r>
    </w:p>
    <w:p w14:paraId="6057BB4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（1）已标价工程量清单或预算书有相同项目的，按照相同项目单价认定；</w:t>
      </w:r>
    </w:p>
    <w:p w14:paraId="0E003E8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（2）已标价工程量清单或预算书中无相同项目，但有类似项目的，参照类似项目的单价认定；</w:t>
      </w:r>
    </w:p>
    <w:p w14:paraId="4C4FCC7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06D6062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10.4.2 变更估价程序</w:t>
      </w:r>
    </w:p>
    <w:p w14:paraId="38A94A1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7C848C1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因变更引起的价格调整应计入最近一期的进度款中支付。</w:t>
      </w:r>
    </w:p>
    <w:p w14:paraId="2D53AF3A">
      <w:pPr>
        <w:pStyle w:val="8"/>
        <w:spacing w:before="120" w:after="120" w:line="312" w:lineRule="auto"/>
        <w:ind w:firstLine="480" w:firstLineChars="200"/>
        <w:rPr>
          <w:rFonts w:hint="eastAsia" w:ascii="宋体" w:hAnsi="宋体" w:cs="宋体"/>
          <w:b w:val="0"/>
          <w:color w:val="auto"/>
          <w:sz w:val="24"/>
          <w:szCs w:val="24"/>
          <w:highlight w:val="none"/>
        </w:rPr>
      </w:pPr>
      <w:bookmarkStart w:id="346" w:name="_Toc351203572"/>
      <w:r>
        <w:rPr>
          <w:rFonts w:hint="eastAsia" w:ascii="宋体" w:hAnsi="宋体" w:cs="宋体"/>
          <w:b w:val="0"/>
          <w:color w:val="auto"/>
          <w:sz w:val="24"/>
          <w:szCs w:val="24"/>
          <w:highlight w:val="none"/>
        </w:rPr>
        <w:t>1</w:t>
      </w:r>
      <w:bookmarkStart w:id="347" w:name="_Toc296346595"/>
      <w:bookmarkStart w:id="348" w:name="_Toc296503094"/>
      <w:bookmarkStart w:id="349" w:name="_Toc337558792"/>
      <w:r>
        <w:rPr>
          <w:rFonts w:hint="eastAsia" w:ascii="宋体" w:hAnsi="宋体" w:cs="宋体"/>
          <w:b w:val="0"/>
          <w:color w:val="auto"/>
          <w:sz w:val="24"/>
          <w:szCs w:val="24"/>
          <w:highlight w:val="none"/>
        </w:rPr>
        <w:t>0.5承包人的合理化建议</w:t>
      </w:r>
      <w:bookmarkEnd w:id="346"/>
    </w:p>
    <w:bookmarkEnd w:id="347"/>
    <w:bookmarkEnd w:id="348"/>
    <w:bookmarkEnd w:id="349"/>
    <w:p w14:paraId="0311B74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承包人提出合理化建议的，应向监理人提交合理化建议说明，说明建议的内容和理由，以及实施该建议对合同价格和工期的影响。</w:t>
      </w:r>
    </w:p>
    <w:p w14:paraId="35430E3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569D5EF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合理化建议降低了合同价格或者提高了工程经济效益的，发包人可对承包人给予奖励，奖励的方法和金额在专用合同条款中约定。</w:t>
      </w:r>
    </w:p>
    <w:p w14:paraId="10B2BAB3">
      <w:pPr>
        <w:pStyle w:val="8"/>
        <w:spacing w:before="120" w:after="120" w:line="312" w:lineRule="auto"/>
        <w:ind w:firstLine="480" w:firstLineChars="200"/>
        <w:rPr>
          <w:rFonts w:hint="eastAsia" w:ascii="宋体" w:hAnsi="宋体" w:cs="宋体"/>
          <w:color w:val="auto"/>
          <w:sz w:val="24"/>
          <w:szCs w:val="24"/>
          <w:highlight w:val="none"/>
        </w:rPr>
      </w:pPr>
      <w:bookmarkStart w:id="350" w:name="_Toc351203573"/>
      <w:r>
        <w:rPr>
          <w:rFonts w:hint="eastAsia" w:ascii="宋体" w:hAnsi="宋体" w:cs="宋体"/>
          <w:b w:val="0"/>
          <w:color w:val="auto"/>
          <w:sz w:val="24"/>
          <w:szCs w:val="24"/>
          <w:highlight w:val="none"/>
        </w:rPr>
        <w:t>1</w:t>
      </w:r>
      <w:bookmarkStart w:id="351" w:name="_Toc337558793"/>
      <w:r>
        <w:rPr>
          <w:rFonts w:hint="eastAsia" w:ascii="宋体" w:hAnsi="宋体" w:cs="宋体"/>
          <w:b w:val="0"/>
          <w:color w:val="auto"/>
          <w:sz w:val="24"/>
          <w:szCs w:val="24"/>
          <w:highlight w:val="none"/>
        </w:rPr>
        <w:t>0.6变更引起的工期调整</w:t>
      </w:r>
      <w:bookmarkEnd w:id="350"/>
      <w:r>
        <w:rPr>
          <w:rFonts w:hint="eastAsia" w:ascii="宋体" w:hAnsi="宋体" w:cs="宋体"/>
          <w:b w:val="0"/>
          <w:color w:val="auto"/>
          <w:sz w:val="24"/>
          <w:szCs w:val="24"/>
          <w:highlight w:val="none"/>
        </w:rPr>
        <w:t xml:space="preserve"> </w:t>
      </w:r>
      <w:bookmarkEnd w:id="351"/>
      <w:r>
        <w:rPr>
          <w:rFonts w:hint="eastAsia" w:ascii="宋体" w:hAnsi="宋体" w:cs="宋体"/>
          <w:b w:val="0"/>
          <w:color w:val="auto"/>
          <w:sz w:val="24"/>
          <w:szCs w:val="24"/>
          <w:highlight w:val="none"/>
        </w:rPr>
        <w:t xml:space="preserve"> </w:t>
      </w:r>
      <w:r>
        <w:rPr>
          <w:rFonts w:hint="eastAsia" w:ascii="宋体" w:hAnsi="宋体" w:cs="宋体"/>
          <w:color w:val="auto"/>
          <w:sz w:val="24"/>
          <w:szCs w:val="24"/>
          <w:highlight w:val="none"/>
        </w:rPr>
        <w:t xml:space="preserve"> </w:t>
      </w:r>
    </w:p>
    <w:p w14:paraId="057FC82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因变更引起工期变化的，合同当事人均可要求调整合同工期，由合同当事人按照第4.4款〔商定或确定〕并参考工程所在地的工期定额标准确定增减工期天数。</w:t>
      </w:r>
    </w:p>
    <w:p w14:paraId="3BEB472D">
      <w:pPr>
        <w:pStyle w:val="8"/>
        <w:spacing w:before="120" w:after="120" w:line="312" w:lineRule="auto"/>
        <w:ind w:firstLine="480" w:firstLineChars="200"/>
        <w:rPr>
          <w:rFonts w:hint="eastAsia" w:ascii="宋体" w:hAnsi="宋体" w:cs="宋体"/>
          <w:b w:val="0"/>
          <w:color w:val="auto"/>
          <w:sz w:val="24"/>
          <w:szCs w:val="24"/>
          <w:highlight w:val="none"/>
        </w:rPr>
      </w:pPr>
      <w:bookmarkStart w:id="352" w:name="_Toc351203574"/>
      <w:r>
        <w:rPr>
          <w:rFonts w:hint="eastAsia" w:ascii="宋体" w:hAnsi="宋体" w:cs="宋体"/>
          <w:b w:val="0"/>
          <w:color w:val="auto"/>
          <w:sz w:val="24"/>
          <w:szCs w:val="24"/>
          <w:highlight w:val="none"/>
        </w:rPr>
        <w:t>10.7暂估价</w:t>
      </w:r>
      <w:bookmarkEnd w:id="352"/>
    </w:p>
    <w:p w14:paraId="78AEDD4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暂估价专业分包工程、服务、材料和工程设备的明细由合同当事人在专用合同条款中约定。</w:t>
      </w:r>
    </w:p>
    <w:p w14:paraId="4B75FE9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10.7.1</w:t>
      </w:r>
      <w:r>
        <w:rPr>
          <w:rFonts w:hint="eastAsia" w:ascii="宋体" w:hAnsi="宋体" w:cs="宋体"/>
          <w:color w:val="auto"/>
          <w:kern w:val="0"/>
          <w:sz w:val="24"/>
          <w:highlight w:val="none"/>
        </w:rPr>
        <w:t xml:space="preserve"> 依法必须招标的暂估价项目</w:t>
      </w:r>
    </w:p>
    <w:p w14:paraId="3604FB3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对于依法必须招标的暂估价项目，采取以下第1种方式确定。合同当事人也可以在专用合同条款中选择其他招标方式。</w:t>
      </w:r>
    </w:p>
    <w:p w14:paraId="1AE48B6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第1种方式：对于依法必须招标的暂估价项目，由承包人招标，对该暂估价项目的确认和批准按照以下约定执行：</w:t>
      </w:r>
    </w:p>
    <w:p w14:paraId="3E1103E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750574A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14:paraId="20395553">
      <w:pPr>
        <w:spacing w:line="312"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782BBF6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032F09D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10.7.2</w:t>
      </w:r>
      <w:r>
        <w:rPr>
          <w:rFonts w:hint="eastAsia" w:ascii="宋体" w:hAnsi="宋体" w:cs="宋体"/>
          <w:color w:val="auto"/>
          <w:kern w:val="0"/>
          <w:sz w:val="24"/>
          <w:highlight w:val="none"/>
        </w:rPr>
        <w:t>不属于依法必须招标的暂估价项目</w:t>
      </w:r>
    </w:p>
    <w:p w14:paraId="77668350">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除专用合同条款另有约定外，对于不属于依法必须招标的暂估价项目，采取以下第1种方式确定： </w:t>
      </w:r>
    </w:p>
    <w:p w14:paraId="749498B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第1种方式：对于不属于依法必须招标的暂估价项目，按本项约定确认和批准：</w:t>
      </w:r>
    </w:p>
    <w:p w14:paraId="521F7CC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7A8CF1D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（2）发包人认为承包人确定的供应商、分包人无法满足工程质量或合同要求的，发包人可以要求承包人重新确定暂估价项目的供应商、分包人;</w:t>
      </w:r>
    </w:p>
    <w:p w14:paraId="6E26381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（3）承包人应当在签订暂估价合同后7天内，将暂估价合同副本报送发包人留存。</w:t>
      </w:r>
    </w:p>
    <w:p w14:paraId="12A27EC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第2种方式：承包人按照第10.7.1项〔依法必须招标的暂估价项目〕约定的第1种方式确定暂估价项目。</w:t>
      </w:r>
    </w:p>
    <w:p w14:paraId="4C7B8E3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第3种方式：</w:t>
      </w:r>
      <w:r>
        <w:rPr>
          <w:rFonts w:hint="eastAsia" w:ascii="宋体" w:hAnsi="宋体" w:cs="宋体"/>
          <w:color w:val="auto"/>
          <w:kern w:val="0"/>
          <w:sz w:val="24"/>
          <w:highlight w:val="none"/>
        </w:rPr>
        <w:t>承包人直接实施的暂估价项目</w:t>
      </w:r>
    </w:p>
    <w:p w14:paraId="1F5B3AA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承包人具备实施暂估价项目的资格和条件的，经发包人和承包人协商一致后，可由承包人自行实施暂估价项目，合同当事人可以在专用合同条款约定具体事项。</w:t>
      </w:r>
    </w:p>
    <w:p w14:paraId="3C8B06D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586BE351">
      <w:pPr>
        <w:pStyle w:val="8"/>
        <w:spacing w:before="120" w:after="120" w:line="312" w:lineRule="auto"/>
        <w:ind w:firstLine="480" w:firstLineChars="200"/>
        <w:rPr>
          <w:rFonts w:hint="eastAsia" w:ascii="宋体" w:hAnsi="宋体" w:cs="宋体"/>
          <w:b w:val="0"/>
          <w:color w:val="auto"/>
          <w:sz w:val="24"/>
          <w:szCs w:val="24"/>
          <w:highlight w:val="none"/>
        </w:rPr>
      </w:pPr>
      <w:bookmarkStart w:id="353" w:name="_Toc351203575"/>
      <w:r>
        <w:rPr>
          <w:rFonts w:hint="eastAsia" w:ascii="宋体" w:hAnsi="宋体" w:cs="宋体"/>
          <w:b w:val="0"/>
          <w:color w:val="auto"/>
          <w:sz w:val="24"/>
          <w:szCs w:val="24"/>
          <w:highlight w:val="none"/>
        </w:rPr>
        <w:t>1</w:t>
      </w:r>
      <w:bookmarkStart w:id="354" w:name="_Toc337558794"/>
      <w:bookmarkStart w:id="355" w:name="_Toc296346591"/>
      <w:bookmarkStart w:id="356" w:name="_Toc296503090"/>
      <w:bookmarkStart w:id="357" w:name="_Toc322522561"/>
      <w:r>
        <w:rPr>
          <w:rFonts w:hint="eastAsia" w:ascii="宋体" w:hAnsi="宋体" w:cs="宋体"/>
          <w:b w:val="0"/>
          <w:color w:val="auto"/>
          <w:sz w:val="24"/>
          <w:szCs w:val="24"/>
          <w:highlight w:val="none"/>
        </w:rPr>
        <w:t>0.8暂列金额</w:t>
      </w:r>
      <w:bookmarkEnd w:id="353"/>
    </w:p>
    <w:bookmarkEnd w:id="354"/>
    <w:p w14:paraId="7E2137A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暂列金额应按照发包人的要求使用，发包人的要求应通过监理人发出。合同当事人可以在专用合同条款中协商确定有关事项。</w:t>
      </w:r>
    </w:p>
    <w:bookmarkEnd w:id="355"/>
    <w:bookmarkEnd w:id="356"/>
    <w:bookmarkEnd w:id="357"/>
    <w:p w14:paraId="76576004">
      <w:pPr>
        <w:pStyle w:val="8"/>
        <w:spacing w:before="120" w:after="120" w:line="312" w:lineRule="auto"/>
        <w:ind w:firstLine="480" w:firstLineChars="200"/>
        <w:rPr>
          <w:rFonts w:hint="eastAsia" w:ascii="宋体" w:hAnsi="宋体" w:cs="宋体"/>
          <w:b w:val="0"/>
          <w:color w:val="auto"/>
          <w:sz w:val="24"/>
          <w:szCs w:val="24"/>
          <w:highlight w:val="none"/>
        </w:rPr>
      </w:pPr>
      <w:bookmarkStart w:id="358" w:name="_Toc351203576"/>
      <w:r>
        <w:rPr>
          <w:rFonts w:hint="eastAsia" w:ascii="宋体" w:hAnsi="宋体" w:cs="宋体"/>
          <w:b w:val="0"/>
          <w:color w:val="auto"/>
          <w:sz w:val="24"/>
          <w:szCs w:val="24"/>
          <w:highlight w:val="none"/>
        </w:rPr>
        <w:t>1</w:t>
      </w:r>
      <w:bookmarkStart w:id="359" w:name="_Toc296503091"/>
      <w:bookmarkStart w:id="360" w:name="_Toc296346592"/>
      <w:bookmarkStart w:id="361" w:name="_Toc337558796"/>
      <w:r>
        <w:rPr>
          <w:rFonts w:hint="eastAsia" w:ascii="宋体" w:hAnsi="宋体" w:cs="宋体"/>
          <w:b w:val="0"/>
          <w:color w:val="auto"/>
          <w:sz w:val="24"/>
          <w:szCs w:val="24"/>
          <w:highlight w:val="none"/>
        </w:rPr>
        <w:t>0.9计日工</w:t>
      </w:r>
      <w:bookmarkEnd w:id="358"/>
      <w:r>
        <w:rPr>
          <w:rFonts w:hint="eastAsia" w:ascii="宋体" w:hAnsi="宋体" w:cs="宋体"/>
          <w:b w:val="0"/>
          <w:color w:val="auto"/>
          <w:sz w:val="24"/>
          <w:szCs w:val="24"/>
          <w:highlight w:val="none"/>
        </w:rPr>
        <w:t xml:space="preserve"> </w:t>
      </w:r>
      <w:bookmarkEnd w:id="359"/>
      <w:bookmarkEnd w:id="360"/>
      <w:bookmarkEnd w:id="361"/>
    </w:p>
    <w:p w14:paraId="66FEAFE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变更工作的单价。</w:t>
      </w:r>
    </w:p>
    <w:p w14:paraId="461AC04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采用计日工计价的任何一项工作，承包人应在该项工作实施过程中，每天提交以下报表和有关凭证报送监理人审查：</w:t>
      </w:r>
    </w:p>
    <w:p w14:paraId="5E37B77E">
      <w:pPr>
        <w:spacing w:line="312" w:lineRule="auto"/>
        <w:ind w:firstLine="360" w:firstLineChars="15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（1）工作名称、内容和数量；</w:t>
      </w:r>
    </w:p>
    <w:p w14:paraId="4FC39592">
      <w:pPr>
        <w:spacing w:line="312" w:lineRule="auto"/>
        <w:ind w:firstLine="360" w:firstLineChars="15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（2）投入该工作的所有人员的姓名、专业、工种、级别和耗用工时；</w:t>
      </w:r>
    </w:p>
    <w:p w14:paraId="67342942">
      <w:pPr>
        <w:spacing w:line="312" w:lineRule="auto"/>
        <w:ind w:firstLine="360" w:firstLineChars="15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（3）投入该工作的材料类别和数量；</w:t>
      </w:r>
    </w:p>
    <w:p w14:paraId="07D7E8F4">
      <w:pPr>
        <w:spacing w:line="312" w:lineRule="auto"/>
        <w:ind w:firstLine="360" w:firstLineChars="15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（4）投入该工作的施工设备型号、台数和耗用台时；</w:t>
      </w:r>
    </w:p>
    <w:p w14:paraId="4C93F435">
      <w:pPr>
        <w:spacing w:line="312" w:lineRule="auto"/>
        <w:ind w:firstLine="360" w:firstLineChars="15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（5）其他有关资料和凭证。</w:t>
      </w:r>
    </w:p>
    <w:p w14:paraId="268C0AC7">
      <w:pPr>
        <w:spacing w:line="312" w:lineRule="auto"/>
        <w:ind w:firstLine="360" w:firstLineChars="15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计日工由承包人汇总后，列入最近一期进度付款申请单，由监理人审查并经发包人批准后列入进度付款。</w:t>
      </w:r>
      <w:bookmarkStart w:id="362" w:name="_Toc351203577"/>
    </w:p>
    <w:p w14:paraId="5F20DCD8">
      <w:pPr>
        <w:numPr>
          <w:ilvl w:val="0"/>
          <w:numId w:val="5"/>
        </w:numPr>
        <w:spacing w:line="312" w:lineRule="auto"/>
        <w:ind w:firstLine="360" w:firstLineChars="150"/>
        <w:jc w:val="left"/>
        <w:rPr>
          <w:rFonts w:hint="eastAsia" w:ascii="宋体" w:hAnsi="宋体" w:cs="宋体"/>
          <w:color w:val="auto"/>
          <w:sz w:val="24"/>
          <w:highlight w:val="none"/>
        </w:rPr>
      </w:pPr>
      <w:r>
        <w:rPr>
          <w:rFonts w:hint="eastAsia" w:ascii="宋体" w:hAnsi="宋体" w:cs="宋体"/>
          <w:color w:val="auto"/>
          <w:sz w:val="24"/>
          <w:highlight w:val="none"/>
        </w:rPr>
        <w:t>价格调整</w:t>
      </w:r>
      <w:bookmarkEnd w:id="362"/>
      <w:bookmarkStart w:id="363" w:name="_Toc351203578"/>
      <w:bookmarkStart w:id="364" w:name="_Toc337558797"/>
      <w:bookmarkStart w:id="365" w:name="_Toc296346593"/>
      <w:bookmarkStart w:id="366" w:name="_Toc296503092"/>
    </w:p>
    <w:p w14:paraId="0DCCA623">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11.1市场价格波动引起的调整</w:t>
      </w:r>
      <w:bookmarkEnd w:id="363"/>
    </w:p>
    <w:bookmarkEnd w:id="364"/>
    <w:bookmarkEnd w:id="365"/>
    <w:bookmarkEnd w:id="366"/>
    <w:p w14:paraId="7AC505F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除专用合同条款另有约定外，市场价格波动超过合同当事人约定的范围，合同价格应当调整。合同当事人可以在专用合同条款中约定选择以下一种方式对合同价格进行调整：</w:t>
      </w:r>
    </w:p>
    <w:p w14:paraId="671F498A">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第1种方式：采用价格指数进行价格调整。</w:t>
      </w:r>
    </w:p>
    <w:p w14:paraId="0A3D1D1B">
      <w:pPr>
        <w:tabs>
          <w:tab w:val="left" w:pos="0"/>
          <w:tab w:val="left" w:pos="360"/>
          <w:tab w:val="left" w:pos="540"/>
        </w:tabs>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（1）价格调整公式</w:t>
      </w:r>
    </w:p>
    <w:p w14:paraId="566D7369">
      <w:pPr>
        <w:tabs>
          <w:tab w:val="left" w:pos="0"/>
          <w:tab w:val="left" w:pos="360"/>
          <w:tab w:val="left" w:pos="540"/>
        </w:tabs>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因人工、材料和设备等价格波动影响合同价格时，根据专用合同条款中约定的数据，按以下公式计算差额并调整合同价格：</w:t>
      </w:r>
    </w:p>
    <w:p w14:paraId="44D56EFD">
      <w:pPr>
        <w:tabs>
          <w:tab w:val="left" w:pos="0"/>
          <w:tab w:val="left" w:pos="360"/>
          <w:tab w:val="left" w:pos="540"/>
        </w:tabs>
        <w:spacing w:line="312" w:lineRule="auto"/>
        <w:ind w:firstLine="480" w:firstLineChars="200"/>
        <w:rPr>
          <w:rFonts w:hint="eastAsia" w:ascii="宋体" w:hAnsi="宋体" w:cs="宋体"/>
          <w:color w:val="auto"/>
          <w:sz w:val="24"/>
          <w:highlight w:val="none"/>
        </w:rPr>
      </w:pPr>
    </w:p>
    <w:p w14:paraId="0B007550">
      <w:pPr>
        <w:tabs>
          <w:tab w:val="left" w:pos="0"/>
          <w:tab w:val="left" w:pos="360"/>
          <w:tab w:val="left" w:pos="540"/>
        </w:tabs>
        <w:spacing w:line="312" w:lineRule="auto"/>
        <w:ind w:firstLine="600" w:firstLineChars="200"/>
        <w:rPr>
          <w:rFonts w:hint="eastAsia" w:ascii="宋体" w:hAnsi="宋体" w:cs="宋体"/>
          <w:color w:val="auto"/>
          <w:sz w:val="24"/>
          <w:highlight w:val="none"/>
        </w:rPr>
      </w:pPr>
      <w:r>
        <w:rPr>
          <w:rFonts w:hint="eastAsia" w:eastAsia="仿宋_GB2312"/>
          <w:color w:val="auto"/>
          <w:position w:val="-30"/>
          <w:sz w:val="30"/>
          <w:szCs w:val="32"/>
          <w:highlight w:val="none"/>
        </w:rPr>
        <w:object>
          <v:shape id="_x0000_i1025" o:spt="75" type="#_x0000_t75" style="height:45.05pt;width:339.75pt;" o:ole="t" filled="f" o:preferrelative="t" stroked="f" coordsize="21600,21600">
            <v:path/>
            <v:fill on="f" focussize="0,0"/>
            <v:stroke on="f" joinstyle="miter"/>
            <v:imagedata r:id="rId11" o:title=""/>
            <o:lock v:ext="edit" aspectratio="t"/>
            <w10:wrap type="none"/>
            <w10:anchorlock/>
          </v:shape>
          <o:OLEObject Type="Embed" ProgID="Equation.KSEE3" ShapeID="_x0000_i1025" DrawAspect="Content" ObjectID="_1468075725" r:id="rId10">
            <o:LockedField>false</o:LockedField>
          </o:OLEObject>
        </w:object>
      </w:r>
    </w:p>
    <w:p w14:paraId="526B6511">
      <w:pPr>
        <w:tabs>
          <w:tab w:val="left" w:pos="0"/>
          <w:tab w:val="left" w:pos="360"/>
          <w:tab w:val="left" w:pos="540"/>
        </w:tabs>
        <w:spacing w:line="312" w:lineRule="auto"/>
        <w:ind w:firstLine="640"/>
        <w:rPr>
          <w:rFonts w:hint="eastAsia" w:ascii="宋体" w:hAnsi="宋体" w:cs="宋体"/>
          <w:color w:val="auto"/>
          <w:sz w:val="24"/>
          <w:highlight w:val="none"/>
        </w:rPr>
      </w:pPr>
      <w:r>
        <w:rPr>
          <w:rFonts w:hint="eastAsia" w:ascii="宋体" w:hAnsi="宋体" w:cs="宋体"/>
          <w:color w:val="auto"/>
          <w:sz w:val="24"/>
          <w:highlight w:val="none"/>
        </w:rPr>
        <w:t>公式中：ΔP——需调整的价格差额；</w:t>
      </w:r>
    </w:p>
    <w:p w14:paraId="4A25EF24">
      <w:pPr>
        <w:tabs>
          <w:tab w:val="left" w:pos="0"/>
          <w:tab w:val="left" w:pos="360"/>
          <w:tab w:val="left" w:pos="540"/>
        </w:tabs>
        <w:spacing w:line="312" w:lineRule="auto"/>
        <w:ind w:firstLine="1440" w:firstLineChars="600"/>
        <w:rPr>
          <w:rFonts w:hint="eastAsia" w:ascii="宋体" w:hAnsi="宋体" w:cs="宋体"/>
          <w:color w:val="auto"/>
          <w:sz w:val="24"/>
          <w:highlight w:val="none"/>
        </w:rPr>
      </w:pPr>
      <w:r>
        <w:rPr>
          <w:rFonts w:hint="eastAsia" w:ascii="宋体" w:hAnsi="宋体" w:cs="宋体"/>
          <w:color w:val="auto"/>
          <w:position w:val="-6"/>
          <w:sz w:val="24"/>
          <w:highlight w:val="none"/>
        </w:rPr>
        <w:object>
          <v:shape id="_x0000_i1026" o:spt="75" type="#_x0000_t75" style="height:17.65pt;width:17.65pt;" o:ole="t" filled="f" o:preferrelative="t" stroked="f" coordsize="21600,21600">
            <v:path/>
            <v:fill on="f" focussize="0,0"/>
            <v:stroke on="f" joinstyle="miter"/>
            <v:imagedata r:id="rId13" o:title=""/>
            <o:lock v:ext="edit" aspectratio="t"/>
            <w10:wrap type="none"/>
            <w10:anchorlock/>
          </v:shape>
          <o:OLEObject Type="Embed" ProgID="Equation.KSEE3" ShapeID="_x0000_i1026" DrawAspect="Content" ObjectID="_1468075726" r:id="rId12">
            <o:LockedField>false</o:LockedField>
          </o:OLEObject>
        </w:object>
      </w:r>
      <w:r>
        <w:rPr>
          <w:rFonts w:hint="eastAsia" w:ascii="宋体" w:hAnsi="宋体" w:cs="宋体"/>
          <w:color w:val="auto"/>
          <w:sz w:val="24"/>
          <w:highlight w:val="none"/>
        </w:rPr>
        <w:t>——约定的付款证书中承包人应得到的已完成工程量的金额。此项金额应不包括价格调整、不计质量保证金的扣留和支付、预付款的支付和扣回。约定的变更及其他金额已按现行价格计价的，也不计在内；</w:t>
      </w:r>
    </w:p>
    <w:p w14:paraId="515DF30F">
      <w:pPr>
        <w:tabs>
          <w:tab w:val="left" w:pos="0"/>
          <w:tab w:val="left" w:pos="360"/>
          <w:tab w:val="left" w:pos="540"/>
        </w:tabs>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A——定值权重（即不调部分的权重）；</w:t>
      </w:r>
    </w:p>
    <w:p w14:paraId="088AE3F2">
      <w:pPr>
        <w:tabs>
          <w:tab w:val="left" w:pos="0"/>
          <w:tab w:val="left" w:pos="360"/>
          <w:tab w:val="left" w:pos="540"/>
        </w:tabs>
        <w:spacing w:line="312" w:lineRule="auto"/>
        <w:ind w:firstLine="480" w:firstLineChars="200"/>
        <w:rPr>
          <w:rFonts w:hint="eastAsia" w:ascii="宋体" w:hAnsi="宋体" w:cs="宋体"/>
          <w:color w:val="auto"/>
          <w:sz w:val="24"/>
          <w:highlight w:val="none"/>
        </w:rPr>
      </w:pPr>
      <w:r>
        <w:rPr>
          <w:rFonts w:hint="eastAsia" w:ascii="宋体" w:hAnsi="宋体" w:cs="宋体"/>
          <w:color w:val="auto"/>
          <w:position w:val="-10"/>
          <w:sz w:val="24"/>
          <w:highlight w:val="none"/>
        </w:rPr>
        <w:object>
          <v:shape id="_x0000_i1027" o:spt="75" type="#_x0000_t75" style="height:21pt;width:101.2pt;" o:ole="t" filled="f" o:preferrelative="t" stroked="f" coordsize="21600,21600">
            <v:path/>
            <v:fill on="f" focussize="0,0"/>
            <v:stroke on="f" joinstyle="miter"/>
            <v:imagedata r:id="rId15" o:title=""/>
            <o:lock v:ext="edit" aspectratio="t"/>
            <w10:wrap type="none"/>
            <w10:anchorlock/>
          </v:shape>
          <o:OLEObject Type="Embed" ProgID="Equation.KSEE3" ShapeID="_x0000_i1027" DrawAspect="Content" ObjectID="_1468075727" r:id="rId14">
            <o:LockedField>false</o:LockedField>
          </o:OLEObject>
        </w:object>
      </w:r>
      <w:r>
        <w:rPr>
          <w:rFonts w:hint="eastAsia" w:ascii="宋体" w:hAnsi="宋体" w:cs="宋体"/>
          <w:color w:val="auto"/>
          <w:sz w:val="24"/>
          <w:highlight w:val="none"/>
        </w:rPr>
        <w:t>——各可调因子的变值权重（即可调部分的权重），为各可调因子在签约合同价中所占的比例；</w:t>
      </w:r>
    </w:p>
    <w:p w14:paraId="34B6CF7A">
      <w:pPr>
        <w:tabs>
          <w:tab w:val="left" w:pos="0"/>
          <w:tab w:val="left" w:pos="360"/>
          <w:tab w:val="left" w:pos="540"/>
        </w:tabs>
        <w:spacing w:line="312" w:lineRule="auto"/>
        <w:ind w:firstLine="480" w:firstLineChars="200"/>
        <w:rPr>
          <w:rFonts w:hint="eastAsia" w:ascii="宋体" w:hAnsi="宋体" w:cs="宋体"/>
          <w:color w:val="auto"/>
          <w:sz w:val="24"/>
          <w:highlight w:val="none"/>
        </w:rPr>
      </w:pPr>
      <w:r>
        <w:rPr>
          <w:rFonts w:hint="eastAsia" w:ascii="宋体" w:hAnsi="宋体" w:cs="宋体"/>
          <w:color w:val="auto"/>
          <w:position w:val="-10"/>
          <w:sz w:val="24"/>
          <w:highlight w:val="none"/>
        </w:rPr>
        <w:object>
          <v:shape id="_x0000_i1028" o:spt="75" type="#_x0000_t75" style="height:20.25pt;width:102pt;" o:ole="t" filled="f" o:preferrelative="t" stroked="f" coordsize="21600,21600">
            <v:path/>
            <v:fill on="f" focussize="0,0"/>
            <v:stroke on="f" joinstyle="miter"/>
            <v:imagedata r:id="rId17" o:title=""/>
            <o:lock v:ext="edit" aspectratio="t"/>
            <w10:wrap type="none"/>
            <w10:anchorlock/>
          </v:shape>
          <o:OLEObject Type="Embed" ProgID="Equation.KSEE3" ShapeID="_x0000_i1028" DrawAspect="Content" ObjectID="_1468075728" r:id="rId16">
            <o:LockedField>false</o:LockedField>
          </o:OLEObject>
        </w:object>
      </w:r>
      <w:r>
        <w:rPr>
          <w:rFonts w:hint="eastAsia" w:ascii="宋体" w:hAnsi="宋体" w:cs="宋体"/>
          <w:color w:val="auto"/>
          <w:sz w:val="24"/>
          <w:highlight w:val="none"/>
        </w:rPr>
        <w:t>——各可调因子的现行价格指数，指约定的付款证书相关周期最后一天的前42天的各可调因子的价格指数；</w:t>
      </w:r>
    </w:p>
    <w:p w14:paraId="6659E9DD">
      <w:pPr>
        <w:tabs>
          <w:tab w:val="left" w:pos="0"/>
          <w:tab w:val="left" w:pos="360"/>
          <w:tab w:val="left" w:pos="540"/>
        </w:tabs>
        <w:spacing w:line="312" w:lineRule="auto"/>
        <w:ind w:firstLine="480" w:firstLineChars="200"/>
        <w:rPr>
          <w:rFonts w:hint="eastAsia" w:ascii="宋体" w:hAnsi="宋体" w:cs="宋体"/>
          <w:color w:val="auto"/>
          <w:sz w:val="24"/>
          <w:highlight w:val="none"/>
        </w:rPr>
      </w:pPr>
      <w:r>
        <w:rPr>
          <w:rFonts w:hint="eastAsia" w:ascii="宋体" w:hAnsi="宋体" w:cs="宋体"/>
          <w:color w:val="auto"/>
          <w:position w:val="-10"/>
          <w:sz w:val="24"/>
          <w:highlight w:val="none"/>
        </w:rPr>
        <w:object>
          <v:shape id="_x0000_i1029" o:spt="75" type="#_x0000_t75" style="height:20.25pt;width:108pt;" o:ole="t" filled="f" o:preferrelative="t" stroked="f" coordsize="21600,21600">
            <v:path/>
            <v:fill on="f" focussize="0,0"/>
            <v:stroke on="f" joinstyle="miter"/>
            <v:imagedata r:id="rId19" o:title=""/>
            <o:lock v:ext="edit" aspectratio="t"/>
            <w10:wrap type="none"/>
            <w10:anchorlock/>
          </v:shape>
          <o:OLEObject Type="Embed" ProgID="Equation.KSEE3" ShapeID="_x0000_i1029" DrawAspect="Content" ObjectID="_1468075729" r:id="rId18">
            <o:LockedField>false</o:LockedField>
          </o:OLEObject>
        </w:object>
      </w:r>
      <w:r>
        <w:rPr>
          <w:rFonts w:hint="eastAsia" w:ascii="宋体" w:hAnsi="宋体" w:cs="宋体"/>
          <w:color w:val="auto"/>
          <w:sz w:val="24"/>
          <w:highlight w:val="none"/>
        </w:rPr>
        <w:t>——各可调因子的基本价格指数，指基准日期的各可调因子的价格指数。</w:t>
      </w:r>
    </w:p>
    <w:p w14:paraId="2934D391">
      <w:pPr>
        <w:tabs>
          <w:tab w:val="left" w:pos="0"/>
          <w:tab w:val="left" w:pos="360"/>
          <w:tab w:val="left" w:pos="540"/>
        </w:tabs>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2A797DD6">
      <w:pPr>
        <w:tabs>
          <w:tab w:val="left" w:pos="0"/>
          <w:tab w:val="left" w:pos="360"/>
          <w:tab w:val="left" w:pos="540"/>
        </w:tabs>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（2）暂时确定调整差额</w:t>
      </w:r>
    </w:p>
    <w:p w14:paraId="4CDC967C">
      <w:pPr>
        <w:tabs>
          <w:tab w:val="left" w:pos="0"/>
          <w:tab w:val="left" w:pos="360"/>
          <w:tab w:val="left" w:pos="540"/>
        </w:tabs>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在计算调整差额时无现行价格指数的，合同当事人同意暂用前次价格指数计算。实际价格指数有调整的，合同当事人进行相应调整。</w:t>
      </w:r>
    </w:p>
    <w:p w14:paraId="4AD0DF01">
      <w:pPr>
        <w:tabs>
          <w:tab w:val="left" w:pos="0"/>
          <w:tab w:val="left" w:pos="360"/>
          <w:tab w:val="left" w:pos="540"/>
        </w:tabs>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（3）权重的调整</w:t>
      </w:r>
    </w:p>
    <w:p w14:paraId="46FB8FB0">
      <w:pPr>
        <w:tabs>
          <w:tab w:val="left" w:pos="0"/>
          <w:tab w:val="left" w:pos="360"/>
          <w:tab w:val="left" w:pos="540"/>
        </w:tabs>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因变更导致合同约定的权重不合理时，按照第4.4款〔商定或确定〕执行。</w:t>
      </w:r>
    </w:p>
    <w:p w14:paraId="4825004A">
      <w:pPr>
        <w:tabs>
          <w:tab w:val="left" w:pos="0"/>
          <w:tab w:val="left" w:pos="360"/>
          <w:tab w:val="left" w:pos="540"/>
        </w:tabs>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（4）因承包人原因工期延误后的价格调整</w:t>
      </w:r>
    </w:p>
    <w:p w14:paraId="05CA97A3">
      <w:pPr>
        <w:tabs>
          <w:tab w:val="left" w:pos="0"/>
          <w:tab w:val="left" w:pos="360"/>
          <w:tab w:val="left" w:pos="540"/>
        </w:tabs>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因承包人原因未按期竣工的，对合同约定的竣工日期后继续施工的工程，在使用价格调整公式时，应采用计划竣工日期与实际竣工日期的两个价格指数中较低的一个作为现行价格指数。</w:t>
      </w:r>
    </w:p>
    <w:p w14:paraId="0B50317C">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第2种方式：采用造价信息进行价格调整。</w:t>
      </w:r>
    </w:p>
    <w:p w14:paraId="2D833F99">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531BAB93">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0A9304EE">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（2）材料、工程设备价格变化的价款调整按照发包人提供的基准价格，按以下风险范围规定执行：</w:t>
      </w:r>
    </w:p>
    <w:p w14:paraId="65FF4156">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6D21EE04">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599135DC">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③承包人在已标价工程量清单或预算书中载明材料单价等于基准价格的：除专用合同条款另有约定外，合同履行期间材料单价涨跌幅以基准价格为基础超过±5%时，其超过部分据实调整。</w:t>
      </w:r>
    </w:p>
    <w:p w14:paraId="09511597">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323F1338">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前述基准价格是指由发包人在招标文件或专用合同条款中给定的材料、工程设备的价格，该价格原则上应当按照省级或行业建设主管部门或其授权的工程造价管理机构发布的信息价编制。</w:t>
      </w:r>
    </w:p>
    <w:p w14:paraId="02B7DABD">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（3）施工机械台班单价或施工机械使用费发生变化超过省级或行业建设主管部门或其授权的工程造价管理机构规定的范围时，按规定调整合同价格。</w:t>
      </w:r>
    </w:p>
    <w:p w14:paraId="2BC89963">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第3种方式：专用合同条款约定的其他方式。</w:t>
      </w:r>
    </w:p>
    <w:p w14:paraId="162A413E">
      <w:pPr>
        <w:pStyle w:val="8"/>
        <w:spacing w:before="120" w:after="120" w:line="312" w:lineRule="auto"/>
        <w:ind w:firstLine="480" w:firstLineChars="200"/>
        <w:rPr>
          <w:rFonts w:hint="eastAsia" w:ascii="宋体" w:hAnsi="宋体" w:cs="宋体"/>
          <w:b w:val="0"/>
          <w:color w:val="auto"/>
          <w:sz w:val="24"/>
          <w:szCs w:val="24"/>
          <w:highlight w:val="none"/>
        </w:rPr>
      </w:pPr>
      <w:bookmarkStart w:id="367" w:name="_Toc351203579"/>
      <w:bookmarkStart w:id="368" w:name="_Toc296503093"/>
      <w:bookmarkStart w:id="369" w:name="_Toc296346594"/>
      <w:bookmarkStart w:id="370" w:name="_Toc337558798"/>
      <w:r>
        <w:rPr>
          <w:rFonts w:hint="eastAsia" w:ascii="宋体" w:hAnsi="宋体" w:cs="宋体"/>
          <w:b w:val="0"/>
          <w:color w:val="auto"/>
          <w:sz w:val="24"/>
          <w:szCs w:val="24"/>
          <w:highlight w:val="none"/>
        </w:rPr>
        <w:t>11.2法律变化引起的调整</w:t>
      </w:r>
      <w:bookmarkEnd w:id="367"/>
    </w:p>
    <w:bookmarkEnd w:id="368"/>
    <w:bookmarkEnd w:id="369"/>
    <w:bookmarkEnd w:id="370"/>
    <w:p w14:paraId="6F1944DF">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18FE9347">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因法律变化引起的合同价格和工期调整，合同当事人无法达成一致的，由总监理工程师按第4.4款〔商定或确定〕的约定处理。</w:t>
      </w:r>
    </w:p>
    <w:p w14:paraId="189D7759">
      <w:pPr>
        <w:spacing w:line="312" w:lineRule="auto"/>
        <w:ind w:firstLine="480" w:firstLineChars="200"/>
        <w:rPr>
          <w:rFonts w:hint="eastAsia" w:ascii="宋体" w:hAnsi="宋体" w:cs="宋体"/>
          <w:color w:val="auto"/>
          <w:sz w:val="24"/>
          <w:highlight w:val="none"/>
        </w:rPr>
      </w:pPr>
      <w:r>
        <w:rPr>
          <w:rFonts w:hint="eastAsia" w:ascii="宋体" w:hAnsi="宋体" w:cs="宋体"/>
          <w:color w:val="auto"/>
          <w:kern w:val="0"/>
          <w:sz w:val="24"/>
          <w:highlight w:val="none"/>
        </w:rPr>
        <w:t>因承包人原因造成工期延误，在工期延误期间出现法律变化的，由此增加的费用和（或）延误的工期由承包人承担。</w:t>
      </w:r>
    </w:p>
    <w:p w14:paraId="52A75E6D">
      <w:pPr>
        <w:pStyle w:val="7"/>
        <w:spacing w:before="120" w:after="120" w:line="312" w:lineRule="auto"/>
        <w:rPr>
          <w:rFonts w:hint="eastAsia"/>
          <w:b w:val="0"/>
          <w:color w:val="auto"/>
          <w:sz w:val="24"/>
          <w:szCs w:val="24"/>
          <w:highlight w:val="none"/>
        </w:rPr>
      </w:pPr>
      <w:bookmarkStart w:id="371" w:name="_Toc351203580"/>
      <w:bookmarkStart w:id="372" w:name="_Toc337558799"/>
      <w:bookmarkStart w:id="373" w:name="_Toc296503096"/>
      <w:bookmarkStart w:id="374" w:name="_Toc296346597"/>
      <w:r>
        <w:rPr>
          <w:rFonts w:hint="eastAsia"/>
          <w:b w:val="0"/>
          <w:color w:val="auto"/>
          <w:sz w:val="24"/>
          <w:szCs w:val="24"/>
          <w:highlight w:val="none"/>
        </w:rPr>
        <w:t>12. 合同价格、计量与支付</w:t>
      </w:r>
      <w:bookmarkEnd w:id="371"/>
    </w:p>
    <w:bookmarkEnd w:id="372"/>
    <w:p w14:paraId="4DFE4597">
      <w:pPr>
        <w:pStyle w:val="8"/>
        <w:spacing w:before="120" w:after="120" w:line="312" w:lineRule="auto"/>
        <w:ind w:firstLine="480" w:firstLineChars="200"/>
        <w:rPr>
          <w:rFonts w:hint="eastAsia" w:ascii="宋体" w:hAnsi="宋体" w:cs="宋体"/>
          <w:b w:val="0"/>
          <w:color w:val="auto"/>
          <w:sz w:val="24"/>
          <w:szCs w:val="24"/>
          <w:highlight w:val="none"/>
        </w:rPr>
      </w:pPr>
      <w:bookmarkStart w:id="375" w:name="_Toc351203581"/>
      <w:bookmarkStart w:id="376" w:name="_Toc337558800"/>
      <w:r>
        <w:rPr>
          <w:rFonts w:hint="eastAsia" w:ascii="宋体" w:hAnsi="宋体" w:cs="宋体"/>
          <w:b w:val="0"/>
          <w:color w:val="auto"/>
          <w:sz w:val="24"/>
          <w:szCs w:val="24"/>
          <w:highlight w:val="none"/>
        </w:rPr>
        <w:t>12.1 合同价</w:t>
      </w:r>
      <w:bookmarkEnd w:id="373"/>
      <w:bookmarkEnd w:id="374"/>
      <w:r>
        <w:rPr>
          <w:rFonts w:hint="eastAsia" w:ascii="宋体" w:hAnsi="宋体" w:cs="宋体"/>
          <w:b w:val="0"/>
          <w:color w:val="auto"/>
          <w:sz w:val="24"/>
          <w:szCs w:val="24"/>
          <w:highlight w:val="none"/>
        </w:rPr>
        <w:t>格形式</w:t>
      </w:r>
      <w:bookmarkEnd w:id="375"/>
    </w:p>
    <w:bookmarkEnd w:id="376"/>
    <w:p w14:paraId="50B0BE6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发包人和承包人应在合同协议书中选择下列一种合同价格形式： </w:t>
      </w:r>
    </w:p>
    <w:p w14:paraId="773AF1A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1、单价合同</w:t>
      </w:r>
    </w:p>
    <w:p w14:paraId="6E6FB9D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单价合同是指合同当事人约定以工程量清单及其综合单价进行合同价格计算、调整和确认的建设工程施工合同，</w:t>
      </w:r>
      <w:r>
        <w:rPr>
          <w:rFonts w:hint="eastAsia" w:ascii="宋体" w:hAnsi="宋体" w:cs="宋体"/>
          <w:color w:val="auto"/>
          <w:sz w:val="24"/>
          <w:highlight w:val="none"/>
        </w:rPr>
        <w:t>在约定的范围内合同单价不作调整</w:t>
      </w:r>
      <w:r>
        <w:rPr>
          <w:rFonts w:hint="eastAsia" w:ascii="宋体" w:hAnsi="宋体" w:cs="宋体"/>
          <w:color w:val="auto"/>
          <w:kern w:val="0"/>
          <w:sz w:val="24"/>
          <w:highlight w:val="none"/>
        </w:rPr>
        <w:t>。合同当事人应在专用合同条款中约定综合单价包含的风险范围和风险费用的计算方法</w:t>
      </w:r>
      <w:r>
        <w:rPr>
          <w:rFonts w:hint="eastAsia" w:ascii="宋体" w:hAnsi="宋体" w:cs="宋体"/>
          <w:color w:val="auto"/>
          <w:sz w:val="24"/>
          <w:highlight w:val="none"/>
        </w:rPr>
        <w:t>，</w:t>
      </w:r>
      <w:r>
        <w:rPr>
          <w:rFonts w:hint="eastAsia" w:ascii="宋体" w:hAnsi="宋体" w:cs="宋体"/>
          <w:color w:val="auto"/>
          <w:kern w:val="0"/>
          <w:sz w:val="24"/>
          <w:highlight w:val="none"/>
        </w:rPr>
        <w:t>并约定风险范围以外的合同价格的调整方法，其中因市场价格波动引起的调整按第11.1款〔市场价格波动引起的调整〕约定执行。</w:t>
      </w:r>
    </w:p>
    <w:p w14:paraId="0C674DD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2、总价合同</w:t>
      </w:r>
    </w:p>
    <w:p w14:paraId="0D568B4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总价合同是指合同当事人约定以施工图、已标价工程量清单或预算书及有关条件进行合同价格计算、调整和确认的建设工程施工合同，</w:t>
      </w:r>
      <w:r>
        <w:rPr>
          <w:rFonts w:hint="eastAsia" w:ascii="宋体" w:hAnsi="宋体" w:cs="宋体"/>
          <w:color w:val="auto"/>
          <w:sz w:val="24"/>
          <w:highlight w:val="none"/>
        </w:rPr>
        <w:t>在约定的范围内合同总价不作调整</w:t>
      </w:r>
      <w:r>
        <w:rPr>
          <w:rFonts w:hint="eastAsia" w:ascii="宋体" w:hAnsi="宋体" w:cs="宋体"/>
          <w:color w:val="auto"/>
          <w:kern w:val="0"/>
          <w:sz w:val="24"/>
          <w:highlight w:val="none"/>
        </w:rPr>
        <w:t>。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6F3F7D4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3、其它价格形式</w:t>
      </w:r>
    </w:p>
    <w:p w14:paraId="390E199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合同当事人可在专用合同条款中约定其他合同价格形式。</w:t>
      </w:r>
    </w:p>
    <w:p w14:paraId="1CCAAF54">
      <w:pPr>
        <w:pStyle w:val="8"/>
        <w:spacing w:before="120" w:after="120" w:line="312" w:lineRule="auto"/>
        <w:ind w:firstLine="480" w:firstLineChars="200"/>
        <w:rPr>
          <w:rFonts w:hint="eastAsia" w:ascii="宋体" w:hAnsi="宋体" w:cs="宋体"/>
          <w:b w:val="0"/>
          <w:color w:val="auto"/>
          <w:sz w:val="24"/>
          <w:szCs w:val="24"/>
          <w:highlight w:val="none"/>
        </w:rPr>
      </w:pPr>
      <w:bookmarkStart w:id="377" w:name="_Toc296346598"/>
      <w:bookmarkStart w:id="378" w:name="_Toc296503097"/>
      <w:bookmarkStart w:id="379" w:name="_Toc351203582"/>
      <w:bookmarkStart w:id="380" w:name="_Toc337558801"/>
      <w:r>
        <w:rPr>
          <w:rFonts w:hint="eastAsia" w:ascii="宋体" w:hAnsi="宋体" w:cs="宋体"/>
          <w:b w:val="0"/>
          <w:color w:val="auto"/>
          <w:sz w:val="24"/>
          <w:szCs w:val="24"/>
          <w:highlight w:val="none"/>
        </w:rPr>
        <w:t>12.2预</w:t>
      </w:r>
      <w:bookmarkEnd w:id="377"/>
      <w:bookmarkEnd w:id="378"/>
      <w:bookmarkStart w:id="381" w:name="_Toc296503100"/>
      <w:bookmarkStart w:id="382" w:name="_Toc296346601"/>
      <w:r>
        <w:rPr>
          <w:rFonts w:hint="eastAsia" w:ascii="宋体" w:hAnsi="宋体" w:cs="宋体"/>
          <w:b w:val="0"/>
          <w:color w:val="auto"/>
          <w:sz w:val="24"/>
          <w:szCs w:val="24"/>
          <w:highlight w:val="none"/>
        </w:rPr>
        <w:t>付款</w:t>
      </w:r>
      <w:bookmarkEnd w:id="379"/>
    </w:p>
    <w:bookmarkEnd w:id="380"/>
    <w:bookmarkEnd w:id="381"/>
    <w:bookmarkEnd w:id="382"/>
    <w:p w14:paraId="07AA90A4">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12.2.</w:t>
      </w:r>
      <w:r>
        <w:rPr>
          <w:rFonts w:hint="eastAsia" w:ascii="宋体" w:hAnsi="宋体" w:cs="宋体"/>
          <w:color w:val="auto"/>
          <w:kern w:val="0"/>
          <w:sz w:val="24"/>
          <w:highlight w:val="none"/>
        </w:rPr>
        <w:t>1预付款的支付</w:t>
      </w:r>
    </w:p>
    <w:p w14:paraId="146536B4">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预付款的支付按照专用合同条款约定执行，但至迟应在开工通知载明的开工日期7天前支付。预付款应当用于材料、工程设备、施工设备的采购及修建临时工程、组织施工队伍进场等。</w:t>
      </w:r>
    </w:p>
    <w:p w14:paraId="0C69F4E7">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除专用合同条款另有约定外，预付款在进度付款中同比例扣回。在颁发工程接收证书前，提前解除合同的，尚未扣完的预付款应与合同价款一并结算。</w:t>
      </w:r>
    </w:p>
    <w:p w14:paraId="2A0ADAD0">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发包人逾期支付预付款超过7天的，承包人有权向发包人发出要求预付的催告通知，发包人收到通知后7天内仍未支付的，承包人有权暂停施工，并按第16.1.1项〔发包人违约的情形〕执行。</w:t>
      </w:r>
    </w:p>
    <w:p w14:paraId="4DD493C9">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12.2.2 预付款担保</w:t>
      </w:r>
    </w:p>
    <w:p w14:paraId="406321B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7F2C5F4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发包人在工程款中逐期扣回预付款后，预付款担保额度应相应减少，但剩余的预付款担保金额不得低于未被扣回的预付款金额。</w:t>
      </w:r>
    </w:p>
    <w:p w14:paraId="3E2B83D2">
      <w:pPr>
        <w:pStyle w:val="8"/>
        <w:spacing w:before="120" w:after="120" w:line="312" w:lineRule="auto"/>
        <w:ind w:firstLine="480" w:firstLineChars="200"/>
        <w:rPr>
          <w:rFonts w:hint="eastAsia" w:ascii="宋体" w:hAnsi="宋体" w:cs="宋体"/>
          <w:b w:val="0"/>
          <w:color w:val="auto"/>
          <w:sz w:val="24"/>
          <w:szCs w:val="24"/>
          <w:highlight w:val="none"/>
        </w:rPr>
      </w:pPr>
      <w:bookmarkStart w:id="383" w:name="_Toc351203583"/>
      <w:bookmarkStart w:id="384" w:name="_Toc337558802"/>
      <w:r>
        <w:rPr>
          <w:rFonts w:hint="eastAsia" w:ascii="宋体" w:hAnsi="宋体" w:cs="宋体"/>
          <w:b w:val="0"/>
          <w:color w:val="auto"/>
          <w:sz w:val="24"/>
          <w:szCs w:val="24"/>
          <w:highlight w:val="none"/>
        </w:rPr>
        <w:t>12.3计量</w:t>
      </w:r>
      <w:bookmarkEnd w:id="383"/>
    </w:p>
    <w:bookmarkEnd w:id="384"/>
    <w:p w14:paraId="3FCC132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12.3.1 计量原则</w:t>
      </w:r>
    </w:p>
    <w:p w14:paraId="1A15026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工程量计量按照合同约定的工程量计算规则、图纸及变更指示等进行计量。工程量计算规则应以相关的国家标准、行业标准等为依据，由合同当事人在专用合同条款中约定。</w:t>
      </w:r>
    </w:p>
    <w:p w14:paraId="6E6FAB1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12.3.2 计量周期</w:t>
      </w:r>
    </w:p>
    <w:p w14:paraId="3690388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除专用合同条款另有约定外，工程量的计量按月进行。</w:t>
      </w:r>
    </w:p>
    <w:p w14:paraId="3422604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12.3.3 单价合同的计量</w:t>
      </w:r>
    </w:p>
    <w:p w14:paraId="4B2F6E77">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除专用合同条款另有约定外，单价合同的计量按照本项约定执行：</w:t>
      </w:r>
    </w:p>
    <w:p w14:paraId="02F0F2C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（1）承包人应于每月25日向监理人报送上月20日至当月19日已完成的工程量报告，并附具进度付款申请单、已完成工程量报表和有关资料。</w:t>
      </w:r>
    </w:p>
    <w:p w14:paraId="76CB55F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41DDD5B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（3）监理人未在收到承包人提交的工程量报表后的7天内完成审核的，承包人报送的工程量报告中的工程量视为承包人实际完成的工程量，据此计算工程价款。</w:t>
      </w:r>
    </w:p>
    <w:p w14:paraId="2FDEDBE0">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12.3.4 总价合同的计量</w:t>
      </w:r>
    </w:p>
    <w:p w14:paraId="78D1780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除专用合同条款另有约定外，按月计量支付的总价合同，按照本项约定执行：</w:t>
      </w:r>
    </w:p>
    <w:p w14:paraId="55D3D0A7">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（1）承包人应于每月25日向监理人报送上月20日至当月19日已完成的工程量报告，并附具进度付款申请单、已完成工程量报表和有关资料。</w:t>
      </w:r>
    </w:p>
    <w:p w14:paraId="360CF71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4DA6222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（3）监理人未在收到承包人提交的工程量报表后的7天内完成复核的，承包人提交的工程量报告中的工程量视为承包人实际完成的工程量。</w:t>
      </w:r>
    </w:p>
    <w:p w14:paraId="40C4E0D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12.3.5 总价合同采用支付分解表计量支付的，可以按照第12.3.4项〔总价合同的计量〕约定进行计量，但合同价款按照支付分解表进行支付。</w:t>
      </w:r>
    </w:p>
    <w:p w14:paraId="1DE1B3B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12.3.6 其他价格形式合同的计量</w:t>
      </w:r>
    </w:p>
    <w:p w14:paraId="50867D5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合同当事人可在专用合同条款中约定其他价格形式合同的计量方式和程序。</w:t>
      </w:r>
    </w:p>
    <w:p w14:paraId="5B7172D0">
      <w:pPr>
        <w:pStyle w:val="8"/>
        <w:spacing w:before="120" w:after="120" w:line="312" w:lineRule="auto"/>
        <w:ind w:firstLine="480" w:firstLineChars="200"/>
        <w:rPr>
          <w:rFonts w:hint="eastAsia" w:ascii="宋体" w:hAnsi="宋体" w:cs="宋体"/>
          <w:b w:val="0"/>
          <w:color w:val="auto"/>
          <w:sz w:val="24"/>
          <w:szCs w:val="24"/>
          <w:highlight w:val="none"/>
        </w:rPr>
      </w:pPr>
      <w:bookmarkStart w:id="385" w:name="_Toc296503101"/>
      <w:bookmarkStart w:id="386" w:name="_Toc296346602"/>
      <w:bookmarkStart w:id="387" w:name="_Toc351203584"/>
      <w:bookmarkStart w:id="388" w:name="_Toc337558803"/>
      <w:r>
        <w:rPr>
          <w:rFonts w:hint="eastAsia" w:ascii="宋体" w:hAnsi="宋体" w:cs="宋体"/>
          <w:b w:val="0"/>
          <w:color w:val="auto"/>
          <w:sz w:val="24"/>
          <w:szCs w:val="24"/>
          <w:highlight w:val="none"/>
        </w:rPr>
        <w:t>12.4工程进度款支</w:t>
      </w:r>
      <w:bookmarkEnd w:id="385"/>
      <w:bookmarkEnd w:id="386"/>
      <w:r>
        <w:rPr>
          <w:rFonts w:hint="eastAsia" w:ascii="宋体" w:hAnsi="宋体" w:cs="宋体"/>
          <w:b w:val="0"/>
          <w:color w:val="auto"/>
          <w:sz w:val="24"/>
          <w:szCs w:val="24"/>
          <w:highlight w:val="none"/>
        </w:rPr>
        <w:t>付</w:t>
      </w:r>
      <w:bookmarkEnd w:id="387"/>
    </w:p>
    <w:bookmarkEnd w:id="388"/>
    <w:p w14:paraId="26D01A4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12.4</w:t>
      </w:r>
      <w:r>
        <w:rPr>
          <w:rFonts w:hint="eastAsia" w:ascii="宋体" w:hAnsi="宋体" w:cs="宋体"/>
          <w:color w:val="auto"/>
          <w:kern w:val="0"/>
          <w:sz w:val="24"/>
          <w:highlight w:val="none"/>
        </w:rPr>
        <w:t>.1 付款周期</w:t>
      </w:r>
    </w:p>
    <w:p w14:paraId="1DE9B5C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除专用合同条款另有约定外，付款周期应按照第12.3.2项〔计量周期〕的约定与计量周期保持一致。</w:t>
      </w:r>
    </w:p>
    <w:p w14:paraId="0202282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12.4</w:t>
      </w:r>
      <w:r>
        <w:rPr>
          <w:rFonts w:hint="eastAsia" w:ascii="宋体" w:hAnsi="宋体" w:cs="宋体"/>
          <w:color w:val="auto"/>
          <w:kern w:val="0"/>
          <w:sz w:val="24"/>
          <w:highlight w:val="none"/>
        </w:rPr>
        <w:t>.2 进度付款申请单的编制</w:t>
      </w:r>
    </w:p>
    <w:p w14:paraId="6B2A31C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除专用合同条款另有约定外，进度付款申请单应包括下列内容：</w:t>
      </w:r>
    </w:p>
    <w:p w14:paraId="5C652FF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（1）截至本次付款周期已完成工作对应的金额；</w:t>
      </w:r>
    </w:p>
    <w:p w14:paraId="6E78E34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（2）根据第10条〔变更〕应增加和扣减的变更金额；</w:t>
      </w:r>
    </w:p>
    <w:p w14:paraId="7DFA8BD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（3）根据第12.2款〔预付款〕约定应支付的预付款和扣减的返还预付款；</w:t>
      </w:r>
    </w:p>
    <w:p w14:paraId="13B6AFB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（4）根据第15.3款〔质量保证金〕约定应扣减的质量保证金；</w:t>
      </w:r>
    </w:p>
    <w:p w14:paraId="34AE212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（5）根据第19条〔索赔〕应增加和扣减的索赔金额；</w:t>
      </w:r>
    </w:p>
    <w:p w14:paraId="13AF1BD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（6）对已签发的进度款支付证书中出现错误的修正，应在本次进度付款中支付或扣除的金额；</w:t>
      </w:r>
    </w:p>
    <w:p w14:paraId="0A44E8E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（7）根据合同约定应增加和扣减的其他金额。</w:t>
      </w:r>
    </w:p>
    <w:p w14:paraId="5A3EBAA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12.4.3 进度付款申请单的提交</w:t>
      </w:r>
    </w:p>
    <w:p w14:paraId="5D9584B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（1）单价合同进度付款申请单的提交</w:t>
      </w:r>
    </w:p>
    <w:p w14:paraId="082B301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440389A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（2）总价合同进度付款申请单的提交</w:t>
      </w:r>
    </w:p>
    <w:p w14:paraId="33F0580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总价合同按月计量支付的，承包人按照第12.3.4项〔总价合同的计量〕约定的时间按月向监理人提交进度付款申请单，并附上已完成工程量报表和有关资料。</w:t>
      </w:r>
    </w:p>
    <w:p w14:paraId="228D6D2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总价合同按支付分解表支付的，承包人应按照第12.4.6项〔支付分解表〕及第12.4.2项〔进度付款申请单的编制〕的约定向监理人提交进度付款申请单。</w:t>
      </w:r>
    </w:p>
    <w:p w14:paraId="138468A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（3）其他价格形式合同的进度付款申请单的提交</w:t>
      </w:r>
    </w:p>
    <w:p w14:paraId="486C76E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合同当事人可在专用合同条款中约定其他价格形式合同的进度付款申请单的编制和提交程序。</w:t>
      </w:r>
    </w:p>
    <w:p w14:paraId="5CC79F9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12.4</w:t>
      </w:r>
      <w:r>
        <w:rPr>
          <w:rFonts w:hint="eastAsia" w:ascii="宋体" w:hAnsi="宋体" w:cs="宋体"/>
          <w:color w:val="auto"/>
          <w:kern w:val="0"/>
          <w:sz w:val="24"/>
          <w:highlight w:val="none"/>
        </w:rPr>
        <w:t>.4 进度款审核和支付</w:t>
      </w:r>
    </w:p>
    <w:p w14:paraId="348AFE3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1883B2F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185FA17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（2）除专用合同条款另有约定外，发包人应在进度款支付证书或临时进度款支付证书签发后14天内完成支付，发包人逾期支付进度款的，应按照中国人民银行发布的同期同类贷款基准利率支付违约金。</w:t>
      </w:r>
    </w:p>
    <w:p w14:paraId="7B99374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（3）发包人签发进度款支付证书或临时进度款支付证书，不表明发包人已同意、批准或接受了承包人完成的相应部分的工作。</w:t>
      </w:r>
    </w:p>
    <w:p w14:paraId="2640423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12.4.5 进度付款的修正</w:t>
      </w:r>
    </w:p>
    <w:p w14:paraId="181124E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在对已签发的进度款支付证书进行阶段汇总和复核中发现错误、遗漏或重复的，发包人和承包人均有权提出修正申请。经发包人和承包人同意的修正，应在下期进度付款中支付或扣除。</w:t>
      </w:r>
    </w:p>
    <w:p w14:paraId="4C66FB5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12.4.6 支付分解表</w:t>
      </w:r>
    </w:p>
    <w:p w14:paraId="141FF3D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1、支付分解表的编制要求</w:t>
      </w:r>
    </w:p>
    <w:p w14:paraId="75543A0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（1）支付分解表中所列的每期付款金额，应为第12.4.2项〔进度付款申请单的编制〕第（1）目的估算金额；</w:t>
      </w:r>
    </w:p>
    <w:p w14:paraId="1451E607">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（2）实际进度与施工进度计划不一致的，合同当事人可按照第4.4款〔商定或确定〕修改支付分解表；</w:t>
      </w:r>
    </w:p>
    <w:p w14:paraId="57DAFE4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（3）不采用支付分解表的，承包人应向发包人和监理人提交按季度编制的支付估算分解表，用于支付参考。</w:t>
      </w:r>
    </w:p>
    <w:p w14:paraId="34B05927">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2、总价合同支付分解表的编制与审批</w:t>
      </w:r>
    </w:p>
    <w:p w14:paraId="2044D55C">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35C48E77">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（2）监理人应在收到支付分解表后7天内完成审核并报送发包人。发包人应在收到经监理人审核的支付分解表后7天内完成审批，经发包人批准的支付分解表为有约束力的支付分解表。</w:t>
      </w:r>
    </w:p>
    <w:p w14:paraId="17B1176C">
      <w:pPr>
        <w:spacing w:line="312"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（3）发包人逾期未完成支付分解表审批的，也未及时要求承包人进行修正和提供补充资料的，则承包人提交的支付分解表视为已经获得发包人批准。</w:t>
      </w:r>
    </w:p>
    <w:p w14:paraId="42D6815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3、单价合同的总价项目支付分解表的编制与审批</w:t>
      </w:r>
    </w:p>
    <w:p w14:paraId="0A39544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4FB9C69A">
      <w:pPr>
        <w:pStyle w:val="8"/>
        <w:spacing w:before="120" w:after="120" w:line="312" w:lineRule="auto"/>
        <w:ind w:firstLine="480" w:firstLineChars="200"/>
        <w:rPr>
          <w:rFonts w:hint="eastAsia" w:ascii="宋体" w:hAnsi="宋体" w:cs="宋体"/>
          <w:b w:val="0"/>
          <w:color w:val="auto"/>
          <w:sz w:val="24"/>
          <w:szCs w:val="24"/>
          <w:highlight w:val="none"/>
        </w:rPr>
      </w:pPr>
      <w:bookmarkStart w:id="389" w:name="_Toc351203585"/>
      <w:r>
        <w:rPr>
          <w:rFonts w:hint="eastAsia" w:ascii="宋体" w:hAnsi="宋体" w:cs="宋体"/>
          <w:b w:val="0"/>
          <w:color w:val="auto"/>
          <w:sz w:val="24"/>
          <w:szCs w:val="24"/>
          <w:highlight w:val="none"/>
        </w:rPr>
        <w:t>12.5支付账户</w:t>
      </w:r>
      <w:bookmarkEnd w:id="389"/>
    </w:p>
    <w:p w14:paraId="6610ABB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发包人应将合同价款支付至合同协议书中约定的承包人账户。</w:t>
      </w:r>
    </w:p>
    <w:p w14:paraId="6BBF04A0">
      <w:pPr>
        <w:pStyle w:val="7"/>
        <w:spacing w:before="120" w:after="120" w:line="312" w:lineRule="auto"/>
        <w:rPr>
          <w:rFonts w:hint="eastAsia"/>
          <w:b w:val="0"/>
          <w:color w:val="auto"/>
          <w:sz w:val="24"/>
          <w:szCs w:val="24"/>
          <w:highlight w:val="none"/>
        </w:rPr>
      </w:pPr>
      <w:bookmarkStart w:id="390" w:name="_Toc351203586"/>
      <w:bookmarkStart w:id="391" w:name="_Toc337558804"/>
      <w:bookmarkStart w:id="392" w:name="_Toc322522574"/>
      <w:bookmarkStart w:id="393" w:name="_Toc296346607"/>
      <w:bookmarkStart w:id="394" w:name="_Toc296503106"/>
      <w:r>
        <w:rPr>
          <w:rFonts w:hint="eastAsia"/>
          <w:b w:val="0"/>
          <w:color w:val="auto"/>
          <w:sz w:val="24"/>
          <w:szCs w:val="24"/>
          <w:highlight w:val="none"/>
        </w:rPr>
        <w:t>13. 验收和工程试车</w:t>
      </w:r>
      <w:bookmarkEnd w:id="390"/>
    </w:p>
    <w:bookmarkEnd w:id="391"/>
    <w:bookmarkEnd w:id="392"/>
    <w:bookmarkEnd w:id="393"/>
    <w:bookmarkEnd w:id="394"/>
    <w:p w14:paraId="7599FCD4">
      <w:pPr>
        <w:pStyle w:val="8"/>
        <w:spacing w:before="120" w:after="120" w:line="312" w:lineRule="auto"/>
        <w:ind w:firstLine="480" w:firstLineChars="200"/>
        <w:rPr>
          <w:rFonts w:hint="eastAsia" w:ascii="宋体" w:hAnsi="宋体" w:cs="宋体"/>
          <w:b w:val="0"/>
          <w:color w:val="auto"/>
          <w:sz w:val="24"/>
          <w:szCs w:val="24"/>
          <w:highlight w:val="none"/>
        </w:rPr>
      </w:pPr>
      <w:bookmarkStart w:id="395" w:name="_Toc351203587"/>
      <w:bookmarkStart w:id="396" w:name="_Toc337558805"/>
      <w:bookmarkStart w:id="397" w:name="_Toc296503110"/>
      <w:bookmarkStart w:id="398" w:name="_Toc296346611"/>
      <w:r>
        <w:rPr>
          <w:rFonts w:hint="eastAsia" w:ascii="宋体" w:hAnsi="宋体" w:cs="宋体"/>
          <w:b w:val="0"/>
          <w:color w:val="auto"/>
          <w:sz w:val="24"/>
          <w:szCs w:val="24"/>
          <w:highlight w:val="none"/>
        </w:rPr>
        <w:t>13.1分部分项工程验收</w:t>
      </w:r>
      <w:bookmarkEnd w:id="395"/>
    </w:p>
    <w:bookmarkEnd w:id="396"/>
    <w:p w14:paraId="5EE2CAAE">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13.1.1 分部分项工程质量应符合国家有关工程施工验收规范、标准及合同约定，承包人应按照施工组织设计的要求完成分部分项工程施工。</w:t>
      </w:r>
    </w:p>
    <w:p w14:paraId="70F48EAA">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13.1.2 除专用合同条款另有约定外，分部分项工程经承包人自检合格并具备验收条件的，承包人应提前48小时通知监理人进行验收。</w:t>
      </w:r>
      <w:r>
        <w:rPr>
          <w:rFonts w:hint="eastAsia" w:ascii="宋体" w:hAnsi="宋体" w:cs="宋体"/>
          <w:color w:val="auto"/>
          <w:kern w:val="0"/>
          <w:sz w:val="24"/>
          <w:highlight w:val="none"/>
        </w:rPr>
        <w:t>监理人不能按时进行验收的，应在验收前24小时向承包人提交书面延期要求，但延期不能超过48小时。监理人未按时进行验收，也未提出延期要求的，承包人有权自行验收，监理人应认可验收结果。</w:t>
      </w:r>
      <w:r>
        <w:rPr>
          <w:rFonts w:hint="eastAsia" w:ascii="宋体" w:hAnsi="宋体" w:cs="宋体"/>
          <w:color w:val="auto"/>
          <w:sz w:val="24"/>
          <w:highlight w:val="none"/>
        </w:rPr>
        <w:t>分部分项工程未经验收的，不得进入下一道工序施工。</w:t>
      </w:r>
    </w:p>
    <w:p w14:paraId="0AE18634">
      <w:pPr>
        <w:spacing w:line="312"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分部分项工程的验收资料应当作为竣工资料的组成部分。</w:t>
      </w:r>
    </w:p>
    <w:p w14:paraId="31FFB8BA">
      <w:pPr>
        <w:pStyle w:val="8"/>
        <w:spacing w:before="120" w:after="120" w:line="312" w:lineRule="auto"/>
        <w:ind w:firstLine="480" w:firstLineChars="200"/>
        <w:rPr>
          <w:rFonts w:hint="eastAsia" w:ascii="宋体" w:hAnsi="宋体" w:cs="宋体"/>
          <w:b w:val="0"/>
          <w:color w:val="auto"/>
          <w:sz w:val="24"/>
          <w:szCs w:val="24"/>
          <w:highlight w:val="none"/>
        </w:rPr>
      </w:pPr>
      <w:bookmarkStart w:id="399" w:name="_Toc351203588"/>
      <w:bookmarkStart w:id="400" w:name="_Toc337558806"/>
      <w:r>
        <w:rPr>
          <w:rFonts w:hint="eastAsia" w:ascii="宋体" w:hAnsi="宋体" w:cs="宋体"/>
          <w:b w:val="0"/>
          <w:color w:val="auto"/>
          <w:sz w:val="24"/>
          <w:szCs w:val="24"/>
          <w:highlight w:val="none"/>
        </w:rPr>
        <w:t>13.2竣工验收</w:t>
      </w:r>
      <w:bookmarkEnd w:id="399"/>
    </w:p>
    <w:bookmarkEnd w:id="397"/>
    <w:bookmarkEnd w:id="398"/>
    <w:bookmarkEnd w:id="400"/>
    <w:p w14:paraId="24F365D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13.2.1竣工验收条件</w:t>
      </w:r>
    </w:p>
    <w:p w14:paraId="3917779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工程具备以下条件的，承包人可以申请竣工验收：</w:t>
      </w:r>
    </w:p>
    <w:p w14:paraId="0709E03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（1）除发包人同意的甩项工作和缺陷修补工作外，合同范围内的全部工程以及有关工作，包括合同要求的试验、试运行以及检验均已完成，并符合合同要求；</w:t>
      </w:r>
    </w:p>
    <w:p w14:paraId="0251E6B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（2）已按合同约定编制了甩项工作和缺陷修补工作清单以及相应的施工计划；</w:t>
      </w:r>
    </w:p>
    <w:p w14:paraId="765A5C5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（3）已按合同约定的内容和份数备齐竣工资料。</w:t>
      </w:r>
    </w:p>
    <w:p w14:paraId="3DC7A05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13.2.2竣工验收程序</w:t>
      </w:r>
    </w:p>
    <w:p w14:paraId="67684C9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除专用合同条款另有约定外，承包人申请竣工验收的，应当按照以下程序进行：</w:t>
      </w:r>
    </w:p>
    <w:p w14:paraId="4CDEE9E0">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219E954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306EA3B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（3）竣工验收合格的，发包人应在验收合格后14天内向承包人签发工程接收证书。发包人无正当理由逾期不颁发工程接收证书的，自验收合格后第15天起视为已颁发工程接收证书。</w:t>
      </w:r>
    </w:p>
    <w:p w14:paraId="6515B3C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24E5DB5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4C085C3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除专用合同条款另有约定外，发包人不按照本项约定组织竣工验收、颁发工程接收证书的，每逾期一天，应以签约合同价为基数，按照中国人民银行发布的同期同类贷款基准利率支付违约金。</w:t>
      </w:r>
    </w:p>
    <w:p w14:paraId="395CE30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13.2.3竣工日期</w:t>
      </w:r>
    </w:p>
    <w:p w14:paraId="5F32A1D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w:t>
      </w:r>
      <w:bookmarkStart w:id="401" w:name="#go14"/>
      <w:bookmarkEnd w:id="401"/>
      <w:r>
        <w:rPr>
          <w:rFonts w:hint="eastAsia" w:ascii="宋体" w:hAnsi="宋体" w:cs="宋体"/>
          <w:color w:val="auto"/>
          <w:kern w:val="0"/>
          <w:sz w:val="24"/>
          <w:highlight w:val="none"/>
        </w:rPr>
        <w:t>收申请报告的日期为实际竣工日期；工程未经竣工验收，发包人擅自使用的，以转移占有工程之日为实际竣工日期。</w:t>
      </w:r>
    </w:p>
    <w:p w14:paraId="407B32E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13.2.4 拒绝接收全部或部分工程</w:t>
      </w:r>
    </w:p>
    <w:p w14:paraId="6018BA0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272F15A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13.2.5 移交、接收全部与部分工程</w:t>
      </w:r>
    </w:p>
    <w:p w14:paraId="273522E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除专用合同条款另有约定外，合同当事人应当在颁发工程接收证书后7天内完成工程的移交。</w:t>
      </w:r>
    </w:p>
    <w:p w14:paraId="66C3B2F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发包人无正当理由不接收工程的，发包人自应当接收工程之日起，承担工程照管、成品保护、保管等与工程有关的各项费用，合同当事人可以在专用合同条款中另行约定发包人逾期接收工程的违约责任。</w:t>
      </w:r>
    </w:p>
    <w:p w14:paraId="2032933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承包人无正当理由不移交工程的，承包人应承担工程照管、成品保护、保管等与工程有关的各项费用，合同当事人可以在专用合同条款中另行约定承包人无正当理由不移交工程的违约责任。</w:t>
      </w:r>
    </w:p>
    <w:p w14:paraId="2EDBFD67">
      <w:pPr>
        <w:pStyle w:val="8"/>
        <w:spacing w:before="120" w:after="120" w:line="312" w:lineRule="auto"/>
        <w:ind w:firstLine="480" w:firstLineChars="200"/>
        <w:rPr>
          <w:rFonts w:hint="eastAsia" w:ascii="宋体" w:hAnsi="宋体" w:cs="宋体"/>
          <w:b w:val="0"/>
          <w:color w:val="auto"/>
          <w:sz w:val="24"/>
          <w:szCs w:val="24"/>
          <w:highlight w:val="none"/>
        </w:rPr>
      </w:pPr>
      <w:bookmarkStart w:id="402" w:name="_Toc351203589"/>
      <w:bookmarkStart w:id="403" w:name="_Toc296346612"/>
      <w:bookmarkStart w:id="404" w:name="_Toc337558807"/>
      <w:bookmarkStart w:id="405" w:name="_Toc296503111"/>
      <w:r>
        <w:rPr>
          <w:rFonts w:hint="eastAsia" w:ascii="宋体" w:hAnsi="宋体" w:cs="宋体"/>
          <w:b w:val="0"/>
          <w:color w:val="auto"/>
          <w:sz w:val="24"/>
          <w:szCs w:val="24"/>
          <w:highlight w:val="none"/>
        </w:rPr>
        <w:t>13.3工程试车</w:t>
      </w:r>
      <w:bookmarkEnd w:id="402"/>
    </w:p>
    <w:bookmarkEnd w:id="403"/>
    <w:bookmarkEnd w:id="404"/>
    <w:bookmarkEnd w:id="405"/>
    <w:p w14:paraId="1213EC2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13.3.1试车程序</w:t>
      </w:r>
    </w:p>
    <w:p w14:paraId="42D821D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工程需要试车的，除专用合同条款另有约定外，试车内容应与承包人承包范围相一致，试车费用由承包人承担。工程试车应按如下程序进行：</w:t>
      </w:r>
    </w:p>
    <w:p w14:paraId="77E09DC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55D1F9C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2EBB19BC">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65B4C6B0">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13.3.2 试车中的责任</w:t>
      </w:r>
    </w:p>
    <w:p w14:paraId="7EA658E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7D78C82C">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5D7E6F9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13.3.3 投料试车</w:t>
      </w:r>
    </w:p>
    <w:p w14:paraId="6F72BCC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如需进行投料试车的，发包人应在工程竣工验收后组织投料试车。发包人要求在工程竣工验收前进行或需要承包人配合时，应征得承包人同意，并在专用合同条款中约定有关事项。</w:t>
      </w:r>
    </w:p>
    <w:p w14:paraId="2A7AF1D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0003106E">
      <w:pPr>
        <w:pStyle w:val="8"/>
        <w:spacing w:before="120" w:after="120" w:line="312" w:lineRule="auto"/>
        <w:rPr>
          <w:rFonts w:hint="eastAsia" w:ascii="宋体" w:hAnsi="宋体" w:cs="宋体"/>
          <w:b w:val="0"/>
          <w:color w:val="auto"/>
          <w:sz w:val="24"/>
          <w:szCs w:val="24"/>
          <w:highlight w:val="none"/>
        </w:rPr>
      </w:pPr>
      <w:bookmarkStart w:id="406" w:name="_Toc337558808"/>
      <w:r>
        <w:rPr>
          <w:rFonts w:hint="eastAsia" w:ascii="宋体" w:hAnsi="宋体" w:cs="宋体"/>
          <w:b w:val="0"/>
          <w:color w:val="auto"/>
          <w:sz w:val="24"/>
          <w:szCs w:val="24"/>
          <w:highlight w:val="none"/>
        </w:rPr>
        <w:t xml:space="preserve">    </w:t>
      </w:r>
      <w:bookmarkStart w:id="407" w:name="_Toc351203590"/>
      <w:r>
        <w:rPr>
          <w:rFonts w:hint="eastAsia" w:ascii="宋体" w:hAnsi="宋体" w:cs="宋体"/>
          <w:b w:val="0"/>
          <w:color w:val="auto"/>
          <w:sz w:val="24"/>
          <w:szCs w:val="24"/>
          <w:highlight w:val="none"/>
        </w:rPr>
        <w:t>13.4提前交付单位工程的验收</w:t>
      </w:r>
      <w:bookmarkEnd w:id="407"/>
    </w:p>
    <w:bookmarkEnd w:id="406"/>
    <w:p w14:paraId="2E50C1D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13.4.1 发包人需要在工程竣工前使用单位工程的，或承包人提出提前交付已经竣工的单位工程且经发包人同意的，可进行单位工程验收，验收的程序按照第13.2款〔竣工验收〕的约定进行。</w:t>
      </w:r>
    </w:p>
    <w:p w14:paraId="524FF14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验收合格后，由监理人向承包人出具经发包人签认的单位工程接收证书。已签发单位工程接收证书的单位工程由发包人负责照管。单位工程的验收成果和结论作为整体工程竣工验收申请报告的附件。</w:t>
      </w:r>
    </w:p>
    <w:p w14:paraId="7DD7D51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13.4.2 发包人要求在工程竣工前交付单位工程，由此导致承包人费用增加和（或）工期延误的，由发包人承担由此增加的费用和（或）延误的工期，并支付承包人合理的利润。</w:t>
      </w:r>
    </w:p>
    <w:p w14:paraId="27A70E59">
      <w:pPr>
        <w:pStyle w:val="8"/>
        <w:spacing w:before="120" w:after="120" w:line="312" w:lineRule="auto"/>
        <w:ind w:firstLine="480" w:firstLineChars="200"/>
        <w:rPr>
          <w:rFonts w:hint="eastAsia" w:ascii="宋体" w:hAnsi="宋体" w:cs="宋体"/>
          <w:b w:val="0"/>
          <w:color w:val="auto"/>
          <w:sz w:val="24"/>
          <w:szCs w:val="24"/>
          <w:highlight w:val="none"/>
        </w:rPr>
      </w:pPr>
      <w:bookmarkStart w:id="408" w:name="_Toc351203591"/>
      <w:r>
        <w:rPr>
          <w:rFonts w:hint="eastAsia" w:ascii="宋体" w:hAnsi="宋体" w:cs="宋体"/>
          <w:b w:val="0"/>
          <w:color w:val="auto"/>
          <w:sz w:val="24"/>
          <w:szCs w:val="24"/>
          <w:highlight w:val="none"/>
        </w:rPr>
        <w:t>13.5 施工期运行</w:t>
      </w:r>
      <w:bookmarkEnd w:id="408"/>
    </w:p>
    <w:p w14:paraId="5EBABC4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1A2BAD9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13.5.2 在施工期运行中发现工程或工程设备损坏或存在缺陷的，由承包人按第15.2款〔缺陷责任期〕约定进行修复。</w:t>
      </w:r>
    </w:p>
    <w:p w14:paraId="11626E31">
      <w:pPr>
        <w:pStyle w:val="8"/>
        <w:spacing w:before="120" w:after="120" w:line="312" w:lineRule="auto"/>
        <w:ind w:firstLine="480" w:firstLineChars="200"/>
        <w:rPr>
          <w:rFonts w:hint="eastAsia" w:ascii="宋体" w:hAnsi="宋体" w:cs="宋体"/>
          <w:b w:val="0"/>
          <w:color w:val="auto"/>
          <w:sz w:val="24"/>
          <w:szCs w:val="24"/>
          <w:highlight w:val="none"/>
        </w:rPr>
      </w:pPr>
      <w:bookmarkStart w:id="409" w:name="_Toc296346613"/>
      <w:bookmarkStart w:id="410" w:name="_Toc296503112"/>
      <w:bookmarkStart w:id="411" w:name="_Toc351203592"/>
      <w:bookmarkStart w:id="412" w:name="_Toc337558809"/>
      <w:r>
        <w:rPr>
          <w:rFonts w:hint="eastAsia" w:ascii="宋体" w:hAnsi="宋体" w:cs="宋体"/>
          <w:b w:val="0"/>
          <w:color w:val="auto"/>
          <w:sz w:val="24"/>
          <w:szCs w:val="24"/>
          <w:highlight w:val="none"/>
        </w:rPr>
        <w:t>13.6 竣工退</w:t>
      </w:r>
      <w:bookmarkEnd w:id="409"/>
      <w:bookmarkEnd w:id="410"/>
      <w:r>
        <w:rPr>
          <w:rFonts w:hint="eastAsia" w:ascii="宋体" w:hAnsi="宋体" w:cs="宋体"/>
          <w:b w:val="0"/>
          <w:color w:val="auto"/>
          <w:sz w:val="24"/>
          <w:szCs w:val="24"/>
          <w:highlight w:val="none"/>
        </w:rPr>
        <w:t>场</w:t>
      </w:r>
      <w:bookmarkEnd w:id="411"/>
    </w:p>
    <w:bookmarkEnd w:id="412"/>
    <w:p w14:paraId="668ED0C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13.6.1 竣工退场</w:t>
      </w:r>
    </w:p>
    <w:p w14:paraId="3756EBA0">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颁发工程接收证书后，承包人应按以下要求对施工现场进行清理：</w:t>
      </w:r>
    </w:p>
    <w:p w14:paraId="6CE1CC3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（1）施工现场内残留的垃圾已全部清除出场；</w:t>
      </w:r>
    </w:p>
    <w:p w14:paraId="2AFFA77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（2）临时工程已拆除，场地已进行清理、平整或复原；</w:t>
      </w:r>
    </w:p>
    <w:p w14:paraId="5A20ADF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（3）按合同约定应撤离的人员、承包人施工设备和剩余的材料，包括废弃的施工设备和材料，已按计划撤离施工现场；</w:t>
      </w:r>
    </w:p>
    <w:p w14:paraId="67CD63C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（4）施工现场周边及其附近道路、河道的施工堆积物，已全部清理；</w:t>
      </w:r>
    </w:p>
    <w:p w14:paraId="64BE490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（5）施工现场其他场地清理工作已全部完成。</w:t>
      </w:r>
    </w:p>
    <w:p w14:paraId="29193B5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7826502A">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13.6.2 地表还原</w:t>
      </w:r>
    </w:p>
    <w:p w14:paraId="6DB1879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承包人应按发包人要求恢复临时占地及清理场地，承包人未按发包人的要求恢复临时占地，或者场地清理未达到合同约定要求的，发包人有权委托其他人恢复或清理，所发生的费用由承包人承担。</w:t>
      </w:r>
    </w:p>
    <w:p w14:paraId="13EF6E2C">
      <w:pPr>
        <w:pStyle w:val="7"/>
        <w:spacing w:before="120" w:after="120" w:line="312" w:lineRule="auto"/>
        <w:rPr>
          <w:rFonts w:hint="eastAsia"/>
          <w:b w:val="0"/>
          <w:color w:val="auto"/>
          <w:sz w:val="24"/>
          <w:szCs w:val="24"/>
          <w:highlight w:val="none"/>
        </w:rPr>
      </w:pPr>
      <w:bookmarkStart w:id="413" w:name="_Toc351203593"/>
      <w:bookmarkStart w:id="414" w:name="_Toc337558810"/>
      <w:bookmarkStart w:id="415" w:name="_Toc296346614"/>
      <w:bookmarkStart w:id="416" w:name="_Toc296503113"/>
      <w:r>
        <w:rPr>
          <w:rFonts w:hint="eastAsia"/>
          <w:b w:val="0"/>
          <w:color w:val="auto"/>
          <w:sz w:val="24"/>
          <w:szCs w:val="24"/>
          <w:highlight w:val="none"/>
        </w:rPr>
        <w:t>14. 竣工结算</w:t>
      </w:r>
      <w:bookmarkEnd w:id="413"/>
    </w:p>
    <w:bookmarkEnd w:id="414"/>
    <w:p w14:paraId="6C21751B">
      <w:pPr>
        <w:pStyle w:val="8"/>
        <w:spacing w:before="120" w:after="120" w:line="312" w:lineRule="auto"/>
        <w:ind w:firstLine="480" w:firstLineChars="200"/>
        <w:rPr>
          <w:rFonts w:hint="eastAsia" w:ascii="宋体" w:hAnsi="宋体" w:cs="宋体"/>
          <w:b w:val="0"/>
          <w:color w:val="auto"/>
          <w:sz w:val="24"/>
          <w:szCs w:val="24"/>
          <w:highlight w:val="none"/>
        </w:rPr>
      </w:pPr>
      <w:bookmarkStart w:id="417" w:name="_Toc351203594"/>
      <w:bookmarkStart w:id="418" w:name="_Toc337558811"/>
      <w:r>
        <w:rPr>
          <w:rFonts w:hint="eastAsia" w:ascii="宋体" w:hAnsi="宋体" w:cs="宋体"/>
          <w:b w:val="0"/>
          <w:color w:val="auto"/>
          <w:sz w:val="24"/>
          <w:szCs w:val="24"/>
          <w:highlight w:val="none"/>
        </w:rPr>
        <w:t>14.1 竣工结算申请</w:t>
      </w:r>
      <w:bookmarkEnd w:id="417"/>
    </w:p>
    <w:bookmarkEnd w:id="418"/>
    <w:p w14:paraId="4AF74637">
      <w:pPr>
        <w:autoSpaceDE w:val="0"/>
        <w:autoSpaceDN w:val="0"/>
        <w:adjustRightInd w:val="0"/>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kern w:val="0"/>
          <w:sz w:val="24"/>
          <w:highlight w:val="none"/>
        </w:rPr>
        <w:t>除专用合同条款另有约定外，</w:t>
      </w:r>
      <w:r>
        <w:rPr>
          <w:rFonts w:hint="eastAsia" w:ascii="宋体" w:hAnsi="宋体" w:cs="宋体"/>
          <w:color w:val="auto"/>
          <w:sz w:val="24"/>
          <w:highlight w:val="none"/>
        </w:rPr>
        <w:t>承包人应在工程竣工验收合格后28天内向发包人和监理人提交竣工结算申请单，并提交完整的结算资料，有关竣工结算申请单的资料清单和份数等要求由合同当事人在专用合同条款中约定。</w:t>
      </w:r>
    </w:p>
    <w:p w14:paraId="70F76F18">
      <w:pPr>
        <w:autoSpaceDE w:val="0"/>
        <w:autoSpaceDN w:val="0"/>
        <w:adjustRightInd w:val="0"/>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除专用合同条款另有约定外，竣工结算申请单应包括以下内容：</w:t>
      </w:r>
    </w:p>
    <w:p w14:paraId="15F01B18">
      <w:pPr>
        <w:autoSpaceDE w:val="0"/>
        <w:autoSpaceDN w:val="0"/>
        <w:adjustRightInd w:val="0"/>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（1）竣工结算合同价格；</w:t>
      </w:r>
    </w:p>
    <w:p w14:paraId="7F00D52E">
      <w:pPr>
        <w:autoSpaceDE w:val="0"/>
        <w:autoSpaceDN w:val="0"/>
        <w:adjustRightInd w:val="0"/>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（2）发包人已支付承包人的款项；</w:t>
      </w:r>
    </w:p>
    <w:p w14:paraId="549DFB35">
      <w:pPr>
        <w:autoSpaceDE w:val="0"/>
        <w:autoSpaceDN w:val="0"/>
        <w:adjustRightInd w:val="0"/>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 xml:space="preserve">（3）应扣留的质量保证金； </w:t>
      </w:r>
    </w:p>
    <w:p w14:paraId="3572AF07">
      <w:pPr>
        <w:autoSpaceDE w:val="0"/>
        <w:autoSpaceDN w:val="0"/>
        <w:adjustRightInd w:val="0"/>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（4）发包人应支付承包人的合同价款。</w:t>
      </w:r>
    </w:p>
    <w:p w14:paraId="509ECFF6">
      <w:pPr>
        <w:pStyle w:val="8"/>
        <w:spacing w:before="120" w:after="120" w:line="312" w:lineRule="auto"/>
        <w:ind w:firstLine="480" w:firstLineChars="200"/>
        <w:rPr>
          <w:rFonts w:hint="eastAsia" w:ascii="宋体" w:hAnsi="宋体" w:cs="宋体"/>
          <w:b w:val="0"/>
          <w:color w:val="auto"/>
          <w:sz w:val="24"/>
          <w:szCs w:val="24"/>
          <w:highlight w:val="none"/>
        </w:rPr>
      </w:pPr>
      <w:bookmarkStart w:id="419" w:name="_Toc351203595"/>
      <w:bookmarkStart w:id="420" w:name="_Toc337558812"/>
      <w:r>
        <w:rPr>
          <w:rFonts w:hint="eastAsia" w:ascii="宋体" w:hAnsi="宋体" w:cs="宋体"/>
          <w:b w:val="0"/>
          <w:color w:val="auto"/>
          <w:sz w:val="24"/>
          <w:szCs w:val="24"/>
          <w:highlight w:val="none"/>
        </w:rPr>
        <w:t>14.2 竣工结算审核</w:t>
      </w:r>
      <w:bookmarkEnd w:id="419"/>
    </w:p>
    <w:bookmarkEnd w:id="420"/>
    <w:p w14:paraId="2951F62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w:t>
      </w:r>
      <w:r>
        <w:rPr>
          <w:rFonts w:hint="eastAsia" w:ascii="宋体" w:hAnsi="宋体" w:cs="宋体"/>
          <w:color w:val="auto"/>
          <w:sz w:val="24"/>
          <w:highlight w:val="none"/>
        </w:rPr>
        <w:t>发包人对竣工</w:t>
      </w:r>
      <w:r>
        <w:rPr>
          <w:rFonts w:hint="eastAsia" w:ascii="宋体" w:hAnsi="宋体" w:cs="宋体"/>
          <w:color w:val="auto"/>
          <w:kern w:val="0"/>
          <w:sz w:val="24"/>
          <w:highlight w:val="none"/>
        </w:rPr>
        <w:t>结算</w:t>
      </w:r>
      <w:r>
        <w:rPr>
          <w:rFonts w:hint="eastAsia" w:ascii="宋体" w:hAnsi="宋体" w:cs="宋体"/>
          <w:color w:val="auto"/>
          <w:sz w:val="24"/>
          <w:highlight w:val="none"/>
        </w:rPr>
        <w:t>申请单有异议的，有权要求承包人进行修正和提供补充资料，承包人应提交修正后的竣工</w:t>
      </w:r>
      <w:r>
        <w:rPr>
          <w:rFonts w:hint="eastAsia" w:ascii="宋体" w:hAnsi="宋体" w:cs="宋体"/>
          <w:color w:val="auto"/>
          <w:kern w:val="0"/>
          <w:sz w:val="24"/>
          <w:highlight w:val="none"/>
        </w:rPr>
        <w:t>结算</w:t>
      </w:r>
      <w:r>
        <w:rPr>
          <w:rFonts w:hint="eastAsia" w:ascii="宋体" w:hAnsi="宋体" w:cs="宋体"/>
          <w:color w:val="auto"/>
          <w:sz w:val="24"/>
          <w:highlight w:val="none"/>
        </w:rPr>
        <w:t>申请单。</w:t>
      </w:r>
    </w:p>
    <w:p w14:paraId="7EB6E07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0894395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48FD0A6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14:paraId="7E24FF4F">
      <w:pPr>
        <w:pStyle w:val="8"/>
        <w:spacing w:before="120" w:after="120" w:line="312" w:lineRule="auto"/>
        <w:ind w:firstLine="480" w:firstLineChars="200"/>
        <w:rPr>
          <w:rFonts w:hint="eastAsia" w:ascii="宋体" w:hAnsi="宋体" w:cs="宋体"/>
          <w:b w:val="0"/>
          <w:color w:val="auto"/>
          <w:sz w:val="24"/>
          <w:szCs w:val="24"/>
          <w:highlight w:val="none"/>
        </w:rPr>
      </w:pPr>
      <w:bookmarkStart w:id="421" w:name="_Toc351203596"/>
      <w:bookmarkStart w:id="422" w:name="_Toc337558813"/>
      <w:r>
        <w:rPr>
          <w:rFonts w:hint="eastAsia" w:ascii="宋体" w:hAnsi="宋体" w:cs="宋体"/>
          <w:b w:val="0"/>
          <w:color w:val="auto"/>
          <w:sz w:val="24"/>
          <w:szCs w:val="24"/>
          <w:highlight w:val="none"/>
        </w:rPr>
        <w:t>14.3 甩项竣工协议</w:t>
      </w:r>
      <w:bookmarkEnd w:id="421"/>
    </w:p>
    <w:bookmarkEnd w:id="422"/>
    <w:p w14:paraId="285F7D50">
      <w:pPr>
        <w:autoSpaceDE w:val="0"/>
        <w:autoSpaceDN w:val="0"/>
        <w:adjustRightInd w:val="0"/>
        <w:spacing w:line="312" w:lineRule="auto"/>
        <w:ind w:firstLine="470" w:firstLineChars="196"/>
        <w:jc w:val="left"/>
        <w:rPr>
          <w:rFonts w:hint="eastAsia" w:ascii="宋体" w:hAnsi="宋体" w:cs="宋体"/>
          <w:color w:val="auto"/>
          <w:kern w:val="0"/>
          <w:sz w:val="24"/>
          <w:highlight w:val="none"/>
        </w:rPr>
      </w:pPr>
      <w:r>
        <w:rPr>
          <w:rFonts w:hint="eastAsia" w:ascii="宋体" w:hAnsi="宋体" w:cs="宋体"/>
          <w:color w:val="auto"/>
          <w:sz w:val="24"/>
          <w:highlight w:val="none"/>
        </w:rPr>
        <w:t>发包人要求甩项竣工的，合同当事人应签订甩项竣工协议。在甩项竣工协议中应明确，合同当事人按照第14.1款〔竣工结算申请〕及14.2款〔竣工结算审核〕的约定，对已完合格工程进行结算，并支付相应合同价款。</w:t>
      </w:r>
    </w:p>
    <w:p w14:paraId="770F2D5D">
      <w:pPr>
        <w:pStyle w:val="8"/>
        <w:spacing w:before="120" w:after="120" w:line="312" w:lineRule="auto"/>
        <w:ind w:firstLine="480" w:firstLineChars="200"/>
        <w:rPr>
          <w:rFonts w:hint="eastAsia" w:ascii="宋体" w:hAnsi="宋体" w:cs="宋体"/>
          <w:b w:val="0"/>
          <w:color w:val="auto"/>
          <w:sz w:val="24"/>
          <w:szCs w:val="24"/>
          <w:highlight w:val="none"/>
        </w:rPr>
      </w:pPr>
      <w:bookmarkStart w:id="423" w:name="_Toc351203597"/>
      <w:bookmarkStart w:id="424" w:name="_Toc337558814"/>
      <w:r>
        <w:rPr>
          <w:rFonts w:hint="eastAsia" w:ascii="宋体" w:hAnsi="宋体" w:cs="宋体"/>
          <w:b w:val="0"/>
          <w:color w:val="auto"/>
          <w:sz w:val="24"/>
          <w:szCs w:val="24"/>
          <w:highlight w:val="none"/>
        </w:rPr>
        <w:t>14.4 最终结清</w:t>
      </w:r>
      <w:bookmarkEnd w:id="423"/>
    </w:p>
    <w:bookmarkEnd w:id="424"/>
    <w:p w14:paraId="605304A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14.4.1 最终结清申请单</w:t>
      </w:r>
    </w:p>
    <w:p w14:paraId="762385E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（1）除专用合同条款另有约定外，承包人应在缺陷责任期终止证书颁发后7天内，按专用合同条款约定的份数向发包人提交最终结清申请单，并提供相关证明材料。</w:t>
      </w:r>
    </w:p>
    <w:p w14:paraId="5390F440">
      <w:pPr>
        <w:autoSpaceDE w:val="0"/>
        <w:autoSpaceDN w:val="0"/>
        <w:adjustRightInd w:val="0"/>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除专用合同条款另有约定外，</w:t>
      </w:r>
      <w:r>
        <w:rPr>
          <w:rFonts w:hint="eastAsia" w:ascii="宋体" w:hAnsi="宋体" w:cs="宋体"/>
          <w:color w:val="auto"/>
          <w:kern w:val="0"/>
          <w:sz w:val="24"/>
          <w:highlight w:val="none"/>
        </w:rPr>
        <w:t>最终结清申请单</w:t>
      </w:r>
      <w:r>
        <w:rPr>
          <w:rFonts w:hint="eastAsia" w:ascii="宋体" w:hAnsi="宋体" w:cs="宋体"/>
          <w:color w:val="auto"/>
          <w:sz w:val="24"/>
          <w:highlight w:val="none"/>
        </w:rPr>
        <w:t>应列明质量保证金、应扣除的质量保证金、缺陷责任期内发生的增减费用。</w:t>
      </w:r>
    </w:p>
    <w:p w14:paraId="2844625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（2）发包人对最终结清申请单内容有异议的，有权要求承包人进行修正和提供补充资料，承包人应向发包人提交修正后的最终结清申请单。</w:t>
      </w:r>
    </w:p>
    <w:p w14:paraId="4F57E40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14.4.2 最终结清证书和支付</w:t>
      </w:r>
    </w:p>
    <w:p w14:paraId="331901C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5D116B7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55956E6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（3）承包人对发包人颁发的最终结清证书有异议的，按第20条〔争议解决〕的约定办理。</w:t>
      </w:r>
    </w:p>
    <w:p w14:paraId="0A40908A">
      <w:pPr>
        <w:pStyle w:val="7"/>
        <w:spacing w:before="120" w:after="120" w:line="312" w:lineRule="auto"/>
        <w:rPr>
          <w:rFonts w:hint="eastAsia"/>
          <w:b w:val="0"/>
          <w:color w:val="auto"/>
          <w:sz w:val="24"/>
          <w:szCs w:val="24"/>
          <w:highlight w:val="none"/>
        </w:rPr>
      </w:pPr>
      <w:bookmarkStart w:id="425" w:name="_Toc351203598"/>
      <w:bookmarkStart w:id="426" w:name="_Toc337558815"/>
      <w:r>
        <w:rPr>
          <w:rFonts w:hint="eastAsia"/>
          <w:b w:val="0"/>
          <w:color w:val="auto"/>
          <w:sz w:val="24"/>
          <w:szCs w:val="24"/>
          <w:highlight w:val="none"/>
        </w:rPr>
        <w:t>15. 缺陷责任与保修</w:t>
      </w:r>
      <w:bookmarkEnd w:id="425"/>
    </w:p>
    <w:bookmarkEnd w:id="415"/>
    <w:bookmarkEnd w:id="416"/>
    <w:bookmarkEnd w:id="426"/>
    <w:p w14:paraId="61F23941">
      <w:pPr>
        <w:pStyle w:val="8"/>
        <w:spacing w:before="120" w:after="120" w:line="312" w:lineRule="auto"/>
        <w:ind w:firstLine="480" w:firstLineChars="200"/>
        <w:rPr>
          <w:rFonts w:hint="eastAsia" w:ascii="宋体" w:hAnsi="宋体" w:cs="宋体"/>
          <w:b w:val="0"/>
          <w:color w:val="auto"/>
          <w:sz w:val="24"/>
          <w:szCs w:val="24"/>
          <w:highlight w:val="none"/>
        </w:rPr>
      </w:pPr>
      <w:bookmarkStart w:id="427" w:name="_Toc351203599"/>
      <w:bookmarkStart w:id="428" w:name="_Toc337558816"/>
      <w:bookmarkStart w:id="429" w:name="_Toc296503114"/>
      <w:bookmarkStart w:id="430" w:name="_Toc296346615"/>
      <w:r>
        <w:rPr>
          <w:rFonts w:hint="eastAsia" w:ascii="宋体" w:hAnsi="宋体" w:cs="宋体"/>
          <w:b w:val="0"/>
          <w:color w:val="auto"/>
          <w:sz w:val="24"/>
          <w:szCs w:val="24"/>
          <w:highlight w:val="none"/>
        </w:rPr>
        <w:t>15.1 工程保修的原则</w:t>
      </w:r>
      <w:bookmarkEnd w:id="427"/>
    </w:p>
    <w:bookmarkEnd w:id="428"/>
    <w:p w14:paraId="25E0446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在工程移交发包人后，因承包人原因产生的质量缺陷，承包人应承担质量缺陷责任和保修义务。缺陷责任期届满，承包人仍应按合同约定的工程各部位保修年限承担保修义务。</w:t>
      </w:r>
    </w:p>
    <w:p w14:paraId="79D0305B">
      <w:pPr>
        <w:pStyle w:val="8"/>
        <w:spacing w:before="120" w:after="120" w:line="312" w:lineRule="auto"/>
        <w:ind w:firstLine="480" w:firstLineChars="200"/>
        <w:rPr>
          <w:rFonts w:hint="eastAsia" w:ascii="宋体" w:hAnsi="宋体" w:cs="宋体"/>
          <w:b w:val="0"/>
          <w:color w:val="auto"/>
          <w:sz w:val="24"/>
          <w:szCs w:val="24"/>
          <w:highlight w:val="none"/>
        </w:rPr>
      </w:pPr>
      <w:bookmarkStart w:id="431" w:name="_Toc351203600"/>
      <w:bookmarkStart w:id="432" w:name="_Toc337558817"/>
      <w:r>
        <w:rPr>
          <w:rFonts w:hint="eastAsia" w:ascii="宋体" w:hAnsi="宋体" w:cs="宋体"/>
          <w:b w:val="0"/>
          <w:color w:val="auto"/>
          <w:sz w:val="24"/>
          <w:szCs w:val="24"/>
          <w:highlight w:val="none"/>
        </w:rPr>
        <w:t>15.2 缺陷责任期</w:t>
      </w:r>
      <w:bookmarkEnd w:id="429"/>
      <w:bookmarkEnd w:id="430"/>
      <w:bookmarkEnd w:id="431"/>
    </w:p>
    <w:bookmarkEnd w:id="432"/>
    <w:p w14:paraId="6963B91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15.2.1 缺陷责任期自实际竣工日期起计算，合同当事人应在专用合同条款约定缺陷责任期的具体期限，但该期限最长不超过24个月。</w:t>
      </w:r>
    </w:p>
    <w:p w14:paraId="01EE257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单位工程先于全部工程进行验收，经验收合格并交付使用的，该单位工程缺陷责任期自单位工程验收合格之日起算。因发包人原因导致工程无法按合同约定期限进行竣工验收的，缺陷责任期自承包人提交竣工验收申请报告之日起开始计算；发包人未经竣工验收擅自使用工程的，缺陷责任期自工程转移占有之日起开始计算。</w:t>
      </w:r>
    </w:p>
    <w:p w14:paraId="5B17AB7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15.2.2 工程竣工验收合格后，因承包人原因导致的缺陷或损坏致使工程、单位工程或某项主要设备不能按原定目的使用的，则发包人有权要求承</w:t>
      </w:r>
      <w:r>
        <w:rPr>
          <w:rFonts w:hint="eastAsia" w:ascii="宋体" w:hAnsi="宋体" w:cs="宋体"/>
          <w:bCs/>
          <w:color w:val="auto"/>
          <w:sz w:val="24"/>
          <w:highlight w:val="none"/>
        </w:rPr>
        <w:t>包人延长缺陷责任期，</w:t>
      </w:r>
      <w:r>
        <w:rPr>
          <w:rFonts w:hint="eastAsia" w:ascii="宋体" w:hAnsi="宋体" w:cs="宋体"/>
          <w:color w:val="auto"/>
          <w:kern w:val="0"/>
          <w:sz w:val="24"/>
          <w:highlight w:val="none"/>
        </w:rPr>
        <w:t>并应在原缺陷责任期届满前发出延长通知，</w:t>
      </w:r>
      <w:r>
        <w:rPr>
          <w:rFonts w:hint="eastAsia" w:ascii="宋体" w:hAnsi="宋体" w:cs="宋体"/>
          <w:bCs/>
          <w:color w:val="auto"/>
          <w:sz w:val="24"/>
          <w:highlight w:val="none"/>
        </w:rPr>
        <w:t>但缺陷责任期最长</w:t>
      </w:r>
      <w:r>
        <w:rPr>
          <w:rFonts w:hint="eastAsia" w:ascii="宋体" w:hAnsi="宋体" w:cs="宋体"/>
          <w:color w:val="auto"/>
          <w:kern w:val="0"/>
          <w:sz w:val="24"/>
          <w:highlight w:val="none"/>
        </w:rPr>
        <w:t>不能超过24个月。</w:t>
      </w:r>
    </w:p>
    <w:p w14:paraId="098842C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15.2.3 任何一项缺陷或损坏修复后，经检查证明其影响了工程或工程设备的使用性能，承包人应重新进行合同约定的试验和试运行，试验和试运行的全部费用应由责任方承担。</w:t>
      </w:r>
    </w:p>
    <w:p w14:paraId="5ACF7F2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14:paraId="65AE3805">
      <w:pPr>
        <w:pStyle w:val="8"/>
        <w:spacing w:before="120" w:after="120" w:line="312" w:lineRule="auto"/>
        <w:ind w:firstLine="480" w:firstLineChars="200"/>
        <w:rPr>
          <w:rFonts w:hint="eastAsia" w:ascii="宋体" w:hAnsi="宋体" w:cs="宋体"/>
          <w:b w:val="0"/>
          <w:color w:val="auto"/>
          <w:sz w:val="24"/>
          <w:szCs w:val="24"/>
          <w:highlight w:val="none"/>
        </w:rPr>
      </w:pPr>
      <w:bookmarkStart w:id="433" w:name="_Toc351203601"/>
      <w:bookmarkStart w:id="434" w:name="_Toc337558818"/>
      <w:bookmarkStart w:id="435" w:name="_Toc296503115"/>
      <w:bookmarkStart w:id="436" w:name="_Toc296346616"/>
      <w:r>
        <w:rPr>
          <w:rFonts w:hint="eastAsia" w:ascii="宋体" w:hAnsi="宋体" w:cs="宋体"/>
          <w:b w:val="0"/>
          <w:color w:val="auto"/>
          <w:sz w:val="24"/>
          <w:szCs w:val="24"/>
          <w:highlight w:val="none"/>
        </w:rPr>
        <w:t>15.3 质量保证金</w:t>
      </w:r>
      <w:bookmarkEnd w:id="433"/>
    </w:p>
    <w:bookmarkEnd w:id="434"/>
    <w:p w14:paraId="4EE2A8A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经合同当事人协商一致扣留质量保证金的，应在专用合同条款中予以明确。</w:t>
      </w:r>
    </w:p>
    <w:p w14:paraId="5AF5D95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15.3.1 承包人提供质量保证金的方式</w:t>
      </w:r>
    </w:p>
    <w:p w14:paraId="6C859FF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承包人提供质量保证金有以下三种方式：</w:t>
      </w:r>
    </w:p>
    <w:p w14:paraId="3DB4F16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（1）质量保证金保函； </w:t>
      </w:r>
    </w:p>
    <w:p w14:paraId="10051BE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（2）相应比例的工程款；</w:t>
      </w:r>
    </w:p>
    <w:p w14:paraId="41C7AF7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（3）双方约定的其他方式。</w:t>
      </w:r>
    </w:p>
    <w:p w14:paraId="740720D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除专用合同条款另有约定外，质量保证金原则上采用上述第（1）种方式。</w:t>
      </w:r>
    </w:p>
    <w:p w14:paraId="63A1A44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15.3.2 质量保证金的扣留</w:t>
      </w:r>
    </w:p>
    <w:p w14:paraId="5D55C96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质量保证金的扣留有以下三种方式：</w:t>
      </w:r>
    </w:p>
    <w:p w14:paraId="596965B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（1）在支付工程进度款时逐次扣留，在此情形下，质量保证金的计算基数不包括预付款的支付、扣回以及价格调整的金额；</w:t>
      </w:r>
    </w:p>
    <w:p w14:paraId="3FFC5A1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（2）工</w:t>
      </w:r>
      <w:bookmarkStart w:id="437" w:name="#go6"/>
      <w:bookmarkEnd w:id="437"/>
      <w:r>
        <w:rPr>
          <w:rFonts w:hint="eastAsia" w:ascii="宋体" w:hAnsi="宋体" w:cs="宋体"/>
          <w:color w:val="auto"/>
          <w:kern w:val="0"/>
          <w:sz w:val="24"/>
          <w:highlight w:val="none"/>
        </w:rPr>
        <w:t>程竣工结算时一次性扣留质量保证金；</w:t>
      </w:r>
    </w:p>
    <w:p w14:paraId="29DBAF6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（3）双方约定的其他扣留方式。</w:t>
      </w:r>
    </w:p>
    <w:p w14:paraId="79576A8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除专用合同条款另有约定外，质量保证金的扣留原则上采用上述第（1）种方式。</w:t>
      </w:r>
    </w:p>
    <w:p w14:paraId="39676E5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w:t>
      </w:r>
      <w:bookmarkStart w:id="438" w:name="#go4"/>
      <w:bookmarkEnd w:id="438"/>
      <w:r>
        <w:rPr>
          <w:rFonts w:hint="eastAsia" w:ascii="宋体" w:hAnsi="宋体" w:cs="宋体"/>
          <w:color w:val="auto"/>
          <w:kern w:val="0"/>
          <w:sz w:val="24"/>
          <w:highlight w:val="none"/>
        </w:rPr>
        <w:t>包人累计扣留的质量保证金不得超过结算合同价格的5%，如承包人在发包人签发竣工付款证书后28天内提交质量保证金保函，发包人应同时退还扣留的作为质量保证金的工程价款。</w:t>
      </w:r>
    </w:p>
    <w:p w14:paraId="301B161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15.3.3 </w:t>
      </w:r>
      <w:r>
        <w:rPr>
          <w:rFonts w:hint="eastAsia" w:ascii="宋体" w:hAnsi="宋体" w:cs="宋体"/>
          <w:color w:val="auto"/>
          <w:sz w:val="24"/>
          <w:highlight w:val="none"/>
        </w:rPr>
        <w:t>质量保证金</w:t>
      </w:r>
      <w:r>
        <w:rPr>
          <w:rFonts w:hint="eastAsia" w:ascii="宋体" w:hAnsi="宋体" w:cs="宋体"/>
          <w:color w:val="auto"/>
          <w:kern w:val="0"/>
          <w:sz w:val="24"/>
          <w:highlight w:val="none"/>
        </w:rPr>
        <w:t>的退还</w:t>
      </w:r>
    </w:p>
    <w:p w14:paraId="7F2DE11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发包人应按14.4款〔最终结清〕的约定退还质量保证金。</w:t>
      </w:r>
    </w:p>
    <w:p w14:paraId="4832F720">
      <w:pPr>
        <w:pStyle w:val="8"/>
        <w:spacing w:before="120" w:after="120" w:line="312" w:lineRule="auto"/>
        <w:ind w:firstLine="480" w:firstLineChars="200"/>
        <w:rPr>
          <w:rFonts w:hint="eastAsia" w:ascii="宋体" w:hAnsi="宋体" w:cs="宋体"/>
          <w:b w:val="0"/>
          <w:color w:val="auto"/>
          <w:sz w:val="24"/>
          <w:szCs w:val="24"/>
          <w:highlight w:val="none"/>
        </w:rPr>
      </w:pPr>
      <w:bookmarkStart w:id="439" w:name="_Toc351203602"/>
      <w:bookmarkStart w:id="440" w:name="_Toc337558819"/>
      <w:r>
        <w:rPr>
          <w:rFonts w:hint="eastAsia" w:ascii="宋体" w:hAnsi="宋体" w:cs="宋体"/>
          <w:b w:val="0"/>
          <w:color w:val="auto"/>
          <w:sz w:val="24"/>
          <w:szCs w:val="24"/>
          <w:highlight w:val="none"/>
        </w:rPr>
        <w:t>15.4 保修</w:t>
      </w:r>
      <w:bookmarkEnd w:id="439"/>
    </w:p>
    <w:bookmarkEnd w:id="435"/>
    <w:bookmarkEnd w:id="436"/>
    <w:bookmarkEnd w:id="440"/>
    <w:p w14:paraId="67265BB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15.4.1保修责任</w:t>
      </w:r>
    </w:p>
    <w:p w14:paraId="1959C41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219CAA21">
      <w:pPr>
        <w:spacing w:line="312" w:lineRule="auto"/>
        <w:ind w:firstLine="420" w:firstLineChars="200"/>
        <w:jc w:val="left"/>
        <w:rPr>
          <w:rFonts w:hint="eastAsia" w:ascii="宋体" w:hAnsi="宋体" w:cs="宋体"/>
          <w:color w:val="auto"/>
          <w:sz w:val="24"/>
          <w:highlight w:val="none"/>
        </w:rPr>
      </w:pPr>
      <w:r>
        <w:rPr>
          <w:rFonts w:hint="eastAsia" w:hAnsi="宋体" w:cs="宋体"/>
          <w:color w:val="auto"/>
          <w:highlight w:val="none"/>
        </w:rPr>
        <w:t>工程保修期为：</w:t>
      </w:r>
      <w:r>
        <w:rPr>
          <w:color w:val="auto"/>
          <w:kern w:val="0"/>
          <w:highlight w:val="none"/>
          <w:u w:val="single"/>
        </w:rPr>
        <w:t xml:space="preserve"> </w:t>
      </w:r>
      <w:r>
        <w:rPr>
          <w:rFonts w:hint="eastAsia"/>
          <w:color w:val="auto"/>
          <w:kern w:val="0"/>
          <w:highlight w:val="none"/>
          <w:u w:val="single"/>
        </w:rPr>
        <w:t>1年</w:t>
      </w:r>
      <w:r>
        <w:rPr>
          <w:color w:val="auto"/>
          <w:kern w:val="0"/>
          <w:highlight w:val="none"/>
          <w:u w:val="single"/>
        </w:rPr>
        <w:t xml:space="preserve">  </w:t>
      </w:r>
      <w:r>
        <w:rPr>
          <w:rFonts w:hint="eastAsia" w:ascii="宋体" w:hAnsi="宋体" w:cs="宋体"/>
          <w:color w:val="auto"/>
          <w:sz w:val="24"/>
          <w:highlight w:val="none"/>
        </w:rPr>
        <w:t>。</w:t>
      </w:r>
    </w:p>
    <w:p w14:paraId="42355B0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15.4.2 修复费用</w:t>
      </w:r>
    </w:p>
    <w:p w14:paraId="54FA67C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保修期内，修复的费用按照以下约定处理：</w:t>
      </w:r>
    </w:p>
    <w:p w14:paraId="119D2F6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（1）保修期内，因承包人原因造成工程的缺陷、损坏，承包人应负责修复，并承担修复的费用以及因工程的缺陷、损坏造成的人身伤害和财产损失；</w:t>
      </w:r>
    </w:p>
    <w:p w14:paraId="7C930E7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（2）保修期内，因发包人使用不当造成工程的缺陷、损坏，可以委托承包人修复，但发包人应承担修复的费用，并支付承包人合理利润；</w:t>
      </w:r>
    </w:p>
    <w:p w14:paraId="5EBF420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（3）因其他原因造成工程的缺陷、损坏，可以委托承包人修复，发包人应承担修复的费用，并支付承包人合理的利润，因工程的缺陷、损坏造成的人身伤害和财产损失由责任方承担。</w:t>
      </w:r>
    </w:p>
    <w:p w14:paraId="6C6DCDA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15.4.3 修复通知</w:t>
      </w:r>
    </w:p>
    <w:p w14:paraId="728B99C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604815E4">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15.4.4 未能修复</w:t>
      </w:r>
    </w:p>
    <w:p w14:paraId="4DBE630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62EAC7C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15.4.5 承包人出入权</w:t>
      </w:r>
    </w:p>
    <w:p w14:paraId="791B5BA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2A29C862">
      <w:pPr>
        <w:pStyle w:val="7"/>
        <w:spacing w:before="120" w:after="120" w:line="312" w:lineRule="auto"/>
        <w:rPr>
          <w:rFonts w:hint="eastAsia"/>
          <w:b w:val="0"/>
          <w:color w:val="auto"/>
          <w:sz w:val="24"/>
          <w:szCs w:val="24"/>
          <w:highlight w:val="none"/>
        </w:rPr>
      </w:pPr>
      <w:bookmarkStart w:id="441" w:name="_Toc351203603"/>
      <w:bookmarkStart w:id="442" w:name="_Toc337558820"/>
      <w:r>
        <w:rPr>
          <w:rFonts w:hint="eastAsia"/>
          <w:b w:val="0"/>
          <w:color w:val="auto"/>
          <w:sz w:val="24"/>
          <w:szCs w:val="24"/>
          <w:highlight w:val="none"/>
        </w:rPr>
        <w:t>16. 违约</w:t>
      </w:r>
      <w:bookmarkEnd w:id="441"/>
    </w:p>
    <w:bookmarkEnd w:id="442"/>
    <w:p w14:paraId="24A5B59C">
      <w:pPr>
        <w:pStyle w:val="8"/>
        <w:spacing w:before="120" w:after="120" w:line="312" w:lineRule="auto"/>
        <w:ind w:firstLine="480" w:firstLineChars="200"/>
        <w:rPr>
          <w:rFonts w:hint="eastAsia" w:ascii="宋体" w:hAnsi="宋体" w:cs="宋体"/>
          <w:b w:val="0"/>
          <w:color w:val="auto"/>
          <w:sz w:val="24"/>
          <w:szCs w:val="24"/>
          <w:highlight w:val="none"/>
        </w:rPr>
      </w:pPr>
      <w:bookmarkStart w:id="443" w:name="_Toc296346630"/>
      <w:bookmarkStart w:id="444" w:name="_Toc296503129"/>
      <w:bookmarkStart w:id="445" w:name="_Toc351203604"/>
      <w:bookmarkStart w:id="446" w:name="_Toc337558821"/>
      <w:r>
        <w:rPr>
          <w:rFonts w:hint="eastAsia" w:ascii="宋体" w:hAnsi="宋体" w:cs="宋体"/>
          <w:b w:val="0"/>
          <w:color w:val="auto"/>
          <w:sz w:val="24"/>
          <w:szCs w:val="24"/>
          <w:highlight w:val="none"/>
        </w:rPr>
        <w:t>16.1 发</w:t>
      </w:r>
      <w:bookmarkEnd w:id="443"/>
      <w:bookmarkEnd w:id="444"/>
      <w:r>
        <w:rPr>
          <w:rFonts w:hint="eastAsia" w:ascii="宋体" w:hAnsi="宋体" w:cs="宋体"/>
          <w:b w:val="0"/>
          <w:color w:val="auto"/>
          <w:sz w:val="24"/>
          <w:szCs w:val="24"/>
          <w:highlight w:val="none"/>
        </w:rPr>
        <w:t>包人违约</w:t>
      </w:r>
      <w:bookmarkEnd w:id="445"/>
    </w:p>
    <w:bookmarkEnd w:id="446"/>
    <w:p w14:paraId="180E332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16.1.1 发包人违约的情形</w:t>
      </w:r>
    </w:p>
    <w:p w14:paraId="3BA6F6E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在合同履行过程中发生的下列情形，属于发包人违约：</w:t>
      </w:r>
    </w:p>
    <w:p w14:paraId="0EC155D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（1）因发包人原因未能在计划开工日期前7天内下达开工通知的；</w:t>
      </w:r>
    </w:p>
    <w:p w14:paraId="6F19212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（2）因发包人原因未能按合同约定支付合同价款的；</w:t>
      </w:r>
    </w:p>
    <w:p w14:paraId="2885DC7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（3）发包人违反第10.1款〔变更的范围〕第（2）项约定，自行实施被取消的工作或转由他人实施的；</w:t>
      </w:r>
    </w:p>
    <w:p w14:paraId="3AAAAC3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（4）发包人提供的材料、工程设备的规格、数量或质量不符合合同约定，或因发包人原因导致交货日期延误或交货地点变更等情况的；</w:t>
      </w:r>
    </w:p>
    <w:p w14:paraId="2E26205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（5）因发包人违反合同约定造成暂停施工的；</w:t>
      </w:r>
    </w:p>
    <w:p w14:paraId="44551EA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（6）发包人无正当理由没有在约定期限内发出复工指示，导致承包人无法复工的；</w:t>
      </w:r>
    </w:p>
    <w:p w14:paraId="6B57EB4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（7）发包人明确表示或者以其行为表明不履行合同主要义务的；</w:t>
      </w:r>
    </w:p>
    <w:p w14:paraId="3D89332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（8）发包人未能按照合同约定履行其他义务的。</w:t>
      </w:r>
    </w:p>
    <w:p w14:paraId="7CCF9DE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638F625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16.1.2 发包人违约的责任</w:t>
      </w:r>
    </w:p>
    <w:p w14:paraId="7C3072E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发包人应承担因其违约给承包人增加的费用和（或）延误的工期，并支付承包人合理的利润。此外，合同当事人可在专用合同条款中另行约定发包人违约责任的承担方式和计算方法。</w:t>
      </w:r>
    </w:p>
    <w:p w14:paraId="73DAB45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16.1.3 因发包人违约解除合同</w:t>
      </w:r>
    </w:p>
    <w:p w14:paraId="5AD7B03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70AA6826">
      <w:pPr>
        <w:autoSpaceDE w:val="0"/>
        <w:autoSpaceDN w:val="0"/>
        <w:adjustRightInd w:val="0"/>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kern w:val="0"/>
          <w:sz w:val="24"/>
          <w:highlight w:val="none"/>
        </w:rPr>
        <w:t>16.1.4 因发包人违约解除合同后的付款</w:t>
      </w:r>
    </w:p>
    <w:p w14:paraId="110EF76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承包人按照本款约定解除合同的，发包人应在解除合同后28天内支付下列款项，并解除履约担保：</w:t>
      </w:r>
    </w:p>
    <w:p w14:paraId="053ED3F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（1）合同解除前所完成工作的价款；</w:t>
      </w:r>
    </w:p>
    <w:p w14:paraId="1F9DA6D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（2）承包人为工程施工订购并已付款的材料、工程设备和其他物品的价款；</w:t>
      </w:r>
    </w:p>
    <w:p w14:paraId="3BD9B98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（3）承包人撤离施工现场以及遣散承包人人员的款项；</w:t>
      </w:r>
    </w:p>
    <w:p w14:paraId="648AE698">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（4）按照合同约定在合同解除前应支付的违约金；</w:t>
      </w:r>
    </w:p>
    <w:p w14:paraId="33E661C5">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（5）按照合同约定应当支付给承包人的其他款项；</w:t>
      </w:r>
    </w:p>
    <w:p w14:paraId="47D32AA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（6）按照合同约定应退还的质量保证金；</w:t>
      </w:r>
    </w:p>
    <w:p w14:paraId="2780630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（7）因解除合同给承包人造成的损失。</w:t>
      </w:r>
    </w:p>
    <w:p w14:paraId="72D06B9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合同当事人未能就解除合同后的结清达成一致的，按照第20条〔争议解决〕的约定处理。</w:t>
      </w:r>
    </w:p>
    <w:p w14:paraId="4C3E1C9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承包人应妥善做好已完工程和与工程有关的已购材料、工程设备的保护和移交工作，并将施工设备和人员撤出施工现场，发包人应为承包人撤出提供必要条件。</w:t>
      </w:r>
    </w:p>
    <w:p w14:paraId="45F709AD">
      <w:pPr>
        <w:pStyle w:val="8"/>
        <w:spacing w:before="120" w:after="120" w:line="312" w:lineRule="auto"/>
        <w:ind w:firstLine="480" w:firstLineChars="200"/>
        <w:rPr>
          <w:rFonts w:hint="eastAsia" w:ascii="宋体" w:hAnsi="宋体" w:cs="宋体"/>
          <w:b w:val="0"/>
          <w:color w:val="auto"/>
          <w:sz w:val="24"/>
          <w:szCs w:val="24"/>
          <w:highlight w:val="none"/>
        </w:rPr>
      </w:pPr>
      <w:bookmarkStart w:id="447" w:name="_Toc351203605"/>
      <w:bookmarkStart w:id="448" w:name="_Toc337558822"/>
      <w:bookmarkStart w:id="449" w:name="_Toc296346632"/>
      <w:bookmarkStart w:id="450" w:name="_Toc296503131"/>
      <w:r>
        <w:rPr>
          <w:rFonts w:hint="eastAsia" w:ascii="宋体" w:hAnsi="宋体" w:cs="宋体"/>
          <w:b w:val="0"/>
          <w:color w:val="auto"/>
          <w:sz w:val="24"/>
          <w:szCs w:val="24"/>
          <w:highlight w:val="none"/>
        </w:rPr>
        <w:t>16.2 承包人违约</w:t>
      </w:r>
      <w:bookmarkEnd w:id="447"/>
    </w:p>
    <w:bookmarkEnd w:id="448"/>
    <w:bookmarkEnd w:id="449"/>
    <w:bookmarkEnd w:id="450"/>
    <w:p w14:paraId="1431534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16.2.1 承包人违约的情形</w:t>
      </w:r>
    </w:p>
    <w:p w14:paraId="16E10CC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在合同履行过程中发生的下列情形，属于承包人违约：</w:t>
      </w:r>
    </w:p>
    <w:p w14:paraId="7BB441E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（1）承包人违反合同约定进行转包或违法分包的；</w:t>
      </w:r>
    </w:p>
    <w:p w14:paraId="60BA705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（2）承包人违反合同约定采购和使用不合格的材料和工程设备的；</w:t>
      </w:r>
    </w:p>
    <w:p w14:paraId="3FC0768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（3）因承包人原因导致工程质量不符合合同要求的； </w:t>
      </w:r>
    </w:p>
    <w:p w14:paraId="54C450E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（4）承包人违反第8.9款〔材料与设备专用要求〕的约定，未经批准，私自将已按照合同约定进入施工现场的材料或设备撤离施工现场的；</w:t>
      </w:r>
    </w:p>
    <w:p w14:paraId="0C1E6B1F">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（5）承包人未能按施工进度计划及时完成合同约定的工作，造成工期延误的；</w:t>
      </w:r>
    </w:p>
    <w:p w14:paraId="5E88C25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（6）承包人在缺陷责任期及保修期内，未能在合理期限对工程缺陷进行修复，或拒绝按发包人要求进行修复的；</w:t>
      </w:r>
    </w:p>
    <w:p w14:paraId="5762DC0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（7）承包人明确表示或者以其行为表明不履行合同主要义务的；</w:t>
      </w:r>
    </w:p>
    <w:p w14:paraId="5751FC7C">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（8）承包人未能按照合同约定履行其他义务的。</w:t>
      </w:r>
    </w:p>
    <w:p w14:paraId="5217B1D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承包人发生除本项第（7）目约定以外的其他违约情况时，监理人可向承包人发出整改通知，要求其在指定的期限内改正。</w:t>
      </w:r>
    </w:p>
    <w:p w14:paraId="6336F15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16.2.2 承包人违约的责任</w:t>
      </w:r>
    </w:p>
    <w:p w14:paraId="18243BB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承包人应承担因其违约行为而增加的费用和（或）延误的工期。此外，合同当事人可在专用合同条款中另行约定承包人违约责任的承担方式和计算方法。</w:t>
      </w:r>
    </w:p>
    <w:p w14:paraId="4D22BD9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16.2.3 因承包人违约解除合同</w:t>
      </w:r>
    </w:p>
    <w:p w14:paraId="71093BB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20C031C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16.2.4因承包人违约解除合同后的处理</w:t>
      </w:r>
    </w:p>
    <w:p w14:paraId="243E5C2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因承包人原因导致合同解除的，则合同当事人应在合同解除后28天内完成估价、付款和清算，并按以下约定执行：</w:t>
      </w:r>
    </w:p>
    <w:p w14:paraId="70B34B8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（1）合同解除后，按第4.4款〔商定或确定〕商定或确定承包人实际完成工作对应的合同价款，以及承包人已提供的材料、工程设备、施工设备和临时工程等的价值；</w:t>
      </w:r>
    </w:p>
    <w:p w14:paraId="198D96F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（2）合同解除后，承包人应支付的违约金；</w:t>
      </w:r>
    </w:p>
    <w:p w14:paraId="4EAD867E">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（3）合同解除后，因解除合同给发包人造成的损失；</w:t>
      </w:r>
    </w:p>
    <w:p w14:paraId="6D5A22C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（4）合同解除后，承包人应按照发包人要求和监理人的指示完成现场的清理和撤离；</w:t>
      </w:r>
    </w:p>
    <w:p w14:paraId="0110C88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（5）发包人和承包人应在合同解除后进行清算，出具最终结清付款证书，结清全部款项。</w:t>
      </w:r>
    </w:p>
    <w:p w14:paraId="667460B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因承包人违约解除合同的，发包人有权暂停对承包人的付款，查清各项付款和已扣款项。发包人和承包人未能就合同解除后的清算和款项支付达成一致的，按照第20条〔争议解决〕的约定处理。</w:t>
      </w:r>
    </w:p>
    <w:p w14:paraId="6E814BD9">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16.2.5采购合同权益转让</w:t>
      </w:r>
    </w:p>
    <w:p w14:paraId="2367CC93">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42142BB2">
      <w:pPr>
        <w:pStyle w:val="8"/>
        <w:spacing w:before="120" w:after="120" w:line="312" w:lineRule="auto"/>
        <w:ind w:firstLine="480" w:firstLineChars="200"/>
        <w:rPr>
          <w:rFonts w:hint="eastAsia" w:ascii="宋体" w:hAnsi="宋体" w:cs="宋体"/>
          <w:b w:val="0"/>
          <w:color w:val="auto"/>
          <w:sz w:val="24"/>
          <w:szCs w:val="24"/>
          <w:highlight w:val="none"/>
        </w:rPr>
      </w:pPr>
      <w:bookmarkStart w:id="451" w:name="_Toc351203606"/>
      <w:r>
        <w:rPr>
          <w:rFonts w:hint="eastAsia" w:ascii="宋体" w:hAnsi="宋体" w:cs="宋体"/>
          <w:b w:val="0"/>
          <w:color w:val="auto"/>
          <w:sz w:val="24"/>
          <w:szCs w:val="24"/>
          <w:highlight w:val="none"/>
        </w:rPr>
        <w:t>16.3 第三人造成的违约</w:t>
      </w:r>
      <w:bookmarkEnd w:id="451"/>
    </w:p>
    <w:p w14:paraId="61A8B7BF">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在履行合同过程中，一方当事人因第三人的原因造成违约的，应当向对方当事人承担违约责任。一方当事人和第三人之间的纠纷，依照法律规定或者按照约定解决。</w:t>
      </w:r>
    </w:p>
    <w:p w14:paraId="18ABDDCE">
      <w:pPr>
        <w:pStyle w:val="7"/>
        <w:spacing w:before="120" w:after="120" w:line="312" w:lineRule="auto"/>
        <w:rPr>
          <w:rFonts w:hint="eastAsia"/>
          <w:b w:val="0"/>
          <w:color w:val="auto"/>
          <w:sz w:val="24"/>
          <w:szCs w:val="24"/>
          <w:highlight w:val="none"/>
        </w:rPr>
      </w:pPr>
      <w:bookmarkStart w:id="452" w:name="_Toc351203607"/>
      <w:bookmarkStart w:id="453" w:name="_Toc296503116"/>
      <w:bookmarkStart w:id="454" w:name="_Toc337558823"/>
      <w:bookmarkStart w:id="455" w:name="_Toc296346617"/>
      <w:r>
        <w:rPr>
          <w:rFonts w:hint="eastAsia"/>
          <w:b w:val="0"/>
          <w:color w:val="auto"/>
          <w:sz w:val="24"/>
          <w:szCs w:val="24"/>
          <w:highlight w:val="none"/>
        </w:rPr>
        <w:t>17. 不可抗力</w:t>
      </w:r>
      <w:bookmarkEnd w:id="452"/>
      <w:r>
        <w:rPr>
          <w:rFonts w:hint="eastAsia"/>
          <w:b w:val="0"/>
          <w:color w:val="auto"/>
          <w:sz w:val="24"/>
          <w:szCs w:val="24"/>
          <w:highlight w:val="none"/>
        </w:rPr>
        <w:t xml:space="preserve"> </w:t>
      </w:r>
      <w:bookmarkEnd w:id="453"/>
      <w:bookmarkEnd w:id="454"/>
      <w:bookmarkEnd w:id="455"/>
    </w:p>
    <w:p w14:paraId="77ECE097">
      <w:pPr>
        <w:pStyle w:val="8"/>
        <w:spacing w:before="120" w:after="120" w:line="312" w:lineRule="auto"/>
        <w:ind w:firstLine="480" w:firstLineChars="200"/>
        <w:rPr>
          <w:rFonts w:hint="eastAsia" w:ascii="宋体" w:hAnsi="宋体" w:cs="宋体"/>
          <w:b w:val="0"/>
          <w:color w:val="auto"/>
          <w:sz w:val="24"/>
          <w:szCs w:val="24"/>
          <w:highlight w:val="none"/>
        </w:rPr>
      </w:pPr>
      <w:bookmarkStart w:id="456" w:name="_Toc351203608"/>
      <w:bookmarkStart w:id="457" w:name="_Toc296346618"/>
      <w:bookmarkStart w:id="458" w:name="_Toc337558824"/>
      <w:bookmarkStart w:id="459" w:name="_Toc296503117"/>
      <w:r>
        <w:rPr>
          <w:rFonts w:hint="eastAsia" w:ascii="宋体" w:hAnsi="宋体" w:cs="宋体"/>
          <w:b w:val="0"/>
          <w:color w:val="auto"/>
          <w:sz w:val="24"/>
          <w:szCs w:val="24"/>
          <w:highlight w:val="none"/>
        </w:rPr>
        <w:t>17.1 不可抗力的确认</w:t>
      </w:r>
      <w:bookmarkEnd w:id="456"/>
    </w:p>
    <w:bookmarkEnd w:id="457"/>
    <w:bookmarkEnd w:id="458"/>
    <w:bookmarkEnd w:id="459"/>
    <w:p w14:paraId="5EE98E6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不可抗力是指合同当事人在签订合同时不可预见，在合同履行过程中不可避免且不能克服的自然灾害和社会性突发事件，如地震、海啸、瘟疫、骚乱、戒严、暴动、战争和专用合同条款中约定的其他情形。</w:t>
      </w:r>
    </w:p>
    <w:p w14:paraId="7DC9D22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14:paraId="6ED85E0E">
      <w:pPr>
        <w:pStyle w:val="8"/>
        <w:spacing w:before="120" w:after="120" w:line="312" w:lineRule="auto"/>
        <w:ind w:firstLine="480" w:firstLineChars="200"/>
        <w:rPr>
          <w:rFonts w:hint="eastAsia" w:ascii="宋体" w:hAnsi="宋体" w:cs="宋体"/>
          <w:b w:val="0"/>
          <w:color w:val="auto"/>
          <w:sz w:val="24"/>
          <w:szCs w:val="24"/>
          <w:highlight w:val="none"/>
        </w:rPr>
      </w:pPr>
      <w:bookmarkStart w:id="460" w:name="_Toc351203609"/>
      <w:bookmarkStart w:id="461" w:name="_Toc296346619"/>
      <w:bookmarkStart w:id="462" w:name="_Toc337558825"/>
      <w:bookmarkStart w:id="463" w:name="_Toc296503118"/>
      <w:r>
        <w:rPr>
          <w:rFonts w:hint="eastAsia" w:ascii="宋体" w:hAnsi="宋体" w:cs="宋体"/>
          <w:b w:val="0"/>
          <w:color w:val="auto"/>
          <w:sz w:val="24"/>
          <w:szCs w:val="24"/>
          <w:highlight w:val="none"/>
        </w:rPr>
        <w:t>17.2 不可抗力的通知</w:t>
      </w:r>
      <w:bookmarkEnd w:id="460"/>
    </w:p>
    <w:bookmarkEnd w:id="461"/>
    <w:bookmarkEnd w:id="462"/>
    <w:bookmarkEnd w:id="463"/>
    <w:p w14:paraId="51A1A2A8">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合同一方当事人遇到不可抗力事件，使其履行合同义务受到阻碍时，应立即通知合同另一方当事人和监理人，书面说明不可抗力和受阻碍的详细情况，并提供必要的证明。</w:t>
      </w:r>
    </w:p>
    <w:p w14:paraId="24AA15B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不可抗力持续发生的，合同一方当事人应及时向合同另一方当事人和监理人提交中间报告，说明不可抗力和履行合同受阻的情况，并于不可抗力事件结束后28天内提交最终报告及有关资料。</w:t>
      </w:r>
    </w:p>
    <w:p w14:paraId="7B2CA42C">
      <w:pPr>
        <w:pStyle w:val="8"/>
        <w:spacing w:before="120" w:after="120" w:line="312" w:lineRule="auto"/>
        <w:ind w:firstLine="480" w:firstLineChars="200"/>
        <w:rPr>
          <w:rFonts w:hint="eastAsia" w:ascii="宋体" w:hAnsi="宋体" w:cs="宋体"/>
          <w:b w:val="0"/>
          <w:color w:val="auto"/>
          <w:sz w:val="24"/>
          <w:szCs w:val="24"/>
          <w:highlight w:val="none"/>
        </w:rPr>
      </w:pPr>
      <w:bookmarkStart w:id="464" w:name="_Toc351203610"/>
      <w:bookmarkStart w:id="465" w:name="_Toc296346620"/>
      <w:bookmarkStart w:id="466" w:name="_Toc296503119"/>
      <w:bookmarkStart w:id="467" w:name="_Toc337558826"/>
      <w:r>
        <w:rPr>
          <w:rFonts w:hint="eastAsia" w:ascii="宋体" w:hAnsi="宋体" w:cs="宋体"/>
          <w:b w:val="0"/>
          <w:color w:val="auto"/>
          <w:sz w:val="24"/>
          <w:szCs w:val="24"/>
          <w:highlight w:val="none"/>
        </w:rPr>
        <w:t>17.3 不可抗力后果的承担</w:t>
      </w:r>
      <w:bookmarkEnd w:id="464"/>
    </w:p>
    <w:bookmarkEnd w:id="465"/>
    <w:bookmarkEnd w:id="466"/>
    <w:bookmarkEnd w:id="467"/>
    <w:p w14:paraId="5638B09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17.3.1 不可抗力引起的后果及造成的损失由合同当事人按照法律规定及合同约定各自承担。不可抗力发生前已完成的工程应当按照合同约定进行计量支付。</w:t>
      </w:r>
    </w:p>
    <w:p w14:paraId="2422CE5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17.3.2 不可抗力导致的人员伤亡、财产损失、费用增加和（或）工期延误等后果，由合同当事人按以下原则承担：</w:t>
      </w:r>
    </w:p>
    <w:p w14:paraId="459F0E9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（1）永久工程、已运至施工现场的材料和工程设备的损坏，以及因工程损坏造成的第三人人员伤亡和财产损失由发包人承担；</w:t>
      </w:r>
    </w:p>
    <w:p w14:paraId="267DB7D9">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（2）承包人施工设备的损坏由承包人承担；</w:t>
      </w:r>
    </w:p>
    <w:p w14:paraId="67F4C89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（3）发包人和承包人承担各自人员伤亡和财产的损失；</w:t>
      </w:r>
    </w:p>
    <w:p w14:paraId="435358F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（4）因不可抗力影响承包人履行合同约定的义务，已经引起或将引起工期延误的，应当顺延工期，由此导致承包人停工的费用损失由发包人和承包人合理分担，停工期间必须支付的工人工资由发包人承担；</w:t>
      </w:r>
    </w:p>
    <w:p w14:paraId="0C34EF4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（5）因不可抗力引起或将引起工期延误，发包人要求赶工的，由此增加的赶工费用由发包人承担；</w:t>
      </w:r>
    </w:p>
    <w:p w14:paraId="12F31AE1">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（6）承包人在停工期间按照发包人要求照管、清理和修复工程的费用由发包人承担。</w:t>
      </w:r>
    </w:p>
    <w:p w14:paraId="54211FA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不可抗力发生后，合同当事人均应采取措施尽量避免和减少损失的扩大，任何一方当事人没有采取有效措施导致损失扩大的，应对扩大的损失承担责任。</w:t>
      </w:r>
    </w:p>
    <w:p w14:paraId="7E35405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因合同一方迟延履行合同义务，在迟延履行期间遭遇不可抗力的，不免除其违约责任。</w:t>
      </w:r>
    </w:p>
    <w:p w14:paraId="243CF5C8">
      <w:pPr>
        <w:pStyle w:val="8"/>
        <w:spacing w:before="120" w:after="120" w:line="312" w:lineRule="auto"/>
        <w:ind w:firstLine="480" w:firstLineChars="200"/>
        <w:rPr>
          <w:rFonts w:hint="eastAsia" w:ascii="宋体" w:hAnsi="宋体" w:cs="宋体"/>
          <w:b w:val="0"/>
          <w:color w:val="auto"/>
          <w:sz w:val="24"/>
          <w:szCs w:val="24"/>
          <w:highlight w:val="none"/>
        </w:rPr>
      </w:pPr>
      <w:bookmarkStart w:id="468" w:name="_Toc351203611"/>
      <w:bookmarkStart w:id="469" w:name="_Toc337558827"/>
      <w:r>
        <w:rPr>
          <w:rFonts w:hint="eastAsia" w:ascii="宋体" w:hAnsi="宋体" w:cs="宋体"/>
          <w:b w:val="0"/>
          <w:color w:val="auto"/>
          <w:sz w:val="24"/>
          <w:szCs w:val="24"/>
          <w:highlight w:val="none"/>
        </w:rPr>
        <w:t>17.4 因不可抗力解除合同</w:t>
      </w:r>
      <w:bookmarkEnd w:id="468"/>
    </w:p>
    <w:bookmarkEnd w:id="469"/>
    <w:p w14:paraId="4A636FA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因不可抗力导致合同无法履行连续超过84天或累计超过140天的，发包人和承包人均有权解除合同。合同解除后，由双方当事人按照第4.4款〔商定或确定〕商定或确定发包人应支付的款项，该款项包括：</w:t>
      </w:r>
    </w:p>
    <w:p w14:paraId="2C6DAC72">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（1）合同解除前承包人已完成工作的价款；</w:t>
      </w:r>
    </w:p>
    <w:p w14:paraId="40A23DC6">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（2）承包人为工程订购的并已交付给承包人，或承包人有责任接受交付的材料、工程设备和其他物品的价款；</w:t>
      </w:r>
    </w:p>
    <w:p w14:paraId="58C97E9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（3）发包人要求承包人退货或解除订货合同而产生的费用，或因不能退货或解除合同而产生的损失；</w:t>
      </w:r>
    </w:p>
    <w:p w14:paraId="76AD86AD">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（4）承包人撤离施工现场以及遣散承包人人员的费用；</w:t>
      </w:r>
    </w:p>
    <w:p w14:paraId="55645D1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（5）按照合同约定在合同解除前应支付给承包人的其他款项；</w:t>
      </w:r>
    </w:p>
    <w:p w14:paraId="1DEDFE41">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（6）扣减承包人按照合同约定应向发包人支付的款项；</w:t>
      </w:r>
    </w:p>
    <w:p w14:paraId="65ED2ABB">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（7）双方商定或确定的其他款项。</w:t>
      </w:r>
    </w:p>
    <w:p w14:paraId="72F583B7">
      <w:pPr>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除专用合同条款另有约定外，合同解除后，发包人应在商定或确定上述款项后28天内完成上述款项的支付。</w:t>
      </w:r>
    </w:p>
    <w:p w14:paraId="3BCA02A9">
      <w:pPr>
        <w:pStyle w:val="7"/>
        <w:spacing w:before="120" w:after="120" w:line="312" w:lineRule="auto"/>
        <w:rPr>
          <w:rFonts w:hint="eastAsia"/>
          <w:b w:val="0"/>
          <w:color w:val="auto"/>
          <w:sz w:val="24"/>
          <w:szCs w:val="24"/>
          <w:highlight w:val="none"/>
        </w:rPr>
      </w:pPr>
      <w:bookmarkStart w:id="470" w:name="_Toc351203612"/>
      <w:bookmarkStart w:id="471" w:name="_Toc296503120"/>
      <w:bookmarkStart w:id="472" w:name="_Toc296346621"/>
      <w:bookmarkStart w:id="473" w:name="_Toc337558828"/>
      <w:r>
        <w:rPr>
          <w:rFonts w:hint="eastAsia"/>
          <w:b w:val="0"/>
          <w:color w:val="auto"/>
          <w:sz w:val="24"/>
          <w:szCs w:val="24"/>
          <w:highlight w:val="none"/>
        </w:rPr>
        <w:t>18. 保险</w:t>
      </w:r>
      <w:bookmarkEnd w:id="470"/>
    </w:p>
    <w:bookmarkEnd w:id="471"/>
    <w:bookmarkEnd w:id="472"/>
    <w:bookmarkEnd w:id="473"/>
    <w:p w14:paraId="0DF0515D">
      <w:pPr>
        <w:pStyle w:val="8"/>
        <w:spacing w:before="120" w:after="120" w:line="312" w:lineRule="auto"/>
        <w:ind w:firstLine="480" w:firstLineChars="200"/>
        <w:rPr>
          <w:rFonts w:hint="eastAsia" w:ascii="宋体" w:hAnsi="宋体" w:cs="宋体"/>
          <w:b w:val="0"/>
          <w:color w:val="auto"/>
          <w:sz w:val="24"/>
          <w:szCs w:val="24"/>
          <w:highlight w:val="none"/>
        </w:rPr>
      </w:pPr>
      <w:bookmarkStart w:id="474" w:name="_Toc351203613"/>
      <w:bookmarkStart w:id="475" w:name="_Toc337558829"/>
      <w:bookmarkStart w:id="476" w:name="_Toc296503121"/>
      <w:bookmarkStart w:id="477" w:name="_Toc296346622"/>
      <w:r>
        <w:rPr>
          <w:rFonts w:hint="eastAsia" w:ascii="宋体" w:hAnsi="宋体" w:cs="宋体"/>
          <w:b w:val="0"/>
          <w:color w:val="auto"/>
          <w:sz w:val="24"/>
          <w:szCs w:val="24"/>
          <w:highlight w:val="none"/>
        </w:rPr>
        <w:t>18.1 工程保险</w:t>
      </w:r>
      <w:bookmarkEnd w:id="474"/>
    </w:p>
    <w:bookmarkEnd w:id="475"/>
    <w:bookmarkEnd w:id="476"/>
    <w:bookmarkEnd w:id="477"/>
    <w:p w14:paraId="65FB5484">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除专用合同条款另有约定外，发包人应投保建筑工程一切险或安装工程一切险；发包人委托承包人投保的，因投保产生的保险费和其他相关费用由发包人承担。</w:t>
      </w:r>
    </w:p>
    <w:p w14:paraId="363A331E">
      <w:pPr>
        <w:pStyle w:val="8"/>
        <w:spacing w:before="120" w:after="120" w:line="312" w:lineRule="auto"/>
        <w:ind w:firstLine="480" w:firstLineChars="200"/>
        <w:rPr>
          <w:rFonts w:hint="eastAsia" w:ascii="宋体" w:hAnsi="宋体" w:cs="宋体"/>
          <w:b w:val="0"/>
          <w:color w:val="auto"/>
          <w:sz w:val="24"/>
          <w:szCs w:val="24"/>
          <w:highlight w:val="none"/>
        </w:rPr>
      </w:pPr>
      <w:bookmarkStart w:id="478" w:name="_Toc351203614"/>
      <w:bookmarkStart w:id="479" w:name="_Toc296503122"/>
      <w:bookmarkStart w:id="480" w:name="_Toc337558830"/>
      <w:bookmarkStart w:id="481" w:name="_Toc296346623"/>
      <w:r>
        <w:rPr>
          <w:rFonts w:hint="eastAsia" w:ascii="宋体" w:hAnsi="宋体" w:cs="宋体"/>
          <w:b w:val="0"/>
          <w:color w:val="auto"/>
          <w:sz w:val="24"/>
          <w:szCs w:val="24"/>
          <w:highlight w:val="none"/>
        </w:rPr>
        <w:t>18.2 工伤保险</w:t>
      </w:r>
      <w:bookmarkEnd w:id="478"/>
    </w:p>
    <w:bookmarkEnd w:id="479"/>
    <w:bookmarkEnd w:id="480"/>
    <w:bookmarkEnd w:id="481"/>
    <w:p w14:paraId="4139F3F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18.2.1 发包人应依照法律规定参加工伤保险。</w:t>
      </w:r>
    </w:p>
    <w:p w14:paraId="4C576D9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18.2.2 承包人应依照法律规定参加工伤保险，并为其履行合同的全部员工办理工伤保险，缴纳工伤保险费，并要求分包人及由承包人为履行合同聘请的第三方依法参加工伤保险。</w:t>
      </w:r>
    </w:p>
    <w:p w14:paraId="4BA0CBE3">
      <w:pPr>
        <w:pStyle w:val="8"/>
        <w:spacing w:before="120" w:after="120" w:line="312" w:lineRule="auto"/>
        <w:ind w:firstLine="480" w:firstLineChars="200"/>
        <w:rPr>
          <w:rFonts w:hint="eastAsia" w:ascii="宋体" w:hAnsi="宋体" w:cs="宋体"/>
          <w:b w:val="0"/>
          <w:color w:val="auto"/>
          <w:sz w:val="24"/>
          <w:szCs w:val="24"/>
          <w:highlight w:val="none"/>
        </w:rPr>
      </w:pPr>
      <w:bookmarkStart w:id="482" w:name="_Toc351203615"/>
      <w:bookmarkStart w:id="483" w:name="_Toc296503125"/>
      <w:bookmarkStart w:id="484" w:name="_Toc296346626"/>
      <w:bookmarkStart w:id="485" w:name="_Toc337558831"/>
      <w:r>
        <w:rPr>
          <w:rFonts w:hint="eastAsia" w:ascii="宋体" w:hAnsi="宋体" w:cs="宋体"/>
          <w:b w:val="0"/>
          <w:color w:val="auto"/>
          <w:sz w:val="24"/>
          <w:szCs w:val="24"/>
          <w:highlight w:val="none"/>
        </w:rPr>
        <w:t>18.3其他保险</w:t>
      </w:r>
      <w:bookmarkEnd w:id="482"/>
    </w:p>
    <w:bookmarkEnd w:id="483"/>
    <w:bookmarkEnd w:id="484"/>
    <w:bookmarkEnd w:id="485"/>
    <w:p w14:paraId="78A43489">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发包人和承包人可以为其施工现场的全部人员办理意外伤害保险并支付保险费，包括其员工及为履行合同聘请的第三方的人员，具体事项由合同当事人在专用合同条款约定。</w:t>
      </w:r>
    </w:p>
    <w:p w14:paraId="3D6A5DDA">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除专用合同条款另有约定外，承包人应为其施工设备等办理财产保险。</w:t>
      </w:r>
    </w:p>
    <w:p w14:paraId="72948EE0">
      <w:pPr>
        <w:pStyle w:val="8"/>
        <w:spacing w:before="120" w:after="120" w:line="312" w:lineRule="auto"/>
        <w:ind w:firstLine="480" w:firstLineChars="200"/>
        <w:rPr>
          <w:rFonts w:hint="eastAsia" w:ascii="宋体" w:hAnsi="宋体" w:cs="宋体"/>
          <w:b w:val="0"/>
          <w:color w:val="auto"/>
          <w:sz w:val="24"/>
          <w:szCs w:val="24"/>
          <w:highlight w:val="none"/>
        </w:rPr>
      </w:pPr>
      <w:bookmarkStart w:id="486" w:name="_Toc351203616"/>
      <w:r>
        <w:rPr>
          <w:rFonts w:hint="eastAsia" w:ascii="宋体" w:hAnsi="宋体" w:cs="宋体"/>
          <w:b w:val="0"/>
          <w:color w:val="auto"/>
          <w:sz w:val="24"/>
          <w:szCs w:val="24"/>
          <w:highlight w:val="none"/>
        </w:rPr>
        <w:t>18.4持续保险</w:t>
      </w:r>
      <w:bookmarkEnd w:id="486"/>
    </w:p>
    <w:p w14:paraId="039C26A4">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合同当事人应与保险人保持联系，使保险人能够随时了解工程实施中的变动，并确保按保险合同条款要求持续保险。</w:t>
      </w:r>
    </w:p>
    <w:p w14:paraId="4FBBD0F6">
      <w:pPr>
        <w:pStyle w:val="8"/>
        <w:spacing w:before="120" w:after="120" w:line="312" w:lineRule="auto"/>
        <w:ind w:firstLine="480" w:firstLineChars="200"/>
        <w:rPr>
          <w:rFonts w:hint="eastAsia" w:ascii="宋体" w:hAnsi="宋体" w:cs="宋体"/>
          <w:b w:val="0"/>
          <w:color w:val="auto"/>
          <w:sz w:val="24"/>
          <w:szCs w:val="24"/>
          <w:highlight w:val="none"/>
        </w:rPr>
      </w:pPr>
      <w:bookmarkStart w:id="487" w:name="_Toc351203617"/>
      <w:bookmarkStart w:id="488" w:name="_Toc296346627"/>
      <w:bookmarkStart w:id="489" w:name="_Toc296503126"/>
      <w:bookmarkStart w:id="490" w:name="_Toc337558832"/>
      <w:r>
        <w:rPr>
          <w:rFonts w:hint="eastAsia" w:ascii="宋体" w:hAnsi="宋体" w:cs="宋体"/>
          <w:b w:val="0"/>
          <w:color w:val="auto"/>
          <w:sz w:val="24"/>
          <w:szCs w:val="24"/>
          <w:highlight w:val="none"/>
        </w:rPr>
        <w:t>18.5 保险凭证</w:t>
      </w:r>
      <w:bookmarkEnd w:id="487"/>
    </w:p>
    <w:bookmarkEnd w:id="488"/>
    <w:bookmarkEnd w:id="489"/>
    <w:bookmarkEnd w:id="490"/>
    <w:p w14:paraId="13BF3278">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合同当事人应及时向另一方当事人提交其已投保的各项保险的凭证和保险单复印件。</w:t>
      </w:r>
    </w:p>
    <w:p w14:paraId="7471FEFE">
      <w:pPr>
        <w:pStyle w:val="8"/>
        <w:spacing w:before="120" w:after="120" w:line="312" w:lineRule="auto"/>
        <w:ind w:firstLine="480" w:firstLineChars="200"/>
        <w:rPr>
          <w:rFonts w:hint="eastAsia" w:ascii="宋体" w:hAnsi="宋体" w:cs="宋体"/>
          <w:b w:val="0"/>
          <w:color w:val="auto"/>
          <w:sz w:val="24"/>
          <w:szCs w:val="24"/>
          <w:highlight w:val="none"/>
        </w:rPr>
      </w:pPr>
      <w:bookmarkStart w:id="491" w:name="_Toc351203618"/>
      <w:bookmarkStart w:id="492" w:name="_Toc337558833"/>
      <w:bookmarkStart w:id="493" w:name="_Toc296346628"/>
      <w:bookmarkStart w:id="494" w:name="_Toc296503127"/>
      <w:r>
        <w:rPr>
          <w:rFonts w:hint="eastAsia" w:ascii="宋体" w:hAnsi="宋体" w:cs="宋体"/>
          <w:b w:val="0"/>
          <w:color w:val="auto"/>
          <w:sz w:val="24"/>
          <w:szCs w:val="24"/>
          <w:highlight w:val="none"/>
        </w:rPr>
        <w:t>18.6 未按约定投保的补救</w:t>
      </w:r>
      <w:bookmarkEnd w:id="491"/>
    </w:p>
    <w:bookmarkEnd w:id="492"/>
    <w:bookmarkEnd w:id="493"/>
    <w:bookmarkEnd w:id="494"/>
    <w:p w14:paraId="56F05FC4">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18.6.1发包人未按合同约定办理保险，或未能使保险持续有效的，则承包人可代为办理，所需费用由发包人承担。发包人未按合同约定办理保险，导致未能得到足额赔偿的，由发包人负责补足。</w:t>
      </w:r>
    </w:p>
    <w:p w14:paraId="0210E773">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18.6.2承包人未按合同约定办理保险，或未能使保险持续有效的，则发包人可代为办理，所需费用由承包人承担。承包人未按合同约定办理保险，导致未能得到足额赔偿的，由承包人负责补足。</w:t>
      </w:r>
    </w:p>
    <w:p w14:paraId="631A46FC">
      <w:pPr>
        <w:pStyle w:val="8"/>
        <w:spacing w:before="120" w:after="120" w:line="312" w:lineRule="auto"/>
        <w:ind w:firstLine="480" w:firstLineChars="200"/>
        <w:rPr>
          <w:rFonts w:hint="eastAsia" w:ascii="宋体" w:hAnsi="宋体" w:cs="宋体"/>
          <w:b w:val="0"/>
          <w:color w:val="auto"/>
          <w:sz w:val="24"/>
          <w:szCs w:val="24"/>
          <w:highlight w:val="none"/>
        </w:rPr>
      </w:pPr>
      <w:bookmarkStart w:id="495" w:name="_Toc351203619"/>
      <w:bookmarkStart w:id="496" w:name="_Toc337558834"/>
      <w:r>
        <w:rPr>
          <w:rFonts w:hint="eastAsia" w:ascii="宋体" w:hAnsi="宋体" w:cs="宋体"/>
          <w:b w:val="0"/>
          <w:color w:val="auto"/>
          <w:sz w:val="24"/>
          <w:szCs w:val="24"/>
          <w:highlight w:val="none"/>
        </w:rPr>
        <w:t>18.7 通知义务</w:t>
      </w:r>
      <w:bookmarkEnd w:id="495"/>
    </w:p>
    <w:bookmarkEnd w:id="496"/>
    <w:p w14:paraId="634F44EA">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除专用合同条款另有约定外，发包人变更除工伤保险之外的保险合同时，应事先征得承包人同意，并通知监理人；承包人变更除工伤保险之外的保险合同时，应事先征得发包人同意，并通知监理人。</w:t>
      </w:r>
    </w:p>
    <w:p w14:paraId="3E39D358">
      <w:pPr>
        <w:spacing w:line="312"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保险事故发生时，投保人应按照保险合同规定的条件和期限及时向保险人报告。发包人和承包人应当在知道保险事故发生后及时通知对方。</w:t>
      </w:r>
    </w:p>
    <w:p w14:paraId="2B209368">
      <w:pPr>
        <w:pStyle w:val="7"/>
        <w:spacing w:before="120" w:after="120" w:line="312" w:lineRule="auto"/>
        <w:rPr>
          <w:rFonts w:hint="eastAsia"/>
          <w:b w:val="0"/>
          <w:color w:val="auto"/>
          <w:sz w:val="24"/>
          <w:szCs w:val="24"/>
          <w:highlight w:val="none"/>
        </w:rPr>
      </w:pPr>
      <w:bookmarkStart w:id="497" w:name="_Toc351203620"/>
      <w:bookmarkStart w:id="498" w:name="_Toc337558835"/>
      <w:bookmarkStart w:id="499" w:name="_Toc296503140"/>
      <w:bookmarkStart w:id="500" w:name="_Toc296346641"/>
      <w:r>
        <w:rPr>
          <w:rFonts w:hint="eastAsia"/>
          <w:b w:val="0"/>
          <w:color w:val="auto"/>
          <w:sz w:val="24"/>
          <w:szCs w:val="24"/>
          <w:highlight w:val="none"/>
        </w:rPr>
        <w:t>19. 索赔</w:t>
      </w:r>
      <w:bookmarkEnd w:id="497"/>
    </w:p>
    <w:bookmarkEnd w:id="498"/>
    <w:bookmarkEnd w:id="499"/>
    <w:bookmarkEnd w:id="500"/>
    <w:p w14:paraId="5E9BD800">
      <w:pPr>
        <w:pStyle w:val="8"/>
        <w:spacing w:before="120" w:after="120" w:line="312" w:lineRule="auto"/>
        <w:ind w:firstLine="480" w:firstLineChars="200"/>
        <w:rPr>
          <w:rFonts w:hint="eastAsia" w:ascii="宋体" w:hAnsi="宋体" w:cs="宋体"/>
          <w:b w:val="0"/>
          <w:color w:val="auto"/>
          <w:sz w:val="24"/>
          <w:szCs w:val="24"/>
          <w:highlight w:val="none"/>
        </w:rPr>
      </w:pPr>
      <w:bookmarkStart w:id="501" w:name="_Toc351203621"/>
      <w:bookmarkStart w:id="502" w:name="_Toc337558836"/>
      <w:bookmarkStart w:id="503" w:name="_Toc296503141"/>
      <w:bookmarkStart w:id="504" w:name="_Toc296346642"/>
      <w:r>
        <w:rPr>
          <w:rFonts w:hint="eastAsia" w:ascii="宋体" w:hAnsi="宋体" w:cs="宋体"/>
          <w:b w:val="0"/>
          <w:color w:val="auto"/>
          <w:sz w:val="24"/>
          <w:szCs w:val="24"/>
          <w:highlight w:val="none"/>
        </w:rPr>
        <w:t>19.1承包人的索赔</w:t>
      </w:r>
      <w:bookmarkEnd w:id="501"/>
    </w:p>
    <w:bookmarkEnd w:id="502"/>
    <w:bookmarkEnd w:id="503"/>
    <w:bookmarkEnd w:id="504"/>
    <w:p w14:paraId="5AF4E92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根据合同约定，承包人认为有权得到追加付款和（或）延长工期的，应按以下程序向发包人提出索赔：</w:t>
      </w:r>
    </w:p>
    <w:p w14:paraId="620436AD">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04E1DF3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（2）承包人应在发出索赔意向通知书后28天内，向监理人正式递交索赔报告；索赔报告应详细说明索赔理由以及要求追加的付款金额和（或）延长的工期，并附必要的记录和证明材料；</w:t>
      </w:r>
    </w:p>
    <w:p w14:paraId="088333C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（3）索赔事件具有持续影响的，承包人应按合理时间间隔继续递交延续索赔通知，说明持续影响的实际情况和记录，列出累计的追加付款金额和（或）工期延长天数；</w:t>
      </w:r>
    </w:p>
    <w:p w14:paraId="017FB967">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（4）在索赔事件影响结束后28天内，承包人应向监理人递交最终索赔报告，说明最终要求索赔的追加付款金额和（或）延长的工期，并附必要的记录和证明材料。</w:t>
      </w:r>
    </w:p>
    <w:p w14:paraId="641F6119">
      <w:pPr>
        <w:pStyle w:val="8"/>
        <w:spacing w:before="120" w:after="120" w:line="312" w:lineRule="auto"/>
        <w:ind w:firstLine="480" w:firstLineChars="200"/>
        <w:rPr>
          <w:rFonts w:hint="eastAsia" w:ascii="宋体" w:hAnsi="宋体" w:cs="宋体"/>
          <w:b w:val="0"/>
          <w:color w:val="auto"/>
          <w:sz w:val="24"/>
          <w:szCs w:val="24"/>
          <w:highlight w:val="none"/>
        </w:rPr>
      </w:pPr>
      <w:bookmarkStart w:id="505" w:name="_Toc351203622"/>
      <w:bookmarkStart w:id="506" w:name="_Toc337558837"/>
      <w:bookmarkStart w:id="507" w:name="_Toc296503142"/>
      <w:bookmarkStart w:id="508" w:name="_Toc296346643"/>
      <w:r>
        <w:rPr>
          <w:rFonts w:hint="eastAsia" w:ascii="宋体" w:hAnsi="宋体" w:cs="宋体"/>
          <w:b w:val="0"/>
          <w:color w:val="auto"/>
          <w:sz w:val="24"/>
          <w:szCs w:val="24"/>
          <w:highlight w:val="none"/>
        </w:rPr>
        <w:t>19.2 对承包人索赔的处理</w:t>
      </w:r>
      <w:bookmarkEnd w:id="505"/>
    </w:p>
    <w:bookmarkEnd w:id="506"/>
    <w:bookmarkEnd w:id="507"/>
    <w:bookmarkEnd w:id="508"/>
    <w:p w14:paraId="1AD41010">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对承包人索赔的处理如下：</w:t>
      </w:r>
    </w:p>
    <w:p w14:paraId="1F846423">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（1）监理人应在收到索赔报告后14天内完成审查并报送发包人。监理人对索赔报告存在异议的，有权要求承包人提交全部原始记录副本；</w:t>
      </w:r>
    </w:p>
    <w:p w14:paraId="59FFD06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（2）发包人应在监理人收到索赔报告或有关索赔的进一步证明材料后的28天内，由监理人向承包人出具经发包人签认的索赔处理结果。发包人逾期答复的，则视为认可承包人的索赔要求；</w:t>
      </w:r>
    </w:p>
    <w:p w14:paraId="3D56F6D6">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（3）承包人接受索赔处理结果的，索赔款项在当期进度款中进行支付；承包人不接受索赔处理结果的，按照第20条〔争议解决〕约定处理。</w:t>
      </w:r>
    </w:p>
    <w:p w14:paraId="2D0E3B53">
      <w:pPr>
        <w:pStyle w:val="8"/>
        <w:spacing w:before="120" w:after="120" w:line="312" w:lineRule="auto"/>
        <w:ind w:firstLine="480" w:firstLineChars="200"/>
        <w:rPr>
          <w:rFonts w:hint="eastAsia" w:ascii="宋体" w:hAnsi="宋体" w:cs="宋体"/>
          <w:b w:val="0"/>
          <w:color w:val="auto"/>
          <w:sz w:val="24"/>
          <w:szCs w:val="24"/>
          <w:highlight w:val="none"/>
        </w:rPr>
      </w:pPr>
      <w:bookmarkStart w:id="509" w:name="_Toc351203623"/>
      <w:bookmarkStart w:id="510" w:name="_Toc337558838"/>
      <w:bookmarkStart w:id="511" w:name="_Toc296503143"/>
      <w:bookmarkStart w:id="512" w:name="_Toc296346644"/>
      <w:r>
        <w:rPr>
          <w:rFonts w:hint="eastAsia" w:ascii="宋体" w:hAnsi="宋体" w:cs="宋体"/>
          <w:b w:val="0"/>
          <w:color w:val="auto"/>
          <w:sz w:val="24"/>
          <w:szCs w:val="24"/>
          <w:highlight w:val="none"/>
        </w:rPr>
        <w:t>19.3发包人的索赔</w:t>
      </w:r>
      <w:bookmarkEnd w:id="509"/>
    </w:p>
    <w:bookmarkEnd w:id="510"/>
    <w:bookmarkEnd w:id="511"/>
    <w:bookmarkEnd w:id="512"/>
    <w:p w14:paraId="283C9C5A">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根据合同约定，发包人认为有权得到赔付金额和（或）延长缺陷责任期的，监理人应向承包人发出通知并附有详细的证明。</w:t>
      </w:r>
    </w:p>
    <w:p w14:paraId="6A3E495E">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12BDCEF0">
      <w:pPr>
        <w:pStyle w:val="8"/>
        <w:spacing w:before="120" w:after="120" w:line="312" w:lineRule="auto"/>
        <w:ind w:firstLine="480" w:firstLineChars="200"/>
        <w:rPr>
          <w:rFonts w:hint="eastAsia" w:ascii="宋体" w:hAnsi="宋体" w:cs="宋体"/>
          <w:b w:val="0"/>
          <w:color w:val="auto"/>
          <w:sz w:val="24"/>
          <w:szCs w:val="24"/>
          <w:highlight w:val="none"/>
        </w:rPr>
      </w:pPr>
      <w:bookmarkStart w:id="513" w:name="_Toc351203624"/>
      <w:bookmarkStart w:id="514" w:name="_Toc296346645"/>
      <w:bookmarkStart w:id="515" w:name="_Toc337558839"/>
      <w:bookmarkStart w:id="516" w:name="_Toc296503144"/>
      <w:r>
        <w:rPr>
          <w:rFonts w:hint="eastAsia" w:ascii="宋体" w:hAnsi="宋体" w:cs="宋体"/>
          <w:b w:val="0"/>
          <w:color w:val="auto"/>
          <w:sz w:val="24"/>
          <w:szCs w:val="24"/>
          <w:highlight w:val="none"/>
        </w:rPr>
        <w:t>19.4 对发包人索赔的处理</w:t>
      </w:r>
      <w:bookmarkEnd w:id="513"/>
    </w:p>
    <w:bookmarkEnd w:id="514"/>
    <w:bookmarkEnd w:id="515"/>
    <w:bookmarkEnd w:id="516"/>
    <w:p w14:paraId="7584E0FB">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对发包人索赔的处理如下：</w:t>
      </w:r>
    </w:p>
    <w:p w14:paraId="353EC45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（1）承包人收到发包人提交的索赔报告后，应及时审查索赔报告的内容、查验发包人证明材料；</w:t>
      </w:r>
    </w:p>
    <w:p w14:paraId="51F47B92">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（2）承包人应在收到索赔报告或有关索赔的进一步证明材料后28天内，将索赔处理结果答复发包人。如果承包人未在上述期限内作出答复的，则视为对发包人索赔要求的认可；</w:t>
      </w:r>
    </w:p>
    <w:p w14:paraId="65BBCEE5">
      <w:pPr>
        <w:autoSpaceDE w:val="0"/>
        <w:autoSpaceDN w:val="0"/>
        <w:adjustRightInd w:val="0"/>
        <w:spacing w:line="312"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（3）承包人接受索赔处理结果的，发包人可从应支付给承包人的合同价款中扣除赔付的金额或延长缺陷责任期；发包人不接受索赔处理结果的，按第20条〔争议解决〕约定处理。</w:t>
      </w:r>
    </w:p>
    <w:p w14:paraId="7A7F69C8">
      <w:pPr>
        <w:pStyle w:val="8"/>
        <w:spacing w:before="120" w:after="120" w:line="312" w:lineRule="auto"/>
        <w:ind w:firstLine="480" w:firstLineChars="200"/>
        <w:rPr>
          <w:rFonts w:hint="eastAsia" w:ascii="宋体" w:hAnsi="宋体" w:cs="宋体"/>
          <w:b w:val="0"/>
          <w:color w:val="auto"/>
          <w:sz w:val="24"/>
          <w:szCs w:val="24"/>
          <w:highlight w:val="none"/>
        </w:rPr>
      </w:pPr>
      <w:bookmarkStart w:id="517" w:name="_Toc351203625"/>
      <w:r>
        <w:rPr>
          <w:rFonts w:hint="eastAsia" w:ascii="宋体" w:hAnsi="宋体" w:cs="宋体"/>
          <w:b w:val="0"/>
          <w:color w:val="auto"/>
          <w:sz w:val="24"/>
          <w:szCs w:val="24"/>
          <w:highlight w:val="none"/>
        </w:rPr>
        <w:t>19.5 提出索赔的期限</w:t>
      </w:r>
      <w:bookmarkEnd w:id="517"/>
    </w:p>
    <w:p w14:paraId="6C1BC213">
      <w:pPr>
        <w:spacing w:line="312"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（1）承包人按第14.2款〔竣工结算审核〕约定接收竣工付款证书后，应被视为已无权再提出在工程接收证书颁发前所发生的任何索赔。</w:t>
      </w:r>
    </w:p>
    <w:p w14:paraId="57F0B8B8">
      <w:pPr>
        <w:spacing w:line="312"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（2）承包人按第14.4款〔最终结清〕提交的最终结清申请单中，只限于提出工程接收证书颁发后发生的索赔。提出索赔的期限自接受最终结清证书时终止。</w:t>
      </w:r>
    </w:p>
    <w:p w14:paraId="0534884B">
      <w:pPr>
        <w:pStyle w:val="7"/>
        <w:spacing w:before="120" w:after="120" w:line="288" w:lineRule="auto"/>
        <w:rPr>
          <w:rFonts w:hint="eastAsia"/>
          <w:b w:val="0"/>
          <w:color w:val="auto"/>
          <w:sz w:val="24"/>
          <w:szCs w:val="24"/>
          <w:highlight w:val="none"/>
        </w:rPr>
      </w:pPr>
      <w:bookmarkStart w:id="518" w:name="_Toc351203626"/>
      <w:r>
        <w:rPr>
          <w:rFonts w:hint="eastAsia"/>
          <w:b w:val="0"/>
          <w:color w:val="auto"/>
          <w:sz w:val="24"/>
          <w:szCs w:val="24"/>
          <w:highlight w:val="none"/>
        </w:rPr>
        <w:t>20</w:t>
      </w:r>
      <w:bookmarkStart w:id="519" w:name="_Toc337558840"/>
      <w:bookmarkStart w:id="520" w:name="_Toc296503146"/>
      <w:bookmarkStart w:id="521" w:name="_Toc296346647"/>
      <w:r>
        <w:rPr>
          <w:rFonts w:hint="eastAsia"/>
          <w:b w:val="0"/>
          <w:color w:val="auto"/>
          <w:sz w:val="24"/>
          <w:szCs w:val="24"/>
          <w:highlight w:val="none"/>
        </w:rPr>
        <w:t>. 争议解决</w:t>
      </w:r>
      <w:bookmarkEnd w:id="518"/>
    </w:p>
    <w:bookmarkEnd w:id="519"/>
    <w:bookmarkEnd w:id="520"/>
    <w:bookmarkEnd w:id="521"/>
    <w:p w14:paraId="70F71C3C">
      <w:pPr>
        <w:pStyle w:val="8"/>
        <w:spacing w:before="120" w:after="120" w:line="288" w:lineRule="auto"/>
        <w:ind w:firstLine="480" w:firstLineChars="200"/>
        <w:rPr>
          <w:rFonts w:hint="eastAsia" w:ascii="宋体" w:hAnsi="宋体" w:cs="宋体"/>
          <w:b w:val="0"/>
          <w:color w:val="auto"/>
          <w:sz w:val="24"/>
          <w:szCs w:val="24"/>
          <w:highlight w:val="none"/>
        </w:rPr>
      </w:pPr>
      <w:bookmarkStart w:id="522" w:name="_Toc351203627"/>
      <w:bookmarkStart w:id="523" w:name="_Toc337558841"/>
      <w:bookmarkStart w:id="524" w:name="_Toc296346648"/>
      <w:bookmarkStart w:id="525" w:name="_Toc296503147"/>
      <w:r>
        <w:rPr>
          <w:rFonts w:hint="eastAsia" w:ascii="宋体" w:hAnsi="宋体" w:cs="宋体"/>
          <w:b w:val="0"/>
          <w:color w:val="auto"/>
          <w:sz w:val="24"/>
          <w:szCs w:val="24"/>
          <w:highlight w:val="none"/>
        </w:rPr>
        <w:t>20.1和解</w:t>
      </w:r>
      <w:bookmarkEnd w:id="522"/>
    </w:p>
    <w:bookmarkEnd w:id="523"/>
    <w:bookmarkEnd w:id="524"/>
    <w:bookmarkEnd w:id="525"/>
    <w:p w14:paraId="505A2519">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合同当事人可以就争议自行和解，自行和解达成协议的经双方签字并盖章后作为合同补充文件，双方均应遵照执行。</w:t>
      </w:r>
    </w:p>
    <w:p w14:paraId="1F44CA54">
      <w:pPr>
        <w:pStyle w:val="8"/>
        <w:spacing w:before="120" w:after="120" w:line="288" w:lineRule="auto"/>
        <w:ind w:firstLine="480" w:firstLineChars="200"/>
        <w:rPr>
          <w:rFonts w:hint="eastAsia" w:ascii="宋体" w:hAnsi="宋体" w:cs="宋体"/>
          <w:b w:val="0"/>
          <w:color w:val="auto"/>
          <w:sz w:val="24"/>
          <w:szCs w:val="24"/>
          <w:highlight w:val="none"/>
        </w:rPr>
      </w:pPr>
      <w:bookmarkStart w:id="526" w:name="_Toc351203628"/>
      <w:r>
        <w:rPr>
          <w:rFonts w:hint="eastAsia" w:ascii="宋体" w:hAnsi="宋体" w:cs="宋体"/>
          <w:b w:val="0"/>
          <w:color w:val="auto"/>
          <w:sz w:val="24"/>
          <w:szCs w:val="24"/>
          <w:highlight w:val="none"/>
        </w:rPr>
        <w:t>20</w:t>
      </w:r>
      <w:bookmarkStart w:id="527" w:name="_Toc337558842"/>
      <w:bookmarkStart w:id="528" w:name="_Toc296346649"/>
      <w:bookmarkStart w:id="529" w:name="_Toc296503148"/>
      <w:r>
        <w:rPr>
          <w:rFonts w:hint="eastAsia" w:ascii="宋体" w:hAnsi="宋体" w:cs="宋体"/>
          <w:b w:val="0"/>
          <w:color w:val="auto"/>
          <w:sz w:val="24"/>
          <w:szCs w:val="24"/>
          <w:highlight w:val="none"/>
        </w:rPr>
        <w:t>.2调解</w:t>
      </w:r>
      <w:bookmarkEnd w:id="526"/>
    </w:p>
    <w:bookmarkEnd w:id="527"/>
    <w:bookmarkEnd w:id="528"/>
    <w:bookmarkEnd w:id="529"/>
    <w:p w14:paraId="15CBD776">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合同当事人可以就争议请求建设行政主管部门、行业协会或其他第三方进行调解，调解达成协议的，经双方签字并盖章后作为合同补充文件，双方均应遵照执行。</w:t>
      </w:r>
    </w:p>
    <w:p w14:paraId="66201FA9">
      <w:pPr>
        <w:pStyle w:val="8"/>
        <w:spacing w:before="120" w:after="120" w:line="288" w:lineRule="auto"/>
        <w:ind w:firstLine="480" w:firstLineChars="200"/>
        <w:rPr>
          <w:rFonts w:hint="eastAsia" w:ascii="宋体" w:hAnsi="宋体" w:cs="宋体"/>
          <w:b w:val="0"/>
          <w:color w:val="auto"/>
          <w:sz w:val="24"/>
          <w:szCs w:val="24"/>
          <w:highlight w:val="none"/>
        </w:rPr>
      </w:pPr>
      <w:bookmarkStart w:id="530" w:name="_Toc351203629"/>
      <w:bookmarkStart w:id="531" w:name="_Toc296346650"/>
      <w:bookmarkStart w:id="532" w:name="_Toc337558843"/>
      <w:bookmarkStart w:id="533" w:name="_Toc296503149"/>
      <w:r>
        <w:rPr>
          <w:rFonts w:hint="eastAsia" w:ascii="宋体" w:hAnsi="宋体" w:cs="宋体"/>
          <w:b w:val="0"/>
          <w:color w:val="auto"/>
          <w:sz w:val="24"/>
          <w:szCs w:val="24"/>
          <w:highlight w:val="none"/>
        </w:rPr>
        <w:t>20.3争议评审</w:t>
      </w:r>
      <w:bookmarkEnd w:id="530"/>
    </w:p>
    <w:bookmarkEnd w:id="531"/>
    <w:bookmarkEnd w:id="532"/>
    <w:bookmarkEnd w:id="533"/>
    <w:p w14:paraId="555D2264">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合同当事人在专用合同条款中约定采取争议评审方式解决争议以及评审规则，并按下列约定执行： </w:t>
      </w:r>
    </w:p>
    <w:p w14:paraId="49F24825">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20.3.1 争议评审小组的确定</w:t>
      </w:r>
    </w:p>
    <w:p w14:paraId="4A04FBBF">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合同当事人可以共同选择一名或三名争议评审员，组成争议评审小组。除专用合同条款另有约定外，合同当事人应当自合同签订后28天内，或者争议发生后14天内，选定争议评审员。</w:t>
      </w:r>
    </w:p>
    <w:p w14:paraId="29509AA7">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40B8F777">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除专用合同条款另有约定外，评审员报酬由发包人和承包人各承担一半。</w:t>
      </w:r>
    </w:p>
    <w:p w14:paraId="6AAC464E">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20.3.2 争议评审小组的决定</w:t>
      </w:r>
    </w:p>
    <w:p w14:paraId="614594B8">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16D65B3E">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20.3.3 争议评审小组决定的效力</w:t>
      </w:r>
    </w:p>
    <w:p w14:paraId="6ADB0004">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争议评审小组作出的书面决定经合同当事人签字确认后，对双方具有约束力，双方应遵照执行。</w:t>
      </w:r>
    </w:p>
    <w:p w14:paraId="091CFBB2">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任何一方当事人不接受争议评审小组决定或不履行争议评审小组决定的，双方可选择采用其他争议解决方式。</w:t>
      </w:r>
    </w:p>
    <w:p w14:paraId="38706563">
      <w:pPr>
        <w:pStyle w:val="8"/>
        <w:spacing w:before="120" w:after="120" w:line="288" w:lineRule="auto"/>
        <w:ind w:firstLine="480" w:firstLineChars="200"/>
        <w:rPr>
          <w:rFonts w:hint="eastAsia" w:ascii="宋体" w:hAnsi="宋体" w:cs="宋体"/>
          <w:b w:val="0"/>
          <w:color w:val="auto"/>
          <w:sz w:val="24"/>
          <w:szCs w:val="24"/>
          <w:highlight w:val="none"/>
        </w:rPr>
      </w:pPr>
      <w:bookmarkStart w:id="534" w:name="_Toc351203630"/>
      <w:bookmarkStart w:id="535" w:name="_Toc296503150"/>
      <w:bookmarkStart w:id="536" w:name="_Toc337558844"/>
      <w:bookmarkStart w:id="537" w:name="_Toc296346651"/>
      <w:r>
        <w:rPr>
          <w:rFonts w:hint="eastAsia" w:ascii="宋体" w:hAnsi="宋体" w:cs="宋体"/>
          <w:b w:val="0"/>
          <w:color w:val="auto"/>
          <w:sz w:val="24"/>
          <w:szCs w:val="24"/>
          <w:highlight w:val="none"/>
        </w:rPr>
        <w:t>20.4仲裁或诉讼</w:t>
      </w:r>
      <w:bookmarkEnd w:id="534"/>
    </w:p>
    <w:bookmarkEnd w:id="535"/>
    <w:bookmarkEnd w:id="536"/>
    <w:bookmarkEnd w:id="537"/>
    <w:p w14:paraId="6FDDDB1F">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因合同及合同有关事项产生的争议，合同当事人可以在专用合同条款中约定以下一种方式解决争议：</w:t>
      </w:r>
    </w:p>
    <w:p w14:paraId="049AB51C">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（1）向约定的仲裁委员会申请仲裁；</w:t>
      </w:r>
    </w:p>
    <w:p w14:paraId="73B2962F">
      <w:pPr>
        <w:autoSpaceDE w:val="0"/>
        <w:autoSpaceDN w:val="0"/>
        <w:adjustRightInd w:val="0"/>
        <w:spacing w:line="288"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（2）向有管辖权的人民法院起诉。</w:t>
      </w:r>
    </w:p>
    <w:p w14:paraId="38347223">
      <w:pPr>
        <w:pStyle w:val="8"/>
        <w:spacing w:before="120" w:after="120" w:line="288" w:lineRule="auto"/>
        <w:ind w:firstLine="480" w:firstLineChars="200"/>
        <w:rPr>
          <w:rFonts w:hint="eastAsia" w:ascii="宋体" w:hAnsi="宋体" w:cs="宋体"/>
          <w:b w:val="0"/>
          <w:color w:val="auto"/>
          <w:sz w:val="24"/>
          <w:szCs w:val="24"/>
          <w:highlight w:val="none"/>
        </w:rPr>
      </w:pPr>
      <w:bookmarkStart w:id="538" w:name="_Toc351203631"/>
      <w:bookmarkStart w:id="539" w:name="_Toc296503152"/>
      <w:bookmarkStart w:id="540" w:name="_Toc296346653"/>
      <w:bookmarkStart w:id="541" w:name="_Toc337558845"/>
      <w:r>
        <w:rPr>
          <w:rFonts w:hint="eastAsia" w:ascii="宋体" w:hAnsi="宋体" w:cs="宋体"/>
          <w:b w:val="0"/>
          <w:color w:val="auto"/>
          <w:sz w:val="24"/>
          <w:szCs w:val="24"/>
          <w:highlight w:val="none"/>
        </w:rPr>
        <w:t>20.5争议解决条款效力</w:t>
      </w:r>
      <w:bookmarkEnd w:id="538"/>
    </w:p>
    <w:bookmarkEnd w:id="539"/>
    <w:bookmarkEnd w:id="540"/>
    <w:bookmarkEnd w:id="541"/>
    <w:p w14:paraId="4CC6AFF5">
      <w:pPr>
        <w:autoSpaceDE w:val="0"/>
        <w:autoSpaceDN w:val="0"/>
        <w:adjustRightInd w:val="0"/>
        <w:spacing w:line="288" w:lineRule="auto"/>
        <w:ind w:firstLine="480" w:firstLineChars="200"/>
        <w:jc w:val="left"/>
        <w:rPr>
          <w:color w:val="auto"/>
          <w:highlight w:val="none"/>
        </w:rPr>
      </w:pPr>
      <w:r>
        <w:rPr>
          <w:rFonts w:hint="eastAsia" w:ascii="宋体" w:hAnsi="宋体" w:cs="宋体"/>
          <w:color w:val="auto"/>
          <w:kern w:val="0"/>
          <w:sz w:val="24"/>
          <w:highlight w:val="none"/>
        </w:rPr>
        <w:t xml:space="preserve">合同有关争议解决的条款独立存在，合同的变更、解除、终止、无效或者被撤销均不影响其效力。 </w:t>
      </w:r>
    </w:p>
    <w:p w14:paraId="2B07DF0A">
      <w:pPr>
        <w:rPr>
          <w:rFonts w:hint="eastAsia" w:ascii="宋体" w:hAnsi="宋体" w:cs="宋体"/>
          <w:color w:val="auto"/>
          <w:spacing w:val="20"/>
          <w:sz w:val="30"/>
          <w:szCs w:val="30"/>
          <w:highlight w:val="none"/>
        </w:rPr>
      </w:pPr>
      <w:r>
        <w:rPr>
          <w:rFonts w:hint="eastAsia" w:ascii="宋体" w:hAnsi="宋体" w:cs="宋体"/>
          <w:color w:val="auto"/>
          <w:spacing w:val="20"/>
          <w:sz w:val="30"/>
          <w:szCs w:val="30"/>
          <w:highlight w:val="none"/>
        </w:rPr>
        <w:br w:type="page"/>
      </w:r>
    </w:p>
    <w:p w14:paraId="009FF2BA">
      <w:pPr>
        <w:pStyle w:val="4"/>
        <w:keepNext w:val="0"/>
        <w:keepLines w:val="0"/>
        <w:spacing w:line="312" w:lineRule="auto"/>
        <w:jc w:val="center"/>
        <w:rPr>
          <w:rFonts w:hint="eastAsia" w:ascii="宋体" w:hAnsi="宋体" w:cs="宋体"/>
          <w:color w:val="auto"/>
          <w:spacing w:val="20"/>
          <w:sz w:val="30"/>
          <w:szCs w:val="30"/>
          <w:highlight w:val="none"/>
        </w:rPr>
      </w:pPr>
      <w:r>
        <w:rPr>
          <w:rFonts w:hint="eastAsia" w:ascii="宋体" w:hAnsi="宋体" w:cs="宋体"/>
          <w:color w:val="auto"/>
          <w:spacing w:val="20"/>
          <w:sz w:val="30"/>
          <w:szCs w:val="30"/>
          <w:highlight w:val="none"/>
        </w:rPr>
        <w:t>第三部分 专用合同条款</w:t>
      </w:r>
    </w:p>
    <w:p w14:paraId="7F62951B">
      <w:pPr>
        <w:rPr>
          <w:color w:val="auto"/>
          <w:highlight w:val="none"/>
        </w:rPr>
      </w:pPr>
    </w:p>
    <w:p w14:paraId="034ED0EB">
      <w:pPr>
        <w:pStyle w:val="5"/>
        <w:adjustRightInd w:val="0"/>
        <w:snapToGrid w:val="0"/>
        <w:spacing w:line="356" w:lineRule="auto"/>
        <w:ind w:firstLine="562" w:firstLineChars="200"/>
        <w:rPr>
          <w:rFonts w:hint="eastAsia" w:ascii="宋体" w:hAnsi="宋体" w:eastAsia="宋体" w:cs="宋体"/>
          <w:color w:val="auto"/>
          <w:sz w:val="28"/>
          <w:szCs w:val="44"/>
          <w:highlight w:val="none"/>
        </w:rPr>
      </w:pPr>
      <w:bookmarkStart w:id="542" w:name="_Toc389065258"/>
      <w:bookmarkStart w:id="543" w:name="_Toc373227692"/>
      <w:bookmarkStart w:id="544" w:name="_Toc14791"/>
      <w:bookmarkStart w:id="545" w:name="_Toc439779031"/>
      <w:bookmarkStart w:id="546" w:name="_Toc351203633"/>
      <w:bookmarkStart w:id="547" w:name="_Toc373478339"/>
      <w:bookmarkStart w:id="548" w:name="_Toc14784"/>
      <w:bookmarkStart w:id="549" w:name="_Toc461982826"/>
      <w:bookmarkStart w:id="550" w:name="_Toc297120456"/>
      <w:bookmarkStart w:id="551" w:name="_Toc296503156"/>
      <w:bookmarkStart w:id="552" w:name="_Toc292559866"/>
      <w:bookmarkStart w:id="553" w:name="_Toc296944495"/>
      <w:bookmarkStart w:id="554" w:name="_Toc296347155"/>
      <w:bookmarkStart w:id="555" w:name="_Toc296890984"/>
      <w:bookmarkStart w:id="556" w:name="_Toc292559361"/>
      <w:bookmarkStart w:id="557" w:name="_Toc297048342"/>
      <w:bookmarkStart w:id="558" w:name="_Toc296891196"/>
      <w:bookmarkStart w:id="559" w:name="_Toc296346657"/>
      <w:r>
        <w:rPr>
          <w:rFonts w:hint="eastAsia" w:ascii="宋体" w:hAnsi="宋体" w:eastAsia="宋体" w:cs="宋体"/>
          <w:color w:val="auto"/>
          <w:sz w:val="28"/>
          <w:szCs w:val="44"/>
          <w:highlight w:val="none"/>
        </w:rPr>
        <w:t>一、一般约定</w:t>
      </w:r>
      <w:bookmarkEnd w:id="542"/>
      <w:bookmarkEnd w:id="543"/>
      <w:bookmarkEnd w:id="544"/>
      <w:bookmarkEnd w:id="545"/>
      <w:bookmarkEnd w:id="546"/>
      <w:bookmarkEnd w:id="547"/>
      <w:bookmarkEnd w:id="548"/>
      <w:bookmarkEnd w:id="549"/>
    </w:p>
    <w:bookmarkEnd w:id="550"/>
    <w:bookmarkEnd w:id="551"/>
    <w:bookmarkEnd w:id="552"/>
    <w:bookmarkEnd w:id="553"/>
    <w:bookmarkEnd w:id="554"/>
    <w:bookmarkEnd w:id="555"/>
    <w:bookmarkEnd w:id="556"/>
    <w:bookmarkEnd w:id="557"/>
    <w:bookmarkEnd w:id="558"/>
    <w:bookmarkEnd w:id="559"/>
    <w:p w14:paraId="14F7D456">
      <w:pPr>
        <w:pStyle w:val="6"/>
        <w:adjustRightInd w:val="0"/>
        <w:snapToGrid w:val="0"/>
        <w:spacing w:before="0" w:after="0" w:line="356" w:lineRule="auto"/>
        <w:ind w:firstLine="482" w:firstLineChars="200"/>
        <w:rPr>
          <w:rFonts w:hint="eastAsia" w:cs="宋体"/>
          <w:color w:val="auto"/>
          <w:szCs w:val="40"/>
          <w:highlight w:val="none"/>
        </w:rPr>
      </w:pPr>
      <w:bookmarkStart w:id="560" w:name="_Toc439779032"/>
      <w:bookmarkStart w:id="561" w:name="_Toc461982827"/>
      <w:bookmarkStart w:id="562" w:name="_Toc16308"/>
      <w:bookmarkStart w:id="563" w:name="_Toc373478340"/>
      <w:bookmarkStart w:id="564" w:name="_Toc389065259"/>
      <w:bookmarkStart w:id="565" w:name="_Toc373227693"/>
      <w:bookmarkStart w:id="566" w:name="_Toc20097"/>
      <w:r>
        <w:rPr>
          <w:rFonts w:hint="eastAsia" w:cs="宋体"/>
          <w:color w:val="auto"/>
          <w:szCs w:val="40"/>
          <w:highlight w:val="none"/>
        </w:rPr>
        <w:t>1.1 词语定义</w:t>
      </w:r>
      <w:bookmarkEnd w:id="560"/>
      <w:bookmarkEnd w:id="561"/>
      <w:bookmarkEnd w:id="562"/>
      <w:bookmarkEnd w:id="563"/>
      <w:bookmarkEnd w:id="564"/>
      <w:bookmarkEnd w:id="565"/>
      <w:bookmarkEnd w:id="566"/>
    </w:p>
    <w:p w14:paraId="1E8396EC">
      <w:pPr>
        <w:adjustRightInd w:val="0"/>
        <w:snapToGrid w:val="0"/>
        <w:spacing w:line="356" w:lineRule="auto"/>
        <w:ind w:firstLine="480" w:firstLineChars="200"/>
        <w:outlineLvl w:val="0"/>
        <w:rPr>
          <w:rFonts w:hint="eastAsia" w:ascii="宋体" w:hAnsi="宋体" w:cs="宋体"/>
          <w:color w:val="auto"/>
          <w:kern w:val="0"/>
          <w:sz w:val="24"/>
          <w:highlight w:val="none"/>
        </w:rPr>
      </w:pPr>
      <w:r>
        <w:rPr>
          <w:rFonts w:hint="eastAsia" w:ascii="宋体" w:hAnsi="宋体" w:cs="宋体"/>
          <w:color w:val="auto"/>
          <w:kern w:val="0"/>
          <w:sz w:val="24"/>
          <w:highlight w:val="none"/>
        </w:rPr>
        <w:t>1.1.1 合同</w:t>
      </w:r>
    </w:p>
    <w:p w14:paraId="3AD50106">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kern w:val="0"/>
          <w:sz w:val="24"/>
          <w:highlight w:val="none"/>
        </w:rPr>
        <w:t>1.1.1.10 其他合同文件包括：</w:t>
      </w:r>
      <w:r>
        <w:rPr>
          <w:rFonts w:hint="eastAsia" w:ascii="宋体" w:hAnsi="宋体" w:cs="宋体"/>
          <w:color w:val="auto"/>
          <w:sz w:val="24"/>
          <w:highlight w:val="none"/>
          <w:u w:val="single"/>
        </w:rPr>
        <w:t xml:space="preserve">投标（响应）文件及其附件，招标（谈判）文件（含补充通知和答疑），履约保证金缴纳证明，履约过程中双方法定代表人（或双方工地代表人）书面确认的对合同内容有实质性影响的会议纪要、签证、设计变更等资料 </w:t>
      </w:r>
      <w:r>
        <w:rPr>
          <w:rFonts w:hint="eastAsia" w:ascii="宋体" w:hAnsi="宋体" w:cs="宋体"/>
          <w:color w:val="auto"/>
          <w:sz w:val="24"/>
          <w:highlight w:val="none"/>
        </w:rPr>
        <w:t>。</w:t>
      </w:r>
    </w:p>
    <w:p w14:paraId="36E1F04C">
      <w:pPr>
        <w:adjustRightInd w:val="0"/>
        <w:snapToGrid w:val="0"/>
        <w:spacing w:line="356" w:lineRule="auto"/>
        <w:ind w:firstLine="480" w:firstLineChars="200"/>
        <w:rPr>
          <w:rFonts w:hint="eastAsia" w:ascii="宋体" w:hAnsi="宋体" w:cs="宋体"/>
          <w:color w:val="auto"/>
          <w:sz w:val="24"/>
          <w:szCs w:val="32"/>
          <w:highlight w:val="none"/>
        </w:rPr>
      </w:pPr>
      <w:bookmarkStart w:id="567" w:name="_Toc26377"/>
      <w:bookmarkStart w:id="568" w:name="_Toc439779035"/>
      <w:bookmarkStart w:id="569" w:name="_Toc373478343"/>
      <w:bookmarkStart w:id="570" w:name="_Toc25240"/>
      <w:bookmarkStart w:id="571" w:name="_Toc461982830"/>
      <w:bookmarkStart w:id="572" w:name="_Toc389065262"/>
      <w:bookmarkStart w:id="573" w:name="_Toc373227696"/>
      <w:r>
        <w:rPr>
          <w:rFonts w:hint="eastAsia" w:ascii="宋体" w:hAnsi="宋体" w:cs="宋体"/>
          <w:color w:val="auto"/>
          <w:sz w:val="24"/>
          <w:szCs w:val="32"/>
          <w:highlight w:val="none"/>
        </w:rPr>
        <w:t>1.2本合同除使用汉语外，还使用</w:t>
      </w:r>
      <w:r>
        <w:rPr>
          <w:rFonts w:hint="eastAsia" w:ascii="宋体" w:hAnsi="宋体" w:cs="宋体"/>
          <w:color w:val="auto"/>
          <w:sz w:val="24"/>
          <w:szCs w:val="32"/>
          <w:highlight w:val="none"/>
          <w:u w:val="single"/>
        </w:rPr>
        <w:t xml:space="preserve"> 无其他 </w:t>
      </w:r>
      <w:r>
        <w:rPr>
          <w:rFonts w:hint="eastAsia" w:ascii="宋体" w:hAnsi="宋体" w:cs="宋体"/>
          <w:color w:val="auto"/>
          <w:sz w:val="24"/>
          <w:szCs w:val="32"/>
          <w:highlight w:val="none"/>
        </w:rPr>
        <w:t>语言文字</w:t>
      </w:r>
    </w:p>
    <w:p w14:paraId="59EDD1E5">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1.3法律和法规</w:t>
      </w:r>
    </w:p>
    <w:p w14:paraId="2E2A8E2F">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需要明示的法律、行政法规：</w:t>
      </w:r>
      <w:r>
        <w:rPr>
          <w:rFonts w:hint="eastAsia" w:ascii="宋体" w:hAnsi="宋体" w:cs="宋体"/>
          <w:color w:val="auto"/>
          <w:sz w:val="24"/>
          <w:szCs w:val="32"/>
          <w:highlight w:val="none"/>
          <w:u w:val="single"/>
        </w:rPr>
        <w:t xml:space="preserve"> 按合同签订时国家现行法律、行政法规及工程所在地政府的有关法规和规章。</w:t>
      </w:r>
    </w:p>
    <w:p w14:paraId="6C85FA36">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1.4发包人提供标准、规范时间：</w:t>
      </w:r>
      <w:r>
        <w:rPr>
          <w:rFonts w:hint="eastAsia" w:ascii="宋体" w:hAnsi="宋体" w:cs="宋体"/>
          <w:color w:val="auto"/>
          <w:sz w:val="24"/>
          <w:szCs w:val="32"/>
          <w:highlight w:val="none"/>
          <w:u w:val="single"/>
        </w:rPr>
        <w:t xml:space="preserve"> 无 。</w:t>
      </w:r>
    </w:p>
    <w:p w14:paraId="3FB51A5F">
      <w:pPr>
        <w:pStyle w:val="6"/>
        <w:adjustRightInd w:val="0"/>
        <w:snapToGrid w:val="0"/>
        <w:spacing w:before="0" w:after="0" w:line="356" w:lineRule="auto"/>
        <w:ind w:firstLine="480" w:firstLineChars="200"/>
        <w:rPr>
          <w:rFonts w:hint="eastAsia" w:cs="宋体"/>
          <w:b w:val="0"/>
          <w:bCs w:val="0"/>
          <w:color w:val="auto"/>
          <w:szCs w:val="40"/>
          <w:highlight w:val="none"/>
        </w:rPr>
      </w:pPr>
      <w:r>
        <w:rPr>
          <w:rFonts w:hint="eastAsia" w:cs="宋体"/>
          <w:b w:val="0"/>
          <w:bCs w:val="0"/>
          <w:color w:val="auto"/>
          <w:highlight w:val="none"/>
        </w:rPr>
        <w:t>国内没有相应的标准、规范时的约定：</w:t>
      </w:r>
      <w:r>
        <w:rPr>
          <w:rFonts w:hint="eastAsia" w:cs="宋体"/>
          <w:b w:val="0"/>
          <w:bCs w:val="0"/>
          <w:color w:val="auto"/>
          <w:highlight w:val="none"/>
          <w:u w:val="single"/>
        </w:rPr>
        <w:t xml:space="preserve"> 无。</w:t>
      </w:r>
    </w:p>
    <w:p w14:paraId="56EB060C">
      <w:pPr>
        <w:pStyle w:val="6"/>
        <w:adjustRightInd w:val="0"/>
        <w:snapToGrid w:val="0"/>
        <w:spacing w:before="0" w:after="0" w:line="356" w:lineRule="auto"/>
        <w:ind w:firstLine="482" w:firstLineChars="200"/>
        <w:rPr>
          <w:rFonts w:hint="eastAsia" w:cs="宋体"/>
          <w:color w:val="auto"/>
          <w:szCs w:val="40"/>
          <w:highlight w:val="none"/>
        </w:rPr>
      </w:pPr>
      <w:r>
        <w:rPr>
          <w:rFonts w:hint="eastAsia" w:cs="宋体"/>
          <w:color w:val="auto"/>
          <w:szCs w:val="40"/>
          <w:highlight w:val="none"/>
        </w:rPr>
        <w:t>1.5合同文件的优先顺序</w:t>
      </w:r>
      <w:bookmarkEnd w:id="567"/>
      <w:bookmarkEnd w:id="568"/>
      <w:bookmarkEnd w:id="569"/>
      <w:bookmarkEnd w:id="570"/>
      <w:bookmarkEnd w:id="571"/>
      <w:bookmarkEnd w:id="572"/>
      <w:bookmarkEnd w:id="573"/>
    </w:p>
    <w:p w14:paraId="235DC9B9">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合同文件组成及优先顺序为：</w:t>
      </w:r>
    </w:p>
    <w:p w14:paraId="41A2FE97">
      <w:pPr>
        <w:adjustRightInd w:val="0"/>
        <w:snapToGrid w:val="0"/>
        <w:spacing w:line="356"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（1）中标（成交）通知书；</w:t>
      </w:r>
    </w:p>
    <w:p w14:paraId="4B25D5E8">
      <w:pPr>
        <w:adjustRightInd w:val="0"/>
        <w:snapToGrid w:val="0"/>
        <w:spacing w:line="356"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（2）投标（谈判）函及其附录；</w:t>
      </w:r>
    </w:p>
    <w:p w14:paraId="01185D59">
      <w:pPr>
        <w:adjustRightInd w:val="0"/>
        <w:snapToGrid w:val="0"/>
        <w:spacing w:line="356"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（3）专用合同条款及其附件；</w:t>
      </w:r>
    </w:p>
    <w:p w14:paraId="412C1706">
      <w:pPr>
        <w:adjustRightInd w:val="0"/>
        <w:snapToGrid w:val="0"/>
        <w:spacing w:line="356"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（4）通用合同条款；</w:t>
      </w:r>
    </w:p>
    <w:p w14:paraId="5707114C">
      <w:pPr>
        <w:adjustRightInd w:val="0"/>
        <w:snapToGrid w:val="0"/>
        <w:spacing w:line="356"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（5）</w:t>
      </w:r>
      <w:r>
        <w:rPr>
          <w:rFonts w:hint="eastAsia" w:ascii="宋体" w:hAnsi="宋体" w:cs="宋体"/>
          <w:color w:val="auto"/>
          <w:kern w:val="0"/>
          <w:sz w:val="24"/>
          <w:highlight w:val="none"/>
          <w:u w:val="single"/>
        </w:rPr>
        <w:t xml:space="preserve"> 技术标准和要求</w:t>
      </w:r>
      <w:r>
        <w:rPr>
          <w:rFonts w:hint="eastAsia" w:ascii="宋体" w:hAnsi="宋体" w:cs="宋体"/>
          <w:color w:val="auto"/>
          <w:kern w:val="0"/>
          <w:sz w:val="24"/>
          <w:highlight w:val="none"/>
        </w:rPr>
        <w:t>；</w:t>
      </w:r>
    </w:p>
    <w:p w14:paraId="18709C61">
      <w:pPr>
        <w:adjustRightInd w:val="0"/>
        <w:snapToGrid w:val="0"/>
        <w:spacing w:line="356"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（6）</w:t>
      </w:r>
      <w:r>
        <w:rPr>
          <w:rFonts w:hint="eastAsia" w:ascii="宋体" w:hAnsi="宋体" w:cs="宋体"/>
          <w:color w:val="auto"/>
          <w:kern w:val="0"/>
          <w:sz w:val="24"/>
          <w:highlight w:val="none"/>
          <w:u w:val="single"/>
        </w:rPr>
        <w:t xml:space="preserve"> 施工图纸</w:t>
      </w:r>
      <w:r>
        <w:rPr>
          <w:rFonts w:hint="eastAsia" w:ascii="宋体" w:hAnsi="宋体" w:cs="宋体"/>
          <w:color w:val="auto"/>
          <w:kern w:val="0"/>
          <w:sz w:val="24"/>
          <w:highlight w:val="none"/>
        </w:rPr>
        <w:t>；</w:t>
      </w:r>
    </w:p>
    <w:p w14:paraId="11DA8C60">
      <w:pPr>
        <w:adjustRightInd w:val="0"/>
        <w:snapToGrid w:val="0"/>
        <w:spacing w:line="356"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（7）</w:t>
      </w:r>
      <w:r>
        <w:rPr>
          <w:rFonts w:hint="eastAsia" w:ascii="宋体" w:hAnsi="宋体" w:cs="宋体"/>
          <w:color w:val="auto"/>
          <w:kern w:val="0"/>
          <w:sz w:val="24"/>
          <w:highlight w:val="none"/>
          <w:u w:val="single"/>
        </w:rPr>
        <w:t xml:space="preserve"> 已标价的工程量清单[投标（响应）文件]</w:t>
      </w:r>
      <w:r>
        <w:rPr>
          <w:rFonts w:hint="eastAsia" w:ascii="宋体" w:hAnsi="宋体" w:cs="宋体"/>
          <w:color w:val="auto"/>
          <w:kern w:val="0"/>
          <w:sz w:val="24"/>
          <w:highlight w:val="none"/>
        </w:rPr>
        <w:t>；</w:t>
      </w:r>
    </w:p>
    <w:p w14:paraId="6915E32F">
      <w:pPr>
        <w:adjustRightInd w:val="0"/>
        <w:snapToGrid w:val="0"/>
        <w:spacing w:line="356"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（8）</w:t>
      </w:r>
      <w:r>
        <w:rPr>
          <w:rFonts w:hint="eastAsia" w:ascii="宋体" w:hAnsi="宋体" w:cs="宋体"/>
          <w:color w:val="auto"/>
          <w:kern w:val="0"/>
          <w:sz w:val="24"/>
          <w:highlight w:val="none"/>
          <w:u w:val="single"/>
        </w:rPr>
        <w:t xml:space="preserve"> 其他合同文件、设计变更等文件  </w:t>
      </w:r>
      <w:r>
        <w:rPr>
          <w:rFonts w:hint="eastAsia" w:ascii="宋体" w:hAnsi="宋体" w:cs="宋体"/>
          <w:color w:val="auto"/>
          <w:kern w:val="0"/>
          <w:sz w:val="24"/>
          <w:highlight w:val="none"/>
        </w:rPr>
        <w:t>。</w:t>
      </w:r>
    </w:p>
    <w:p w14:paraId="02F3596C">
      <w:pPr>
        <w:adjustRightInd w:val="0"/>
        <w:snapToGrid w:val="0"/>
        <w:spacing w:line="356"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（9）《建设工程工程量清单计价规范（GB5050-2013）》及其广西实施细则、《建设工程工程量清单计算规范（GB5854~50862-2013）》及其广西实施细则。</w:t>
      </w:r>
    </w:p>
    <w:p w14:paraId="28624B4B">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kern w:val="0"/>
          <w:sz w:val="24"/>
          <w:highlight w:val="none"/>
        </w:rPr>
        <w:t>说明：（6）、（7）、（8）填空内容分别限于技术标准和要求、图纸、已标价工程量清单或预算书、其他合同文件四者之一，其优先顺序可根据采取的不同合同方式由双方约定。</w:t>
      </w:r>
    </w:p>
    <w:p w14:paraId="3DB469B0">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1.6图纸</w:t>
      </w:r>
    </w:p>
    <w:p w14:paraId="4E0CD905">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1.6.1发包人向承包人提供图纸日期和套数：</w:t>
      </w:r>
      <w:r>
        <w:rPr>
          <w:rFonts w:hint="eastAsia" w:ascii="宋体" w:hAnsi="宋体" w:cs="宋体"/>
          <w:color w:val="auto"/>
          <w:sz w:val="24"/>
          <w:szCs w:val="32"/>
          <w:highlight w:val="none"/>
          <w:u w:val="single"/>
        </w:rPr>
        <w:t xml:space="preserve"> 签订合同起5个工作日内提供一式肆份设计图纸。</w:t>
      </w:r>
    </w:p>
    <w:p w14:paraId="3A6578F8">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1.12发包人对图纸的保密要求：</w:t>
      </w:r>
      <w:r>
        <w:rPr>
          <w:rFonts w:hint="eastAsia" w:ascii="宋体" w:hAnsi="宋体" w:cs="宋体"/>
          <w:color w:val="auto"/>
          <w:sz w:val="24"/>
          <w:szCs w:val="32"/>
          <w:highlight w:val="none"/>
          <w:u w:val="single"/>
        </w:rPr>
        <w:t>未经发包人同意，承包人不得将图纸转借给第三人。</w:t>
      </w:r>
    </w:p>
    <w:p w14:paraId="0180D17D">
      <w:pPr>
        <w:adjustRightInd w:val="0"/>
        <w:snapToGrid w:val="0"/>
        <w:spacing w:line="356" w:lineRule="auto"/>
        <w:ind w:firstLine="562" w:firstLineChars="200"/>
        <w:rPr>
          <w:rFonts w:hint="eastAsia" w:ascii="宋体" w:hAnsi="宋体" w:cs="宋体"/>
          <w:b/>
          <w:bCs/>
          <w:color w:val="auto"/>
          <w:sz w:val="28"/>
          <w:szCs w:val="36"/>
          <w:highlight w:val="none"/>
        </w:rPr>
      </w:pPr>
      <w:r>
        <w:rPr>
          <w:rFonts w:hint="eastAsia" w:ascii="宋体" w:hAnsi="宋体" w:cs="宋体"/>
          <w:b/>
          <w:bCs/>
          <w:color w:val="auto"/>
          <w:sz w:val="28"/>
          <w:szCs w:val="36"/>
          <w:highlight w:val="none"/>
        </w:rPr>
        <w:t>二、双方一般权利和义务</w:t>
      </w:r>
    </w:p>
    <w:p w14:paraId="7ABA6A2B">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2、发包人派驻的工程师</w:t>
      </w:r>
    </w:p>
    <w:p w14:paraId="47023500">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姓名：</w:t>
      </w:r>
      <w:r>
        <w:rPr>
          <w:rFonts w:hint="eastAsia" w:ascii="宋体" w:hAnsi="宋体" w:cs="宋体"/>
          <w:color w:val="auto"/>
          <w:sz w:val="24"/>
          <w:szCs w:val="32"/>
          <w:highlight w:val="none"/>
          <w:u w:val="single"/>
        </w:rPr>
        <w:t xml:space="preserve">          </w:t>
      </w:r>
      <w:r>
        <w:rPr>
          <w:rFonts w:hint="eastAsia" w:ascii="宋体" w:hAnsi="宋体" w:cs="宋体"/>
          <w:color w:val="auto"/>
          <w:sz w:val="24"/>
          <w:szCs w:val="32"/>
          <w:highlight w:val="none"/>
        </w:rPr>
        <w:t xml:space="preserve">  职位：</w:t>
      </w:r>
      <w:r>
        <w:rPr>
          <w:rFonts w:hint="eastAsia" w:ascii="宋体" w:hAnsi="宋体" w:cs="宋体"/>
          <w:color w:val="auto"/>
          <w:sz w:val="24"/>
          <w:szCs w:val="32"/>
          <w:highlight w:val="none"/>
          <w:u w:val="single"/>
        </w:rPr>
        <w:t xml:space="preserve">           </w:t>
      </w:r>
      <w:r>
        <w:rPr>
          <w:rFonts w:hint="eastAsia" w:ascii="宋体" w:hAnsi="宋体" w:cs="宋体"/>
          <w:color w:val="auto"/>
          <w:sz w:val="24"/>
          <w:szCs w:val="32"/>
          <w:highlight w:val="none"/>
        </w:rPr>
        <w:t xml:space="preserve">  电话：</w:t>
      </w:r>
      <w:r>
        <w:rPr>
          <w:rFonts w:hint="eastAsia" w:ascii="宋体" w:hAnsi="宋体" w:cs="宋体"/>
          <w:color w:val="auto"/>
          <w:sz w:val="24"/>
          <w:szCs w:val="32"/>
          <w:highlight w:val="none"/>
          <w:u w:val="single"/>
        </w:rPr>
        <w:t xml:space="preserve">          </w:t>
      </w:r>
    </w:p>
    <w:p w14:paraId="7B4ED59A">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职权：</w:t>
      </w:r>
      <w:r>
        <w:rPr>
          <w:rFonts w:hint="eastAsia" w:ascii="宋体" w:hAnsi="宋体" w:cs="宋体"/>
          <w:color w:val="auto"/>
          <w:sz w:val="24"/>
          <w:szCs w:val="32"/>
          <w:highlight w:val="none"/>
          <w:u w:val="single"/>
        </w:rPr>
        <w:t xml:space="preserve"> 负责工程施工的协调工作，负责施工工程有关验收、签证、结算、工程资料审查等工作。</w:t>
      </w:r>
    </w:p>
    <w:p w14:paraId="42689CAD">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不实行监理的，工程师的职权：</w:t>
      </w:r>
      <w:r>
        <w:rPr>
          <w:rFonts w:hint="eastAsia" w:ascii="宋体" w:hAnsi="宋体" w:cs="宋体"/>
          <w:color w:val="auto"/>
          <w:sz w:val="24"/>
          <w:szCs w:val="32"/>
          <w:highlight w:val="none"/>
          <w:u w:val="single"/>
        </w:rPr>
        <w:t xml:space="preserve">  无 </w:t>
      </w:r>
      <w:r>
        <w:rPr>
          <w:rFonts w:hint="eastAsia" w:ascii="宋体" w:hAnsi="宋体" w:cs="宋体"/>
          <w:color w:val="auto"/>
          <w:sz w:val="24"/>
          <w:szCs w:val="32"/>
          <w:highlight w:val="none"/>
        </w:rPr>
        <w:t xml:space="preserve"> 。</w:t>
      </w:r>
    </w:p>
    <w:p w14:paraId="097C3C38">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2.4发包人工作</w:t>
      </w:r>
    </w:p>
    <w:p w14:paraId="1703048C">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发包人应按约定的时间和要求完成以下工作：</w:t>
      </w:r>
    </w:p>
    <w:p w14:paraId="41C12653">
      <w:pPr>
        <w:numPr>
          <w:ilvl w:val="0"/>
          <w:numId w:val="6"/>
        </w:num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施工场地具备施工条件的要求及完成的时间：</w:t>
      </w:r>
      <w:r>
        <w:rPr>
          <w:rFonts w:hint="eastAsia" w:ascii="宋体" w:hAnsi="宋体" w:cs="宋体"/>
          <w:color w:val="auto"/>
          <w:sz w:val="24"/>
          <w:szCs w:val="32"/>
          <w:highlight w:val="none"/>
          <w:u w:val="single"/>
        </w:rPr>
        <w:t xml:space="preserve"> 开工前7日，发包人移交施工工地等工作。</w:t>
      </w:r>
    </w:p>
    <w:p w14:paraId="37C3E978">
      <w:pPr>
        <w:numPr>
          <w:ilvl w:val="0"/>
          <w:numId w:val="6"/>
        </w:num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将施工所需的水、电、电讯线路接至施工场地的时间、地点和供应要求：</w:t>
      </w:r>
      <w:r>
        <w:rPr>
          <w:rFonts w:hint="eastAsia" w:ascii="宋体" w:hAnsi="宋体" w:cs="宋体"/>
          <w:color w:val="auto"/>
          <w:sz w:val="24"/>
          <w:szCs w:val="32"/>
          <w:highlight w:val="none"/>
          <w:u w:val="single"/>
        </w:rPr>
        <w:t>协调提供水、电接口；电讯线路由承包人自行处理。水、电、通讯费用由承包人支付。</w:t>
      </w:r>
    </w:p>
    <w:p w14:paraId="16203684">
      <w:pPr>
        <w:numPr>
          <w:ilvl w:val="0"/>
          <w:numId w:val="6"/>
        </w:num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施工场地与公共道路的通道开通时间和要求：</w:t>
      </w:r>
      <w:r>
        <w:rPr>
          <w:rFonts w:hint="eastAsia" w:ascii="宋体" w:hAnsi="宋体" w:cs="宋体"/>
          <w:color w:val="auto"/>
          <w:sz w:val="24"/>
          <w:szCs w:val="32"/>
          <w:highlight w:val="none"/>
          <w:u w:val="single"/>
        </w:rPr>
        <w:t xml:space="preserve"> 开工前7天做到施工现场周围道路畅通，并满足施工运输需要。</w:t>
      </w:r>
    </w:p>
    <w:p w14:paraId="07611B62">
      <w:pPr>
        <w:numPr>
          <w:ilvl w:val="0"/>
          <w:numId w:val="6"/>
        </w:num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工程地质和地下管线资料的提供时间：</w:t>
      </w:r>
      <w:r>
        <w:rPr>
          <w:rFonts w:hint="eastAsia" w:ascii="宋体" w:hAnsi="宋体" w:cs="宋体"/>
          <w:color w:val="auto"/>
          <w:sz w:val="24"/>
          <w:szCs w:val="32"/>
          <w:highlight w:val="none"/>
          <w:u w:val="single"/>
        </w:rPr>
        <w:t>发包方无相关完整资料的不需提供，在遇到需要工程地质和地下管线问题时，须由发包方和承包方根据现场实际情况协商解决后才可进行施工作业，否则因施工产生的一切后果由承包方负责</w:t>
      </w:r>
      <w:r>
        <w:rPr>
          <w:rFonts w:hint="eastAsia" w:ascii="宋体" w:hAnsi="宋体" w:cs="宋体"/>
          <w:color w:val="auto"/>
          <w:sz w:val="24"/>
          <w:szCs w:val="32"/>
          <w:highlight w:val="none"/>
        </w:rPr>
        <w:t>。</w:t>
      </w:r>
    </w:p>
    <w:p w14:paraId="017FF889">
      <w:pPr>
        <w:numPr>
          <w:ilvl w:val="0"/>
          <w:numId w:val="6"/>
        </w:num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由发包人办理的施工所需证件、批件的名称和完成时间：</w:t>
      </w:r>
      <w:r>
        <w:rPr>
          <w:rFonts w:hint="eastAsia" w:ascii="宋体" w:hAnsi="宋体" w:cs="宋体"/>
          <w:color w:val="auto"/>
          <w:sz w:val="24"/>
          <w:szCs w:val="32"/>
          <w:highlight w:val="none"/>
          <w:u w:val="single"/>
        </w:rPr>
        <w:t>开工7日前负责协调办理好施工许可证和临时用地证等开工所需的全部证件和批件。</w:t>
      </w:r>
    </w:p>
    <w:p w14:paraId="69262F5F">
      <w:pPr>
        <w:numPr>
          <w:ilvl w:val="0"/>
          <w:numId w:val="6"/>
        </w:num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水准点与坐标控制点交验要求：</w:t>
      </w:r>
      <w:r>
        <w:rPr>
          <w:rFonts w:hint="eastAsia" w:ascii="宋体" w:hAnsi="宋体" w:cs="宋体"/>
          <w:color w:val="auto"/>
          <w:sz w:val="24"/>
          <w:szCs w:val="32"/>
          <w:highlight w:val="none"/>
          <w:u w:val="single"/>
        </w:rPr>
        <w:t xml:space="preserve"> 发包人在开工前以书面形式交给承包人，并双方在现场进行交验。</w:t>
      </w:r>
    </w:p>
    <w:p w14:paraId="5E8D4959">
      <w:pPr>
        <w:numPr>
          <w:ilvl w:val="0"/>
          <w:numId w:val="6"/>
        </w:num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图纸会审和设计交底时间：</w:t>
      </w:r>
      <w:r>
        <w:rPr>
          <w:rFonts w:hint="eastAsia" w:ascii="宋体" w:hAnsi="宋体" w:cs="宋体"/>
          <w:color w:val="auto"/>
          <w:sz w:val="24"/>
          <w:szCs w:val="32"/>
          <w:highlight w:val="none"/>
          <w:u w:val="single"/>
        </w:rPr>
        <w:t>开工前7天，组织承包人、设计、地质勘探、监理等相关单位进行图纸会审和设计交底。</w:t>
      </w:r>
    </w:p>
    <w:p w14:paraId="3F2EE1BB">
      <w:pPr>
        <w:numPr>
          <w:ilvl w:val="0"/>
          <w:numId w:val="6"/>
        </w:num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协调处理施工场地周围地下管线和邻近建筑物、构筑物（含文物保护建筑）、古树名木的保护工作：</w:t>
      </w:r>
      <w:r>
        <w:rPr>
          <w:rFonts w:hint="eastAsia" w:ascii="宋体" w:hAnsi="宋体" w:cs="宋体"/>
          <w:color w:val="auto"/>
          <w:sz w:val="24"/>
          <w:szCs w:val="32"/>
          <w:highlight w:val="none"/>
          <w:u w:val="single"/>
        </w:rPr>
        <w:t>由发包人负责协调，承包人负责保护，费用由发包人承担。</w:t>
      </w:r>
    </w:p>
    <w:p w14:paraId="067EFA93">
      <w:pPr>
        <w:numPr>
          <w:ilvl w:val="0"/>
          <w:numId w:val="6"/>
        </w:num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 xml:space="preserve">双方约定发包人应做的其他工作： </w:t>
      </w:r>
      <w:r>
        <w:rPr>
          <w:rFonts w:hint="eastAsia" w:ascii="宋体" w:hAnsi="宋体" w:cs="宋体"/>
          <w:color w:val="auto"/>
          <w:sz w:val="24"/>
          <w:szCs w:val="32"/>
          <w:highlight w:val="none"/>
          <w:u w:val="single"/>
        </w:rPr>
        <w:t>无 。</w:t>
      </w:r>
    </w:p>
    <w:p w14:paraId="16193476">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发包人委托承包人办理的工作：</w:t>
      </w:r>
      <w:r>
        <w:rPr>
          <w:rFonts w:hint="eastAsia" w:ascii="宋体" w:hAnsi="宋体" w:cs="宋体"/>
          <w:color w:val="auto"/>
          <w:sz w:val="24"/>
          <w:szCs w:val="32"/>
          <w:highlight w:val="none"/>
          <w:u w:val="single"/>
        </w:rPr>
        <w:t xml:space="preserve"> 无 。</w:t>
      </w:r>
    </w:p>
    <w:p w14:paraId="107A1655">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2.5担保</w:t>
      </w:r>
    </w:p>
    <w:p w14:paraId="230358BC">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本工程双方约定担保内容如下：</w:t>
      </w:r>
    </w:p>
    <w:p w14:paraId="4E46CF64">
      <w:pPr>
        <w:adjustRightInd w:val="0"/>
        <w:snapToGrid w:val="0"/>
        <w:spacing w:line="356"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（1）发包人向承包人提供支付担保，担保方式为：</w:t>
      </w:r>
      <w:r>
        <w:rPr>
          <w:rFonts w:hint="eastAsia" w:ascii="宋体" w:hAnsi="宋体" w:cs="宋体"/>
          <w:color w:val="auto"/>
          <w:sz w:val="24"/>
          <w:highlight w:val="none"/>
          <w:u w:val="single"/>
        </w:rPr>
        <w:t xml:space="preserve"> 无 。</w:t>
      </w:r>
    </w:p>
    <w:p w14:paraId="63DE7EE9">
      <w:pPr>
        <w:adjustRightInd w:val="0"/>
        <w:snapToGrid w:val="0"/>
        <w:spacing w:line="356"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（2）承包人向发包人提供履约担保，担保方式为：</w:t>
      </w:r>
      <w:r>
        <w:rPr>
          <w:rFonts w:hint="eastAsia" w:ascii="宋体" w:hAnsi="宋体" w:cs="宋体"/>
          <w:color w:val="auto"/>
          <w:sz w:val="24"/>
          <w:highlight w:val="none"/>
          <w:u w:val="single"/>
        </w:rPr>
        <w:t xml:space="preserve"> 在签订合同时向财政部门交中标价2%履约保证金。履约保证金提交方式：银行转账、支票、汇票、本票或者银行、保险机构出具的保函、保险单等非现金方式，审计结算后无息返回。</w:t>
      </w:r>
    </w:p>
    <w:p w14:paraId="315B0D36">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（3）如投标人提供虚假材料造成流标、废标的，扣除投标保证金，提交了履约保证金的一并扣除，造成其他损失的由投标人承担。</w:t>
      </w:r>
    </w:p>
    <w:p w14:paraId="682F2917">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3、承包人</w:t>
      </w:r>
    </w:p>
    <w:p w14:paraId="0FBB7D34">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项目经理</w:t>
      </w:r>
    </w:p>
    <w:p w14:paraId="56D4502F">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姓名：</w:t>
      </w:r>
      <w:r>
        <w:rPr>
          <w:rFonts w:hint="eastAsia" w:ascii="宋体" w:hAnsi="宋体" w:cs="宋体"/>
          <w:color w:val="auto"/>
          <w:sz w:val="24"/>
          <w:szCs w:val="32"/>
          <w:highlight w:val="none"/>
          <w:u w:val="single"/>
        </w:rPr>
        <w:t xml:space="preserve">              </w:t>
      </w:r>
      <w:r>
        <w:rPr>
          <w:rFonts w:hint="eastAsia" w:ascii="宋体" w:hAnsi="宋体" w:cs="宋体"/>
          <w:color w:val="auto"/>
          <w:sz w:val="24"/>
          <w:szCs w:val="32"/>
          <w:highlight w:val="none"/>
        </w:rPr>
        <w:t xml:space="preserve">    职务： </w:t>
      </w:r>
      <w:r>
        <w:rPr>
          <w:rFonts w:hint="eastAsia" w:ascii="宋体" w:hAnsi="宋体" w:cs="宋体"/>
          <w:color w:val="auto"/>
          <w:sz w:val="24"/>
          <w:szCs w:val="32"/>
          <w:highlight w:val="none"/>
          <w:u w:val="single"/>
        </w:rPr>
        <w:t xml:space="preserve">  项目经理    </w:t>
      </w:r>
    </w:p>
    <w:p w14:paraId="76658F25">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3.1承包人工作</w:t>
      </w:r>
    </w:p>
    <w:p w14:paraId="30FCF124">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承包人应按约定时间和要求，完成以下工作：</w:t>
      </w:r>
    </w:p>
    <w:p w14:paraId="6D74023F">
      <w:pPr>
        <w:numPr>
          <w:ilvl w:val="0"/>
          <w:numId w:val="7"/>
        </w:num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需由设计资质等级和业务范围允许的承包人完成的设计文件提交时间：</w:t>
      </w:r>
      <w:r>
        <w:rPr>
          <w:rFonts w:hint="eastAsia" w:ascii="宋体" w:hAnsi="宋体" w:cs="宋体"/>
          <w:color w:val="auto"/>
          <w:sz w:val="24"/>
          <w:szCs w:val="32"/>
          <w:highlight w:val="none"/>
          <w:u w:val="single"/>
        </w:rPr>
        <w:t xml:space="preserve"> 无。</w:t>
      </w:r>
    </w:p>
    <w:p w14:paraId="645E47D5">
      <w:pPr>
        <w:numPr>
          <w:ilvl w:val="0"/>
          <w:numId w:val="7"/>
        </w:num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应提供计划、报表的名称及完成时间：</w:t>
      </w:r>
      <w:r>
        <w:rPr>
          <w:rFonts w:hint="eastAsia" w:ascii="宋体" w:hAnsi="宋体" w:cs="宋体"/>
          <w:color w:val="auto"/>
          <w:sz w:val="24"/>
          <w:szCs w:val="32"/>
          <w:highlight w:val="none"/>
          <w:u w:val="single"/>
        </w:rPr>
        <w:t>每月25日提供当月完成工程量报表、次月计划完成工程量报表各两份。</w:t>
      </w:r>
    </w:p>
    <w:p w14:paraId="508753D9">
      <w:pPr>
        <w:numPr>
          <w:ilvl w:val="0"/>
          <w:numId w:val="7"/>
        </w:num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承担施工安全保卫工作及非夜间施工照明的责任和要求：</w:t>
      </w:r>
      <w:r>
        <w:rPr>
          <w:rFonts w:hint="eastAsia" w:ascii="宋体" w:hAnsi="宋体" w:cs="宋体"/>
          <w:color w:val="auto"/>
          <w:sz w:val="24"/>
          <w:szCs w:val="32"/>
          <w:highlight w:val="none"/>
          <w:u w:val="single"/>
        </w:rPr>
        <w:t>提供和维修非夜间施工使用的照明、围栏设施，并负责安全保卫。</w:t>
      </w:r>
    </w:p>
    <w:p w14:paraId="171FF778">
      <w:pPr>
        <w:numPr>
          <w:ilvl w:val="0"/>
          <w:numId w:val="7"/>
        </w:num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已完工程品保护的特殊要求及费用承担：</w:t>
      </w:r>
      <w:r>
        <w:rPr>
          <w:rFonts w:hint="eastAsia" w:ascii="宋体" w:hAnsi="宋体" w:cs="宋体"/>
          <w:color w:val="auto"/>
          <w:sz w:val="24"/>
          <w:szCs w:val="32"/>
          <w:highlight w:val="none"/>
          <w:u w:val="single"/>
        </w:rPr>
        <w:t>在竣工验收移交全部工程前，由承包人负责采取保护措施，并承担费用。</w:t>
      </w:r>
    </w:p>
    <w:p w14:paraId="02300C15">
      <w:pPr>
        <w:numPr>
          <w:ilvl w:val="0"/>
          <w:numId w:val="7"/>
        </w:num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施工场地设置地下管线和邻近建筑物、构筑物（含文物保护建筑）、古树名木的保护要求及费用承担：</w:t>
      </w:r>
      <w:r>
        <w:rPr>
          <w:rFonts w:hint="eastAsia" w:ascii="宋体" w:hAnsi="宋体" w:cs="宋体"/>
          <w:color w:val="auto"/>
          <w:sz w:val="24"/>
          <w:szCs w:val="32"/>
          <w:highlight w:val="none"/>
          <w:u w:val="single"/>
        </w:rPr>
        <w:t>由发包人负责协调，相关费用由发包人承担，承包人负责保护，施工时如因承包人原因损坏地下管线，邻近建筑物、构筑物，所发生的费用由承包人负责承担。</w:t>
      </w:r>
    </w:p>
    <w:p w14:paraId="71BB91EE">
      <w:pPr>
        <w:numPr>
          <w:ilvl w:val="0"/>
          <w:numId w:val="7"/>
        </w:num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施工场地清洁卫生的要求：</w:t>
      </w:r>
      <w:r>
        <w:rPr>
          <w:rFonts w:hint="eastAsia" w:ascii="宋体" w:hAnsi="宋体" w:cs="宋体"/>
          <w:color w:val="auto"/>
          <w:sz w:val="24"/>
          <w:szCs w:val="32"/>
          <w:highlight w:val="none"/>
          <w:u w:val="single"/>
        </w:rPr>
        <w:t>承包人保证施工场地清洁符合环境卫生管理的有关规定，交工前清理现场做到工完场清，并承担因自身原因违反有关规定造成损失和罚款。</w:t>
      </w:r>
    </w:p>
    <w:p w14:paraId="15B9DA3F">
      <w:pPr>
        <w:pStyle w:val="16"/>
        <w:spacing w:after="0" w:line="356" w:lineRule="auto"/>
        <w:ind w:left="0" w:leftChars="0"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双方约定承包人应做的其他工作：</w:t>
      </w:r>
      <w:r>
        <w:rPr>
          <w:rFonts w:hint="eastAsia" w:ascii="宋体" w:hAnsi="宋体" w:cs="宋体"/>
          <w:color w:val="auto"/>
          <w:sz w:val="24"/>
          <w:szCs w:val="32"/>
          <w:highlight w:val="none"/>
          <w:u w:val="single"/>
        </w:rPr>
        <w:t>无。</w:t>
      </w:r>
    </w:p>
    <w:p w14:paraId="2E3B51D5">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3.5工程分包</w:t>
      </w:r>
    </w:p>
    <w:p w14:paraId="655E0DFE">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3.5.2本工程发包人同意承包人分包的工程：</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64A93BC5">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分包施工单位为</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40F8EDF7">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4.1监理单位：</w:t>
      </w:r>
      <w:r>
        <w:rPr>
          <w:rFonts w:hint="eastAsia" w:ascii="宋体" w:hAnsi="宋体" w:cs="宋体"/>
          <w:color w:val="auto"/>
          <w:sz w:val="24"/>
          <w:szCs w:val="32"/>
          <w:highlight w:val="none"/>
          <w:u w:val="single"/>
        </w:rPr>
        <w:t xml:space="preserve">                 </w:t>
      </w:r>
    </w:p>
    <w:p w14:paraId="6504382A">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委派的工程师姓名：</w:t>
      </w:r>
      <w:r>
        <w:rPr>
          <w:rFonts w:hint="eastAsia" w:ascii="宋体" w:hAnsi="宋体" w:cs="宋体"/>
          <w:color w:val="auto"/>
          <w:sz w:val="24"/>
          <w:szCs w:val="32"/>
          <w:highlight w:val="none"/>
          <w:u w:val="single"/>
        </w:rPr>
        <w:t xml:space="preserve">        </w:t>
      </w:r>
      <w:r>
        <w:rPr>
          <w:rFonts w:hint="eastAsia" w:ascii="宋体" w:hAnsi="宋体" w:cs="宋体"/>
          <w:color w:val="auto"/>
          <w:sz w:val="24"/>
          <w:szCs w:val="32"/>
          <w:highlight w:val="none"/>
        </w:rPr>
        <w:t xml:space="preserve"> 职务：</w:t>
      </w:r>
      <w:r>
        <w:rPr>
          <w:rFonts w:hint="eastAsia" w:ascii="宋体" w:hAnsi="宋体" w:cs="宋体"/>
          <w:color w:val="auto"/>
          <w:sz w:val="24"/>
          <w:szCs w:val="32"/>
          <w:highlight w:val="none"/>
          <w:u w:val="single"/>
        </w:rPr>
        <w:t xml:space="preserve">       </w:t>
      </w:r>
      <w:r>
        <w:rPr>
          <w:rFonts w:hint="eastAsia" w:ascii="宋体" w:hAnsi="宋体" w:cs="宋体"/>
          <w:color w:val="auto"/>
          <w:sz w:val="24"/>
          <w:szCs w:val="32"/>
          <w:highlight w:val="none"/>
        </w:rPr>
        <w:t xml:space="preserve"> 电话：</w:t>
      </w:r>
      <w:r>
        <w:rPr>
          <w:rFonts w:hint="eastAsia" w:ascii="宋体" w:hAnsi="宋体" w:cs="宋体"/>
          <w:color w:val="auto"/>
          <w:sz w:val="24"/>
          <w:szCs w:val="32"/>
          <w:highlight w:val="none"/>
          <w:u w:val="single"/>
        </w:rPr>
        <w:t xml:space="preserve">       </w:t>
      </w:r>
    </w:p>
    <w:p w14:paraId="7DAF703A">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发包人委托的职权：</w:t>
      </w:r>
      <w:r>
        <w:rPr>
          <w:rFonts w:hint="eastAsia" w:ascii="宋体" w:hAnsi="宋体" w:cs="宋体"/>
          <w:color w:val="auto"/>
          <w:sz w:val="24"/>
          <w:szCs w:val="32"/>
          <w:highlight w:val="none"/>
          <w:u w:val="single"/>
        </w:rPr>
        <w:t xml:space="preserve"> 按本工程委托监理合同 </w:t>
      </w:r>
    </w:p>
    <w:p w14:paraId="2883CE0B">
      <w:pPr>
        <w:pStyle w:val="16"/>
        <w:spacing w:after="0" w:line="356" w:lineRule="auto"/>
        <w:ind w:left="0" w:leftChars="0"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需要取得发包人批准才能行使的职权：</w:t>
      </w:r>
      <w:r>
        <w:rPr>
          <w:rFonts w:hint="eastAsia" w:ascii="宋体" w:hAnsi="宋体" w:cs="宋体"/>
          <w:color w:val="auto"/>
          <w:sz w:val="24"/>
          <w:szCs w:val="32"/>
          <w:highlight w:val="none"/>
          <w:u w:val="single"/>
        </w:rPr>
        <w:t xml:space="preserve">  按本合同委托监理合同 。</w:t>
      </w:r>
    </w:p>
    <w:p w14:paraId="6A1C010B">
      <w:pPr>
        <w:pStyle w:val="16"/>
        <w:spacing w:after="0" w:line="356" w:lineRule="auto"/>
        <w:ind w:left="0" w:leftChars="0" w:firstLine="562" w:firstLineChars="200"/>
        <w:rPr>
          <w:rFonts w:hint="eastAsia" w:ascii="宋体" w:hAnsi="宋体" w:cs="宋体"/>
          <w:b/>
          <w:bCs/>
          <w:color w:val="auto"/>
          <w:sz w:val="28"/>
          <w:szCs w:val="36"/>
          <w:highlight w:val="none"/>
        </w:rPr>
      </w:pPr>
      <w:r>
        <w:rPr>
          <w:rFonts w:hint="eastAsia" w:ascii="宋体" w:hAnsi="宋体" w:cs="宋体"/>
          <w:b/>
          <w:bCs/>
          <w:color w:val="auto"/>
          <w:sz w:val="28"/>
          <w:szCs w:val="36"/>
          <w:highlight w:val="none"/>
        </w:rPr>
        <w:t>三、施工组织设计个工期</w:t>
      </w:r>
    </w:p>
    <w:p w14:paraId="65F9345C">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7、进度计划</w:t>
      </w:r>
    </w:p>
    <w:p w14:paraId="177AE48B">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7.1.2承包人提供施工组织设计（施工方案）和进度计划的时间：</w:t>
      </w:r>
      <w:r>
        <w:rPr>
          <w:rFonts w:hint="eastAsia" w:ascii="宋体" w:hAnsi="宋体" w:cs="宋体"/>
          <w:color w:val="auto"/>
          <w:sz w:val="24"/>
          <w:szCs w:val="32"/>
          <w:highlight w:val="none"/>
          <w:u w:val="single"/>
        </w:rPr>
        <w:t>合同签订之日起15日内，并全面动工建设。</w:t>
      </w:r>
    </w:p>
    <w:p w14:paraId="742A0A90">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工程师确认的时间：</w:t>
      </w:r>
      <w:r>
        <w:rPr>
          <w:rFonts w:hint="eastAsia" w:ascii="宋体" w:hAnsi="宋体" w:cs="宋体"/>
          <w:color w:val="auto"/>
          <w:sz w:val="24"/>
          <w:szCs w:val="32"/>
          <w:highlight w:val="none"/>
          <w:u w:val="single"/>
        </w:rPr>
        <w:t>于收到之日起5日内批复。</w:t>
      </w:r>
    </w:p>
    <w:p w14:paraId="33436090">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群体工程中有关进度计划的要求：</w:t>
      </w:r>
      <w:r>
        <w:rPr>
          <w:rFonts w:hint="eastAsia" w:ascii="宋体" w:hAnsi="宋体" w:cs="宋体"/>
          <w:color w:val="auto"/>
          <w:sz w:val="24"/>
          <w:szCs w:val="32"/>
          <w:highlight w:val="none"/>
          <w:u w:val="single"/>
        </w:rPr>
        <w:t>按投标（响应）文件计划。</w:t>
      </w:r>
    </w:p>
    <w:p w14:paraId="35085C6B">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7.5工期延误</w:t>
      </w:r>
    </w:p>
    <w:p w14:paraId="1625A9BA">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7.5.1双方约定工期顺延的其他情况：</w:t>
      </w:r>
      <w:r>
        <w:rPr>
          <w:rFonts w:hint="eastAsia" w:ascii="宋体" w:hAnsi="宋体" w:cs="宋体"/>
          <w:color w:val="auto"/>
          <w:sz w:val="24"/>
          <w:szCs w:val="32"/>
          <w:highlight w:val="none"/>
          <w:u w:val="single"/>
        </w:rPr>
        <w:t>因工程行政主管部门指令性（除因施工方责任外）停工；发包人不能按时支付工程进度款给承包人；非承包人责任而造成的工期延误及发包人同意顺延工期的其他情况。</w:t>
      </w:r>
    </w:p>
    <w:p w14:paraId="06BCDAD0">
      <w:pPr>
        <w:pStyle w:val="5"/>
        <w:adjustRightInd w:val="0"/>
        <w:snapToGrid w:val="0"/>
        <w:spacing w:line="356" w:lineRule="auto"/>
        <w:ind w:firstLine="562"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四、材料设备供应</w:t>
      </w:r>
    </w:p>
    <w:p w14:paraId="403D20A4">
      <w:pPr>
        <w:pStyle w:val="5"/>
        <w:adjustRightInd w:val="0"/>
        <w:snapToGrid w:val="0"/>
        <w:spacing w:line="356" w:lineRule="auto"/>
        <w:ind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8.1发包人供应材料设备：</w:t>
      </w:r>
      <w:r>
        <w:rPr>
          <w:rFonts w:hint="eastAsia" w:ascii="宋体" w:hAnsi="宋体" w:eastAsia="宋体" w:cs="宋体"/>
          <w:color w:val="auto"/>
          <w:sz w:val="24"/>
          <w:szCs w:val="24"/>
          <w:highlight w:val="none"/>
          <w:u w:val="single"/>
        </w:rPr>
        <w:t xml:space="preserve"> </w:t>
      </w:r>
      <w:r>
        <w:rPr>
          <w:rFonts w:hint="eastAsia" w:ascii="宋体" w:hAnsi="宋体" w:eastAsia="宋体" w:cs="宋体"/>
          <w:b w:val="0"/>
          <w:bCs w:val="0"/>
          <w:color w:val="auto"/>
          <w:sz w:val="24"/>
          <w:szCs w:val="24"/>
          <w:highlight w:val="none"/>
          <w:u w:val="single"/>
        </w:rPr>
        <w:t xml:space="preserve"> 无  </w:t>
      </w:r>
      <w:r>
        <w:rPr>
          <w:rFonts w:hint="eastAsia" w:ascii="宋体" w:hAnsi="宋体" w:eastAsia="宋体" w:cs="宋体"/>
          <w:b w:val="0"/>
          <w:bCs w:val="0"/>
          <w:color w:val="auto"/>
          <w:sz w:val="24"/>
          <w:szCs w:val="24"/>
          <w:highlight w:val="none"/>
        </w:rPr>
        <w:t xml:space="preserve"> 。</w:t>
      </w:r>
    </w:p>
    <w:p w14:paraId="1FC30318">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8.3.1发包人供应的材料设备与一览表不符时，双方约定发包人承担责任如下：</w:t>
      </w:r>
    </w:p>
    <w:p w14:paraId="395EBD8E">
      <w:pPr>
        <w:numPr>
          <w:ilvl w:val="0"/>
          <w:numId w:val="8"/>
        </w:num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材料设备单价与一览表不符：</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2C0307E1">
      <w:pPr>
        <w:numPr>
          <w:ilvl w:val="0"/>
          <w:numId w:val="8"/>
        </w:num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材料设备的品种、规格、型号、质量等级与一览表不符：</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44D33131">
      <w:pPr>
        <w:numPr>
          <w:ilvl w:val="0"/>
          <w:numId w:val="8"/>
        </w:num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kern w:val="0"/>
          <w:sz w:val="24"/>
          <w:highlight w:val="none"/>
        </w:rPr>
        <w:t>承包人可代为调剂串换的材料：</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0E96A7F2">
      <w:pPr>
        <w:numPr>
          <w:ilvl w:val="0"/>
          <w:numId w:val="8"/>
        </w:num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到货地点与一览表不符：</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7473AFC9">
      <w:pPr>
        <w:numPr>
          <w:ilvl w:val="0"/>
          <w:numId w:val="8"/>
        </w:num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供应数量与一览表不符：</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041DE1DA">
      <w:pPr>
        <w:numPr>
          <w:ilvl w:val="0"/>
          <w:numId w:val="8"/>
        </w:num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到货时间与一览表不符：</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5CEAEABA">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发包人供应材料设备的</w:t>
      </w:r>
      <w:r>
        <w:rPr>
          <w:rFonts w:hint="eastAsia" w:ascii="宋体" w:hAnsi="宋体" w:cs="宋体"/>
          <w:bCs/>
          <w:color w:val="auto"/>
          <w:sz w:val="24"/>
          <w:highlight w:val="none"/>
        </w:rPr>
        <w:t>结算方法：</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4038B8AD">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8.2</w:t>
      </w:r>
      <w:r>
        <w:rPr>
          <w:rFonts w:hint="eastAsia" w:ascii="宋体" w:hAnsi="宋体" w:cs="宋体"/>
          <w:color w:val="auto"/>
          <w:kern w:val="0"/>
          <w:sz w:val="24"/>
          <w:highlight w:val="none"/>
        </w:rPr>
        <w:t>承包人采购</w:t>
      </w:r>
      <w:r>
        <w:rPr>
          <w:rFonts w:hint="eastAsia" w:ascii="宋体" w:hAnsi="宋体" w:cs="宋体"/>
          <w:color w:val="auto"/>
          <w:sz w:val="24"/>
          <w:highlight w:val="none"/>
        </w:rPr>
        <w:t>材料设备</w:t>
      </w:r>
    </w:p>
    <w:p w14:paraId="1FCE5D5A">
      <w:pPr>
        <w:adjustRightInd w:val="0"/>
        <w:snapToGrid w:val="0"/>
        <w:spacing w:line="356" w:lineRule="auto"/>
        <w:ind w:firstLine="480" w:firstLineChars="200"/>
        <w:rPr>
          <w:rFonts w:hint="eastAsia" w:ascii="宋体" w:hAnsi="宋体" w:cs="宋体"/>
          <w:color w:val="auto"/>
          <w:highlight w:val="none"/>
        </w:rPr>
      </w:pPr>
      <w:r>
        <w:rPr>
          <w:rFonts w:hint="eastAsia" w:ascii="宋体" w:hAnsi="宋体" w:cs="宋体"/>
          <w:color w:val="auto"/>
          <w:kern w:val="0"/>
          <w:sz w:val="24"/>
          <w:highlight w:val="none"/>
        </w:rPr>
        <w:t>承包人采购</w:t>
      </w:r>
      <w:r>
        <w:rPr>
          <w:rFonts w:hint="eastAsia" w:ascii="宋体" w:hAnsi="宋体" w:cs="宋体"/>
          <w:color w:val="auto"/>
          <w:sz w:val="24"/>
          <w:highlight w:val="none"/>
        </w:rPr>
        <w:t>材料设备的约定：</w:t>
      </w:r>
      <w:r>
        <w:rPr>
          <w:rFonts w:hint="eastAsia" w:ascii="宋体" w:hAnsi="宋体" w:cs="宋体"/>
          <w:color w:val="auto"/>
          <w:sz w:val="24"/>
          <w:highlight w:val="none"/>
          <w:u w:val="single"/>
        </w:rPr>
        <w:t xml:space="preserve">本合同工程实行承包人包工包料方式，由承包人自购。所购材料必须有产品合格证，试验或检验报告，并由监理工程师和发包人工地代表验证后才能进场及投入施工。  </w:t>
      </w:r>
    </w:p>
    <w:p w14:paraId="3EC40C70">
      <w:pPr>
        <w:adjustRightInd w:val="0"/>
        <w:snapToGrid w:val="0"/>
        <w:spacing w:line="356" w:lineRule="auto"/>
        <w:ind w:firstLine="562" w:firstLineChars="200"/>
        <w:rPr>
          <w:rFonts w:hint="eastAsia" w:ascii="宋体" w:hAnsi="宋体" w:cs="宋体"/>
          <w:b/>
          <w:bCs/>
          <w:color w:val="auto"/>
          <w:sz w:val="28"/>
          <w:szCs w:val="36"/>
          <w:highlight w:val="none"/>
        </w:rPr>
      </w:pPr>
      <w:r>
        <w:rPr>
          <w:rFonts w:hint="eastAsia" w:ascii="宋体" w:hAnsi="宋体" w:cs="宋体"/>
          <w:b/>
          <w:bCs/>
          <w:color w:val="auto"/>
          <w:sz w:val="28"/>
          <w:szCs w:val="36"/>
          <w:highlight w:val="none"/>
        </w:rPr>
        <w:t>五、变更</w:t>
      </w:r>
    </w:p>
    <w:p w14:paraId="4BBB5CE9">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highlight w:val="none"/>
        </w:rPr>
        <w:t>按《通用条款》10.1、10.2、10.3、10.4款执行。</w:t>
      </w:r>
    </w:p>
    <w:p w14:paraId="6C4655B4">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10.4.1变更的估价原则</w:t>
      </w:r>
    </w:p>
    <w:p w14:paraId="7DDACE81">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因变更引起的价格调整按照本款约定处理。</w:t>
      </w:r>
    </w:p>
    <w:p w14:paraId="21C82D49">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（1）已标价工程量清单中有使用于变更工作的子目的，采用该子目的单价。</w:t>
      </w:r>
    </w:p>
    <w:p w14:paraId="51444DAF">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（2）已标价工程量清单中无适用于变更工作的子目的，但有类似子目的，可在合理范围内参照类似子目的单价。</w:t>
      </w:r>
    </w:p>
    <w:p w14:paraId="2D3F72DD">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（3）已标价工程量清单中无适用或类似子目的单价，</w:t>
      </w:r>
      <w:r>
        <w:rPr>
          <w:rFonts w:hint="eastAsia" w:ascii="宋体" w:hAnsi="宋体" w:cs="宋体"/>
          <w:color w:val="auto"/>
          <w:sz w:val="24"/>
          <w:szCs w:val="32"/>
          <w:highlight w:val="none"/>
          <w:u w:val="single"/>
        </w:rPr>
        <w:t>①有定额的套定额计算其综合单价（其中材料价格有信息价的按施工期间浦北县的信息价，无信息价的由发包人、承包人、监理人市场询价），并乘以中标价除以招标控制价得出的系数确定新的综合价。②新增项目无定额可套的，由发包人、承包人、监理人市场询价并乘以中标价除以招标控制价得出的系数确定新的综合价。</w:t>
      </w:r>
    </w:p>
    <w:p w14:paraId="2E988500">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11、价格调整</w:t>
      </w:r>
    </w:p>
    <w:p w14:paraId="624A6ED9">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11.1物价波动引起价格调整：</w:t>
      </w:r>
      <w:r>
        <w:rPr>
          <w:rFonts w:hint="eastAsia" w:ascii="宋体" w:hAnsi="宋体" w:cs="宋体"/>
          <w:color w:val="auto"/>
          <w:sz w:val="24"/>
          <w:szCs w:val="32"/>
          <w:highlight w:val="none"/>
          <w:u w:val="single"/>
        </w:rPr>
        <w:t xml:space="preserve"> 无。</w:t>
      </w:r>
    </w:p>
    <w:p w14:paraId="53B599D2">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11.1.1采用价格指数调整价格差额：</w:t>
      </w:r>
      <w:r>
        <w:rPr>
          <w:rFonts w:hint="eastAsia" w:ascii="宋体" w:hAnsi="宋体" w:cs="宋体"/>
          <w:color w:val="auto"/>
          <w:sz w:val="24"/>
          <w:szCs w:val="32"/>
          <w:highlight w:val="none"/>
          <w:u w:val="single"/>
        </w:rPr>
        <w:t>无。</w:t>
      </w:r>
    </w:p>
    <w:p w14:paraId="7FA80439">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11.1.2采用造价信息调整价格差额：</w:t>
      </w:r>
      <w:r>
        <w:rPr>
          <w:rFonts w:hint="eastAsia" w:ascii="宋体" w:hAnsi="宋体" w:cs="宋体"/>
          <w:color w:val="auto"/>
          <w:sz w:val="24"/>
          <w:szCs w:val="32"/>
          <w:highlight w:val="none"/>
          <w:u w:val="single"/>
        </w:rPr>
        <w:t>无。</w:t>
      </w:r>
    </w:p>
    <w:p w14:paraId="276BEAFE">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双方约定合同价款的其他调整因素：</w:t>
      </w:r>
      <w:r>
        <w:rPr>
          <w:rFonts w:hint="eastAsia" w:ascii="宋体" w:hAnsi="宋体" w:cs="宋体"/>
          <w:color w:val="auto"/>
          <w:sz w:val="24"/>
          <w:szCs w:val="32"/>
          <w:highlight w:val="none"/>
          <w:u w:val="single"/>
        </w:rPr>
        <w:t>无。</w:t>
      </w:r>
    </w:p>
    <w:p w14:paraId="6B8F32FE">
      <w:pPr>
        <w:adjustRightInd w:val="0"/>
        <w:snapToGrid w:val="0"/>
        <w:spacing w:line="356" w:lineRule="auto"/>
        <w:ind w:firstLine="562" w:firstLineChars="200"/>
        <w:rPr>
          <w:rFonts w:hint="eastAsia" w:ascii="宋体" w:hAnsi="宋体" w:cs="宋体"/>
          <w:b/>
          <w:bCs/>
          <w:color w:val="auto"/>
          <w:sz w:val="28"/>
          <w:szCs w:val="36"/>
          <w:highlight w:val="none"/>
        </w:rPr>
      </w:pPr>
      <w:r>
        <w:rPr>
          <w:rFonts w:hint="eastAsia" w:ascii="宋体" w:hAnsi="宋体" w:cs="宋体"/>
          <w:b/>
          <w:bCs/>
          <w:color w:val="auto"/>
          <w:sz w:val="28"/>
          <w:szCs w:val="36"/>
          <w:highlight w:val="none"/>
        </w:rPr>
        <w:t>六、合同价款与支付</w:t>
      </w:r>
    </w:p>
    <w:p w14:paraId="03F64775">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12、合同价款及调整</w:t>
      </w:r>
    </w:p>
    <w:p w14:paraId="49FC7C6E">
      <w:pPr>
        <w:pStyle w:val="8"/>
        <w:spacing w:line="356" w:lineRule="auto"/>
        <w:ind w:firstLine="480" w:firstLineChars="200"/>
        <w:rPr>
          <w:rFonts w:hint="eastAsia" w:ascii="宋体" w:hAnsi="宋体" w:cs="宋体"/>
          <w:b w:val="0"/>
          <w:color w:val="auto"/>
          <w:sz w:val="24"/>
          <w:szCs w:val="24"/>
          <w:highlight w:val="none"/>
        </w:rPr>
      </w:pPr>
      <w:r>
        <w:rPr>
          <w:rFonts w:hint="eastAsia" w:ascii="宋体" w:hAnsi="宋体" w:cs="宋体"/>
          <w:b w:val="0"/>
          <w:color w:val="auto"/>
          <w:sz w:val="24"/>
          <w:szCs w:val="24"/>
          <w:highlight w:val="none"/>
        </w:rPr>
        <w:t>12.2预付款</w:t>
      </w:r>
    </w:p>
    <w:p w14:paraId="491117CA">
      <w:pPr>
        <w:spacing w:line="356"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12.2.1</w:t>
      </w:r>
      <w:r>
        <w:rPr>
          <w:rFonts w:hint="eastAsia" w:ascii="宋体" w:hAnsi="宋体" w:cs="宋体"/>
          <w:color w:val="auto"/>
          <w:kern w:val="0"/>
          <w:sz w:val="24"/>
          <w:highlight w:val="none"/>
        </w:rPr>
        <w:t>预付款的支付</w:t>
      </w:r>
    </w:p>
    <w:p w14:paraId="5515DF1F">
      <w:pPr>
        <w:spacing w:line="356" w:lineRule="auto"/>
        <w:ind w:firstLine="480" w:firstLineChars="200"/>
        <w:jc w:val="left"/>
        <w:rPr>
          <w:rFonts w:hint="eastAsia" w:ascii="宋体" w:hAnsi="宋体" w:cs="宋体"/>
          <w:color w:val="auto"/>
          <w:sz w:val="24"/>
          <w:szCs w:val="32"/>
          <w:highlight w:val="none"/>
        </w:rPr>
      </w:pPr>
      <w:r>
        <w:rPr>
          <w:rFonts w:hint="eastAsia" w:ascii="宋体" w:hAnsi="宋体" w:cs="宋体"/>
          <w:color w:val="auto"/>
          <w:kern w:val="0"/>
          <w:sz w:val="24"/>
          <w:highlight w:val="none"/>
        </w:rPr>
        <w:t>项目实质性开工7天后，可以向财政部门申请不高于合同价30%项目预付款，同时提供合同价30%的预付款保函（必须为无条件的预付款保函且有效期至少12个月）。预付款应当用于材料、工程设备、施工设备的采购及修建临时工程、组织施工队伍进场等。预付款在第一次进度付款中扣回。</w:t>
      </w:r>
    </w:p>
    <w:p w14:paraId="6CCCCC05">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highlight w:val="none"/>
        </w:rPr>
        <w:t>12.1</w:t>
      </w:r>
      <w:r>
        <w:rPr>
          <w:rFonts w:hint="eastAsia" w:ascii="宋体" w:hAnsi="宋体" w:cs="宋体"/>
          <w:color w:val="auto"/>
          <w:sz w:val="24"/>
          <w:szCs w:val="32"/>
          <w:highlight w:val="none"/>
        </w:rPr>
        <w:t>本合同价款采用</w:t>
      </w:r>
      <w:r>
        <w:rPr>
          <w:rFonts w:hint="eastAsia" w:ascii="宋体" w:hAnsi="宋体" w:cs="宋体"/>
          <w:color w:val="auto"/>
          <w:sz w:val="24"/>
          <w:szCs w:val="32"/>
          <w:highlight w:val="none"/>
          <w:u w:val="single"/>
        </w:rPr>
        <w:t xml:space="preserve"> 固定综合单价（指工程量清单所包含的内容）</w:t>
      </w:r>
      <w:r>
        <w:rPr>
          <w:rFonts w:hint="eastAsia" w:ascii="宋体" w:hAnsi="宋体" w:cs="宋体"/>
          <w:color w:val="auto"/>
          <w:sz w:val="24"/>
          <w:szCs w:val="32"/>
          <w:highlight w:val="none"/>
        </w:rPr>
        <w:t>合同方式确定。</w:t>
      </w:r>
    </w:p>
    <w:p w14:paraId="5BB22D23">
      <w:pPr>
        <w:numPr>
          <w:ilvl w:val="0"/>
          <w:numId w:val="9"/>
        </w:num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风险费用的计算方式：</w:t>
      </w:r>
      <w:r>
        <w:rPr>
          <w:rFonts w:hint="eastAsia" w:ascii="宋体" w:hAnsi="宋体" w:cs="宋体"/>
          <w:color w:val="auto"/>
          <w:sz w:val="24"/>
          <w:szCs w:val="32"/>
          <w:highlight w:val="none"/>
          <w:u w:val="single"/>
        </w:rPr>
        <w:t>无。</w:t>
      </w:r>
    </w:p>
    <w:p w14:paraId="7EF33DF9">
      <w:pPr>
        <w:numPr>
          <w:ilvl w:val="0"/>
          <w:numId w:val="9"/>
        </w:num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采用可调价格合同，合同价款调整方式：</w:t>
      </w:r>
      <w:r>
        <w:rPr>
          <w:rFonts w:hint="eastAsia" w:ascii="宋体" w:hAnsi="宋体" w:cs="宋体"/>
          <w:color w:val="auto"/>
          <w:sz w:val="24"/>
          <w:szCs w:val="32"/>
          <w:highlight w:val="none"/>
          <w:u w:val="single"/>
        </w:rPr>
        <w:t>无。</w:t>
      </w:r>
    </w:p>
    <w:p w14:paraId="7ACC6DA0">
      <w:pPr>
        <w:numPr>
          <w:ilvl w:val="0"/>
          <w:numId w:val="9"/>
        </w:num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采用成本加酬金合同，有关成本和酬金的约定：</w:t>
      </w:r>
      <w:r>
        <w:rPr>
          <w:rFonts w:hint="eastAsia" w:ascii="宋体" w:hAnsi="宋体" w:cs="宋体"/>
          <w:color w:val="auto"/>
          <w:sz w:val="24"/>
          <w:szCs w:val="32"/>
          <w:highlight w:val="none"/>
          <w:u w:val="single"/>
        </w:rPr>
        <w:t>无。</w:t>
      </w:r>
    </w:p>
    <w:p w14:paraId="709EF86B">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1.双方约定合同价款及其他调整因素：</w:t>
      </w:r>
      <w:r>
        <w:rPr>
          <w:rFonts w:hint="eastAsia" w:ascii="宋体" w:hAnsi="宋体" w:cs="宋体"/>
          <w:color w:val="auto"/>
          <w:sz w:val="24"/>
          <w:szCs w:val="32"/>
          <w:highlight w:val="none"/>
          <w:u w:val="single"/>
        </w:rPr>
        <w:t>工程量清单所包含的内容以外部分。</w:t>
      </w:r>
    </w:p>
    <w:p w14:paraId="25AD9AD1">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highlight w:val="none"/>
        </w:rPr>
        <w:t>12.2.1</w:t>
      </w:r>
      <w:r>
        <w:rPr>
          <w:rFonts w:hint="eastAsia" w:ascii="宋体" w:hAnsi="宋体" w:cs="宋体"/>
          <w:color w:val="auto"/>
          <w:sz w:val="24"/>
          <w:szCs w:val="32"/>
          <w:highlight w:val="none"/>
        </w:rPr>
        <w:t>工程款付款</w:t>
      </w:r>
    </w:p>
    <w:p w14:paraId="36F0C273">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发包人向承包人预付工程款的时间和金额或占合同价款总额的比例：</w:t>
      </w:r>
      <w:r>
        <w:rPr>
          <w:rFonts w:hint="eastAsia" w:ascii="宋体" w:hAnsi="宋体" w:cs="宋体"/>
          <w:color w:val="auto"/>
          <w:sz w:val="24"/>
          <w:szCs w:val="32"/>
          <w:highlight w:val="none"/>
          <w:u w:val="single"/>
        </w:rPr>
        <w:t>在合同协议书签订和承包人依据经监理人出具开工令进场开工后，承包人将预付款申请材料报送发包人审核批准后予以支付。</w:t>
      </w:r>
    </w:p>
    <w:p w14:paraId="51F2FD76">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扣回工程款的时间、比例：</w:t>
      </w:r>
      <w:r>
        <w:rPr>
          <w:rFonts w:hint="eastAsia" w:ascii="宋体" w:hAnsi="宋体" w:cs="宋体"/>
          <w:color w:val="auto"/>
          <w:sz w:val="24"/>
          <w:szCs w:val="32"/>
          <w:highlight w:val="none"/>
          <w:u w:val="single"/>
        </w:rPr>
        <w:t>第一次申请进度款时扣回30%预付款。</w:t>
      </w:r>
    </w:p>
    <w:p w14:paraId="1E66434E">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highlight w:val="none"/>
        </w:rPr>
        <w:t>12.3</w:t>
      </w:r>
      <w:r>
        <w:rPr>
          <w:rFonts w:hint="eastAsia" w:ascii="宋体" w:hAnsi="宋体" w:cs="宋体"/>
          <w:color w:val="auto"/>
          <w:sz w:val="24"/>
          <w:szCs w:val="32"/>
          <w:highlight w:val="none"/>
        </w:rPr>
        <w:t>工程量确认</w:t>
      </w:r>
    </w:p>
    <w:p w14:paraId="41F4FA76">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highlight w:val="none"/>
        </w:rPr>
        <w:t>12.3.3</w:t>
      </w:r>
      <w:r>
        <w:rPr>
          <w:rFonts w:hint="eastAsia" w:ascii="宋体" w:hAnsi="宋体" w:cs="宋体"/>
          <w:color w:val="auto"/>
          <w:sz w:val="24"/>
          <w:szCs w:val="32"/>
          <w:highlight w:val="none"/>
        </w:rPr>
        <w:t>承包人向工程师提交已完工程量报告的时间：</w:t>
      </w:r>
      <w:r>
        <w:rPr>
          <w:rFonts w:hint="eastAsia" w:ascii="宋体" w:hAnsi="宋体" w:cs="宋体"/>
          <w:color w:val="auto"/>
          <w:sz w:val="24"/>
          <w:szCs w:val="32"/>
          <w:highlight w:val="none"/>
          <w:u w:val="single"/>
        </w:rPr>
        <w:t>每月25日。</w:t>
      </w:r>
    </w:p>
    <w:p w14:paraId="4A10BD7D">
      <w:pPr>
        <w:pStyle w:val="6"/>
        <w:adjustRightInd w:val="0"/>
        <w:snapToGrid w:val="0"/>
        <w:spacing w:before="0" w:after="0" w:line="356" w:lineRule="auto"/>
        <w:ind w:firstLine="480" w:firstLineChars="200"/>
        <w:rPr>
          <w:rFonts w:hint="eastAsia" w:cs="宋体"/>
          <w:b w:val="0"/>
          <w:bCs w:val="0"/>
          <w:color w:val="auto"/>
          <w:szCs w:val="24"/>
          <w:highlight w:val="none"/>
        </w:rPr>
      </w:pPr>
      <w:r>
        <w:rPr>
          <w:rFonts w:hint="eastAsia" w:cs="宋体"/>
          <w:b w:val="0"/>
          <w:bCs w:val="0"/>
          <w:color w:val="auto"/>
          <w:kern w:val="2"/>
          <w:szCs w:val="24"/>
          <w:highlight w:val="none"/>
        </w:rPr>
        <w:t>12.4</w:t>
      </w:r>
      <w:r>
        <w:rPr>
          <w:rFonts w:hint="eastAsia" w:cs="宋体"/>
          <w:b w:val="0"/>
          <w:bCs w:val="0"/>
          <w:color w:val="auto"/>
          <w:szCs w:val="24"/>
          <w:highlight w:val="none"/>
        </w:rPr>
        <w:t>工程款（进度款）支付</w:t>
      </w:r>
    </w:p>
    <w:p w14:paraId="0344D113">
      <w:pPr>
        <w:adjustRightInd w:val="0"/>
        <w:snapToGrid w:val="0"/>
        <w:spacing w:line="356"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双方约定的工程款（进度款）的支付方式和时间：</w:t>
      </w:r>
      <w:r>
        <w:rPr>
          <w:rFonts w:hint="eastAsia" w:ascii="宋体" w:hAnsi="宋体" w:cs="宋体"/>
          <w:color w:val="auto"/>
          <w:sz w:val="24"/>
          <w:highlight w:val="none"/>
          <w:u w:val="single"/>
        </w:rPr>
        <w:t>(1)预付款:工程预付款的总金额为签约合同价的30%(需按要求缴纳农民工保证金和开具相应的履约保函以及意外险、工伤险方可支付预付款)。</w:t>
      </w:r>
    </w:p>
    <w:p w14:paraId="4D7F01B7">
      <w:pPr>
        <w:adjustRightInd w:val="0"/>
        <w:snapToGrid w:val="0"/>
        <w:spacing w:line="356"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u w:val="single"/>
        </w:rPr>
        <w:t>(2)每个付款周期按实际完成工程量的90%，依据监理报告支付工程进度款。工程完工验收达到质量要求，结算经浦北县有资质审计机构审定后，工程款支付至结算总价的97%(不得低于97%)。发包人按工程价款结算总额的3%，预留工程质量保证金。质量保证金待工程质量保修期满且无质量问题后按规定无息返还。</w:t>
      </w:r>
    </w:p>
    <w:p w14:paraId="66520C75">
      <w:pPr>
        <w:tabs>
          <w:tab w:val="left" w:pos="4173"/>
        </w:tabs>
        <w:adjustRightInd w:val="0"/>
        <w:snapToGrid w:val="0"/>
        <w:spacing w:line="356" w:lineRule="auto"/>
        <w:ind w:firstLine="562" w:firstLineChars="200"/>
        <w:rPr>
          <w:rFonts w:hint="eastAsia" w:ascii="宋体" w:hAnsi="宋体" w:cs="宋体"/>
          <w:b/>
          <w:bCs/>
          <w:color w:val="auto"/>
          <w:sz w:val="28"/>
          <w:szCs w:val="36"/>
          <w:highlight w:val="none"/>
        </w:rPr>
      </w:pPr>
      <w:r>
        <w:rPr>
          <w:rFonts w:hint="eastAsia" w:ascii="宋体" w:hAnsi="宋体" w:cs="宋体"/>
          <w:b/>
          <w:bCs/>
          <w:color w:val="auto"/>
          <w:sz w:val="28"/>
          <w:szCs w:val="36"/>
          <w:highlight w:val="none"/>
        </w:rPr>
        <w:t>七、质量与验收</w:t>
      </w:r>
      <w:r>
        <w:rPr>
          <w:rFonts w:hint="eastAsia" w:ascii="宋体" w:hAnsi="宋体" w:cs="宋体"/>
          <w:b/>
          <w:bCs/>
          <w:color w:val="auto"/>
          <w:sz w:val="28"/>
          <w:szCs w:val="36"/>
          <w:highlight w:val="none"/>
        </w:rPr>
        <w:tab/>
      </w:r>
    </w:p>
    <w:p w14:paraId="5429CA7E">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13.1隐蔽工程和中间验收</w:t>
      </w:r>
    </w:p>
    <w:p w14:paraId="3BD61A3C">
      <w:pPr>
        <w:adjustRightInd w:val="0"/>
        <w:snapToGrid w:val="0"/>
        <w:spacing w:line="356" w:lineRule="auto"/>
        <w:ind w:firstLine="480" w:firstLineChars="200"/>
        <w:rPr>
          <w:rFonts w:hint="eastAsia" w:ascii="宋体" w:hAnsi="宋体" w:cs="宋体"/>
          <w:color w:val="auto"/>
          <w:sz w:val="24"/>
          <w:szCs w:val="32"/>
          <w:highlight w:val="none"/>
          <w:u w:val="single"/>
        </w:rPr>
      </w:pPr>
      <w:r>
        <w:rPr>
          <w:rFonts w:hint="eastAsia" w:ascii="宋体" w:hAnsi="宋体" w:cs="宋体"/>
          <w:color w:val="auto"/>
          <w:sz w:val="24"/>
          <w:szCs w:val="32"/>
          <w:highlight w:val="none"/>
        </w:rPr>
        <w:t>13.1.1双方约定中间验收部位：</w:t>
      </w:r>
      <w:r>
        <w:rPr>
          <w:rFonts w:hint="eastAsia" w:ascii="宋体" w:hAnsi="宋体" w:cs="宋体"/>
          <w:color w:val="auto"/>
          <w:sz w:val="24"/>
          <w:szCs w:val="32"/>
          <w:highlight w:val="none"/>
          <w:u w:val="single"/>
        </w:rPr>
        <w:t xml:space="preserve">     /    。</w:t>
      </w:r>
    </w:p>
    <w:p w14:paraId="4A0A822C">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13.3工程试车</w:t>
      </w:r>
    </w:p>
    <w:p w14:paraId="617DEC34">
      <w:pPr>
        <w:adjustRightInd w:val="0"/>
        <w:snapToGrid w:val="0"/>
        <w:spacing w:line="356"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13.3.1试车费用的承担：</w:t>
      </w:r>
      <w:r>
        <w:rPr>
          <w:rFonts w:hint="eastAsia" w:ascii="宋体" w:hAnsi="宋体" w:cs="宋体"/>
          <w:color w:val="auto"/>
          <w:sz w:val="24"/>
          <w:szCs w:val="32"/>
          <w:highlight w:val="none"/>
          <w:u w:val="single"/>
        </w:rPr>
        <w:t>无。</w:t>
      </w:r>
    </w:p>
    <w:p w14:paraId="118E6BF9">
      <w:pPr>
        <w:tabs>
          <w:tab w:val="left" w:pos="463"/>
        </w:tabs>
        <w:adjustRightInd w:val="0"/>
        <w:snapToGrid w:val="0"/>
        <w:spacing w:line="356" w:lineRule="auto"/>
        <w:ind w:firstLine="562" w:firstLineChars="20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八、竣工验收与结算</w:t>
      </w:r>
    </w:p>
    <w:p w14:paraId="12698323">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13.2竣工验收</w:t>
      </w:r>
    </w:p>
    <w:p w14:paraId="5418E906">
      <w:pPr>
        <w:tabs>
          <w:tab w:val="left" w:pos="463"/>
        </w:tabs>
        <w:adjustRightInd w:val="0"/>
        <w:snapToGrid w:val="0"/>
        <w:spacing w:line="356" w:lineRule="auto"/>
        <w:ind w:firstLine="480" w:firstLineChars="200"/>
        <w:rPr>
          <w:rFonts w:hint="eastAsia" w:ascii="宋体" w:hAnsi="宋体" w:cs="宋体"/>
          <w:bCs/>
          <w:color w:val="auto"/>
          <w:sz w:val="24"/>
          <w:highlight w:val="none"/>
          <w:u w:val="single"/>
        </w:rPr>
      </w:pPr>
      <w:r>
        <w:rPr>
          <w:rFonts w:hint="eastAsia" w:ascii="宋体" w:hAnsi="宋体" w:cs="宋体"/>
          <w:color w:val="auto"/>
          <w:sz w:val="24"/>
          <w:highlight w:val="none"/>
        </w:rPr>
        <w:t>13.2.2承包人</w:t>
      </w:r>
      <w:r>
        <w:rPr>
          <w:rFonts w:hint="eastAsia" w:ascii="宋体" w:hAnsi="宋体" w:cs="宋体"/>
          <w:bCs/>
          <w:color w:val="auto"/>
          <w:sz w:val="24"/>
          <w:highlight w:val="none"/>
        </w:rPr>
        <w:t>提供竣工图的约定：</w:t>
      </w:r>
      <w:r>
        <w:rPr>
          <w:rFonts w:hint="eastAsia" w:ascii="宋体" w:hAnsi="宋体" w:cs="宋体"/>
          <w:bCs/>
          <w:color w:val="auto"/>
          <w:sz w:val="24"/>
          <w:highlight w:val="none"/>
          <w:u w:val="single"/>
        </w:rPr>
        <w:t>项目完工后，承包人按工程竣工验收有关规定要先进行自验，并在合同期后6个月内向发包人提交完整竣工资料、自验报告和申请初验。</w:t>
      </w:r>
    </w:p>
    <w:p w14:paraId="3B8F51A7">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bCs/>
          <w:color w:val="auto"/>
          <w:sz w:val="24"/>
          <w:highlight w:val="none"/>
        </w:rPr>
        <w:t>中间交工工程的范围和竣工时间：</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61FE2C01">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14、竣工结算</w:t>
      </w:r>
    </w:p>
    <w:p w14:paraId="17A67BAA">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u w:val="single"/>
        </w:rPr>
        <w:t>工程完工验收达到质量要求，结算经有资质审计机构审定后，工程款支付至结算总价的97%，剩余3%的工程结算款项作为工程质量保证金。</w:t>
      </w:r>
    </w:p>
    <w:p w14:paraId="1F6F3499">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15、质量保修</w:t>
      </w:r>
    </w:p>
    <w:p w14:paraId="174102E6">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质量保修书的主要内容包括：</w:t>
      </w:r>
    </w:p>
    <w:p w14:paraId="535CD1E7">
      <w:pPr>
        <w:numPr>
          <w:ilvl w:val="0"/>
          <w:numId w:val="10"/>
        </w:num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质量保证金的支付方法：</w:t>
      </w:r>
    </w:p>
    <w:p w14:paraId="33FCD22D">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在工程保修期在内，发包人可以根据国家有关规定和合同规定的金额，在支付承包人的工程款内预留质量保证金。质量保证金为：</w:t>
      </w:r>
      <w:r>
        <w:rPr>
          <w:rFonts w:hint="eastAsia" w:ascii="宋体" w:hAnsi="宋体" w:cs="宋体"/>
          <w:color w:val="auto"/>
          <w:sz w:val="24"/>
          <w:highlight w:val="none"/>
          <w:u w:val="single"/>
        </w:rPr>
        <w:t>结算金额3%</w:t>
      </w:r>
      <w:r>
        <w:rPr>
          <w:rFonts w:hint="eastAsia" w:ascii="宋体" w:hAnsi="宋体" w:cs="宋体"/>
          <w:color w:val="auto"/>
          <w:sz w:val="24"/>
          <w:highlight w:val="none"/>
        </w:rPr>
        <w:t>。发包人在工程质量保修满壹年之日起经发包人复核合格后可向财政部门申请全部退回质量保证金给承包人（无息）。</w:t>
      </w:r>
    </w:p>
    <w:p w14:paraId="3030CDC0">
      <w:pPr>
        <w:numPr>
          <w:ilvl w:val="0"/>
          <w:numId w:val="11"/>
        </w:numPr>
        <w:tabs>
          <w:tab w:val="left" w:pos="463"/>
        </w:tabs>
        <w:adjustRightInd w:val="0"/>
        <w:snapToGrid w:val="0"/>
        <w:spacing w:line="356" w:lineRule="auto"/>
        <w:ind w:firstLine="562" w:firstLineChars="20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违约和索赔</w:t>
      </w:r>
    </w:p>
    <w:p w14:paraId="507C2373">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16、违约</w:t>
      </w:r>
    </w:p>
    <w:p w14:paraId="0FD4F57C">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16.1.2本合同中关于发包人违约的具体责任如下：</w:t>
      </w:r>
    </w:p>
    <w:p w14:paraId="29107DC7">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本合同通用条款第16.1.2条约定发包人违约应承担的违约责任：</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12071ED5">
      <w:pPr>
        <w:adjustRightInd w:val="0"/>
        <w:snapToGrid w:val="0"/>
        <w:spacing w:line="356"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本合同通用条款第16.1.3款约定发包人违约应承担的违约责任：</w:t>
      </w:r>
      <w:r>
        <w:rPr>
          <w:rFonts w:hint="eastAsia" w:ascii="宋体" w:hAnsi="宋体" w:cs="宋体"/>
          <w:color w:val="auto"/>
          <w:sz w:val="24"/>
          <w:highlight w:val="none"/>
          <w:u w:val="single"/>
        </w:rPr>
        <w:t>按通用条款第16.1.3款执行。</w:t>
      </w:r>
    </w:p>
    <w:p w14:paraId="6E80D926">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本合同通用条款第16.1.4款约定发包人违约应承担的违约责任：</w:t>
      </w:r>
      <w:r>
        <w:rPr>
          <w:rFonts w:hint="eastAsia" w:ascii="宋体" w:hAnsi="宋体" w:cs="宋体"/>
          <w:color w:val="auto"/>
          <w:sz w:val="24"/>
          <w:highlight w:val="none"/>
          <w:u w:val="single"/>
        </w:rPr>
        <w:t xml:space="preserve">  无  </w:t>
      </w:r>
      <w:r>
        <w:rPr>
          <w:rFonts w:hint="eastAsia" w:ascii="宋体" w:hAnsi="宋体" w:cs="宋体"/>
          <w:color w:val="auto"/>
          <w:sz w:val="24"/>
          <w:highlight w:val="none"/>
        </w:rPr>
        <w:t xml:space="preserve"> 。</w:t>
      </w:r>
    </w:p>
    <w:p w14:paraId="0F390689">
      <w:pPr>
        <w:adjustRightInd w:val="0"/>
        <w:snapToGrid w:val="0"/>
        <w:spacing w:line="356"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双方约定的发包人其他违约责任：</w:t>
      </w:r>
      <w:r>
        <w:rPr>
          <w:rFonts w:hint="eastAsia" w:ascii="宋体" w:hAnsi="宋体" w:cs="宋体"/>
          <w:color w:val="auto"/>
          <w:sz w:val="24"/>
          <w:highlight w:val="none"/>
          <w:u w:val="single"/>
        </w:rPr>
        <w:t>按通用条款执行。</w:t>
      </w:r>
    </w:p>
    <w:p w14:paraId="2FFBC223">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16.2 承包人违约</w:t>
      </w:r>
    </w:p>
    <w:p w14:paraId="2962E2FD">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16.2.1 承包人违约的情形</w:t>
      </w:r>
    </w:p>
    <w:p w14:paraId="7EC7C057">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承包人违约的其他情形： </w:t>
      </w:r>
    </w:p>
    <w:p w14:paraId="0DB52F02">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（8）承包人未在约定的时间内提供完整的工程竣工结算资料，经发包人书面催促后 28 天内仍未提交。</w:t>
      </w:r>
    </w:p>
    <w:p w14:paraId="210F449A">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16.2.2承包人违约的责任</w:t>
      </w:r>
    </w:p>
    <w:p w14:paraId="04C1AD29">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承包人违约责任的承担方式和计算方法： </w:t>
      </w:r>
    </w:p>
    <w:p w14:paraId="774A30B2">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（1）承包人违反合同约定进行转包或违法分包的，监理人可向承包人发出整改通知，要求其在指定的期限内改正，并且承包人应按合同价款20%向发包人支付违约金；</w:t>
      </w:r>
    </w:p>
    <w:p w14:paraId="3707CD29">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（2）承包人违反合同约定采购和使用不合格的材料和工程设备的，承包人应将不合格的材料和工程设备的限期清理出施工场地，并负责承担返工及造成损失的费用；</w:t>
      </w:r>
    </w:p>
    <w:p w14:paraId="6C239C75">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（3）因承包人原因导致工程质量不符合合同要求的，承包人应负责返工或修整，并负责由此产生的费用和损失； </w:t>
      </w:r>
    </w:p>
    <w:p w14:paraId="6E5D438D">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（4）承包人违反通用合同条款第8.9款〔材料与设备专用要求〕的约定，未经批准，私自将已按照合同约定进入施工现场的材料或设备撤离施工现场的，承包人应负责承担由此产生的费用和损失；</w:t>
      </w:r>
    </w:p>
    <w:p w14:paraId="0EFFCCB8">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（5）承包人未能按施工进度计划及时完成合同约定的工作，造成工期延误的，承包人应进行施工进度计划调整并按时完成合同约定的工作，并承担赶工所产生的费用；</w:t>
      </w:r>
    </w:p>
    <w:p w14:paraId="0858C1CF">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6）承包人在缺陷责任期及保修期内，未能在合理期限对工程缺陷进行修复，或拒绝按发包人要求进行修复的。发包人可以委托他人修理，修理费用从质量保证金中扣减，不足部分承包人另行支付，承包人还应承担发包人由此造成的损失；</w:t>
      </w:r>
    </w:p>
    <w:p w14:paraId="728E4523">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（7）承包人明确表示或者以其行为表明不履行合同主要义务的，发包人有权解除合同，并承担发包人不能按期投入使用所造成全部的损失。</w:t>
      </w:r>
    </w:p>
    <w:p w14:paraId="119719CF">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8）承包人未在约定的时间内提供完整的工程竣工结算资料，经发包人书面催促后28天内仍未提交，则发包人有权将已有资料送浦北县审计部门或有资质的造价咨询机构进行结算审计，由此产生的责任由承包人自负；除此之外，承包人还应就延迟提交工程竣工结算资料向发包人支付违约金，违约金额为签约合同价的2%，发包人有权在审定的工程结算价中优先扣除该违约金；</w:t>
      </w:r>
    </w:p>
    <w:p w14:paraId="46994E93">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（9）承包人的其他违约见本合同其他条款的约定。</w:t>
      </w:r>
    </w:p>
    <w:p w14:paraId="43078C7D">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16.2.2本合同中关于承包人违约的具体责任如下：</w:t>
      </w:r>
    </w:p>
    <w:p w14:paraId="1A76A2F9">
      <w:pPr>
        <w:adjustRightInd w:val="0"/>
        <w:snapToGrid w:val="0"/>
        <w:spacing w:line="356"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双方约定的承包人其他违约责任：</w:t>
      </w:r>
      <w:r>
        <w:rPr>
          <w:rFonts w:hint="eastAsia" w:ascii="宋体" w:hAnsi="宋体" w:cs="宋体"/>
          <w:color w:val="auto"/>
          <w:sz w:val="24"/>
          <w:highlight w:val="none"/>
          <w:u w:val="single"/>
        </w:rPr>
        <w:t>按通用条款执行。</w:t>
      </w:r>
    </w:p>
    <w:p w14:paraId="5AD5FA5B">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承包人在工程项目实施过程中不得无故更换投标（响应）文件中承诺的项目经理、施工员、材料员、质检员、安全员、预算员等主要施工管理人员。因不可抗拒的原因需要更换的，应事前征得建设单位及行政主管部门书面同意，并及时报质量、安全、招投标监督机构备案，否则建设单位有权终止施工合同，并依法追究相关责任。</w:t>
      </w:r>
    </w:p>
    <w:p w14:paraId="36E7C2D6">
      <w:pPr>
        <w:numPr>
          <w:ilvl w:val="0"/>
          <w:numId w:val="11"/>
        </w:numPr>
        <w:adjustRightInd w:val="0"/>
        <w:snapToGrid w:val="0"/>
        <w:spacing w:line="356" w:lineRule="auto"/>
        <w:ind w:firstLine="562" w:firstLineChars="20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不可抗力、保险及争议</w:t>
      </w:r>
    </w:p>
    <w:p w14:paraId="0ADBC7F1">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17、不可抗力</w:t>
      </w:r>
    </w:p>
    <w:p w14:paraId="3BAF52BC">
      <w:pPr>
        <w:tabs>
          <w:tab w:val="left" w:pos="463"/>
        </w:tabs>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17.1双方关于不可抗力的约定：按《通用条款》第17款执行。</w:t>
      </w:r>
    </w:p>
    <w:p w14:paraId="1C3EBF49">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18、保险</w:t>
      </w:r>
    </w:p>
    <w:p w14:paraId="5564C945">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18.1本工程双方约定投保内容如下：</w:t>
      </w:r>
    </w:p>
    <w:p w14:paraId="08363A6F">
      <w:pPr>
        <w:numPr>
          <w:ilvl w:val="0"/>
          <w:numId w:val="12"/>
        </w:numPr>
        <w:adjustRightInd w:val="0"/>
        <w:snapToGrid w:val="0"/>
        <w:spacing w:line="356"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发包人投保内容：</w:t>
      </w:r>
      <w:r>
        <w:rPr>
          <w:rFonts w:hint="eastAsia" w:ascii="宋体" w:hAnsi="宋体" w:cs="宋体"/>
          <w:color w:val="auto"/>
          <w:sz w:val="24"/>
          <w:highlight w:val="none"/>
          <w:u w:val="single"/>
        </w:rPr>
        <w:t>按国家政策自行办理。</w:t>
      </w:r>
    </w:p>
    <w:p w14:paraId="6FAD90FC">
      <w:pPr>
        <w:adjustRightInd w:val="0"/>
        <w:snapToGrid w:val="0"/>
        <w:spacing w:line="356"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发包人委托承包人办理的保险事项：</w:t>
      </w:r>
      <w:r>
        <w:rPr>
          <w:rFonts w:hint="eastAsia" w:ascii="宋体" w:hAnsi="宋体" w:cs="宋体"/>
          <w:color w:val="auto"/>
          <w:sz w:val="24"/>
          <w:highlight w:val="none"/>
          <w:u w:val="single"/>
        </w:rPr>
        <w:t xml:space="preserve"> 无 。</w:t>
      </w:r>
    </w:p>
    <w:p w14:paraId="53799290">
      <w:pPr>
        <w:numPr>
          <w:ilvl w:val="0"/>
          <w:numId w:val="12"/>
        </w:numPr>
        <w:adjustRightInd w:val="0"/>
        <w:snapToGrid w:val="0"/>
        <w:spacing w:line="356"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承包人投保内容：</w:t>
      </w:r>
      <w:r>
        <w:rPr>
          <w:rFonts w:hint="eastAsia" w:ascii="宋体" w:hAnsi="宋体" w:cs="宋体"/>
          <w:color w:val="auto"/>
          <w:sz w:val="24"/>
          <w:highlight w:val="none"/>
          <w:u w:val="single"/>
        </w:rPr>
        <w:t>承包人应按有关规定自行投保施工人员的人身事故保险，该保险应不属于储蓄险等。承包人应于签订合同之日起10日内按有关规定自行办理。</w:t>
      </w:r>
    </w:p>
    <w:p w14:paraId="60EBE08D">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20、争议</w:t>
      </w:r>
    </w:p>
    <w:p w14:paraId="105C9EAB">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20.4本合同在履行过程中发生的争议，由双方当事人协商解决，协商不成的按下列</w:t>
      </w:r>
      <w:r>
        <w:rPr>
          <w:rFonts w:hint="eastAsia" w:ascii="宋体" w:hAnsi="宋体" w:cs="宋体"/>
          <w:color w:val="auto"/>
          <w:sz w:val="24"/>
          <w:highlight w:val="none"/>
          <w:u w:val="single"/>
        </w:rPr>
        <w:t>第（二）</w:t>
      </w:r>
      <w:r>
        <w:rPr>
          <w:rFonts w:hint="eastAsia" w:ascii="宋体" w:hAnsi="宋体" w:cs="宋体"/>
          <w:color w:val="auto"/>
          <w:sz w:val="24"/>
          <w:highlight w:val="none"/>
        </w:rPr>
        <w:t>种方式解决：</w:t>
      </w:r>
    </w:p>
    <w:p w14:paraId="0488650E">
      <w:pPr>
        <w:numPr>
          <w:ilvl w:val="0"/>
          <w:numId w:val="13"/>
        </w:num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向</w:t>
      </w:r>
      <w:r>
        <w:rPr>
          <w:rFonts w:hint="eastAsia" w:ascii="宋体" w:hAnsi="宋体" w:cs="宋体"/>
          <w:color w:val="auto"/>
          <w:sz w:val="24"/>
          <w:highlight w:val="none"/>
          <w:u w:val="single"/>
        </w:rPr>
        <w:t>约定的</w:t>
      </w:r>
      <w:r>
        <w:rPr>
          <w:rFonts w:hint="eastAsia" w:ascii="宋体" w:hAnsi="宋体" w:cs="宋体"/>
          <w:color w:val="auto"/>
          <w:sz w:val="24"/>
          <w:highlight w:val="none"/>
        </w:rPr>
        <w:t>仲裁委员会申请仲裁：</w:t>
      </w:r>
    </w:p>
    <w:p w14:paraId="4A35E820">
      <w:pPr>
        <w:numPr>
          <w:ilvl w:val="0"/>
          <w:numId w:val="13"/>
        </w:num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依法向发包人所在地人民法院起诉。</w:t>
      </w:r>
    </w:p>
    <w:p w14:paraId="248D36EA">
      <w:pPr>
        <w:adjustRightInd w:val="0"/>
        <w:snapToGrid w:val="0"/>
        <w:spacing w:line="356" w:lineRule="auto"/>
        <w:ind w:firstLine="562" w:firstLineChars="20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十一、其他</w:t>
      </w:r>
    </w:p>
    <w:p w14:paraId="7FF9D25A">
      <w:pPr>
        <w:adjustRightInd w:val="0"/>
        <w:snapToGrid w:val="0"/>
        <w:spacing w:line="356"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21、合同份数</w:t>
      </w:r>
    </w:p>
    <w:p w14:paraId="398C516C">
      <w:pPr>
        <w:adjustRightInd w:val="0"/>
        <w:snapToGrid w:val="0"/>
        <w:spacing w:line="356" w:lineRule="auto"/>
        <w:ind w:firstLine="480" w:firstLineChars="200"/>
        <w:rPr>
          <w:rFonts w:hint="eastAsia" w:ascii="宋体" w:hAnsi="宋体" w:cs="宋体"/>
          <w:color w:val="auto"/>
          <w:sz w:val="24"/>
          <w:highlight w:val="none"/>
          <w:u w:val="single"/>
        </w:rPr>
      </w:pPr>
      <w:r>
        <w:rPr>
          <w:rFonts w:hint="eastAsia" w:ascii="宋体" w:hAnsi="宋体" w:cs="宋体"/>
          <w:color w:val="auto"/>
          <w:sz w:val="24"/>
          <w:highlight w:val="none"/>
        </w:rPr>
        <w:t>21.1双方约定合同份数：</w:t>
      </w:r>
      <w:r>
        <w:rPr>
          <w:rFonts w:hint="eastAsia" w:ascii="宋体" w:hAnsi="宋体" w:cs="宋体"/>
          <w:color w:val="auto"/>
          <w:sz w:val="24"/>
          <w:highlight w:val="none"/>
          <w:u w:val="single"/>
        </w:rPr>
        <w:t>正本贰份，副本肆份，双方各执壹份正本，贰份副本。</w:t>
      </w:r>
    </w:p>
    <w:p w14:paraId="4D4981E0">
      <w:pPr>
        <w:spacing w:before="156" w:beforeLines="50" w:after="156" w:afterLines="50" w:line="360" w:lineRule="auto"/>
        <w:rPr>
          <w:rFonts w:hint="eastAsia" w:ascii="宋体" w:hAnsi="宋体" w:cs="宋体"/>
          <w:color w:val="auto"/>
          <w:spacing w:val="20"/>
          <w:sz w:val="24"/>
          <w:highlight w:val="none"/>
        </w:rPr>
      </w:pPr>
      <w:r>
        <w:rPr>
          <w:rFonts w:hint="eastAsia" w:ascii="宋体" w:hAnsi="宋体" w:cs="宋体"/>
          <w:color w:val="auto"/>
          <w:spacing w:val="20"/>
          <w:sz w:val="24"/>
          <w:highlight w:val="none"/>
        </w:rPr>
        <w:t>附件1</w:t>
      </w:r>
    </w:p>
    <w:p w14:paraId="63710AF7">
      <w:pPr>
        <w:pStyle w:val="79"/>
        <w:spacing w:before="120" w:beforeLines="50" w:after="120" w:afterLines="50" w:line="440" w:lineRule="exact"/>
        <w:jc w:val="center"/>
        <w:rPr>
          <w:rStyle w:val="33"/>
          <w:rFonts w:ascii="黑体" w:hAnsi="Times New Roman" w:eastAsia="黑体" w:cs="Times New Roman"/>
          <w:color w:val="auto"/>
          <w:sz w:val="32"/>
          <w:szCs w:val="32"/>
          <w:highlight w:val="none"/>
        </w:rPr>
      </w:pPr>
      <w:r>
        <w:rPr>
          <w:rStyle w:val="33"/>
          <w:rFonts w:hint="eastAsia" w:ascii="黑体" w:hAnsi="宋体" w:eastAsia="黑体" w:cs="黑体"/>
          <w:color w:val="auto"/>
          <w:sz w:val="32"/>
          <w:szCs w:val="32"/>
          <w:highlight w:val="none"/>
        </w:rPr>
        <w:t>工程质量保修书（市政公用工程）</w:t>
      </w:r>
    </w:p>
    <w:p w14:paraId="4265EF4B">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rPr>
        <w:t>发包人（全称）：</w:t>
      </w:r>
      <w:r>
        <w:rPr>
          <w:rStyle w:val="33"/>
          <w:rFonts w:ascii="宋体" w:hAnsi="宋体" w:eastAsia="宋体" w:cs="宋体"/>
          <w:color w:val="auto"/>
          <w:sz w:val="24"/>
          <w:szCs w:val="24"/>
          <w:highlight w:val="none"/>
          <w:u w:val="single"/>
        </w:rPr>
        <w:t xml:space="preserve">                                </w:t>
      </w:r>
      <w:r>
        <w:rPr>
          <w:rStyle w:val="33"/>
          <w:rFonts w:ascii="宋体" w:hAnsi="宋体" w:eastAsia="宋体" w:cs="宋体"/>
          <w:color w:val="auto"/>
          <w:sz w:val="24"/>
          <w:szCs w:val="24"/>
          <w:highlight w:val="none"/>
        </w:rPr>
        <w:t xml:space="preserve"> </w:t>
      </w:r>
    </w:p>
    <w:p w14:paraId="1F63EAA1">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rPr>
        <w:t>承包人（全称）：</w:t>
      </w:r>
      <w:r>
        <w:rPr>
          <w:rStyle w:val="33"/>
          <w:rFonts w:ascii="宋体" w:hAnsi="宋体" w:eastAsia="宋体" w:cs="宋体"/>
          <w:color w:val="auto"/>
          <w:sz w:val="24"/>
          <w:szCs w:val="24"/>
          <w:highlight w:val="none"/>
          <w:u w:val="single"/>
        </w:rPr>
        <w:t xml:space="preserve">                                </w:t>
      </w:r>
      <w:r>
        <w:rPr>
          <w:rStyle w:val="33"/>
          <w:rFonts w:ascii="宋体" w:hAnsi="宋体" w:eastAsia="宋体" w:cs="宋体"/>
          <w:color w:val="auto"/>
          <w:sz w:val="24"/>
          <w:szCs w:val="24"/>
          <w:highlight w:val="none"/>
        </w:rPr>
        <w:t xml:space="preserve"> </w:t>
      </w:r>
    </w:p>
    <w:p w14:paraId="76E008A8">
      <w:pPr>
        <w:pStyle w:val="79"/>
        <w:spacing w:line="360" w:lineRule="auto"/>
        <w:rPr>
          <w:rStyle w:val="33"/>
          <w:rFonts w:ascii="宋体" w:hAnsi="Times New Roman" w:eastAsia="宋体" w:cs="Times New Roman"/>
          <w:color w:val="auto"/>
          <w:sz w:val="24"/>
          <w:szCs w:val="24"/>
          <w:highlight w:val="none"/>
        </w:rPr>
      </w:pPr>
    </w:p>
    <w:p w14:paraId="12935430">
      <w:pPr>
        <w:pStyle w:val="79"/>
        <w:spacing w:line="360" w:lineRule="auto"/>
        <w:ind w:firstLine="42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rPr>
        <w:t>发包人和承包人根据《中华人民共和国建筑法》和《建设工程质量管理条例》，经协商一致就</w:t>
      </w:r>
      <w:r>
        <w:rPr>
          <w:rStyle w:val="33"/>
          <w:rFonts w:ascii="宋体" w:hAnsi="宋体" w:eastAsia="宋体" w:cs="宋体"/>
          <w:color w:val="auto"/>
          <w:sz w:val="24"/>
          <w:szCs w:val="24"/>
          <w:highlight w:val="none"/>
          <w:u w:val="single"/>
        </w:rPr>
        <w:t xml:space="preserve">                                     </w:t>
      </w:r>
      <w:r>
        <w:rPr>
          <w:rStyle w:val="33"/>
          <w:rFonts w:hint="eastAsia" w:ascii="宋体" w:hAnsi="宋体" w:eastAsia="宋体" w:cs="宋体"/>
          <w:color w:val="auto"/>
          <w:sz w:val="24"/>
          <w:szCs w:val="24"/>
          <w:highlight w:val="none"/>
        </w:rPr>
        <w:t>（工程全称）签订工程质量保修书。</w:t>
      </w:r>
    </w:p>
    <w:p w14:paraId="66233314">
      <w:pPr>
        <w:pStyle w:val="79"/>
        <w:spacing w:line="360" w:lineRule="auto"/>
        <w:ind w:firstLine="480" w:firstLineChars="200"/>
        <w:rPr>
          <w:rStyle w:val="33"/>
          <w:rFonts w:ascii="黑体" w:hAnsi="宋体" w:eastAsia="黑体" w:cs="Times New Roman"/>
          <w:color w:val="auto"/>
          <w:sz w:val="24"/>
          <w:szCs w:val="24"/>
          <w:highlight w:val="none"/>
        </w:rPr>
      </w:pPr>
      <w:r>
        <w:rPr>
          <w:rStyle w:val="33"/>
          <w:rFonts w:hint="eastAsia" w:ascii="黑体" w:hAnsi="宋体" w:eastAsia="黑体" w:cs="黑体"/>
          <w:color w:val="auto"/>
          <w:sz w:val="24"/>
          <w:szCs w:val="24"/>
          <w:highlight w:val="none"/>
        </w:rPr>
        <w:t>一、工程质量保修范围和内容</w:t>
      </w:r>
    </w:p>
    <w:p w14:paraId="79D2493F">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rPr>
        <w:t>承包人在质量保修期内，按照有关法律规定和合同约定，承担工程质量保修责任。</w:t>
      </w:r>
    </w:p>
    <w:p w14:paraId="7C2843E4">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rPr>
        <w:t>质量保修范围包括</w:t>
      </w:r>
      <w:r>
        <w:rPr>
          <w:rStyle w:val="33"/>
          <w:rFonts w:ascii="宋体" w:hAnsi="宋体" w:eastAsia="宋体" w:cs="宋体"/>
          <w:color w:val="auto"/>
          <w:sz w:val="24"/>
          <w:szCs w:val="24"/>
          <w:highlight w:val="none"/>
          <w:u w:val="single"/>
        </w:rPr>
        <w:t xml:space="preserve">                                </w:t>
      </w:r>
      <w:r>
        <w:rPr>
          <w:rStyle w:val="33"/>
          <w:rFonts w:hint="eastAsia" w:ascii="宋体" w:hAnsi="宋体" w:eastAsia="宋体" w:cs="宋体"/>
          <w:color w:val="auto"/>
          <w:sz w:val="24"/>
          <w:szCs w:val="24"/>
          <w:highlight w:val="none"/>
        </w:rPr>
        <w:t>，以及双方约定的其他项目。具体保修的内容，双方约定如下：</w:t>
      </w:r>
    </w:p>
    <w:p w14:paraId="7C0DB0DF">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ascii="宋体" w:hAnsi="宋体" w:eastAsia="宋体" w:cs="宋体"/>
          <w:color w:val="auto"/>
          <w:sz w:val="24"/>
          <w:szCs w:val="24"/>
          <w:highlight w:val="none"/>
          <w:u w:val="single"/>
        </w:rPr>
        <w:t xml:space="preserve">                                                                                                                                                              </w:t>
      </w:r>
      <w:r>
        <w:rPr>
          <w:rStyle w:val="33"/>
          <w:rFonts w:hint="eastAsia" w:ascii="宋体" w:hAnsi="宋体" w:eastAsia="宋体" w:cs="宋体"/>
          <w:color w:val="auto"/>
          <w:sz w:val="24"/>
          <w:szCs w:val="24"/>
          <w:highlight w:val="none"/>
        </w:rPr>
        <w:t>。</w:t>
      </w:r>
    </w:p>
    <w:p w14:paraId="5AAF5680">
      <w:pPr>
        <w:pStyle w:val="79"/>
        <w:spacing w:line="360" w:lineRule="auto"/>
        <w:ind w:firstLine="480" w:firstLineChars="200"/>
        <w:rPr>
          <w:rStyle w:val="33"/>
          <w:rFonts w:ascii="黑体" w:hAnsi="宋体" w:eastAsia="黑体" w:cs="Times New Roman"/>
          <w:color w:val="auto"/>
          <w:sz w:val="24"/>
          <w:szCs w:val="24"/>
          <w:highlight w:val="none"/>
        </w:rPr>
      </w:pPr>
      <w:r>
        <w:rPr>
          <w:rStyle w:val="33"/>
          <w:rFonts w:hint="eastAsia" w:ascii="黑体" w:hAnsi="宋体" w:eastAsia="黑体" w:cs="黑体"/>
          <w:color w:val="auto"/>
          <w:sz w:val="24"/>
          <w:szCs w:val="24"/>
          <w:highlight w:val="none"/>
        </w:rPr>
        <w:t>二、质量保修期</w:t>
      </w:r>
    </w:p>
    <w:p w14:paraId="212C0087">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rPr>
        <w:t>根据《建设工程质量管理条例》及有关规定，工程的质量保修期如下：</w:t>
      </w:r>
    </w:p>
    <w:p w14:paraId="2479B134">
      <w:pPr>
        <w:pStyle w:val="79"/>
        <w:spacing w:line="360" w:lineRule="auto"/>
        <w:ind w:firstLine="426"/>
        <w:rPr>
          <w:rStyle w:val="33"/>
          <w:rFonts w:ascii="Times New Roman"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lang w:eastAsia="zh-CN"/>
        </w:rPr>
        <w:t>1.</w:t>
      </w:r>
      <w:r>
        <w:rPr>
          <w:rStyle w:val="33"/>
          <w:rFonts w:hint="eastAsia" w:ascii="Times New Roman" w:hAnsi="Times New Roman" w:eastAsia="宋体" w:cs="宋体"/>
          <w:color w:val="auto"/>
          <w:sz w:val="24"/>
          <w:szCs w:val="24"/>
          <w:highlight w:val="none"/>
        </w:rPr>
        <w:t>桥梁工程为</w:t>
      </w:r>
      <w:r>
        <w:rPr>
          <w:rStyle w:val="33"/>
          <w:rFonts w:ascii="Times New Roman" w:hAnsi="Times New Roman" w:eastAsia="宋体" w:cs="Times New Roman"/>
          <w:color w:val="auto"/>
          <w:sz w:val="24"/>
          <w:szCs w:val="24"/>
          <w:highlight w:val="none"/>
          <w:u w:val="single"/>
        </w:rPr>
        <w:t xml:space="preserve">     </w:t>
      </w:r>
      <w:r>
        <w:rPr>
          <w:rStyle w:val="33"/>
          <w:rFonts w:hint="eastAsia" w:ascii="Times New Roman" w:hAnsi="Times New Roman" w:eastAsia="宋体" w:cs="宋体"/>
          <w:color w:val="auto"/>
          <w:sz w:val="24"/>
          <w:szCs w:val="24"/>
          <w:highlight w:val="none"/>
        </w:rPr>
        <w:t>年（建议桥梁隧道主体结构工程为设计文件规定的合理使用年限）；</w:t>
      </w:r>
    </w:p>
    <w:p w14:paraId="54F121AF">
      <w:pPr>
        <w:pStyle w:val="79"/>
        <w:spacing w:line="360" w:lineRule="auto"/>
        <w:ind w:firstLine="426"/>
        <w:rPr>
          <w:rStyle w:val="33"/>
          <w:rFonts w:ascii="Times New Roman" w:hAnsi="Times New Roman" w:eastAsia="宋体" w:cs="Times New Roman"/>
          <w:color w:val="auto"/>
          <w:sz w:val="24"/>
          <w:szCs w:val="24"/>
          <w:highlight w:val="none"/>
        </w:rPr>
      </w:pPr>
      <w:r>
        <w:rPr>
          <w:rStyle w:val="33"/>
          <w:rFonts w:hint="eastAsia" w:ascii="Times New Roman" w:hAnsi="Times New Roman" w:eastAsia="宋体" w:cs="Times New Roman"/>
          <w:color w:val="auto"/>
          <w:sz w:val="24"/>
          <w:szCs w:val="24"/>
          <w:highlight w:val="none"/>
          <w:lang w:eastAsia="zh-CN"/>
        </w:rPr>
        <w:t>2.</w:t>
      </w:r>
      <w:r>
        <w:rPr>
          <w:rStyle w:val="33"/>
          <w:rFonts w:hint="eastAsia" w:ascii="Times New Roman" w:hAnsi="Times New Roman" w:eastAsia="宋体" w:cs="宋体"/>
          <w:color w:val="auto"/>
          <w:sz w:val="24"/>
          <w:szCs w:val="24"/>
          <w:highlight w:val="none"/>
        </w:rPr>
        <w:t>道路工程为</w:t>
      </w:r>
      <w:r>
        <w:rPr>
          <w:rStyle w:val="33"/>
          <w:rFonts w:ascii="Times New Roman" w:hAnsi="Times New Roman" w:eastAsia="宋体" w:cs="Times New Roman"/>
          <w:color w:val="auto"/>
          <w:sz w:val="24"/>
          <w:szCs w:val="24"/>
          <w:highlight w:val="none"/>
          <w:u w:val="single"/>
        </w:rPr>
        <w:t xml:space="preserve">     </w:t>
      </w:r>
      <w:r>
        <w:rPr>
          <w:rStyle w:val="33"/>
          <w:rFonts w:hint="eastAsia" w:ascii="Times New Roman" w:hAnsi="Times New Roman" w:eastAsia="宋体" w:cs="宋体"/>
          <w:color w:val="auto"/>
          <w:sz w:val="24"/>
          <w:szCs w:val="24"/>
          <w:highlight w:val="none"/>
        </w:rPr>
        <w:t>年（建议路基、路面、桥面为</w:t>
      </w:r>
      <w:r>
        <w:rPr>
          <w:rStyle w:val="33"/>
          <w:rFonts w:ascii="Times New Roman" w:hAnsi="Times New Roman" w:eastAsia="宋体" w:cs="Times New Roman"/>
          <w:color w:val="auto"/>
          <w:sz w:val="24"/>
          <w:szCs w:val="24"/>
          <w:highlight w:val="none"/>
        </w:rPr>
        <w:t>2</w:t>
      </w:r>
      <w:r>
        <w:rPr>
          <w:rStyle w:val="33"/>
          <w:rFonts w:hint="eastAsia" w:ascii="Times New Roman" w:hAnsi="Times New Roman" w:eastAsia="宋体" w:cs="宋体"/>
          <w:color w:val="auto"/>
          <w:sz w:val="24"/>
          <w:szCs w:val="24"/>
          <w:highlight w:val="none"/>
        </w:rPr>
        <w:t>年）；</w:t>
      </w:r>
    </w:p>
    <w:p w14:paraId="2285C76D">
      <w:pPr>
        <w:pStyle w:val="79"/>
        <w:spacing w:line="360" w:lineRule="auto"/>
        <w:ind w:firstLine="426"/>
        <w:rPr>
          <w:rStyle w:val="33"/>
          <w:rFonts w:ascii="Times New Roman" w:hAnsi="Times New Roman" w:eastAsia="宋体" w:cs="Times New Roman"/>
          <w:color w:val="auto"/>
          <w:sz w:val="24"/>
          <w:szCs w:val="24"/>
          <w:highlight w:val="none"/>
        </w:rPr>
      </w:pPr>
      <w:r>
        <w:rPr>
          <w:rStyle w:val="33"/>
          <w:rFonts w:hint="eastAsia" w:ascii="Times New Roman" w:hAnsi="Times New Roman" w:eastAsia="宋体" w:cs="Times New Roman"/>
          <w:color w:val="auto"/>
          <w:sz w:val="24"/>
          <w:szCs w:val="24"/>
          <w:highlight w:val="none"/>
          <w:lang w:eastAsia="zh-CN"/>
        </w:rPr>
        <w:t>3.</w:t>
      </w:r>
      <w:r>
        <w:rPr>
          <w:rStyle w:val="33"/>
          <w:rFonts w:hint="eastAsia" w:ascii="Times New Roman" w:hAnsi="Times New Roman" w:eastAsia="宋体" w:cs="宋体"/>
          <w:color w:val="auto"/>
          <w:sz w:val="24"/>
          <w:szCs w:val="24"/>
          <w:highlight w:val="none"/>
        </w:rPr>
        <w:t>排水（雨水）工程为</w:t>
      </w:r>
      <w:r>
        <w:rPr>
          <w:rStyle w:val="33"/>
          <w:rFonts w:ascii="Times New Roman" w:hAnsi="Times New Roman" w:eastAsia="宋体" w:cs="Times New Roman"/>
          <w:color w:val="auto"/>
          <w:sz w:val="24"/>
          <w:szCs w:val="24"/>
          <w:highlight w:val="none"/>
          <w:u w:val="single"/>
        </w:rPr>
        <w:t xml:space="preserve">     </w:t>
      </w:r>
      <w:r>
        <w:rPr>
          <w:rStyle w:val="33"/>
          <w:rFonts w:hint="eastAsia" w:ascii="Times New Roman" w:hAnsi="Times New Roman" w:eastAsia="宋体" w:cs="宋体"/>
          <w:color w:val="auto"/>
          <w:sz w:val="24"/>
          <w:szCs w:val="24"/>
          <w:highlight w:val="none"/>
        </w:rPr>
        <w:t>年（建议道路工程中的排水工程为</w:t>
      </w:r>
      <w:r>
        <w:rPr>
          <w:rStyle w:val="33"/>
          <w:rFonts w:ascii="Times New Roman" w:hAnsi="Times New Roman" w:eastAsia="宋体" w:cs="Times New Roman"/>
          <w:color w:val="auto"/>
          <w:sz w:val="24"/>
          <w:szCs w:val="24"/>
          <w:highlight w:val="none"/>
        </w:rPr>
        <w:t>3</w:t>
      </w:r>
      <w:r>
        <w:rPr>
          <w:rStyle w:val="33"/>
          <w:rFonts w:hint="eastAsia" w:ascii="Times New Roman" w:hAnsi="Times New Roman" w:eastAsia="宋体" w:cs="宋体"/>
          <w:color w:val="auto"/>
          <w:sz w:val="24"/>
          <w:szCs w:val="24"/>
          <w:highlight w:val="none"/>
        </w:rPr>
        <w:t>年）；</w:t>
      </w:r>
    </w:p>
    <w:p w14:paraId="09231F74">
      <w:pPr>
        <w:pStyle w:val="79"/>
        <w:spacing w:line="360" w:lineRule="auto"/>
        <w:ind w:firstLine="426"/>
        <w:rPr>
          <w:rStyle w:val="33"/>
          <w:rFonts w:ascii="Times New Roman" w:hAnsi="Times New Roman" w:eastAsia="宋体" w:cs="Times New Roman"/>
          <w:color w:val="auto"/>
          <w:sz w:val="24"/>
          <w:szCs w:val="24"/>
          <w:highlight w:val="none"/>
        </w:rPr>
      </w:pPr>
      <w:r>
        <w:rPr>
          <w:rStyle w:val="33"/>
          <w:rFonts w:hint="eastAsia" w:ascii="Times New Roman" w:hAnsi="Times New Roman" w:eastAsia="宋体" w:cs="Times New Roman"/>
          <w:color w:val="auto"/>
          <w:sz w:val="24"/>
          <w:szCs w:val="24"/>
          <w:highlight w:val="none"/>
          <w:lang w:eastAsia="zh-CN"/>
        </w:rPr>
        <w:t>4.</w:t>
      </w:r>
      <w:r>
        <w:rPr>
          <w:rStyle w:val="33"/>
          <w:rFonts w:hint="eastAsia" w:ascii="Times New Roman" w:hAnsi="Times New Roman" w:eastAsia="宋体" w:cs="宋体"/>
          <w:color w:val="auto"/>
          <w:sz w:val="24"/>
          <w:szCs w:val="24"/>
          <w:highlight w:val="none"/>
        </w:rPr>
        <w:t>绿化工程为</w:t>
      </w:r>
      <w:r>
        <w:rPr>
          <w:rStyle w:val="33"/>
          <w:rFonts w:ascii="Times New Roman" w:hAnsi="Times New Roman" w:eastAsia="宋体" w:cs="Times New Roman"/>
          <w:color w:val="auto"/>
          <w:sz w:val="24"/>
          <w:szCs w:val="24"/>
          <w:highlight w:val="none"/>
        </w:rPr>
        <w:t xml:space="preserve"> </w:t>
      </w:r>
      <w:r>
        <w:rPr>
          <w:rStyle w:val="33"/>
          <w:rFonts w:hint="eastAsia" w:ascii="Times New Roman" w:hAnsi="Times New Roman" w:eastAsia="宋体" w:cs="宋体"/>
          <w:color w:val="auto"/>
          <w:sz w:val="24"/>
          <w:szCs w:val="24"/>
          <w:highlight w:val="none"/>
          <w:u w:val="single"/>
        </w:rPr>
        <w:t>单位工程竣工验收合格后</w:t>
      </w:r>
      <w:r>
        <w:rPr>
          <w:rStyle w:val="33"/>
          <w:rFonts w:ascii="Times New Roman" w:hAnsi="Times New Roman" w:eastAsia="宋体" w:cs="Times New Roman"/>
          <w:color w:val="auto"/>
          <w:sz w:val="24"/>
          <w:szCs w:val="24"/>
          <w:highlight w:val="none"/>
          <w:u w:val="single"/>
        </w:rPr>
        <w:t xml:space="preserve">    </w:t>
      </w:r>
      <w:r>
        <w:rPr>
          <w:rStyle w:val="33"/>
          <w:rFonts w:hint="eastAsia" w:ascii="Times New Roman" w:hAnsi="Times New Roman" w:eastAsia="宋体" w:cs="宋体"/>
          <w:color w:val="auto"/>
          <w:sz w:val="24"/>
          <w:szCs w:val="24"/>
          <w:highlight w:val="none"/>
          <w:u w:val="single"/>
        </w:rPr>
        <w:t>年</w:t>
      </w:r>
      <w:r>
        <w:rPr>
          <w:rStyle w:val="33"/>
          <w:rFonts w:hint="eastAsia" w:ascii="Times New Roman" w:hAnsi="Times New Roman" w:eastAsia="宋体" w:cs="宋体"/>
          <w:color w:val="auto"/>
          <w:sz w:val="24"/>
          <w:szCs w:val="24"/>
          <w:highlight w:val="none"/>
        </w:rPr>
        <w:t>；</w:t>
      </w:r>
    </w:p>
    <w:p w14:paraId="25E10DA3">
      <w:pPr>
        <w:pStyle w:val="79"/>
        <w:spacing w:line="360" w:lineRule="auto"/>
        <w:ind w:firstLine="426"/>
        <w:rPr>
          <w:rStyle w:val="33"/>
          <w:rFonts w:ascii="Times New Roman" w:hAnsi="Times New Roman" w:eastAsia="宋体" w:cs="Times New Roman"/>
          <w:color w:val="auto"/>
          <w:sz w:val="24"/>
          <w:szCs w:val="24"/>
          <w:highlight w:val="none"/>
        </w:rPr>
      </w:pPr>
      <w:r>
        <w:rPr>
          <w:rStyle w:val="33"/>
          <w:rFonts w:ascii="Times New Roman" w:hAnsi="Times New Roman" w:eastAsia="宋体" w:cs="Times New Roman"/>
          <w:color w:val="auto"/>
          <w:sz w:val="24"/>
          <w:szCs w:val="24"/>
          <w:highlight w:val="none"/>
        </w:rPr>
        <w:t>5.</w:t>
      </w:r>
      <w:r>
        <w:rPr>
          <w:rStyle w:val="33"/>
          <w:rFonts w:hint="eastAsia" w:ascii="Times New Roman" w:hAnsi="Times New Roman" w:eastAsia="宋体" w:cs="宋体"/>
          <w:color w:val="auto"/>
          <w:sz w:val="24"/>
          <w:szCs w:val="24"/>
          <w:highlight w:val="none"/>
        </w:rPr>
        <w:t>地下防水工程为</w:t>
      </w:r>
      <w:r>
        <w:rPr>
          <w:rStyle w:val="33"/>
          <w:rFonts w:ascii="Times New Roman" w:hAnsi="Times New Roman" w:eastAsia="宋体" w:cs="Times New Roman"/>
          <w:color w:val="auto"/>
          <w:sz w:val="24"/>
          <w:szCs w:val="24"/>
          <w:highlight w:val="none"/>
          <w:u w:val="single"/>
        </w:rPr>
        <w:t xml:space="preserve">     </w:t>
      </w:r>
      <w:r>
        <w:rPr>
          <w:rStyle w:val="33"/>
          <w:rFonts w:hint="eastAsia" w:ascii="Times New Roman" w:hAnsi="Times New Roman" w:eastAsia="宋体" w:cs="宋体"/>
          <w:color w:val="auto"/>
          <w:sz w:val="24"/>
          <w:szCs w:val="24"/>
          <w:highlight w:val="none"/>
        </w:rPr>
        <w:t>年（建议为</w:t>
      </w:r>
      <w:r>
        <w:rPr>
          <w:rStyle w:val="33"/>
          <w:rFonts w:ascii="Times New Roman" w:hAnsi="Times New Roman" w:eastAsia="宋体" w:cs="Times New Roman"/>
          <w:color w:val="auto"/>
          <w:sz w:val="24"/>
          <w:szCs w:val="24"/>
          <w:highlight w:val="none"/>
        </w:rPr>
        <w:t>5</w:t>
      </w:r>
      <w:r>
        <w:rPr>
          <w:rStyle w:val="33"/>
          <w:rFonts w:hint="eastAsia" w:ascii="Times New Roman" w:hAnsi="Times New Roman" w:eastAsia="宋体" w:cs="宋体"/>
          <w:color w:val="auto"/>
          <w:sz w:val="24"/>
          <w:szCs w:val="24"/>
          <w:highlight w:val="none"/>
        </w:rPr>
        <w:t>年）；</w:t>
      </w:r>
    </w:p>
    <w:p w14:paraId="709B1F81">
      <w:pPr>
        <w:pStyle w:val="79"/>
        <w:spacing w:line="360" w:lineRule="auto"/>
        <w:ind w:firstLine="426"/>
        <w:rPr>
          <w:rStyle w:val="33"/>
          <w:rFonts w:ascii="Times New Roman" w:hAnsi="Times New Roman" w:eastAsia="宋体" w:cs="Times New Roman"/>
          <w:color w:val="auto"/>
          <w:sz w:val="24"/>
          <w:szCs w:val="24"/>
          <w:highlight w:val="none"/>
        </w:rPr>
      </w:pPr>
      <w:r>
        <w:rPr>
          <w:rStyle w:val="33"/>
          <w:rFonts w:hint="eastAsia" w:ascii="Times New Roman" w:hAnsi="Times New Roman" w:eastAsia="宋体" w:cs="Times New Roman"/>
          <w:color w:val="auto"/>
          <w:sz w:val="24"/>
          <w:szCs w:val="24"/>
          <w:highlight w:val="none"/>
          <w:lang w:eastAsia="zh-CN"/>
        </w:rPr>
        <w:t>6.</w:t>
      </w:r>
      <w:r>
        <w:rPr>
          <w:rStyle w:val="33"/>
          <w:rFonts w:hint="eastAsia" w:ascii="Times New Roman" w:hAnsi="Times New Roman" w:eastAsia="宋体" w:cs="宋体"/>
          <w:color w:val="auto"/>
          <w:sz w:val="24"/>
          <w:szCs w:val="24"/>
          <w:highlight w:val="none"/>
        </w:rPr>
        <w:t>其他附属工程为</w:t>
      </w:r>
      <w:r>
        <w:rPr>
          <w:rStyle w:val="33"/>
          <w:rFonts w:ascii="Times New Roman" w:hAnsi="Times New Roman" w:eastAsia="宋体" w:cs="Times New Roman"/>
          <w:color w:val="auto"/>
          <w:sz w:val="24"/>
          <w:szCs w:val="24"/>
          <w:highlight w:val="none"/>
          <w:u w:val="single"/>
        </w:rPr>
        <w:t xml:space="preserve">      </w:t>
      </w:r>
      <w:r>
        <w:rPr>
          <w:rStyle w:val="33"/>
          <w:rFonts w:hint="eastAsia" w:ascii="Times New Roman" w:hAnsi="Times New Roman" w:eastAsia="宋体" w:cs="宋体"/>
          <w:color w:val="auto"/>
          <w:sz w:val="24"/>
          <w:szCs w:val="24"/>
          <w:highlight w:val="none"/>
        </w:rPr>
        <w:t>年；</w:t>
      </w:r>
    </w:p>
    <w:p w14:paraId="762346F2">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lang w:eastAsia="zh-CN"/>
        </w:rPr>
        <w:t>7.</w:t>
      </w:r>
      <w:r>
        <w:rPr>
          <w:rStyle w:val="33"/>
          <w:rFonts w:hint="eastAsia" w:ascii="宋体" w:hAnsi="宋体" w:eastAsia="宋体" w:cs="宋体"/>
          <w:color w:val="auto"/>
          <w:sz w:val="24"/>
          <w:szCs w:val="24"/>
          <w:highlight w:val="none"/>
        </w:rPr>
        <w:t>其他项目保修期限约定如下：</w:t>
      </w:r>
    </w:p>
    <w:p w14:paraId="69CA77E4">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ascii="宋体" w:hAnsi="宋体" w:eastAsia="宋体" w:cs="宋体"/>
          <w:color w:val="auto"/>
          <w:sz w:val="24"/>
          <w:szCs w:val="24"/>
          <w:highlight w:val="none"/>
          <w:u w:val="single"/>
        </w:rPr>
        <w:t xml:space="preserve">                                                                                                                                                              </w:t>
      </w:r>
      <w:r>
        <w:rPr>
          <w:rStyle w:val="33"/>
          <w:rFonts w:hint="eastAsia" w:ascii="宋体" w:hAnsi="宋体" w:eastAsia="宋体" w:cs="宋体"/>
          <w:color w:val="auto"/>
          <w:sz w:val="24"/>
          <w:szCs w:val="24"/>
          <w:highlight w:val="none"/>
        </w:rPr>
        <w:t>。</w:t>
      </w:r>
    </w:p>
    <w:p w14:paraId="6F93FE50">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rPr>
        <w:t>质量保修期自工程竣工验收合格之日起计算。</w:t>
      </w:r>
    </w:p>
    <w:p w14:paraId="322C36C9">
      <w:pPr>
        <w:pStyle w:val="79"/>
        <w:spacing w:line="360" w:lineRule="auto"/>
        <w:ind w:firstLine="480" w:firstLineChars="200"/>
        <w:rPr>
          <w:rStyle w:val="33"/>
          <w:rFonts w:ascii="黑体" w:hAnsi="宋体" w:eastAsia="黑体" w:cs="Times New Roman"/>
          <w:color w:val="auto"/>
          <w:sz w:val="24"/>
          <w:szCs w:val="24"/>
          <w:highlight w:val="none"/>
        </w:rPr>
      </w:pPr>
      <w:r>
        <w:rPr>
          <w:rStyle w:val="33"/>
          <w:rFonts w:hint="eastAsia" w:ascii="黑体" w:hAnsi="宋体" w:eastAsia="黑体" w:cs="黑体"/>
          <w:color w:val="auto"/>
          <w:sz w:val="24"/>
          <w:szCs w:val="24"/>
          <w:highlight w:val="none"/>
        </w:rPr>
        <w:t>三、缺陷责任期</w:t>
      </w:r>
    </w:p>
    <w:p w14:paraId="365BD548">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rPr>
        <w:t>工程缺陷责任期为</w:t>
      </w:r>
      <w:r>
        <w:rPr>
          <w:rStyle w:val="33"/>
          <w:rFonts w:ascii="宋体" w:hAnsi="宋体" w:eastAsia="宋体" w:cs="宋体"/>
          <w:color w:val="auto"/>
          <w:sz w:val="24"/>
          <w:szCs w:val="24"/>
          <w:highlight w:val="none"/>
          <w:u w:val="single"/>
        </w:rPr>
        <w:t xml:space="preserve">         </w:t>
      </w:r>
      <w:r>
        <w:rPr>
          <w:rStyle w:val="33"/>
          <w:rFonts w:hint="eastAsia" w:ascii="宋体" w:hAnsi="宋体" w:eastAsia="宋体" w:cs="宋体"/>
          <w:color w:val="auto"/>
          <w:sz w:val="24"/>
          <w:szCs w:val="24"/>
          <w:highlight w:val="none"/>
        </w:rPr>
        <w:t>个月</w:t>
      </w:r>
      <w:r>
        <w:rPr>
          <w:rStyle w:val="33"/>
          <w:rFonts w:hint="eastAsia" w:ascii="Times New Roman" w:hAnsi="宋体" w:eastAsia="宋体" w:cs="宋体"/>
          <w:color w:val="auto"/>
          <w:sz w:val="24"/>
          <w:szCs w:val="24"/>
          <w:highlight w:val="none"/>
        </w:rPr>
        <w:t>（最长不超过</w:t>
      </w:r>
      <w:r>
        <w:rPr>
          <w:rStyle w:val="33"/>
          <w:rFonts w:ascii="Times New Roman" w:hAnsi="宋体" w:eastAsia="宋体" w:cs="Times New Roman"/>
          <w:color w:val="auto"/>
          <w:sz w:val="24"/>
          <w:szCs w:val="24"/>
          <w:highlight w:val="none"/>
        </w:rPr>
        <w:t>24</w:t>
      </w:r>
      <w:r>
        <w:rPr>
          <w:rStyle w:val="33"/>
          <w:rFonts w:hint="eastAsia" w:ascii="Times New Roman" w:hAnsi="宋体" w:eastAsia="宋体" w:cs="宋体"/>
          <w:color w:val="auto"/>
          <w:sz w:val="24"/>
          <w:szCs w:val="24"/>
          <w:highlight w:val="none"/>
        </w:rPr>
        <w:t>个月）</w:t>
      </w:r>
      <w:r>
        <w:rPr>
          <w:rStyle w:val="33"/>
          <w:rFonts w:hint="eastAsia" w:ascii="宋体" w:hAnsi="宋体" w:eastAsia="宋体" w:cs="宋体"/>
          <w:color w:val="auto"/>
          <w:sz w:val="24"/>
          <w:szCs w:val="24"/>
          <w:highlight w:val="none"/>
        </w:rPr>
        <w:t>，缺陷责任期自工程竣工验收合格之日起计算。单位工程先于全部工程进行验收，单位工程缺陷责任期自单位工程验收合格之日起算。</w:t>
      </w:r>
    </w:p>
    <w:p w14:paraId="035960A8">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rPr>
        <w:t>缺陷责任期</w:t>
      </w:r>
      <w:r>
        <w:rPr>
          <w:rStyle w:val="33"/>
          <w:rFonts w:hint="eastAsia" w:ascii="Times New Roman" w:hAnsi="宋体" w:eastAsia="宋体" w:cs="宋体"/>
          <w:color w:val="auto"/>
          <w:sz w:val="24"/>
          <w:szCs w:val="24"/>
          <w:highlight w:val="none"/>
          <w:u w:val="single"/>
        </w:rPr>
        <w:t>满</w:t>
      </w:r>
      <w:r>
        <w:rPr>
          <w:rStyle w:val="33"/>
          <w:rFonts w:hint="eastAsia" w:ascii="仿宋_GB2312" w:hAnsi="宋体" w:eastAsia="宋体" w:cs="Times New Roman"/>
          <w:color w:val="auto"/>
          <w:sz w:val="24"/>
          <w:szCs w:val="24"/>
          <w:highlight w:val="none"/>
        </w:rPr>
        <w:t>之日起</w:t>
      </w:r>
      <w:r>
        <w:rPr>
          <w:rStyle w:val="33"/>
          <w:rFonts w:hint="eastAsia" w:ascii="仿宋_GB2312" w:hAnsi="宋体" w:eastAsia="宋体" w:cs="Times New Roman"/>
          <w:color w:val="auto"/>
          <w:sz w:val="24"/>
          <w:szCs w:val="24"/>
          <w:highlight w:val="none"/>
          <w:u w:val="single"/>
        </w:rPr>
        <w:t xml:space="preserve"> </w:t>
      </w:r>
      <w:r>
        <w:rPr>
          <w:rStyle w:val="33"/>
          <w:rFonts w:ascii="仿宋_GB2312" w:hAnsi="宋体" w:eastAsia="宋体" w:cs="Times New Roman"/>
          <w:color w:val="auto"/>
          <w:sz w:val="24"/>
          <w:szCs w:val="24"/>
          <w:highlight w:val="none"/>
          <w:u w:val="single"/>
        </w:rPr>
        <w:t xml:space="preserve">  </w:t>
      </w:r>
      <w:r>
        <w:rPr>
          <w:rStyle w:val="33"/>
          <w:rFonts w:hint="eastAsia" w:ascii="仿宋_GB2312" w:hAnsi="宋体" w:eastAsia="宋体" w:cs="Times New Roman"/>
          <w:color w:val="auto"/>
          <w:sz w:val="24"/>
          <w:szCs w:val="24"/>
          <w:highlight w:val="none"/>
          <w:u w:val="single"/>
        </w:rPr>
        <w:t xml:space="preserve"> </w:t>
      </w:r>
      <w:r>
        <w:rPr>
          <w:rStyle w:val="33"/>
          <w:rFonts w:hint="eastAsia" w:ascii="仿宋_GB2312" w:hAnsi="宋体" w:eastAsia="宋体" w:cs="Times New Roman"/>
          <w:color w:val="auto"/>
          <w:sz w:val="24"/>
          <w:szCs w:val="24"/>
          <w:highlight w:val="none"/>
        </w:rPr>
        <w:t>天</w:t>
      </w:r>
      <w:r>
        <w:rPr>
          <w:rStyle w:val="33"/>
          <w:rFonts w:hint="eastAsia" w:ascii="Times New Roman" w:hAnsi="宋体" w:eastAsia="宋体" w:cs="宋体"/>
          <w:color w:val="auto"/>
          <w:sz w:val="24"/>
          <w:szCs w:val="24"/>
          <w:highlight w:val="none"/>
          <w:u w:val="single"/>
        </w:rPr>
        <w:t>（按</w:t>
      </w:r>
      <w:r>
        <w:rPr>
          <w:rStyle w:val="33"/>
          <w:rFonts w:ascii="Times New Roman" w:hAnsi="宋体" w:eastAsia="宋体" w:cs="宋体"/>
          <w:color w:val="auto"/>
          <w:sz w:val="24"/>
          <w:szCs w:val="24"/>
          <w:highlight w:val="none"/>
          <w:u w:val="single"/>
        </w:rPr>
        <w:t>合同约定期限）</w:t>
      </w:r>
      <w:r>
        <w:rPr>
          <w:rStyle w:val="33"/>
          <w:rFonts w:hint="eastAsia" w:ascii="Times New Roman" w:hAnsi="宋体" w:eastAsia="宋体" w:cs="宋体"/>
          <w:color w:val="auto"/>
          <w:sz w:val="24"/>
          <w:szCs w:val="24"/>
          <w:highlight w:val="none"/>
          <w:u w:val="single"/>
        </w:rPr>
        <w:t>，</w:t>
      </w:r>
      <w:r>
        <w:rPr>
          <w:rStyle w:val="33"/>
          <w:rFonts w:hint="eastAsia" w:ascii="宋体" w:hAnsi="宋体" w:eastAsia="宋体" w:cs="宋体"/>
          <w:color w:val="auto"/>
          <w:sz w:val="24"/>
          <w:szCs w:val="24"/>
          <w:highlight w:val="none"/>
        </w:rPr>
        <w:t>发包人应退还剩余的质量保证金。</w:t>
      </w:r>
    </w:p>
    <w:p w14:paraId="02CB2C83">
      <w:pPr>
        <w:pStyle w:val="79"/>
        <w:spacing w:line="360" w:lineRule="auto"/>
        <w:ind w:firstLine="480" w:firstLineChars="200"/>
        <w:rPr>
          <w:rStyle w:val="33"/>
          <w:rFonts w:ascii="黑体" w:hAnsi="宋体" w:eastAsia="黑体" w:cs="Times New Roman"/>
          <w:color w:val="auto"/>
          <w:sz w:val="24"/>
          <w:szCs w:val="24"/>
          <w:highlight w:val="none"/>
        </w:rPr>
      </w:pPr>
      <w:r>
        <w:rPr>
          <w:rStyle w:val="33"/>
          <w:rFonts w:hint="eastAsia" w:ascii="黑体" w:hAnsi="宋体" w:eastAsia="黑体" w:cs="黑体"/>
          <w:color w:val="auto"/>
          <w:sz w:val="24"/>
          <w:szCs w:val="24"/>
          <w:highlight w:val="none"/>
        </w:rPr>
        <w:t>四、质量保修责任</w:t>
      </w:r>
    </w:p>
    <w:p w14:paraId="72E3D53B">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lang w:eastAsia="zh-CN"/>
        </w:rPr>
        <w:t>1.</w:t>
      </w:r>
      <w:r>
        <w:rPr>
          <w:rStyle w:val="33"/>
          <w:rFonts w:hint="eastAsia" w:ascii="宋体" w:hAnsi="宋体" w:eastAsia="宋体" w:cs="宋体"/>
          <w:color w:val="auto"/>
          <w:sz w:val="24"/>
          <w:szCs w:val="24"/>
          <w:highlight w:val="none"/>
        </w:rPr>
        <w:t>属于保修范围、内容的项目，承包人应当在接到保修通知之日起</w:t>
      </w:r>
      <w:r>
        <w:rPr>
          <w:rStyle w:val="33"/>
          <w:rFonts w:ascii="宋体" w:hAnsi="宋体" w:eastAsia="宋体" w:cs="宋体"/>
          <w:color w:val="auto"/>
          <w:sz w:val="24"/>
          <w:szCs w:val="24"/>
          <w:highlight w:val="none"/>
          <w:u w:val="single"/>
        </w:rPr>
        <w:t xml:space="preserve">      </w:t>
      </w:r>
      <w:r>
        <w:rPr>
          <w:rStyle w:val="33"/>
          <w:rFonts w:hint="eastAsia" w:ascii="宋体" w:hAnsi="宋体" w:eastAsia="宋体" w:cs="宋体"/>
          <w:color w:val="auto"/>
          <w:sz w:val="24"/>
          <w:szCs w:val="24"/>
          <w:highlight w:val="none"/>
        </w:rPr>
        <w:t>天内派人保修。承包人不在约定期限内派人保修的，发包人可以委托他人修理</w:t>
      </w:r>
      <w:r>
        <w:rPr>
          <w:rStyle w:val="33"/>
          <w:rFonts w:hint="eastAsia" w:ascii="Times New Roman" w:hAnsi="宋体" w:eastAsia="宋体" w:cs="宋体"/>
          <w:color w:val="auto"/>
          <w:sz w:val="24"/>
          <w:szCs w:val="24"/>
          <w:highlight w:val="none"/>
        </w:rPr>
        <w:t>，修理费用从质量保证金内扣除。</w:t>
      </w:r>
    </w:p>
    <w:p w14:paraId="07C5142A">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lang w:eastAsia="zh-CN"/>
        </w:rPr>
        <w:t>2.</w:t>
      </w:r>
      <w:r>
        <w:rPr>
          <w:rStyle w:val="33"/>
          <w:rFonts w:hint="eastAsia" w:ascii="宋体" w:hAnsi="宋体" w:eastAsia="宋体" w:cs="宋体"/>
          <w:color w:val="auto"/>
          <w:sz w:val="24"/>
          <w:szCs w:val="24"/>
          <w:highlight w:val="none"/>
        </w:rPr>
        <w:t>发生紧急事故需抢修的，承包人在接到事故通知后，应当立即到达事故现场抢修。</w:t>
      </w:r>
    </w:p>
    <w:p w14:paraId="690D0E22">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lang w:eastAsia="zh-CN"/>
        </w:rPr>
        <w:t>3.</w:t>
      </w:r>
      <w:r>
        <w:rPr>
          <w:rStyle w:val="33"/>
          <w:rFonts w:hint="eastAsia" w:ascii="宋体" w:hAnsi="宋体" w:eastAsia="宋体" w:cs="宋体"/>
          <w:color w:val="auto"/>
          <w:sz w:val="24"/>
          <w:szCs w:val="24"/>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11308C5">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lang w:eastAsia="zh-CN"/>
        </w:rPr>
        <w:t>4.</w:t>
      </w:r>
      <w:r>
        <w:rPr>
          <w:rStyle w:val="33"/>
          <w:rFonts w:hint="eastAsia" w:ascii="宋体" w:hAnsi="宋体" w:eastAsia="宋体" w:cs="宋体"/>
          <w:color w:val="auto"/>
          <w:sz w:val="24"/>
          <w:szCs w:val="24"/>
          <w:highlight w:val="none"/>
        </w:rPr>
        <w:t>质量保修完成后，由发包人组织验收。</w:t>
      </w:r>
    </w:p>
    <w:p w14:paraId="267884F5">
      <w:pPr>
        <w:pStyle w:val="79"/>
        <w:spacing w:line="360" w:lineRule="auto"/>
        <w:ind w:firstLine="480" w:firstLineChars="200"/>
        <w:rPr>
          <w:rStyle w:val="33"/>
          <w:rFonts w:ascii="黑体" w:hAnsi="宋体" w:eastAsia="黑体" w:cs="Times New Roman"/>
          <w:color w:val="auto"/>
          <w:sz w:val="24"/>
          <w:szCs w:val="24"/>
          <w:highlight w:val="none"/>
        </w:rPr>
      </w:pPr>
      <w:r>
        <w:rPr>
          <w:rStyle w:val="33"/>
          <w:rFonts w:hint="eastAsia" w:ascii="黑体" w:hAnsi="宋体" w:eastAsia="黑体" w:cs="黑体"/>
          <w:color w:val="auto"/>
          <w:sz w:val="24"/>
          <w:szCs w:val="24"/>
          <w:highlight w:val="none"/>
        </w:rPr>
        <w:t>五、保修费用</w:t>
      </w:r>
    </w:p>
    <w:p w14:paraId="5263D9DF">
      <w:pPr>
        <w:pStyle w:val="79"/>
        <w:spacing w:line="360" w:lineRule="auto"/>
        <w:ind w:firstLine="480" w:firstLineChars="20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rPr>
        <w:t>保修费用由造成质量缺陷的责任方承担。</w:t>
      </w:r>
    </w:p>
    <w:p w14:paraId="2A7227C2">
      <w:pPr>
        <w:pStyle w:val="79"/>
        <w:spacing w:line="360" w:lineRule="auto"/>
        <w:ind w:firstLine="480" w:firstLineChars="200"/>
        <w:rPr>
          <w:rStyle w:val="33"/>
          <w:rFonts w:ascii="黑体" w:hAnsi="宋体" w:eastAsia="黑体" w:cs="黑体"/>
          <w:color w:val="auto"/>
          <w:sz w:val="24"/>
          <w:szCs w:val="24"/>
          <w:highlight w:val="none"/>
          <w:u w:val="single"/>
        </w:rPr>
      </w:pPr>
      <w:r>
        <w:rPr>
          <w:rStyle w:val="33"/>
          <w:rFonts w:hint="eastAsia" w:ascii="黑体" w:hAnsi="宋体" w:eastAsia="黑体" w:cs="黑体"/>
          <w:color w:val="auto"/>
          <w:sz w:val="24"/>
          <w:szCs w:val="24"/>
          <w:highlight w:val="none"/>
        </w:rPr>
        <w:t>六、双方约定的其他工程质量保修事项：</w:t>
      </w:r>
      <w:r>
        <w:rPr>
          <w:rStyle w:val="33"/>
          <w:rFonts w:ascii="黑体" w:hAnsi="宋体" w:eastAsia="黑体" w:cs="黑体"/>
          <w:color w:val="auto"/>
          <w:sz w:val="24"/>
          <w:szCs w:val="24"/>
          <w:highlight w:val="none"/>
          <w:u w:val="single"/>
        </w:rPr>
        <w:t xml:space="preserve">                                          </w:t>
      </w:r>
    </w:p>
    <w:p w14:paraId="5084A062">
      <w:pPr>
        <w:pStyle w:val="79"/>
        <w:spacing w:line="360" w:lineRule="auto"/>
        <w:jc w:val="left"/>
        <w:rPr>
          <w:rStyle w:val="33"/>
          <w:rFonts w:ascii="宋体" w:hAnsi="Times New Roman" w:eastAsia="宋体" w:cs="Times New Roman"/>
          <w:color w:val="auto"/>
          <w:sz w:val="24"/>
          <w:szCs w:val="24"/>
          <w:highlight w:val="none"/>
        </w:rPr>
      </w:pPr>
      <w:r>
        <w:rPr>
          <w:rStyle w:val="33"/>
          <w:rFonts w:ascii="宋体" w:hAnsi="宋体" w:eastAsia="宋体" w:cs="宋体"/>
          <w:color w:val="auto"/>
          <w:sz w:val="24"/>
          <w:szCs w:val="24"/>
          <w:highlight w:val="none"/>
          <w:u w:val="single"/>
        </w:rPr>
        <w:t xml:space="preserve">                                                                               </w:t>
      </w:r>
      <w:r>
        <w:rPr>
          <w:rStyle w:val="33"/>
          <w:rFonts w:hint="eastAsia" w:ascii="宋体" w:hAnsi="宋体" w:eastAsia="宋体" w:cs="宋体"/>
          <w:color w:val="auto"/>
          <w:sz w:val="24"/>
          <w:szCs w:val="24"/>
          <w:highlight w:val="none"/>
        </w:rPr>
        <w:t>。</w:t>
      </w:r>
    </w:p>
    <w:p w14:paraId="25E10BC8">
      <w:pPr>
        <w:pStyle w:val="79"/>
        <w:spacing w:line="360" w:lineRule="auto"/>
        <w:ind w:firstLine="456" w:firstLineChars="190"/>
        <w:rPr>
          <w:rStyle w:val="33"/>
          <w:rFonts w:ascii="宋体" w:hAnsi="Times New Roman" w:eastAsia="宋体" w:cs="Times New Roman"/>
          <w:color w:val="auto"/>
          <w:sz w:val="24"/>
          <w:szCs w:val="24"/>
          <w:highlight w:val="none"/>
        </w:rPr>
      </w:pPr>
      <w:r>
        <w:rPr>
          <w:rStyle w:val="33"/>
          <w:rFonts w:hint="eastAsia" w:ascii="宋体" w:hAnsi="宋体" w:eastAsia="宋体" w:cs="宋体"/>
          <w:color w:val="auto"/>
          <w:sz w:val="24"/>
          <w:szCs w:val="24"/>
          <w:highlight w:val="none"/>
        </w:rPr>
        <w:t>工程质量保修书由发包人、承包人在工程竣工验收前共同签署，作为施工合同附件，其有效期限至保修期满。</w:t>
      </w:r>
    </w:p>
    <w:p w14:paraId="2117BA5B">
      <w:pPr>
        <w:pStyle w:val="79"/>
        <w:spacing w:line="360" w:lineRule="auto"/>
        <w:ind w:firstLine="420"/>
        <w:rPr>
          <w:rStyle w:val="33"/>
          <w:rFonts w:ascii="宋体" w:hAnsi="Times New Roman" w:eastAsia="宋体" w:cs="Times New Roman"/>
          <w:color w:val="auto"/>
          <w:sz w:val="24"/>
          <w:szCs w:val="24"/>
          <w:highlight w:val="none"/>
        </w:rPr>
      </w:pPr>
    </w:p>
    <w:p w14:paraId="7920D0F9">
      <w:pPr>
        <w:pStyle w:val="79"/>
        <w:spacing w:line="360" w:lineRule="auto"/>
        <w:ind w:firstLine="420"/>
        <w:rPr>
          <w:rStyle w:val="33"/>
          <w:rFonts w:ascii="宋体" w:hAnsi="Times New Roman" w:eastAsia="宋体" w:cs="Times New Roman"/>
          <w:color w:val="auto"/>
          <w:sz w:val="24"/>
          <w:szCs w:val="24"/>
          <w:highlight w:val="none"/>
        </w:rPr>
      </w:pPr>
    </w:p>
    <w:p w14:paraId="793B15AE">
      <w:pPr>
        <w:pStyle w:val="79"/>
        <w:spacing w:line="360" w:lineRule="auto"/>
        <w:rPr>
          <w:rStyle w:val="33"/>
          <w:rFonts w:hint="eastAsia" w:ascii="Times New Roman" w:hAnsi="Times New Roman" w:eastAsia="宋体" w:cs="Times New Roman"/>
          <w:color w:val="auto"/>
          <w:sz w:val="24"/>
          <w:szCs w:val="24"/>
          <w:highlight w:val="none"/>
          <w:lang w:eastAsia="zh-CN"/>
        </w:rPr>
      </w:pPr>
      <w:r>
        <w:rPr>
          <w:rStyle w:val="33"/>
          <w:rFonts w:ascii="Times New Roman" w:hAnsi="宋体" w:eastAsia="宋体" w:cs="Times New Roman"/>
          <w:color w:val="auto"/>
          <w:sz w:val="24"/>
          <w:szCs w:val="24"/>
          <w:highlight w:val="none"/>
        </w:rPr>
        <w:t>发包人</w:t>
      </w:r>
      <w:r>
        <w:rPr>
          <w:rStyle w:val="33"/>
          <w:rFonts w:hint="eastAsia" w:ascii="Times New Roman" w:hAnsi="Times New Roman" w:eastAsia="宋体" w:cs="Times New Roman"/>
          <w:color w:val="auto"/>
          <w:sz w:val="24"/>
          <w:szCs w:val="24"/>
          <w:highlight w:val="none"/>
        </w:rPr>
        <w:t>（</w:t>
      </w:r>
      <w:r>
        <w:rPr>
          <w:rStyle w:val="33"/>
          <w:rFonts w:ascii="Times New Roman" w:hAnsi="宋体" w:eastAsia="宋体" w:cs="Times New Roman"/>
          <w:color w:val="auto"/>
          <w:sz w:val="24"/>
          <w:szCs w:val="24"/>
          <w:highlight w:val="none"/>
        </w:rPr>
        <w:t>公章</w:t>
      </w:r>
      <w:r>
        <w:rPr>
          <w:rStyle w:val="33"/>
          <w:rFonts w:hint="eastAsia" w:ascii="Times New Roman" w:hAnsi="Times New Roman" w:eastAsia="宋体" w:cs="Times New Roman"/>
          <w:color w:val="auto"/>
          <w:sz w:val="24"/>
          <w:szCs w:val="24"/>
          <w:highlight w:val="none"/>
        </w:rPr>
        <w:t>）</w:t>
      </w:r>
      <w:r>
        <w:rPr>
          <w:rStyle w:val="33"/>
          <w:rFonts w:ascii="Times New Roman" w:hAnsi="宋体" w:eastAsia="宋体" w:cs="Times New Roman"/>
          <w:color w:val="auto"/>
          <w:sz w:val="24"/>
          <w:szCs w:val="24"/>
          <w:highlight w:val="none"/>
        </w:rPr>
        <w:t>：</w:t>
      </w:r>
      <w:r>
        <w:rPr>
          <w:rStyle w:val="33"/>
          <w:rFonts w:ascii="Times New Roman" w:hAnsi="Times New Roman"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r>
        <w:rPr>
          <w:rStyle w:val="33"/>
          <w:rFonts w:ascii="Times New Roman" w:hAnsi="Times New Roman"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r>
        <w:rPr>
          <w:rStyle w:val="33"/>
          <w:rFonts w:ascii="Times New Roman" w:hAnsi="Times New Roman" w:eastAsia="宋体" w:cs="Times New Roman"/>
          <w:color w:val="auto"/>
          <w:sz w:val="24"/>
          <w:szCs w:val="24"/>
          <w:highlight w:val="none"/>
          <w:u w:val="single"/>
        </w:rPr>
        <w:t xml:space="preserve"> </w:t>
      </w:r>
      <w:r>
        <w:rPr>
          <w:rStyle w:val="33"/>
          <w:rFonts w:hint="eastAsia"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rPr>
        <w:t xml:space="preserve"> </w:t>
      </w:r>
      <w:r>
        <w:rPr>
          <w:rStyle w:val="33"/>
          <w:rFonts w:hint="eastAsia"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承包人</w:t>
      </w:r>
      <w:r>
        <w:rPr>
          <w:rStyle w:val="33"/>
          <w:rFonts w:hint="eastAsia" w:ascii="Times New Roman" w:hAnsi="Times New Roman" w:eastAsia="宋体" w:cs="Times New Roman"/>
          <w:color w:val="auto"/>
          <w:sz w:val="24"/>
          <w:szCs w:val="24"/>
          <w:highlight w:val="none"/>
        </w:rPr>
        <w:t>（</w:t>
      </w:r>
      <w:r>
        <w:rPr>
          <w:rStyle w:val="33"/>
          <w:rFonts w:ascii="Times New Roman" w:hAnsi="宋体" w:eastAsia="宋体" w:cs="Times New Roman"/>
          <w:color w:val="auto"/>
          <w:sz w:val="24"/>
          <w:szCs w:val="24"/>
          <w:highlight w:val="none"/>
        </w:rPr>
        <w:t>公章</w:t>
      </w:r>
      <w:r>
        <w:rPr>
          <w:rStyle w:val="33"/>
          <w:rFonts w:hint="eastAsia" w:ascii="Times New Roman" w:hAnsi="Times New Roman" w:eastAsia="宋体" w:cs="Times New Roman"/>
          <w:color w:val="auto"/>
          <w:sz w:val="24"/>
          <w:szCs w:val="24"/>
          <w:highlight w:val="none"/>
        </w:rPr>
        <w:t>）</w:t>
      </w:r>
      <w:r>
        <w:rPr>
          <w:rStyle w:val="33"/>
          <w:rFonts w:ascii="Times New Roman" w:hAnsi="宋体" w:eastAsia="宋体" w:cs="Times New Roman"/>
          <w:color w:val="auto"/>
          <w:sz w:val="24"/>
          <w:szCs w:val="24"/>
          <w:highlight w:val="none"/>
        </w:rPr>
        <w:t>：</w:t>
      </w:r>
      <w:r>
        <w:rPr>
          <w:rStyle w:val="33"/>
          <w:rFonts w:hint="eastAsia" w:ascii="宋体" w:hAnsi="宋体" w:eastAsia="宋体" w:cs="Times New Roman"/>
          <w:color w:val="auto"/>
          <w:sz w:val="24"/>
          <w:szCs w:val="24"/>
          <w:highlight w:val="none"/>
          <w:u w:val="single"/>
          <w:lang w:eastAsia="zh-CN"/>
        </w:rPr>
        <w:t xml:space="preserve">  </w:t>
      </w:r>
      <w:r>
        <w:rPr>
          <w:rStyle w:val="33"/>
          <w:rFonts w:ascii="Times New Roman" w:hAnsi="Times New Roman"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p>
    <w:p w14:paraId="7C894DFB">
      <w:pPr>
        <w:pStyle w:val="79"/>
        <w:spacing w:line="360" w:lineRule="auto"/>
        <w:rPr>
          <w:rStyle w:val="33"/>
          <w:rFonts w:hint="eastAsia" w:ascii="Times New Roman" w:hAnsi="Times New Roman" w:eastAsia="宋体" w:cs="Times New Roman"/>
          <w:color w:val="auto"/>
          <w:sz w:val="24"/>
          <w:szCs w:val="24"/>
          <w:highlight w:val="none"/>
          <w:lang w:eastAsia="zh-CN"/>
        </w:rPr>
      </w:pPr>
      <w:r>
        <w:rPr>
          <w:rStyle w:val="33"/>
          <w:rFonts w:ascii="Times New Roman" w:hAnsi="宋体" w:eastAsia="宋体" w:cs="Times New Roman"/>
          <w:color w:val="auto"/>
          <w:sz w:val="24"/>
          <w:szCs w:val="24"/>
          <w:highlight w:val="none"/>
        </w:rPr>
        <w:t>地</w:t>
      </w:r>
      <w:r>
        <w:rPr>
          <w:rStyle w:val="33"/>
          <w:rFonts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址：</w:t>
      </w:r>
      <w:r>
        <w:rPr>
          <w:rStyle w:val="33"/>
          <w:rFonts w:ascii="Times New Roman" w:hAnsi="Times New Roman"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r>
        <w:rPr>
          <w:rStyle w:val="33"/>
          <w:rFonts w:ascii="Times New Roman" w:hAnsi="Times New Roman" w:eastAsia="宋体" w:cs="Times New Roman"/>
          <w:color w:val="auto"/>
          <w:sz w:val="24"/>
          <w:szCs w:val="24"/>
          <w:highlight w:val="none"/>
          <w:u w:val="single"/>
        </w:rPr>
        <w:t xml:space="preserve">   </w:t>
      </w:r>
      <w:r>
        <w:rPr>
          <w:rStyle w:val="33"/>
          <w:rFonts w:hint="eastAsia"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rPr>
        <w:t xml:space="preserve"> </w:t>
      </w:r>
      <w:r>
        <w:rPr>
          <w:rStyle w:val="33"/>
          <w:rFonts w:hint="eastAsia"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地</w:t>
      </w:r>
      <w:r>
        <w:rPr>
          <w:rStyle w:val="33"/>
          <w:rFonts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址：</w:t>
      </w:r>
      <w:r>
        <w:rPr>
          <w:rStyle w:val="33"/>
          <w:rFonts w:hint="eastAsia" w:ascii="宋体" w:hAnsi="宋体" w:eastAsia="宋体" w:cs="Times New Roman"/>
          <w:color w:val="auto"/>
          <w:sz w:val="24"/>
          <w:szCs w:val="24"/>
          <w:highlight w:val="none"/>
          <w:u w:val="single"/>
          <w:lang w:eastAsia="zh-CN"/>
        </w:rPr>
        <w:t xml:space="preserve">            </w:t>
      </w:r>
      <w:r>
        <w:rPr>
          <w:rStyle w:val="33"/>
          <w:rFonts w:ascii="Times New Roman" w:hAnsi="Times New Roman" w:eastAsia="宋体" w:cs="Times New Roman"/>
          <w:color w:val="auto"/>
          <w:sz w:val="24"/>
          <w:szCs w:val="24"/>
          <w:highlight w:val="none"/>
          <w:u w:val="single"/>
        </w:rPr>
        <w:t xml:space="preserve"> </w:t>
      </w:r>
      <w:r>
        <w:rPr>
          <w:rStyle w:val="33"/>
          <w:rFonts w:hint="eastAsia" w:ascii="Times New Roman" w:hAnsi="Times New Roman"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p>
    <w:p w14:paraId="55ED459D">
      <w:pPr>
        <w:pStyle w:val="79"/>
        <w:spacing w:line="360" w:lineRule="auto"/>
        <w:rPr>
          <w:rStyle w:val="33"/>
          <w:rFonts w:hint="eastAsia" w:ascii="Times New Roman" w:hAnsi="Times New Roman" w:eastAsia="宋体" w:cs="Times New Roman"/>
          <w:color w:val="auto"/>
          <w:sz w:val="24"/>
          <w:szCs w:val="24"/>
          <w:highlight w:val="none"/>
          <w:lang w:eastAsia="zh-CN"/>
        </w:rPr>
      </w:pPr>
      <w:r>
        <w:rPr>
          <w:rStyle w:val="33"/>
          <w:rFonts w:ascii="Times New Roman" w:hAnsi="宋体" w:eastAsia="宋体" w:cs="Times New Roman"/>
          <w:color w:val="auto"/>
          <w:sz w:val="24"/>
          <w:szCs w:val="24"/>
          <w:highlight w:val="none"/>
        </w:rPr>
        <w:t>法定代表人</w:t>
      </w:r>
      <w:r>
        <w:rPr>
          <w:rStyle w:val="33"/>
          <w:rFonts w:hint="eastAsia" w:ascii="Times New Roman" w:hAnsi="Times New Roman" w:eastAsia="宋体" w:cs="Times New Roman"/>
          <w:color w:val="auto"/>
          <w:sz w:val="24"/>
          <w:szCs w:val="24"/>
          <w:highlight w:val="none"/>
        </w:rPr>
        <w:t>（</w:t>
      </w:r>
      <w:r>
        <w:rPr>
          <w:rStyle w:val="33"/>
          <w:rFonts w:ascii="Times New Roman" w:hAnsi="宋体" w:eastAsia="宋体" w:cs="Times New Roman"/>
          <w:color w:val="auto"/>
          <w:sz w:val="24"/>
          <w:szCs w:val="24"/>
          <w:highlight w:val="none"/>
        </w:rPr>
        <w:t>签字</w:t>
      </w:r>
      <w:r>
        <w:rPr>
          <w:rStyle w:val="33"/>
          <w:rFonts w:hint="eastAsia" w:ascii="Times New Roman" w:hAnsi="Times New Roman" w:eastAsia="宋体" w:cs="Times New Roman"/>
          <w:color w:val="auto"/>
          <w:sz w:val="24"/>
          <w:szCs w:val="24"/>
          <w:highlight w:val="none"/>
        </w:rPr>
        <w:t>）</w:t>
      </w:r>
      <w:r>
        <w:rPr>
          <w:rStyle w:val="33"/>
          <w:rFonts w:ascii="Times New Roman" w:hAnsi="宋体" w:eastAsia="宋体" w:cs="Times New Roman"/>
          <w:color w:val="auto"/>
          <w:sz w:val="24"/>
          <w:szCs w:val="24"/>
          <w:highlight w:val="none"/>
        </w:rPr>
        <w:t>：</w:t>
      </w:r>
      <w:r>
        <w:rPr>
          <w:rStyle w:val="33"/>
          <w:rFonts w:hint="eastAsia" w:ascii="宋体" w:hAnsi="宋体" w:eastAsia="宋体" w:cs="Times New Roman"/>
          <w:color w:val="auto"/>
          <w:sz w:val="24"/>
          <w:szCs w:val="24"/>
          <w:highlight w:val="none"/>
          <w:u w:val="single"/>
          <w:lang w:eastAsia="zh-CN"/>
        </w:rPr>
        <w:t xml:space="preserve">    </w:t>
      </w:r>
      <w:r>
        <w:rPr>
          <w:rStyle w:val="33"/>
          <w:rFonts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rPr>
        <w:t xml:space="preserve"> </w:t>
      </w:r>
      <w:r>
        <w:rPr>
          <w:rStyle w:val="33"/>
          <w:rFonts w:hint="eastAsia"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法定代表人</w:t>
      </w:r>
      <w:r>
        <w:rPr>
          <w:rStyle w:val="33"/>
          <w:rFonts w:hint="eastAsia" w:ascii="Times New Roman" w:hAnsi="Times New Roman" w:eastAsia="宋体" w:cs="Times New Roman"/>
          <w:color w:val="auto"/>
          <w:sz w:val="24"/>
          <w:szCs w:val="24"/>
          <w:highlight w:val="none"/>
        </w:rPr>
        <w:t>（</w:t>
      </w:r>
      <w:r>
        <w:rPr>
          <w:rStyle w:val="33"/>
          <w:rFonts w:ascii="Times New Roman" w:hAnsi="宋体" w:eastAsia="宋体" w:cs="Times New Roman"/>
          <w:color w:val="auto"/>
          <w:sz w:val="24"/>
          <w:szCs w:val="24"/>
          <w:highlight w:val="none"/>
        </w:rPr>
        <w:t>签字</w:t>
      </w:r>
      <w:r>
        <w:rPr>
          <w:rStyle w:val="33"/>
          <w:rFonts w:hint="eastAsia" w:ascii="Times New Roman" w:hAnsi="Times New Roman" w:eastAsia="宋体" w:cs="Times New Roman"/>
          <w:color w:val="auto"/>
          <w:sz w:val="24"/>
          <w:szCs w:val="24"/>
          <w:highlight w:val="none"/>
        </w:rPr>
        <w:t>）</w:t>
      </w:r>
      <w:r>
        <w:rPr>
          <w:rStyle w:val="33"/>
          <w:rFonts w:ascii="Times New Roman" w:hAnsi="宋体" w:eastAsia="宋体" w:cs="Times New Roman"/>
          <w:color w:val="auto"/>
          <w:sz w:val="24"/>
          <w:szCs w:val="24"/>
          <w:highlight w:val="none"/>
        </w:rPr>
        <w:t>：</w:t>
      </w:r>
      <w:r>
        <w:rPr>
          <w:rStyle w:val="33"/>
          <w:rFonts w:hint="eastAsia" w:ascii="宋体" w:hAnsi="宋体" w:eastAsia="宋体" w:cs="Times New Roman"/>
          <w:color w:val="auto"/>
          <w:sz w:val="24"/>
          <w:szCs w:val="24"/>
          <w:highlight w:val="none"/>
          <w:u w:val="single"/>
          <w:lang w:eastAsia="zh-CN"/>
        </w:rPr>
        <w:t xml:space="preserve">  </w:t>
      </w:r>
      <w:r>
        <w:rPr>
          <w:rStyle w:val="33"/>
          <w:rFonts w:hint="eastAsia" w:ascii="宋体" w:hAnsi="宋体"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p>
    <w:p w14:paraId="19559457">
      <w:pPr>
        <w:pStyle w:val="79"/>
        <w:spacing w:line="360" w:lineRule="auto"/>
        <w:rPr>
          <w:rStyle w:val="33"/>
          <w:rFonts w:hint="eastAsia" w:ascii="Times New Roman" w:hAnsi="Times New Roman" w:eastAsia="宋体" w:cs="Times New Roman"/>
          <w:color w:val="auto"/>
          <w:sz w:val="24"/>
          <w:szCs w:val="24"/>
          <w:highlight w:val="none"/>
          <w:lang w:eastAsia="zh-CN"/>
        </w:rPr>
      </w:pPr>
      <w:r>
        <w:rPr>
          <w:rStyle w:val="33"/>
          <w:rFonts w:ascii="Times New Roman" w:hAnsi="宋体" w:eastAsia="宋体" w:cs="Times New Roman"/>
          <w:color w:val="auto"/>
          <w:sz w:val="24"/>
          <w:szCs w:val="24"/>
          <w:highlight w:val="none"/>
        </w:rPr>
        <w:t>委托代理人</w:t>
      </w:r>
      <w:r>
        <w:rPr>
          <w:rStyle w:val="33"/>
          <w:rFonts w:hint="eastAsia" w:ascii="Times New Roman" w:hAnsi="Times New Roman" w:eastAsia="宋体" w:cs="Times New Roman"/>
          <w:color w:val="auto"/>
          <w:sz w:val="24"/>
          <w:szCs w:val="24"/>
          <w:highlight w:val="none"/>
        </w:rPr>
        <w:t>（</w:t>
      </w:r>
      <w:r>
        <w:rPr>
          <w:rStyle w:val="33"/>
          <w:rFonts w:ascii="Times New Roman" w:hAnsi="宋体" w:eastAsia="宋体" w:cs="Times New Roman"/>
          <w:color w:val="auto"/>
          <w:sz w:val="24"/>
          <w:szCs w:val="24"/>
          <w:highlight w:val="none"/>
        </w:rPr>
        <w:t>签字</w:t>
      </w:r>
      <w:r>
        <w:rPr>
          <w:rStyle w:val="33"/>
          <w:rFonts w:hint="eastAsia" w:ascii="Times New Roman" w:hAnsi="Times New Roman" w:eastAsia="宋体" w:cs="Times New Roman"/>
          <w:color w:val="auto"/>
          <w:sz w:val="24"/>
          <w:szCs w:val="24"/>
          <w:highlight w:val="none"/>
        </w:rPr>
        <w:t>）</w:t>
      </w:r>
      <w:r>
        <w:rPr>
          <w:rStyle w:val="33"/>
          <w:rFonts w:ascii="Times New Roman" w:hAnsi="宋体" w:eastAsia="宋体" w:cs="Times New Roman"/>
          <w:color w:val="auto"/>
          <w:sz w:val="24"/>
          <w:szCs w:val="24"/>
          <w:highlight w:val="none"/>
        </w:rPr>
        <w:t>：</w:t>
      </w:r>
      <w:r>
        <w:rPr>
          <w:rStyle w:val="33"/>
          <w:rFonts w:hint="eastAsia" w:ascii="宋体" w:hAnsi="宋体" w:eastAsia="宋体" w:cs="Times New Roman"/>
          <w:color w:val="auto"/>
          <w:sz w:val="24"/>
          <w:szCs w:val="24"/>
          <w:highlight w:val="none"/>
          <w:u w:val="single"/>
          <w:lang w:eastAsia="zh-CN"/>
        </w:rPr>
        <w:t xml:space="preserve">    </w:t>
      </w:r>
      <w:r>
        <w:rPr>
          <w:rStyle w:val="33"/>
          <w:rFonts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rPr>
        <w:t xml:space="preserve"> </w:t>
      </w:r>
      <w:r>
        <w:rPr>
          <w:rStyle w:val="33"/>
          <w:rFonts w:hint="eastAsia"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委托代理人</w:t>
      </w:r>
      <w:r>
        <w:rPr>
          <w:rStyle w:val="33"/>
          <w:rFonts w:hint="eastAsia" w:ascii="Times New Roman" w:hAnsi="Times New Roman" w:eastAsia="宋体" w:cs="Times New Roman"/>
          <w:color w:val="auto"/>
          <w:sz w:val="24"/>
          <w:szCs w:val="24"/>
          <w:highlight w:val="none"/>
        </w:rPr>
        <w:t>（</w:t>
      </w:r>
      <w:r>
        <w:rPr>
          <w:rStyle w:val="33"/>
          <w:rFonts w:ascii="Times New Roman" w:hAnsi="宋体" w:eastAsia="宋体" w:cs="Times New Roman"/>
          <w:color w:val="auto"/>
          <w:sz w:val="24"/>
          <w:szCs w:val="24"/>
          <w:highlight w:val="none"/>
        </w:rPr>
        <w:t>签字</w:t>
      </w:r>
      <w:r>
        <w:rPr>
          <w:rStyle w:val="33"/>
          <w:rFonts w:hint="eastAsia" w:ascii="Times New Roman" w:hAnsi="Times New Roman" w:eastAsia="宋体" w:cs="Times New Roman"/>
          <w:color w:val="auto"/>
          <w:sz w:val="24"/>
          <w:szCs w:val="24"/>
          <w:highlight w:val="none"/>
        </w:rPr>
        <w:t>）</w:t>
      </w:r>
      <w:r>
        <w:rPr>
          <w:rStyle w:val="33"/>
          <w:rFonts w:ascii="Times New Roman" w:hAnsi="宋体" w:eastAsia="宋体" w:cs="Times New Roman"/>
          <w:color w:val="auto"/>
          <w:sz w:val="24"/>
          <w:szCs w:val="24"/>
          <w:highlight w:val="none"/>
        </w:rPr>
        <w:t>：</w:t>
      </w:r>
      <w:r>
        <w:rPr>
          <w:rStyle w:val="33"/>
          <w:rFonts w:hint="eastAsia" w:ascii="宋体" w:hAnsi="宋体" w:eastAsia="宋体" w:cs="Times New Roman"/>
          <w:color w:val="auto"/>
          <w:sz w:val="24"/>
          <w:szCs w:val="24"/>
          <w:highlight w:val="none"/>
          <w:u w:val="single"/>
          <w:lang w:eastAsia="zh-CN"/>
        </w:rPr>
        <w:t xml:space="preserve">  </w:t>
      </w:r>
      <w:r>
        <w:rPr>
          <w:rStyle w:val="33"/>
          <w:rFonts w:hint="eastAsia" w:ascii="宋体" w:hAnsi="宋体"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p>
    <w:p w14:paraId="04DC828B">
      <w:pPr>
        <w:pStyle w:val="79"/>
        <w:spacing w:line="360" w:lineRule="auto"/>
        <w:rPr>
          <w:rStyle w:val="33"/>
          <w:rFonts w:hint="eastAsia" w:ascii="Times New Roman" w:hAnsi="Times New Roman" w:eastAsia="宋体" w:cs="Times New Roman"/>
          <w:color w:val="auto"/>
          <w:sz w:val="24"/>
          <w:szCs w:val="24"/>
          <w:highlight w:val="none"/>
          <w:lang w:eastAsia="zh-CN"/>
        </w:rPr>
      </w:pPr>
      <w:r>
        <w:rPr>
          <w:rStyle w:val="33"/>
          <w:rFonts w:ascii="Times New Roman" w:hAnsi="宋体" w:eastAsia="宋体" w:cs="Times New Roman"/>
          <w:color w:val="auto"/>
          <w:sz w:val="24"/>
          <w:szCs w:val="24"/>
          <w:highlight w:val="none"/>
        </w:rPr>
        <w:t>电</w:t>
      </w:r>
      <w:r>
        <w:rPr>
          <w:rStyle w:val="33"/>
          <w:rFonts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话：</w:t>
      </w:r>
      <w:r>
        <w:rPr>
          <w:rStyle w:val="33"/>
          <w:rFonts w:hint="eastAsia" w:ascii="宋体" w:hAnsi="宋体" w:eastAsia="宋体" w:cs="Times New Roman"/>
          <w:color w:val="auto"/>
          <w:sz w:val="24"/>
          <w:szCs w:val="24"/>
          <w:highlight w:val="none"/>
          <w:u w:val="single"/>
          <w:lang w:eastAsia="zh-CN"/>
        </w:rPr>
        <w:t xml:space="preserve">                </w:t>
      </w:r>
      <w:r>
        <w:rPr>
          <w:rStyle w:val="33"/>
          <w:rFonts w:ascii="Times New Roman" w:hAnsi="Times New Roman" w:eastAsia="宋体" w:cs="Times New Roman"/>
          <w:color w:val="auto"/>
          <w:sz w:val="24"/>
          <w:szCs w:val="24"/>
          <w:highlight w:val="none"/>
          <w:u w:val="single"/>
        </w:rPr>
        <w:t xml:space="preserve"> </w:t>
      </w:r>
      <w:r>
        <w:rPr>
          <w:rStyle w:val="33"/>
          <w:rFonts w:hint="eastAsia"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rPr>
        <w:t xml:space="preserve"> </w:t>
      </w:r>
      <w:r>
        <w:rPr>
          <w:rStyle w:val="33"/>
          <w:rFonts w:hint="eastAsia"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电</w:t>
      </w:r>
      <w:r>
        <w:rPr>
          <w:rStyle w:val="33"/>
          <w:rFonts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话：</w:t>
      </w:r>
      <w:r>
        <w:rPr>
          <w:rStyle w:val="33"/>
          <w:rFonts w:hint="eastAsia" w:ascii="宋体" w:hAnsi="宋体" w:eastAsia="宋体" w:cs="Times New Roman"/>
          <w:color w:val="auto"/>
          <w:sz w:val="24"/>
          <w:szCs w:val="24"/>
          <w:highlight w:val="none"/>
          <w:u w:val="single"/>
          <w:lang w:eastAsia="zh-CN"/>
        </w:rPr>
        <w:t xml:space="preserve">            </w:t>
      </w:r>
      <w:r>
        <w:rPr>
          <w:rStyle w:val="33"/>
          <w:rFonts w:hint="eastAsia" w:ascii="宋体" w:hAnsi="宋体"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p>
    <w:p w14:paraId="3D689FF7">
      <w:pPr>
        <w:pStyle w:val="79"/>
        <w:spacing w:line="360" w:lineRule="auto"/>
        <w:rPr>
          <w:rStyle w:val="33"/>
          <w:rFonts w:hint="eastAsia" w:ascii="Times New Roman" w:hAnsi="Times New Roman" w:eastAsia="宋体" w:cs="Times New Roman"/>
          <w:color w:val="auto"/>
          <w:sz w:val="24"/>
          <w:szCs w:val="24"/>
          <w:highlight w:val="none"/>
          <w:lang w:eastAsia="zh-CN"/>
        </w:rPr>
      </w:pPr>
      <w:r>
        <w:rPr>
          <w:rStyle w:val="33"/>
          <w:rFonts w:ascii="Times New Roman" w:hAnsi="宋体" w:eastAsia="宋体" w:cs="Times New Roman"/>
          <w:color w:val="auto"/>
          <w:sz w:val="24"/>
          <w:szCs w:val="24"/>
          <w:highlight w:val="none"/>
        </w:rPr>
        <w:t>传</w:t>
      </w:r>
      <w:r>
        <w:rPr>
          <w:rStyle w:val="33"/>
          <w:rFonts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真：</w:t>
      </w:r>
      <w:r>
        <w:rPr>
          <w:rStyle w:val="33"/>
          <w:rFonts w:hint="eastAsia" w:ascii="宋体" w:hAnsi="宋体" w:eastAsia="宋体" w:cs="Times New Roman"/>
          <w:color w:val="auto"/>
          <w:sz w:val="24"/>
          <w:szCs w:val="24"/>
          <w:highlight w:val="none"/>
          <w:u w:val="single"/>
          <w:lang w:eastAsia="zh-CN"/>
        </w:rPr>
        <w:t xml:space="preserve">                </w:t>
      </w:r>
      <w:r>
        <w:rPr>
          <w:rStyle w:val="33"/>
          <w:rFonts w:hint="eastAsia" w:ascii="宋体" w:hAnsi="宋体"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rPr>
        <w:t xml:space="preserve"> </w:t>
      </w:r>
      <w:r>
        <w:rPr>
          <w:rStyle w:val="33"/>
          <w:rFonts w:hint="eastAsia"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传</w:t>
      </w:r>
      <w:r>
        <w:rPr>
          <w:rStyle w:val="33"/>
          <w:rFonts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真：</w:t>
      </w:r>
      <w:r>
        <w:rPr>
          <w:rStyle w:val="33"/>
          <w:rFonts w:hint="eastAsia" w:ascii="宋体" w:hAnsi="宋体" w:eastAsia="宋体" w:cs="Times New Roman"/>
          <w:color w:val="auto"/>
          <w:sz w:val="24"/>
          <w:szCs w:val="24"/>
          <w:highlight w:val="none"/>
          <w:u w:val="single"/>
          <w:lang w:eastAsia="zh-CN"/>
        </w:rPr>
        <w:t xml:space="preserve">              </w:t>
      </w:r>
      <w:r>
        <w:rPr>
          <w:rStyle w:val="33"/>
          <w:rFonts w:hint="eastAsia" w:ascii="宋体" w:hAnsi="宋体"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p>
    <w:p w14:paraId="2AD9BDDB">
      <w:pPr>
        <w:pStyle w:val="79"/>
        <w:spacing w:line="360" w:lineRule="auto"/>
        <w:rPr>
          <w:rStyle w:val="33"/>
          <w:rFonts w:hint="eastAsia" w:ascii="Times New Roman" w:hAnsi="Times New Roman" w:eastAsia="宋体" w:cs="Times New Roman"/>
          <w:color w:val="auto"/>
          <w:sz w:val="24"/>
          <w:szCs w:val="24"/>
          <w:highlight w:val="none"/>
          <w:lang w:eastAsia="zh-CN"/>
        </w:rPr>
      </w:pPr>
      <w:r>
        <w:rPr>
          <w:rStyle w:val="33"/>
          <w:rFonts w:ascii="Times New Roman" w:hAnsi="宋体" w:eastAsia="宋体" w:cs="Times New Roman"/>
          <w:color w:val="auto"/>
          <w:sz w:val="24"/>
          <w:szCs w:val="24"/>
          <w:highlight w:val="none"/>
        </w:rPr>
        <w:t>开户银行：</w:t>
      </w:r>
      <w:r>
        <w:rPr>
          <w:rStyle w:val="33"/>
          <w:rFonts w:hint="eastAsia" w:ascii="宋体" w:hAnsi="宋体" w:eastAsia="宋体" w:cs="Times New Roman"/>
          <w:color w:val="auto"/>
          <w:sz w:val="24"/>
          <w:szCs w:val="24"/>
          <w:highlight w:val="none"/>
          <w:u w:val="single"/>
          <w:lang w:eastAsia="zh-CN"/>
        </w:rPr>
        <w:t xml:space="preserve">              </w:t>
      </w:r>
      <w:r>
        <w:rPr>
          <w:rStyle w:val="33"/>
          <w:rFonts w:hint="eastAsia" w:ascii="宋体" w:hAnsi="宋体"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rPr>
        <w:t xml:space="preserve"> </w:t>
      </w:r>
      <w:r>
        <w:rPr>
          <w:rStyle w:val="33"/>
          <w:rFonts w:hint="eastAsia"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开户银行：</w:t>
      </w:r>
      <w:r>
        <w:rPr>
          <w:rStyle w:val="33"/>
          <w:rFonts w:hint="eastAsia" w:ascii="宋体" w:hAnsi="宋体" w:eastAsia="宋体" w:cs="Times New Roman"/>
          <w:color w:val="auto"/>
          <w:sz w:val="24"/>
          <w:szCs w:val="24"/>
          <w:highlight w:val="none"/>
          <w:u w:val="single"/>
          <w:lang w:eastAsia="zh-CN"/>
        </w:rPr>
        <w:t xml:space="preserve">            </w:t>
      </w:r>
      <w:r>
        <w:rPr>
          <w:rStyle w:val="33"/>
          <w:rFonts w:hint="eastAsia" w:ascii="宋体" w:hAnsi="宋体"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p>
    <w:p w14:paraId="19E95DBA">
      <w:pPr>
        <w:pStyle w:val="79"/>
        <w:tabs>
          <w:tab w:val="left" w:pos="2880"/>
          <w:tab w:val="left" w:pos="3060"/>
          <w:tab w:val="left" w:pos="4500"/>
        </w:tabs>
        <w:spacing w:line="360" w:lineRule="auto"/>
        <w:rPr>
          <w:rStyle w:val="33"/>
          <w:rFonts w:hint="eastAsia" w:ascii="Times New Roman" w:hAnsi="Times New Roman" w:eastAsia="宋体" w:cs="Times New Roman"/>
          <w:color w:val="auto"/>
          <w:sz w:val="24"/>
          <w:szCs w:val="24"/>
          <w:highlight w:val="none"/>
          <w:lang w:eastAsia="zh-CN"/>
        </w:rPr>
      </w:pPr>
      <w:r>
        <w:rPr>
          <w:rStyle w:val="33"/>
          <w:rFonts w:ascii="Times New Roman" w:hAnsi="宋体" w:eastAsia="宋体" w:cs="Times New Roman"/>
          <w:color w:val="auto"/>
          <w:sz w:val="24"/>
          <w:szCs w:val="24"/>
          <w:highlight w:val="none"/>
        </w:rPr>
        <w:t>账</w:t>
      </w:r>
      <w:r>
        <w:rPr>
          <w:rStyle w:val="33"/>
          <w:rFonts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号：</w:t>
      </w:r>
      <w:r>
        <w:rPr>
          <w:rStyle w:val="33"/>
          <w:rFonts w:hint="eastAsia" w:ascii="宋体" w:hAnsi="宋体" w:eastAsia="宋体" w:cs="Times New Roman"/>
          <w:color w:val="auto"/>
          <w:sz w:val="24"/>
          <w:szCs w:val="24"/>
          <w:highlight w:val="none"/>
          <w:u w:val="single"/>
          <w:lang w:eastAsia="zh-CN"/>
        </w:rPr>
        <w:t xml:space="preserve">          </w:t>
      </w:r>
      <w:r>
        <w:rPr>
          <w:rStyle w:val="33"/>
          <w:rFonts w:ascii="Times New Roman" w:hAnsi="Times New Roman"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r>
        <w:rPr>
          <w:rStyle w:val="33"/>
          <w:rFonts w:ascii="Times New Roman" w:hAnsi="Times New Roman" w:eastAsia="宋体" w:cs="Times New Roman"/>
          <w:color w:val="auto"/>
          <w:sz w:val="24"/>
          <w:szCs w:val="24"/>
          <w:highlight w:val="none"/>
          <w:u w:val="single"/>
        </w:rPr>
        <w:t xml:space="preserve">   </w:t>
      </w:r>
      <w:r>
        <w:rPr>
          <w:rStyle w:val="33"/>
          <w:rFonts w:hint="eastAsia"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u w:val="single"/>
        </w:rPr>
        <w:t xml:space="preserve"> </w:t>
      </w:r>
      <w:r>
        <w:rPr>
          <w:rStyle w:val="33"/>
          <w:rFonts w:hint="eastAsia"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rPr>
        <w:t xml:space="preserve">  </w:t>
      </w:r>
      <w:r>
        <w:rPr>
          <w:rStyle w:val="33"/>
          <w:rFonts w:hint="eastAsia"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账</w:t>
      </w:r>
      <w:r>
        <w:rPr>
          <w:rStyle w:val="33"/>
          <w:rFonts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号：</w:t>
      </w:r>
      <w:r>
        <w:rPr>
          <w:rStyle w:val="33"/>
          <w:rFonts w:hint="eastAsia" w:ascii="宋体" w:hAnsi="宋体" w:eastAsia="宋体" w:cs="Times New Roman"/>
          <w:color w:val="auto"/>
          <w:sz w:val="24"/>
          <w:szCs w:val="24"/>
          <w:highlight w:val="none"/>
          <w:u w:val="single"/>
          <w:lang w:eastAsia="zh-CN"/>
        </w:rPr>
        <w:t xml:space="preserve">              </w:t>
      </w:r>
      <w:r>
        <w:rPr>
          <w:rStyle w:val="33"/>
          <w:rFonts w:hint="eastAsia" w:ascii="宋体" w:hAnsi="宋体"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p>
    <w:p w14:paraId="011EE89C">
      <w:pPr>
        <w:pStyle w:val="79"/>
        <w:spacing w:line="360" w:lineRule="auto"/>
        <w:rPr>
          <w:rStyle w:val="33"/>
          <w:rFonts w:ascii="宋体" w:hAnsi="Times New Roman" w:eastAsia="宋体" w:cs="Times New Roman"/>
          <w:color w:val="auto"/>
          <w:sz w:val="24"/>
          <w:szCs w:val="24"/>
          <w:highlight w:val="none"/>
          <w:u w:val="single"/>
        </w:rPr>
      </w:pPr>
      <w:r>
        <w:rPr>
          <w:rStyle w:val="33"/>
          <w:rFonts w:ascii="Times New Roman" w:hAnsi="宋体" w:eastAsia="宋体" w:cs="Times New Roman"/>
          <w:color w:val="auto"/>
          <w:sz w:val="24"/>
          <w:szCs w:val="24"/>
          <w:highlight w:val="none"/>
        </w:rPr>
        <w:t>邮政编码：</w:t>
      </w:r>
      <w:r>
        <w:rPr>
          <w:rStyle w:val="33"/>
          <w:rFonts w:ascii="Times New Roman" w:hAnsi="Times New Roman"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r>
        <w:rPr>
          <w:rStyle w:val="33"/>
          <w:rFonts w:hint="eastAsia" w:ascii="宋体" w:hAnsi="宋体"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u w:val="single"/>
        </w:rPr>
        <w:t xml:space="preserve">    </w:t>
      </w:r>
      <w:r>
        <w:rPr>
          <w:rStyle w:val="33"/>
          <w:rFonts w:ascii="Times New Roman" w:hAnsi="Times New Roman" w:eastAsia="宋体" w:cs="Times New Roman"/>
          <w:color w:val="auto"/>
          <w:sz w:val="24"/>
          <w:szCs w:val="24"/>
          <w:highlight w:val="none"/>
        </w:rPr>
        <w:t xml:space="preserve"> </w:t>
      </w:r>
      <w:r>
        <w:rPr>
          <w:rStyle w:val="33"/>
          <w:rFonts w:hint="eastAsia" w:ascii="Times New Roman" w:hAnsi="Times New Roman" w:eastAsia="宋体" w:cs="Times New Roman"/>
          <w:color w:val="auto"/>
          <w:sz w:val="24"/>
          <w:szCs w:val="24"/>
          <w:highlight w:val="none"/>
        </w:rPr>
        <w:t xml:space="preserve">             </w:t>
      </w:r>
      <w:r>
        <w:rPr>
          <w:rStyle w:val="33"/>
          <w:rFonts w:ascii="Times New Roman" w:hAnsi="宋体" w:eastAsia="宋体" w:cs="Times New Roman"/>
          <w:color w:val="auto"/>
          <w:sz w:val="24"/>
          <w:szCs w:val="24"/>
          <w:highlight w:val="none"/>
        </w:rPr>
        <w:t>邮政编码：</w:t>
      </w:r>
      <w:r>
        <w:rPr>
          <w:rStyle w:val="33"/>
          <w:rFonts w:hint="eastAsia" w:ascii="宋体" w:hAnsi="宋体" w:eastAsia="宋体" w:cs="Times New Roman"/>
          <w:color w:val="auto"/>
          <w:sz w:val="24"/>
          <w:szCs w:val="24"/>
          <w:highlight w:val="none"/>
          <w:u w:val="single"/>
          <w:lang w:eastAsia="zh-CN"/>
        </w:rPr>
        <w:t xml:space="preserve">            </w:t>
      </w:r>
      <w:r>
        <w:rPr>
          <w:rStyle w:val="33"/>
          <w:rFonts w:hint="eastAsia" w:ascii="宋体" w:hAnsi="宋体" w:eastAsia="宋体" w:cs="Times New Roman"/>
          <w:color w:val="auto"/>
          <w:sz w:val="24"/>
          <w:szCs w:val="24"/>
          <w:highlight w:val="none"/>
          <w:u w:val="single"/>
        </w:rPr>
        <w:t xml:space="preserve">   </w:t>
      </w:r>
      <w:r>
        <w:rPr>
          <w:rStyle w:val="33"/>
          <w:rFonts w:hint="eastAsia" w:ascii="宋体" w:hAnsi="宋体" w:eastAsia="宋体" w:cs="Times New Roman"/>
          <w:color w:val="auto"/>
          <w:sz w:val="24"/>
          <w:szCs w:val="24"/>
          <w:highlight w:val="none"/>
          <w:u w:val="single"/>
          <w:lang w:eastAsia="zh-CN"/>
        </w:rPr>
        <w:t xml:space="preserve">  </w:t>
      </w:r>
      <w:r>
        <w:rPr>
          <w:rStyle w:val="33"/>
          <w:rFonts w:hint="eastAsia" w:ascii="宋体" w:hAnsi="宋体" w:eastAsia="宋体" w:cs="Times New Roman"/>
          <w:color w:val="auto"/>
          <w:sz w:val="24"/>
          <w:szCs w:val="24"/>
          <w:highlight w:val="none"/>
          <w:u w:val="single"/>
        </w:rPr>
        <w:t xml:space="preserve"> </w:t>
      </w:r>
    </w:p>
    <w:p w14:paraId="2828D0D1">
      <w:pPr>
        <w:spacing w:before="156" w:beforeLines="50" w:after="156" w:afterLines="50" w:line="360" w:lineRule="auto"/>
        <w:rPr>
          <w:rFonts w:hint="eastAsia" w:ascii="宋体" w:hAnsi="宋体" w:cs="宋体"/>
          <w:color w:val="auto"/>
          <w:spacing w:val="20"/>
          <w:sz w:val="24"/>
          <w:highlight w:val="none"/>
        </w:rPr>
      </w:pPr>
    </w:p>
    <w:p w14:paraId="2C9F4E57">
      <w:pPr>
        <w:spacing w:before="156" w:beforeLines="50" w:after="156" w:afterLines="50" w:line="360" w:lineRule="auto"/>
        <w:rPr>
          <w:rFonts w:hint="eastAsia" w:ascii="宋体" w:hAnsi="宋体" w:cs="宋体"/>
          <w:color w:val="auto"/>
          <w:spacing w:val="20"/>
          <w:sz w:val="24"/>
          <w:highlight w:val="none"/>
        </w:rPr>
      </w:pPr>
      <w:r>
        <w:rPr>
          <w:rFonts w:hint="eastAsia" w:ascii="宋体" w:hAnsi="宋体" w:cs="宋体"/>
          <w:color w:val="auto"/>
          <w:spacing w:val="20"/>
          <w:sz w:val="24"/>
          <w:highlight w:val="none"/>
        </w:rPr>
        <w:t>附件2</w:t>
      </w:r>
    </w:p>
    <w:p w14:paraId="26D3B97F">
      <w:pPr>
        <w:spacing w:line="480" w:lineRule="auto"/>
        <w:jc w:val="center"/>
        <w:outlineLvl w:val="3"/>
        <w:rPr>
          <w:rFonts w:hint="eastAsia" w:ascii="宋体" w:hAnsi="宋体" w:cs="宋体"/>
          <w:b/>
          <w:bCs/>
          <w:color w:val="auto"/>
          <w:kern w:val="1"/>
          <w:sz w:val="24"/>
          <w:highlight w:val="none"/>
        </w:rPr>
      </w:pPr>
      <w:r>
        <w:rPr>
          <w:rFonts w:hint="eastAsia" w:ascii="宋体" w:hAnsi="宋体" w:cs="宋体"/>
          <w:b/>
          <w:bCs/>
          <w:color w:val="auto"/>
          <w:sz w:val="24"/>
          <w:highlight w:val="none"/>
        </w:rPr>
        <w:t>安全生产合同</w:t>
      </w:r>
    </w:p>
    <w:p w14:paraId="7CEDF4A4">
      <w:pPr>
        <w:rPr>
          <w:rFonts w:hint="eastAsia" w:ascii="宋体" w:hAnsi="宋体" w:cs="宋体"/>
          <w:color w:val="auto"/>
          <w:kern w:val="1"/>
          <w:sz w:val="24"/>
          <w:highlight w:val="none"/>
        </w:rPr>
      </w:pPr>
    </w:p>
    <w:p w14:paraId="5107739C">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为在</w:t>
      </w:r>
      <w:r>
        <w:rPr>
          <w:rFonts w:hint="eastAsia" w:ascii="宋体" w:hAnsi="宋体" w:cs="宋体"/>
          <w:b/>
          <w:color w:val="auto"/>
          <w:sz w:val="24"/>
          <w:highlight w:val="none"/>
          <w:u w:val="single"/>
        </w:rPr>
        <w:t xml:space="preserve"> </w:t>
      </w:r>
      <w:r>
        <w:rPr>
          <w:rFonts w:hint="eastAsia" w:ascii="宋体" w:hAnsi="宋体" w:cs="宋体"/>
          <w:b/>
          <w:color w:val="auto"/>
          <w:sz w:val="24"/>
          <w:highlight w:val="none"/>
          <w:u w:val="single"/>
          <w:lang w:eastAsia="zh-CN"/>
        </w:rPr>
        <w:t>2026年自治区生态环境保护资金浦北县马江河沿岸重点区域农村生活污水处理项目-江城街道工程</w:t>
      </w:r>
      <w:r>
        <w:rPr>
          <w:rFonts w:hint="eastAsia" w:ascii="宋体" w:hAnsi="宋体" w:cs="宋体"/>
          <w:b/>
          <w:color w:val="auto"/>
          <w:sz w:val="24"/>
          <w:highlight w:val="none"/>
          <w:u w:val="single"/>
        </w:rPr>
        <w:t xml:space="preserve">  </w:t>
      </w:r>
      <w:r>
        <w:rPr>
          <w:rFonts w:hint="eastAsia" w:ascii="宋体" w:hAnsi="宋体" w:cs="宋体"/>
          <w:color w:val="auto"/>
          <w:kern w:val="1"/>
          <w:sz w:val="24"/>
          <w:highlight w:val="none"/>
        </w:rPr>
        <w:t>的实施过程中创造安全、高效的施工环境，切实搞好本项目的安全管理工作，本项目业主</w:t>
      </w:r>
      <w:r>
        <w:rPr>
          <w:rFonts w:hint="eastAsia" w:ascii="宋体" w:hAnsi="宋体" w:cs="宋体"/>
          <w:color w:val="auto"/>
          <w:kern w:val="1"/>
          <w:sz w:val="24"/>
          <w:highlight w:val="none"/>
          <w:u w:val="single"/>
        </w:rPr>
        <w:t xml:space="preserve"> </w:t>
      </w:r>
      <w:r>
        <w:rPr>
          <w:rFonts w:hint="eastAsia" w:ascii="宋体" w:hAnsi="宋体" w:cs="宋体"/>
          <w:color w:val="auto"/>
          <w:spacing w:val="20"/>
          <w:sz w:val="24"/>
          <w:highlight w:val="none"/>
          <w:u w:val="single"/>
          <w:lang w:eastAsia="zh-CN"/>
        </w:rPr>
        <w:t>浦北县江城街道办事处</w:t>
      </w:r>
      <w:r>
        <w:rPr>
          <w:rFonts w:hint="eastAsia" w:ascii="宋体" w:hAnsi="宋体" w:cs="宋体"/>
          <w:color w:val="auto"/>
          <w:kern w:val="1"/>
          <w:sz w:val="24"/>
          <w:highlight w:val="none"/>
          <w:u w:val="single"/>
        </w:rPr>
        <w:t xml:space="preserve"> </w:t>
      </w:r>
      <w:r>
        <w:rPr>
          <w:rFonts w:hint="eastAsia" w:ascii="宋体" w:hAnsi="宋体" w:cs="宋体"/>
          <w:color w:val="auto"/>
          <w:kern w:val="1"/>
          <w:sz w:val="24"/>
          <w:highlight w:val="none"/>
        </w:rPr>
        <w:t>（以下简称“甲方”）与承包人</w:t>
      </w:r>
      <w:r>
        <w:rPr>
          <w:rFonts w:hint="eastAsia" w:ascii="宋体" w:hAnsi="宋体" w:cs="宋体"/>
          <w:b/>
          <w:bCs/>
          <w:color w:val="auto"/>
          <w:kern w:val="1"/>
          <w:sz w:val="24"/>
          <w:highlight w:val="none"/>
          <w:u w:val="single"/>
        </w:rPr>
        <w:t xml:space="preserve"> </w:t>
      </w:r>
      <w:r>
        <w:rPr>
          <w:rFonts w:hint="eastAsia" w:ascii="宋体" w:hAnsi="宋体" w:cs="宋体"/>
          <w:color w:val="auto"/>
          <w:sz w:val="24"/>
          <w:highlight w:val="none"/>
          <w:u w:val="single"/>
        </w:rPr>
        <w:t xml:space="preserve">                                  </w:t>
      </w:r>
      <w:r>
        <w:rPr>
          <w:rFonts w:hint="eastAsia" w:ascii="宋体" w:hAnsi="宋体" w:cs="宋体"/>
          <w:color w:val="auto"/>
          <w:kern w:val="1"/>
          <w:sz w:val="24"/>
          <w:highlight w:val="none"/>
        </w:rPr>
        <w:t>（以下简称“乙方”）特此签订安全生产合同：</w:t>
      </w:r>
    </w:p>
    <w:p w14:paraId="3324BE75">
      <w:pPr>
        <w:spacing w:line="360" w:lineRule="auto"/>
        <w:rPr>
          <w:rFonts w:hint="eastAsia" w:ascii="宋体" w:hAnsi="宋体" w:cs="宋体"/>
          <w:b/>
          <w:color w:val="auto"/>
          <w:kern w:val="1"/>
          <w:sz w:val="24"/>
          <w:highlight w:val="none"/>
        </w:rPr>
      </w:pPr>
      <w:r>
        <w:rPr>
          <w:rFonts w:hint="eastAsia" w:ascii="宋体" w:hAnsi="宋体" w:cs="宋体"/>
          <w:color w:val="auto"/>
          <w:kern w:val="1"/>
          <w:sz w:val="24"/>
          <w:highlight w:val="none"/>
        </w:rPr>
        <w:t xml:space="preserve">    </w:t>
      </w:r>
      <w:r>
        <w:rPr>
          <w:rFonts w:hint="eastAsia" w:ascii="宋体" w:hAnsi="宋体" w:cs="宋体"/>
          <w:b/>
          <w:color w:val="auto"/>
          <w:kern w:val="1"/>
          <w:sz w:val="24"/>
          <w:highlight w:val="none"/>
        </w:rPr>
        <w:t>一、甲方职责</w:t>
      </w:r>
    </w:p>
    <w:p w14:paraId="4542D65F">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1. 严格遵守国家有关安全生产的法律法规，认真执行工程承包合同中的有关安全要求。</w:t>
      </w:r>
    </w:p>
    <w:p w14:paraId="69CAB423">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2. 按照“安全第一、预防为主”和坚持“管生产必须管安全”的原则进行安全生产管理，做到生产与安全工作同时计划、布置、检查、总结和评比。</w:t>
      </w:r>
    </w:p>
    <w:p w14:paraId="2087FFF4">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3. 重要的安全设施必须坚持与主体工程“三同时”的原则，即：同时设计、审批，同时施工，同时验收，投入使用。</w:t>
      </w:r>
    </w:p>
    <w:p w14:paraId="34D77E4B">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4. 定期召开安全生产调度会，及时传达中央及地方有关安全生产的精神。</w:t>
      </w:r>
    </w:p>
    <w:p w14:paraId="2415914D">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5. 组织对乙方施工现场安全生产检查，监督乙方及时处理发现的各种安全隐患。</w:t>
      </w:r>
    </w:p>
    <w:p w14:paraId="4B74CBD0">
      <w:pPr>
        <w:spacing w:line="360" w:lineRule="auto"/>
        <w:rPr>
          <w:rFonts w:hint="eastAsia" w:ascii="宋体" w:hAnsi="宋体" w:cs="宋体"/>
          <w:b/>
          <w:color w:val="auto"/>
          <w:kern w:val="1"/>
          <w:sz w:val="24"/>
          <w:highlight w:val="none"/>
        </w:rPr>
      </w:pPr>
      <w:r>
        <w:rPr>
          <w:rFonts w:hint="eastAsia" w:ascii="宋体" w:hAnsi="宋体" w:cs="宋体"/>
          <w:color w:val="auto"/>
          <w:kern w:val="1"/>
          <w:sz w:val="24"/>
          <w:highlight w:val="none"/>
        </w:rPr>
        <w:t xml:space="preserve">    </w:t>
      </w:r>
      <w:r>
        <w:rPr>
          <w:rFonts w:hint="eastAsia" w:ascii="宋体" w:hAnsi="宋体" w:cs="宋体"/>
          <w:b/>
          <w:color w:val="auto"/>
          <w:kern w:val="1"/>
          <w:sz w:val="24"/>
          <w:highlight w:val="none"/>
        </w:rPr>
        <w:t>二、乙方职责</w:t>
      </w:r>
    </w:p>
    <w:p w14:paraId="4F343E97">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1. 严格遵守国家有关安全生产的法律法规、农业农村部、水利部颁发的有关安全生产的规定，认真执行工程承包合同中的有关安全要求。</w:t>
      </w:r>
    </w:p>
    <w:p w14:paraId="41198783">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2. 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5BCA96F4">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3. 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3834285A">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4. 乙方在任何时候都应采取各种合理的预防措施，防止其员工发生任何违法、违禁、暴力或妨碍治安的行为。</w:t>
      </w:r>
    </w:p>
    <w:p w14:paraId="170F02CA">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5. 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项目经理必须承担管理责任。</w:t>
      </w:r>
    </w:p>
    <w:p w14:paraId="4A021FFD">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6. 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14:paraId="54F69A32">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7. 操作人员上岗，必须按规定穿戴防护用品。施工负责人和安全检查员应随时检查劳动防护用品的穿戴情况，不按规定穿戴防护用品的人员不得上岗。</w:t>
      </w:r>
    </w:p>
    <w:p w14:paraId="3AA40F24">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8. 所有施工机具设备和高空作业的设备均应定期检查，并有安全员的签字记录，保证其经常处于完好状态；不合格的机具、设备和劳动保护用品严禁使用。</w:t>
      </w:r>
    </w:p>
    <w:p w14:paraId="372E2A0F">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9. 施工中采用新技术、新工艺、新设备、新材料时，必须制定相应的安全技术措施，施工现场必须具有相关的安全标志牌。</w:t>
      </w:r>
    </w:p>
    <w:p w14:paraId="7922A780">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10. 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14:paraId="7E55C1B7">
      <w:pPr>
        <w:spacing w:line="360" w:lineRule="auto"/>
        <w:rPr>
          <w:rFonts w:hint="eastAsia" w:ascii="宋体" w:hAnsi="宋体" w:cs="宋体"/>
          <w:b/>
          <w:color w:val="auto"/>
          <w:kern w:val="1"/>
          <w:sz w:val="24"/>
          <w:highlight w:val="none"/>
        </w:rPr>
      </w:pPr>
      <w:r>
        <w:rPr>
          <w:rFonts w:hint="eastAsia" w:ascii="宋体" w:hAnsi="宋体" w:cs="宋体"/>
          <w:color w:val="auto"/>
          <w:kern w:val="1"/>
          <w:sz w:val="24"/>
          <w:highlight w:val="none"/>
        </w:rPr>
        <w:t xml:space="preserve">    </w:t>
      </w:r>
      <w:r>
        <w:rPr>
          <w:rFonts w:hint="eastAsia" w:ascii="宋体" w:hAnsi="宋体" w:cs="宋体"/>
          <w:b/>
          <w:color w:val="auto"/>
          <w:kern w:val="1"/>
          <w:sz w:val="24"/>
          <w:highlight w:val="none"/>
        </w:rPr>
        <w:t>三、违约责任</w:t>
      </w:r>
    </w:p>
    <w:p w14:paraId="4FD6AA3C">
      <w:pPr>
        <w:spacing w:line="360" w:lineRule="auto"/>
        <w:rPr>
          <w:rFonts w:hint="eastAsia" w:ascii="宋体" w:hAnsi="宋体" w:cs="宋体"/>
          <w:color w:val="auto"/>
          <w:kern w:val="1"/>
          <w:sz w:val="24"/>
          <w:highlight w:val="none"/>
        </w:rPr>
      </w:pPr>
      <w:r>
        <w:rPr>
          <w:rFonts w:hint="eastAsia" w:ascii="宋体" w:hAnsi="宋体" w:cs="宋体"/>
          <w:color w:val="auto"/>
          <w:kern w:val="1"/>
          <w:sz w:val="24"/>
          <w:highlight w:val="none"/>
        </w:rPr>
        <w:t xml:space="preserve">    如因甲方或乙方违约造成安全事故，将依法追究责任。</w:t>
      </w:r>
    </w:p>
    <w:p w14:paraId="4F1148EC">
      <w:pPr>
        <w:adjustRightInd w:val="0"/>
        <w:snapToGrid w:val="0"/>
        <w:spacing w:line="360" w:lineRule="auto"/>
        <w:ind w:firstLine="840" w:firstLineChars="300"/>
        <w:rPr>
          <w:rFonts w:hint="eastAsia" w:ascii="宋体" w:hAnsi="宋体" w:cs="宋体"/>
          <w:color w:val="auto"/>
          <w:spacing w:val="20"/>
          <w:sz w:val="24"/>
          <w:highlight w:val="none"/>
        </w:rPr>
      </w:pPr>
    </w:p>
    <w:p w14:paraId="5B9BF47A">
      <w:pPr>
        <w:adjustRightInd w:val="0"/>
        <w:snapToGrid w:val="0"/>
        <w:spacing w:line="360" w:lineRule="auto"/>
        <w:ind w:firstLine="840" w:firstLineChars="300"/>
        <w:rPr>
          <w:rFonts w:hint="eastAsia" w:ascii="宋体" w:hAnsi="宋体" w:cs="宋体"/>
          <w:color w:val="auto"/>
          <w:spacing w:val="20"/>
          <w:sz w:val="24"/>
          <w:highlight w:val="none"/>
        </w:rPr>
      </w:pPr>
      <w:r>
        <w:rPr>
          <w:rFonts w:hint="eastAsia" w:ascii="宋体" w:hAnsi="宋体" w:cs="宋体"/>
          <w:color w:val="auto"/>
          <w:spacing w:val="20"/>
          <w:sz w:val="24"/>
          <w:highlight w:val="none"/>
        </w:rPr>
        <w:t>发包人（公章）                        承包人（公章）</w:t>
      </w:r>
    </w:p>
    <w:p w14:paraId="614F890B">
      <w:pPr>
        <w:adjustRightInd w:val="0"/>
        <w:snapToGrid w:val="0"/>
        <w:spacing w:line="360" w:lineRule="auto"/>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u w:val="single"/>
          <w:lang w:eastAsia="zh-CN"/>
        </w:rPr>
        <w:t>浦北县江城街道办事处</w:t>
      </w:r>
      <w:r>
        <w:rPr>
          <w:rFonts w:hint="eastAsia" w:ascii="宋体" w:hAnsi="宋体" w:cs="宋体"/>
          <w:color w:val="auto"/>
          <w:spacing w:val="20"/>
          <w:sz w:val="24"/>
          <w:highlight w:val="none"/>
        </w:rPr>
        <w:t xml:space="preserve">              </w:t>
      </w:r>
      <w:r>
        <w:rPr>
          <w:rFonts w:hint="eastAsia" w:ascii="宋体" w:hAnsi="宋体" w:cs="宋体"/>
          <w:color w:val="auto"/>
          <w:spacing w:val="20"/>
          <w:sz w:val="24"/>
          <w:highlight w:val="none"/>
          <w:u w:val="single"/>
        </w:rPr>
        <w:t xml:space="preserve">                                                       </w:t>
      </w:r>
    </w:p>
    <w:p w14:paraId="720719A4">
      <w:pPr>
        <w:adjustRightInd w:val="0"/>
        <w:snapToGrid w:val="0"/>
        <w:spacing w:line="360" w:lineRule="auto"/>
        <w:rPr>
          <w:rFonts w:hint="eastAsia" w:ascii="宋体" w:hAnsi="宋体" w:cs="宋体"/>
          <w:color w:val="auto"/>
          <w:spacing w:val="20"/>
          <w:sz w:val="24"/>
          <w:highlight w:val="none"/>
          <w:u w:val="single"/>
        </w:rPr>
      </w:pPr>
      <w:r>
        <w:rPr>
          <w:rFonts w:hint="eastAsia" w:ascii="宋体" w:hAnsi="宋体" w:cs="宋体"/>
          <w:color w:val="auto"/>
          <w:spacing w:val="20"/>
          <w:sz w:val="24"/>
          <w:highlight w:val="none"/>
        </w:rPr>
        <w:t>法定代表人：</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法定代表人：</w:t>
      </w:r>
      <w:r>
        <w:rPr>
          <w:rFonts w:hint="eastAsia" w:ascii="宋体" w:hAnsi="宋体" w:cs="宋体"/>
          <w:color w:val="auto"/>
          <w:spacing w:val="20"/>
          <w:sz w:val="24"/>
          <w:highlight w:val="none"/>
          <w:u w:val="single"/>
        </w:rPr>
        <w:t xml:space="preserve">           </w:t>
      </w:r>
    </w:p>
    <w:p w14:paraId="774685A7">
      <w:pPr>
        <w:spacing w:line="360" w:lineRule="auto"/>
        <w:rPr>
          <w:color w:val="auto"/>
          <w:szCs w:val="21"/>
          <w:highlight w:val="none"/>
        </w:rPr>
      </w:pPr>
      <w:r>
        <w:rPr>
          <w:rFonts w:hint="eastAsia" w:ascii="宋体" w:hAnsi="宋体" w:cs="宋体"/>
          <w:color w:val="auto"/>
          <w:spacing w:val="20"/>
          <w:sz w:val="24"/>
          <w:highlight w:val="none"/>
        </w:rPr>
        <w:t>电  话：</w:t>
      </w:r>
      <w:r>
        <w:rPr>
          <w:rFonts w:hint="eastAsia" w:ascii="宋体" w:hAnsi="宋体" w:cs="宋体"/>
          <w:color w:val="auto"/>
          <w:spacing w:val="20"/>
          <w:sz w:val="24"/>
          <w:highlight w:val="none"/>
          <w:u w:val="single"/>
        </w:rPr>
        <w:t xml:space="preserve">                </w:t>
      </w:r>
      <w:r>
        <w:rPr>
          <w:rFonts w:hint="eastAsia" w:ascii="宋体" w:hAnsi="宋体" w:cs="宋体"/>
          <w:color w:val="auto"/>
          <w:spacing w:val="20"/>
          <w:sz w:val="24"/>
          <w:highlight w:val="none"/>
        </w:rPr>
        <w:t xml:space="preserve">             电  话：</w:t>
      </w:r>
      <w:r>
        <w:rPr>
          <w:rFonts w:hint="eastAsia" w:ascii="宋体" w:hAnsi="宋体" w:cs="宋体"/>
          <w:color w:val="auto"/>
          <w:spacing w:val="20"/>
          <w:sz w:val="24"/>
          <w:highlight w:val="none"/>
          <w:u w:val="single"/>
        </w:rPr>
        <w:t xml:space="preserve">              </w:t>
      </w:r>
      <w:bookmarkEnd w:id="105"/>
      <w:bookmarkEnd w:id="106"/>
      <w:bookmarkEnd w:id="107"/>
      <w:bookmarkEnd w:id="109"/>
      <w:bookmarkEnd w:id="110"/>
      <w:bookmarkEnd w:id="111"/>
      <w:bookmarkEnd w:id="112"/>
      <w:bookmarkEnd w:id="113"/>
      <w:bookmarkEnd w:id="114"/>
    </w:p>
    <w:p w14:paraId="11C4A6A4">
      <w:pPr>
        <w:spacing w:line="260" w:lineRule="auto"/>
        <w:rPr>
          <w:rFonts w:ascii="Arial"/>
          <w:color w:val="auto"/>
          <w:sz w:val="21"/>
          <w:highlight w:val="none"/>
        </w:rPr>
      </w:pPr>
    </w:p>
    <w:p w14:paraId="47EF91C3">
      <w:pPr>
        <w:spacing w:line="261" w:lineRule="auto"/>
        <w:rPr>
          <w:rFonts w:ascii="Arial"/>
          <w:color w:val="auto"/>
          <w:sz w:val="21"/>
          <w:highlight w:val="none"/>
        </w:rPr>
      </w:pPr>
    </w:p>
    <w:p w14:paraId="056E98F5">
      <w:pPr>
        <w:spacing w:line="360" w:lineRule="auto"/>
        <w:rPr>
          <w:color w:val="auto"/>
          <w:szCs w:val="21"/>
          <w:highlight w:val="none"/>
        </w:rPr>
      </w:pPr>
    </w:p>
    <w:bookmarkEnd w:id="574"/>
    <w:sectPr>
      <w:headerReference r:id="rId7" w:type="default"/>
      <w:footerReference r:id="rId8" w:type="default"/>
      <w:pgSz w:w="11906" w:h="16838"/>
      <w:pgMar w:top="1440" w:right="1080" w:bottom="1440" w:left="1080" w:header="567" w:footer="567" w:gutter="567"/>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FD4EA768-4B54-425A-AC6B-BBA49C4CE476}"/>
  </w:font>
  <w:font w:name="黑体">
    <w:panose1 w:val="02010609060101010101"/>
    <w:charset w:val="86"/>
    <w:family w:val="auto"/>
    <w:pitch w:val="default"/>
    <w:sig w:usb0="800002BF" w:usb1="38CF7CFA" w:usb2="00000016" w:usb3="00000000" w:csb0="00040001" w:csb1="00000000"/>
    <w:embedRegular r:id="rId2" w:fontKey="{2D5C9045-C776-42D1-A052-990A3667D9D6}"/>
  </w:font>
  <w:font w:name="Courier New">
    <w:panose1 w:val="02070309020205020404"/>
    <w:charset w:val="01"/>
    <w:family w:val="modern"/>
    <w:pitch w:val="default"/>
    <w:sig w:usb0="E0002AFF" w:usb1="C0007843" w:usb2="00000009" w:usb3="00000000" w:csb0="400001FF" w:csb1="FFFF0000"/>
    <w:embedRegular r:id="rId3" w:fontKey="{91FA2B88-0948-418B-92AD-CD61BF5B509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
    <w:altName w:val="宋体"/>
    <w:panose1 w:val="00000000000000000000"/>
    <w:charset w:val="86"/>
    <w:family w:val="roman"/>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embedRegular r:id="rId4" w:fontKey="{17EC6338-6809-41FF-8391-C18D9502172E}"/>
  </w:font>
  <w:font w:name="仿宋">
    <w:panose1 w:val="02010609060101010101"/>
    <w:charset w:val="86"/>
    <w:family w:val="modern"/>
    <w:pitch w:val="default"/>
    <w:sig w:usb0="800002BF" w:usb1="38CF7CFA" w:usb2="00000016" w:usb3="00000000" w:csb0="00040001" w:csb1="00000000"/>
    <w:embedRegular r:id="rId5" w:fontKey="{682FC780-ACEE-4DC4-8570-A345063D5BAA}"/>
  </w:font>
  <w:font w:name="Cambria">
    <w:panose1 w:val="02040503050406030204"/>
    <w:charset w:val="00"/>
    <w:family w:val="roman"/>
    <w:pitch w:val="default"/>
    <w:sig w:usb0="E00002FF" w:usb1="400004FF" w:usb2="00000000" w:usb3="00000000" w:csb0="2000019F" w:csb1="00000000"/>
    <w:embedRegular r:id="rId6" w:fontKey="{B4DC2A2F-F44E-4F12-8A90-88D7B2BD9457}"/>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汉仪中宋简">
    <w:altName w:val="宋体"/>
    <w:panose1 w:val="00000000000000000000"/>
    <w:charset w:val="86"/>
    <w:family w:val="modern"/>
    <w:pitch w:val="default"/>
    <w:sig w:usb0="00000000" w:usb1="00000000" w:usb2="00000012" w:usb3="00000000" w:csb0="00040000" w:csb1="00000000"/>
  </w:font>
  <w:font w:name="汉仪字典宋简">
    <w:altName w:val="宋体"/>
    <w:panose1 w:val="00000000000000000000"/>
    <w:charset w:val="86"/>
    <w:family w:val="modern"/>
    <w:pitch w:val="default"/>
    <w:sig w:usb0="00000000" w:usb1="00000000" w:usb2="00000012" w:usb3="00000000" w:csb0="00040000" w:csb1="00000000"/>
  </w:font>
  <w:font w:name="方正小标宋简体">
    <w:panose1 w:val="02000000000000000000"/>
    <w:charset w:val="86"/>
    <w:family w:val="auto"/>
    <w:pitch w:val="default"/>
    <w:sig w:usb0="00000001" w:usb1="08000000" w:usb2="00000000" w:usb3="00000000" w:csb0="00040000" w:csb1="00000000"/>
    <w:embedRegular r:id="rId7" w:fontKey="{9DEC0512-3582-444B-B39C-E0A8F36A5D42}"/>
  </w:font>
  <w:font w:name="Helvetica">
    <w:panose1 w:val="020B0604020202020204"/>
    <w:charset w:val="00"/>
    <w:family w:val="swiss"/>
    <w:pitch w:val="default"/>
    <w:sig w:usb0="00000000" w:usb1="00000000" w:usb2="00000000" w:usb3="00000000" w:csb0="00000000" w:csb1="00000000"/>
    <w:embedRegular r:id="rId8" w:fontKey="{69B45BDB-93E5-4A20-B41C-510056BB4EC1}"/>
  </w:font>
  <w:font w:name="Tahoma">
    <w:panose1 w:val="020B0604030504040204"/>
    <w:charset w:val="00"/>
    <w:family w:val="swiss"/>
    <w:pitch w:val="default"/>
    <w:sig w:usb0="E1002EFF" w:usb1="C000605B" w:usb2="00000029" w:usb3="00000000" w:csb0="200101FF" w:csb1="20280000"/>
    <w:embedRegular r:id="rId9" w:fontKey="{12BEFA78-013C-45F5-99AE-3DC534FC73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30E02">
    <w:pPr>
      <w:pStyle w:val="1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9357BD">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59357BD">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2233E">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E2C4DD6">
                          <w:pPr>
                            <w:pStyle w:val="18"/>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vk47wyAgAAY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TjvDICAABjBAAADgAAAAAAAAABACAAAAAfAQAAZHJzL2Uyb0RvYy54bWxQSwUG&#10;AAAAAAYABgBZAQAAwwUAAAAA&#10;">
              <v:fill on="f" focussize="0,0"/>
              <v:stroke on="f" weight="0.5pt"/>
              <v:imagedata o:title=""/>
              <o:lock v:ext="edit" aspectratio="f"/>
              <v:textbox inset="0mm,0mm,0mm,0mm" style="mso-fit-shape-to-text:t;">
                <w:txbxContent>
                  <w:p w14:paraId="7E2C4DD6">
                    <w:pPr>
                      <w:pStyle w:val="18"/>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3D81C">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6A33BC">
                          <w:pPr>
                            <w:pStyle w:val="18"/>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66A33BC">
                    <w:pPr>
                      <w:pStyle w:val="18"/>
                    </w:pPr>
                    <w:r>
                      <w:fldChar w:fldCharType="begin"/>
                    </w:r>
                    <w:r>
                      <w:instrText xml:space="preserve"> PAGE  \* MERGEFORMAT </w:instrText>
                    </w:r>
                    <w:r>
                      <w:fldChar w:fldCharType="separate"/>
                    </w:r>
                    <w:r>
                      <w:t>68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3F13A">
    <w:pPr>
      <w:pStyle w:val="2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22B0A">
    <w:pPr>
      <w:spacing w:line="400"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DC3FD">
    <w:pPr>
      <w:spacing w:line="40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2EA84D"/>
    <w:multiLevelType w:val="singleLevel"/>
    <w:tmpl w:val="872EA84D"/>
    <w:lvl w:ilvl="0" w:tentative="0">
      <w:start w:val="6"/>
      <w:numFmt w:val="chineseCounting"/>
      <w:suff w:val="space"/>
      <w:lvlText w:val="第%1章"/>
      <w:lvlJc w:val="left"/>
      <w:rPr>
        <w:rFonts w:hint="eastAsia"/>
      </w:rPr>
    </w:lvl>
  </w:abstractNum>
  <w:abstractNum w:abstractNumId="1">
    <w:nsid w:val="8EBFE40C"/>
    <w:multiLevelType w:val="singleLevel"/>
    <w:tmpl w:val="8EBFE40C"/>
    <w:lvl w:ilvl="0" w:tentative="0">
      <w:start w:val="1"/>
      <w:numFmt w:val="decimal"/>
      <w:suff w:val="nothing"/>
      <w:lvlText w:val="（%1）"/>
      <w:lvlJc w:val="left"/>
    </w:lvl>
  </w:abstractNum>
  <w:abstractNum w:abstractNumId="2">
    <w:nsid w:val="D370C4B2"/>
    <w:multiLevelType w:val="singleLevel"/>
    <w:tmpl w:val="D370C4B2"/>
    <w:lvl w:ilvl="0" w:tentative="0">
      <w:start w:val="1"/>
      <w:numFmt w:val="decimal"/>
      <w:suff w:val="nothing"/>
      <w:lvlText w:val="（%1）"/>
      <w:lvlJc w:val="left"/>
    </w:lvl>
  </w:abstractNum>
  <w:abstractNum w:abstractNumId="3">
    <w:nsid w:val="EDA70614"/>
    <w:multiLevelType w:val="singleLevel"/>
    <w:tmpl w:val="EDA70614"/>
    <w:lvl w:ilvl="0" w:tentative="0">
      <w:start w:val="1"/>
      <w:numFmt w:val="chineseCounting"/>
      <w:suff w:val="space"/>
      <w:lvlText w:val="第%1部分"/>
      <w:lvlJc w:val="left"/>
      <w:rPr>
        <w:rFonts w:hint="eastAsia"/>
        <w:sz w:val="40"/>
        <w:szCs w:val="40"/>
      </w:rPr>
    </w:lvl>
  </w:abstractNum>
  <w:abstractNum w:abstractNumId="4">
    <w:nsid w:val="F8BDD49A"/>
    <w:multiLevelType w:val="singleLevel"/>
    <w:tmpl w:val="F8BDD49A"/>
    <w:lvl w:ilvl="0" w:tentative="0">
      <w:start w:val="4"/>
      <w:numFmt w:val="decimal"/>
      <w:suff w:val="nothing"/>
      <w:lvlText w:val="（%1）"/>
      <w:lvlJc w:val="left"/>
    </w:lvl>
  </w:abstractNum>
  <w:abstractNum w:abstractNumId="5">
    <w:nsid w:val="00000006"/>
    <w:multiLevelType w:val="singleLevel"/>
    <w:tmpl w:val="00000006"/>
    <w:lvl w:ilvl="0" w:tentative="0">
      <w:start w:val="1"/>
      <w:numFmt w:val="decimal"/>
      <w:suff w:val="nothing"/>
      <w:lvlText w:val="（%1）"/>
      <w:lvlJc w:val="left"/>
    </w:lvl>
  </w:abstractNum>
  <w:abstractNum w:abstractNumId="6">
    <w:nsid w:val="21A205B0"/>
    <w:multiLevelType w:val="singleLevel"/>
    <w:tmpl w:val="21A205B0"/>
    <w:lvl w:ilvl="0" w:tentative="0">
      <w:start w:val="2"/>
      <w:numFmt w:val="chineseCounting"/>
      <w:suff w:val="space"/>
      <w:lvlText w:val="第%1章"/>
      <w:lvlJc w:val="left"/>
      <w:rPr>
        <w:rFonts w:hint="eastAsia"/>
      </w:rPr>
    </w:lvl>
  </w:abstractNum>
  <w:abstractNum w:abstractNumId="7">
    <w:nsid w:val="27E2D8D2"/>
    <w:multiLevelType w:val="singleLevel"/>
    <w:tmpl w:val="27E2D8D2"/>
    <w:lvl w:ilvl="0" w:tentative="0">
      <w:start w:val="1"/>
      <w:numFmt w:val="decimal"/>
      <w:suff w:val="nothing"/>
      <w:lvlText w:val="（%1）"/>
      <w:lvlJc w:val="left"/>
    </w:lvl>
  </w:abstractNum>
  <w:abstractNum w:abstractNumId="8">
    <w:nsid w:val="3B3D739F"/>
    <w:multiLevelType w:val="singleLevel"/>
    <w:tmpl w:val="3B3D739F"/>
    <w:lvl w:ilvl="0" w:tentative="0">
      <w:start w:val="1"/>
      <w:numFmt w:val="decimal"/>
      <w:suff w:val="nothing"/>
      <w:lvlText w:val="（%1）"/>
      <w:lvlJc w:val="left"/>
    </w:lvl>
  </w:abstractNum>
  <w:abstractNum w:abstractNumId="9">
    <w:nsid w:val="4FC6D619"/>
    <w:multiLevelType w:val="singleLevel"/>
    <w:tmpl w:val="4FC6D619"/>
    <w:lvl w:ilvl="0" w:tentative="0">
      <w:start w:val="1"/>
      <w:numFmt w:val="chineseCounting"/>
      <w:suff w:val="nothing"/>
      <w:lvlText w:val="（%1）"/>
      <w:lvlJc w:val="left"/>
      <w:rPr>
        <w:rFonts w:hint="eastAsia"/>
      </w:rPr>
    </w:lvl>
  </w:abstractNum>
  <w:abstractNum w:abstractNumId="10">
    <w:nsid w:val="595F8F47"/>
    <w:multiLevelType w:val="singleLevel"/>
    <w:tmpl w:val="595F8F47"/>
    <w:lvl w:ilvl="0" w:tentative="0">
      <w:start w:val="9"/>
      <w:numFmt w:val="chineseCounting"/>
      <w:suff w:val="nothing"/>
      <w:lvlText w:val="%1、"/>
      <w:lvlJc w:val="left"/>
      <w:rPr>
        <w:rFonts w:hint="eastAsia"/>
      </w:rPr>
    </w:lvl>
  </w:abstractNum>
  <w:abstractNum w:abstractNumId="11">
    <w:nsid w:val="6A53F4EB"/>
    <w:multiLevelType w:val="singleLevel"/>
    <w:tmpl w:val="6A53F4EB"/>
    <w:lvl w:ilvl="0" w:tentative="0">
      <w:start w:val="11"/>
      <w:numFmt w:val="decimal"/>
      <w:suff w:val="space"/>
      <w:lvlText w:val="%1."/>
      <w:lvlJc w:val="left"/>
    </w:lvl>
  </w:abstractNum>
  <w:abstractNum w:abstractNumId="12">
    <w:nsid w:val="6C688773"/>
    <w:multiLevelType w:val="singleLevel"/>
    <w:tmpl w:val="6C688773"/>
    <w:lvl w:ilvl="0" w:tentative="0">
      <w:start w:val="1"/>
      <w:numFmt w:val="decimal"/>
      <w:suff w:val="nothing"/>
      <w:lvlText w:val="（%1）"/>
      <w:lvlJc w:val="left"/>
    </w:lvl>
  </w:abstractNum>
  <w:num w:numId="1">
    <w:abstractNumId w:val="6"/>
  </w:num>
  <w:num w:numId="2">
    <w:abstractNumId w:val="0"/>
  </w:num>
  <w:num w:numId="3">
    <w:abstractNumId w:val="3"/>
  </w:num>
  <w:num w:numId="4">
    <w:abstractNumId w:val="5"/>
  </w:num>
  <w:num w:numId="5">
    <w:abstractNumId w:val="11"/>
  </w:num>
  <w:num w:numId="6">
    <w:abstractNumId w:val="1"/>
  </w:num>
  <w:num w:numId="7">
    <w:abstractNumId w:val="7"/>
  </w:num>
  <w:num w:numId="8">
    <w:abstractNumId w:val="8"/>
  </w:num>
  <w:num w:numId="9">
    <w:abstractNumId w:val="12"/>
  </w:num>
  <w:num w:numId="10">
    <w:abstractNumId w:val="4"/>
  </w:num>
  <w:num w:numId="11">
    <w:abstractNumId w:val="10"/>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djNDUyNTkxNGZhMjRiNGE5MTEzODI0NmJmZDdlMzAifQ=="/>
    <w:docVar w:name="KSO_WPS_MARK_KEY" w:val="0f36c477-a813-4eb2-9910-36f309e25514"/>
  </w:docVars>
  <w:rsids>
    <w:rsidRoot w:val="556F068E"/>
    <w:rsid w:val="00022272"/>
    <w:rsid w:val="00046300"/>
    <w:rsid w:val="00092EAF"/>
    <w:rsid w:val="000A365B"/>
    <w:rsid w:val="000C199D"/>
    <w:rsid w:val="000E03F8"/>
    <w:rsid w:val="001029D1"/>
    <w:rsid w:val="00146E03"/>
    <w:rsid w:val="001A5BFD"/>
    <w:rsid w:val="001C657D"/>
    <w:rsid w:val="002203C2"/>
    <w:rsid w:val="00222EAA"/>
    <w:rsid w:val="00227480"/>
    <w:rsid w:val="00256C60"/>
    <w:rsid w:val="0027615C"/>
    <w:rsid w:val="0028721A"/>
    <w:rsid w:val="00294619"/>
    <w:rsid w:val="002C2E79"/>
    <w:rsid w:val="00341A32"/>
    <w:rsid w:val="00344260"/>
    <w:rsid w:val="003479CE"/>
    <w:rsid w:val="00350E8A"/>
    <w:rsid w:val="003566F1"/>
    <w:rsid w:val="00396966"/>
    <w:rsid w:val="003B5B92"/>
    <w:rsid w:val="00402132"/>
    <w:rsid w:val="004302EE"/>
    <w:rsid w:val="00430665"/>
    <w:rsid w:val="00446559"/>
    <w:rsid w:val="00461B46"/>
    <w:rsid w:val="004B25EB"/>
    <w:rsid w:val="00511007"/>
    <w:rsid w:val="0055311E"/>
    <w:rsid w:val="005F1692"/>
    <w:rsid w:val="005F3F1A"/>
    <w:rsid w:val="00613155"/>
    <w:rsid w:val="0067547C"/>
    <w:rsid w:val="006769EB"/>
    <w:rsid w:val="006C03D0"/>
    <w:rsid w:val="006E49D4"/>
    <w:rsid w:val="006F4DB7"/>
    <w:rsid w:val="007051D0"/>
    <w:rsid w:val="00712F50"/>
    <w:rsid w:val="0073092E"/>
    <w:rsid w:val="00740C23"/>
    <w:rsid w:val="00753155"/>
    <w:rsid w:val="00762457"/>
    <w:rsid w:val="0079775D"/>
    <w:rsid w:val="007B713C"/>
    <w:rsid w:val="007C0349"/>
    <w:rsid w:val="00822614"/>
    <w:rsid w:val="0086498E"/>
    <w:rsid w:val="00877FA4"/>
    <w:rsid w:val="008A64A8"/>
    <w:rsid w:val="008D11E2"/>
    <w:rsid w:val="008D54D8"/>
    <w:rsid w:val="008E648C"/>
    <w:rsid w:val="008F1808"/>
    <w:rsid w:val="008F25AF"/>
    <w:rsid w:val="00922F24"/>
    <w:rsid w:val="00946919"/>
    <w:rsid w:val="009564A4"/>
    <w:rsid w:val="00983B7D"/>
    <w:rsid w:val="00985A95"/>
    <w:rsid w:val="009942A1"/>
    <w:rsid w:val="009A2CCA"/>
    <w:rsid w:val="009B2168"/>
    <w:rsid w:val="009C02AE"/>
    <w:rsid w:val="009D2098"/>
    <w:rsid w:val="009E6A77"/>
    <w:rsid w:val="00A360B5"/>
    <w:rsid w:val="00A461D0"/>
    <w:rsid w:val="00A51D4B"/>
    <w:rsid w:val="00A60097"/>
    <w:rsid w:val="00A74461"/>
    <w:rsid w:val="00A806A3"/>
    <w:rsid w:val="00A92C61"/>
    <w:rsid w:val="00A974A6"/>
    <w:rsid w:val="00AA6128"/>
    <w:rsid w:val="00AD1077"/>
    <w:rsid w:val="00AD4031"/>
    <w:rsid w:val="00AF24A3"/>
    <w:rsid w:val="00AF5C8F"/>
    <w:rsid w:val="00B27491"/>
    <w:rsid w:val="00B3531B"/>
    <w:rsid w:val="00B41D5C"/>
    <w:rsid w:val="00B53F5F"/>
    <w:rsid w:val="00B57815"/>
    <w:rsid w:val="00B94E97"/>
    <w:rsid w:val="00BA74DD"/>
    <w:rsid w:val="00BC04D1"/>
    <w:rsid w:val="00BC2F65"/>
    <w:rsid w:val="00C720D9"/>
    <w:rsid w:val="00CD32AF"/>
    <w:rsid w:val="00CE6497"/>
    <w:rsid w:val="00D077EC"/>
    <w:rsid w:val="00D12F80"/>
    <w:rsid w:val="00D17065"/>
    <w:rsid w:val="00D246F4"/>
    <w:rsid w:val="00D676B2"/>
    <w:rsid w:val="00D7037D"/>
    <w:rsid w:val="00DA25AA"/>
    <w:rsid w:val="00DC35A4"/>
    <w:rsid w:val="00DD6B5C"/>
    <w:rsid w:val="00E828D2"/>
    <w:rsid w:val="00E85F78"/>
    <w:rsid w:val="00F447E0"/>
    <w:rsid w:val="00F5573C"/>
    <w:rsid w:val="00FA5913"/>
    <w:rsid w:val="00FE58B4"/>
    <w:rsid w:val="00FF0247"/>
    <w:rsid w:val="00FF6368"/>
    <w:rsid w:val="01003FCC"/>
    <w:rsid w:val="01104A24"/>
    <w:rsid w:val="013730A5"/>
    <w:rsid w:val="01457570"/>
    <w:rsid w:val="014C3BDB"/>
    <w:rsid w:val="016D676E"/>
    <w:rsid w:val="01813E16"/>
    <w:rsid w:val="0190392E"/>
    <w:rsid w:val="01A340D1"/>
    <w:rsid w:val="01BA6796"/>
    <w:rsid w:val="01D152A8"/>
    <w:rsid w:val="01D16F05"/>
    <w:rsid w:val="01D9471B"/>
    <w:rsid w:val="01E112F3"/>
    <w:rsid w:val="01E5765B"/>
    <w:rsid w:val="01E8610D"/>
    <w:rsid w:val="0217360F"/>
    <w:rsid w:val="02365E7D"/>
    <w:rsid w:val="02756169"/>
    <w:rsid w:val="027827AD"/>
    <w:rsid w:val="02806C74"/>
    <w:rsid w:val="02932757"/>
    <w:rsid w:val="02B62811"/>
    <w:rsid w:val="02C47A2B"/>
    <w:rsid w:val="02DC227F"/>
    <w:rsid w:val="02E80E6A"/>
    <w:rsid w:val="02E93C7C"/>
    <w:rsid w:val="02F76F90"/>
    <w:rsid w:val="032075CD"/>
    <w:rsid w:val="03244D3B"/>
    <w:rsid w:val="03361F3B"/>
    <w:rsid w:val="036D5585"/>
    <w:rsid w:val="03A41F96"/>
    <w:rsid w:val="03A80DB6"/>
    <w:rsid w:val="03BE5C4F"/>
    <w:rsid w:val="03C57F1D"/>
    <w:rsid w:val="03D3354B"/>
    <w:rsid w:val="03F370EA"/>
    <w:rsid w:val="043C2B7C"/>
    <w:rsid w:val="04415B0D"/>
    <w:rsid w:val="045D6149"/>
    <w:rsid w:val="04631E56"/>
    <w:rsid w:val="047553ED"/>
    <w:rsid w:val="04832496"/>
    <w:rsid w:val="048838BB"/>
    <w:rsid w:val="04903C37"/>
    <w:rsid w:val="04924FE3"/>
    <w:rsid w:val="04A24CDA"/>
    <w:rsid w:val="04A80E4A"/>
    <w:rsid w:val="04AF1326"/>
    <w:rsid w:val="04FD0E31"/>
    <w:rsid w:val="050637A5"/>
    <w:rsid w:val="050B287F"/>
    <w:rsid w:val="05230D78"/>
    <w:rsid w:val="054769B3"/>
    <w:rsid w:val="05480B39"/>
    <w:rsid w:val="05571F68"/>
    <w:rsid w:val="05A0262C"/>
    <w:rsid w:val="05F46366"/>
    <w:rsid w:val="06021BFE"/>
    <w:rsid w:val="061631B2"/>
    <w:rsid w:val="06191E33"/>
    <w:rsid w:val="061C3D5B"/>
    <w:rsid w:val="06352C8D"/>
    <w:rsid w:val="06376F97"/>
    <w:rsid w:val="065A3ABE"/>
    <w:rsid w:val="068154EF"/>
    <w:rsid w:val="06836237"/>
    <w:rsid w:val="06A7419D"/>
    <w:rsid w:val="06E35353"/>
    <w:rsid w:val="06EC222A"/>
    <w:rsid w:val="07245A59"/>
    <w:rsid w:val="0745028B"/>
    <w:rsid w:val="075A22F1"/>
    <w:rsid w:val="07AD2721"/>
    <w:rsid w:val="07AF6F49"/>
    <w:rsid w:val="07BB664B"/>
    <w:rsid w:val="07F82E00"/>
    <w:rsid w:val="08027D15"/>
    <w:rsid w:val="082006F3"/>
    <w:rsid w:val="083C3003"/>
    <w:rsid w:val="08406DEA"/>
    <w:rsid w:val="086871CD"/>
    <w:rsid w:val="086E336F"/>
    <w:rsid w:val="087B43C8"/>
    <w:rsid w:val="0882554E"/>
    <w:rsid w:val="08AD7237"/>
    <w:rsid w:val="08B017D6"/>
    <w:rsid w:val="08B531C4"/>
    <w:rsid w:val="08B74801"/>
    <w:rsid w:val="08E06F07"/>
    <w:rsid w:val="08FC404A"/>
    <w:rsid w:val="0903492F"/>
    <w:rsid w:val="090A71E9"/>
    <w:rsid w:val="0916122C"/>
    <w:rsid w:val="094B34E5"/>
    <w:rsid w:val="0950282C"/>
    <w:rsid w:val="099D12AF"/>
    <w:rsid w:val="09AD5E3C"/>
    <w:rsid w:val="09B12057"/>
    <w:rsid w:val="09B2776D"/>
    <w:rsid w:val="09C735AB"/>
    <w:rsid w:val="09D41DD9"/>
    <w:rsid w:val="09D822DD"/>
    <w:rsid w:val="09FB0360"/>
    <w:rsid w:val="0A312D88"/>
    <w:rsid w:val="0A443EE4"/>
    <w:rsid w:val="0A6842D0"/>
    <w:rsid w:val="0A9C7D1B"/>
    <w:rsid w:val="0ADB0DD6"/>
    <w:rsid w:val="0AF95B2E"/>
    <w:rsid w:val="0AFA3F41"/>
    <w:rsid w:val="0B0D58E7"/>
    <w:rsid w:val="0B163B89"/>
    <w:rsid w:val="0B1A6F5A"/>
    <w:rsid w:val="0B311F83"/>
    <w:rsid w:val="0B392AEB"/>
    <w:rsid w:val="0B5374D4"/>
    <w:rsid w:val="0B5934C2"/>
    <w:rsid w:val="0B667091"/>
    <w:rsid w:val="0B7023F3"/>
    <w:rsid w:val="0B903ADE"/>
    <w:rsid w:val="0B9665C6"/>
    <w:rsid w:val="0BBC48D3"/>
    <w:rsid w:val="0BC2585F"/>
    <w:rsid w:val="0BC4602F"/>
    <w:rsid w:val="0BC50665"/>
    <w:rsid w:val="0BE0389B"/>
    <w:rsid w:val="0C03028C"/>
    <w:rsid w:val="0C5636E2"/>
    <w:rsid w:val="0C770701"/>
    <w:rsid w:val="0C78199D"/>
    <w:rsid w:val="0C816B43"/>
    <w:rsid w:val="0CB060DE"/>
    <w:rsid w:val="0CB43D56"/>
    <w:rsid w:val="0CBA47E6"/>
    <w:rsid w:val="0CBF41E0"/>
    <w:rsid w:val="0CC164BF"/>
    <w:rsid w:val="0CCC6BCF"/>
    <w:rsid w:val="0D001946"/>
    <w:rsid w:val="0D006A41"/>
    <w:rsid w:val="0D1A6DAB"/>
    <w:rsid w:val="0D236286"/>
    <w:rsid w:val="0D4357F1"/>
    <w:rsid w:val="0D896A37"/>
    <w:rsid w:val="0D98311E"/>
    <w:rsid w:val="0DB22432"/>
    <w:rsid w:val="0DB92613"/>
    <w:rsid w:val="0DC3449B"/>
    <w:rsid w:val="0DF13383"/>
    <w:rsid w:val="0DF9484D"/>
    <w:rsid w:val="0E1D31AF"/>
    <w:rsid w:val="0E2E5189"/>
    <w:rsid w:val="0E3B3FA0"/>
    <w:rsid w:val="0E4531F0"/>
    <w:rsid w:val="0E5114F5"/>
    <w:rsid w:val="0E8A703D"/>
    <w:rsid w:val="0EB12B04"/>
    <w:rsid w:val="0EB8284C"/>
    <w:rsid w:val="0EBF4D9D"/>
    <w:rsid w:val="0EC853E9"/>
    <w:rsid w:val="0EDA48F5"/>
    <w:rsid w:val="0EFA2408"/>
    <w:rsid w:val="0F294B59"/>
    <w:rsid w:val="0F37609A"/>
    <w:rsid w:val="0F5E7FAF"/>
    <w:rsid w:val="0F666CCA"/>
    <w:rsid w:val="0F801C32"/>
    <w:rsid w:val="0FC73BE9"/>
    <w:rsid w:val="0FDA0B8C"/>
    <w:rsid w:val="0FDD010F"/>
    <w:rsid w:val="0FEC00EE"/>
    <w:rsid w:val="0FEE6836"/>
    <w:rsid w:val="0FF66442"/>
    <w:rsid w:val="101A1FFE"/>
    <w:rsid w:val="103F1456"/>
    <w:rsid w:val="10574280"/>
    <w:rsid w:val="108A2DF9"/>
    <w:rsid w:val="109218D9"/>
    <w:rsid w:val="109501C0"/>
    <w:rsid w:val="10A1515D"/>
    <w:rsid w:val="10A51DDA"/>
    <w:rsid w:val="10AB7642"/>
    <w:rsid w:val="10B637C0"/>
    <w:rsid w:val="10E66141"/>
    <w:rsid w:val="10EB474A"/>
    <w:rsid w:val="11170ED8"/>
    <w:rsid w:val="11347157"/>
    <w:rsid w:val="11467149"/>
    <w:rsid w:val="114E2AEE"/>
    <w:rsid w:val="115B567E"/>
    <w:rsid w:val="11633F2C"/>
    <w:rsid w:val="11A823B3"/>
    <w:rsid w:val="11AD4D9B"/>
    <w:rsid w:val="11BF6701"/>
    <w:rsid w:val="11C436DA"/>
    <w:rsid w:val="11CC3E60"/>
    <w:rsid w:val="11DC229F"/>
    <w:rsid w:val="121E0907"/>
    <w:rsid w:val="122E78D2"/>
    <w:rsid w:val="12417917"/>
    <w:rsid w:val="12423A2C"/>
    <w:rsid w:val="125C359D"/>
    <w:rsid w:val="12972A6D"/>
    <w:rsid w:val="12A03046"/>
    <w:rsid w:val="12F16C1F"/>
    <w:rsid w:val="132A0CBC"/>
    <w:rsid w:val="137F578F"/>
    <w:rsid w:val="138A5D40"/>
    <w:rsid w:val="138C7281"/>
    <w:rsid w:val="13B33EEB"/>
    <w:rsid w:val="13BC12BF"/>
    <w:rsid w:val="13BF768D"/>
    <w:rsid w:val="13CF3AB0"/>
    <w:rsid w:val="14034BB8"/>
    <w:rsid w:val="14236617"/>
    <w:rsid w:val="14405D22"/>
    <w:rsid w:val="1444201F"/>
    <w:rsid w:val="14806C8E"/>
    <w:rsid w:val="14990D44"/>
    <w:rsid w:val="149E3AC3"/>
    <w:rsid w:val="14BE5716"/>
    <w:rsid w:val="14C34F24"/>
    <w:rsid w:val="14EB19FB"/>
    <w:rsid w:val="14F670A8"/>
    <w:rsid w:val="151F00E8"/>
    <w:rsid w:val="153170A0"/>
    <w:rsid w:val="153C1486"/>
    <w:rsid w:val="1574696E"/>
    <w:rsid w:val="15907FBE"/>
    <w:rsid w:val="15BD2C4B"/>
    <w:rsid w:val="15C15585"/>
    <w:rsid w:val="15C6474A"/>
    <w:rsid w:val="15D762E2"/>
    <w:rsid w:val="15F46539"/>
    <w:rsid w:val="15F815D5"/>
    <w:rsid w:val="16326427"/>
    <w:rsid w:val="16433642"/>
    <w:rsid w:val="16441BC9"/>
    <w:rsid w:val="164A3658"/>
    <w:rsid w:val="164E4553"/>
    <w:rsid w:val="16621C8D"/>
    <w:rsid w:val="1665243A"/>
    <w:rsid w:val="167E64D5"/>
    <w:rsid w:val="16950C3B"/>
    <w:rsid w:val="16A13E1C"/>
    <w:rsid w:val="16E77B3D"/>
    <w:rsid w:val="16F23CD8"/>
    <w:rsid w:val="16FA4E2C"/>
    <w:rsid w:val="16FD4421"/>
    <w:rsid w:val="171C17FB"/>
    <w:rsid w:val="171D46C2"/>
    <w:rsid w:val="171F74F7"/>
    <w:rsid w:val="172F4AF3"/>
    <w:rsid w:val="174119F0"/>
    <w:rsid w:val="17580A4C"/>
    <w:rsid w:val="17593127"/>
    <w:rsid w:val="17607065"/>
    <w:rsid w:val="176F2E6E"/>
    <w:rsid w:val="17716EB9"/>
    <w:rsid w:val="17863661"/>
    <w:rsid w:val="17A941B6"/>
    <w:rsid w:val="17E2165E"/>
    <w:rsid w:val="180C7126"/>
    <w:rsid w:val="181C7503"/>
    <w:rsid w:val="18236833"/>
    <w:rsid w:val="18333BE2"/>
    <w:rsid w:val="18664E5B"/>
    <w:rsid w:val="18776039"/>
    <w:rsid w:val="188305B7"/>
    <w:rsid w:val="18B2001B"/>
    <w:rsid w:val="1904363B"/>
    <w:rsid w:val="191C7213"/>
    <w:rsid w:val="196D36B1"/>
    <w:rsid w:val="19813A83"/>
    <w:rsid w:val="19845EE9"/>
    <w:rsid w:val="199D157A"/>
    <w:rsid w:val="199D5C40"/>
    <w:rsid w:val="19A940E1"/>
    <w:rsid w:val="19BA6784"/>
    <w:rsid w:val="19E80221"/>
    <w:rsid w:val="1A0B3DC0"/>
    <w:rsid w:val="1A2F6BB8"/>
    <w:rsid w:val="1A397664"/>
    <w:rsid w:val="1A700B7C"/>
    <w:rsid w:val="1A873FD2"/>
    <w:rsid w:val="1A9C70C5"/>
    <w:rsid w:val="1AB8269D"/>
    <w:rsid w:val="1AE41258"/>
    <w:rsid w:val="1AEB00AB"/>
    <w:rsid w:val="1AEB0D31"/>
    <w:rsid w:val="1B070751"/>
    <w:rsid w:val="1B090479"/>
    <w:rsid w:val="1B093739"/>
    <w:rsid w:val="1B093B1D"/>
    <w:rsid w:val="1B305F40"/>
    <w:rsid w:val="1B356C3A"/>
    <w:rsid w:val="1B3A401D"/>
    <w:rsid w:val="1B644C78"/>
    <w:rsid w:val="1B7156B8"/>
    <w:rsid w:val="1B757C39"/>
    <w:rsid w:val="1B770817"/>
    <w:rsid w:val="1B7B7487"/>
    <w:rsid w:val="1B7E7F14"/>
    <w:rsid w:val="1BC04FD1"/>
    <w:rsid w:val="1BD27D58"/>
    <w:rsid w:val="1BE54582"/>
    <w:rsid w:val="1BF84AF8"/>
    <w:rsid w:val="1BFB09A3"/>
    <w:rsid w:val="1BFD6C7E"/>
    <w:rsid w:val="1C0B3C6C"/>
    <w:rsid w:val="1C164185"/>
    <w:rsid w:val="1C262354"/>
    <w:rsid w:val="1C4D58A1"/>
    <w:rsid w:val="1C75643E"/>
    <w:rsid w:val="1C93342E"/>
    <w:rsid w:val="1C986933"/>
    <w:rsid w:val="1CBD2679"/>
    <w:rsid w:val="1CC31008"/>
    <w:rsid w:val="1CCC3CBC"/>
    <w:rsid w:val="1CD566D8"/>
    <w:rsid w:val="1CD66DB8"/>
    <w:rsid w:val="1CD974FA"/>
    <w:rsid w:val="1CDF3B2A"/>
    <w:rsid w:val="1CE4752C"/>
    <w:rsid w:val="1CE83302"/>
    <w:rsid w:val="1CEE68B6"/>
    <w:rsid w:val="1D123295"/>
    <w:rsid w:val="1D167EEA"/>
    <w:rsid w:val="1D2F2D17"/>
    <w:rsid w:val="1D495FAC"/>
    <w:rsid w:val="1D4C4A30"/>
    <w:rsid w:val="1D503E27"/>
    <w:rsid w:val="1D6D0123"/>
    <w:rsid w:val="1D7A639C"/>
    <w:rsid w:val="1D8206B5"/>
    <w:rsid w:val="1D8D58DE"/>
    <w:rsid w:val="1DB2375B"/>
    <w:rsid w:val="1DC05A19"/>
    <w:rsid w:val="1DDB47E2"/>
    <w:rsid w:val="1DF71A39"/>
    <w:rsid w:val="1DFB4A45"/>
    <w:rsid w:val="1DFC6FA3"/>
    <w:rsid w:val="1E005F9D"/>
    <w:rsid w:val="1E096100"/>
    <w:rsid w:val="1E1D673B"/>
    <w:rsid w:val="1E231AEA"/>
    <w:rsid w:val="1E3824DF"/>
    <w:rsid w:val="1E5C7AA3"/>
    <w:rsid w:val="1E6426A0"/>
    <w:rsid w:val="1E75477E"/>
    <w:rsid w:val="1E8500B7"/>
    <w:rsid w:val="1E8D2FC4"/>
    <w:rsid w:val="1EAF7CA6"/>
    <w:rsid w:val="1ECA5910"/>
    <w:rsid w:val="1F5E1AA4"/>
    <w:rsid w:val="1F655403"/>
    <w:rsid w:val="1F7171A3"/>
    <w:rsid w:val="1F807C45"/>
    <w:rsid w:val="1F86142A"/>
    <w:rsid w:val="1F8D47B9"/>
    <w:rsid w:val="1F8E2E26"/>
    <w:rsid w:val="1F9E53C0"/>
    <w:rsid w:val="1FAB4F33"/>
    <w:rsid w:val="1FE67D3D"/>
    <w:rsid w:val="1FE80522"/>
    <w:rsid w:val="1FE9475C"/>
    <w:rsid w:val="1FFC7D8E"/>
    <w:rsid w:val="20254C0F"/>
    <w:rsid w:val="204E5A2F"/>
    <w:rsid w:val="20664963"/>
    <w:rsid w:val="20A420AE"/>
    <w:rsid w:val="20A9754C"/>
    <w:rsid w:val="20BA111E"/>
    <w:rsid w:val="20C454B5"/>
    <w:rsid w:val="20FE67E9"/>
    <w:rsid w:val="211713ED"/>
    <w:rsid w:val="21192A01"/>
    <w:rsid w:val="21241618"/>
    <w:rsid w:val="21460B4D"/>
    <w:rsid w:val="218B0B78"/>
    <w:rsid w:val="219B7DE7"/>
    <w:rsid w:val="21BA18CA"/>
    <w:rsid w:val="21BC3427"/>
    <w:rsid w:val="21C4457A"/>
    <w:rsid w:val="21C97397"/>
    <w:rsid w:val="21EC3353"/>
    <w:rsid w:val="21F05D61"/>
    <w:rsid w:val="21F1794A"/>
    <w:rsid w:val="21F3425F"/>
    <w:rsid w:val="21F44361"/>
    <w:rsid w:val="22001A09"/>
    <w:rsid w:val="22096FE7"/>
    <w:rsid w:val="221E50FA"/>
    <w:rsid w:val="222D1D02"/>
    <w:rsid w:val="227B1683"/>
    <w:rsid w:val="227B4DAD"/>
    <w:rsid w:val="22AD31A5"/>
    <w:rsid w:val="22B4097F"/>
    <w:rsid w:val="22B64134"/>
    <w:rsid w:val="22D15291"/>
    <w:rsid w:val="22F22FF9"/>
    <w:rsid w:val="2302130E"/>
    <w:rsid w:val="230F42A2"/>
    <w:rsid w:val="23141D1B"/>
    <w:rsid w:val="231470B2"/>
    <w:rsid w:val="23260413"/>
    <w:rsid w:val="232E5C5F"/>
    <w:rsid w:val="236B31BC"/>
    <w:rsid w:val="236D4D88"/>
    <w:rsid w:val="237B3D5E"/>
    <w:rsid w:val="237D3953"/>
    <w:rsid w:val="23856F77"/>
    <w:rsid w:val="239177CA"/>
    <w:rsid w:val="23CB3857"/>
    <w:rsid w:val="23F35D0C"/>
    <w:rsid w:val="23FA7E69"/>
    <w:rsid w:val="241412F8"/>
    <w:rsid w:val="24225F9F"/>
    <w:rsid w:val="24315C04"/>
    <w:rsid w:val="244627A5"/>
    <w:rsid w:val="245323A6"/>
    <w:rsid w:val="2460107D"/>
    <w:rsid w:val="24756BA6"/>
    <w:rsid w:val="24B060A4"/>
    <w:rsid w:val="24B43F14"/>
    <w:rsid w:val="24E309A7"/>
    <w:rsid w:val="24E449CE"/>
    <w:rsid w:val="25116E92"/>
    <w:rsid w:val="2532575D"/>
    <w:rsid w:val="25555D52"/>
    <w:rsid w:val="255D2553"/>
    <w:rsid w:val="25927C62"/>
    <w:rsid w:val="259A0584"/>
    <w:rsid w:val="25A247E7"/>
    <w:rsid w:val="25A87042"/>
    <w:rsid w:val="25B03EE3"/>
    <w:rsid w:val="25B111B0"/>
    <w:rsid w:val="25B92E0A"/>
    <w:rsid w:val="25BA7C53"/>
    <w:rsid w:val="25BE204F"/>
    <w:rsid w:val="26153106"/>
    <w:rsid w:val="261673CB"/>
    <w:rsid w:val="26220DC8"/>
    <w:rsid w:val="262D2DD3"/>
    <w:rsid w:val="26322B7B"/>
    <w:rsid w:val="26361BCE"/>
    <w:rsid w:val="264A53DE"/>
    <w:rsid w:val="26501172"/>
    <w:rsid w:val="265509DB"/>
    <w:rsid w:val="26616E22"/>
    <w:rsid w:val="266B1340"/>
    <w:rsid w:val="267257B3"/>
    <w:rsid w:val="267A636E"/>
    <w:rsid w:val="268D7140"/>
    <w:rsid w:val="269711B9"/>
    <w:rsid w:val="26B26A7B"/>
    <w:rsid w:val="26BD6D0E"/>
    <w:rsid w:val="26D121AE"/>
    <w:rsid w:val="26E873DA"/>
    <w:rsid w:val="270933F2"/>
    <w:rsid w:val="27187560"/>
    <w:rsid w:val="272A0C68"/>
    <w:rsid w:val="273D765A"/>
    <w:rsid w:val="27433C4E"/>
    <w:rsid w:val="27665E21"/>
    <w:rsid w:val="27736981"/>
    <w:rsid w:val="277C2603"/>
    <w:rsid w:val="278230B3"/>
    <w:rsid w:val="279961FC"/>
    <w:rsid w:val="27AE44D5"/>
    <w:rsid w:val="27BE468F"/>
    <w:rsid w:val="27D80610"/>
    <w:rsid w:val="27F52732"/>
    <w:rsid w:val="280944AF"/>
    <w:rsid w:val="282646EC"/>
    <w:rsid w:val="282C6E8B"/>
    <w:rsid w:val="283C2BCC"/>
    <w:rsid w:val="28662581"/>
    <w:rsid w:val="28687751"/>
    <w:rsid w:val="286B4291"/>
    <w:rsid w:val="289A528E"/>
    <w:rsid w:val="28A8460E"/>
    <w:rsid w:val="28C130D1"/>
    <w:rsid w:val="28C24CA3"/>
    <w:rsid w:val="28F63507"/>
    <w:rsid w:val="28FC1E02"/>
    <w:rsid w:val="290E23D9"/>
    <w:rsid w:val="29157609"/>
    <w:rsid w:val="291D6FAC"/>
    <w:rsid w:val="29267D5D"/>
    <w:rsid w:val="292C56FA"/>
    <w:rsid w:val="29311834"/>
    <w:rsid w:val="29347D47"/>
    <w:rsid w:val="29611F8B"/>
    <w:rsid w:val="296C7C2C"/>
    <w:rsid w:val="299F4685"/>
    <w:rsid w:val="29AD67F7"/>
    <w:rsid w:val="29DC62F2"/>
    <w:rsid w:val="2A021B3E"/>
    <w:rsid w:val="2A290BDC"/>
    <w:rsid w:val="2A351F7B"/>
    <w:rsid w:val="2A3E35AD"/>
    <w:rsid w:val="2A4D76CB"/>
    <w:rsid w:val="2A652BD4"/>
    <w:rsid w:val="2A6C420C"/>
    <w:rsid w:val="2A9A3781"/>
    <w:rsid w:val="2AB26607"/>
    <w:rsid w:val="2ACE4FC6"/>
    <w:rsid w:val="2AD94755"/>
    <w:rsid w:val="2AF77367"/>
    <w:rsid w:val="2B0A0BD5"/>
    <w:rsid w:val="2B0A326E"/>
    <w:rsid w:val="2B381D70"/>
    <w:rsid w:val="2B411857"/>
    <w:rsid w:val="2B54148E"/>
    <w:rsid w:val="2B5C73EB"/>
    <w:rsid w:val="2B5E61B8"/>
    <w:rsid w:val="2B7118BF"/>
    <w:rsid w:val="2B724E22"/>
    <w:rsid w:val="2B8818D0"/>
    <w:rsid w:val="2B8A1EA0"/>
    <w:rsid w:val="2B9C27E4"/>
    <w:rsid w:val="2BCA04EF"/>
    <w:rsid w:val="2BE13188"/>
    <w:rsid w:val="2BE713FE"/>
    <w:rsid w:val="2C053476"/>
    <w:rsid w:val="2C113654"/>
    <w:rsid w:val="2C1B212D"/>
    <w:rsid w:val="2C3E2C44"/>
    <w:rsid w:val="2C44674C"/>
    <w:rsid w:val="2C920372"/>
    <w:rsid w:val="2CBD1932"/>
    <w:rsid w:val="2CC01D55"/>
    <w:rsid w:val="2CDD2828"/>
    <w:rsid w:val="2D1D294F"/>
    <w:rsid w:val="2D28535E"/>
    <w:rsid w:val="2D66175A"/>
    <w:rsid w:val="2D735A67"/>
    <w:rsid w:val="2D8070AF"/>
    <w:rsid w:val="2DB94CBF"/>
    <w:rsid w:val="2DBA131A"/>
    <w:rsid w:val="2DBA5AC8"/>
    <w:rsid w:val="2DCB735A"/>
    <w:rsid w:val="2DD462C2"/>
    <w:rsid w:val="2DDD2134"/>
    <w:rsid w:val="2DDD4E5F"/>
    <w:rsid w:val="2DE16C77"/>
    <w:rsid w:val="2DE60BE9"/>
    <w:rsid w:val="2E2668E4"/>
    <w:rsid w:val="2E3615D0"/>
    <w:rsid w:val="2E3B5ECD"/>
    <w:rsid w:val="2E451A7C"/>
    <w:rsid w:val="2E4C1EBA"/>
    <w:rsid w:val="2EAE301C"/>
    <w:rsid w:val="2ED36202"/>
    <w:rsid w:val="2EE13B2F"/>
    <w:rsid w:val="2EE15691"/>
    <w:rsid w:val="2F1F4FB0"/>
    <w:rsid w:val="2F4A5657"/>
    <w:rsid w:val="2F4D6B27"/>
    <w:rsid w:val="2F543A38"/>
    <w:rsid w:val="2F553B82"/>
    <w:rsid w:val="2F7B59FE"/>
    <w:rsid w:val="2F9C2E37"/>
    <w:rsid w:val="2FB000FC"/>
    <w:rsid w:val="2FC93316"/>
    <w:rsid w:val="2FCC5583"/>
    <w:rsid w:val="2FD61001"/>
    <w:rsid w:val="30030473"/>
    <w:rsid w:val="300852DE"/>
    <w:rsid w:val="30464020"/>
    <w:rsid w:val="30497A4F"/>
    <w:rsid w:val="30553E1F"/>
    <w:rsid w:val="306B512F"/>
    <w:rsid w:val="306D5C41"/>
    <w:rsid w:val="30A83EC2"/>
    <w:rsid w:val="30B80D4C"/>
    <w:rsid w:val="30BD2B5F"/>
    <w:rsid w:val="30E1509C"/>
    <w:rsid w:val="30F84E6F"/>
    <w:rsid w:val="31127E0D"/>
    <w:rsid w:val="3129025F"/>
    <w:rsid w:val="31320998"/>
    <w:rsid w:val="31453C7B"/>
    <w:rsid w:val="314D312F"/>
    <w:rsid w:val="31542597"/>
    <w:rsid w:val="31615C49"/>
    <w:rsid w:val="316D7D22"/>
    <w:rsid w:val="3175450C"/>
    <w:rsid w:val="31843543"/>
    <w:rsid w:val="31857990"/>
    <w:rsid w:val="318B126D"/>
    <w:rsid w:val="31A1157A"/>
    <w:rsid w:val="31BA31DE"/>
    <w:rsid w:val="31C25309"/>
    <w:rsid w:val="31CB6D6E"/>
    <w:rsid w:val="31D67B45"/>
    <w:rsid w:val="31E35430"/>
    <w:rsid w:val="3210510A"/>
    <w:rsid w:val="321B1AA4"/>
    <w:rsid w:val="322055D3"/>
    <w:rsid w:val="322C2A8A"/>
    <w:rsid w:val="322E1180"/>
    <w:rsid w:val="324D07E6"/>
    <w:rsid w:val="32757B61"/>
    <w:rsid w:val="32822213"/>
    <w:rsid w:val="32867567"/>
    <w:rsid w:val="328F2B5E"/>
    <w:rsid w:val="32981347"/>
    <w:rsid w:val="329F7A2B"/>
    <w:rsid w:val="32D75F52"/>
    <w:rsid w:val="3311647A"/>
    <w:rsid w:val="332854D5"/>
    <w:rsid w:val="3329346A"/>
    <w:rsid w:val="333659DA"/>
    <w:rsid w:val="335553C6"/>
    <w:rsid w:val="3357102E"/>
    <w:rsid w:val="33572FB0"/>
    <w:rsid w:val="33633EB8"/>
    <w:rsid w:val="336D250C"/>
    <w:rsid w:val="338D2239"/>
    <w:rsid w:val="33AE5BBA"/>
    <w:rsid w:val="33B30672"/>
    <w:rsid w:val="33D579CF"/>
    <w:rsid w:val="33E836FB"/>
    <w:rsid w:val="33F205F7"/>
    <w:rsid w:val="33FF2179"/>
    <w:rsid w:val="34401C96"/>
    <w:rsid w:val="345E13BA"/>
    <w:rsid w:val="345E3292"/>
    <w:rsid w:val="34664A0B"/>
    <w:rsid w:val="346E2D0F"/>
    <w:rsid w:val="34AE1E6A"/>
    <w:rsid w:val="34F85D6A"/>
    <w:rsid w:val="350E3B42"/>
    <w:rsid w:val="35125628"/>
    <w:rsid w:val="352100FF"/>
    <w:rsid w:val="352167CF"/>
    <w:rsid w:val="35660444"/>
    <w:rsid w:val="3566212E"/>
    <w:rsid w:val="356B276A"/>
    <w:rsid w:val="358E654C"/>
    <w:rsid w:val="35965B9C"/>
    <w:rsid w:val="359F0A1F"/>
    <w:rsid w:val="35C43240"/>
    <w:rsid w:val="35D42CBE"/>
    <w:rsid w:val="35E054FE"/>
    <w:rsid w:val="360D03D3"/>
    <w:rsid w:val="361B3EDC"/>
    <w:rsid w:val="361F6493"/>
    <w:rsid w:val="365C025C"/>
    <w:rsid w:val="36626692"/>
    <w:rsid w:val="367242E0"/>
    <w:rsid w:val="36897340"/>
    <w:rsid w:val="36A63BA7"/>
    <w:rsid w:val="36D05609"/>
    <w:rsid w:val="36E35E9F"/>
    <w:rsid w:val="36EC24B8"/>
    <w:rsid w:val="36FF2B34"/>
    <w:rsid w:val="3712448B"/>
    <w:rsid w:val="374E3122"/>
    <w:rsid w:val="37734130"/>
    <w:rsid w:val="378E76E4"/>
    <w:rsid w:val="37936580"/>
    <w:rsid w:val="37A34A15"/>
    <w:rsid w:val="37A52ECC"/>
    <w:rsid w:val="37C64260"/>
    <w:rsid w:val="37F17146"/>
    <w:rsid w:val="38282D9D"/>
    <w:rsid w:val="38473444"/>
    <w:rsid w:val="38496EE5"/>
    <w:rsid w:val="385308AB"/>
    <w:rsid w:val="38854458"/>
    <w:rsid w:val="38910EBC"/>
    <w:rsid w:val="389A51EB"/>
    <w:rsid w:val="38A22B6B"/>
    <w:rsid w:val="38D563EE"/>
    <w:rsid w:val="38EA10A6"/>
    <w:rsid w:val="390441CE"/>
    <w:rsid w:val="390B5D7B"/>
    <w:rsid w:val="39166111"/>
    <w:rsid w:val="39255B75"/>
    <w:rsid w:val="395370EE"/>
    <w:rsid w:val="39545D8E"/>
    <w:rsid w:val="3985179C"/>
    <w:rsid w:val="39BF1CE5"/>
    <w:rsid w:val="3A0B1954"/>
    <w:rsid w:val="3A151FA0"/>
    <w:rsid w:val="3A2B232A"/>
    <w:rsid w:val="3A793A8F"/>
    <w:rsid w:val="3ABF2507"/>
    <w:rsid w:val="3AC32E01"/>
    <w:rsid w:val="3AC9498B"/>
    <w:rsid w:val="3B256DAF"/>
    <w:rsid w:val="3B3616FD"/>
    <w:rsid w:val="3B437E7D"/>
    <w:rsid w:val="3B533D48"/>
    <w:rsid w:val="3B5A1A2F"/>
    <w:rsid w:val="3B5B5758"/>
    <w:rsid w:val="3B8D3791"/>
    <w:rsid w:val="3BA27B10"/>
    <w:rsid w:val="3BA92E72"/>
    <w:rsid w:val="3BAA04FF"/>
    <w:rsid w:val="3BAD1686"/>
    <w:rsid w:val="3BAF6081"/>
    <w:rsid w:val="3BBD016F"/>
    <w:rsid w:val="3BE0479C"/>
    <w:rsid w:val="3BEE3761"/>
    <w:rsid w:val="3C0E5061"/>
    <w:rsid w:val="3C1F49BF"/>
    <w:rsid w:val="3C6D55F2"/>
    <w:rsid w:val="3C8051A6"/>
    <w:rsid w:val="3C9A335A"/>
    <w:rsid w:val="3CBB635D"/>
    <w:rsid w:val="3CC05722"/>
    <w:rsid w:val="3CDC396E"/>
    <w:rsid w:val="3CF248ED"/>
    <w:rsid w:val="3D0D4A0D"/>
    <w:rsid w:val="3D312940"/>
    <w:rsid w:val="3D681D5A"/>
    <w:rsid w:val="3D6A1C0B"/>
    <w:rsid w:val="3D8D6ED1"/>
    <w:rsid w:val="3D8F3E21"/>
    <w:rsid w:val="3DC31ADA"/>
    <w:rsid w:val="3DFD7731"/>
    <w:rsid w:val="3E0C733A"/>
    <w:rsid w:val="3E2B54FF"/>
    <w:rsid w:val="3E874902"/>
    <w:rsid w:val="3E921361"/>
    <w:rsid w:val="3EA96219"/>
    <w:rsid w:val="3EB06A0E"/>
    <w:rsid w:val="3EB31640"/>
    <w:rsid w:val="3EB54AE2"/>
    <w:rsid w:val="3EB92D62"/>
    <w:rsid w:val="3EBE041F"/>
    <w:rsid w:val="3EF16D0C"/>
    <w:rsid w:val="3F15023A"/>
    <w:rsid w:val="3F2476CE"/>
    <w:rsid w:val="3F273217"/>
    <w:rsid w:val="3F2A77CA"/>
    <w:rsid w:val="3F5C67E0"/>
    <w:rsid w:val="3F6046C3"/>
    <w:rsid w:val="3F816C8A"/>
    <w:rsid w:val="3FA93691"/>
    <w:rsid w:val="3FC568AC"/>
    <w:rsid w:val="3FD0385B"/>
    <w:rsid w:val="3FD16045"/>
    <w:rsid w:val="3FE6347C"/>
    <w:rsid w:val="402F6781"/>
    <w:rsid w:val="40394958"/>
    <w:rsid w:val="403A1C8F"/>
    <w:rsid w:val="404D5299"/>
    <w:rsid w:val="404E76D3"/>
    <w:rsid w:val="408560B2"/>
    <w:rsid w:val="408F3C3B"/>
    <w:rsid w:val="40AD0BEA"/>
    <w:rsid w:val="40B45FA1"/>
    <w:rsid w:val="40C50789"/>
    <w:rsid w:val="40D411AE"/>
    <w:rsid w:val="40E2404A"/>
    <w:rsid w:val="40F7192E"/>
    <w:rsid w:val="40FA0619"/>
    <w:rsid w:val="41141D46"/>
    <w:rsid w:val="41262582"/>
    <w:rsid w:val="41277321"/>
    <w:rsid w:val="415C5513"/>
    <w:rsid w:val="41661CEC"/>
    <w:rsid w:val="417304D2"/>
    <w:rsid w:val="41756B51"/>
    <w:rsid w:val="41AD13F6"/>
    <w:rsid w:val="41B67760"/>
    <w:rsid w:val="41F63571"/>
    <w:rsid w:val="4200486D"/>
    <w:rsid w:val="42084854"/>
    <w:rsid w:val="420A4AA8"/>
    <w:rsid w:val="42204EB5"/>
    <w:rsid w:val="42341E3D"/>
    <w:rsid w:val="423C231C"/>
    <w:rsid w:val="424E5D3B"/>
    <w:rsid w:val="42894103"/>
    <w:rsid w:val="42DA35EB"/>
    <w:rsid w:val="42DC1373"/>
    <w:rsid w:val="42EB5F3F"/>
    <w:rsid w:val="42EE4ACA"/>
    <w:rsid w:val="433B4FAD"/>
    <w:rsid w:val="43494E83"/>
    <w:rsid w:val="434A1ED7"/>
    <w:rsid w:val="434B5F61"/>
    <w:rsid w:val="437769C4"/>
    <w:rsid w:val="439452CD"/>
    <w:rsid w:val="43987C3E"/>
    <w:rsid w:val="43DF168F"/>
    <w:rsid w:val="43EE52AD"/>
    <w:rsid w:val="43F70347"/>
    <w:rsid w:val="440D2A75"/>
    <w:rsid w:val="44151500"/>
    <w:rsid w:val="44225771"/>
    <w:rsid w:val="442E2C0A"/>
    <w:rsid w:val="443415E8"/>
    <w:rsid w:val="44471AAC"/>
    <w:rsid w:val="44526732"/>
    <w:rsid w:val="4465041D"/>
    <w:rsid w:val="4491321B"/>
    <w:rsid w:val="449604FB"/>
    <w:rsid w:val="44970EEF"/>
    <w:rsid w:val="449A2A3E"/>
    <w:rsid w:val="44C0114A"/>
    <w:rsid w:val="44CA2639"/>
    <w:rsid w:val="44D50E68"/>
    <w:rsid w:val="44E25F72"/>
    <w:rsid w:val="44E32866"/>
    <w:rsid w:val="44EB189F"/>
    <w:rsid w:val="44FD7B3F"/>
    <w:rsid w:val="451136F6"/>
    <w:rsid w:val="45127E77"/>
    <w:rsid w:val="451417BD"/>
    <w:rsid w:val="45355F69"/>
    <w:rsid w:val="45387544"/>
    <w:rsid w:val="453975C8"/>
    <w:rsid w:val="453B0148"/>
    <w:rsid w:val="453B36EE"/>
    <w:rsid w:val="4552145A"/>
    <w:rsid w:val="45681A93"/>
    <w:rsid w:val="456B6447"/>
    <w:rsid w:val="456F0597"/>
    <w:rsid w:val="458047D3"/>
    <w:rsid w:val="459020E6"/>
    <w:rsid w:val="45BF7797"/>
    <w:rsid w:val="45EB5B41"/>
    <w:rsid w:val="45FC5122"/>
    <w:rsid w:val="4608625E"/>
    <w:rsid w:val="460E37F4"/>
    <w:rsid w:val="462E28FA"/>
    <w:rsid w:val="463D21F4"/>
    <w:rsid w:val="4674757D"/>
    <w:rsid w:val="46E17C2E"/>
    <w:rsid w:val="46E66176"/>
    <w:rsid w:val="46F618BC"/>
    <w:rsid w:val="47172FCE"/>
    <w:rsid w:val="472D20DA"/>
    <w:rsid w:val="47322751"/>
    <w:rsid w:val="473E0204"/>
    <w:rsid w:val="473E1081"/>
    <w:rsid w:val="475075B1"/>
    <w:rsid w:val="477301BF"/>
    <w:rsid w:val="47770F2B"/>
    <w:rsid w:val="47935022"/>
    <w:rsid w:val="47B42327"/>
    <w:rsid w:val="47C73292"/>
    <w:rsid w:val="47D9109A"/>
    <w:rsid w:val="47DF1EDE"/>
    <w:rsid w:val="47E32A44"/>
    <w:rsid w:val="48001EB1"/>
    <w:rsid w:val="48321F62"/>
    <w:rsid w:val="48335102"/>
    <w:rsid w:val="483B5850"/>
    <w:rsid w:val="485F067A"/>
    <w:rsid w:val="48A46FB5"/>
    <w:rsid w:val="48B67408"/>
    <w:rsid w:val="48C60564"/>
    <w:rsid w:val="48C63978"/>
    <w:rsid w:val="48D931CF"/>
    <w:rsid w:val="48DB1A95"/>
    <w:rsid w:val="48DE4B3F"/>
    <w:rsid w:val="49095468"/>
    <w:rsid w:val="492B4F94"/>
    <w:rsid w:val="492E6967"/>
    <w:rsid w:val="49A25D9E"/>
    <w:rsid w:val="49A55D15"/>
    <w:rsid w:val="49A96B07"/>
    <w:rsid w:val="49C51CAF"/>
    <w:rsid w:val="49F50A0E"/>
    <w:rsid w:val="49F53957"/>
    <w:rsid w:val="4A2057D5"/>
    <w:rsid w:val="4A2A06C4"/>
    <w:rsid w:val="4A38723F"/>
    <w:rsid w:val="4A6819DC"/>
    <w:rsid w:val="4A8A479E"/>
    <w:rsid w:val="4A8F0E29"/>
    <w:rsid w:val="4A902D26"/>
    <w:rsid w:val="4AC17322"/>
    <w:rsid w:val="4AEB7F8C"/>
    <w:rsid w:val="4B1506E1"/>
    <w:rsid w:val="4B182BCD"/>
    <w:rsid w:val="4B2E3F72"/>
    <w:rsid w:val="4B341A2A"/>
    <w:rsid w:val="4B375FBE"/>
    <w:rsid w:val="4B3B7B1E"/>
    <w:rsid w:val="4B414BEA"/>
    <w:rsid w:val="4B587F93"/>
    <w:rsid w:val="4B7103C2"/>
    <w:rsid w:val="4B812B8E"/>
    <w:rsid w:val="4B85737C"/>
    <w:rsid w:val="4B9F74CF"/>
    <w:rsid w:val="4BA34B8C"/>
    <w:rsid w:val="4BD22165"/>
    <w:rsid w:val="4C073223"/>
    <w:rsid w:val="4C1A464A"/>
    <w:rsid w:val="4C274913"/>
    <w:rsid w:val="4C941131"/>
    <w:rsid w:val="4CA14D01"/>
    <w:rsid w:val="4CAC3D23"/>
    <w:rsid w:val="4CBB0999"/>
    <w:rsid w:val="4CCF792C"/>
    <w:rsid w:val="4CED7708"/>
    <w:rsid w:val="4CFB7F38"/>
    <w:rsid w:val="4CFE7AD0"/>
    <w:rsid w:val="4D033455"/>
    <w:rsid w:val="4D10719D"/>
    <w:rsid w:val="4D2211D8"/>
    <w:rsid w:val="4D583F97"/>
    <w:rsid w:val="4D725764"/>
    <w:rsid w:val="4DC002E1"/>
    <w:rsid w:val="4DC07059"/>
    <w:rsid w:val="4DC332C4"/>
    <w:rsid w:val="4DD44A19"/>
    <w:rsid w:val="4DE75FC1"/>
    <w:rsid w:val="4E23527B"/>
    <w:rsid w:val="4E6E58E7"/>
    <w:rsid w:val="4E9B5FEF"/>
    <w:rsid w:val="4EA551CE"/>
    <w:rsid w:val="4EA57992"/>
    <w:rsid w:val="4EC86811"/>
    <w:rsid w:val="4F112BD8"/>
    <w:rsid w:val="4F2359D6"/>
    <w:rsid w:val="4F27534F"/>
    <w:rsid w:val="4F3A6B04"/>
    <w:rsid w:val="4F6621C1"/>
    <w:rsid w:val="4F69181E"/>
    <w:rsid w:val="4F9A2167"/>
    <w:rsid w:val="4FD0029E"/>
    <w:rsid w:val="4FD96283"/>
    <w:rsid w:val="4FEA6A82"/>
    <w:rsid w:val="502B1AD6"/>
    <w:rsid w:val="503112E9"/>
    <w:rsid w:val="50596932"/>
    <w:rsid w:val="50833C49"/>
    <w:rsid w:val="50880633"/>
    <w:rsid w:val="508F5958"/>
    <w:rsid w:val="509F4C2A"/>
    <w:rsid w:val="50A32944"/>
    <w:rsid w:val="50A32F39"/>
    <w:rsid w:val="50DD469C"/>
    <w:rsid w:val="50E26118"/>
    <w:rsid w:val="50E41AF7"/>
    <w:rsid w:val="50EC3EA9"/>
    <w:rsid w:val="50ED0E10"/>
    <w:rsid w:val="51053BF3"/>
    <w:rsid w:val="513B0119"/>
    <w:rsid w:val="513C7D41"/>
    <w:rsid w:val="515A0C65"/>
    <w:rsid w:val="515E27BB"/>
    <w:rsid w:val="51766187"/>
    <w:rsid w:val="518B5EA5"/>
    <w:rsid w:val="51A45F6D"/>
    <w:rsid w:val="51B907B6"/>
    <w:rsid w:val="51BD1D70"/>
    <w:rsid w:val="51DF0CDF"/>
    <w:rsid w:val="51E30B98"/>
    <w:rsid w:val="51E97071"/>
    <w:rsid w:val="51FD61FC"/>
    <w:rsid w:val="52203D61"/>
    <w:rsid w:val="522128EA"/>
    <w:rsid w:val="52386D39"/>
    <w:rsid w:val="523C3645"/>
    <w:rsid w:val="5242431B"/>
    <w:rsid w:val="5245699D"/>
    <w:rsid w:val="524877D4"/>
    <w:rsid w:val="524F0DF4"/>
    <w:rsid w:val="525A4087"/>
    <w:rsid w:val="52A00B52"/>
    <w:rsid w:val="52A651A9"/>
    <w:rsid w:val="52C04276"/>
    <w:rsid w:val="52CB4CC5"/>
    <w:rsid w:val="52D0584F"/>
    <w:rsid w:val="52E23DAC"/>
    <w:rsid w:val="52EB770C"/>
    <w:rsid w:val="52F6441F"/>
    <w:rsid w:val="5309719A"/>
    <w:rsid w:val="53140C09"/>
    <w:rsid w:val="531E1115"/>
    <w:rsid w:val="53311A2E"/>
    <w:rsid w:val="535D78A6"/>
    <w:rsid w:val="5366484D"/>
    <w:rsid w:val="53731EF1"/>
    <w:rsid w:val="53733493"/>
    <w:rsid w:val="53912B90"/>
    <w:rsid w:val="53AC07DC"/>
    <w:rsid w:val="53C41B44"/>
    <w:rsid w:val="53E75832"/>
    <w:rsid w:val="53F969C4"/>
    <w:rsid w:val="5404740A"/>
    <w:rsid w:val="54050B1A"/>
    <w:rsid w:val="542362A5"/>
    <w:rsid w:val="54280325"/>
    <w:rsid w:val="546D41B1"/>
    <w:rsid w:val="547701CD"/>
    <w:rsid w:val="548E2707"/>
    <w:rsid w:val="549501D8"/>
    <w:rsid w:val="54A65B3A"/>
    <w:rsid w:val="54CD01EC"/>
    <w:rsid w:val="54F558F9"/>
    <w:rsid w:val="54FA6EB3"/>
    <w:rsid w:val="550348EE"/>
    <w:rsid w:val="550E3200"/>
    <w:rsid w:val="55135050"/>
    <w:rsid w:val="551E35E3"/>
    <w:rsid w:val="5520072C"/>
    <w:rsid w:val="55373ACE"/>
    <w:rsid w:val="555319A9"/>
    <w:rsid w:val="556A2277"/>
    <w:rsid w:val="556F068E"/>
    <w:rsid w:val="558D4430"/>
    <w:rsid w:val="559427CA"/>
    <w:rsid w:val="559566A0"/>
    <w:rsid w:val="55C8191C"/>
    <w:rsid w:val="55C8432B"/>
    <w:rsid w:val="55D33DE7"/>
    <w:rsid w:val="56223544"/>
    <w:rsid w:val="562B0309"/>
    <w:rsid w:val="56320F1A"/>
    <w:rsid w:val="564B2BDF"/>
    <w:rsid w:val="564D41A9"/>
    <w:rsid w:val="565E4274"/>
    <w:rsid w:val="5666031A"/>
    <w:rsid w:val="566A27F8"/>
    <w:rsid w:val="56803FF0"/>
    <w:rsid w:val="568F750C"/>
    <w:rsid w:val="569014CB"/>
    <w:rsid w:val="56925ED7"/>
    <w:rsid w:val="56B55995"/>
    <w:rsid w:val="56BC7408"/>
    <w:rsid w:val="56C91168"/>
    <w:rsid w:val="56D119CA"/>
    <w:rsid w:val="56DA64BF"/>
    <w:rsid w:val="56E15BAE"/>
    <w:rsid w:val="56FA0DF2"/>
    <w:rsid w:val="56FF0F11"/>
    <w:rsid w:val="5714339A"/>
    <w:rsid w:val="5717042A"/>
    <w:rsid w:val="571A1A7B"/>
    <w:rsid w:val="572E4DA3"/>
    <w:rsid w:val="572E781C"/>
    <w:rsid w:val="575952E3"/>
    <w:rsid w:val="575C3A47"/>
    <w:rsid w:val="575F7462"/>
    <w:rsid w:val="5771432A"/>
    <w:rsid w:val="57842375"/>
    <w:rsid w:val="57866CAC"/>
    <w:rsid w:val="579B36BD"/>
    <w:rsid w:val="57B2220D"/>
    <w:rsid w:val="57C01362"/>
    <w:rsid w:val="57C76DE6"/>
    <w:rsid w:val="57D165DD"/>
    <w:rsid w:val="57D80574"/>
    <w:rsid w:val="580A0E63"/>
    <w:rsid w:val="580E3A4B"/>
    <w:rsid w:val="5814779C"/>
    <w:rsid w:val="58246D1A"/>
    <w:rsid w:val="584357AA"/>
    <w:rsid w:val="58764BA4"/>
    <w:rsid w:val="588221AB"/>
    <w:rsid w:val="58870496"/>
    <w:rsid w:val="588A1876"/>
    <w:rsid w:val="588D71B2"/>
    <w:rsid w:val="589F66DB"/>
    <w:rsid w:val="58AC68EF"/>
    <w:rsid w:val="58B959EF"/>
    <w:rsid w:val="58BE53CF"/>
    <w:rsid w:val="58C007C6"/>
    <w:rsid w:val="58C41915"/>
    <w:rsid w:val="58E407EA"/>
    <w:rsid w:val="58FC4F44"/>
    <w:rsid w:val="590649AC"/>
    <w:rsid w:val="59102C82"/>
    <w:rsid w:val="591B616B"/>
    <w:rsid w:val="591E7F23"/>
    <w:rsid w:val="59260BAB"/>
    <w:rsid w:val="592D1F6B"/>
    <w:rsid w:val="59304CE8"/>
    <w:rsid w:val="59370159"/>
    <w:rsid w:val="59532C2C"/>
    <w:rsid w:val="5981656F"/>
    <w:rsid w:val="598A5DD5"/>
    <w:rsid w:val="59A06B52"/>
    <w:rsid w:val="59A26243"/>
    <w:rsid w:val="59C76055"/>
    <w:rsid w:val="59E75FD1"/>
    <w:rsid w:val="5A065F4B"/>
    <w:rsid w:val="5A0B1C28"/>
    <w:rsid w:val="5A2255E6"/>
    <w:rsid w:val="5A317807"/>
    <w:rsid w:val="5A851E01"/>
    <w:rsid w:val="5A8F2EB6"/>
    <w:rsid w:val="5AA15ABA"/>
    <w:rsid w:val="5AB06C76"/>
    <w:rsid w:val="5AF63E2E"/>
    <w:rsid w:val="5B070568"/>
    <w:rsid w:val="5B1128EC"/>
    <w:rsid w:val="5B29025F"/>
    <w:rsid w:val="5B3143F9"/>
    <w:rsid w:val="5B503CBD"/>
    <w:rsid w:val="5BA069F2"/>
    <w:rsid w:val="5BF21181"/>
    <w:rsid w:val="5BFA46DF"/>
    <w:rsid w:val="5BFD0432"/>
    <w:rsid w:val="5C1974E5"/>
    <w:rsid w:val="5C1C7E80"/>
    <w:rsid w:val="5C462A68"/>
    <w:rsid w:val="5C4828EE"/>
    <w:rsid w:val="5C856CEB"/>
    <w:rsid w:val="5CA72002"/>
    <w:rsid w:val="5CBD3C20"/>
    <w:rsid w:val="5CBF734C"/>
    <w:rsid w:val="5CE075FF"/>
    <w:rsid w:val="5CE9518C"/>
    <w:rsid w:val="5D2166D8"/>
    <w:rsid w:val="5D272680"/>
    <w:rsid w:val="5D45468E"/>
    <w:rsid w:val="5D6B04DF"/>
    <w:rsid w:val="5D707B84"/>
    <w:rsid w:val="5D8F09AD"/>
    <w:rsid w:val="5D9B1497"/>
    <w:rsid w:val="5DA43D6D"/>
    <w:rsid w:val="5DDC51F6"/>
    <w:rsid w:val="5DE3422A"/>
    <w:rsid w:val="5E05130E"/>
    <w:rsid w:val="5E135B29"/>
    <w:rsid w:val="5E3D0EC4"/>
    <w:rsid w:val="5E466F37"/>
    <w:rsid w:val="5E4E0751"/>
    <w:rsid w:val="5E6A0CC2"/>
    <w:rsid w:val="5E845B3F"/>
    <w:rsid w:val="5E8D1899"/>
    <w:rsid w:val="5E9B47BF"/>
    <w:rsid w:val="5ED063E1"/>
    <w:rsid w:val="5EF4213A"/>
    <w:rsid w:val="5EF778DD"/>
    <w:rsid w:val="5F012051"/>
    <w:rsid w:val="5F150F5D"/>
    <w:rsid w:val="5F151A68"/>
    <w:rsid w:val="5F1E594E"/>
    <w:rsid w:val="5F2306D2"/>
    <w:rsid w:val="5F364291"/>
    <w:rsid w:val="5F720D05"/>
    <w:rsid w:val="5FB038A7"/>
    <w:rsid w:val="5FBB2542"/>
    <w:rsid w:val="5FFB489D"/>
    <w:rsid w:val="600D3A6B"/>
    <w:rsid w:val="6014637F"/>
    <w:rsid w:val="60304923"/>
    <w:rsid w:val="60340051"/>
    <w:rsid w:val="60350C06"/>
    <w:rsid w:val="603B74D8"/>
    <w:rsid w:val="60687CAA"/>
    <w:rsid w:val="6074197E"/>
    <w:rsid w:val="608508AD"/>
    <w:rsid w:val="60A7279D"/>
    <w:rsid w:val="60B817C2"/>
    <w:rsid w:val="60C625CB"/>
    <w:rsid w:val="60C71D15"/>
    <w:rsid w:val="61036CD9"/>
    <w:rsid w:val="61097F16"/>
    <w:rsid w:val="612451AE"/>
    <w:rsid w:val="613E3C59"/>
    <w:rsid w:val="61481242"/>
    <w:rsid w:val="61717233"/>
    <w:rsid w:val="61734481"/>
    <w:rsid w:val="61842912"/>
    <w:rsid w:val="619513BF"/>
    <w:rsid w:val="61A55E2E"/>
    <w:rsid w:val="61B90EE2"/>
    <w:rsid w:val="61C34C9F"/>
    <w:rsid w:val="61CF1FDD"/>
    <w:rsid w:val="61FA205F"/>
    <w:rsid w:val="620D15FF"/>
    <w:rsid w:val="62440C7F"/>
    <w:rsid w:val="624F2F20"/>
    <w:rsid w:val="626C2C39"/>
    <w:rsid w:val="627A61C5"/>
    <w:rsid w:val="62841CE0"/>
    <w:rsid w:val="62B524F7"/>
    <w:rsid w:val="62E513AE"/>
    <w:rsid w:val="62EF4D57"/>
    <w:rsid w:val="62F1602A"/>
    <w:rsid w:val="630860C9"/>
    <w:rsid w:val="63203A10"/>
    <w:rsid w:val="6321699F"/>
    <w:rsid w:val="63360CF0"/>
    <w:rsid w:val="63554E4D"/>
    <w:rsid w:val="63652DBD"/>
    <w:rsid w:val="63687E84"/>
    <w:rsid w:val="637257E9"/>
    <w:rsid w:val="638C5AAE"/>
    <w:rsid w:val="63951967"/>
    <w:rsid w:val="63B50F8C"/>
    <w:rsid w:val="63D22FCA"/>
    <w:rsid w:val="63E27F79"/>
    <w:rsid w:val="63F4777B"/>
    <w:rsid w:val="640E61DB"/>
    <w:rsid w:val="641206A9"/>
    <w:rsid w:val="643D1673"/>
    <w:rsid w:val="64545838"/>
    <w:rsid w:val="64575064"/>
    <w:rsid w:val="645F02B5"/>
    <w:rsid w:val="64681B01"/>
    <w:rsid w:val="64867FEE"/>
    <w:rsid w:val="649007B3"/>
    <w:rsid w:val="64906A84"/>
    <w:rsid w:val="64A01F00"/>
    <w:rsid w:val="64AE06FA"/>
    <w:rsid w:val="64B16607"/>
    <w:rsid w:val="64D401A5"/>
    <w:rsid w:val="65024685"/>
    <w:rsid w:val="65082033"/>
    <w:rsid w:val="652A7FEB"/>
    <w:rsid w:val="652B00E3"/>
    <w:rsid w:val="65535A5A"/>
    <w:rsid w:val="656424CF"/>
    <w:rsid w:val="659361E9"/>
    <w:rsid w:val="659D0DEE"/>
    <w:rsid w:val="65A6262A"/>
    <w:rsid w:val="65D219C2"/>
    <w:rsid w:val="65D21E1C"/>
    <w:rsid w:val="65DA54B3"/>
    <w:rsid w:val="65F549BD"/>
    <w:rsid w:val="65FB4D18"/>
    <w:rsid w:val="660A7073"/>
    <w:rsid w:val="660E3C9E"/>
    <w:rsid w:val="66164CE6"/>
    <w:rsid w:val="66425F55"/>
    <w:rsid w:val="664E5D65"/>
    <w:rsid w:val="665C5C0C"/>
    <w:rsid w:val="66BF254A"/>
    <w:rsid w:val="66E10ADE"/>
    <w:rsid w:val="66EE49DE"/>
    <w:rsid w:val="676F09D5"/>
    <w:rsid w:val="67790849"/>
    <w:rsid w:val="67AA7DCF"/>
    <w:rsid w:val="67B34464"/>
    <w:rsid w:val="67BD22B9"/>
    <w:rsid w:val="67F17500"/>
    <w:rsid w:val="67FE1162"/>
    <w:rsid w:val="681B0E12"/>
    <w:rsid w:val="688F28E2"/>
    <w:rsid w:val="68A11DD7"/>
    <w:rsid w:val="68A51FB8"/>
    <w:rsid w:val="68B731E7"/>
    <w:rsid w:val="68DB53E7"/>
    <w:rsid w:val="68E40F86"/>
    <w:rsid w:val="68EA3016"/>
    <w:rsid w:val="68EB7ABC"/>
    <w:rsid w:val="69062705"/>
    <w:rsid w:val="691B0B6B"/>
    <w:rsid w:val="692E16A7"/>
    <w:rsid w:val="693C3BC4"/>
    <w:rsid w:val="69782CD3"/>
    <w:rsid w:val="697F5EFC"/>
    <w:rsid w:val="698A7439"/>
    <w:rsid w:val="69936875"/>
    <w:rsid w:val="69964E32"/>
    <w:rsid w:val="69AE114D"/>
    <w:rsid w:val="69C73736"/>
    <w:rsid w:val="69DC7E67"/>
    <w:rsid w:val="69E80350"/>
    <w:rsid w:val="69EF047B"/>
    <w:rsid w:val="69FB1963"/>
    <w:rsid w:val="6A087387"/>
    <w:rsid w:val="6A1D56B2"/>
    <w:rsid w:val="6A2B6FC3"/>
    <w:rsid w:val="6A2E3D63"/>
    <w:rsid w:val="6A3A339B"/>
    <w:rsid w:val="6A3A5E65"/>
    <w:rsid w:val="6A6F1C4C"/>
    <w:rsid w:val="6A7202DC"/>
    <w:rsid w:val="6AA45DD3"/>
    <w:rsid w:val="6AA74E35"/>
    <w:rsid w:val="6AC6225B"/>
    <w:rsid w:val="6B505BBB"/>
    <w:rsid w:val="6B560E7C"/>
    <w:rsid w:val="6B6333A7"/>
    <w:rsid w:val="6BCA5C39"/>
    <w:rsid w:val="6BE02E3B"/>
    <w:rsid w:val="6BE27CF9"/>
    <w:rsid w:val="6C2B32C6"/>
    <w:rsid w:val="6C2D1409"/>
    <w:rsid w:val="6C2D7D63"/>
    <w:rsid w:val="6C3206C8"/>
    <w:rsid w:val="6C357AB5"/>
    <w:rsid w:val="6C3628E8"/>
    <w:rsid w:val="6C3934B6"/>
    <w:rsid w:val="6C615C61"/>
    <w:rsid w:val="6C6367AC"/>
    <w:rsid w:val="6C80536B"/>
    <w:rsid w:val="6C862345"/>
    <w:rsid w:val="6C8B724B"/>
    <w:rsid w:val="6C9048E4"/>
    <w:rsid w:val="6C9E2A18"/>
    <w:rsid w:val="6CA35456"/>
    <w:rsid w:val="6CB017D7"/>
    <w:rsid w:val="6CB32B41"/>
    <w:rsid w:val="6CBC68B9"/>
    <w:rsid w:val="6CD66EDA"/>
    <w:rsid w:val="6D0F3EEF"/>
    <w:rsid w:val="6D146CD3"/>
    <w:rsid w:val="6D1566D6"/>
    <w:rsid w:val="6D1C589C"/>
    <w:rsid w:val="6D3F4DC5"/>
    <w:rsid w:val="6D5502AA"/>
    <w:rsid w:val="6DA31776"/>
    <w:rsid w:val="6DA45FD5"/>
    <w:rsid w:val="6DA65016"/>
    <w:rsid w:val="6DB921CC"/>
    <w:rsid w:val="6DCB15BA"/>
    <w:rsid w:val="6DEF5697"/>
    <w:rsid w:val="6E290AC9"/>
    <w:rsid w:val="6E2E4332"/>
    <w:rsid w:val="6E366026"/>
    <w:rsid w:val="6E3C157B"/>
    <w:rsid w:val="6E4628B1"/>
    <w:rsid w:val="6E5F7F64"/>
    <w:rsid w:val="6E6903A5"/>
    <w:rsid w:val="6E9905B2"/>
    <w:rsid w:val="6EB87125"/>
    <w:rsid w:val="6EBB6069"/>
    <w:rsid w:val="6EBB7EF6"/>
    <w:rsid w:val="6EC11D71"/>
    <w:rsid w:val="6EC407F2"/>
    <w:rsid w:val="6EC647CC"/>
    <w:rsid w:val="6EE852BA"/>
    <w:rsid w:val="6EEB4982"/>
    <w:rsid w:val="6F1222C5"/>
    <w:rsid w:val="6F161214"/>
    <w:rsid w:val="6F317DD0"/>
    <w:rsid w:val="6F322D6E"/>
    <w:rsid w:val="6F3A0D2D"/>
    <w:rsid w:val="6F3E040D"/>
    <w:rsid w:val="6F710F7D"/>
    <w:rsid w:val="6F757BA3"/>
    <w:rsid w:val="6F794E16"/>
    <w:rsid w:val="6F8E0F7C"/>
    <w:rsid w:val="6FA813AA"/>
    <w:rsid w:val="6FAF019B"/>
    <w:rsid w:val="6FB202FC"/>
    <w:rsid w:val="6FBA5851"/>
    <w:rsid w:val="6FD431BC"/>
    <w:rsid w:val="6FD64D8A"/>
    <w:rsid w:val="70934920"/>
    <w:rsid w:val="709649ED"/>
    <w:rsid w:val="70A84AD3"/>
    <w:rsid w:val="70AE3508"/>
    <w:rsid w:val="70B351A6"/>
    <w:rsid w:val="70BF773C"/>
    <w:rsid w:val="70C41831"/>
    <w:rsid w:val="70CF7DE8"/>
    <w:rsid w:val="70E94F37"/>
    <w:rsid w:val="7117334E"/>
    <w:rsid w:val="711F7F62"/>
    <w:rsid w:val="712719C8"/>
    <w:rsid w:val="71336359"/>
    <w:rsid w:val="71492755"/>
    <w:rsid w:val="714B63FF"/>
    <w:rsid w:val="716F4DBF"/>
    <w:rsid w:val="717A4EBB"/>
    <w:rsid w:val="71A121E2"/>
    <w:rsid w:val="71AA47BF"/>
    <w:rsid w:val="71CD5454"/>
    <w:rsid w:val="71D5629F"/>
    <w:rsid w:val="71D7672A"/>
    <w:rsid w:val="71EB57C6"/>
    <w:rsid w:val="71F46524"/>
    <w:rsid w:val="71FB06B4"/>
    <w:rsid w:val="720D5D43"/>
    <w:rsid w:val="72112D0B"/>
    <w:rsid w:val="72144DE3"/>
    <w:rsid w:val="72196118"/>
    <w:rsid w:val="723C3D7F"/>
    <w:rsid w:val="72736E18"/>
    <w:rsid w:val="728D1118"/>
    <w:rsid w:val="72B03A9F"/>
    <w:rsid w:val="72B25F6B"/>
    <w:rsid w:val="72B81190"/>
    <w:rsid w:val="72EF7206"/>
    <w:rsid w:val="7303055F"/>
    <w:rsid w:val="73032A0D"/>
    <w:rsid w:val="731F3B82"/>
    <w:rsid w:val="733D0DD5"/>
    <w:rsid w:val="734D21A1"/>
    <w:rsid w:val="73836ECE"/>
    <w:rsid w:val="73C67500"/>
    <w:rsid w:val="73C864B5"/>
    <w:rsid w:val="73DE7E71"/>
    <w:rsid w:val="74087657"/>
    <w:rsid w:val="744D411F"/>
    <w:rsid w:val="745C2CF4"/>
    <w:rsid w:val="74641182"/>
    <w:rsid w:val="74744A68"/>
    <w:rsid w:val="747F368A"/>
    <w:rsid w:val="749D4770"/>
    <w:rsid w:val="74A622B2"/>
    <w:rsid w:val="74B50C75"/>
    <w:rsid w:val="74D43FCD"/>
    <w:rsid w:val="74D736BD"/>
    <w:rsid w:val="74E403D4"/>
    <w:rsid w:val="74E60017"/>
    <w:rsid w:val="74EA6DE6"/>
    <w:rsid w:val="74FC6F38"/>
    <w:rsid w:val="74FE3413"/>
    <w:rsid w:val="751029AE"/>
    <w:rsid w:val="751111C4"/>
    <w:rsid w:val="753649D0"/>
    <w:rsid w:val="756A1040"/>
    <w:rsid w:val="75921044"/>
    <w:rsid w:val="75970512"/>
    <w:rsid w:val="759944E1"/>
    <w:rsid w:val="759B5199"/>
    <w:rsid w:val="76053BCA"/>
    <w:rsid w:val="761A6BC1"/>
    <w:rsid w:val="763E74B8"/>
    <w:rsid w:val="765C476B"/>
    <w:rsid w:val="765D6FD0"/>
    <w:rsid w:val="76764904"/>
    <w:rsid w:val="76952171"/>
    <w:rsid w:val="76B52341"/>
    <w:rsid w:val="76BA690C"/>
    <w:rsid w:val="76EF17B7"/>
    <w:rsid w:val="76F275B7"/>
    <w:rsid w:val="77057570"/>
    <w:rsid w:val="773118FC"/>
    <w:rsid w:val="77313A2D"/>
    <w:rsid w:val="774A6DC8"/>
    <w:rsid w:val="77503EB2"/>
    <w:rsid w:val="77752D13"/>
    <w:rsid w:val="77880F5B"/>
    <w:rsid w:val="778B59E1"/>
    <w:rsid w:val="77953B9B"/>
    <w:rsid w:val="77CD4DD9"/>
    <w:rsid w:val="77EB51F5"/>
    <w:rsid w:val="77F2017E"/>
    <w:rsid w:val="77FA423A"/>
    <w:rsid w:val="78005019"/>
    <w:rsid w:val="78092CC0"/>
    <w:rsid w:val="780C2435"/>
    <w:rsid w:val="7825164E"/>
    <w:rsid w:val="782A0B51"/>
    <w:rsid w:val="78353363"/>
    <w:rsid w:val="783A31FE"/>
    <w:rsid w:val="78486CF0"/>
    <w:rsid w:val="78534919"/>
    <w:rsid w:val="785663DA"/>
    <w:rsid w:val="78584462"/>
    <w:rsid w:val="786001F6"/>
    <w:rsid w:val="78770683"/>
    <w:rsid w:val="7895462E"/>
    <w:rsid w:val="78D631FC"/>
    <w:rsid w:val="78FC2FBF"/>
    <w:rsid w:val="78FD5501"/>
    <w:rsid w:val="791467F0"/>
    <w:rsid w:val="79192B4F"/>
    <w:rsid w:val="79430114"/>
    <w:rsid w:val="79430A37"/>
    <w:rsid w:val="795E7C16"/>
    <w:rsid w:val="795F01E3"/>
    <w:rsid w:val="79A81D28"/>
    <w:rsid w:val="79AD6C40"/>
    <w:rsid w:val="79B10333"/>
    <w:rsid w:val="79C95ADF"/>
    <w:rsid w:val="79EF0BCC"/>
    <w:rsid w:val="79FF02D1"/>
    <w:rsid w:val="7A0612C2"/>
    <w:rsid w:val="7A1833CE"/>
    <w:rsid w:val="7A1F3257"/>
    <w:rsid w:val="7A3C1967"/>
    <w:rsid w:val="7A60132A"/>
    <w:rsid w:val="7A6E2CF1"/>
    <w:rsid w:val="7A817696"/>
    <w:rsid w:val="7A8316B7"/>
    <w:rsid w:val="7AA05017"/>
    <w:rsid w:val="7AA86BBE"/>
    <w:rsid w:val="7AC51B7A"/>
    <w:rsid w:val="7AC94AC1"/>
    <w:rsid w:val="7AC977F9"/>
    <w:rsid w:val="7ACA7597"/>
    <w:rsid w:val="7AE11572"/>
    <w:rsid w:val="7AE31524"/>
    <w:rsid w:val="7AE70BEB"/>
    <w:rsid w:val="7B057C25"/>
    <w:rsid w:val="7B233BE8"/>
    <w:rsid w:val="7B4C6C66"/>
    <w:rsid w:val="7B5C332E"/>
    <w:rsid w:val="7B5D6F2D"/>
    <w:rsid w:val="7B904C22"/>
    <w:rsid w:val="7B9E18EF"/>
    <w:rsid w:val="7BB9672E"/>
    <w:rsid w:val="7BE45955"/>
    <w:rsid w:val="7C0968F5"/>
    <w:rsid w:val="7C1235AA"/>
    <w:rsid w:val="7C160893"/>
    <w:rsid w:val="7C4751E6"/>
    <w:rsid w:val="7C552D07"/>
    <w:rsid w:val="7C5622FF"/>
    <w:rsid w:val="7C571497"/>
    <w:rsid w:val="7C585051"/>
    <w:rsid w:val="7C920181"/>
    <w:rsid w:val="7CB95588"/>
    <w:rsid w:val="7CBA4636"/>
    <w:rsid w:val="7CBA56FF"/>
    <w:rsid w:val="7CE64D15"/>
    <w:rsid w:val="7CF732D1"/>
    <w:rsid w:val="7D131D7B"/>
    <w:rsid w:val="7D1E10B2"/>
    <w:rsid w:val="7D3D5EFF"/>
    <w:rsid w:val="7D435739"/>
    <w:rsid w:val="7D4B1C96"/>
    <w:rsid w:val="7D586CD5"/>
    <w:rsid w:val="7D93221A"/>
    <w:rsid w:val="7DA977AA"/>
    <w:rsid w:val="7DAC0454"/>
    <w:rsid w:val="7DED2A89"/>
    <w:rsid w:val="7DFA3D48"/>
    <w:rsid w:val="7E433C05"/>
    <w:rsid w:val="7E4D4360"/>
    <w:rsid w:val="7E63789F"/>
    <w:rsid w:val="7E980733"/>
    <w:rsid w:val="7E9B4DC3"/>
    <w:rsid w:val="7EC57197"/>
    <w:rsid w:val="7EFB4248"/>
    <w:rsid w:val="7EFD7DC7"/>
    <w:rsid w:val="7F274E2A"/>
    <w:rsid w:val="7F2C2F55"/>
    <w:rsid w:val="7F45439F"/>
    <w:rsid w:val="7F4A4D43"/>
    <w:rsid w:val="7F545830"/>
    <w:rsid w:val="7F590F20"/>
    <w:rsid w:val="7F5C44C1"/>
    <w:rsid w:val="7F5D047E"/>
    <w:rsid w:val="7F8F3F40"/>
    <w:rsid w:val="7FA62478"/>
    <w:rsid w:val="7FB2257F"/>
    <w:rsid w:val="7FC82A1A"/>
    <w:rsid w:val="7FE92E70"/>
    <w:rsid w:val="7FF25596"/>
    <w:rsid w:val="7FF400FF"/>
    <w:rsid w:val="7FF676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nhideWhenUsed="0" w:uiPriority="0" w:semiHidden="0" w:name="heading 5"/>
    <w:lsdException w:qFormat="1" w:uiPriority="0" w:name="heading 6"/>
    <w:lsdException w:qFormat="1" w:uiPriority="0" w:semiHidden="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autoRedefine/>
    <w:qFormat/>
    <w:uiPriority w:val="0"/>
    <w:pPr>
      <w:keepNext/>
      <w:keepLines/>
      <w:spacing w:before="340" w:after="330" w:line="360" w:lineRule="auto"/>
      <w:outlineLvl w:val="0"/>
    </w:pPr>
    <w:rPr>
      <w:b/>
      <w:bCs/>
      <w:kern w:val="44"/>
      <w:sz w:val="28"/>
      <w:szCs w:val="44"/>
    </w:rPr>
  </w:style>
  <w:style w:type="paragraph" w:styleId="5">
    <w:name w:val="heading 2"/>
    <w:basedOn w:val="1"/>
    <w:next w:val="1"/>
    <w:autoRedefine/>
    <w:qFormat/>
    <w:uiPriority w:val="0"/>
    <w:pPr>
      <w:keepNext/>
      <w:keepLines/>
      <w:spacing w:line="413" w:lineRule="auto"/>
      <w:outlineLvl w:val="1"/>
    </w:pPr>
    <w:rPr>
      <w:rFonts w:ascii="Arial" w:hAnsi="Arial" w:eastAsia="黑体"/>
      <w:b/>
      <w:bCs/>
      <w:sz w:val="32"/>
      <w:szCs w:val="32"/>
    </w:rPr>
  </w:style>
  <w:style w:type="paragraph" w:styleId="6">
    <w:name w:val="heading 3"/>
    <w:basedOn w:val="1"/>
    <w:next w:val="1"/>
    <w:autoRedefine/>
    <w:qFormat/>
    <w:uiPriority w:val="0"/>
    <w:pPr>
      <w:keepNext/>
      <w:keepLines/>
      <w:spacing w:before="260" w:after="260" w:line="24" w:lineRule="auto"/>
      <w:outlineLvl w:val="2"/>
    </w:pPr>
    <w:rPr>
      <w:rFonts w:ascii="宋体" w:hAnsi="宋体"/>
      <w:b/>
      <w:bCs/>
      <w:kern w:val="0"/>
      <w:sz w:val="24"/>
      <w:szCs w:val="32"/>
    </w:rPr>
  </w:style>
  <w:style w:type="paragraph" w:styleId="7">
    <w:name w:val="heading 4"/>
    <w:basedOn w:val="1"/>
    <w:next w:val="1"/>
    <w:autoRedefine/>
    <w:unhideWhenUsed/>
    <w:qFormat/>
    <w:uiPriority w:val="0"/>
    <w:pPr>
      <w:spacing w:before="35"/>
      <w:ind w:left="142"/>
      <w:jc w:val="center"/>
      <w:outlineLvl w:val="3"/>
    </w:pPr>
    <w:rPr>
      <w:rFonts w:ascii="宋体" w:hAnsi="宋体" w:cs="宋体"/>
      <w:b/>
      <w:bCs/>
      <w:sz w:val="32"/>
      <w:szCs w:val="32"/>
      <w:lang w:val="zh-CN" w:bidi="zh-CN"/>
    </w:rPr>
  </w:style>
  <w:style w:type="paragraph" w:styleId="8">
    <w:name w:val="heading 5"/>
    <w:basedOn w:val="1"/>
    <w:next w:val="1"/>
    <w:autoRedefine/>
    <w:qFormat/>
    <w:uiPriority w:val="0"/>
    <w:pPr>
      <w:keepNext/>
      <w:keepLines/>
      <w:spacing w:line="372" w:lineRule="auto"/>
      <w:outlineLvl w:val="4"/>
    </w:pPr>
    <w:rPr>
      <w:b/>
      <w:bCs/>
      <w:sz w:val="28"/>
      <w:szCs w:val="28"/>
    </w:rPr>
  </w:style>
  <w:style w:type="paragraph" w:styleId="9">
    <w:name w:val="heading 7"/>
    <w:basedOn w:val="1"/>
    <w:next w:val="1"/>
    <w:autoRedefine/>
    <w:unhideWhenUsed/>
    <w:qFormat/>
    <w:uiPriority w:val="0"/>
    <w:pPr>
      <w:ind w:left="448"/>
      <w:outlineLvl w:val="6"/>
    </w:pPr>
    <w:rPr>
      <w:rFonts w:ascii="宋体" w:hAnsi="宋体" w:cs="宋体"/>
      <w:sz w:val="24"/>
      <w:lang w:val="zh-CN" w:bidi="zh-CN"/>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pPr>
      <w:autoSpaceDE w:val="0"/>
      <w:autoSpaceDN w:val="0"/>
      <w:adjustRightInd w:val="0"/>
      <w:spacing w:after="120"/>
      <w:jc w:val="left"/>
    </w:pPr>
    <w:rPr>
      <w:rFonts w:ascii="宋体"/>
      <w:kern w:val="0"/>
      <w:sz w:val="34"/>
      <w:szCs w:val="20"/>
    </w:rPr>
  </w:style>
  <w:style w:type="paragraph" w:customStyle="1" w:styleId="3">
    <w:name w:val="Default"/>
    <w:autoRedefine/>
    <w:qFormat/>
    <w:uiPriority w:val="0"/>
    <w:pPr>
      <w:widowControl w:val="0"/>
      <w:autoSpaceDE w:val="0"/>
      <w:autoSpaceDN w:val="0"/>
      <w:adjustRightInd w:val="0"/>
    </w:pPr>
    <w:rPr>
      <w:rFonts w:ascii="......." w:hAnsi="......." w:eastAsia="......." w:cs="......."/>
      <w:color w:val="000000"/>
      <w:sz w:val="21"/>
      <w:szCs w:val="24"/>
      <w:lang w:val="en-US" w:eastAsia="zh-CN" w:bidi="ar-SA"/>
    </w:rPr>
  </w:style>
  <w:style w:type="paragraph" w:styleId="10">
    <w:name w:val="Normal Indent"/>
    <w:basedOn w:val="1"/>
    <w:autoRedefine/>
    <w:unhideWhenUsed/>
    <w:qFormat/>
    <w:uiPriority w:val="0"/>
    <w:pPr>
      <w:ind w:firstLine="420" w:firstLineChars="200"/>
    </w:pPr>
  </w:style>
  <w:style w:type="paragraph" w:styleId="11">
    <w:name w:val="annotation text"/>
    <w:basedOn w:val="1"/>
    <w:link w:val="51"/>
    <w:autoRedefine/>
    <w:qFormat/>
    <w:uiPriority w:val="0"/>
    <w:pPr>
      <w:jc w:val="left"/>
    </w:pPr>
  </w:style>
  <w:style w:type="paragraph" w:styleId="12">
    <w:name w:val="Body Text Indent"/>
    <w:basedOn w:val="1"/>
    <w:autoRedefine/>
    <w:qFormat/>
    <w:uiPriority w:val="0"/>
    <w:pPr>
      <w:ind w:firstLine="830" w:firstLineChars="352"/>
    </w:pPr>
    <w:rPr>
      <w:rFonts w:ascii="仿宋_GB2312" w:eastAsia="仿宋_GB2312"/>
      <w:sz w:val="32"/>
      <w:szCs w:val="20"/>
    </w:rPr>
  </w:style>
  <w:style w:type="paragraph" w:styleId="13">
    <w:name w:val="List 2"/>
    <w:basedOn w:val="1"/>
    <w:autoRedefine/>
    <w:unhideWhenUsed/>
    <w:qFormat/>
    <w:uiPriority w:val="99"/>
    <w:pPr>
      <w:ind w:left="100" w:leftChars="200" w:hanging="200" w:hangingChars="200"/>
      <w:contextualSpacing/>
    </w:pPr>
  </w:style>
  <w:style w:type="paragraph" w:styleId="14">
    <w:name w:val="Plain Text"/>
    <w:basedOn w:val="1"/>
    <w:autoRedefine/>
    <w:qFormat/>
    <w:uiPriority w:val="0"/>
    <w:rPr>
      <w:rFonts w:ascii="宋体" w:hAnsi="Courier New" w:cs="Courier New"/>
      <w:szCs w:val="21"/>
    </w:rPr>
  </w:style>
  <w:style w:type="paragraph" w:styleId="15">
    <w:name w:val="Date"/>
    <w:basedOn w:val="1"/>
    <w:next w:val="1"/>
    <w:autoRedefine/>
    <w:qFormat/>
    <w:uiPriority w:val="0"/>
    <w:pPr>
      <w:ind w:left="100" w:leftChars="2500"/>
    </w:pPr>
    <w:rPr>
      <w:rFonts w:ascii="宋体" w:hAnsi="Courier New"/>
      <w:bCs/>
      <w:sz w:val="24"/>
    </w:rPr>
  </w:style>
  <w:style w:type="paragraph" w:styleId="16">
    <w:name w:val="Body Text Indent 2"/>
    <w:basedOn w:val="1"/>
    <w:autoRedefine/>
    <w:qFormat/>
    <w:uiPriority w:val="0"/>
    <w:pPr>
      <w:spacing w:after="120" w:line="480" w:lineRule="auto"/>
      <w:ind w:left="200" w:leftChars="200"/>
    </w:pPr>
  </w:style>
  <w:style w:type="paragraph" w:styleId="17">
    <w:name w:val="Balloon Text"/>
    <w:basedOn w:val="1"/>
    <w:link w:val="53"/>
    <w:autoRedefine/>
    <w:qFormat/>
    <w:uiPriority w:val="0"/>
    <w:rPr>
      <w:sz w:val="18"/>
      <w:szCs w:val="18"/>
    </w:rPr>
  </w:style>
  <w:style w:type="paragraph" w:styleId="18">
    <w:name w:val="footer"/>
    <w:basedOn w:val="1"/>
    <w:autoRedefine/>
    <w:qFormat/>
    <w:uiPriority w:val="0"/>
    <w:pPr>
      <w:tabs>
        <w:tab w:val="center" w:pos="4153"/>
        <w:tab w:val="right" w:pos="8306"/>
      </w:tabs>
      <w:snapToGrid w:val="0"/>
      <w:jc w:val="left"/>
    </w:pPr>
    <w:rPr>
      <w:sz w:val="18"/>
      <w:szCs w:val="18"/>
    </w:rPr>
  </w:style>
  <w:style w:type="paragraph" w:styleId="19">
    <w:name w:val="envelope return"/>
    <w:basedOn w:val="1"/>
    <w:autoRedefine/>
    <w:unhideWhenUsed/>
    <w:qFormat/>
    <w:uiPriority w:val="0"/>
    <w:pPr>
      <w:snapToGrid w:val="0"/>
    </w:pPr>
    <w:rPr>
      <w:rFonts w:ascii="Arial" w:hAnsi="Arial"/>
    </w:rPr>
  </w:style>
  <w:style w:type="paragraph" w:styleId="20">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autoRedefine/>
    <w:qFormat/>
    <w:uiPriority w:val="39"/>
  </w:style>
  <w:style w:type="paragraph" w:styleId="22">
    <w:name w:val="Body Text Indent 3"/>
    <w:basedOn w:val="1"/>
    <w:autoRedefine/>
    <w:qFormat/>
    <w:uiPriority w:val="0"/>
    <w:pPr>
      <w:spacing w:after="120"/>
      <w:ind w:left="420" w:leftChars="200"/>
    </w:pPr>
    <w:rPr>
      <w:sz w:val="16"/>
      <w:szCs w:val="16"/>
    </w:rPr>
  </w:style>
  <w:style w:type="paragraph" w:styleId="23">
    <w:name w:val="toc 9"/>
    <w:basedOn w:val="1"/>
    <w:next w:val="1"/>
    <w:autoRedefine/>
    <w:qFormat/>
    <w:uiPriority w:val="0"/>
    <w:pPr>
      <w:tabs>
        <w:tab w:val="right" w:leader="dot" w:pos="9185"/>
      </w:tabs>
      <w:adjustRightInd w:val="0"/>
      <w:spacing w:line="312" w:lineRule="atLeast"/>
      <w:ind w:left="3360"/>
      <w:textAlignment w:val="baseline"/>
    </w:pPr>
    <w:rPr>
      <w:kern w:val="0"/>
      <w:szCs w:val="20"/>
    </w:rPr>
  </w:style>
  <w:style w:type="paragraph" w:styleId="24">
    <w:name w:val="HTML Preformatted"/>
    <w:basedOn w:val="1"/>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kern w:val="0"/>
      <w:sz w:val="20"/>
      <w:szCs w:val="20"/>
    </w:rPr>
  </w:style>
  <w:style w:type="paragraph" w:styleId="25">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6">
    <w:name w:val="index 1"/>
    <w:basedOn w:val="1"/>
    <w:next w:val="1"/>
    <w:autoRedefine/>
    <w:qFormat/>
    <w:uiPriority w:val="0"/>
    <w:rPr>
      <w:lang w:eastAsia="en-US"/>
    </w:rPr>
  </w:style>
  <w:style w:type="paragraph" w:styleId="27">
    <w:name w:val="Title"/>
    <w:basedOn w:val="1"/>
    <w:next w:val="1"/>
    <w:autoRedefine/>
    <w:qFormat/>
    <w:uiPriority w:val="0"/>
    <w:pPr>
      <w:spacing w:before="240" w:after="60"/>
      <w:jc w:val="center"/>
      <w:outlineLvl w:val="0"/>
    </w:pPr>
    <w:rPr>
      <w:rFonts w:ascii="Cambria" w:hAnsi="Cambria"/>
      <w:b/>
      <w:bCs/>
      <w:sz w:val="32"/>
      <w:szCs w:val="32"/>
    </w:rPr>
  </w:style>
  <w:style w:type="paragraph" w:styleId="28">
    <w:name w:val="annotation subject"/>
    <w:basedOn w:val="11"/>
    <w:next w:val="11"/>
    <w:link w:val="52"/>
    <w:autoRedefine/>
    <w:qFormat/>
    <w:uiPriority w:val="0"/>
    <w:rPr>
      <w:b/>
      <w:bCs/>
    </w:rPr>
  </w:style>
  <w:style w:type="paragraph" w:styleId="29">
    <w:name w:val="Body Text First Indent"/>
    <w:basedOn w:val="2"/>
    <w:next w:val="1"/>
    <w:autoRedefine/>
    <w:qFormat/>
    <w:uiPriority w:val="0"/>
    <w:pPr>
      <w:ind w:firstLine="420" w:firstLineChars="100"/>
    </w:pPr>
    <w:rPr>
      <w:rFonts w:ascii="Times New Roman"/>
      <w:sz w:val="21"/>
      <w:szCs w:val="24"/>
    </w:rPr>
  </w:style>
  <w:style w:type="paragraph" w:styleId="30">
    <w:name w:val="Body Text First Indent 2"/>
    <w:basedOn w:val="12"/>
    <w:next w:val="1"/>
    <w:autoRedefine/>
    <w:qFormat/>
    <w:uiPriority w:val="0"/>
    <w:pPr>
      <w:spacing w:line="360" w:lineRule="auto"/>
      <w:ind w:firstLine="420" w:firstLineChars="200"/>
    </w:pPr>
    <w:rPr>
      <w:sz w:val="24"/>
      <w:szCs w:val="24"/>
    </w:rPr>
  </w:style>
  <w:style w:type="table" w:styleId="32">
    <w:name w:val="Table Grid"/>
    <w:basedOn w:val="3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autoRedefine/>
    <w:qFormat/>
    <w:uiPriority w:val="0"/>
    <w:rPr>
      <w:b/>
    </w:rPr>
  </w:style>
  <w:style w:type="character" w:styleId="35">
    <w:name w:val="page number"/>
    <w:basedOn w:val="33"/>
    <w:autoRedefine/>
    <w:qFormat/>
    <w:uiPriority w:val="0"/>
  </w:style>
  <w:style w:type="character" w:styleId="36">
    <w:name w:val="FollowedHyperlink"/>
    <w:basedOn w:val="33"/>
    <w:qFormat/>
    <w:uiPriority w:val="0"/>
    <w:rPr>
      <w:color w:val="800080"/>
      <w:u w:val="none"/>
    </w:rPr>
  </w:style>
  <w:style w:type="character" w:styleId="37">
    <w:name w:val="HTML Definition"/>
    <w:basedOn w:val="33"/>
    <w:qFormat/>
    <w:uiPriority w:val="0"/>
  </w:style>
  <w:style w:type="character" w:styleId="38">
    <w:name w:val="HTML Typewriter"/>
    <w:basedOn w:val="33"/>
    <w:qFormat/>
    <w:uiPriority w:val="0"/>
    <w:rPr>
      <w:rFonts w:ascii="monospace" w:hAnsi="monospace" w:eastAsia="monospace" w:cs="monospace"/>
      <w:sz w:val="20"/>
    </w:rPr>
  </w:style>
  <w:style w:type="character" w:styleId="39">
    <w:name w:val="HTML Acronym"/>
    <w:basedOn w:val="33"/>
    <w:qFormat/>
    <w:uiPriority w:val="0"/>
  </w:style>
  <w:style w:type="character" w:styleId="40">
    <w:name w:val="HTML Variable"/>
    <w:basedOn w:val="33"/>
    <w:qFormat/>
    <w:uiPriority w:val="0"/>
  </w:style>
  <w:style w:type="character" w:styleId="41">
    <w:name w:val="Hyperlink"/>
    <w:basedOn w:val="33"/>
    <w:autoRedefine/>
    <w:unhideWhenUsed/>
    <w:qFormat/>
    <w:uiPriority w:val="99"/>
    <w:rPr>
      <w:color w:val="0000FF"/>
      <w:u w:val="single"/>
    </w:rPr>
  </w:style>
  <w:style w:type="character" w:styleId="42">
    <w:name w:val="HTML Code"/>
    <w:basedOn w:val="33"/>
    <w:qFormat/>
    <w:uiPriority w:val="0"/>
    <w:rPr>
      <w:rFonts w:hint="default" w:ascii="monospace" w:hAnsi="monospace" w:eastAsia="monospace" w:cs="monospace"/>
      <w:sz w:val="20"/>
    </w:rPr>
  </w:style>
  <w:style w:type="character" w:styleId="43">
    <w:name w:val="annotation reference"/>
    <w:autoRedefine/>
    <w:qFormat/>
    <w:uiPriority w:val="0"/>
    <w:rPr>
      <w:sz w:val="21"/>
      <w:szCs w:val="21"/>
    </w:rPr>
  </w:style>
  <w:style w:type="character" w:styleId="44">
    <w:name w:val="HTML Cite"/>
    <w:basedOn w:val="33"/>
    <w:qFormat/>
    <w:uiPriority w:val="0"/>
  </w:style>
  <w:style w:type="character" w:styleId="45">
    <w:name w:val="HTML Keyboard"/>
    <w:basedOn w:val="33"/>
    <w:qFormat/>
    <w:uiPriority w:val="0"/>
    <w:rPr>
      <w:rFonts w:hint="default" w:ascii="monospace" w:hAnsi="monospace" w:eastAsia="monospace" w:cs="monospace"/>
      <w:sz w:val="20"/>
    </w:rPr>
  </w:style>
  <w:style w:type="character" w:styleId="46">
    <w:name w:val="HTML Sample"/>
    <w:basedOn w:val="33"/>
    <w:autoRedefine/>
    <w:qFormat/>
    <w:uiPriority w:val="0"/>
    <w:rPr>
      <w:rFonts w:hint="default" w:ascii="monospace" w:hAnsi="monospace" w:eastAsia="monospace" w:cs="monospace"/>
    </w:rPr>
  </w:style>
  <w:style w:type="paragraph" w:customStyle="1" w:styleId="47">
    <w:name w:val="表格文字"/>
    <w:basedOn w:val="12"/>
    <w:autoRedefine/>
    <w:qFormat/>
    <w:uiPriority w:val="99"/>
    <w:pPr>
      <w:spacing w:before="25" w:after="25"/>
      <w:jc w:val="left"/>
    </w:pPr>
    <w:rPr>
      <w:bCs/>
      <w:spacing w:val="10"/>
      <w:kern w:val="0"/>
      <w:sz w:val="24"/>
    </w:rPr>
  </w:style>
  <w:style w:type="paragraph" w:styleId="48">
    <w:name w:val="List Paragraph"/>
    <w:basedOn w:val="1"/>
    <w:autoRedefine/>
    <w:qFormat/>
    <w:uiPriority w:val="34"/>
    <w:pPr>
      <w:ind w:firstLine="420" w:firstLineChars="200"/>
    </w:pPr>
  </w:style>
  <w:style w:type="paragraph" w:customStyle="1" w:styleId="49">
    <w:name w:val="Plain Text1"/>
    <w:basedOn w:val="1"/>
    <w:autoRedefine/>
    <w:qFormat/>
    <w:uiPriority w:val="0"/>
    <w:rPr>
      <w:rFonts w:ascii="宋体" w:hAnsi="Courier New" w:cs="Courier New"/>
      <w:szCs w:val="21"/>
    </w:rPr>
  </w:style>
  <w:style w:type="paragraph" w:customStyle="1" w:styleId="50">
    <w:name w:val="Table Paragraph"/>
    <w:basedOn w:val="1"/>
    <w:autoRedefine/>
    <w:qFormat/>
    <w:uiPriority w:val="1"/>
    <w:rPr>
      <w:rFonts w:ascii="宋体" w:hAnsi="宋体" w:cs="宋体"/>
      <w:lang w:val="zh-CN" w:bidi="zh-CN"/>
    </w:rPr>
  </w:style>
  <w:style w:type="character" w:customStyle="1" w:styleId="51">
    <w:name w:val="批注文字 字符"/>
    <w:basedOn w:val="33"/>
    <w:link w:val="11"/>
    <w:autoRedefine/>
    <w:qFormat/>
    <w:uiPriority w:val="0"/>
    <w:rPr>
      <w:kern w:val="2"/>
      <w:sz w:val="21"/>
      <w:szCs w:val="24"/>
    </w:rPr>
  </w:style>
  <w:style w:type="character" w:customStyle="1" w:styleId="52">
    <w:name w:val="批注主题 字符"/>
    <w:basedOn w:val="51"/>
    <w:link w:val="28"/>
    <w:autoRedefine/>
    <w:qFormat/>
    <w:uiPriority w:val="0"/>
    <w:rPr>
      <w:b/>
      <w:bCs/>
      <w:kern w:val="2"/>
      <w:sz w:val="21"/>
      <w:szCs w:val="24"/>
    </w:rPr>
  </w:style>
  <w:style w:type="character" w:customStyle="1" w:styleId="53">
    <w:name w:val="批注框文本 字符"/>
    <w:basedOn w:val="33"/>
    <w:link w:val="17"/>
    <w:autoRedefine/>
    <w:qFormat/>
    <w:uiPriority w:val="0"/>
    <w:rPr>
      <w:kern w:val="2"/>
      <w:sz w:val="18"/>
      <w:szCs w:val="18"/>
    </w:rPr>
  </w:style>
  <w:style w:type="paragraph" w:customStyle="1" w:styleId="54">
    <w:name w:val="纯文本1"/>
    <w:basedOn w:val="1"/>
    <w:autoRedefine/>
    <w:qFormat/>
    <w:uiPriority w:val="0"/>
    <w:pPr>
      <w:suppressAutoHyphens/>
    </w:pPr>
    <w:rPr>
      <w:rFonts w:ascii="宋体" w:hAnsi="宋体" w:cs="Courier New"/>
      <w:szCs w:val="21"/>
      <w:lang w:eastAsia="ar-SA"/>
    </w:rPr>
  </w:style>
  <w:style w:type="paragraph" w:customStyle="1" w:styleId="55">
    <w:name w:val="xl2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eastAsiaTheme="minorEastAsia" w:cstheme="minorBidi"/>
      <w:kern w:val="0"/>
      <w:szCs w:val="21"/>
    </w:rPr>
  </w:style>
  <w:style w:type="character" w:customStyle="1" w:styleId="56">
    <w:name w:val="textcontents"/>
    <w:basedOn w:val="33"/>
    <w:autoRedefine/>
    <w:qFormat/>
    <w:uiPriority w:val="0"/>
  </w:style>
  <w:style w:type="paragraph" w:customStyle="1" w:styleId="57">
    <w:name w:val="正文2"/>
    <w:basedOn w:val="1"/>
    <w:autoRedefine/>
    <w:qFormat/>
    <w:uiPriority w:val="0"/>
    <w:pPr>
      <w:adjustRightInd w:val="0"/>
      <w:spacing w:before="156" w:line="360" w:lineRule="auto"/>
      <w:ind w:firstLine="510" w:firstLineChars="200"/>
    </w:pPr>
    <w:rPr>
      <w:kern w:val="0"/>
      <w:sz w:val="24"/>
      <w:szCs w:val="20"/>
    </w:rPr>
  </w:style>
  <w:style w:type="paragraph" w:customStyle="1" w:styleId="58">
    <w:name w:val="WPSOffice手动目录 1"/>
    <w:autoRedefine/>
    <w:qFormat/>
    <w:uiPriority w:val="0"/>
    <w:rPr>
      <w:rFonts w:ascii="Times New Roman" w:hAnsi="Times New Roman" w:eastAsia="宋体" w:cs="Times New Roman"/>
      <w:lang w:val="en-US" w:eastAsia="zh-CN" w:bidi="ar-SA"/>
    </w:rPr>
  </w:style>
  <w:style w:type="table" w:customStyle="1" w:styleId="59">
    <w:name w:val="Table Normal"/>
    <w:autoRedefine/>
    <w:semiHidden/>
    <w:unhideWhenUsed/>
    <w:qFormat/>
    <w:uiPriority w:val="0"/>
    <w:tblPr>
      <w:tblCellMar>
        <w:top w:w="0" w:type="dxa"/>
        <w:left w:w="0" w:type="dxa"/>
        <w:bottom w:w="0" w:type="dxa"/>
        <w:right w:w="0" w:type="dxa"/>
      </w:tblCellMar>
    </w:tblPr>
  </w:style>
  <w:style w:type="paragraph" w:customStyle="1" w:styleId="60">
    <w:name w:val="正文_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正文文本_0"/>
    <w:basedOn w:val="60"/>
    <w:autoRedefine/>
    <w:qFormat/>
    <w:uiPriority w:val="0"/>
    <w:pPr>
      <w:adjustRightInd w:val="0"/>
      <w:spacing w:after="60" w:line="360" w:lineRule="atLeast"/>
      <w:ind w:left="72" w:leftChars="30" w:right="30" w:rightChars="30"/>
      <w:jc w:val="center"/>
      <w:textAlignment w:val="baseline"/>
    </w:pPr>
    <w:rPr>
      <w:rFonts w:ascii="Times New Roman" w:hAnsi="Times New Roman"/>
      <w:kern w:val="0"/>
      <w:sz w:val="20"/>
      <w:szCs w:val="20"/>
    </w:rPr>
  </w:style>
  <w:style w:type="paragraph" w:customStyle="1" w:styleId="62">
    <w:name w:val="Normal_1"/>
    <w:autoRedefine/>
    <w:qFormat/>
    <w:uiPriority w:val="0"/>
    <w:rPr>
      <w:rFonts w:ascii="Times New Roman" w:hAnsi="Times New Roman" w:eastAsia="Times New Roman" w:cs="Times New Roman"/>
      <w:sz w:val="24"/>
      <w:szCs w:val="24"/>
      <w:lang w:val="en-US" w:eastAsia="zh-CN" w:bidi="ar-SA"/>
    </w:rPr>
  </w:style>
  <w:style w:type="paragraph" w:customStyle="1" w:styleId="63">
    <w:name w:val="Body text|1_2"/>
    <w:basedOn w:val="60"/>
    <w:autoRedefine/>
    <w:qFormat/>
    <w:uiPriority w:val="0"/>
    <w:pPr>
      <w:spacing w:line="360" w:lineRule="auto"/>
      <w:ind w:firstLine="400"/>
    </w:pPr>
    <w:rPr>
      <w:rFonts w:ascii="宋体" w:hAnsi="宋体" w:cs="宋体"/>
      <w:sz w:val="20"/>
      <w:szCs w:val="20"/>
      <w:lang w:val="zh-CN" w:bidi="zh-CN"/>
    </w:rPr>
  </w:style>
  <w:style w:type="paragraph" w:customStyle="1" w:styleId="64">
    <w:name w:val="Other|1_2"/>
    <w:basedOn w:val="60"/>
    <w:autoRedefine/>
    <w:qFormat/>
    <w:uiPriority w:val="0"/>
    <w:pPr>
      <w:spacing w:line="360" w:lineRule="auto"/>
      <w:ind w:firstLine="400"/>
    </w:pPr>
    <w:rPr>
      <w:rFonts w:ascii="宋体" w:hAnsi="宋体" w:cs="宋体"/>
      <w:sz w:val="20"/>
      <w:szCs w:val="20"/>
      <w:lang w:val="zh-CN" w:bidi="zh-CN"/>
    </w:rPr>
  </w:style>
  <w:style w:type="paragraph" w:customStyle="1" w:styleId="65">
    <w:name w:val="标题 2_1"/>
    <w:basedOn w:val="60"/>
    <w:next w:val="60"/>
    <w:autoRedefine/>
    <w:qFormat/>
    <w:uiPriority w:val="0"/>
    <w:pPr>
      <w:keepLines/>
      <w:spacing w:before="240" w:after="120" w:line="416" w:lineRule="auto"/>
      <w:jc w:val="center"/>
      <w:outlineLvl w:val="1"/>
    </w:pPr>
    <w:rPr>
      <w:rFonts w:ascii="宋体" w:hAnsi="宋体" w:eastAsia="黑体" w:cs="宋体"/>
      <w:b/>
      <w:bCs/>
      <w:sz w:val="36"/>
      <w:szCs w:val="21"/>
    </w:rPr>
  </w:style>
  <w:style w:type="paragraph" w:customStyle="1" w:styleId="66">
    <w:name w:val="标题 3_2"/>
    <w:basedOn w:val="60"/>
    <w:next w:val="60"/>
    <w:autoRedefine/>
    <w:qFormat/>
    <w:uiPriority w:val="0"/>
    <w:pPr>
      <w:keepNext/>
      <w:keepLines/>
      <w:spacing w:before="240" w:after="120"/>
      <w:outlineLvl w:val="2"/>
    </w:pPr>
    <w:rPr>
      <w:rFonts w:ascii="Times New Roman" w:hAnsi="Times New Roman"/>
      <w:b/>
      <w:sz w:val="32"/>
      <w:szCs w:val="20"/>
    </w:rPr>
  </w:style>
  <w:style w:type="paragraph" w:customStyle="1" w:styleId="67">
    <w:name w:val="标题 2_0"/>
    <w:basedOn w:val="68"/>
    <w:next w:val="68"/>
    <w:autoRedefine/>
    <w:qFormat/>
    <w:uiPriority w:val="0"/>
    <w:pPr>
      <w:keepLines/>
      <w:spacing w:before="240" w:after="120" w:line="416" w:lineRule="auto"/>
      <w:jc w:val="center"/>
      <w:outlineLvl w:val="1"/>
    </w:pPr>
    <w:rPr>
      <w:rFonts w:ascii="宋体" w:hAnsi="宋体" w:eastAsia="黑体" w:cs="宋体"/>
      <w:b/>
      <w:bCs/>
      <w:sz w:val="36"/>
      <w:szCs w:val="21"/>
    </w:rPr>
  </w:style>
  <w:style w:type="paragraph" w:customStyle="1" w:styleId="68">
    <w:name w:val="正文_2"/>
    <w:basedOn w:val="69"/>
    <w:autoRedefine/>
    <w:qFormat/>
    <w:uiPriority w:val="0"/>
    <w:rPr>
      <w:rFonts w:ascii="Times New Roman" w:hAnsi="Times New Roman" w:eastAsia="Times New Roman"/>
      <w:color w:val="000000"/>
      <w:sz w:val="24"/>
      <w:szCs w:val="24"/>
      <w:lang w:eastAsia="en-US" w:bidi="en-US"/>
    </w:rPr>
  </w:style>
  <w:style w:type="paragraph" w:customStyle="1" w:styleId="69">
    <w:name w:val="正文_3"/>
    <w:basedOn w:val="60"/>
    <w:autoRedefine/>
    <w:qFormat/>
    <w:uiPriority w:val="0"/>
  </w:style>
  <w:style w:type="paragraph" w:customStyle="1" w:styleId="70">
    <w:name w:val="标题 3_1"/>
    <w:basedOn w:val="68"/>
    <w:next w:val="68"/>
    <w:autoRedefine/>
    <w:qFormat/>
    <w:uiPriority w:val="0"/>
    <w:pPr>
      <w:keepNext/>
      <w:keepLines/>
      <w:spacing w:before="240" w:after="120"/>
      <w:outlineLvl w:val="2"/>
    </w:pPr>
    <w:rPr>
      <w:rFonts w:eastAsia="宋体"/>
      <w:b/>
      <w:color w:val="auto"/>
      <w:sz w:val="32"/>
      <w:szCs w:val="20"/>
      <w:lang w:bidi="ar-SA"/>
    </w:rPr>
  </w:style>
  <w:style w:type="paragraph" w:customStyle="1" w:styleId="71">
    <w:name w:val="Body text|1_1"/>
    <w:basedOn w:val="68"/>
    <w:autoRedefine/>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72">
    <w:name w:val="Body text|2_0"/>
    <w:basedOn w:val="68"/>
    <w:autoRedefine/>
    <w:qFormat/>
    <w:uiPriority w:val="0"/>
    <w:pPr>
      <w:spacing w:after="30"/>
      <w:ind w:firstLine="420"/>
    </w:pPr>
    <w:rPr>
      <w:rFonts w:eastAsia="宋体"/>
      <w:color w:val="auto"/>
      <w:sz w:val="20"/>
      <w:szCs w:val="20"/>
      <w:lang w:bidi="ar-SA"/>
    </w:rPr>
  </w:style>
  <w:style w:type="paragraph" w:customStyle="1" w:styleId="73">
    <w:name w:val="Other|1_1"/>
    <w:basedOn w:val="68"/>
    <w:autoRedefine/>
    <w:qFormat/>
    <w:uiPriority w:val="0"/>
    <w:pPr>
      <w:spacing w:line="360" w:lineRule="auto"/>
      <w:ind w:firstLine="400"/>
    </w:pPr>
    <w:rPr>
      <w:rFonts w:ascii="宋体" w:hAnsi="宋体" w:eastAsia="宋体" w:cs="宋体"/>
      <w:color w:val="auto"/>
      <w:sz w:val="20"/>
      <w:szCs w:val="20"/>
      <w:lang w:val="zh-CN" w:eastAsia="zh-CN" w:bidi="zh-CN"/>
    </w:rPr>
  </w:style>
  <w:style w:type="paragraph" w:customStyle="1" w:styleId="74">
    <w:name w:val="正文_2_0"/>
    <w:basedOn w:val="68"/>
    <w:autoRedefine/>
    <w:qFormat/>
    <w:uiPriority w:val="0"/>
    <w:rPr>
      <w:rFonts w:eastAsia="宋体"/>
      <w:lang w:eastAsia="zh-CN" w:bidi="ar-SA"/>
    </w:rPr>
  </w:style>
  <w:style w:type="character" w:customStyle="1" w:styleId="75">
    <w:name w:val="10"/>
    <w:autoRedefine/>
    <w:qFormat/>
    <w:uiPriority w:val="0"/>
    <w:rPr>
      <w:rFonts w:hint="default" w:ascii="Times New Roman" w:hAnsi="Times New Roman" w:eastAsia="Times New Roman" w:cs="Times New Roman"/>
      <w:lang w:eastAsia="en-US" w:bidi="en-US"/>
    </w:rPr>
  </w:style>
  <w:style w:type="paragraph" w:customStyle="1" w:styleId="76">
    <w:name w:val="样式 样式16 + 首行缩进:  2 字符"/>
    <w:basedOn w:val="1"/>
    <w:autoRedefine/>
    <w:qFormat/>
    <w:uiPriority w:val="0"/>
    <w:pPr>
      <w:spacing w:line="400" w:lineRule="exact"/>
      <w:ind w:firstLine="200" w:firstLineChars="200"/>
    </w:pPr>
    <w:rPr>
      <w:rFonts w:ascii="汉仪中宋简" w:hAnsi="宋体" w:eastAsia="汉仪字典宋简"/>
      <w:b/>
      <w:bCs/>
      <w:spacing w:val="2"/>
      <w:sz w:val="24"/>
      <w:szCs w:val="20"/>
    </w:rPr>
  </w:style>
  <w:style w:type="paragraph" w:customStyle="1" w:styleId="77">
    <w:name w:val="样式 正文首行缩进 + 首行缩进:  1 字符1"/>
    <w:basedOn w:val="1"/>
    <w:next w:val="1"/>
    <w:autoRedefine/>
    <w:qFormat/>
    <w:uiPriority w:val="0"/>
    <w:pPr>
      <w:spacing w:line="360" w:lineRule="auto"/>
      <w:ind w:firstLine="480" w:firstLineChars="200"/>
      <w:jc w:val="left"/>
    </w:pPr>
    <w:rPr>
      <w:rFonts w:hint="eastAsia" w:ascii="宋体" w:hAnsi="宋体" w:cs="宋体"/>
      <w:szCs w:val="20"/>
    </w:rPr>
  </w:style>
  <w:style w:type="paragraph" w:customStyle="1" w:styleId="78">
    <w:name w:val="Other|1"/>
    <w:basedOn w:val="1"/>
    <w:autoRedefine/>
    <w:qFormat/>
    <w:uiPriority w:val="0"/>
    <w:pPr>
      <w:spacing w:line="360" w:lineRule="auto"/>
      <w:ind w:firstLine="400"/>
      <w:jc w:val="left"/>
    </w:pPr>
    <w:rPr>
      <w:rFonts w:ascii="宋体" w:hAnsi="宋体" w:cs="宋体"/>
      <w:kern w:val="0"/>
      <w:sz w:val="20"/>
      <w:szCs w:val="20"/>
      <w:lang w:val="zh-CN" w:bidi="zh-CN"/>
    </w:rPr>
  </w:style>
  <w:style w:type="paragraph" w:customStyle="1" w:styleId="79">
    <w:name w:val="正文_0"/>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0">
    <w:name w:val="标题 3_0"/>
    <w:basedOn w:val="1"/>
    <w:next w:val="68"/>
    <w:autoRedefine/>
    <w:qFormat/>
    <w:uiPriority w:val="99"/>
    <w:rPr>
      <w:szCs w:val="20"/>
    </w:rPr>
  </w:style>
  <w:style w:type="paragraph" w:customStyle="1" w:styleId="81">
    <w:name w:val="纯文本_0"/>
    <w:basedOn w:val="1"/>
    <w:autoRedefine/>
    <w:qFormat/>
    <w:uiPriority w:val="99"/>
    <w:rPr>
      <w:szCs w:val="20"/>
    </w:rPr>
  </w:style>
  <w:style w:type="paragraph" w:customStyle="1" w:styleId="82">
    <w:name w:val="Normal_0"/>
    <w:autoRedefine/>
    <w:qFormat/>
    <w:uiPriority w:val="0"/>
    <w:rPr>
      <w:rFonts w:ascii="Times New Roman" w:hAnsi="Times New Roman" w:eastAsia="Times New Roman" w:cs="Times New Roman"/>
      <w:sz w:val="24"/>
      <w:szCs w:val="24"/>
      <w:lang w:val="en-US" w:eastAsia="zh-CN" w:bidi="ar-SA"/>
    </w:rPr>
  </w:style>
  <w:style w:type="paragraph" w:customStyle="1" w:styleId="83">
    <w:name w:val="正文_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4">
    <w:name w:val="未处理的提及1"/>
    <w:basedOn w:val="33"/>
    <w:semiHidden/>
    <w:unhideWhenUsed/>
    <w:qFormat/>
    <w:uiPriority w:val="99"/>
    <w:rPr>
      <w:color w:val="605E5C"/>
      <w:shd w:val="clear" w:color="auto" w:fill="E1DFDD"/>
    </w:rPr>
  </w:style>
  <w:style w:type="character" w:customStyle="1" w:styleId="85">
    <w:name w:val="layui-layer-tabnow"/>
    <w:basedOn w:val="33"/>
    <w:qFormat/>
    <w:uiPriority w:val="0"/>
    <w:rPr>
      <w:bdr w:val="single" w:color="CCCCCC" w:sz="6" w:space="0"/>
      <w:shd w:val="clear" w:color="auto" w:fill="FFFFFF"/>
    </w:rPr>
  </w:style>
  <w:style w:type="character" w:customStyle="1" w:styleId="86">
    <w:name w:val="first-child"/>
    <w:basedOn w:val="33"/>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5.wmf"/><Relationship Id="rId18" Type="http://schemas.openxmlformats.org/officeDocument/2006/relationships/oleObject" Target="embeddings/oleObject5.bin"/><Relationship Id="rId17" Type="http://schemas.openxmlformats.org/officeDocument/2006/relationships/image" Target="media/image4.wmf"/><Relationship Id="rId16" Type="http://schemas.openxmlformats.org/officeDocument/2006/relationships/oleObject" Target="embeddings/oleObject4.bin"/><Relationship Id="rId15" Type="http://schemas.openxmlformats.org/officeDocument/2006/relationships/image" Target="media/image3.wmf"/><Relationship Id="rId14" Type="http://schemas.openxmlformats.org/officeDocument/2006/relationships/oleObject" Target="embeddings/oleObject3.bin"/><Relationship Id="rId13" Type="http://schemas.openxmlformats.org/officeDocument/2006/relationships/image" Target="media/image2.wmf"/><Relationship Id="rId12" Type="http://schemas.openxmlformats.org/officeDocument/2006/relationships/oleObject" Target="embeddings/oleObject2.bin"/><Relationship Id="rId11" Type="http://schemas.openxmlformats.org/officeDocument/2006/relationships/image" Target="media/image1.wmf"/><Relationship Id="rId10" Type="http://schemas.openxmlformats.org/officeDocument/2006/relationships/oleObject" Target="embeddings/oleObject1.bin"/><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137</Pages>
  <Words>89488</Words>
  <Characters>94212</Characters>
  <Lines>2644</Lines>
  <Paragraphs>2581</Paragraphs>
  <TotalTime>181</TotalTime>
  <ScaleCrop>false</ScaleCrop>
  <LinksUpToDate>false</LinksUpToDate>
  <CharactersWithSpaces>101898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2025-05-09T03:25:00Z</dcterms:created>
  <dc:creator>Administrator</dc:creator>
  <cp:lastModifiedBy>雨过天晴</cp:lastModifiedBy>
  <cp:lastPrinted>2023-12-28T08:32:00Z</cp:lastPrinted>
  <dcterms:modified xsi:type="dcterms:W3CDTF">2026-10-13T07:25:19Z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C6426538D751443392BC43C770DE933B_13</vt:lpwstr>
  </property>
  <property fmtid="{D5CDD505-2E9C-101B-9397-08002B2CF9AE}" pid="4" name="KSOTemplateDocerSaveRecord">
    <vt:lpwstr>eyJoZGlkIjoiN2NiMTI3MDRiZWJlZDRkZTA3NmY0MjY1ZjJiMjJkMzMiLCJ1c2VySWQiOiI3MDAxMTU0MTgifQ==</vt:lpwstr>
  </property>
</Properties>
</file>