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9CD63">
      <w:pPr>
        <w:keepNext w:val="0"/>
        <w:keepLines w:val="0"/>
        <w:pageBreakBefore w:val="0"/>
        <w:widowControl w:val="0"/>
        <w:kinsoku/>
        <w:wordWrap/>
        <w:overflowPunct/>
        <w:topLinePunct w:val="0"/>
        <w:autoSpaceDE/>
        <w:autoSpaceDN/>
        <w:bidi w:val="0"/>
        <w:adjustRightInd/>
        <w:spacing w:before="60" w:after="60" w:line="480" w:lineRule="auto"/>
        <w:jc w:val="center"/>
        <w:textAlignment w:val="auto"/>
        <w:rPr>
          <w:rFonts w:hint="eastAsia" w:cs="方正小标宋简体" w:asciiTheme="minorEastAsia" w:hAnsiTheme="minorEastAsia" w:eastAsiaTheme="minorEastAsia"/>
          <w:color w:val="auto"/>
          <w:sz w:val="52"/>
          <w:szCs w:val="52"/>
          <w:highlight w:val="none"/>
          <w:lang w:eastAsia="zh-CN"/>
        </w:rPr>
      </w:pPr>
      <w:r>
        <w:rPr>
          <w:rFonts w:hint="eastAsia" w:asciiTheme="minorEastAsia" w:hAnsiTheme="minorEastAsia" w:eastAsiaTheme="minorEastAsia"/>
          <w:color w:val="auto"/>
          <w:sz w:val="52"/>
          <w:szCs w:val="52"/>
          <w:highlight w:val="none"/>
          <w:lang w:eastAsia="zh-CN"/>
        </w:rPr>
        <w:t>广西荣胜项目管理有限公司</w:t>
      </w:r>
    </w:p>
    <w:p w14:paraId="2DA39D98">
      <w:pPr>
        <w:keepNext w:val="0"/>
        <w:keepLines w:val="0"/>
        <w:pageBreakBefore w:val="0"/>
        <w:widowControl w:val="0"/>
        <w:kinsoku/>
        <w:wordWrap/>
        <w:overflowPunct/>
        <w:topLinePunct w:val="0"/>
        <w:autoSpaceDE/>
        <w:autoSpaceDN/>
        <w:bidi w:val="0"/>
        <w:adjustRightInd/>
        <w:spacing w:before="60" w:after="60" w:line="480" w:lineRule="auto"/>
        <w:jc w:val="center"/>
        <w:textAlignment w:val="auto"/>
        <w:rPr>
          <w:rFonts w:ascii="方正小标宋简体" w:hAnsi="方正小标宋简体" w:eastAsia="方正小标宋简体" w:cs="方正小标宋简体"/>
          <w:b/>
          <w:color w:val="auto"/>
          <w:sz w:val="44"/>
          <w:szCs w:val="44"/>
          <w:highlight w:val="none"/>
        </w:rPr>
      </w:pPr>
    </w:p>
    <w:p w14:paraId="14FE66F4">
      <w:pPr>
        <w:keepNext w:val="0"/>
        <w:keepLines w:val="0"/>
        <w:pageBreakBefore w:val="0"/>
        <w:widowControl w:val="0"/>
        <w:kinsoku/>
        <w:wordWrap/>
        <w:overflowPunct/>
        <w:topLinePunct w:val="0"/>
        <w:autoSpaceDE/>
        <w:autoSpaceDN/>
        <w:bidi w:val="0"/>
        <w:adjustRightInd/>
        <w:snapToGrid w:val="0"/>
        <w:spacing w:before="60" w:after="60" w:line="480" w:lineRule="auto"/>
        <w:jc w:val="center"/>
        <w:textAlignment w:val="auto"/>
        <w:rPr>
          <w:rFonts w:ascii="华文新魏" w:hAnsi="宋体" w:eastAsia="华文新魏"/>
          <w:color w:val="auto"/>
          <w:sz w:val="120"/>
          <w:szCs w:val="120"/>
          <w:highlight w:val="none"/>
        </w:rPr>
      </w:pPr>
      <w:r>
        <w:rPr>
          <w:rFonts w:hint="eastAsia" w:ascii="华文新魏" w:hAnsi="宋体" w:eastAsia="华文新魏"/>
          <w:color w:val="auto"/>
          <w:sz w:val="120"/>
          <w:szCs w:val="120"/>
          <w:highlight w:val="none"/>
        </w:rPr>
        <w:t>竞争性磋商文件</w:t>
      </w:r>
    </w:p>
    <w:p w14:paraId="3613A91B">
      <w:pPr>
        <w:keepNext w:val="0"/>
        <w:keepLines w:val="0"/>
        <w:pageBreakBefore w:val="0"/>
        <w:widowControl w:val="0"/>
        <w:kinsoku/>
        <w:wordWrap/>
        <w:overflowPunct/>
        <w:topLinePunct w:val="0"/>
        <w:autoSpaceDE/>
        <w:autoSpaceDN/>
        <w:bidi w:val="0"/>
        <w:adjustRightInd/>
        <w:snapToGrid w:val="0"/>
        <w:spacing w:before="60" w:after="60" w:line="480" w:lineRule="auto"/>
        <w:jc w:val="center"/>
        <w:textAlignment w:val="auto"/>
        <w:rPr>
          <w:rFonts w:ascii="仿宋_GB2312" w:hAnsi="宋体" w:eastAsia="仿宋_GB2312"/>
          <w:b/>
          <w:color w:val="auto"/>
          <w:sz w:val="30"/>
          <w:szCs w:val="72"/>
          <w:highlight w:val="none"/>
        </w:rPr>
      </w:pPr>
      <w:r>
        <w:rPr>
          <w:rFonts w:hint="eastAsia" w:ascii="仿宋_GB2312" w:hAnsi="宋体" w:eastAsia="仿宋_GB2312"/>
          <w:b/>
          <w:color w:val="auto"/>
          <w:sz w:val="48"/>
          <w:szCs w:val="48"/>
          <w:highlight w:val="none"/>
        </w:rPr>
        <w:t>（全流程电子化采购）</w:t>
      </w:r>
    </w:p>
    <w:p w14:paraId="0C840181">
      <w:pPr>
        <w:keepNext w:val="0"/>
        <w:keepLines w:val="0"/>
        <w:pageBreakBefore w:val="0"/>
        <w:widowControl w:val="0"/>
        <w:kinsoku/>
        <w:wordWrap/>
        <w:overflowPunct/>
        <w:topLinePunct w:val="0"/>
        <w:autoSpaceDE/>
        <w:autoSpaceDN/>
        <w:bidi w:val="0"/>
        <w:adjustRightInd/>
        <w:snapToGrid w:val="0"/>
        <w:spacing w:before="60" w:after="60" w:line="480" w:lineRule="auto"/>
        <w:textAlignment w:val="auto"/>
        <w:rPr>
          <w:rFonts w:ascii="仿宋_GB2312" w:hAnsi="宋体" w:eastAsia="仿宋_GB2312"/>
          <w:color w:val="auto"/>
          <w:sz w:val="30"/>
          <w:szCs w:val="72"/>
          <w:highlight w:val="none"/>
        </w:rPr>
      </w:pPr>
    </w:p>
    <w:p w14:paraId="280D78E4">
      <w:pPr>
        <w:keepNext w:val="0"/>
        <w:keepLines w:val="0"/>
        <w:pageBreakBefore w:val="0"/>
        <w:widowControl w:val="0"/>
        <w:kinsoku/>
        <w:wordWrap/>
        <w:overflowPunct/>
        <w:topLinePunct w:val="0"/>
        <w:autoSpaceDE/>
        <w:autoSpaceDN/>
        <w:bidi w:val="0"/>
        <w:adjustRightInd/>
        <w:spacing w:before="60" w:after="60" w:line="480" w:lineRule="auto"/>
        <w:textAlignment w:val="auto"/>
        <w:rPr>
          <w:color w:val="auto"/>
          <w:highlight w:val="none"/>
        </w:rPr>
      </w:pPr>
    </w:p>
    <w:p w14:paraId="1C9E9DDE">
      <w:pPr>
        <w:pStyle w:val="16"/>
        <w:keepNext w:val="0"/>
        <w:keepLines w:val="0"/>
        <w:pageBreakBefore w:val="0"/>
        <w:widowControl w:val="0"/>
        <w:kinsoku/>
        <w:wordWrap/>
        <w:overflowPunct/>
        <w:topLinePunct w:val="0"/>
        <w:autoSpaceDE/>
        <w:autoSpaceDN/>
        <w:bidi w:val="0"/>
        <w:adjustRightInd/>
        <w:snapToGrid w:val="0"/>
        <w:spacing w:before="60" w:after="60" w:line="480" w:lineRule="auto"/>
        <w:ind w:left="1205" w:hanging="1205" w:hangingChars="400"/>
        <w:textAlignment w:val="auto"/>
        <w:rPr>
          <w:rFonts w:hint="eastAsia" w:hAnsi="宋体" w:eastAsia="宋体"/>
          <w:b/>
          <w:bCs/>
          <w:color w:val="auto"/>
          <w:sz w:val="30"/>
          <w:szCs w:val="30"/>
          <w:highlight w:val="none"/>
          <w:lang w:eastAsia="zh-CN"/>
        </w:rPr>
      </w:pPr>
      <w:r>
        <w:rPr>
          <w:rFonts w:hint="eastAsia" w:hAnsi="宋体"/>
          <w:b/>
          <w:bCs/>
          <w:color w:val="auto"/>
          <w:sz w:val="30"/>
          <w:szCs w:val="30"/>
          <w:highlight w:val="none"/>
        </w:rPr>
        <w:t>项目</w:t>
      </w:r>
      <w:r>
        <w:rPr>
          <w:rFonts w:hint="eastAsia" w:hAnsi="宋体" w:cs="Courier New"/>
          <w:b/>
          <w:bCs/>
          <w:color w:val="auto"/>
          <w:w w:val="95"/>
          <w:sz w:val="30"/>
          <w:szCs w:val="30"/>
          <w:highlight w:val="none"/>
        </w:rPr>
        <w:t>名称</w:t>
      </w:r>
      <w:r>
        <w:rPr>
          <w:rFonts w:hint="eastAsia" w:hAnsi="宋体"/>
          <w:b/>
          <w:bCs/>
          <w:color w:val="auto"/>
          <w:sz w:val="30"/>
          <w:szCs w:val="30"/>
          <w:highlight w:val="none"/>
        </w:rPr>
        <w:t>：</w:t>
      </w:r>
      <w:r>
        <w:rPr>
          <w:rFonts w:hint="eastAsia" w:hAnsi="宋体"/>
          <w:b/>
          <w:bCs/>
          <w:color w:val="auto"/>
          <w:sz w:val="30"/>
          <w:szCs w:val="30"/>
          <w:highlight w:val="none"/>
          <w:lang w:eastAsia="zh-CN"/>
        </w:rPr>
        <w:t>浦北县农民工创业园能力提升项目</w:t>
      </w:r>
    </w:p>
    <w:p w14:paraId="276E44F2">
      <w:pPr>
        <w:pStyle w:val="16"/>
        <w:keepNext w:val="0"/>
        <w:keepLines w:val="0"/>
        <w:pageBreakBefore w:val="0"/>
        <w:widowControl w:val="0"/>
        <w:kinsoku/>
        <w:wordWrap/>
        <w:overflowPunct/>
        <w:topLinePunct w:val="0"/>
        <w:autoSpaceDE/>
        <w:autoSpaceDN/>
        <w:bidi w:val="0"/>
        <w:adjustRightInd/>
        <w:snapToGrid w:val="0"/>
        <w:spacing w:before="60" w:after="60" w:line="480" w:lineRule="auto"/>
        <w:textAlignment w:val="auto"/>
        <w:rPr>
          <w:rFonts w:hint="eastAsia" w:hAnsi="宋体" w:eastAsia="宋体"/>
          <w:b/>
          <w:bCs/>
          <w:color w:val="auto"/>
          <w:sz w:val="30"/>
          <w:szCs w:val="30"/>
          <w:highlight w:val="none"/>
          <w:lang w:eastAsia="zh-CN"/>
        </w:rPr>
      </w:pPr>
      <w:r>
        <w:rPr>
          <w:rFonts w:hint="eastAsia" w:hAnsi="宋体"/>
          <w:b/>
          <w:bCs/>
          <w:color w:val="auto"/>
          <w:sz w:val="30"/>
          <w:szCs w:val="30"/>
          <w:highlight w:val="none"/>
        </w:rPr>
        <w:t>项目编号：</w:t>
      </w:r>
      <w:r>
        <w:rPr>
          <w:rFonts w:hint="eastAsia" w:hAnsi="宋体"/>
          <w:b/>
          <w:bCs/>
          <w:color w:val="auto"/>
          <w:sz w:val="30"/>
          <w:szCs w:val="30"/>
          <w:highlight w:val="none"/>
          <w:lang w:eastAsia="zh-CN"/>
        </w:rPr>
        <w:t>QZZC2026-C3-220159-GXRS</w:t>
      </w:r>
    </w:p>
    <w:p w14:paraId="0E582D19">
      <w:pPr>
        <w:pStyle w:val="16"/>
        <w:keepNext w:val="0"/>
        <w:keepLines w:val="0"/>
        <w:pageBreakBefore w:val="0"/>
        <w:widowControl w:val="0"/>
        <w:kinsoku/>
        <w:wordWrap/>
        <w:overflowPunct/>
        <w:topLinePunct w:val="0"/>
        <w:autoSpaceDE/>
        <w:autoSpaceDN/>
        <w:bidi w:val="0"/>
        <w:adjustRightInd/>
        <w:snapToGrid w:val="0"/>
        <w:spacing w:before="60" w:after="60" w:line="480" w:lineRule="auto"/>
        <w:textAlignment w:val="auto"/>
        <w:rPr>
          <w:rFonts w:hint="eastAsia" w:hAnsi="宋体" w:eastAsia="宋体"/>
          <w:b/>
          <w:bCs/>
          <w:color w:val="auto"/>
          <w:sz w:val="30"/>
          <w:szCs w:val="30"/>
          <w:highlight w:val="none"/>
          <w:lang w:eastAsia="zh-CN"/>
        </w:rPr>
      </w:pPr>
      <w:r>
        <w:rPr>
          <w:rFonts w:hint="eastAsia" w:hAnsi="宋体"/>
          <w:b/>
          <w:bCs/>
          <w:color w:val="auto"/>
          <w:sz w:val="30"/>
          <w:szCs w:val="30"/>
          <w:highlight w:val="none"/>
        </w:rPr>
        <w:t>采 购 人：</w:t>
      </w:r>
      <w:r>
        <w:rPr>
          <w:rFonts w:hint="eastAsia" w:hAnsi="宋体"/>
          <w:b/>
          <w:bCs/>
          <w:color w:val="auto"/>
          <w:sz w:val="30"/>
          <w:szCs w:val="30"/>
          <w:highlight w:val="none"/>
          <w:lang w:eastAsia="zh-CN"/>
        </w:rPr>
        <w:t>浦北县人力资源和社会保障局</w:t>
      </w:r>
    </w:p>
    <w:p w14:paraId="661C9DEF">
      <w:pPr>
        <w:pStyle w:val="16"/>
        <w:keepNext w:val="0"/>
        <w:keepLines w:val="0"/>
        <w:pageBreakBefore w:val="0"/>
        <w:widowControl w:val="0"/>
        <w:kinsoku/>
        <w:wordWrap/>
        <w:overflowPunct/>
        <w:topLinePunct w:val="0"/>
        <w:autoSpaceDE/>
        <w:autoSpaceDN/>
        <w:bidi w:val="0"/>
        <w:adjustRightInd/>
        <w:snapToGrid w:val="0"/>
        <w:spacing w:before="60" w:after="60" w:line="480" w:lineRule="auto"/>
        <w:textAlignment w:val="auto"/>
        <w:rPr>
          <w:rFonts w:hint="eastAsia" w:hAnsi="宋体" w:eastAsia="宋体"/>
          <w:b/>
          <w:bCs/>
          <w:color w:val="auto"/>
          <w:sz w:val="30"/>
          <w:szCs w:val="30"/>
          <w:highlight w:val="none"/>
          <w:lang w:eastAsia="zh-CN"/>
        </w:rPr>
      </w:pPr>
      <w:r>
        <w:rPr>
          <w:rFonts w:hint="eastAsia" w:hAnsi="宋体"/>
          <w:b/>
          <w:bCs/>
          <w:color w:val="auto"/>
          <w:sz w:val="30"/>
          <w:szCs w:val="30"/>
          <w:highlight w:val="none"/>
        </w:rPr>
        <w:t>采购代理机构：</w:t>
      </w:r>
      <w:r>
        <w:rPr>
          <w:rFonts w:hint="eastAsia" w:hAnsi="宋体"/>
          <w:b/>
          <w:bCs/>
          <w:color w:val="auto"/>
          <w:sz w:val="30"/>
          <w:szCs w:val="30"/>
          <w:highlight w:val="none"/>
          <w:lang w:eastAsia="zh-CN"/>
        </w:rPr>
        <w:t>广西荣胜项目管理有限公司</w:t>
      </w:r>
    </w:p>
    <w:p w14:paraId="36F9504B">
      <w:pPr>
        <w:pStyle w:val="16"/>
        <w:keepNext w:val="0"/>
        <w:keepLines w:val="0"/>
        <w:pageBreakBefore w:val="0"/>
        <w:widowControl w:val="0"/>
        <w:kinsoku/>
        <w:wordWrap/>
        <w:overflowPunct/>
        <w:topLinePunct w:val="0"/>
        <w:autoSpaceDE/>
        <w:autoSpaceDN/>
        <w:bidi w:val="0"/>
        <w:adjustRightInd/>
        <w:snapToGrid w:val="0"/>
        <w:spacing w:before="60" w:after="60" w:line="480" w:lineRule="auto"/>
        <w:ind w:firstLine="1125" w:firstLineChars="393"/>
        <w:textAlignment w:val="auto"/>
        <w:rPr>
          <w:rFonts w:ascii="仿宋_GB2312" w:hAnsi="宋体" w:eastAsia="仿宋_GB2312"/>
          <w:b/>
          <w:bCs/>
          <w:color w:val="auto"/>
          <w:w w:val="95"/>
          <w:sz w:val="30"/>
          <w:szCs w:val="30"/>
          <w:highlight w:val="none"/>
        </w:rPr>
      </w:pPr>
    </w:p>
    <w:p w14:paraId="2A6F8613">
      <w:pPr>
        <w:pStyle w:val="16"/>
        <w:keepNext w:val="0"/>
        <w:keepLines w:val="0"/>
        <w:pageBreakBefore w:val="0"/>
        <w:widowControl w:val="0"/>
        <w:kinsoku/>
        <w:wordWrap/>
        <w:overflowPunct/>
        <w:topLinePunct w:val="0"/>
        <w:autoSpaceDE/>
        <w:autoSpaceDN/>
        <w:bidi w:val="0"/>
        <w:adjustRightInd/>
        <w:snapToGrid w:val="0"/>
        <w:spacing w:before="60" w:after="60" w:line="480" w:lineRule="auto"/>
        <w:ind w:left="20" w:leftChars="-200" w:hanging="440" w:hangingChars="146"/>
        <w:jc w:val="center"/>
        <w:textAlignment w:val="auto"/>
        <w:rPr>
          <w:rFonts w:hAnsi="宋体"/>
          <w:b/>
          <w:bCs/>
          <w:color w:val="auto"/>
          <w:sz w:val="30"/>
          <w:szCs w:val="30"/>
          <w:highlight w:val="none"/>
        </w:rPr>
      </w:pPr>
      <w:r>
        <w:rPr>
          <w:rFonts w:hint="eastAsia" w:hAnsi="宋体"/>
          <w:b/>
          <w:bCs/>
          <w:color w:val="auto"/>
          <w:sz w:val="30"/>
          <w:szCs w:val="30"/>
          <w:highlight w:val="none"/>
          <w:lang w:eastAsia="zh-CN"/>
        </w:rPr>
        <w:t>202</w:t>
      </w:r>
      <w:r>
        <w:rPr>
          <w:rFonts w:hint="eastAsia" w:hAnsi="宋体"/>
          <w:b/>
          <w:bCs/>
          <w:color w:val="auto"/>
          <w:sz w:val="30"/>
          <w:szCs w:val="30"/>
          <w:highlight w:val="none"/>
          <w:lang w:val="en-US" w:eastAsia="zh-CN"/>
        </w:rPr>
        <w:t>6</w:t>
      </w:r>
      <w:r>
        <w:rPr>
          <w:rFonts w:hint="eastAsia" w:hAnsi="宋体"/>
          <w:b/>
          <w:bCs/>
          <w:color w:val="auto"/>
          <w:sz w:val="30"/>
          <w:szCs w:val="30"/>
          <w:highlight w:val="none"/>
          <w:lang w:eastAsia="zh-CN"/>
        </w:rPr>
        <w:t>年</w:t>
      </w:r>
      <w:r>
        <w:rPr>
          <w:rFonts w:hint="eastAsia" w:hAnsi="宋体"/>
          <w:b/>
          <w:bCs/>
          <w:color w:val="auto"/>
          <w:sz w:val="30"/>
          <w:szCs w:val="30"/>
          <w:highlight w:val="none"/>
          <w:lang w:val="en-US" w:eastAsia="zh-CN"/>
        </w:rPr>
        <w:t>10月</w:t>
      </w:r>
    </w:p>
    <w:p w14:paraId="0B914002">
      <w:pPr>
        <w:keepNext w:val="0"/>
        <w:keepLines w:val="0"/>
        <w:pageBreakBefore w:val="0"/>
        <w:widowControl w:val="0"/>
        <w:kinsoku/>
        <w:wordWrap/>
        <w:overflowPunct/>
        <w:topLinePunct w:val="0"/>
        <w:autoSpaceDE/>
        <w:autoSpaceDN/>
        <w:bidi w:val="0"/>
        <w:adjustRightInd/>
        <w:spacing w:before="60" w:after="60" w:line="480" w:lineRule="auto"/>
        <w:jc w:val="center"/>
        <w:textAlignment w:val="auto"/>
        <w:rPr>
          <w:rFonts w:ascii="宋体" w:hAnsi="宋体"/>
          <w:b/>
          <w:color w:val="auto"/>
          <w:sz w:val="44"/>
          <w:szCs w:val="44"/>
          <w:highlight w:val="none"/>
        </w:rPr>
        <w:sectPr>
          <w:headerReference r:id="rId4" w:type="first"/>
          <w:footerReference r:id="rId6" w:type="first"/>
          <w:headerReference r:id="rId3" w:type="default"/>
          <w:footerReference r:id="rId5" w:type="default"/>
          <w:pgSz w:w="11906" w:h="16838"/>
          <w:pgMar w:top="1440" w:right="1440" w:bottom="1440" w:left="1587" w:header="851" w:footer="992" w:gutter="0"/>
          <w:pgNumType w:start="0"/>
          <w:cols w:space="720" w:num="1"/>
          <w:titlePg/>
          <w:docGrid w:type="lines" w:linePitch="312" w:charSpace="0"/>
        </w:sectPr>
      </w:pPr>
    </w:p>
    <w:p w14:paraId="290BCA8D">
      <w:pPr>
        <w:pageBreakBefore w:val="0"/>
        <w:kinsoku/>
        <w:topLinePunct w:val="0"/>
        <w:bidi w:val="0"/>
        <w:spacing w:before="60" w:after="60" w:line="360" w:lineRule="auto"/>
        <w:jc w:val="center"/>
        <w:rPr>
          <w:rFonts w:hint="eastAsia" w:ascii="宋体" w:hAnsi="宋体"/>
          <w:b/>
          <w:color w:val="auto"/>
          <w:sz w:val="44"/>
          <w:szCs w:val="44"/>
          <w:highlight w:val="none"/>
        </w:rPr>
      </w:pPr>
      <w:r>
        <w:rPr>
          <w:rFonts w:hint="eastAsia" w:ascii="宋体" w:hAnsi="宋体"/>
          <w:b/>
          <w:color w:val="auto"/>
          <w:sz w:val="44"/>
          <w:szCs w:val="44"/>
          <w:highlight w:val="none"/>
        </w:rPr>
        <w:t>目  录</w:t>
      </w:r>
    </w:p>
    <w:p w14:paraId="2B48615B">
      <w:pPr>
        <w:pageBreakBefore w:val="0"/>
        <w:kinsoku/>
        <w:topLinePunct w:val="0"/>
        <w:bidi w:val="0"/>
        <w:spacing w:before="60" w:after="60" w:line="360" w:lineRule="auto"/>
        <w:rPr>
          <w:color w:val="auto"/>
          <w:highlight w:val="none"/>
        </w:rPr>
      </w:pPr>
    </w:p>
    <w:p w14:paraId="50DB1573">
      <w:pPr>
        <w:pageBreakBefore w:val="0"/>
        <w:kinsoku/>
        <w:topLinePunct w:val="0"/>
        <w:bidi w:val="0"/>
        <w:spacing w:before="60" w:after="60" w:line="360" w:lineRule="auto"/>
        <w:jc w:val="center"/>
        <w:rPr>
          <w:rFonts w:ascii="宋体" w:hAnsi="宋体"/>
          <w:b/>
          <w:color w:val="auto"/>
          <w:sz w:val="44"/>
          <w:szCs w:val="44"/>
          <w:highlight w:val="none"/>
        </w:rPr>
      </w:pPr>
    </w:p>
    <w:p w14:paraId="773728B4">
      <w:pPr>
        <w:pStyle w:val="23"/>
        <w:keepNext w:val="0"/>
        <w:keepLines w:val="0"/>
        <w:pageBreakBefore w:val="0"/>
        <w:widowControl w:val="0"/>
        <w:tabs>
          <w:tab w:val="right" w:leader="dot" w:pos="8879"/>
        </w:tabs>
        <w:kinsoku/>
        <w:wordWrap/>
        <w:overflowPunct/>
        <w:topLinePunct w:val="0"/>
        <w:autoSpaceDE/>
        <w:autoSpaceDN/>
        <w:bidi w:val="0"/>
        <w:adjustRightInd/>
        <w:spacing w:before="60" w:after="60" w:line="720" w:lineRule="auto"/>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TOC \o "1-3" \h \z \u</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HYPERLINK \l _Toc20065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第一章 竞争性磋商公告</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_Toc20065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2</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117C70C9">
      <w:pPr>
        <w:pStyle w:val="23"/>
        <w:keepNext w:val="0"/>
        <w:keepLines w:val="0"/>
        <w:pageBreakBefore w:val="0"/>
        <w:widowControl w:val="0"/>
        <w:tabs>
          <w:tab w:val="right" w:leader="dot" w:pos="8879"/>
        </w:tabs>
        <w:kinsoku/>
        <w:wordWrap/>
        <w:overflowPunct/>
        <w:topLinePunct w:val="0"/>
        <w:autoSpaceDE/>
        <w:autoSpaceDN/>
        <w:bidi w:val="0"/>
        <w:adjustRightInd/>
        <w:spacing w:before="60" w:after="60" w:line="720" w:lineRule="auto"/>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HYPERLINK \l _Toc75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第二章 供应商须知</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_Toc75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6</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4F3CEB4D">
      <w:pPr>
        <w:pStyle w:val="23"/>
        <w:keepNext w:val="0"/>
        <w:keepLines w:val="0"/>
        <w:pageBreakBefore w:val="0"/>
        <w:widowControl w:val="0"/>
        <w:tabs>
          <w:tab w:val="right" w:leader="dot" w:pos="8879"/>
        </w:tabs>
        <w:kinsoku/>
        <w:wordWrap/>
        <w:overflowPunct/>
        <w:topLinePunct w:val="0"/>
        <w:autoSpaceDE/>
        <w:autoSpaceDN/>
        <w:bidi w:val="0"/>
        <w:adjustRightInd/>
        <w:spacing w:before="60" w:after="60" w:line="720" w:lineRule="auto"/>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HYPERLINK \l _Toc15007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第三章 采购需求</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_Toc15007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27</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73EDAE44">
      <w:pPr>
        <w:pStyle w:val="23"/>
        <w:keepNext w:val="0"/>
        <w:keepLines w:val="0"/>
        <w:pageBreakBefore w:val="0"/>
        <w:widowControl w:val="0"/>
        <w:tabs>
          <w:tab w:val="right" w:leader="dot" w:pos="8879"/>
        </w:tabs>
        <w:kinsoku/>
        <w:wordWrap/>
        <w:overflowPunct/>
        <w:topLinePunct w:val="0"/>
        <w:autoSpaceDE/>
        <w:autoSpaceDN/>
        <w:bidi w:val="0"/>
        <w:adjustRightInd/>
        <w:spacing w:before="60" w:after="60" w:line="720" w:lineRule="auto"/>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HYPERLINK \l _Toc2716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第四章 评审程序、评审方法和评审标准</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_Toc2716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35</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44B96131">
      <w:pPr>
        <w:pStyle w:val="23"/>
        <w:keepNext w:val="0"/>
        <w:keepLines w:val="0"/>
        <w:pageBreakBefore w:val="0"/>
        <w:widowControl w:val="0"/>
        <w:tabs>
          <w:tab w:val="right" w:leader="dot" w:pos="8879"/>
        </w:tabs>
        <w:kinsoku/>
        <w:wordWrap/>
        <w:overflowPunct/>
        <w:topLinePunct w:val="0"/>
        <w:autoSpaceDE/>
        <w:autoSpaceDN/>
        <w:bidi w:val="0"/>
        <w:adjustRightInd/>
        <w:spacing w:before="60" w:after="60" w:line="720" w:lineRule="auto"/>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HYPERLINK \l _Toc4136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第五章 响应文件格式</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_Toc4136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44</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7220B0DF">
      <w:pPr>
        <w:pStyle w:val="23"/>
        <w:keepNext w:val="0"/>
        <w:keepLines w:val="0"/>
        <w:pageBreakBefore w:val="0"/>
        <w:widowControl w:val="0"/>
        <w:tabs>
          <w:tab w:val="right" w:leader="dot" w:pos="8879"/>
        </w:tabs>
        <w:kinsoku/>
        <w:wordWrap/>
        <w:overflowPunct/>
        <w:topLinePunct w:val="0"/>
        <w:autoSpaceDE/>
        <w:autoSpaceDN/>
        <w:bidi w:val="0"/>
        <w:adjustRightInd/>
        <w:spacing w:before="60" w:after="60" w:line="720" w:lineRule="auto"/>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HYPERLINK \l _Toc1964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第六章 合同文本</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_Toc1964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70</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4180831B">
      <w:pPr>
        <w:pStyle w:val="24"/>
        <w:keepNext w:val="0"/>
        <w:keepLines w:val="0"/>
        <w:pageBreakBefore w:val="0"/>
        <w:widowControl w:val="0"/>
        <w:tabs>
          <w:tab w:val="right" w:leader="dot" w:pos="8931"/>
          <w:tab w:val="clear" w:pos="8296"/>
        </w:tabs>
        <w:kinsoku/>
        <w:wordWrap/>
        <w:overflowPunct/>
        <w:topLinePunct w:val="0"/>
        <w:autoSpaceDE/>
        <w:autoSpaceDN/>
        <w:bidi w:val="0"/>
        <w:adjustRightInd/>
        <w:snapToGrid w:val="0"/>
        <w:spacing w:before="60" w:after="60" w:line="720" w:lineRule="auto"/>
        <w:ind w:left="0" w:leftChars="0"/>
        <w:textAlignment w:val="auto"/>
        <w:rPr>
          <w:rFonts w:ascii="宋体" w:hAnsi="宋体"/>
          <w:b/>
          <w:color w:val="auto"/>
          <w:sz w:val="24"/>
          <w:highlight w:val="none"/>
        </w:rPr>
      </w:pPr>
      <w:r>
        <w:rPr>
          <w:rFonts w:hint="eastAsia" w:ascii="宋体" w:hAnsi="宋体" w:eastAsia="宋体" w:cs="宋体"/>
          <w:b/>
          <w:bCs/>
          <w:color w:val="auto"/>
          <w:sz w:val="28"/>
          <w:szCs w:val="28"/>
          <w:highlight w:val="none"/>
        </w:rPr>
        <w:fldChar w:fldCharType="end"/>
      </w:r>
    </w:p>
    <w:p w14:paraId="0B5F1D3E">
      <w:pPr>
        <w:pageBreakBefore w:val="0"/>
        <w:kinsoku/>
        <w:topLinePunct w:val="0"/>
        <w:bidi w:val="0"/>
        <w:spacing w:before="60" w:after="60" w:line="360" w:lineRule="auto"/>
        <w:rPr>
          <w:color w:val="auto"/>
          <w:highlight w:val="none"/>
        </w:rPr>
      </w:pPr>
    </w:p>
    <w:p w14:paraId="3166F2E1">
      <w:pPr>
        <w:pageBreakBefore w:val="0"/>
        <w:kinsoku/>
        <w:topLinePunct w:val="0"/>
        <w:bidi w:val="0"/>
        <w:spacing w:before="60" w:after="60" w:line="360" w:lineRule="auto"/>
        <w:rPr>
          <w:color w:val="auto"/>
          <w:highlight w:val="none"/>
        </w:rPr>
      </w:pPr>
    </w:p>
    <w:p w14:paraId="6FD82822">
      <w:pPr>
        <w:pageBreakBefore w:val="0"/>
        <w:kinsoku/>
        <w:topLinePunct w:val="0"/>
        <w:bidi w:val="0"/>
        <w:spacing w:before="60" w:after="60" w:line="360" w:lineRule="auto"/>
        <w:rPr>
          <w:color w:val="auto"/>
          <w:highlight w:val="none"/>
        </w:rPr>
      </w:pPr>
    </w:p>
    <w:p w14:paraId="08948234">
      <w:pPr>
        <w:pageBreakBefore w:val="0"/>
        <w:kinsoku/>
        <w:topLinePunct w:val="0"/>
        <w:bidi w:val="0"/>
        <w:spacing w:before="60" w:after="60" w:line="360" w:lineRule="auto"/>
        <w:rPr>
          <w:color w:val="auto"/>
          <w:highlight w:val="none"/>
        </w:rPr>
      </w:pPr>
    </w:p>
    <w:p w14:paraId="179F663C">
      <w:pPr>
        <w:pageBreakBefore w:val="0"/>
        <w:kinsoku/>
        <w:topLinePunct w:val="0"/>
        <w:bidi w:val="0"/>
        <w:spacing w:before="60" w:after="60" w:line="360" w:lineRule="auto"/>
        <w:rPr>
          <w:color w:val="auto"/>
          <w:highlight w:val="none"/>
        </w:rPr>
      </w:pPr>
    </w:p>
    <w:p w14:paraId="06A2FBD8">
      <w:pPr>
        <w:pageBreakBefore w:val="0"/>
        <w:kinsoku/>
        <w:topLinePunct w:val="0"/>
        <w:bidi w:val="0"/>
        <w:spacing w:before="60" w:after="60" w:line="360" w:lineRule="auto"/>
        <w:rPr>
          <w:color w:val="auto"/>
          <w:highlight w:val="none"/>
        </w:rPr>
      </w:pPr>
    </w:p>
    <w:p w14:paraId="3A0CE0D8">
      <w:pPr>
        <w:pageBreakBefore w:val="0"/>
        <w:kinsoku/>
        <w:topLinePunct w:val="0"/>
        <w:bidi w:val="0"/>
        <w:spacing w:before="60" w:after="60" w:line="360" w:lineRule="auto"/>
        <w:rPr>
          <w:color w:val="auto"/>
          <w:highlight w:val="none"/>
        </w:rPr>
      </w:pPr>
    </w:p>
    <w:p w14:paraId="56E608C4">
      <w:pPr>
        <w:pageBreakBefore w:val="0"/>
        <w:kinsoku/>
        <w:topLinePunct w:val="0"/>
        <w:bidi w:val="0"/>
        <w:spacing w:before="60" w:after="60" w:line="360" w:lineRule="auto"/>
        <w:rPr>
          <w:color w:val="auto"/>
          <w:highlight w:val="none"/>
        </w:rPr>
      </w:pPr>
    </w:p>
    <w:p w14:paraId="02869593">
      <w:pPr>
        <w:pStyle w:val="4"/>
        <w:pageBreakBefore w:val="0"/>
        <w:kinsoku/>
        <w:topLinePunct w:val="0"/>
        <w:bidi w:val="0"/>
        <w:spacing w:before="60" w:after="60" w:line="360" w:lineRule="auto"/>
        <w:jc w:val="center"/>
        <w:rPr>
          <w:color w:val="auto"/>
          <w:highlight w:val="none"/>
        </w:rPr>
      </w:pPr>
      <w:bookmarkStart w:id="0" w:name="_Toc20065"/>
      <w:r>
        <w:rPr>
          <w:rFonts w:hint="eastAsia"/>
          <w:color w:val="auto"/>
          <w:highlight w:val="none"/>
        </w:rPr>
        <w:t>第一章 竞争性磋商公告</w:t>
      </w:r>
      <w:bookmarkEnd w:id="0"/>
    </w:p>
    <w:p w14:paraId="35A41BDD">
      <w:pPr>
        <w:pageBreakBefore w:val="0"/>
        <w:kinsoku/>
        <w:topLinePunct w:val="0"/>
        <w:bidi w:val="0"/>
        <w:spacing w:before="60" w:after="60"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竞争性磋商公告</w:t>
      </w:r>
    </w:p>
    <w:p w14:paraId="0D7CF639">
      <w:pPr>
        <w:pageBreakBefore w:val="0"/>
        <w:kinsoku/>
        <w:topLinePunct w:val="0"/>
        <w:bidi w:val="0"/>
        <w:spacing w:before="60" w:after="60" w:line="360" w:lineRule="auto"/>
        <w:rPr>
          <w:rFonts w:ascii="宋体" w:hAnsi="宋体"/>
          <w:color w:val="auto"/>
          <w:szCs w:val="21"/>
          <w:highlight w:val="none"/>
        </w:rPr>
      </w:pP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5"/>
      </w:tblGrid>
      <w:tr w14:paraId="4D9EA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5" w:type="dxa"/>
          </w:tcPr>
          <w:p w14:paraId="6C31F91C">
            <w:pPr>
              <w:keepNext w:val="0"/>
              <w:keepLines w:val="0"/>
              <w:pageBreakBefore w:val="0"/>
              <w:suppressLineNumbers w:val="0"/>
              <w:kinsoku/>
              <w:topLinePunct w:val="0"/>
              <w:bidi w:val="0"/>
              <w:spacing w:before="60" w:beforeAutospacing="0" w:after="60" w:afterAutospacing="0" w:line="360" w:lineRule="auto"/>
              <w:ind w:left="0" w:right="0"/>
              <w:rPr>
                <w:rFonts w:hint="eastAsia" w:ascii="宋体" w:hAnsi="宋体"/>
                <w:color w:val="auto"/>
                <w:szCs w:val="21"/>
                <w:highlight w:val="none"/>
                <w:vertAlign w:val="baseline"/>
                <w:lang w:val="en-US" w:eastAsia="zh-CN"/>
              </w:rPr>
            </w:pPr>
            <w:bookmarkStart w:id="1" w:name="_Hlk37430271"/>
            <w:r>
              <w:rPr>
                <w:rFonts w:hint="eastAsia" w:ascii="宋体" w:hAnsi="宋体"/>
                <w:color w:val="auto"/>
                <w:szCs w:val="21"/>
                <w:highlight w:val="none"/>
                <w:vertAlign w:val="baseline"/>
                <w:lang w:val="en-US" w:eastAsia="zh-CN"/>
              </w:rPr>
              <w:t>项目概况</w:t>
            </w:r>
          </w:p>
          <w:p w14:paraId="01F1BAF7">
            <w:pPr>
              <w:keepNext w:val="0"/>
              <w:keepLines w:val="0"/>
              <w:pageBreakBefore w:val="0"/>
              <w:suppressLineNumbers w:val="0"/>
              <w:kinsoku/>
              <w:topLinePunct w:val="0"/>
              <w:bidi w:val="0"/>
              <w:spacing w:before="60" w:beforeAutospacing="0" w:after="60" w:afterAutospacing="0" w:line="360" w:lineRule="auto"/>
              <w:ind w:left="0" w:right="0" w:firstLine="420" w:firstLineChars="200"/>
              <w:rPr>
                <w:rFonts w:hint="eastAsia" w:ascii="宋体" w:hAnsi="宋体"/>
                <w:color w:val="auto"/>
                <w:szCs w:val="21"/>
                <w:highlight w:val="none"/>
                <w:vertAlign w:val="baseline"/>
                <w:lang w:val="en-US" w:eastAsia="zh-CN"/>
              </w:rPr>
            </w:pPr>
            <w:r>
              <w:rPr>
                <w:rFonts w:hint="eastAsia" w:ascii="宋体" w:hAnsi="宋体"/>
                <w:color w:val="auto"/>
                <w:szCs w:val="21"/>
                <w:highlight w:val="none"/>
                <w:vertAlign w:val="baseline"/>
                <w:lang w:val="en-US" w:eastAsia="zh-CN"/>
              </w:rPr>
              <w:t>浦北县农民工创业园能力提升项目的潜在供应商应在“广西政府采购云平台”（http://www.gcy.zfcg.gxzf.gov.cn）获取（下载）竞争性磋商文件，并于2026年10月21日10时30分（北京时间）前提交（上传）响应文件。</w:t>
            </w:r>
          </w:p>
        </w:tc>
      </w:tr>
    </w:tbl>
    <w:p w14:paraId="5F59B6C8">
      <w:pPr>
        <w:pageBreakBefore w:val="0"/>
        <w:kinsoku/>
        <w:topLinePunct w:val="0"/>
        <w:bidi w:val="0"/>
        <w:spacing w:before="60" w:after="60" w:line="360" w:lineRule="auto"/>
        <w:ind w:firstLine="354" w:firstLineChars="147"/>
        <w:rPr>
          <w:rFonts w:ascii="黑体" w:hAnsi="黑体" w:eastAsia="黑体"/>
          <w:b/>
          <w:color w:val="auto"/>
          <w:sz w:val="24"/>
          <w:highlight w:val="none"/>
        </w:rPr>
      </w:pPr>
      <w:bookmarkStart w:id="2" w:name="_Toc44229878"/>
      <w:bookmarkStart w:id="3" w:name="_Toc35393629"/>
      <w:bookmarkStart w:id="4" w:name="_Toc71365905"/>
      <w:bookmarkStart w:id="5" w:name="_Toc35393798"/>
      <w:bookmarkStart w:id="6" w:name="_Toc28359089"/>
      <w:bookmarkStart w:id="7" w:name="_Toc28359012"/>
      <w:r>
        <w:rPr>
          <w:rFonts w:hint="eastAsia" w:ascii="黑体" w:hAnsi="黑体" w:eastAsia="黑体"/>
          <w:b/>
          <w:color w:val="auto"/>
          <w:sz w:val="24"/>
          <w:highlight w:val="none"/>
        </w:rPr>
        <w:t>一、项目基本情况</w:t>
      </w:r>
      <w:bookmarkEnd w:id="2"/>
      <w:bookmarkEnd w:id="3"/>
      <w:bookmarkEnd w:id="4"/>
      <w:bookmarkEnd w:id="5"/>
      <w:bookmarkEnd w:id="6"/>
      <w:bookmarkEnd w:id="7"/>
    </w:p>
    <w:p w14:paraId="1F779422">
      <w:pPr>
        <w:pageBreakBefore w:val="0"/>
        <w:kinsoku/>
        <w:topLinePunct w:val="0"/>
        <w:bidi w:val="0"/>
        <w:spacing w:before="60" w:after="60"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项目编号：</w:t>
      </w:r>
      <w:r>
        <w:rPr>
          <w:rFonts w:hint="eastAsia" w:ascii="宋体" w:hAnsi="宋体"/>
          <w:color w:val="auto"/>
          <w:szCs w:val="21"/>
          <w:highlight w:val="none"/>
          <w:lang w:eastAsia="zh-CN"/>
        </w:rPr>
        <w:t>QZZC2026-C3-220159-GXRS</w:t>
      </w:r>
    </w:p>
    <w:p w14:paraId="6DD44613">
      <w:pPr>
        <w:pageBreakBefore w:val="0"/>
        <w:kinsoku/>
        <w:topLinePunct w:val="0"/>
        <w:bidi w:val="0"/>
        <w:spacing w:before="60" w:after="60" w:line="360" w:lineRule="auto"/>
        <w:ind w:firstLine="420" w:firstLineChars="200"/>
        <w:rPr>
          <w:rFonts w:hint="eastAsia" w:ascii="宋体" w:hAnsi="宋体" w:eastAsia="宋体"/>
          <w:color w:val="auto"/>
          <w:szCs w:val="21"/>
          <w:highlight w:val="none"/>
          <w:u w:val="single"/>
          <w:lang w:eastAsia="zh-CN"/>
        </w:rPr>
      </w:pPr>
      <w:r>
        <w:rPr>
          <w:rFonts w:hint="eastAsia" w:ascii="宋体" w:hAnsi="宋体"/>
          <w:color w:val="auto"/>
          <w:szCs w:val="21"/>
          <w:highlight w:val="none"/>
        </w:rPr>
        <w:t>项目名称：</w:t>
      </w:r>
      <w:r>
        <w:rPr>
          <w:rFonts w:hint="eastAsia" w:ascii="宋体" w:hAnsi="宋体"/>
          <w:color w:val="auto"/>
          <w:szCs w:val="21"/>
          <w:highlight w:val="none"/>
          <w:lang w:eastAsia="zh-CN"/>
        </w:rPr>
        <w:t>浦北县农民工创业园能力提升项目</w:t>
      </w:r>
    </w:p>
    <w:p w14:paraId="737F97CB">
      <w:pPr>
        <w:pageBreakBefore w:val="0"/>
        <w:kinsoku/>
        <w:topLinePunct w:val="0"/>
        <w:bidi w:val="0"/>
        <w:spacing w:before="60" w:after="60" w:line="360" w:lineRule="auto"/>
        <w:ind w:firstLine="420" w:firstLineChars="200"/>
        <w:rPr>
          <w:rFonts w:ascii="宋体" w:hAnsi="宋体"/>
          <w:color w:val="auto"/>
          <w:szCs w:val="21"/>
          <w:highlight w:val="none"/>
        </w:rPr>
      </w:pPr>
      <w:r>
        <w:rPr>
          <w:rFonts w:hint="eastAsia" w:ascii="宋体" w:hAnsi="宋体"/>
          <w:color w:val="auto"/>
          <w:szCs w:val="21"/>
          <w:highlight w:val="none"/>
        </w:rPr>
        <w:t>采购方式：竞争性磋商</w:t>
      </w:r>
    </w:p>
    <w:p w14:paraId="62D10637">
      <w:pPr>
        <w:pageBreakBefore w:val="0"/>
        <w:kinsoku/>
        <w:topLinePunct w:val="0"/>
        <w:bidi w:val="0"/>
        <w:spacing w:before="60" w:after="60" w:line="360" w:lineRule="auto"/>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预算总金额（元）：999793.70</w:t>
      </w:r>
    </w:p>
    <w:p w14:paraId="01396296">
      <w:pPr>
        <w:pageBreakBefore w:val="0"/>
        <w:kinsoku/>
        <w:topLinePunct w:val="0"/>
        <w:bidi w:val="0"/>
        <w:spacing w:before="60" w:after="6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采购需求：</w:t>
      </w:r>
    </w:p>
    <w:p w14:paraId="586505E1">
      <w:pPr>
        <w:pageBreakBefore w:val="0"/>
        <w:kinsoku/>
        <w:topLinePunct w:val="0"/>
        <w:bidi w:val="0"/>
        <w:spacing w:before="60" w:after="6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标项名称:浦北县农民工创业园能力提升项目</w:t>
      </w:r>
    </w:p>
    <w:p w14:paraId="5B79B51A">
      <w:pPr>
        <w:pageBreakBefore w:val="0"/>
        <w:kinsoku/>
        <w:topLinePunct w:val="0"/>
        <w:bidi w:val="0"/>
        <w:spacing w:before="60" w:after="6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数量:1</w:t>
      </w:r>
    </w:p>
    <w:p w14:paraId="108FDF2D">
      <w:pPr>
        <w:pageBreakBefore w:val="0"/>
        <w:kinsoku/>
        <w:topLinePunct w:val="0"/>
        <w:bidi w:val="0"/>
        <w:spacing w:before="60" w:after="60" w:line="360" w:lineRule="auto"/>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预算金额（元）:999793.70</w:t>
      </w:r>
    </w:p>
    <w:p w14:paraId="48607784">
      <w:pPr>
        <w:pageBreakBefore w:val="0"/>
        <w:kinsoku/>
        <w:topLinePunct w:val="0"/>
        <w:bidi w:val="0"/>
        <w:spacing w:before="60" w:after="6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简要规格描述或项目基本概况介绍、用途：全方位</w:t>
      </w:r>
      <w:r>
        <w:rPr>
          <w:rFonts w:hint="eastAsia" w:ascii="宋体" w:hAnsi="宋体"/>
          <w:color w:val="auto"/>
          <w:szCs w:val="21"/>
          <w:highlight w:val="none"/>
          <w:lang w:eastAsia="zh-CN"/>
        </w:rPr>
        <w:t>开展农</w:t>
      </w:r>
      <w:r>
        <w:rPr>
          <w:rFonts w:hint="eastAsia" w:ascii="宋体" w:hAnsi="宋体"/>
          <w:color w:val="auto"/>
          <w:szCs w:val="21"/>
          <w:highlight w:val="none"/>
        </w:rPr>
        <w:t>民工创业园能力提升</w:t>
      </w:r>
      <w:r>
        <w:rPr>
          <w:rFonts w:hint="eastAsia" w:ascii="宋体" w:hAnsi="宋体"/>
          <w:color w:val="auto"/>
          <w:szCs w:val="21"/>
          <w:highlight w:val="none"/>
          <w:lang w:eastAsia="zh-CN"/>
        </w:rPr>
        <w:t>，</w:t>
      </w:r>
      <w:r>
        <w:rPr>
          <w:rFonts w:hint="eastAsia" w:ascii="宋体" w:hAnsi="宋体"/>
          <w:color w:val="auto"/>
          <w:szCs w:val="21"/>
          <w:highlight w:val="none"/>
        </w:rPr>
        <w:t>升级园区硬件服务阵地，改造建设综合服务中心，完善配套功能区域，打造农民工创业园连片企业一条街特色，建成千米企业信息发布栏，优化园区整体形象，夯实服务硬件基础。健全规范化管理运营体系，完善企业入驻、退出等制度，聘请具有相关资质的第三方机构承接运营管理，配齐专职人员，推行“一窗受理”及“五员”管家服务模式，精准落实政策宣讲、用工对接、业务代办、权益保障等服务。创新优化培训内容与模式，结合本地产业特色，采用多元化教学方式，常态化开展基础培训，深耕特色产业、新兴电商领域培训，推行“技能+创业”融合培训。建强创业指导服务队伍，设立专属指导工作室，提供一对一精准帮扶，常态化开展赛事、项目推介活动，搭建线上线下创业对接平台，全面激活农民工创新创业活力，助力园区企业高质量发展</w:t>
      </w:r>
      <w:r>
        <w:rPr>
          <w:rFonts w:hint="eastAsia" w:ascii="宋体" w:hAnsi="宋体"/>
          <w:color w:val="auto"/>
          <w:szCs w:val="21"/>
          <w:highlight w:val="none"/>
          <w:lang w:eastAsia="zh-CN"/>
        </w:rPr>
        <w:t>，</w:t>
      </w:r>
      <w:r>
        <w:rPr>
          <w:rFonts w:hint="eastAsia" w:ascii="宋体" w:hAnsi="宋体"/>
          <w:color w:val="auto"/>
          <w:szCs w:val="21"/>
          <w:highlight w:val="none"/>
        </w:rPr>
        <w:t>具体内容详见</w:t>
      </w:r>
      <w:r>
        <w:rPr>
          <w:rFonts w:hint="eastAsia" w:ascii="宋体" w:hAnsi="宋体"/>
          <w:color w:val="auto"/>
          <w:szCs w:val="21"/>
          <w:highlight w:val="none"/>
          <w:lang w:eastAsia="zh-CN"/>
        </w:rPr>
        <w:t>采购文件</w:t>
      </w:r>
      <w:r>
        <w:rPr>
          <w:rFonts w:hint="eastAsia" w:ascii="宋体" w:hAnsi="宋体"/>
          <w:color w:val="auto"/>
          <w:szCs w:val="21"/>
          <w:highlight w:val="none"/>
        </w:rPr>
        <w:t>。</w:t>
      </w:r>
    </w:p>
    <w:p w14:paraId="282ED0EF">
      <w:pPr>
        <w:pageBreakBefore w:val="0"/>
        <w:kinsoku/>
        <w:topLinePunct w:val="0"/>
        <w:bidi w:val="0"/>
        <w:spacing w:before="60" w:after="6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最高限价（如有）：999793.70 </w:t>
      </w:r>
    </w:p>
    <w:p w14:paraId="2BD30D73">
      <w:pPr>
        <w:pageBreakBefore w:val="0"/>
        <w:kinsoku/>
        <w:topLinePunct w:val="0"/>
        <w:bidi w:val="0"/>
        <w:spacing w:before="60" w:after="60"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合同履约期限：自签订合同之日起一年</w:t>
      </w:r>
      <w:r>
        <w:rPr>
          <w:rFonts w:hint="eastAsia" w:ascii="宋体" w:hAnsi="宋体" w:eastAsia="宋体" w:cs="宋体"/>
          <w:color w:val="auto"/>
          <w:sz w:val="21"/>
          <w:szCs w:val="21"/>
          <w:highlight w:val="none"/>
          <w:lang w:val="en-US" w:eastAsia="zh-CN"/>
        </w:rPr>
        <w:t>。</w:t>
      </w:r>
    </w:p>
    <w:p w14:paraId="7D0B0578">
      <w:pPr>
        <w:pageBreakBefore w:val="0"/>
        <w:kinsoku/>
        <w:topLinePunct w:val="0"/>
        <w:bidi w:val="0"/>
        <w:spacing w:before="60" w:after="6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本标项（否）接受联合体投标</w:t>
      </w:r>
    </w:p>
    <w:p w14:paraId="27AABA6F">
      <w:pPr>
        <w:pageBreakBefore w:val="0"/>
        <w:kinsoku/>
        <w:topLinePunct w:val="0"/>
        <w:bidi w:val="0"/>
        <w:spacing w:before="60" w:after="6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备注：</w:t>
      </w:r>
      <w:r>
        <w:rPr>
          <w:rFonts w:hint="eastAsia" w:ascii="宋体" w:hAnsi="宋体"/>
          <w:color w:val="auto"/>
          <w:szCs w:val="21"/>
          <w:highlight w:val="none"/>
          <w:lang w:val="en-US" w:eastAsia="zh-CN"/>
        </w:rPr>
        <w:t>/</w:t>
      </w:r>
      <w:r>
        <w:rPr>
          <w:rFonts w:hint="eastAsia" w:ascii="宋体" w:hAnsi="宋体"/>
          <w:color w:val="auto"/>
          <w:szCs w:val="21"/>
          <w:highlight w:val="none"/>
        </w:rPr>
        <w:t>。</w:t>
      </w:r>
    </w:p>
    <w:p w14:paraId="2EECAA8D">
      <w:pPr>
        <w:pageBreakBefore w:val="0"/>
        <w:kinsoku/>
        <w:topLinePunct w:val="0"/>
        <w:bidi w:val="0"/>
        <w:spacing w:before="60" w:after="60" w:line="360" w:lineRule="auto"/>
        <w:ind w:firstLine="354" w:firstLineChars="147"/>
        <w:rPr>
          <w:rFonts w:ascii="黑体" w:hAnsi="黑体" w:eastAsia="黑体"/>
          <w:b/>
          <w:color w:val="auto"/>
          <w:sz w:val="24"/>
          <w:highlight w:val="none"/>
        </w:rPr>
      </w:pPr>
      <w:bookmarkStart w:id="8" w:name="_Toc28359090"/>
      <w:bookmarkStart w:id="9" w:name="_Toc71365906"/>
      <w:bookmarkStart w:id="10" w:name="_Toc35393799"/>
      <w:bookmarkStart w:id="11" w:name="_Toc28359013"/>
      <w:bookmarkStart w:id="12" w:name="_Toc44229879"/>
      <w:bookmarkStart w:id="13" w:name="_Toc35393630"/>
      <w:r>
        <w:rPr>
          <w:rFonts w:hint="eastAsia" w:ascii="黑体" w:hAnsi="黑体" w:eastAsia="黑体"/>
          <w:b/>
          <w:color w:val="auto"/>
          <w:sz w:val="24"/>
          <w:highlight w:val="none"/>
        </w:rPr>
        <w:t>二、申请人的资格条件：</w:t>
      </w:r>
      <w:bookmarkEnd w:id="8"/>
      <w:bookmarkEnd w:id="9"/>
      <w:bookmarkEnd w:id="10"/>
      <w:bookmarkEnd w:id="11"/>
      <w:bookmarkEnd w:id="12"/>
      <w:bookmarkEnd w:id="13"/>
    </w:p>
    <w:p w14:paraId="28A3AF01">
      <w:pPr>
        <w:pageBreakBefore w:val="0"/>
        <w:kinsoku/>
        <w:topLinePunct w:val="0"/>
        <w:bidi w:val="0"/>
        <w:spacing w:before="60" w:after="60" w:line="360" w:lineRule="auto"/>
        <w:ind w:firstLine="420" w:firstLineChars="200"/>
        <w:rPr>
          <w:rFonts w:ascii="宋体" w:hAnsi="宋体"/>
          <w:color w:val="auto"/>
          <w:szCs w:val="21"/>
          <w:highlight w:val="none"/>
        </w:rPr>
      </w:pPr>
      <w:bookmarkStart w:id="14" w:name="_Toc44229880"/>
      <w:bookmarkStart w:id="15" w:name="_Toc35393800"/>
      <w:bookmarkStart w:id="16" w:name="_Toc35393631"/>
      <w:bookmarkStart w:id="17" w:name="_Toc28359091"/>
      <w:bookmarkStart w:id="18" w:name="_Toc28359014"/>
      <w:r>
        <w:rPr>
          <w:rFonts w:hint="eastAsia" w:ascii="宋体" w:hAnsi="宋体"/>
          <w:color w:val="auto"/>
          <w:szCs w:val="21"/>
          <w:highlight w:val="none"/>
        </w:rPr>
        <w:t>1</w:t>
      </w:r>
      <w:r>
        <w:rPr>
          <w:rFonts w:hint="eastAsia" w:ascii="宋体" w:hAnsi="宋体"/>
          <w:color w:val="auto"/>
          <w:szCs w:val="21"/>
          <w:highlight w:val="none"/>
          <w:lang w:eastAsia="zh-CN"/>
        </w:rPr>
        <w:t>.</w:t>
      </w:r>
      <w:r>
        <w:rPr>
          <w:rFonts w:hint="eastAsia" w:ascii="宋体" w:hAnsi="宋体"/>
          <w:color w:val="auto"/>
          <w:szCs w:val="21"/>
          <w:highlight w:val="none"/>
        </w:rPr>
        <w:t>满足《中华人民共和国政府采购法》第二十二条规定；</w:t>
      </w:r>
    </w:p>
    <w:p w14:paraId="05F60D0C">
      <w:pPr>
        <w:pageBreakBefore w:val="0"/>
        <w:kinsoku/>
        <w:topLinePunct w:val="0"/>
        <w:bidi w:val="0"/>
        <w:spacing w:before="60" w:after="60" w:line="360" w:lineRule="auto"/>
        <w:ind w:firstLine="420" w:firstLineChars="200"/>
        <w:rPr>
          <w:rFonts w:ascii="宋体" w:hAnsi="宋体"/>
          <w:color w:val="auto"/>
          <w:highlight w:val="none"/>
        </w:rPr>
      </w:pPr>
      <w:r>
        <w:rPr>
          <w:rFonts w:hint="eastAsia" w:ascii="宋体" w:hAnsi="宋体"/>
          <w:color w:val="auto"/>
          <w:highlight w:val="none"/>
        </w:rPr>
        <w:t>2</w:t>
      </w:r>
      <w:r>
        <w:rPr>
          <w:rFonts w:hint="eastAsia" w:ascii="宋体" w:hAnsi="宋体"/>
          <w:color w:val="auto"/>
          <w:highlight w:val="none"/>
          <w:lang w:eastAsia="zh-CN"/>
        </w:rPr>
        <w:t>.</w:t>
      </w:r>
      <w:r>
        <w:rPr>
          <w:rFonts w:hint="eastAsia" w:ascii="宋体" w:hAnsi="宋体"/>
          <w:color w:val="auto"/>
          <w:highlight w:val="none"/>
        </w:rPr>
        <w:t>落实政府采购政策需满足的资格要求：</w:t>
      </w:r>
      <w:r>
        <w:rPr>
          <w:rFonts w:hint="eastAsia" w:ascii="宋体" w:hAnsi="宋体"/>
          <w:b/>
          <w:bCs/>
          <w:color w:val="auto"/>
          <w:szCs w:val="21"/>
          <w:highlight w:val="none"/>
          <w:lang w:eastAsia="zh-CN"/>
        </w:rPr>
        <w:t>本项目为专门面向中小企业采购的项目（供应商应为中小微企业或监狱企业或残疾人福利性单位）</w:t>
      </w:r>
      <w:r>
        <w:rPr>
          <w:rFonts w:hint="eastAsia" w:ascii="宋体" w:hAnsi="宋体"/>
          <w:b/>
          <w:bCs/>
          <w:color w:val="auto"/>
          <w:szCs w:val="21"/>
          <w:highlight w:val="none"/>
        </w:rPr>
        <w:t>；</w:t>
      </w:r>
    </w:p>
    <w:p w14:paraId="1D2D3FC4">
      <w:pPr>
        <w:pageBreakBefore w:val="0"/>
        <w:kinsoku/>
        <w:wordWrap w:val="0"/>
        <w:topLinePunct w:val="0"/>
        <w:bidi w:val="0"/>
        <w:spacing w:before="60" w:after="60" w:line="360" w:lineRule="auto"/>
        <w:ind w:firstLine="420" w:firstLineChars="200"/>
        <w:rPr>
          <w:rFonts w:ascii="宋体" w:hAnsi="宋体"/>
          <w:b/>
          <w:bCs/>
          <w:color w:val="auto"/>
          <w:highlight w:val="none"/>
        </w:rPr>
      </w:pPr>
      <w:r>
        <w:rPr>
          <w:rFonts w:hint="eastAsia" w:ascii="宋体" w:hAnsi="宋体"/>
          <w:color w:val="auto"/>
          <w:highlight w:val="none"/>
        </w:rPr>
        <w:t>3</w:t>
      </w:r>
      <w:r>
        <w:rPr>
          <w:rFonts w:hint="eastAsia" w:ascii="宋体" w:hAnsi="宋体"/>
          <w:color w:val="auto"/>
          <w:highlight w:val="none"/>
          <w:lang w:eastAsia="zh-CN"/>
        </w:rPr>
        <w:t>.</w:t>
      </w:r>
      <w:r>
        <w:rPr>
          <w:rFonts w:hint="eastAsia" w:ascii="宋体" w:hAnsi="宋体"/>
          <w:color w:val="auto"/>
          <w:highlight w:val="none"/>
        </w:rPr>
        <w:t>本项目的特定资格要求：</w:t>
      </w:r>
      <w:r>
        <w:rPr>
          <w:rFonts w:hint="eastAsia" w:ascii="宋体" w:hAnsi="宋体"/>
          <w:b/>
          <w:bCs/>
          <w:color w:val="auto"/>
          <w:highlight w:val="none"/>
          <w:lang w:eastAsia="zh-CN"/>
        </w:rPr>
        <w:t>供应商须具有</w:t>
      </w:r>
      <w:r>
        <w:rPr>
          <w:rFonts w:hint="eastAsia" w:ascii="宋体" w:hAnsi="宋体"/>
          <w:b/>
          <w:bCs/>
          <w:color w:val="auto"/>
          <w:highlight w:val="none"/>
          <w:lang w:val="en-US" w:eastAsia="zh-CN"/>
        </w:rPr>
        <w:t>有效的</w:t>
      </w:r>
      <w:r>
        <w:rPr>
          <w:rFonts w:hint="eastAsia" w:ascii="宋体" w:hAnsi="宋体"/>
          <w:b/>
          <w:bCs/>
          <w:color w:val="auto"/>
          <w:highlight w:val="none"/>
        </w:rPr>
        <w:t>人力资源服务许可证</w:t>
      </w:r>
      <w:r>
        <w:rPr>
          <w:rFonts w:hint="eastAsia" w:ascii="宋体" w:hAnsi="宋体"/>
          <w:b w:val="0"/>
          <w:bCs w:val="0"/>
          <w:color w:val="auto"/>
          <w:szCs w:val="21"/>
          <w:highlight w:val="none"/>
          <w:lang w:eastAsia="zh-CN"/>
        </w:rPr>
        <w:t>；</w:t>
      </w:r>
    </w:p>
    <w:p w14:paraId="1FF0CE7E">
      <w:pPr>
        <w:pageBreakBefore w:val="0"/>
        <w:kinsoku/>
        <w:wordWrap w:val="0"/>
        <w:topLinePunct w:val="0"/>
        <w:bidi w:val="0"/>
        <w:spacing w:before="60" w:after="60" w:line="360" w:lineRule="auto"/>
        <w:ind w:firstLine="420" w:firstLineChars="200"/>
        <w:rPr>
          <w:rFonts w:ascii="宋体" w:hAnsi="宋体"/>
          <w:b/>
          <w:bCs/>
          <w:color w:val="auto"/>
          <w:highlight w:val="none"/>
        </w:rPr>
      </w:pPr>
      <w:r>
        <w:rPr>
          <w:rFonts w:hint="eastAsia" w:ascii="宋体" w:hAnsi="宋体"/>
          <w:color w:val="auto"/>
          <w:highlight w:val="none"/>
        </w:rPr>
        <w:t>4</w:t>
      </w:r>
      <w:r>
        <w:rPr>
          <w:rFonts w:hint="eastAsia" w:ascii="宋体" w:hAnsi="宋体"/>
          <w:color w:val="auto"/>
          <w:highlight w:val="none"/>
          <w:lang w:eastAsia="zh-CN"/>
        </w:rPr>
        <w:t>.</w:t>
      </w:r>
      <w:r>
        <w:rPr>
          <w:rFonts w:hint="eastAsia" w:ascii="宋体" w:hAnsi="宋体"/>
          <w:color w:val="auto"/>
          <w:highlight w:val="none"/>
        </w:rPr>
        <w:t>本项目的特定条件：</w:t>
      </w:r>
      <w:r>
        <w:rPr>
          <w:rFonts w:hint="eastAsia" w:ascii="宋体" w:hAnsi="宋体"/>
          <w:color w:val="auto"/>
          <w:highlight w:val="none"/>
          <w:lang w:val="en-US" w:eastAsia="zh-CN"/>
        </w:rPr>
        <w:t>无。</w:t>
      </w:r>
    </w:p>
    <w:p w14:paraId="1CED0320">
      <w:pPr>
        <w:pageBreakBefore w:val="0"/>
        <w:kinsoku/>
        <w:topLinePunct w:val="0"/>
        <w:bidi w:val="0"/>
        <w:spacing w:before="60" w:after="60" w:line="360" w:lineRule="auto"/>
        <w:ind w:firstLine="354" w:firstLineChars="147"/>
        <w:rPr>
          <w:rFonts w:ascii="黑体" w:hAnsi="黑体" w:eastAsia="黑体"/>
          <w:b/>
          <w:color w:val="auto"/>
          <w:sz w:val="24"/>
          <w:highlight w:val="none"/>
        </w:rPr>
      </w:pPr>
      <w:bookmarkStart w:id="19" w:name="_Toc71365907"/>
      <w:r>
        <w:rPr>
          <w:rFonts w:hint="eastAsia" w:ascii="黑体" w:hAnsi="黑体" w:eastAsia="黑体"/>
          <w:b/>
          <w:color w:val="auto"/>
          <w:sz w:val="24"/>
          <w:highlight w:val="none"/>
        </w:rPr>
        <w:t>三、获取竞争性磋商文件</w:t>
      </w:r>
      <w:bookmarkEnd w:id="14"/>
      <w:bookmarkEnd w:id="15"/>
      <w:bookmarkEnd w:id="16"/>
      <w:bookmarkEnd w:id="17"/>
      <w:bookmarkEnd w:id="18"/>
      <w:bookmarkEnd w:id="19"/>
    </w:p>
    <w:p w14:paraId="5DC6AA6B">
      <w:pPr>
        <w:pageBreakBefore w:val="0"/>
        <w:kinsoku/>
        <w:topLinePunct w:val="0"/>
        <w:bidi w:val="0"/>
        <w:spacing w:before="60" w:after="60" w:line="360" w:lineRule="auto"/>
        <w:ind w:firstLine="420" w:firstLineChars="200"/>
        <w:rPr>
          <w:rFonts w:ascii="宋体" w:hAnsi="宋体" w:cs="宋体"/>
          <w:bCs/>
          <w:color w:val="auto"/>
          <w:kern w:val="0"/>
          <w:szCs w:val="21"/>
          <w:highlight w:val="none"/>
        </w:rPr>
      </w:pPr>
      <w:bookmarkStart w:id="20" w:name="_Toc35393801"/>
      <w:bookmarkStart w:id="21" w:name="_Toc28359015"/>
      <w:bookmarkStart w:id="22" w:name="_Toc35393632"/>
      <w:bookmarkStart w:id="23" w:name="_Toc44229881"/>
      <w:bookmarkStart w:id="24" w:name="_Toc28359092"/>
      <w:r>
        <w:rPr>
          <w:rFonts w:hint="eastAsia" w:ascii="宋体" w:hAnsi="宋体" w:cs="宋体"/>
          <w:bCs/>
          <w:color w:val="auto"/>
          <w:kern w:val="0"/>
          <w:szCs w:val="21"/>
          <w:highlight w:val="none"/>
        </w:rPr>
        <w:t>时间：</w:t>
      </w:r>
      <w:r>
        <w:rPr>
          <w:rFonts w:hint="eastAsia" w:ascii="宋体" w:hAnsi="宋体"/>
          <w:bCs/>
          <w:color w:val="auto"/>
          <w:szCs w:val="21"/>
          <w:highlight w:val="none"/>
          <w:u w:val="single"/>
          <w:lang w:eastAsia="zh-CN"/>
        </w:rPr>
        <w:t>202</w:t>
      </w:r>
      <w:r>
        <w:rPr>
          <w:rFonts w:hint="eastAsia" w:ascii="宋体" w:hAnsi="宋体"/>
          <w:bCs/>
          <w:color w:val="auto"/>
          <w:szCs w:val="21"/>
          <w:highlight w:val="none"/>
          <w:u w:val="single"/>
          <w:lang w:val="en-US" w:eastAsia="zh-CN"/>
        </w:rPr>
        <w:t>6</w:t>
      </w:r>
      <w:r>
        <w:rPr>
          <w:rFonts w:hint="eastAsia" w:ascii="宋体" w:hAnsi="宋体"/>
          <w:bCs/>
          <w:color w:val="auto"/>
          <w:szCs w:val="21"/>
          <w:highlight w:val="none"/>
          <w:u w:val="single"/>
          <w:lang w:eastAsia="zh-CN"/>
        </w:rPr>
        <w:t>年</w:t>
      </w:r>
      <w:r>
        <w:rPr>
          <w:rFonts w:hint="eastAsia" w:ascii="宋体" w:hAnsi="宋体"/>
          <w:bCs/>
          <w:color w:val="auto"/>
          <w:szCs w:val="21"/>
          <w:highlight w:val="none"/>
          <w:u w:val="single"/>
          <w:lang w:val="en-US" w:eastAsia="zh-CN"/>
        </w:rPr>
        <w:t>10月10日</w:t>
      </w:r>
      <w:r>
        <w:rPr>
          <w:rFonts w:hint="eastAsia" w:ascii="宋体" w:hAnsi="宋体" w:cs="宋体"/>
          <w:bCs/>
          <w:color w:val="auto"/>
          <w:kern w:val="0"/>
          <w:szCs w:val="21"/>
          <w:highlight w:val="none"/>
        </w:rPr>
        <w:t>至</w:t>
      </w:r>
      <w:r>
        <w:rPr>
          <w:rFonts w:hint="eastAsia" w:ascii="宋体" w:hAnsi="宋体"/>
          <w:bCs/>
          <w:color w:val="auto"/>
          <w:szCs w:val="21"/>
          <w:highlight w:val="none"/>
          <w:u w:val="single"/>
          <w:lang w:eastAsia="zh-CN"/>
        </w:rPr>
        <w:t>202</w:t>
      </w:r>
      <w:r>
        <w:rPr>
          <w:rFonts w:hint="eastAsia" w:ascii="宋体" w:hAnsi="宋体"/>
          <w:bCs/>
          <w:color w:val="auto"/>
          <w:szCs w:val="21"/>
          <w:highlight w:val="none"/>
          <w:u w:val="single"/>
          <w:lang w:val="en-US" w:eastAsia="zh-CN"/>
        </w:rPr>
        <w:t>6</w:t>
      </w:r>
      <w:r>
        <w:rPr>
          <w:rFonts w:hint="eastAsia" w:ascii="宋体" w:hAnsi="宋体"/>
          <w:bCs/>
          <w:color w:val="auto"/>
          <w:szCs w:val="21"/>
          <w:highlight w:val="none"/>
          <w:u w:val="single"/>
          <w:lang w:eastAsia="zh-CN"/>
        </w:rPr>
        <w:t>年</w:t>
      </w:r>
      <w:r>
        <w:rPr>
          <w:rFonts w:hint="eastAsia" w:ascii="宋体" w:hAnsi="宋体"/>
          <w:bCs/>
          <w:color w:val="auto"/>
          <w:szCs w:val="21"/>
          <w:highlight w:val="none"/>
          <w:u w:val="single"/>
          <w:lang w:val="en-US" w:eastAsia="zh-CN"/>
        </w:rPr>
        <w:t>10月16日</w:t>
      </w:r>
      <w:r>
        <w:rPr>
          <w:rFonts w:hint="eastAsia" w:ascii="宋体" w:hAnsi="宋体" w:cs="宋体"/>
          <w:bCs/>
          <w:color w:val="auto"/>
          <w:kern w:val="0"/>
          <w:szCs w:val="21"/>
          <w:highlight w:val="none"/>
        </w:rPr>
        <w:t>，每天上午</w:t>
      </w:r>
      <w:r>
        <w:rPr>
          <w:rFonts w:hint="eastAsia" w:ascii="宋体" w:hAnsi="宋体" w:cs="宋体"/>
          <w:bCs/>
          <w:color w:val="auto"/>
          <w:kern w:val="0"/>
          <w:szCs w:val="21"/>
          <w:highlight w:val="none"/>
          <w:u w:val="single"/>
          <w:lang w:val="en-US" w:eastAsia="zh-CN"/>
        </w:rPr>
        <w:t>00</w:t>
      </w:r>
      <w:r>
        <w:rPr>
          <w:rFonts w:hint="eastAsia" w:ascii="宋体" w:hAnsi="宋体" w:cs="宋体"/>
          <w:bCs/>
          <w:color w:val="auto"/>
          <w:kern w:val="0"/>
          <w:szCs w:val="21"/>
          <w:highlight w:val="none"/>
          <w:u w:val="single"/>
        </w:rPr>
        <w:t>：</w:t>
      </w:r>
      <w:r>
        <w:rPr>
          <w:rFonts w:hint="eastAsia" w:ascii="宋体" w:hAnsi="宋体" w:cs="宋体"/>
          <w:bCs/>
          <w:color w:val="auto"/>
          <w:kern w:val="0"/>
          <w:szCs w:val="21"/>
          <w:highlight w:val="none"/>
          <w:u w:val="single"/>
          <w:lang w:val="en-US" w:eastAsia="zh-CN"/>
        </w:rPr>
        <w:t>0</w:t>
      </w:r>
      <w:r>
        <w:rPr>
          <w:rFonts w:hint="eastAsia" w:ascii="宋体" w:hAnsi="宋体" w:cs="宋体"/>
          <w:bCs/>
          <w:color w:val="auto"/>
          <w:kern w:val="0"/>
          <w:szCs w:val="21"/>
          <w:highlight w:val="none"/>
          <w:u w:val="single"/>
        </w:rPr>
        <w:t>0</w:t>
      </w:r>
      <w:r>
        <w:rPr>
          <w:rFonts w:hint="eastAsia" w:ascii="宋体" w:hAnsi="宋体" w:cs="宋体"/>
          <w:bCs/>
          <w:color w:val="auto"/>
          <w:kern w:val="0"/>
          <w:szCs w:val="21"/>
          <w:highlight w:val="none"/>
        </w:rPr>
        <w:t>至</w:t>
      </w:r>
      <w:r>
        <w:rPr>
          <w:rFonts w:hint="eastAsia" w:ascii="宋体" w:hAnsi="宋体" w:cs="宋体"/>
          <w:bCs/>
          <w:color w:val="auto"/>
          <w:kern w:val="0"/>
          <w:szCs w:val="21"/>
          <w:highlight w:val="none"/>
          <w:u w:val="single"/>
        </w:rPr>
        <w:t>1</w:t>
      </w:r>
      <w:r>
        <w:rPr>
          <w:rFonts w:ascii="宋体" w:hAnsi="宋体" w:cs="宋体"/>
          <w:bCs/>
          <w:color w:val="auto"/>
          <w:kern w:val="0"/>
          <w:szCs w:val="21"/>
          <w:highlight w:val="none"/>
          <w:u w:val="single"/>
        </w:rPr>
        <w:t>2</w:t>
      </w:r>
      <w:r>
        <w:rPr>
          <w:rFonts w:hint="eastAsia" w:ascii="宋体" w:hAnsi="宋体" w:cs="宋体"/>
          <w:bCs/>
          <w:color w:val="auto"/>
          <w:kern w:val="0"/>
          <w:szCs w:val="21"/>
          <w:highlight w:val="none"/>
          <w:u w:val="single"/>
        </w:rPr>
        <w:t>：00</w:t>
      </w:r>
      <w:r>
        <w:rPr>
          <w:rFonts w:hint="eastAsia" w:ascii="宋体" w:hAnsi="宋体" w:cs="宋体"/>
          <w:bCs/>
          <w:color w:val="auto"/>
          <w:kern w:val="0"/>
          <w:szCs w:val="21"/>
          <w:highlight w:val="none"/>
        </w:rPr>
        <w:t>，下午</w:t>
      </w:r>
      <w:r>
        <w:rPr>
          <w:rFonts w:hint="eastAsia" w:ascii="宋体" w:hAnsi="宋体" w:cs="宋体"/>
          <w:bCs/>
          <w:color w:val="auto"/>
          <w:kern w:val="0"/>
          <w:szCs w:val="21"/>
          <w:highlight w:val="none"/>
          <w:u w:val="single"/>
          <w:lang w:val="en-US" w:eastAsia="zh-CN"/>
        </w:rPr>
        <w:t>12</w:t>
      </w:r>
      <w:r>
        <w:rPr>
          <w:rFonts w:hint="eastAsia" w:ascii="宋体" w:hAnsi="宋体" w:cs="宋体"/>
          <w:bCs/>
          <w:color w:val="auto"/>
          <w:kern w:val="0"/>
          <w:szCs w:val="21"/>
          <w:highlight w:val="none"/>
          <w:u w:val="single"/>
        </w:rPr>
        <w:t>：</w:t>
      </w:r>
      <w:r>
        <w:rPr>
          <w:rFonts w:hint="eastAsia" w:ascii="宋体" w:hAnsi="宋体" w:cs="宋体"/>
          <w:bCs/>
          <w:color w:val="auto"/>
          <w:kern w:val="0"/>
          <w:szCs w:val="21"/>
          <w:highlight w:val="none"/>
          <w:u w:val="single"/>
          <w:lang w:val="en-US" w:eastAsia="zh-CN"/>
        </w:rPr>
        <w:t>0</w:t>
      </w:r>
      <w:r>
        <w:rPr>
          <w:rFonts w:hint="eastAsia" w:ascii="宋体" w:hAnsi="宋体" w:cs="宋体"/>
          <w:bCs/>
          <w:color w:val="auto"/>
          <w:kern w:val="0"/>
          <w:szCs w:val="21"/>
          <w:highlight w:val="none"/>
          <w:u w:val="single"/>
        </w:rPr>
        <w:t>0</w:t>
      </w:r>
      <w:r>
        <w:rPr>
          <w:rFonts w:hint="eastAsia" w:ascii="宋体" w:hAnsi="宋体" w:cs="宋体"/>
          <w:bCs/>
          <w:color w:val="auto"/>
          <w:kern w:val="0"/>
          <w:szCs w:val="21"/>
          <w:highlight w:val="none"/>
        </w:rPr>
        <w:t>至</w:t>
      </w:r>
      <w:r>
        <w:rPr>
          <w:rFonts w:hint="eastAsia" w:ascii="宋体" w:hAnsi="宋体" w:cs="宋体"/>
          <w:bCs/>
          <w:color w:val="auto"/>
          <w:kern w:val="0"/>
          <w:szCs w:val="21"/>
          <w:highlight w:val="none"/>
          <w:u w:val="single"/>
          <w:lang w:val="en-US" w:eastAsia="zh-CN"/>
        </w:rPr>
        <w:t>23：59</w:t>
      </w:r>
      <w:r>
        <w:rPr>
          <w:rFonts w:hint="eastAsia" w:ascii="宋体" w:hAnsi="宋体" w:cs="宋体"/>
          <w:bCs/>
          <w:color w:val="auto"/>
          <w:kern w:val="0"/>
          <w:szCs w:val="21"/>
          <w:highlight w:val="none"/>
        </w:rPr>
        <w:t>（北京时间）</w:t>
      </w:r>
    </w:p>
    <w:p w14:paraId="41E66C9B">
      <w:pPr>
        <w:pageBreakBefore w:val="0"/>
        <w:kinsoku/>
        <w:topLinePunct w:val="0"/>
        <w:bidi w:val="0"/>
        <w:spacing w:before="60" w:after="60" w:line="360" w:lineRule="auto"/>
        <w:ind w:firstLine="420" w:firstLineChars="200"/>
        <w:rPr>
          <w:rFonts w:ascii="宋体" w:hAnsi="宋体" w:cs="宋体"/>
          <w:bCs/>
          <w:color w:val="auto"/>
          <w:kern w:val="0"/>
          <w:szCs w:val="21"/>
          <w:highlight w:val="none"/>
        </w:rPr>
      </w:pPr>
      <w:r>
        <w:rPr>
          <w:rFonts w:hint="eastAsia" w:ascii="宋体" w:hAnsi="宋体" w:cs="宋体"/>
          <w:bCs/>
          <w:color w:val="auto"/>
          <w:kern w:val="0"/>
          <w:szCs w:val="21"/>
          <w:highlight w:val="none"/>
        </w:rPr>
        <w:t>地点：“广西政府采购云平台”（</w:t>
      </w:r>
      <w:r>
        <w:rPr>
          <w:rFonts w:ascii="宋体" w:hAnsi="宋体" w:cs="宋体"/>
          <w:bCs/>
          <w:color w:val="auto"/>
          <w:kern w:val="0"/>
          <w:szCs w:val="21"/>
          <w:highlight w:val="none"/>
        </w:rPr>
        <w:t>http://www</w:t>
      </w:r>
      <w:r>
        <w:rPr>
          <w:rFonts w:hint="eastAsia" w:ascii="宋体" w:hAnsi="宋体" w:cs="宋体"/>
          <w:bCs/>
          <w:color w:val="auto"/>
          <w:kern w:val="0"/>
          <w:szCs w:val="21"/>
          <w:highlight w:val="none"/>
          <w:lang w:eastAsia="zh-CN"/>
        </w:rPr>
        <w:t>.</w:t>
      </w:r>
      <w:r>
        <w:rPr>
          <w:rFonts w:ascii="宋体" w:hAnsi="宋体" w:cs="宋体"/>
          <w:bCs/>
          <w:color w:val="auto"/>
          <w:kern w:val="0"/>
          <w:szCs w:val="21"/>
          <w:highlight w:val="none"/>
        </w:rPr>
        <w:t>gcy</w:t>
      </w:r>
      <w:r>
        <w:rPr>
          <w:rFonts w:hint="eastAsia" w:ascii="宋体" w:hAnsi="宋体" w:cs="宋体"/>
          <w:bCs/>
          <w:color w:val="auto"/>
          <w:kern w:val="0"/>
          <w:szCs w:val="21"/>
          <w:highlight w:val="none"/>
          <w:lang w:eastAsia="zh-CN"/>
        </w:rPr>
        <w:t>.</w:t>
      </w:r>
      <w:r>
        <w:rPr>
          <w:rFonts w:ascii="宋体" w:hAnsi="宋体" w:cs="宋体"/>
          <w:bCs/>
          <w:color w:val="auto"/>
          <w:kern w:val="0"/>
          <w:szCs w:val="21"/>
          <w:highlight w:val="none"/>
        </w:rPr>
        <w:t>zfcg</w:t>
      </w:r>
      <w:r>
        <w:rPr>
          <w:rFonts w:hint="eastAsia" w:ascii="宋体" w:hAnsi="宋体" w:cs="宋体"/>
          <w:bCs/>
          <w:color w:val="auto"/>
          <w:kern w:val="0"/>
          <w:szCs w:val="21"/>
          <w:highlight w:val="none"/>
          <w:lang w:eastAsia="zh-CN"/>
        </w:rPr>
        <w:t>.</w:t>
      </w:r>
      <w:r>
        <w:rPr>
          <w:rFonts w:ascii="宋体" w:hAnsi="宋体" w:cs="宋体"/>
          <w:bCs/>
          <w:color w:val="auto"/>
          <w:kern w:val="0"/>
          <w:szCs w:val="21"/>
          <w:highlight w:val="none"/>
        </w:rPr>
        <w:t>gxzf</w:t>
      </w:r>
      <w:r>
        <w:rPr>
          <w:rFonts w:hint="eastAsia" w:ascii="宋体" w:hAnsi="宋体" w:cs="宋体"/>
          <w:bCs/>
          <w:color w:val="auto"/>
          <w:kern w:val="0"/>
          <w:szCs w:val="21"/>
          <w:highlight w:val="none"/>
          <w:lang w:eastAsia="zh-CN"/>
        </w:rPr>
        <w:t>.</w:t>
      </w:r>
      <w:r>
        <w:rPr>
          <w:rFonts w:ascii="宋体" w:hAnsi="宋体" w:cs="宋体"/>
          <w:bCs/>
          <w:color w:val="auto"/>
          <w:kern w:val="0"/>
          <w:szCs w:val="21"/>
          <w:highlight w:val="none"/>
        </w:rPr>
        <w:t>gov</w:t>
      </w:r>
      <w:r>
        <w:rPr>
          <w:rFonts w:hint="eastAsia" w:ascii="宋体" w:hAnsi="宋体" w:cs="宋体"/>
          <w:bCs/>
          <w:color w:val="auto"/>
          <w:kern w:val="0"/>
          <w:szCs w:val="21"/>
          <w:highlight w:val="none"/>
          <w:lang w:eastAsia="zh-CN"/>
        </w:rPr>
        <w:t>.</w:t>
      </w:r>
      <w:r>
        <w:rPr>
          <w:rFonts w:ascii="宋体" w:hAnsi="宋体" w:cs="宋体"/>
          <w:bCs/>
          <w:color w:val="auto"/>
          <w:kern w:val="0"/>
          <w:szCs w:val="21"/>
          <w:highlight w:val="none"/>
        </w:rPr>
        <w:t>cn</w:t>
      </w:r>
      <w:r>
        <w:rPr>
          <w:rFonts w:hint="eastAsia" w:ascii="宋体" w:hAnsi="宋体" w:cs="宋体"/>
          <w:bCs/>
          <w:color w:val="auto"/>
          <w:kern w:val="0"/>
          <w:szCs w:val="21"/>
          <w:highlight w:val="none"/>
        </w:rPr>
        <w:t>）</w:t>
      </w:r>
    </w:p>
    <w:p w14:paraId="66797A35">
      <w:pPr>
        <w:pageBreakBefore w:val="0"/>
        <w:kinsoku/>
        <w:topLinePunct w:val="0"/>
        <w:bidi w:val="0"/>
        <w:spacing w:before="60" w:after="60" w:line="360" w:lineRule="auto"/>
        <w:ind w:firstLine="420" w:firstLineChars="200"/>
        <w:rPr>
          <w:rFonts w:ascii="宋体" w:hAnsi="宋体" w:cs="宋体"/>
          <w:bCs/>
          <w:color w:val="auto"/>
          <w:kern w:val="0"/>
          <w:szCs w:val="21"/>
          <w:highlight w:val="none"/>
        </w:rPr>
      </w:pPr>
      <w:bookmarkStart w:id="25" w:name="_Toc71365908"/>
      <w:r>
        <w:rPr>
          <w:rFonts w:hint="eastAsia" w:ascii="宋体" w:hAnsi="宋体" w:cs="宋体"/>
          <w:bCs/>
          <w:color w:val="auto"/>
          <w:kern w:val="0"/>
          <w:szCs w:val="21"/>
          <w:highlight w:val="none"/>
        </w:rPr>
        <w:t>方式：网上下载。本项目不发放纸质文件，供应商应自行在</w:t>
      </w:r>
      <w:r>
        <w:rPr>
          <w:color w:val="auto"/>
          <w:highlight w:val="none"/>
        </w:rPr>
        <w:fldChar w:fldCharType="begin"/>
      </w:r>
      <w:r>
        <w:rPr>
          <w:color w:val="auto"/>
          <w:highlight w:val="none"/>
        </w:rPr>
        <w:instrText xml:space="preserve"> HYPERLINK </w:instrText>
      </w:r>
      <w:r>
        <w:rPr>
          <w:color w:val="auto"/>
          <w:highlight w:val="none"/>
        </w:rPr>
        <w:fldChar w:fldCharType="separate"/>
      </w:r>
      <w:r>
        <w:rPr>
          <w:color w:val="auto"/>
          <w:highlight w:val="none"/>
        </w:rPr>
        <w:fldChar w:fldCharType="end"/>
      </w:r>
      <w:r>
        <w:rPr>
          <w:rFonts w:hint="eastAsia" w:ascii="宋体" w:hAnsi="宋体" w:cs="宋体"/>
          <w:bCs/>
          <w:color w:val="auto"/>
          <w:kern w:val="0"/>
          <w:szCs w:val="21"/>
          <w:highlight w:val="none"/>
        </w:rPr>
        <w:t>“广西政府采购云平台”（</w:t>
      </w:r>
      <w:r>
        <w:rPr>
          <w:rFonts w:ascii="宋体" w:hAnsi="宋体" w:cs="宋体"/>
          <w:bCs/>
          <w:color w:val="auto"/>
          <w:kern w:val="0"/>
          <w:szCs w:val="21"/>
          <w:highlight w:val="none"/>
        </w:rPr>
        <w:t>http://www</w:t>
      </w:r>
      <w:r>
        <w:rPr>
          <w:rFonts w:hint="eastAsia" w:ascii="宋体" w:hAnsi="宋体" w:cs="宋体"/>
          <w:bCs/>
          <w:color w:val="auto"/>
          <w:kern w:val="0"/>
          <w:szCs w:val="21"/>
          <w:highlight w:val="none"/>
          <w:lang w:eastAsia="zh-CN"/>
        </w:rPr>
        <w:t>.</w:t>
      </w:r>
      <w:r>
        <w:rPr>
          <w:rFonts w:ascii="宋体" w:hAnsi="宋体" w:cs="宋体"/>
          <w:bCs/>
          <w:color w:val="auto"/>
          <w:kern w:val="0"/>
          <w:szCs w:val="21"/>
          <w:highlight w:val="none"/>
        </w:rPr>
        <w:t>gcy</w:t>
      </w:r>
      <w:r>
        <w:rPr>
          <w:rFonts w:hint="eastAsia" w:ascii="宋体" w:hAnsi="宋体" w:cs="宋体"/>
          <w:bCs/>
          <w:color w:val="auto"/>
          <w:kern w:val="0"/>
          <w:szCs w:val="21"/>
          <w:highlight w:val="none"/>
          <w:lang w:eastAsia="zh-CN"/>
        </w:rPr>
        <w:t>.</w:t>
      </w:r>
      <w:r>
        <w:rPr>
          <w:rFonts w:ascii="宋体" w:hAnsi="宋体" w:cs="宋体"/>
          <w:bCs/>
          <w:color w:val="auto"/>
          <w:kern w:val="0"/>
          <w:szCs w:val="21"/>
          <w:highlight w:val="none"/>
        </w:rPr>
        <w:t>zfcg</w:t>
      </w:r>
      <w:r>
        <w:rPr>
          <w:rFonts w:hint="eastAsia" w:ascii="宋体" w:hAnsi="宋体" w:cs="宋体"/>
          <w:bCs/>
          <w:color w:val="auto"/>
          <w:kern w:val="0"/>
          <w:szCs w:val="21"/>
          <w:highlight w:val="none"/>
          <w:lang w:eastAsia="zh-CN"/>
        </w:rPr>
        <w:t>.</w:t>
      </w:r>
      <w:r>
        <w:rPr>
          <w:rFonts w:ascii="宋体" w:hAnsi="宋体" w:cs="宋体"/>
          <w:bCs/>
          <w:color w:val="auto"/>
          <w:kern w:val="0"/>
          <w:szCs w:val="21"/>
          <w:highlight w:val="none"/>
        </w:rPr>
        <w:t>gxzf</w:t>
      </w:r>
      <w:r>
        <w:rPr>
          <w:rFonts w:hint="eastAsia" w:ascii="宋体" w:hAnsi="宋体" w:cs="宋体"/>
          <w:bCs/>
          <w:color w:val="auto"/>
          <w:kern w:val="0"/>
          <w:szCs w:val="21"/>
          <w:highlight w:val="none"/>
          <w:lang w:eastAsia="zh-CN"/>
        </w:rPr>
        <w:t>.</w:t>
      </w:r>
      <w:r>
        <w:rPr>
          <w:rFonts w:ascii="宋体" w:hAnsi="宋体" w:cs="宋体"/>
          <w:bCs/>
          <w:color w:val="auto"/>
          <w:kern w:val="0"/>
          <w:szCs w:val="21"/>
          <w:highlight w:val="none"/>
        </w:rPr>
        <w:t>gov</w:t>
      </w:r>
      <w:r>
        <w:rPr>
          <w:rFonts w:hint="eastAsia" w:ascii="宋体" w:hAnsi="宋体" w:cs="宋体"/>
          <w:bCs/>
          <w:color w:val="auto"/>
          <w:kern w:val="0"/>
          <w:szCs w:val="21"/>
          <w:highlight w:val="none"/>
          <w:lang w:eastAsia="zh-CN"/>
        </w:rPr>
        <w:t>.</w:t>
      </w:r>
      <w:r>
        <w:rPr>
          <w:rFonts w:ascii="宋体" w:hAnsi="宋体" w:cs="宋体"/>
          <w:bCs/>
          <w:color w:val="auto"/>
          <w:kern w:val="0"/>
          <w:szCs w:val="21"/>
          <w:highlight w:val="none"/>
        </w:rPr>
        <w:t>cn</w:t>
      </w:r>
      <w:r>
        <w:rPr>
          <w:rFonts w:hint="eastAsia" w:ascii="宋体" w:hAnsi="宋体" w:cs="宋体"/>
          <w:bCs/>
          <w:color w:val="auto"/>
          <w:kern w:val="0"/>
          <w:szCs w:val="21"/>
          <w:highlight w:val="none"/>
        </w:rPr>
        <w:t>）下载竞争性磋商文件（操作路径：登录“广西政府采购云平台”-项目采购-获取采购文件-找到本项目-点击“申请获取采购文件”），电子响应文件制作需要基于“广西政府采购云平台”获取的竞争性磋商文件编制。</w:t>
      </w:r>
    </w:p>
    <w:p w14:paraId="23754175">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bCs/>
          <w:color w:val="auto"/>
          <w:kern w:val="0"/>
          <w:szCs w:val="21"/>
          <w:highlight w:val="none"/>
        </w:rPr>
        <w:t>售价：0元。</w:t>
      </w:r>
    </w:p>
    <w:p w14:paraId="502C29EF">
      <w:pPr>
        <w:pageBreakBefore w:val="0"/>
        <w:kinsoku/>
        <w:topLinePunct w:val="0"/>
        <w:bidi w:val="0"/>
        <w:spacing w:before="60" w:after="60" w:line="360" w:lineRule="auto"/>
        <w:ind w:firstLine="354" w:firstLineChars="147"/>
        <w:rPr>
          <w:rFonts w:ascii="黑体" w:hAnsi="黑体" w:eastAsia="黑体"/>
          <w:b/>
          <w:color w:val="auto"/>
          <w:sz w:val="24"/>
          <w:highlight w:val="none"/>
        </w:rPr>
      </w:pPr>
      <w:r>
        <w:rPr>
          <w:rFonts w:hint="eastAsia" w:ascii="黑体" w:hAnsi="黑体" w:eastAsia="黑体"/>
          <w:b/>
          <w:color w:val="auto"/>
          <w:sz w:val="24"/>
          <w:highlight w:val="none"/>
        </w:rPr>
        <w:t>四、响应文件提交</w:t>
      </w:r>
      <w:bookmarkEnd w:id="20"/>
      <w:bookmarkEnd w:id="21"/>
      <w:bookmarkEnd w:id="22"/>
      <w:bookmarkEnd w:id="23"/>
      <w:bookmarkEnd w:id="24"/>
      <w:bookmarkEnd w:id="25"/>
    </w:p>
    <w:p w14:paraId="422785A5">
      <w:pPr>
        <w:pageBreakBefore w:val="0"/>
        <w:kinsoku/>
        <w:topLinePunct w:val="0"/>
        <w:bidi w:val="0"/>
        <w:spacing w:before="60" w:after="60" w:line="360" w:lineRule="auto"/>
        <w:ind w:firstLine="420" w:firstLineChars="200"/>
        <w:rPr>
          <w:rFonts w:ascii="宋体" w:hAnsi="宋体" w:cs="宋体"/>
          <w:color w:val="auto"/>
          <w:szCs w:val="21"/>
          <w:highlight w:val="none"/>
          <w:u w:val="single"/>
        </w:rPr>
      </w:pPr>
      <w:bookmarkStart w:id="26" w:name="_Toc35393633"/>
      <w:bookmarkStart w:id="27" w:name="_Toc35393802"/>
      <w:bookmarkStart w:id="28" w:name="_Toc44229882"/>
      <w:bookmarkStart w:id="29" w:name="_Toc28359016"/>
      <w:bookmarkStart w:id="30" w:name="_Toc28359093"/>
      <w:r>
        <w:rPr>
          <w:rFonts w:hint="eastAsia" w:ascii="宋体" w:hAnsi="宋体"/>
          <w:color w:val="auto"/>
          <w:szCs w:val="21"/>
          <w:highlight w:val="none"/>
        </w:rPr>
        <w:t>截止时间：</w:t>
      </w:r>
      <w:r>
        <w:rPr>
          <w:rFonts w:hint="eastAsia" w:ascii="宋体" w:hAnsi="宋体"/>
          <w:bCs/>
          <w:color w:val="auto"/>
          <w:szCs w:val="21"/>
          <w:highlight w:val="none"/>
          <w:u w:val="single"/>
          <w:lang w:eastAsia="zh-CN"/>
        </w:rPr>
        <w:t>202</w:t>
      </w:r>
      <w:r>
        <w:rPr>
          <w:rFonts w:hint="eastAsia" w:ascii="宋体" w:hAnsi="宋体"/>
          <w:bCs/>
          <w:color w:val="auto"/>
          <w:szCs w:val="21"/>
          <w:highlight w:val="none"/>
          <w:u w:val="single"/>
          <w:lang w:val="en-US" w:eastAsia="zh-CN"/>
        </w:rPr>
        <w:t>6</w:t>
      </w:r>
      <w:r>
        <w:rPr>
          <w:rFonts w:hint="eastAsia" w:ascii="宋体" w:hAnsi="宋体"/>
          <w:bCs/>
          <w:color w:val="auto"/>
          <w:szCs w:val="21"/>
          <w:highlight w:val="none"/>
          <w:u w:val="single"/>
          <w:lang w:eastAsia="zh-CN"/>
        </w:rPr>
        <w:t>年</w:t>
      </w:r>
      <w:r>
        <w:rPr>
          <w:rFonts w:hint="eastAsia" w:ascii="宋体" w:hAnsi="宋体"/>
          <w:bCs/>
          <w:color w:val="auto"/>
          <w:szCs w:val="21"/>
          <w:highlight w:val="none"/>
          <w:u w:val="single"/>
          <w:lang w:val="en-US" w:eastAsia="zh-CN"/>
        </w:rPr>
        <w:t>10月21日10</w:t>
      </w:r>
      <w:r>
        <w:rPr>
          <w:rFonts w:hint="eastAsia" w:ascii="宋体" w:hAnsi="宋体"/>
          <w:bCs/>
          <w:color w:val="auto"/>
          <w:szCs w:val="21"/>
          <w:highlight w:val="none"/>
          <w:u w:val="single"/>
          <w:lang w:eastAsia="zh-CN"/>
        </w:rPr>
        <w:t>时</w:t>
      </w:r>
      <w:r>
        <w:rPr>
          <w:rFonts w:hint="eastAsia" w:ascii="宋体" w:hAnsi="宋体"/>
          <w:bCs/>
          <w:color w:val="auto"/>
          <w:szCs w:val="21"/>
          <w:highlight w:val="none"/>
          <w:u w:val="single"/>
          <w:lang w:val="en-US" w:eastAsia="zh-CN"/>
        </w:rPr>
        <w:t>30</w:t>
      </w:r>
      <w:r>
        <w:rPr>
          <w:rFonts w:hint="eastAsia" w:ascii="宋体" w:hAnsi="宋体"/>
          <w:bCs/>
          <w:color w:val="auto"/>
          <w:szCs w:val="21"/>
          <w:highlight w:val="none"/>
          <w:u w:val="single"/>
          <w:lang w:eastAsia="zh-CN"/>
        </w:rPr>
        <w:t>分</w:t>
      </w:r>
      <w:r>
        <w:rPr>
          <w:rFonts w:hint="eastAsia" w:ascii="宋体" w:hAnsi="宋体"/>
          <w:bCs/>
          <w:color w:val="auto"/>
          <w:szCs w:val="21"/>
          <w:highlight w:val="none"/>
        </w:rPr>
        <w:t>（北京时间）</w:t>
      </w:r>
    </w:p>
    <w:p w14:paraId="6A7588B5">
      <w:pPr>
        <w:pageBreakBefore w:val="0"/>
        <w:kinsoku/>
        <w:topLinePunct w:val="0"/>
        <w:bidi w:val="0"/>
        <w:spacing w:before="60" w:after="60" w:line="360" w:lineRule="auto"/>
        <w:ind w:firstLine="420" w:firstLineChars="200"/>
        <w:rPr>
          <w:rFonts w:ascii="宋体" w:hAnsi="宋体"/>
          <w:color w:val="auto"/>
          <w:szCs w:val="21"/>
          <w:highlight w:val="none"/>
        </w:rPr>
      </w:pPr>
      <w:r>
        <w:rPr>
          <w:rFonts w:hint="eastAsia" w:ascii="宋体" w:hAnsi="宋体"/>
          <w:color w:val="auto"/>
          <w:szCs w:val="21"/>
          <w:highlight w:val="none"/>
        </w:rPr>
        <w:t>地点：</w:t>
      </w:r>
      <w:r>
        <w:rPr>
          <w:rFonts w:hint="eastAsia" w:ascii="宋体" w:hAnsi="宋体" w:cs="宋体"/>
          <w:color w:val="auto"/>
          <w:szCs w:val="21"/>
          <w:highlight w:val="none"/>
        </w:rPr>
        <w:t>通过“广西政府采购云平台”在线提交。</w:t>
      </w:r>
    </w:p>
    <w:p w14:paraId="3F17449D">
      <w:pPr>
        <w:pageBreakBefore w:val="0"/>
        <w:kinsoku/>
        <w:topLinePunct w:val="0"/>
        <w:bidi w:val="0"/>
        <w:spacing w:before="60" w:after="60" w:line="360" w:lineRule="auto"/>
        <w:ind w:firstLine="354" w:firstLineChars="147"/>
        <w:rPr>
          <w:rFonts w:ascii="黑体" w:hAnsi="黑体" w:eastAsia="黑体"/>
          <w:b/>
          <w:color w:val="auto"/>
          <w:sz w:val="24"/>
          <w:highlight w:val="none"/>
        </w:rPr>
      </w:pPr>
      <w:bookmarkStart w:id="31" w:name="_Toc71365909"/>
      <w:r>
        <w:rPr>
          <w:rFonts w:hint="eastAsia" w:ascii="黑体" w:hAnsi="黑体" w:eastAsia="黑体"/>
          <w:b/>
          <w:color w:val="auto"/>
          <w:sz w:val="24"/>
          <w:highlight w:val="none"/>
        </w:rPr>
        <w:t>五、开启</w:t>
      </w:r>
      <w:bookmarkEnd w:id="26"/>
      <w:bookmarkEnd w:id="27"/>
      <w:bookmarkEnd w:id="28"/>
      <w:bookmarkEnd w:id="29"/>
      <w:bookmarkEnd w:id="30"/>
      <w:bookmarkEnd w:id="31"/>
    </w:p>
    <w:p w14:paraId="04D5E9D5">
      <w:pPr>
        <w:pageBreakBefore w:val="0"/>
        <w:kinsoku/>
        <w:topLinePunct w:val="0"/>
        <w:bidi w:val="0"/>
        <w:spacing w:before="60" w:after="60" w:line="360" w:lineRule="auto"/>
        <w:ind w:firstLine="420" w:firstLineChars="200"/>
        <w:rPr>
          <w:rFonts w:ascii="宋体" w:hAnsi="宋体"/>
          <w:bCs/>
          <w:color w:val="auto"/>
          <w:szCs w:val="21"/>
          <w:highlight w:val="none"/>
          <w:u w:val="single"/>
        </w:rPr>
      </w:pPr>
      <w:r>
        <w:rPr>
          <w:rFonts w:hint="eastAsia" w:ascii="宋体" w:hAnsi="宋体"/>
          <w:color w:val="auto"/>
          <w:szCs w:val="21"/>
          <w:highlight w:val="none"/>
        </w:rPr>
        <w:t>1</w:t>
      </w:r>
      <w:r>
        <w:rPr>
          <w:rFonts w:hint="eastAsia" w:ascii="宋体" w:hAnsi="宋体"/>
          <w:color w:val="auto"/>
          <w:szCs w:val="21"/>
          <w:highlight w:val="none"/>
          <w:lang w:eastAsia="zh-CN"/>
        </w:rPr>
        <w:t>.</w:t>
      </w:r>
      <w:r>
        <w:rPr>
          <w:rFonts w:hint="eastAsia" w:ascii="宋体" w:hAnsi="宋体"/>
          <w:color w:val="auto"/>
          <w:szCs w:val="21"/>
          <w:highlight w:val="none"/>
        </w:rPr>
        <w:t>时间：</w:t>
      </w:r>
      <w:r>
        <w:rPr>
          <w:rFonts w:hint="eastAsia" w:ascii="宋体" w:hAnsi="宋体"/>
          <w:bCs/>
          <w:color w:val="auto"/>
          <w:szCs w:val="21"/>
          <w:highlight w:val="none"/>
          <w:u w:val="single"/>
          <w:lang w:eastAsia="zh-CN"/>
        </w:rPr>
        <w:t>202</w:t>
      </w:r>
      <w:r>
        <w:rPr>
          <w:rFonts w:hint="eastAsia" w:ascii="宋体" w:hAnsi="宋体"/>
          <w:bCs/>
          <w:color w:val="auto"/>
          <w:szCs w:val="21"/>
          <w:highlight w:val="none"/>
          <w:u w:val="single"/>
          <w:lang w:val="en-US" w:eastAsia="zh-CN"/>
        </w:rPr>
        <w:t>6</w:t>
      </w:r>
      <w:r>
        <w:rPr>
          <w:rFonts w:hint="eastAsia" w:ascii="宋体" w:hAnsi="宋体"/>
          <w:bCs/>
          <w:color w:val="auto"/>
          <w:szCs w:val="21"/>
          <w:highlight w:val="none"/>
          <w:u w:val="single"/>
          <w:lang w:eastAsia="zh-CN"/>
        </w:rPr>
        <w:t>年</w:t>
      </w:r>
      <w:r>
        <w:rPr>
          <w:rFonts w:hint="eastAsia" w:ascii="宋体" w:hAnsi="宋体"/>
          <w:bCs/>
          <w:color w:val="auto"/>
          <w:szCs w:val="21"/>
          <w:highlight w:val="none"/>
          <w:u w:val="single"/>
          <w:lang w:val="en-US" w:eastAsia="zh-CN"/>
        </w:rPr>
        <w:t xml:space="preserve">10月21日10 </w:t>
      </w:r>
      <w:r>
        <w:rPr>
          <w:rFonts w:hint="eastAsia" w:ascii="宋体" w:hAnsi="宋体"/>
          <w:bCs/>
          <w:color w:val="auto"/>
          <w:szCs w:val="21"/>
          <w:highlight w:val="none"/>
          <w:u w:val="single"/>
          <w:lang w:eastAsia="zh-CN"/>
        </w:rPr>
        <w:t>时</w:t>
      </w:r>
      <w:r>
        <w:rPr>
          <w:rFonts w:hint="eastAsia" w:ascii="宋体" w:hAnsi="宋体"/>
          <w:bCs/>
          <w:color w:val="auto"/>
          <w:szCs w:val="21"/>
          <w:highlight w:val="none"/>
          <w:u w:val="single"/>
          <w:lang w:val="en-US" w:eastAsia="zh-CN"/>
        </w:rPr>
        <w:t>30</w:t>
      </w:r>
      <w:r>
        <w:rPr>
          <w:rFonts w:hint="eastAsia" w:ascii="宋体" w:hAnsi="宋体"/>
          <w:bCs/>
          <w:color w:val="auto"/>
          <w:szCs w:val="21"/>
          <w:highlight w:val="none"/>
          <w:u w:val="single"/>
          <w:lang w:eastAsia="zh-CN"/>
        </w:rPr>
        <w:t>分</w:t>
      </w:r>
      <w:r>
        <w:rPr>
          <w:rFonts w:hint="eastAsia" w:ascii="宋体" w:hAnsi="宋体"/>
          <w:bCs/>
          <w:color w:val="auto"/>
          <w:szCs w:val="21"/>
          <w:highlight w:val="none"/>
        </w:rPr>
        <w:t>（北京时间）</w:t>
      </w:r>
    </w:p>
    <w:p w14:paraId="52415131">
      <w:pPr>
        <w:pageBreakBefore w:val="0"/>
        <w:kinsoku/>
        <w:topLinePunct w:val="0"/>
        <w:bidi w:val="0"/>
        <w:spacing w:before="60" w:after="60" w:line="360" w:lineRule="auto"/>
        <w:ind w:firstLine="420" w:firstLineChars="200"/>
        <w:rPr>
          <w:rFonts w:ascii="宋体" w:hAnsi="宋体"/>
          <w:bCs/>
          <w:color w:val="auto"/>
          <w:szCs w:val="21"/>
          <w:highlight w:val="none"/>
          <w:u w:val="single"/>
        </w:rPr>
      </w:pPr>
      <w:r>
        <w:rPr>
          <w:rFonts w:hint="eastAsia" w:ascii="宋体" w:hAnsi="宋体"/>
          <w:color w:val="auto"/>
          <w:szCs w:val="21"/>
          <w:highlight w:val="none"/>
        </w:rPr>
        <w:t>2</w:t>
      </w:r>
      <w:r>
        <w:rPr>
          <w:rFonts w:hint="eastAsia" w:ascii="宋体" w:hAnsi="宋体"/>
          <w:color w:val="auto"/>
          <w:szCs w:val="21"/>
          <w:highlight w:val="none"/>
          <w:lang w:eastAsia="zh-CN"/>
        </w:rPr>
        <w:t>.</w:t>
      </w:r>
      <w:r>
        <w:rPr>
          <w:rFonts w:hint="eastAsia" w:ascii="宋体" w:hAnsi="宋体"/>
          <w:color w:val="auto"/>
          <w:szCs w:val="21"/>
          <w:highlight w:val="none"/>
        </w:rPr>
        <w:t>地点：</w:t>
      </w:r>
      <w:r>
        <w:rPr>
          <w:rFonts w:hint="eastAsia" w:ascii="宋体" w:hAnsi="宋体" w:cs="宋体"/>
          <w:color w:val="auto"/>
          <w:szCs w:val="21"/>
          <w:highlight w:val="none"/>
        </w:rPr>
        <w:t>本项目将在“广西政府采购云平台”电子开标大厅解密、开启</w:t>
      </w:r>
    </w:p>
    <w:p w14:paraId="5D382F02">
      <w:pPr>
        <w:pageBreakBefore w:val="0"/>
        <w:kinsoku/>
        <w:topLinePunct w:val="0"/>
        <w:bidi w:val="0"/>
        <w:spacing w:before="60" w:after="60" w:line="360" w:lineRule="auto"/>
        <w:ind w:firstLine="354" w:firstLineChars="147"/>
        <w:rPr>
          <w:rFonts w:ascii="黑体" w:hAnsi="黑体" w:eastAsia="黑体"/>
          <w:b/>
          <w:color w:val="auto"/>
          <w:sz w:val="24"/>
          <w:highlight w:val="none"/>
        </w:rPr>
      </w:pPr>
      <w:bookmarkStart w:id="32" w:name="_Toc28359017"/>
      <w:bookmarkStart w:id="33" w:name="_Toc28359094"/>
      <w:bookmarkStart w:id="34" w:name="_Toc35393803"/>
      <w:bookmarkStart w:id="35" w:name="_Toc44229883"/>
      <w:bookmarkStart w:id="36" w:name="_Toc71365910"/>
      <w:bookmarkStart w:id="37" w:name="_Toc35393634"/>
      <w:r>
        <w:rPr>
          <w:rFonts w:hint="eastAsia" w:ascii="黑体" w:hAnsi="黑体" w:eastAsia="黑体"/>
          <w:b/>
          <w:color w:val="auto"/>
          <w:sz w:val="24"/>
          <w:highlight w:val="none"/>
        </w:rPr>
        <w:t>六、公告期限</w:t>
      </w:r>
      <w:bookmarkEnd w:id="32"/>
      <w:bookmarkEnd w:id="33"/>
      <w:bookmarkEnd w:id="34"/>
      <w:bookmarkEnd w:id="35"/>
      <w:bookmarkEnd w:id="36"/>
      <w:bookmarkEnd w:id="37"/>
    </w:p>
    <w:p w14:paraId="5937D957">
      <w:pPr>
        <w:pageBreakBefore w:val="0"/>
        <w:kinsoku/>
        <w:topLinePunct w:val="0"/>
        <w:bidi w:val="0"/>
        <w:spacing w:before="60" w:after="60"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自本公告发布之日起</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个工作日。</w:t>
      </w:r>
    </w:p>
    <w:p w14:paraId="0166E9AE">
      <w:pPr>
        <w:pageBreakBefore w:val="0"/>
        <w:kinsoku/>
        <w:topLinePunct w:val="0"/>
        <w:bidi w:val="0"/>
        <w:spacing w:before="60" w:after="60" w:line="360" w:lineRule="auto"/>
        <w:ind w:firstLine="354" w:firstLineChars="147"/>
        <w:rPr>
          <w:rFonts w:ascii="黑体" w:hAnsi="黑体" w:eastAsia="黑体"/>
          <w:b/>
          <w:color w:val="auto"/>
          <w:sz w:val="24"/>
          <w:highlight w:val="none"/>
        </w:rPr>
      </w:pPr>
      <w:bookmarkStart w:id="38" w:name="_Toc44229884"/>
      <w:bookmarkStart w:id="39" w:name="_Toc35393635"/>
      <w:bookmarkStart w:id="40" w:name="_Toc71365911"/>
      <w:bookmarkStart w:id="41" w:name="_Toc35393804"/>
      <w:r>
        <w:rPr>
          <w:rFonts w:hint="eastAsia" w:ascii="黑体" w:hAnsi="黑体" w:eastAsia="黑体"/>
          <w:b/>
          <w:color w:val="auto"/>
          <w:sz w:val="24"/>
          <w:highlight w:val="none"/>
        </w:rPr>
        <w:t>七、其他补充事宜</w:t>
      </w:r>
      <w:bookmarkEnd w:id="38"/>
      <w:bookmarkEnd w:id="39"/>
      <w:bookmarkEnd w:id="40"/>
      <w:bookmarkEnd w:id="41"/>
    </w:p>
    <w:p w14:paraId="7E4546D3">
      <w:pPr>
        <w:pageBreakBefore w:val="0"/>
        <w:kinsoku/>
        <w:topLinePunct w:val="0"/>
        <w:bidi w:val="0"/>
        <w:spacing w:before="60" w:after="60"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网上查询地址</w:t>
      </w:r>
    </w:p>
    <w:p w14:paraId="77655BB3">
      <w:pPr>
        <w:pageBreakBefore w:val="0"/>
        <w:kinsoku/>
        <w:topLinePunct w:val="0"/>
        <w:bidi w:val="0"/>
        <w:spacing w:before="60" w:after="60"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www</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ccgp</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gov</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cn（中国政府采购网）、https://zfcg.gxzf.gov.cn/（广西政府采购网）、</w:t>
      </w:r>
      <w:r>
        <w:rPr>
          <w:rFonts w:hint="eastAsia" w:ascii="宋体" w:hAnsi="宋体" w:cs="宋体"/>
          <w:color w:val="auto"/>
          <w:kern w:val="0"/>
          <w:szCs w:val="21"/>
          <w:highlight w:val="none"/>
          <w:lang w:eastAsia="zh-CN"/>
        </w:rPr>
        <w:t>http://ggzy.jgswj.gxzf.gov.cn/qzggzy/</w:t>
      </w:r>
      <w:r>
        <w:rPr>
          <w:rFonts w:hint="eastAsia" w:ascii="宋体" w:hAnsi="宋体" w:cs="宋体"/>
          <w:color w:val="auto"/>
          <w:spacing w:val="0"/>
          <w:position w:val="0"/>
          <w:szCs w:val="21"/>
          <w:highlight w:val="none"/>
          <w:lang w:bidi="ar"/>
        </w:rPr>
        <w:t>[全国公共资源交易平台（广西.浦北）]</w:t>
      </w:r>
    </w:p>
    <w:p w14:paraId="65DCCA56">
      <w:pPr>
        <w:pageBreakBefore w:val="0"/>
        <w:kinsoku/>
        <w:topLinePunct w:val="0"/>
        <w:bidi w:val="0"/>
        <w:spacing w:before="60" w:after="60" w:line="360" w:lineRule="auto"/>
        <w:ind w:firstLine="424" w:firstLineChars="202"/>
        <w:rPr>
          <w:rFonts w:ascii="宋体" w:hAnsi="宋体" w:cs="宋体"/>
          <w:color w:val="auto"/>
          <w:kern w:val="0"/>
          <w:szCs w:val="21"/>
          <w:highlight w:val="none"/>
        </w:rPr>
      </w:pPr>
      <w:bookmarkStart w:id="42" w:name="_Hlk37429674"/>
      <w:bookmarkStart w:id="43" w:name="_Toc28359095"/>
      <w:bookmarkStart w:id="44" w:name="_Toc44229885"/>
      <w:bookmarkStart w:id="45" w:name="_Toc35393805"/>
      <w:bookmarkStart w:id="46" w:name="_Toc28359018"/>
      <w:bookmarkStart w:id="47" w:name="_Toc35393636"/>
      <w:r>
        <w:rPr>
          <w:rFonts w:hint="eastAsia" w:ascii="宋体" w:hAnsi="宋体"/>
          <w:color w:val="auto"/>
          <w:szCs w:val="21"/>
          <w:highlight w:val="none"/>
        </w:rPr>
        <w:t>2</w:t>
      </w:r>
      <w:r>
        <w:rPr>
          <w:rFonts w:hint="eastAsia" w:ascii="宋体" w:hAnsi="宋体"/>
          <w:color w:val="auto"/>
          <w:szCs w:val="21"/>
          <w:highlight w:val="none"/>
          <w:lang w:eastAsia="zh-CN"/>
        </w:rPr>
        <w:t>.</w:t>
      </w:r>
      <w:r>
        <w:rPr>
          <w:rFonts w:hint="eastAsia" w:ascii="宋体" w:hAnsi="宋体" w:cs="宋体"/>
          <w:color w:val="auto"/>
          <w:kern w:val="0"/>
          <w:szCs w:val="21"/>
          <w:highlight w:val="none"/>
        </w:rPr>
        <w:t>本项目需要落实的政府采购政策</w:t>
      </w:r>
    </w:p>
    <w:p w14:paraId="4F137F81">
      <w:pPr>
        <w:pageBreakBefore w:val="0"/>
        <w:kinsoku/>
        <w:topLinePunct w:val="0"/>
        <w:bidi w:val="0"/>
        <w:spacing w:before="60" w:after="60" w:line="360" w:lineRule="auto"/>
        <w:ind w:firstLine="420" w:firstLineChars="200"/>
        <w:rPr>
          <w:rFonts w:ascii="宋体" w:hAnsi="宋体" w:cs="宋体"/>
          <w:iCs/>
          <w:color w:val="auto"/>
          <w:kern w:val="0"/>
          <w:szCs w:val="21"/>
          <w:highlight w:val="none"/>
        </w:rPr>
      </w:pPr>
      <w:r>
        <w:rPr>
          <w:rFonts w:hint="eastAsia" w:ascii="宋体" w:hAnsi="宋体" w:cs="宋体"/>
          <w:iCs/>
          <w:color w:val="auto"/>
          <w:kern w:val="0"/>
          <w:szCs w:val="21"/>
          <w:highlight w:val="none"/>
        </w:rPr>
        <w:t>（1）政府采购促进中小企业发展。</w:t>
      </w:r>
    </w:p>
    <w:p w14:paraId="3A6DCB1C">
      <w:pPr>
        <w:pageBreakBefore w:val="0"/>
        <w:kinsoku/>
        <w:topLinePunct w:val="0"/>
        <w:bidi w:val="0"/>
        <w:spacing w:before="60" w:after="60" w:line="360" w:lineRule="auto"/>
        <w:ind w:firstLine="420" w:firstLineChars="200"/>
        <w:rPr>
          <w:rFonts w:ascii="宋体" w:hAnsi="宋体" w:cs="宋体"/>
          <w:iCs/>
          <w:color w:val="auto"/>
          <w:kern w:val="0"/>
          <w:szCs w:val="21"/>
          <w:highlight w:val="none"/>
        </w:rPr>
      </w:pPr>
      <w:r>
        <w:rPr>
          <w:rFonts w:hint="eastAsia" w:ascii="宋体" w:hAnsi="宋体" w:cs="宋体"/>
          <w:iCs/>
          <w:color w:val="auto"/>
          <w:kern w:val="0"/>
          <w:szCs w:val="21"/>
          <w:highlight w:val="none"/>
        </w:rPr>
        <w:t>（2）政府采购支持采用本国产品的政策。</w:t>
      </w:r>
    </w:p>
    <w:p w14:paraId="2D0B0A21">
      <w:pPr>
        <w:pageBreakBefore w:val="0"/>
        <w:kinsoku/>
        <w:topLinePunct w:val="0"/>
        <w:bidi w:val="0"/>
        <w:spacing w:before="60" w:after="60" w:line="360" w:lineRule="auto"/>
        <w:ind w:firstLine="420" w:firstLineChars="200"/>
        <w:rPr>
          <w:rFonts w:ascii="宋体" w:hAnsi="宋体" w:cs="宋体"/>
          <w:iCs/>
          <w:color w:val="auto"/>
          <w:kern w:val="0"/>
          <w:szCs w:val="21"/>
          <w:highlight w:val="none"/>
        </w:rPr>
      </w:pPr>
      <w:r>
        <w:rPr>
          <w:rFonts w:hint="eastAsia" w:ascii="宋体" w:hAnsi="宋体" w:cs="宋体"/>
          <w:iCs/>
          <w:color w:val="auto"/>
          <w:kern w:val="0"/>
          <w:szCs w:val="21"/>
          <w:highlight w:val="none"/>
        </w:rPr>
        <w:t>（3）强制采购节能产品；优先采购节能产品、环境标志产品。</w:t>
      </w:r>
    </w:p>
    <w:p w14:paraId="0F53E8CB">
      <w:pPr>
        <w:pageBreakBefore w:val="0"/>
        <w:kinsoku/>
        <w:topLinePunct w:val="0"/>
        <w:bidi w:val="0"/>
        <w:spacing w:before="60" w:after="60" w:line="360" w:lineRule="auto"/>
        <w:ind w:firstLine="420" w:firstLineChars="200"/>
        <w:rPr>
          <w:rFonts w:ascii="宋体" w:hAnsi="宋体" w:cs="宋体"/>
          <w:iCs/>
          <w:color w:val="auto"/>
          <w:kern w:val="0"/>
          <w:szCs w:val="21"/>
          <w:highlight w:val="none"/>
        </w:rPr>
      </w:pPr>
      <w:r>
        <w:rPr>
          <w:rFonts w:hint="eastAsia" w:ascii="宋体" w:hAnsi="宋体" w:cs="宋体"/>
          <w:iCs/>
          <w:color w:val="auto"/>
          <w:kern w:val="0"/>
          <w:szCs w:val="21"/>
          <w:highlight w:val="none"/>
        </w:rPr>
        <w:t>（4）政府采购促进残疾人就业政策。</w:t>
      </w:r>
    </w:p>
    <w:p w14:paraId="4CEFFABD">
      <w:pPr>
        <w:pageBreakBefore w:val="0"/>
        <w:kinsoku/>
        <w:topLinePunct w:val="0"/>
        <w:bidi w:val="0"/>
        <w:spacing w:before="60" w:after="60" w:line="360" w:lineRule="auto"/>
        <w:ind w:firstLine="420" w:firstLineChars="200"/>
        <w:rPr>
          <w:rFonts w:ascii="宋体" w:hAnsi="宋体" w:cs="宋体"/>
          <w:iCs/>
          <w:color w:val="auto"/>
          <w:kern w:val="0"/>
          <w:szCs w:val="21"/>
          <w:highlight w:val="none"/>
        </w:rPr>
      </w:pPr>
      <w:r>
        <w:rPr>
          <w:rFonts w:hint="eastAsia" w:ascii="宋体" w:hAnsi="宋体" w:cs="宋体"/>
          <w:iCs/>
          <w:color w:val="auto"/>
          <w:kern w:val="0"/>
          <w:szCs w:val="21"/>
          <w:highlight w:val="none"/>
        </w:rPr>
        <w:t>（5）政府采购支持监狱企业发展。</w:t>
      </w:r>
    </w:p>
    <w:bookmarkEnd w:id="42"/>
    <w:p w14:paraId="1B0A6847">
      <w:pPr>
        <w:pageBreakBefore w:val="0"/>
        <w:widowControl/>
        <w:kinsoku/>
        <w:topLinePunct w:val="0"/>
        <w:bidi w:val="0"/>
        <w:spacing w:before="60" w:after="60" w:line="360" w:lineRule="auto"/>
        <w:ind w:firstLine="420" w:firstLineChars="200"/>
        <w:jc w:val="left"/>
        <w:rPr>
          <w:rFonts w:ascii="宋体" w:hAnsi="宋体"/>
          <w:color w:val="auto"/>
          <w:szCs w:val="21"/>
          <w:highlight w:val="none"/>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供应商</w:t>
      </w:r>
      <w:r>
        <w:rPr>
          <w:rFonts w:hint="eastAsia" w:ascii="宋体" w:hAnsi="宋体"/>
          <w:color w:val="auto"/>
          <w:szCs w:val="21"/>
          <w:highlight w:val="none"/>
        </w:rPr>
        <w:t>竞标注意事项</w:t>
      </w:r>
    </w:p>
    <w:p w14:paraId="7E0F7A5B">
      <w:pPr>
        <w:pageBreakBefore w:val="0"/>
        <w:widowControl/>
        <w:kinsoku/>
        <w:topLinePunct w:val="0"/>
        <w:bidi w:val="0"/>
        <w:spacing w:before="60" w:after="6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（1）本项目为全流程电子化采购项目，通过“广西政府采购云平台”（</w:t>
      </w:r>
      <w:r>
        <w:rPr>
          <w:rFonts w:ascii="宋体" w:hAnsi="宋体"/>
          <w:color w:val="auto"/>
          <w:szCs w:val="21"/>
          <w:highlight w:val="none"/>
        </w:rPr>
        <w:t>http://www</w:t>
      </w:r>
      <w:r>
        <w:rPr>
          <w:rFonts w:hint="eastAsia" w:ascii="宋体" w:hAnsi="宋体"/>
          <w:color w:val="auto"/>
          <w:szCs w:val="21"/>
          <w:highlight w:val="none"/>
          <w:lang w:eastAsia="zh-CN"/>
        </w:rPr>
        <w:t>.</w:t>
      </w:r>
      <w:r>
        <w:rPr>
          <w:rFonts w:ascii="宋体" w:hAnsi="宋体"/>
          <w:color w:val="auto"/>
          <w:szCs w:val="21"/>
          <w:highlight w:val="none"/>
        </w:rPr>
        <w:t>gcy</w:t>
      </w:r>
      <w:r>
        <w:rPr>
          <w:rFonts w:hint="eastAsia" w:ascii="宋体" w:hAnsi="宋体"/>
          <w:color w:val="auto"/>
          <w:szCs w:val="21"/>
          <w:highlight w:val="none"/>
          <w:lang w:eastAsia="zh-CN"/>
        </w:rPr>
        <w:t>.</w:t>
      </w:r>
      <w:r>
        <w:rPr>
          <w:rFonts w:ascii="宋体" w:hAnsi="宋体"/>
          <w:color w:val="auto"/>
          <w:szCs w:val="21"/>
          <w:highlight w:val="none"/>
        </w:rPr>
        <w:t>zfcg</w:t>
      </w:r>
      <w:r>
        <w:rPr>
          <w:rFonts w:hint="eastAsia" w:ascii="宋体" w:hAnsi="宋体"/>
          <w:color w:val="auto"/>
          <w:szCs w:val="21"/>
          <w:highlight w:val="none"/>
          <w:lang w:eastAsia="zh-CN"/>
        </w:rPr>
        <w:t>.</w:t>
      </w:r>
      <w:r>
        <w:rPr>
          <w:rFonts w:ascii="宋体" w:hAnsi="宋体"/>
          <w:color w:val="auto"/>
          <w:szCs w:val="21"/>
          <w:highlight w:val="none"/>
        </w:rPr>
        <w:t>gxzf</w:t>
      </w:r>
      <w:r>
        <w:rPr>
          <w:rFonts w:hint="eastAsia" w:ascii="宋体" w:hAnsi="宋体"/>
          <w:color w:val="auto"/>
          <w:szCs w:val="21"/>
          <w:highlight w:val="none"/>
          <w:lang w:eastAsia="zh-CN"/>
        </w:rPr>
        <w:t>.</w:t>
      </w:r>
      <w:r>
        <w:rPr>
          <w:rFonts w:ascii="宋体" w:hAnsi="宋体"/>
          <w:color w:val="auto"/>
          <w:szCs w:val="21"/>
          <w:highlight w:val="none"/>
        </w:rPr>
        <w:t>gov</w:t>
      </w:r>
      <w:r>
        <w:rPr>
          <w:rFonts w:hint="eastAsia" w:ascii="宋体" w:hAnsi="宋体"/>
          <w:color w:val="auto"/>
          <w:szCs w:val="21"/>
          <w:highlight w:val="none"/>
          <w:lang w:eastAsia="zh-CN"/>
        </w:rPr>
        <w:t>.</w:t>
      </w:r>
      <w:r>
        <w:rPr>
          <w:rFonts w:ascii="宋体" w:hAnsi="宋体"/>
          <w:color w:val="auto"/>
          <w:szCs w:val="21"/>
          <w:highlight w:val="none"/>
        </w:rPr>
        <w:t>cn</w:t>
      </w:r>
      <w:r>
        <w:rPr>
          <w:rFonts w:hint="eastAsia" w:ascii="宋体" w:hAnsi="宋体"/>
          <w:color w:val="auto"/>
          <w:szCs w:val="21"/>
          <w:highlight w:val="none"/>
        </w:rPr>
        <w:t>）实行在线电子竞标，供应商应先安装“广西政府采购云平台电子交易客户端”（请自行前往“广西政府采购云平台”进行下载），并按照本项目竞争性磋商文件和“广西政府采购云平台”的要求编制、加密后在提交响应文件截止时间前通过网络上传至 “广西政府采购云平台”（加密的电子响应文件是指</w:t>
      </w:r>
      <w:r>
        <w:rPr>
          <w:rFonts w:hint="eastAsia"/>
          <w:color w:val="auto"/>
          <w:highlight w:val="none"/>
        </w:rPr>
        <w:t>后缀名为“jm</w:t>
      </w:r>
      <w:r>
        <w:rPr>
          <w:color w:val="auto"/>
          <w:highlight w:val="none"/>
        </w:rPr>
        <w:t>bs</w:t>
      </w:r>
      <w:r>
        <w:rPr>
          <w:rFonts w:hint="eastAsia"/>
          <w:color w:val="auto"/>
          <w:highlight w:val="none"/>
        </w:rPr>
        <w:t>”的文件</w:t>
      </w:r>
      <w:r>
        <w:rPr>
          <w:rFonts w:hint="eastAsia" w:ascii="宋体" w:hAnsi="宋体"/>
          <w:color w:val="auto"/>
          <w:szCs w:val="21"/>
          <w:highlight w:val="none"/>
        </w:rPr>
        <w:t>），</w:t>
      </w:r>
      <w:r>
        <w:rPr>
          <w:rFonts w:hint="eastAsia" w:ascii="宋体" w:hAnsi="宋体"/>
          <w:b/>
          <w:color w:val="auto"/>
          <w:szCs w:val="21"/>
          <w:highlight w:val="none"/>
        </w:rPr>
        <w:t>供应商在“广西政府采购云平台”提交电子响应文件时，请填写参加远程采购活动经办人联系方式。</w:t>
      </w:r>
      <w:r>
        <w:rPr>
          <w:rFonts w:hint="eastAsia" w:ascii="宋体" w:hAnsi="宋体"/>
          <w:color w:val="auto"/>
          <w:szCs w:val="21"/>
          <w:highlight w:val="none"/>
        </w:rPr>
        <w:t>供应商登录“广西政府采购云平台”，依次进入“服务中心-项目采购-操作流程-电子招投标-</w:t>
      </w:r>
      <w:r>
        <w:rPr>
          <w:rFonts w:hint="eastAsia"/>
          <w:color w:val="auto"/>
          <w:highlight w:val="none"/>
        </w:rPr>
        <w:t>政府采购项目电子交易管理操作指</w:t>
      </w:r>
      <w:r>
        <w:rPr>
          <w:rFonts w:hint="eastAsia" w:ascii="宋体" w:hAnsi="宋体"/>
          <w:color w:val="auto"/>
          <w:szCs w:val="21"/>
          <w:highlight w:val="none"/>
        </w:rPr>
        <w:t>南</w:t>
      </w:r>
      <w:r>
        <w:rPr>
          <w:rFonts w:ascii="宋体" w:hAnsi="宋体"/>
          <w:color w:val="auto"/>
          <w:szCs w:val="21"/>
          <w:highlight w:val="none"/>
        </w:rPr>
        <w:t>-</w:t>
      </w:r>
      <w:r>
        <w:rPr>
          <w:rFonts w:hint="eastAsia" w:ascii="宋体" w:hAnsi="宋体"/>
          <w:color w:val="auto"/>
          <w:szCs w:val="21"/>
          <w:highlight w:val="none"/>
        </w:rPr>
        <w:t>供应商”查看电子竞标具体操作流程。</w:t>
      </w:r>
    </w:p>
    <w:p w14:paraId="7BFAFDC9">
      <w:pPr>
        <w:pageBreakBefore w:val="0"/>
        <w:widowControl/>
        <w:kinsoku/>
        <w:topLinePunct w:val="0"/>
        <w:bidi w:val="0"/>
        <w:spacing w:before="60" w:after="6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w:t>
      </w:r>
      <w:r>
        <w:rPr>
          <w:rFonts w:hint="eastAsia" w:ascii="宋体" w:hAnsi="宋体"/>
          <w:color w:val="auto"/>
          <w:szCs w:val="21"/>
          <w:highlight w:val="none"/>
          <w:lang w:eastAsia="zh-CN"/>
        </w:rPr>
        <w:t>登录</w:t>
      </w:r>
      <w:r>
        <w:rPr>
          <w:rFonts w:hint="eastAsia" w:ascii="宋体" w:hAnsi="宋体"/>
          <w:color w:val="auto"/>
          <w:szCs w:val="21"/>
          <w:highlight w:val="none"/>
        </w:rPr>
        <w:t>“广西政府采购云平台”，依次进入“服务中心-入驻与配置”中查看CA数字证书办理操作流程。如在操作过程中遇到问题或者需要技术支持，请致电广西政府采购云平台客服热线</w:t>
      </w:r>
      <w:r>
        <w:rPr>
          <w:rFonts w:hint="eastAsia" w:ascii="宋体" w:hAnsi="宋体"/>
          <w:b/>
          <w:bCs/>
          <w:color w:val="auto"/>
          <w:szCs w:val="21"/>
          <w:highlight w:val="none"/>
        </w:rPr>
        <w:t>：</w:t>
      </w:r>
      <w:r>
        <w:rPr>
          <w:rFonts w:ascii="宋体" w:hAnsi="宋体"/>
          <w:b/>
          <w:bCs/>
          <w:color w:val="auto"/>
          <w:szCs w:val="21"/>
          <w:highlight w:val="none"/>
        </w:rPr>
        <w:t>95763</w:t>
      </w:r>
      <w:r>
        <w:rPr>
          <w:rFonts w:hint="eastAsia" w:ascii="宋体" w:hAnsi="宋体"/>
          <w:color w:val="auto"/>
          <w:szCs w:val="21"/>
          <w:highlight w:val="none"/>
        </w:rPr>
        <w:t>）。</w:t>
      </w:r>
    </w:p>
    <w:p w14:paraId="6F48641C">
      <w:pPr>
        <w:pageBreakBefore w:val="0"/>
        <w:widowControl/>
        <w:kinsoku/>
        <w:topLinePunct w:val="0"/>
        <w:bidi w:val="0"/>
        <w:spacing w:before="60" w:after="60" w:line="360" w:lineRule="auto"/>
        <w:ind w:firstLine="420" w:firstLineChars="200"/>
        <w:jc w:val="left"/>
        <w:rPr>
          <w:rFonts w:ascii="宋体" w:hAnsi="宋体" w:cs="宋体"/>
          <w:color w:val="auto"/>
          <w:kern w:val="0"/>
          <w:szCs w:val="21"/>
          <w:highlight w:val="none"/>
        </w:rPr>
      </w:pPr>
      <w:r>
        <w:rPr>
          <w:rFonts w:hint="eastAsia" w:ascii="宋体" w:hAnsi="宋体"/>
          <w:color w:val="auto"/>
          <w:szCs w:val="21"/>
          <w:highlight w:val="none"/>
        </w:rPr>
        <w:t>（3）CA证书在线解密：首次响应文件开启时，需携带制作响应文件时用来加密的有效数字证书（CA认证）登录“广西政府采购云平台”</w:t>
      </w:r>
      <w:r>
        <w:rPr>
          <w:rFonts w:hint="eastAsia" w:ascii="宋体" w:hAnsi="宋体" w:cs="宋体"/>
          <w:color w:val="auto"/>
          <w:kern w:val="0"/>
          <w:szCs w:val="21"/>
          <w:highlight w:val="none"/>
        </w:rPr>
        <w:t>电子开标大厅现场按规定时间对加密的响应文件进行解密，否则后果自负。</w:t>
      </w:r>
    </w:p>
    <w:p w14:paraId="7173F301">
      <w:pPr>
        <w:pageBreakBefore w:val="0"/>
        <w:widowControl/>
        <w:kinsoku/>
        <w:topLinePunct w:val="0"/>
        <w:bidi w:val="0"/>
        <w:spacing w:before="60" w:after="60" w:line="360" w:lineRule="auto"/>
        <w:ind w:firstLine="420" w:firstLineChars="200"/>
        <w:jc w:val="left"/>
        <w:rPr>
          <w:rFonts w:ascii="宋体" w:hAnsi="宋体"/>
          <w:bCs/>
          <w:color w:val="auto"/>
          <w:szCs w:val="21"/>
          <w:highlight w:val="none"/>
        </w:rPr>
      </w:pPr>
      <w:r>
        <w:rPr>
          <w:rFonts w:hint="eastAsia" w:ascii="宋体" w:hAnsi="宋体"/>
          <w:color w:val="auto"/>
          <w:szCs w:val="21"/>
          <w:highlight w:val="none"/>
        </w:rPr>
        <w:t>注：1）为确保网上操作合法、有效和安全，请供应商确保在电子竞标过程中能够对相关数据电文进行加密和使用电子签章，妥善保管CA数字证书并使用有效的CA数字证书参与整个采购活动。2）</w:t>
      </w:r>
      <w:r>
        <w:rPr>
          <w:rFonts w:hint="eastAsia" w:ascii="宋体" w:hAnsi="宋体"/>
          <w:bCs/>
          <w:color w:val="auto"/>
          <w:szCs w:val="21"/>
          <w:highlight w:val="none"/>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1BB5745B">
      <w:pPr>
        <w:pageBreakBefore w:val="0"/>
        <w:kinsoku/>
        <w:topLinePunct w:val="0"/>
        <w:bidi w:val="0"/>
        <w:spacing w:before="60" w:after="60"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（4）供应商需要在具备有摄像头及语音功能且互联网网络状况良好的电脑登录“广西政府采购云平台”远程开标大厅参与本次磋商，否则后果自负。</w:t>
      </w:r>
    </w:p>
    <w:p w14:paraId="6266188C">
      <w:pPr>
        <w:pageBreakBefore w:val="0"/>
        <w:widowControl/>
        <w:kinsoku/>
        <w:topLinePunct w:val="0"/>
        <w:bidi w:val="0"/>
        <w:spacing w:before="60" w:after="60" w:line="360" w:lineRule="auto"/>
        <w:ind w:firstLine="420" w:firstLineChars="200"/>
        <w:jc w:val="left"/>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lang w:val="en-US" w:eastAsia="zh-CN"/>
        </w:rPr>
        <w:t>4</w:t>
      </w:r>
      <w:r>
        <w:rPr>
          <w:rFonts w:hint="eastAsia" w:ascii="宋体" w:hAnsi="宋体" w:eastAsia="宋体" w:cs="Times New Roman"/>
          <w:bCs/>
          <w:color w:val="auto"/>
          <w:szCs w:val="21"/>
          <w:highlight w:val="none"/>
        </w:rPr>
        <w:t>.本项目采用远程异地评标，评标主场设在浦北县公共资源交易中心【浦北县城金浦新区越秀路133号(政务中心西向县总工会楼三楼)】，分会场设在</w:t>
      </w:r>
      <w:r>
        <w:rPr>
          <w:rFonts w:hint="eastAsia" w:ascii="宋体" w:hAnsi="宋体" w:eastAsia="宋体" w:cs="Times New Roman"/>
          <w:bCs/>
          <w:color w:val="auto"/>
          <w:szCs w:val="21"/>
          <w:highlight w:val="none"/>
          <w:lang w:val="en-US" w:eastAsia="zh-CN"/>
        </w:rPr>
        <w:t>崇左市环山路龙峡山小区北区C29-102室</w:t>
      </w:r>
      <w:r>
        <w:rPr>
          <w:rFonts w:hint="eastAsia" w:ascii="宋体" w:hAnsi="宋体" w:eastAsia="宋体" w:cs="Times New Roman"/>
          <w:bCs/>
          <w:color w:val="auto"/>
          <w:szCs w:val="21"/>
          <w:highlight w:val="none"/>
        </w:rPr>
        <w:t>。</w:t>
      </w:r>
    </w:p>
    <w:p w14:paraId="204E1A44">
      <w:pPr>
        <w:pageBreakBefore w:val="0"/>
        <w:kinsoku/>
        <w:topLinePunct w:val="0"/>
        <w:bidi w:val="0"/>
        <w:spacing w:before="60" w:after="60" w:line="360" w:lineRule="auto"/>
        <w:ind w:firstLine="482" w:firstLineChars="200"/>
        <w:rPr>
          <w:rFonts w:ascii="黑体" w:hAnsi="黑体" w:eastAsia="黑体"/>
          <w:b/>
          <w:color w:val="auto"/>
          <w:sz w:val="24"/>
          <w:highlight w:val="none"/>
        </w:rPr>
      </w:pPr>
      <w:r>
        <w:rPr>
          <w:rFonts w:hint="eastAsia" w:ascii="黑体" w:hAnsi="黑体" w:eastAsia="黑体"/>
          <w:b/>
          <w:color w:val="auto"/>
          <w:sz w:val="24"/>
          <w:highlight w:val="none"/>
        </w:rPr>
        <w:t>八、凡对本次采购提出询问，请按</w:t>
      </w:r>
      <w:r>
        <w:rPr>
          <w:rFonts w:ascii="黑体" w:hAnsi="黑体" w:eastAsia="黑体"/>
          <w:b/>
          <w:color w:val="auto"/>
          <w:sz w:val="24"/>
          <w:highlight w:val="none"/>
        </w:rPr>
        <w:t>以下方式</w:t>
      </w:r>
      <w:r>
        <w:rPr>
          <w:rFonts w:hint="eastAsia" w:ascii="黑体" w:hAnsi="黑体" w:eastAsia="黑体"/>
          <w:b/>
          <w:color w:val="auto"/>
          <w:sz w:val="24"/>
          <w:highlight w:val="none"/>
        </w:rPr>
        <w:t>联系。</w:t>
      </w:r>
      <w:bookmarkEnd w:id="43"/>
      <w:bookmarkEnd w:id="44"/>
      <w:bookmarkEnd w:id="45"/>
      <w:bookmarkEnd w:id="46"/>
      <w:bookmarkEnd w:id="47"/>
    </w:p>
    <w:p w14:paraId="3BE4B1D9">
      <w:pPr>
        <w:pageBreakBefore w:val="0"/>
        <w:kinsoku/>
        <w:topLinePunct w:val="0"/>
        <w:bidi w:val="0"/>
        <w:spacing w:before="60" w:after="60" w:line="360" w:lineRule="auto"/>
        <w:ind w:firstLine="420" w:firstLineChars="200"/>
        <w:rPr>
          <w:rFonts w:ascii="宋体" w:hAnsi="宋体" w:cs="宋体"/>
          <w:color w:val="auto"/>
          <w:kern w:val="0"/>
          <w:szCs w:val="21"/>
          <w:highlight w:val="none"/>
        </w:rPr>
      </w:pPr>
      <w:bookmarkStart w:id="48" w:name="_Toc35393637"/>
      <w:bookmarkStart w:id="49" w:name="_Toc35393806"/>
      <w:bookmarkStart w:id="50" w:name="_Toc28359019"/>
      <w:bookmarkStart w:id="51" w:name="_Toc28359096"/>
      <w:r>
        <w:rPr>
          <w:rFonts w:hint="eastAsia" w:ascii="宋体" w:hAnsi="宋体" w:cs="宋体"/>
          <w:color w:val="auto"/>
          <w:kern w:val="0"/>
          <w:szCs w:val="21"/>
          <w:highlight w:val="none"/>
        </w:rPr>
        <w:t>1</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采购人信息</w:t>
      </w:r>
      <w:bookmarkEnd w:id="48"/>
      <w:bookmarkEnd w:id="49"/>
      <w:bookmarkEnd w:id="50"/>
      <w:bookmarkEnd w:id="51"/>
    </w:p>
    <w:p w14:paraId="789C9D1B">
      <w:pPr>
        <w:pageBreakBefore w:val="0"/>
        <w:kinsoku/>
        <w:topLinePunct w:val="0"/>
        <w:bidi w:val="0"/>
        <w:spacing w:before="60" w:after="60" w:line="360" w:lineRule="auto"/>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名    称：</w:t>
      </w:r>
      <w:r>
        <w:rPr>
          <w:rFonts w:hint="eastAsia" w:ascii="宋体" w:hAnsi="宋体"/>
          <w:color w:val="auto"/>
          <w:szCs w:val="21"/>
          <w:highlight w:val="none"/>
          <w:u w:val="single"/>
          <w:lang w:eastAsia="zh-CN"/>
        </w:rPr>
        <w:t>浦北县人力资源和社会保障局</w:t>
      </w:r>
    </w:p>
    <w:p w14:paraId="049DF1B9">
      <w:pPr>
        <w:pageBreakBefore w:val="0"/>
        <w:kinsoku/>
        <w:topLinePunct w:val="0"/>
        <w:bidi w:val="0"/>
        <w:spacing w:before="60" w:after="60"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地    址：广西浦北县江城街道越新路121号</w:t>
      </w:r>
    </w:p>
    <w:p w14:paraId="6D93F571">
      <w:pPr>
        <w:pageBreakBefore w:val="0"/>
        <w:kinsoku/>
        <w:topLinePunct w:val="0"/>
        <w:bidi w:val="0"/>
        <w:spacing w:before="60" w:after="60" w:line="360" w:lineRule="auto"/>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联系</w:t>
      </w:r>
      <w:r>
        <w:rPr>
          <w:rFonts w:hint="eastAsia" w:ascii="宋体" w:hAnsi="宋体"/>
          <w:color w:val="auto"/>
          <w:szCs w:val="21"/>
          <w:highlight w:val="none"/>
          <w:lang w:eastAsia="zh-CN"/>
        </w:rPr>
        <w:t>人</w:t>
      </w:r>
      <w:r>
        <w:rPr>
          <w:rFonts w:hint="eastAsia" w:ascii="宋体" w:hAnsi="宋体"/>
          <w:color w:val="auto"/>
          <w:szCs w:val="21"/>
          <w:highlight w:val="none"/>
        </w:rPr>
        <w:t>：</w:t>
      </w:r>
      <w:r>
        <w:rPr>
          <w:rFonts w:hint="eastAsia" w:ascii="宋体" w:hAnsi="宋体"/>
          <w:color w:val="auto"/>
          <w:szCs w:val="21"/>
          <w:highlight w:val="none"/>
          <w:lang w:eastAsia="zh-CN"/>
        </w:rPr>
        <w:t>龙工</w:t>
      </w:r>
    </w:p>
    <w:p w14:paraId="31C21545">
      <w:pPr>
        <w:pageBreakBefore w:val="0"/>
        <w:kinsoku/>
        <w:topLinePunct w:val="0"/>
        <w:bidi w:val="0"/>
        <w:spacing w:before="60" w:after="60" w:line="360" w:lineRule="auto"/>
        <w:ind w:firstLine="420" w:firstLineChars="200"/>
        <w:jc w:val="left"/>
        <w:rPr>
          <w:rFonts w:hint="default" w:ascii="宋体" w:hAnsi="宋体" w:eastAsia="宋体"/>
          <w:color w:val="auto"/>
          <w:szCs w:val="21"/>
          <w:highlight w:val="none"/>
          <w:u w:val="none"/>
          <w:lang w:val="en-US" w:eastAsia="zh-CN"/>
        </w:rPr>
      </w:pPr>
      <w:r>
        <w:rPr>
          <w:rFonts w:hint="eastAsia" w:ascii="宋体" w:hAnsi="宋体"/>
          <w:color w:val="auto"/>
          <w:szCs w:val="21"/>
          <w:highlight w:val="none"/>
          <w:u w:val="none"/>
          <w:lang w:eastAsia="zh-CN"/>
        </w:rPr>
        <w:t>联系方式：</w:t>
      </w:r>
      <w:r>
        <w:rPr>
          <w:rFonts w:hint="eastAsia" w:ascii="宋体" w:hAnsi="宋体"/>
          <w:color w:val="auto"/>
          <w:szCs w:val="21"/>
          <w:highlight w:val="none"/>
          <w:u w:val="none"/>
          <w:lang w:val="en-US" w:eastAsia="zh-CN"/>
        </w:rPr>
        <w:t xml:space="preserve">0777-8213319      </w:t>
      </w:r>
    </w:p>
    <w:p w14:paraId="6D355E8A">
      <w:pPr>
        <w:pageBreakBefore w:val="0"/>
        <w:kinsoku/>
        <w:topLinePunct w:val="0"/>
        <w:bidi w:val="0"/>
        <w:spacing w:before="60" w:after="60" w:line="360" w:lineRule="auto"/>
        <w:ind w:firstLine="420" w:firstLineChars="200"/>
        <w:rPr>
          <w:rFonts w:ascii="宋体" w:hAnsi="宋体" w:cs="宋体"/>
          <w:color w:val="auto"/>
          <w:kern w:val="0"/>
          <w:szCs w:val="21"/>
          <w:highlight w:val="none"/>
        </w:rPr>
      </w:pPr>
      <w:bookmarkStart w:id="52" w:name="_Toc35393638"/>
      <w:bookmarkStart w:id="53" w:name="_Toc28359020"/>
      <w:bookmarkStart w:id="54" w:name="_Toc28359097"/>
      <w:bookmarkStart w:id="55" w:name="_Toc35393807"/>
      <w:r>
        <w:rPr>
          <w:rFonts w:hint="eastAsia" w:ascii="宋体" w:hAnsi="宋体" w:cs="宋体"/>
          <w:color w:val="auto"/>
          <w:kern w:val="0"/>
          <w:szCs w:val="21"/>
          <w:highlight w:val="none"/>
        </w:rPr>
        <w:t>2</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采购代理机构信息</w:t>
      </w:r>
      <w:bookmarkEnd w:id="52"/>
      <w:bookmarkEnd w:id="53"/>
      <w:bookmarkEnd w:id="54"/>
      <w:bookmarkEnd w:id="55"/>
    </w:p>
    <w:p w14:paraId="168E50A3">
      <w:pPr>
        <w:pageBreakBefore w:val="0"/>
        <w:kinsoku/>
        <w:topLinePunct w:val="0"/>
        <w:bidi w:val="0"/>
        <w:spacing w:before="60" w:after="60"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名 称：</w:t>
      </w:r>
      <w:r>
        <w:rPr>
          <w:rFonts w:hint="eastAsia" w:ascii="宋体" w:hAnsi="宋体"/>
          <w:color w:val="auto"/>
          <w:szCs w:val="21"/>
          <w:highlight w:val="none"/>
          <w:u w:val="single"/>
          <w:lang w:eastAsia="zh-CN"/>
        </w:rPr>
        <w:t>广西荣胜项目管理有限公司</w:t>
      </w:r>
    </w:p>
    <w:p w14:paraId="57076A70">
      <w:pPr>
        <w:pageBreakBefore w:val="0"/>
        <w:kinsoku/>
        <w:topLinePunct w:val="0"/>
        <w:bidi w:val="0"/>
        <w:spacing w:before="60" w:after="60"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地址：</w:t>
      </w:r>
      <w:r>
        <w:rPr>
          <w:rFonts w:hint="eastAsia" w:ascii="宋体" w:hAnsi="宋体"/>
          <w:color w:val="auto"/>
          <w:szCs w:val="21"/>
          <w:highlight w:val="none"/>
          <w:u w:val="single"/>
          <w:lang w:eastAsia="zh-CN"/>
        </w:rPr>
        <w:t>钦州市蓬莱大道鸿亭街333号皇庭天麓湖小区183栋203室</w:t>
      </w:r>
    </w:p>
    <w:p w14:paraId="7DC98440">
      <w:pPr>
        <w:pageBreakBefore w:val="0"/>
        <w:kinsoku/>
        <w:topLinePunct w:val="0"/>
        <w:bidi w:val="0"/>
        <w:spacing w:before="60" w:after="60" w:line="360" w:lineRule="auto"/>
        <w:ind w:firstLine="420" w:firstLineChars="200"/>
        <w:rPr>
          <w:rFonts w:hint="eastAsia" w:ascii="宋体" w:hAnsi="宋体" w:eastAsia="宋体"/>
          <w:color w:val="auto"/>
          <w:szCs w:val="21"/>
          <w:highlight w:val="none"/>
          <w:u w:val="single"/>
          <w:lang w:eastAsia="zh-CN"/>
        </w:rPr>
      </w:pPr>
      <w:r>
        <w:rPr>
          <w:rFonts w:hint="eastAsia" w:ascii="宋体" w:hAnsi="宋体"/>
          <w:color w:val="auto"/>
          <w:szCs w:val="21"/>
          <w:highlight w:val="none"/>
        </w:rPr>
        <w:t>联系方式：</w:t>
      </w:r>
      <w:r>
        <w:rPr>
          <w:rFonts w:hint="eastAsia" w:ascii="宋体" w:hAnsi="宋体"/>
          <w:color w:val="auto"/>
          <w:szCs w:val="21"/>
          <w:highlight w:val="none"/>
          <w:u w:val="single"/>
          <w:lang w:eastAsia="zh-CN"/>
        </w:rPr>
        <w:t>0777-5512166</w:t>
      </w:r>
    </w:p>
    <w:p w14:paraId="0071FF6B">
      <w:pPr>
        <w:pageBreakBefore w:val="0"/>
        <w:kinsoku/>
        <w:topLinePunct w:val="0"/>
        <w:bidi w:val="0"/>
        <w:spacing w:before="60" w:after="60" w:line="360" w:lineRule="auto"/>
        <w:ind w:firstLine="420" w:firstLineChars="200"/>
        <w:rPr>
          <w:rFonts w:ascii="宋体" w:hAnsi="宋体" w:cs="宋体"/>
          <w:color w:val="auto"/>
          <w:kern w:val="0"/>
          <w:szCs w:val="21"/>
          <w:highlight w:val="none"/>
        </w:rPr>
      </w:pPr>
      <w:bookmarkStart w:id="56" w:name="_Toc28359098"/>
      <w:bookmarkStart w:id="57" w:name="_Toc35393808"/>
      <w:bookmarkStart w:id="58" w:name="_Toc28359021"/>
      <w:bookmarkStart w:id="59" w:name="_Toc35393639"/>
      <w:r>
        <w:rPr>
          <w:rFonts w:hint="eastAsia" w:ascii="宋体" w:hAnsi="宋体" w:cs="宋体"/>
          <w:color w:val="auto"/>
          <w:kern w:val="0"/>
          <w:szCs w:val="21"/>
          <w:highlight w:val="none"/>
        </w:rPr>
        <w:t>3</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项目联系</w:t>
      </w:r>
      <w:r>
        <w:rPr>
          <w:rFonts w:ascii="宋体" w:hAnsi="宋体" w:cs="宋体"/>
          <w:color w:val="auto"/>
          <w:kern w:val="0"/>
          <w:szCs w:val="21"/>
          <w:highlight w:val="none"/>
        </w:rPr>
        <w:t>方式</w:t>
      </w:r>
      <w:bookmarkEnd w:id="56"/>
      <w:bookmarkEnd w:id="57"/>
      <w:bookmarkEnd w:id="58"/>
      <w:bookmarkEnd w:id="59"/>
    </w:p>
    <w:p w14:paraId="50CE7F02">
      <w:pPr>
        <w:pStyle w:val="16"/>
        <w:pageBreakBefore w:val="0"/>
        <w:kinsoku/>
        <w:topLinePunct w:val="0"/>
        <w:bidi w:val="0"/>
        <w:spacing w:before="60" w:after="60" w:line="360" w:lineRule="auto"/>
        <w:ind w:firstLine="420" w:firstLineChars="200"/>
        <w:rPr>
          <w:rFonts w:hint="eastAsia" w:hAnsi="宋体" w:eastAsia="宋体"/>
          <w:color w:val="auto"/>
          <w:sz w:val="21"/>
          <w:highlight w:val="none"/>
          <w:lang w:eastAsia="zh-CN"/>
        </w:rPr>
      </w:pPr>
      <w:r>
        <w:rPr>
          <w:rFonts w:hint="eastAsia" w:hAnsi="宋体"/>
          <w:color w:val="auto"/>
          <w:sz w:val="21"/>
          <w:highlight w:val="none"/>
        </w:rPr>
        <w:t>项目联系人：</w:t>
      </w:r>
      <w:r>
        <w:rPr>
          <w:rFonts w:hint="eastAsia" w:hAnsi="宋体"/>
          <w:color w:val="auto"/>
          <w:sz w:val="21"/>
          <w:highlight w:val="none"/>
          <w:u w:val="single"/>
          <w:lang w:eastAsia="zh-CN"/>
        </w:rPr>
        <w:t>黄工</w:t>
      </w:r>
    </w:p>
    <w:p w14:paraId="3A2E97C7">
      <w:pPr>
        <w:pageBreakBefore w:val="0"/>
        <w:kinsoku/>
        <w:topLinePunct w:val="0"/>
        <w:bidi w:val="0"/>
        <w:spacing w:before="60" w:after="60" w:line="360" w:lineRule="auto"/>
        <w:ind w:firstLine="420" w:firstLineChars="200"/>
        <w:rPr>
          <w:rFonts w:hint="eastAsia" w:ascii="宋体" w:hAnsi="宋体" w:eastAsia="宋体"/>
          <w:color w:val="auto"/>
          <w:szCs w:val="21"/>
          <w:highlight w:val="none"/>
          <w:u w:val="single"/>
          <w:lang w:eastAsia="zh-CN"/>
        </w:rPr>
      </w:pPr>
      <w:r>
        <w:rPr>
          <w:rFonts w:hint="eastAsia" w:ascii="宋体" w:hAnsi="宋体"/>
          <w:color w:val="auto"/>
          <w:szCs w:val="21"/>
          <w:highlight w:val="none"/>
        </w:rPr>
        <w:t>电　　话：</w:t>
      </w:r>
      <w:r>
        <w:rPr>
          <w:rFonts w:hint="eastAsia" w:ascii="宋体" w:hAnsi="宋体"/>
          <w:color w:val="auto"/>
          <w:szCs w:val="21"/>
          <w:highlight w:val="none"/>
          <w:u w:val="single"/>
          <w:lang w:eastAsia="zh-CN"/>
        </w:rPr>
        <w:t>0777-5512166</w:t>
      </w:r>
    </w:p>
    <w:bookmarkEnd w:id="1"/>
    <w:p w14:paraId="4D0A9019">
      <w:pPr>
        <w:pageBreakBefore w:val="0"/>
        <w:kinsoku/>
        <w:topLinePunct w:val="0"/>
        <w:bidi w:val="0"/>
        <w:spacing w:before="60" w:after="60" w:line="360" w:lineRule="auto"/>
        <w:jc w:val="right"/>
        <w:rPr>
          <w:rFonts w:hint="eastAsia" w:ascii="宋体" w:hAnsi="宋体"/>
          <w:color w:val="auto"/>
          <w:szCs w:val="21"/>
          <w:highlight w:val="none"/>
          <w:u w:val="none"/>
        </w:rPr>
      </w:pPr>
    </w:p>
    <w:p w14:paraId="2CC8902D">
      <w:pPr>
        <w:pageBreakBefore w:val="0"/>
        <w:kinsoku/>
        <w:topLinePunct w:val="0"/>
        <w:bidi w:val="0"/>
        <w:spacing w:before="60" w:after="60" w:line="360" w:lineRule="auto"/>
        <w:jc w:val="right"/>
        <w:rPr>
          <w:rFonts w:hint="eastAsia" w:ascii="宋体" w:hAnsi="宋体" w:eastAsia="宋体"/>
          <w:color w:val="auto"/>
          <w:szCs w:val="21"/>
          <w:highlight w:val="none"/>
          <w:u w:val="none"/>
          <w:lang w:eastAsia="zh-CN"/>
        </w:rPr>
      </w:pPr>
      <w:r>
        <w:rPr>
          <w:rFonts w:hint="eastAsia" w:ascii="宋体" w:hAnsi="宋体"/>
          <w:color w:val="auto"/>
          <w:szCs w:val="21"/>
          <w:highlight w:val="none"/>
          <w:u w:val="none"/>
          <w:lang w:eastAsia="zh-CN"/>
        </w:rPr>
        <w:t>广西荣胜项目管理有限公司</w:t>
      </w:r>
    </w:p>
    <w:p w14:paraId="13BBCC3A">
      <w:pPr>
        <w:pageBreakBefore w:val="0"/>
        <w:kinsoku/>
        <w:topLinePunct w:val="0"/>
        <w:bidi w:val="0"/>
        <w:spacing w:before="0" w:after="0" w:line="240" w:lineRule="auto"/>
        <w:jc w:val="right"/>
        <w:rPr>
          <w:rFonts w:ascii="宋体" w:hAnsi="宋体"/>
          <w:color w:val="auto"/>
          <w:sz w:val="32"/>
          <w:szCs w:val="32"/>
          <w:highlight w:val="none"/>
        </w:rPr>
      </w:pPr>
      <w:r>
        <w:rPr>
          <w:rFonts w:hint="eastAsia" w:ascii="宋体" w:hAnsi="宋体"/>
          <w:color w:val="auto"/>
          <w:szCs w:val="21"/>
          <w:highlight w:val="none"/>
          <w:u w:val="none"/>
          <w:lang w:val="en-US" w:eastAsia="zh-CN"/>
        </w:rPr>
        <w:t>2026年10月10日</w:t>
      </w:r>
    </w:p>
    <w:p w14:paraId="4A350895">
      <w:pPr>
        <w:rPr>
          <w:rFonts w:hint="eastAsia"/>
          <w:color w:val="auto"/>
          <w:highlight w:val="none"/>
        </w:rPr>
      </w:pPr>
      <w:bookmarkStart w:id="60" w:name="_Toc75"/>
      <w:r>
        <w:rPr>
          <w:rFonts w:hint="eastAsia"/>
          <w:color w:val="auto"/>
          <w:highlight w:val="none"/>
        </w:rPr>
        <w:br w:type="page"/>
      </w:r>
    </w:p>
    <w:p w14:paraId="5E798D0D">
      <w:pPr>
        <w:pStyle w:val="4"/>
        <w:pageBreakBefore w:val="0"/>
        <w:kinsoku/>
        <w:topLinePunct w:val="0"/>
        <w:bidi w:val="0"/>
        <w:spacing w:before="60" w:after="60" w:line="360" w:lineRule="auto"/>
        <w:jc w:val="center"/>
        <w:rPr>
          <w:color w:val="auto"/>
          <w:highlight w:val="none"/>
        </w:rPr>
      </w:pPr>
      <w:r>
        <w:rPr>
          <w:rFonts w:hint="eastAsia"/>
          <w:color w:val="auto"/>
          <w:highlight w:val="none"/>
        </w:rPr>
        <w:t>第二章 供应商须知</w:t>
      </w:r>
      <w:bookmarkEnd w:id="60"/>
    </w:p>
    <w:p w14:paraId="2E607DD3">
      <w:pPr>
        <w:pageBreakBefore w:val="0"/>
        <w:kinsoku/>
        <w:topLinePunct w:val="0"/>
        <w:bidi w:val="0"/>
        <w:spacing w:before="60" w:after="60" w:line="360" w:lineRule="auto"/>
        <w:jc w:val="center"/>
        <w:rPr>
          <w:rFonts w:ascii="宋体" w:hAnsi="宋体"/>
          <w:b/>
          <w:color w:val="auto"/>
          <w:sz w:val="32"/>
          <w:szCs w:val="32"/>
          <w:highlight w:val="none"/>
        </w:rPr>
      </w:pPr>
      <w:r>
        <w:rPr>
          <w:rFonts w:hint="eastAsia" w:ascii="宋体" w:hAnsi="宋体"/>
          <w:b/>
          <w:color w:val="auto"/>
          <w:sz w:val="32"/>
          <w:szCs w:val="32"/>
          <w:highlight w:val="none"/>
        </w:rPr>
        <w:t>供应商须知前附表</w:t>
      </w:r>
    </w:p>
    <w:p w14:paraId="1B8A69A3">
      <w:pPr>
        <w:pageBreakBefore w:val="0"/>
        <w:kinsoku/>
        <w:topLinePunct w:val="0"/>
        <w:bidi w:val="0"/>
        <w:spacing w:before="60" w:after="60" w:line="360" w:lineRule="auto"/>
        <w:jc w:val="center"/>
        <w:rPr>
          <w:rFonts w:ascii="宋体" w:hAnsi="宋体"/>
          <w:b/>
          <w:color w:val="auto"/>
          <w:sz w:val="32"/>
          <w:szCs w:val="32"/>
          <w:highlight w:val="none"/>
        </w:rPr>
      </w:pPr>
    </w:p>
    <w:tbl>
      <w:tblPr>
        <w:tblStyle w:val="31"/>
        <w:tblW w:w="89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7C007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Pr>
          <w:p w14:paraId="1EB6F749">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b/>
                <w:color w:val="auto"/>
                <w:szCs w:val="21"/>
                <w:highlight w:val="none"/>
              </w:rPr>
            </w:pPr>
            <w:r>
              <w:rPr>
                <w:rFonts w:hint="eastAsia" w:ascii="宋体" w:hAnsi="宋体" w:cs="宋体"/>
                <w:b/>
                <w:color w:val="auto"/>
                <w:szCs w:val="21"/>
                <w:highlight w:val="none"/>
              </w:rPr>
              <w:t>条款号</w:t>
            </w:r>
          </w:p>
        </w:tc>
        <w:tc>
          <w:tcPr>
            <w:tcW w:w="7912" w:type="dxa"/>
          </w:tcPr>
          <w:p w14:paraId="76421DC4">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b/>
                <w:color w:val="auto"/>
                <w:szCs w:val="21"/>
                <w:highlight w:val="none"/>
              </w:rPr>
            </w:pPr>
            <w:r>
              <w:rPr>
                <w:rFonts w:hint="eastAsia" w:ascii="宋体" w:hAnsi="宋体" w:cs="宋体"/>
                <w:b/>
                <w:color w:val="auto"/>
                <w:szCs w:val="21"/>
                <w:highlight w:val="none"/>
              </w:rPr>
              <w:t>内    容</w:t>
            </w:r>
          </w:p>
        </w:tc>
      </w:tr>
      <w:tr w14:paraId="2F179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397F082">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3</w:t>
            </w:r>
          </w:p>
        </w:tc>
        <w:tc>
          <w:tcPr>
            <w:tcW w:w="7912" w:type="dxa"/>
            <w:vAlign w:val="center"/>
          </w:tcPr>
          <w:p w14:paraId="00FD640D">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olor w:val="auto"/>
                <w:szCs w:val="21"/>
                <w:highlight w:val="none"/>
              </w:rPr>
            </w:pPr>
            <w:r>
              <w:rPr>
                <w:rFonts w:hint="eastAsia" w:ascii="宋体" w:hAnsi="宋体" w:cs="宋体"/>
                <w:bCs/>
                <w:color w:val="auto"/>
                <w:szCs w:val="21"/>
                <w:highlight w:val="none"/>
              </w:rPr>
              <w:t>1</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供应商的资格条件</w:t>
            </w:r>
            <w:r>
              <w:rPr>
                <w:rFonts w:hint="eastAsia" w:ascii="宋体" w:hAnsi="宋体" w:cs="宋体"/>
                <w:color w:val="auto"/>
                <w:szCs w:val="21"/>
                <w:highlight w:val="none"/>
              </w:rPr>
              <w:t>：详见竞争性磋商公告</w:t>
            </w:r>
          </w:p>
          <w:p w14:paraId="22DD8B96">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bCs/>
                <w:color w:val="auto"/>
                <w:szCs w:val="21"/>
                <w:highlight w:val="none"/>
              </w:rPr>
              <w:t>供应商</w:t>
            </w:r>
            <w:r>
              <w:rPr>
                <w:rFonts w:hint="eastAsia" w:ascii="宋体" w:hAnsi="宋体" w:cs="宋体"/>
                <w:color w:val="auto"/>
                <w:szCs w:val="21"/>
                <w:highlight w:val="none"/>
              </w:rPr>
              <w:t>出现下列情形之一的，不得参加政府采购活动：</w:t>
            </w:r>
          </w:p>
          <w:p w14:paraId="06D14792">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37231C5E">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2对在“信用中国”网站（www</w:t>
            </w:r>
            <w:r>
              <w:rPr>
                <w:rFonts w:hint="eastAsia" w:ascii="宋体" w:hAnsi="宋体" w:cs="宋体"/>
                <w:color w:val="auto"/>
                <w:szCs w:val="21"/>
                <w:highlight w:val="none"/>
                <w:lang w:eastAsia="zh-CN"/>
              </w:rPr>
              <w:t>.</w:t>
            </w:r>
            <w:r>
              <w:rPr>
                <w:rFonts w:hint="eastAsia" w:ascii="宋体" w:hAnsi="宋体" w:cs="宋体"/>
                <w:color w:val="auto"/>
                <w:szCs w:val="21"/>
                <w:highlight w:val="none"/>
              </w:rPr>
              <w:t>creditchina</w:t>
            </w:r>
            <w:r>
              <w:rPr>
                <w:rFonts w:hint="eastAsia" w:ascii="宋体" w:hAnsi="宋体" w:cs="宋体"/>
                <w:color w:val="auto"/>
                <w:szCs w:val="21"/>
                <w:highlight w:val="none"/>
                <w:lang w:eastAsia="zh-CN"/>
              </w:rPr>
              <w:t>.</w:t>
            </w:r>
            <w:r>
              <w:rPr>
                <w:rFonts w:hint="eastAsia" w:ascii="宋体" w:hAnsi="宋体" w:cs="宋体"/>
                <w:color w:val="auto"/>
                <w:szCs w:val="21"/>
                <w:highlight w:val="none"/>
              </w:rPr>
              <w:t>gov</w:t>
            </w:r>
            <w:r>
              <w:rPr>
                <w:rFonts w:hint="eastAsia" w:ascii="宋体" w:hAnsi="宋体" w:cs="宋体"/>
                <w:color w:val="auto"/>
                <w:szCs w:val="21"/>
                <w:highlight w:val="none"/>
                <w:lang w:eastAsia="zh-CN"/>
              </w:rPr>
              <w:t>.</w:t>
            </w:r>
            <w:r>
              <w:rPr>
                <w:rFonts w:hint="eastAsia" w:ascii="宋体" w:hAnsi="宋体" w:cs="宋体"/>
                <w:color w:val="auto"/>
                <w:szCs w:val="21"/>
                <w:highlight w:val="none"/>
              </w:rPr>
              <w:t>cn） 、中国政府采购网（www</w:t>
            </w:r>
            <w:r>
              <w:rPr>
                <w:rFonts w:hint="eastAsia" w:ascii="宋体" w:hAnsi="宋体" w:cs="宋体"/>
                <w:color w:val="auto"/>
                <w:szCs w:val="21"/>
                <w:highlight w:val="none"/>
                <w:lang w:eastAsia="zh-CN"/>
              </w:rPr>
              <w:t>.</w:t>
            </w:r>
            <w:r>
              <w:rPr>
                <w:rFonts w:hint="eastAsia" w:ascii="宋体" w:hAnsi="宋体" w:cs="宋体"/>
                <w:color w:val="auto"/>
                <w:szCs w:val="21"/>
                <w:highlight w:val="none"/>
              </w:rPr>
              <w:t>ccgp</w:t>
            </w:r>
            <w:r>
              <w:rPr>
                <w:rFonts w:hint="eastAsia" w:ascii="宋体" w:hAnsi="宋体" w:cs="宋体"/>
                <w:color w:val="auto"/>
                <w:szCs w:val="21"/>
                <w:highlight w:val="none"/>
                <w:lang w:eastAsia="zh-CN"/>
              </w:rPr>
              <w:t>.</w:t>
            </w:r>
            <w:r>
              <w:rPr>
                <w:rFonts w:hint="eastAsia" w:ascii="宋体" w:hAnsi="宋体" w:cs="宋体"/>
                <w:color w:val="auto"/>
                <w:szCs w:val="21"/>
                <w:highlight w:val="none"/>
              </w:rPr>
              <w:t>gov</w:t>
            </w:r>
            <w:r>
              <w:rPr>
                <w:rFonts w:hint="eastAsia" w:ascii="宋体" w:hAnsi="宋体" w:cs="宋体"/>
                <w:color w:val="auto"/>
                <w:szCs w:val="21"/>
                <w:highlight w:val="none"/>
                <w:lang w:eastAsia="zh-CN"/>
              </w:rPr>
              <w:t>.</w:t>
            </w:r>
            <w:r>
              <w:rPr>
                <w:rFonts w:hint="eastAsia" w:ascii="宋体" w:hAnsi="宋体" w:cs="宋体"/>
                <w:color w:val="auto"/>
                <w:szCs w:val="21"/>
                <w:highlight w:val="none"/>
              </w:rPr>
              <w:t>cn）被列入失信被执行人、重大税收违法失信主体、政府采购严重违法失信行为记录名单及其他不符合《中华人民共和国政府采购法》第二十二条规定条件的供应商，不得参与政府采购活动。</w:t>
            </w:r>
          </w:p>
        </w:tc>
      </w:tr>
      <w:tr w14:paraId="16FDC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022D3BF">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eastAsia="zh-CN"/>
              </w:rPr>
              <w:t>.</w:t>
            </w:r>
            <w:r>
              <w:rPr>
                <w:rFonts w:hint="eastAsia" w:ascii="宋体" w:hAnsi="宋体" w:cs="宋体"/>
                <w:color w:val="auto"/>
                <w:szCs w:val="21"/>
                <w:highlight w:val="none"/>
              </w:rPr>
              <w:t>1</w:t>
            </w:r>
          </w:p>
        </w:tc>
        <w:tc>
          <w:tcPr>
            <w:tcW w:w="7912" w:type="dxa"/>
            <w:vAlign w:val="center"/>
          </w:tcPr>
          <w:p w14:paraId="018075C5">
            <w:pPr>
              <w:keepNext w:val="0"/>
              <w:keepLines w:val="0"/>
              <w:pageBreakBefore w:val="0"/>
              <w:suppressLineNumbers w:val="0"/>
              <w:kinsoku/>
              <w:topLinePunct w:val="0"/>
              <w:bidi w:val="0"/>
              <w:spacing w:before="60" w:beforeAutospacing="0" w:after="60" w:afterAutospacing="0" w:line="360" w:lineRule="auto"/>
              <w:ind w:left="0" w:right="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是否接受联合体竞标: 详见竞争性磋商公告</w:t>
            </w:r>
          </w:p>
        </w:tc>
      </w:tr>
      <w:tr w14:paraId="64417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C767B40">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eastAsia="zh-CN"/>
              </w:rPr>
              <w:t>.</w:t>
            </w:r>
            <w:r>
              <w:rPr>
                <w:rFonts w:hint="default" w:ascii="宋体" w:hAnsi="宋体" w:cs="宋体"/>
                <w:color w:val="auto"/>
                <w:szCs w:val="21"/>
                <w:highlight w:val="none"/>
              </w:rPr>
              <w:t>2</w:t>
            </w:r>
          </w:p>
        </w:tc>
        <w:tc>
          <w:tcPr>
            <w:tcW w:w="7912" w:type="dxa"/>
            <w:vAlign w:val="center"/>
          </w:tcPr>
          <w:p w14:paraId="1FF38C40">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olor w:val="auto"/>
                <w:szCs w:val="21"/>
                <w:highlight w:val="none"/>
              </w:rPr>
              <w:t>如接受联合体竞标，联合体竞标要求如下：</w:t>
            </w:r>
            <w:r>
              <w:rPr>
                <w:rFonts w:hint="eastAsia"/>
                <w:color w:val="auto"/>
                <w:highlight w:val="none"/>
              </w:rPr>
              <w:t>本项目不接受联合体</w:t>
            </w:r>
          </w:p>
        </w:tc>
      </w:tr>
      <w:tr w14:paraId="139C3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CA8E424">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s="宋体"/>
                <w:color w:val="auto"/>
                <w:szCs w:val="21"/>
                <w:highlight w:val="none"/>
                <w:lang w:eastAsia="zh-CN"/>
              </w:rPr>
              <w:t>.</w:t>
            </w:r>
            <w:r>
              <w:rPr>
                <w:rFonts w:hint="eastAsia" w:ascii="宋体" w:hAnsi="宋体" w:cs="宋体"/>
                <w:color w:val="auto"/>
                <w:szCs w:val="21"/>
                <w:highlight w:val="none"/>
              </w:rPr>
              <w:t>2</w:t>
            </w:r>
          </w:p>
        </w:tc>
        <w:tc>
          <w:tcPr>
            <w:tcW w:w="7912" w:type="dxa"/>
            <w:vAlign w:val="center"/>
          </w:tcPr>
          <w:p w14:paraId="580D7612">
            <w:pPr>
              <w:pStyle w:val="12"/>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olor w:val="auto"/>
                <w:szCs w:val="21"/>
                <w:highlight w:val="none"/>
              </w:rPr>
            </w:pPr>
            <w:r>
              <w:rPr>
                <w:rFonts w:hint="eastAsia" w:ascii="宋体" w:hAnsi="宋体"/>
                <w:color w:val="auto"/>
                <w:szCs w:val="21"/>
                <w:highlight w:val="none"/>
              </w:rPr>
              <w:t>☑不允许分包</w:t>
            </w:r>
          </w:p>
          <w:p w14:paraId="4ACDF184">
            <w:pPr>
              <w:pStyle w:val="12"/>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olor w:val="auto"/>
                <w:szCs w:val="21"/>
                <w:highlight w:val="none"/>
              </w:rPr>
            </w:pPr>
            <w:r>
              <w:rPr>
                <w:rFonts w:hint="eastAsia" w:ascii="宋体" w:hAnsi="宋体"/>
                <w:color w:val="auto"/>
                <w:szCs w:val="21"/>
                <w:highlight w:val="none"/>
              </w:rPr>
              <w:sym w:font="Wingdings 2" w:char="00A3"/>
            </w:r>
            <w:r>
              <w:rPr>
                <w:rFonts w:hint="eastAsia" w:ascii="宋体" w:hAnsi="宋体"/>
                <w:color w:val="auto"/>
                <w:szCs w:val="21"/>
                <w:highlight w:val="none"/>
              </w:rPr>
              <w:t>允许分包</w:t>
            </w:r>
          </w:p>
          <w:p w14:paraId="16F0FD50">
            <w:pPr>
              <w:pStyle w:val="12"/>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olor w:val="auto"/>
                <w:szCs w:val="21"/>
                <w:highlight w:val="none"/>
              </w:rPr>
            </w:pPr>
            <w:r>
              <w:rPr>
                <w:rFonts w:hint="eastAsia" w:ascii="宋体" w:hAnsi="宋体"/>
                <w:color w:val="auto"/>
                <w:szCs w:val="21"/>
                <w:highlight w:val="none"/>
              </w:rPr>
              <w:t>分包内容及分包金额或者比例：</w:t>
            </w:r>
            <w:r>
              <w:rPr>
                <w:rFonts w:hint="eastAsia" w:ascii="宋体" w:hAnsi="宋体"/>
                <w:color w:val="auto"/>
                <w:szCs w:val="21"/>
                <w:highlight w:val="none"/>
                <w:u w:val="single"/>
              </w:rPr>
              <w:t xml:space="preserve">      。</w:t>
            </w:r>
          </w:p>
        </w:tc>
      </w:tr>
      <w:tr w14:paraId="46718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3C14CD9">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zCs w:val="21"/>
                <w:highlight w:val="none"/>
                <w:lang w:eastAsia="zh-CN"/>
              </w:rPr>
              <w:t>.</w:t>
            </w: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default" w:ascii="宋体" w:hAnsi="宋体" w:cs="宋体"/>
                <w:color w:val="auto"/>
                <w:szCs w:val="21"/>
                <w:highlight w:val="none"/>
              </w:rPr>
              <w:t>1</w:t>
            </w:r>
          </w:p>
        </w:tc>
        <w:tc>
          <w:tcPr>
            <w:tcW w:w="7912" w:type="dxa"/>
            <w:vAlign w:val="center"/>
          </w:tcPr>
          <w:p w14:paraId="5151BC90">
            <w:pPr>
              <w:keepNext w:val="0"/>
              <w:keepLines w:val="0"/>
              <w:pageBreakBefore w:val="0"/>
              <w:suppressLineNumbers w:val="0"/>
              <w:kinsoku/>
              <w:topLinePunct w:val="0"/>
              <w:bidi w:val="0"/>
              <w:snapToGrid w:val="0"/>
              <w:spacing w:before="60" w:beforeAutospacing="0" w:after="60" w:afterAutospacing="0" w:line="360" w:lineRule="auto"/>
              <w:ind w:left="0" w:right="0"/>
              <w:jc w:val="left"/>
              <w:rPr>
                <w:rFonts w:hint="default" w:ascii="宋体" w:hAnsi="宋体" w:cs="宋体"/>
                <w:b/>
                <w:color w:val="auto"/>
                <w:szCs w:val="21"/>
                <w:highlight w:val="none"/>
              </w:rPr>
            </w:pPr>
            <w:r>
              <w:rPr>
                <w:rFonts w:hint="eastAsia" w:ascii="宋体" w:hAnsi="宋体" w:cs="宋体"/>
                <w:b/>
                <w:color w:val="auto"/>
                <w:szCs w:val="21"/>
                <w:highlight w:val="none"/>
              </w:rPr>
              <w:t>资格证明文件</w:t>
            </w:r>
          </w:p>
          <w:p w14:paraId="1B959FB7">
            <w:pPr>
              <w:pStyle w:val="12"/>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供应商为法人或者其他组织的提供其营业执照等证明文件（如营业执照或者事业单位法人证书或者执业许可证或者登记证书等），供应商为自然人的提供其身份证复印件；（</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DCEA898">
            <w:pPr>
              <w:keepNext w:val="0"/>
              <w:keepLines w:val="0"/>
              <w:pageBreakBefore w:val="0"/>
              <w:suppressLineNumbers w:val="0"/>
              <w:kinsoku/>
              <w:topLinePunct w:val="0"/>
              <w:bidi w:val="0"/>
              <w:spacing w:before="60" w:beforeAutospacing="0" w:after="60" w:afterAutospacing="0" w:line="360" w:lineRule="auto"/>
              <w:ind w:left="0" w:right="0"/>
              <w:contextualSpacing/>
              <w:jc w:val="left"/>
              <w:rPr>
                <w:rFonts w:hint="default"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供应商依法缴纳税收的相关材料（</w:t>
            </w:r>
            <w:r>
              <w:rPr>
                <w:rFonts w:hint="eastAsia" w:ascii="宋体" w:hAnsi="宋体" w:cs="宋体"/>
                <w:color w:val="auto"/>
                <w:szCs w:val="21"/>
                <w:highlight w:val="none"/>
                <w:u w:val="single"/>
                <w:lang w:eastAsia="zh-CN"/>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lang w:eastAsia="zh-CN"/>
              </w:rPr>
              <w:t>年</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u w:val="single"/>
                <w:lang w:eastAsia="zh-CN"/>
              </w:rPr>
              <w:t>月以来任意1个月</w:t>
            </w:r>
            <w:r>
              <w:rPr>
                <w:rFonts w:hint="eastAsia" w:ascii="宋体" w:hAnsi="宋体" w:cs="宋体"/>
                <w:color w:val="auto"/>
                <w:szCs w:val="21"/>
                <w:highlight w:val="none"/>
              </w:rPr>
              <w:t>的依法缴纳税收的凭据复印件；</w:t>
            </w:r>
            <w:r>
              <w:rPr>
                <w:rFonts w:hint="eastAsia"/>
                <w:color w:val="auto"/>
                <w:highlight w:val="none"/>
              </w:rPr>
              <w:t>依法免税的，必须提供相应文件证明其依法免税。</w:t>
            </w:r>
            <w:r>
              <w:rPr>
                <w:rFonts w:hint="eastAsia" w:ascii="宋体" w:hAnsi="宋体" w:cs="宋体"/>
                <w:color w:val="auto"/>
                <w:szCs w:val="21"/>
                <w:highlight w:val="none"/>
              </w:rPr>
              <w:t>从</w:t>
            </w:r>
            <w:r>
              <w:rPr>
                <w:rFonts w:hint="default"/>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到响应文件提交截止时间止不足要求月数的，只需提供从</w:t>
            </w:r>
            <w:r>
              <w:rPr>
                <w:rFonts w:hint="default"/>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的依法缴纳税收</w:t>
            </w:r>
            <w:r>
              <w:rPr>
                <w:rFonts w:hint="eastAsia"/>
                <w:color w:val="auto"/>
                <w:highlight w:val="none"/>
              </w:rPr>
              <w:t>相应证明文件</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0A3C15F">
            <w:pPr>
              <w:keepNext w:val="0"/>
              <w:keepLines w:val="0"/>
              <w:pageBreakBefore w:val="0"/>
              <w:suppressLineNumbers w:val="0"/>
              <w:kinsoku/>
              <w:topLinePunct w:val="0"/>
              <w:bidi w:val="0"/>
              <w:spacing w:before="60" w:beforeAutospacing="0" w:after="60" w:afterAutospacing="0" w:line="360" w:lineRule="auto"/>
              <w:ind w:left="0" w:right="0"/>
              <w:contextualSpacing/>
              <w:jc w:val="left"/>
              <w:rPr>
                <w:rFonts w:hint="default"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供应商依法缴纳社会保障资金的相关材料[</w:t>
            </w:r>
            <w:r>
              <w:rPr>
                <w:rFonts w:hint="eastAsia" w:ascii="宋体" w:hAnsi="宋体" w:cs="宋体"/>
                <w:color w:val="auto"/>
                <w:szCs w:val="21"/>
                <w:highlight w:val="none"/>
                <w:u w:val="single"/>
                <w:lang w:eastAsia="zh-CN"/>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lang w:eastAsia="zh-CN"/>
              </w:rPr>
              <w:t>年</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u w:val="single"/>
                <w:lang w:eastAsia="zh-CN"/>
              </w:rPr>
              <w:t>月以来任意1个月</w:t>
            </w:r>
            <w:r>
              <w:rPr>
                <w:rFonts w:hint="eastAsia" w:ascii="宋体" w:hAnsi="宋体" w:cs="宋体"/>
                <w:color w:val="auto"/>
                <w:szCs w:val="21"/>
                <w:highlight w:val="none"/>
              </w:rPr>
              <w:t>的依法缴纳社会保障资金的缴费凭证（专用收据或者社会保险缴纳清单）复印件；</w:t>
            </w:r>
            <w:r>
              <w:rPr>
                <w:rFonts w:hint="eastAsia"/>
                <w:color w:val="auto"/>
                <w:highlight w:val="none"/>
              </w:rPr>
              <w:t>依法不需要缴纳社会保障资金的，必须提供相应文件证明不需要缴纳社会保障资金。</w:t>
            </w:r>
            <w:r>
              <w:rPr>
                <w:rFonts w:hint="eastAsia" w:ascii="宋体" w:hAnsi="宋体" w:cs="宋体"/>
                <w:color w:val="auto"/>
                <w:szCs w:val="21"/>
                <w:highlight w:val="none"/>
              </w:rPr>
              <w:t>从</w:t>
            </w:r>
            <w:r>
              <w:rPr>
                <w:rFonts w:hint="default"/>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到响应文件提交截止时间止不足要求月数的只需提供从</w:t>
            </w:r>
            <w:r>
              <w:rPr>
                <w:rFonts w:hint="default"/>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的依法缴纳社会保障资金的</w:t>
            </w:r>
            <w:r>
              <w:rPr>
                <w:rFonts w:hint="eastAsia"/>
                <w:color w:val="auto"/>
                <w:highlight w:val="none"/>
              </w:rPr>
              <w:t>相应证明文件</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6D9EFE5">
            <w:pPr>
              <w:keepNext w:val="0"/>
              <w:keepLines w:val="0"/>
              <w:pageBreakBefore w:val="0"/>
              <w:suppressLineNumbers w:val="0"/>
              <w:kinsoku/>
              <w:topLinePunct w:val="0"/>
              <w:bidi w:val="0"/>
              <w:spacing w:before="60" w:beforeAutospacing="0" w:after="60" w:afterAutospacing="0" w:line="360" w:lineRule="auto"/>
              <w:ind w:left="0" w:right="0"/>
              <w:contextualSpacing/>
              <w:jc w:val="left"/>
              <w:rPr>
                <w:rFonts w:hint="default" w:ascii="宋体" w:hAnsi="宋体" w:cs="宋体"/>
                <w:b/>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eastAsia="zh-CN"/>
              </w:rPr>
              <w:t>.</w:t>
            </w:r>
            <w:r>
              <w:rPr>
                <w:rFonts w:hint="eastAsia" w:ascii="宋体" w:hAnsi="宋体" w:cs="宋体"/>
                <w:color w:val="auto"/>
                <w:szCs w:val="21"/>
                <w:highlight w:val="none"/>
              </w:rPr>
              <w:t>供应商</w:t>
            </w:r>
            <w:r>
              <w:rPr>
                <w:rFonts w:hint="eastAsia"/>
                <w:color w:val="auto"/>
                <w:szCs w:val="21"/>
                <w:highlight w:val="none"/>
              </w:rPr>
              <w:t>财务状况报告（</w:t>
            </w:r>
            <w:r>
              <w:rPr>
                <w:rFonts w:hint="eastAsia"/>
                <w:b/>
                <w:bCs/>
                <w:color w:val="auto"/>
                <w:szCs w:val="21"/>
                <w:highlight w:val="none"/>
                <w:u w:val="single"/>
                <w:lang w:val="en-US" w:eastAsia="zh-CN"/>
              </w:rPr>
              <w:t>2025</w:t>
            </w:r>
            <w:r>
              <w:rPr>
                <w:rFonts w:hint="eastAsia"/>
                <w:b/>
                <w:bCs/>
                <w:color w:val="auto"/>
                <w:szCs w:val="21"/>
                <w:highlight w:val="none"/>
                <w:lang w:val="en-US" w:eastAsia="zh-CN"/>
              </w:rPr>
              <w:t>年度</w:t>
            </w:r>
            <w:r>
              <w:rPr>
                <w:rFonts w:hint="eastAsia"/>
                <w:color w:val="auto"/>
                <w:szCs w:val="21"/>
                <w:highlight w:val="none"/>
              </w:rPr>
              <w:t>财务报表复印件，或者银行出具的资信证明，或者中国人民银行征信中心出具的信用报告（企业竞标的提供企业信用报告，自然人竞标的提供个人信用报告）；供应商属于</w:t>
            </w:r>
            <w:r>
              <w:rPr>
                <w:rFonts w:hint="eastAsia"/>
                <w:color w:val="auto"/>
                <w:highlight w:val="none"/>
              </w:rPr>
              <w:t>成立时间</w:t>
            </w:r>
            <w:r>
              <w:rPr>
                <w:rFonts w:hint="eastAsia"/>
                <w:color w:val="auto"/>
                <w:kern w:val="0"/>
                <w:highlight w:val="none"/>
              </w:rPr>
              <w:t>在规定年度之后</w:t>
            </w:r>
            <w:r>
              <w:rPr>
                <w:rFonts w:hint="eastAsia"/>
                <w:color w:val="auto"/>
                <w:highlight w:val="none"/>
              </w:rPr>
              <w:t>的</w:t>
            </w:r>
            <w:r>
              <w:rPr>
                <w:rFonts w:hint="eastAsia"/>
                <w:color w:val="auto"/>
                <w:szCs w:val="21"/>
                <w:highlight w:val="none"/>
              </w:rPr>
              <w:t>法人或其他组织</w:t>
            </w:r>
            <w:r>
              <w:rPr>
                <w:rFonts w:hint="eastAsia"/>
                <w:color w:val="auto"/>
                <w:highlight w:val="none"/>
              </w:rPr>
              <w:t>，需提供成立之日起至响应文件提交截止时间前的月报表</w:t>
            </w:r>
            <w:r>
              <w:rPr>
                <w:rFonts w:hint="eastAsia"/>
                <w:color w:val="auto"/>
                <w:szCs w:val="21"/>
                <w:highlight w:val="none"/>
              </w:rPr>
              <w:t>或银行出具的资信证明或者中国人民银行征信中心出具的企业信用报告；资信证明应在有效期内，未注明有效期的，银行出具时间至响应文件提交截止时间不超过一年）</w:t>
            </w:r>
            <w:r>
              <w:rPr>
                <w:rFonts w:hint="eastAsia" w:ascii="宋体" w:hAnsi="宋体" w:cs="宋体"/>
                <w:color w:val="auto"/>
                <w:szCs w:val="21"/>
                <w:highlight w:val="none"/>
              </w:rPr>
              <w:t>；</w:t>
            </w:r>
            <w:r>
              <w:rPr>
                <w:rFonts w:hint="eastAsia" w:ascii="宋体" w:hAnsi="宋体" w:cs="宋体"/>
                <w:bCs/>
                <w:color w:val="auto"/>
                <w:szCs w:val="21"/>
                <w:highlight w:val="none"/>
              </w:rPr>
              <w:t>（</w:t>
            </w:r>
            <w:r>
              <w:rPr>
                <w:rFonts w:hint="eastAsia" w:ascii="宋体" w:hAnsi="宋体"/>
                <w:b/>
                <w:color w:val="auto"/>
                <w:szCs w:val="21"/>
                <w:highlight w:val="none"/>
              </w:rPr>
              <w:t>必须提供</w:t>
            </w:r>
            <w:r>
              <w:rPr>
                <w:rFonts w:hint="eastAsia" w:ascii="宋体" w:hAnsi="宋体" w:cs="宋体"/>
                <w:b/>
                <w:color w:val="auto"/>
                <w:szCs w:val="21"/>
                <w:highlight w:val="none"/>
              </w:rPr>
              <w:t>，否则响应文件按无效响应处理</w:t>
            </w:r>
            <w:r>
              <w:rPr>
                <w:rFonts w:hint="eastAsia" w:ascii="宋体" w:hAnsi="宋体" w:cs="宋体"/>
                <w:bCs/>
                <w:color w:val="auto"/>
                <w:szCs w:val="21"/>
                <w:highlight w:val="none"/>
              </w:rPr>
              <w:t>）</w:t>
            </w:r>
          </w:p>
          <w:p w14:paraId="431D9510">
            <w:pPr>
              <w:keepNext w:val="0"/>
              <w:keepLines w:val="0"/>
              <w:pageBreakBefore w:val="0"/>
              <w:suppressLineNumbers w:val="0"/>
              <w:kinsoku/>
              <w:topLinePunct w:val="0"/>
              <w:bidi w:val="0"/>
              <w:spacing w:before="60" w:beforeAutospacing="0" w:after="60" w:afterAutospacing="0" w:line="360" w:lineRule="auto"/>
              <w:ind w:left="0" w:right="0"/>
              <w:contextualSpacing/>
              <w:jc w:val="left"/>
              <w:rPr>
                <w:rFonts w:hint="default"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供应商直接控股、管理关系信息表（格式后附）；（</w:t>
            </w:r>
            <w:r>
              <w:rPr>
                <w:rFonts w:hint="eastAsia" w:ascii="宋体" w:hAnsi="宋体" w:eastAsia="宋体" w:cs="宋体"/>
                <w:b/>
                <w:bCs/>
                <w:color w:val="auto"/>
                <w:szCs w:val="21"/>
                <w:highlight w:val="none"/>
              </w:rPr>
              <w:t>必须提供，否则响应文件按无效响应处理</w:t>
            </w:r>
            <w:r>
              <w:rPr>
                <w:rFonts w:hint="eastAsia" w:ascii="宋体" w:hAnsi="宋体" w:eastAsia="宋体" w:cs="宋体"/>
                <w:color w:val="auto"/>
                <w:szCs w:val="21"/>
                <w:highlight w:val="none"/>
              </w:rPr>
              <w:t>）</w:t>
            </w:r>
          </w:p>
          <w:p w14:paraId="5E979CD0">
            <w:pPr>
              <w:keepNext w:val="0"/>
              <w:keepLines w:val="0"/>
              <w:pageBreakBefore w:val="0"/>
              <w:suppressLineNumbers w:val="0"/>
              <w:kinsoku/>
              <w:topLinePunct w:val="0"/>
              <w:bidi w:val="0"/>
              <w:spacing w:before="60" w:beforeAutospacing="0" w:after="60" w:afterAutospacing="0" w:line="360" w:lineRule="auto"/>
              <w:ind w:left="0" w:right="0"/>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竞标声明（格式后附）；（</w:t>
            </w:r>
            <w:r>
              <w:rPr>
                <w:rFonts w:hint="eastAsia" w:ascii="宋体" w:hAnsi="宋体" w:eastAsia="宋体" w:cs="宋体"/>
                <w:b/>
                <w:bCs/>
                <w:color w:val="auto"/>
                <w:szCs w:val="21"/>
                <w:highlight w:val="none"/>
              </w:rPr>
              <w:t>必须提供，否则响应文件按无效响应处理</w:t>
            </w:r>
            <w:r>
              <w:rPr>
                <w:rFonts w:hint="eastAsia" w:ascii="宋体" w:hAnsi="宋体" w:eastAsia="宋体" w:cs="宋体"/>
                <w:color w:val="auto"/>
                <w:szCs w:val="21"/>
                <w:highlight w:val="none"/>
              </w:rPr>
              <w:t>）</w:t>
            </w:r>
          </w:p>
          <w:p w14:paraId="36FC4B59">
            <w:pPr>
              <w:keepNext w:val="0"/>
              <w:keepLines w:val="0"/>
              <w:pageBreakBefore w:val="0"/>
              <w:suppressLineNumbers w:val="0"/>
              <w:kinsoku/>
              <w:topLinePunct w:val="0"/>
              <w:bidi w:val="0"/>
              <w:spacing w:before="60" w:beforeAutospacing="0" w:after="60" w:afterAutospacing="0" w:line="360" w:lineRule="auto"/>
              <w:ind w:left="0" w:right="0"/>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7.中小企业声明函或者残疾人福利性单位声明函或者供应商属于监狱企业的证明材料（格式后附）；（</w:t>
            </w:r>
            <w:r>
              <w:rPr>
                <w:rFonts w:hint="eastAsia" w:ascii="宋体" w:hAnsi="宋体" w:eastAsia="宋体" w:cs="宋体"/>
                <w:b/>
                <w:bCs/>
                <w:color w:val="auto"/>
                <w:szCs w:val="21"/>
                <w:highlight w:val="none"/>
                <w:lang w:val="en-US" w:eastAsia="zh-CN"/>
              </w:rPr>
              <w:t>必须提供，否则响应文件按无效响应处理</w:t>
            </w:r>
            <w:r>
              <w:rPr>
                <w:rFonts w:hint="eastAsia" w:ascii="宋体" w:hAnsi="宋体" w:eastAsia="宋体" w:cs="宋体"/>
                <w:color w:val="auto"/>
                <w:szCs w:val="21"/>
                <w:highlight w:val="none"/>
                <w:lang w:val="en-US" w:eastAsia="zh-CN"/>
              </w:rPr>
              <w:t>）</w:t>
            </w:r>
          </w:p>
          <w:p w14:paraId="1F524179">
            <w:pPr>
              <w:keepNext w:val="0"/>
              <w:keepLines w:val="0"/>
              <w:pageBreakBefore w:val="0"/>
              <w:suppressLineNumbers w:val="0"/>
              <w:kinsoku/>
              <w:topLinePunct w:val="0"/>
              <w:bidi w:val="0"/>
              <w:spacing w:before="60" w:beforeAutospacing="0" w:after="60" w:afterAutospacing="0" w:line="360" w:lineRule="auto"/>
              <w:ind w:left="0" w:right="0"/>
              <w:contextualSpacing/>
              <w:jc w:val="lef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8.</w:t>
            </w:r>
            <w:bookmarkStart w:id="184" w:name="_GoBack"/>
            <w:r>
              <w:rPr>
                <w:rFonts w:hint="eastAsia" w:ascii="宋体" w:hAnsi="宋体"/>
                <w:b w:val="0"/>
                <w:bCs w:val="0"/>
                <w:color w:val="auto"/>
                <w:highlight w:val="none"/>
                <w:lang w:eastAsia="zh-CN"/>
              </w:rPr>
              <w:t>供应商有效的人力资源服务许可证复印件</w:t>
            </w:r>
            <w:bookmarkEnd w:id="184"/>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w:t>
            </w:r>
            <w:r>
              <w:rPr>
                <w:rFonts w:hint="eastAsia" w:ascii="宋体" w:hAnsi="宋体" w:eastAsia="宋体" w:cs="宋体"/>
                <w:b/>
                <w:bCs/>
                <w:color w:val="auto"/>
                <w:szCs w:val="21"/>
                <w:highlight w:val="none"/>
                <w:lang w:val="en-US" w:eastAsia="zh-CN"/>
              </w:rPr>
              <w:t>必须提供，否则响应文件按无效响应处理</w:t>
            </w:r>
            <w:r>
              <w:rPr>
                <w:rFonts w:hint="eastAsia" w:ascii="宋体" w:hAnsi="宋体" w:eastAsia="宋体" w:cs="宋体"/>
                <w:color w:val="auto"/>
                <w:szCs w:val="21"/>
                <w:highlight w:val="none"/>
                <w:lang w:val="en-US" w:eastAsia="zh-CN"/>
              </w:rPr>
              <w:t>）</w:t>
            </w:r>
          </w:p>
          <w:p w14:paraId="53B88FBE">
            <w:pPr>
              <w:keepNext w:val="0"/>
              <w:keepLines w:val="0"/>
              <w:pageBreakBefore w:val="0"/>
              <w:suppressLineNumbers w:val="0"/>
              <w:kinsoku/>
              <w:topLinePunct w:val="0"/>
              <w:bidi w:val="0"/>
              <w:spacing w:before="60" w:beforeAutospacing="0" w:after="60" w:afterAutospacing="0" w:line="360" w:lineRule="auto"/>
              <w:ind w:left="0" w:right="0"/>
              <w:contextualSpacing/>
              <w:jc w:val="left"/>
              <w:rPr>
                <w:rFonts w:hint="default"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联合体竞标协议书（格式后附）；（</w:t>
            </w:r>
            <w:r>
              <w:rPr>
                <w:rFonts w:hint="eastAsia" w:ascii="宋体" w:hAnsi="宋体" w:eastAsia="宋体" w:cs="宋体"/>
                <w:b/>
                <w:bCs/>
                <w:color w:val="auto"/>
                <w:szCs w:val="21"/>
                <w:highlight w:val="none"/>
              </w:rPr>
              <w:t>根据公告资格要求，如接受联合体竞标时，联合体竞标时必须提供，否则响应文件按无效响应处理</w:t>
            </w:r>
            <w:r>
              <w:rPr>
                <w:rFonts w:hint="eastAsia" w:ascii="宋体" w:hAnsi="宋体" w:eastAsia="宋体" w:cs="宋体"/>
                <w:color w:val="auto"/>
                <w:szCs w:val="21"/>
                <w:highlight w:val="none"/>
              </w:rPr>
              <w:t>）</w:t>
            </w:r>
          </w:p>
          <w:p w14:paraId="61A25070">
            <w:pPr>
              <w:keepNext w:val="0"/>
              <w:keepLines w:val="0"/>
              <w:pageBreakBefore w:val="0"/>
              <w:suppressLineNumbers w:val="0"/>
              <w:kinsoku/>
              <w:topLinePunct w:val="0"/>
              <w:bidi w:val="0"/>
              <w:spacing w:before="60" w:beforeAutospacing="0" w:after="60" w:afterAutospacing="0" w:line="360" w:lineRule="auto"/>
              <w:ind w:left="0" w:right="0"/>
              <w:contextualSpacing/>
              <w:jc w:val="left"/>
              <w:rPr>
                <w:rFonts w:hint="default" w:ascii="宋体" w:hAnsi="宋体" w:eastAsia="宋体" w:cs="宋体"/>
                <w:color w:val="auto"/>
                <w:szCs w:val="21"/>
                <w:highlight w:val="none"/>
              </w:rPr>
            </w:pP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除磋商文件规定必须提供以外，供应商认为需要提供的其他证明材料；</w:t>
            </w:r>
          </w:p>
          <w:p w14:paraId="4CC1ED10">
            <w:pPr>
              <w:keepNext w:val="0"/>
              <w:keepLines w:val="0"/>
              <w:pageBreakBefore w:val="0"/>
              <w:suppressLineNumbers w:val="0"/>
              <w:kinsoku/>
              <w:topLinePunct w:val="0"/>
              <w:bidi w:val="0"/>
              <w:snapToGrid w:val="0"/>
              <w:spacing w:before="60" w:beforeAutospacing="0" w:after="60" w:afterAutospacing="0" w:line="360" w:lineRule="auto"/>
              <w:ind w:left="0" w:right="0"/>
              <w:jc w:val="left"/>
              <w:rPr>
                <w:rFonts w:hint="default" w:ascii="宋体" w:hAnsi="宋体" w:cs="宋体"/>
                <w:b/>
                <w:color w:val="auto"/>
                <w:szCs w:val="21"/>
                <w:highlight w:val="none"/>
              </w:rPr>
            </w:pPr>
            <w:r>
              <w:rPr>
                <w:rFonts w:hint="eastAsia" w:ascii="宋体" w:hAnsi="宋体" w:cs="宋体"/>
                <w:b/>
                <w:color w:val="auto"/>
                <w:szCs w:val="21"/>
                <w:highlight w:val="none"/>
              </w:rPr>
              <w:t>注：</w:t>
            </w:r>
          </w:p>
          <w:p w14:paraId="6847406B">
            <w:pPr>
              <w:keepNext w:val="0"/>
              <w:keepLines w:val="0"/>
              <w:pageBreakBefore w:val="0"/>
              <w:suppressLineNumbers w:val="0"/>
              <w:kinsoku/>
              <w:topLinePunct w:val="0"/>
              <w:bidi w:val="0"/>
              <w:snapToGrid w:val="0"/>
              <w:spacing w:before="60" w:beforeAutospacing="0" w:after="60" w:afterAutospacing="0" w:line="360" w:lineRule="auto"/>
              <w:ind w:left="0" w:right="0" w:firstLine="413" w:firstLineChars="196"/>
              <w:jc w:val="left"/>
              <w:rPr>
                <w:rFonts w:hint="default" w:ascii="宋体" w:hAnsi="宋体" w:cs="宋体"/>
                <w:b/>
                <w:color w:val="auto"/>
                <w:szCs w:val="21"/>
                <w:highlight w:val="none"/>
              </w:rPr>
            </w:pPr>
            <w:r>
              <w:rPr>
                <w:rFonts w:hint="eastAsia" w:ascii="宋体" w:hAnsi="宋体" w:cs="宋体"/>
                <w:b/>
                <w:color w:val="auto"/>
                <w:szCs w:val="21"/>
                <w:highlight w:val="none"/>
              </w:rPr>
              <w:t>1</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以上标明“必须提供”的材料属于复印件的，必须加盖供应商</w:t>
            </w:r>
            <w:r>
              <w:rPr>
                <w:rFonts w:hint="eastAsia"/>
                <w:b/>
                <w:color w:val="auto"/>
                <w:highlight w:val="none"/>
              </w:rPr>
              <w:t>电子签章</w:t>
            </w:r>
            <w:r>
              <w:rPr>
                <w:rFonts w:hint="eastAsia" w:ascii="宋体" w:hAnsi="宋体" w:cs="宋体"/>
                <w:b/>
                <w:color w:val="auto"/>
                <w:szCs w:val="21"/>
                <w:highlight w:val="none"/>
              </w:rPr>
              <w:t>，否则响应文件按无效处理。</w:t>
            </w:r>
          </w:p>
          <w:p w14:paraId="72C34A92">
            <w:pPr>
              <w:pStyle w:val="12"/>
              <w:keepNext w:val="0"/>
              <w:keepLines w:val="0"/>
              <w:pageBreakBefore w:val="0"/>
              <w:suppressLineNumbers w:val="0"/>
              <w:kinsoku/>
              <w:topLinePunct w:val="0"/>
              <w:bidi w:val="0"/>
              <w:spacing w:before="60" w:beforeAutospacing="0" w:after="60" w:afterAutospacing="0" w:line="360" w:lineRule="auto"/>
              <w:ind w:left="0" w:right="0" w:firstLine="422" w:firstLineChars="200"/>
              <w:rPr>
                <w:rFonts w:hint="default" w:ascii="宋体" w:hAnsi="宋体" w:cs="宋体"/>
                <w:b/>
                <w:color w:val="auto"/>
                <w:szCs w:val="21"/>
                <w:highlight w:val="none"/>
              </w:rPr>
            </w:pPr>
            <w:r>
              <w:rPr>
                <w:rFonts w:hint="eastAsia" w:ascii="宋体" w:hAnsi="宋体" w:cs="宋体"/>
                <w:b/>
                <w:color w:val="auto"/>
                <w:szCs w:val="21"/>
                <w:highlight w:val="none"/>
              </w:rPr>
              <w:t>2</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联合体竞标时，第1-5项资格证明文件联合体各方均必须分别提供，</w:t>
            </w:r>
            <w:r>
              <w:rPr>
                <w:rFonts w:hint="eastAsia"/>
                <w:b/>
                <w:color w:val="auto"/>
                <w:highlight w:val="none"/>
              </w:rPr>
              <w:t>并由</w:t>
            </w:r>
            <w:r>
              <w:rPr>
                <w:rFonts w:hint="eastAsia" w:ascii="宋体" w:hAnsi="宋体" w:cs="宋体"/>
                <w:b/>
                <w:color w:val="auto"/>
                <w:szCs w:val="21"/>
                <w:highlight w:val="none"/>
              </w:rPr>
              <w:t>联合体</w:t>
            </w:r>
            <w:r>
              <w:rPr>
                <w:rFonts w:hint="eastAsia"/>
                <w:b/>
                <w:color w:val="auto"/>
                <w:highlight w:val="none"/>
              </w:rPr>
              <w:t>牵头人加盖电子签章</w:t>
            </w:r>
            <w:r>
              <w:rPr>
                <w:rFonts w:hint="eastAsia" w:ascii="宋体" w:hAnsi="宋体" w:cs="宋体"/>
                <w:b/>
                <w:color w:val="auto"/>
                <w:szCs w:val="21"/>
                <w:highlight w:val="none"/>
              </w:rPr>
              <w:t>，</w:t>
            </w:r>
            <w:r>
              <w:rPr>
                <w:rFonts w:hint="eastAsia"/>
                <w:b/>
                <w:color w:val="auto"/>
                <w:highlight w:val="none"/>
              </w:rPr>
              <w:t>规定签字</w:t>
            </w:r>
            <w:r>
              <w:rPr>
                <w:rFonts w:hint="eastAsia" w:ascii="宋体" w:hAnsi="宋体" w:cs="宋体"/>
                <w:b/>
                <w:color w:val="auto"/>
                <w:szCs w:val="21"/>
                <w:highlight w:val="none"/>
              </w:rPr>
              <w:t>处签字</w:t>
            </w:r>
            <w:r>
              <w:rPr>
                <w:rFonts w:hint="eastAsia" w:ascii="宋体" w:hAnsi="宋体"/>
                <w:b/>
                <w:bCs/>
                <w:color w:val="auto"/>
                <w:szCs w:val="21"/>
                <w:highlight w:val="none"/>
              </w:rPr>
              <w:t>（或者电子签名）</w:t>
            </w:r>
            <w:r>
              <w:rPr>
                <w:rFonts w:hint="eastAsia" w:ascii="宋体" w:hAnsi="宋体" w:cs="宋体"/>
                <w:b/>
                <w:color w:val="auto"/>
                <w:szCs w:val="21"/>
                <w:highlight w:val="none"/>
              </w:rPr>
              <w:t>，否则响应文件按无效处理。</w:t>
            </w:r>
          </w:p>
          <w:p w14:paraId="3734FFF7">
            <w:pPr>
              <w:pStyle w:val="12"/>
              <w:keepNext w:val="0"/>
              <w:keepLines w:val="0"/>
              <w:pageBreakBefore w:val="0"/>
              <w:suppressLineNumbers w:val="0"/>
              <w:kinsoku/>
              <w:topLinePunct w:val="0"/>
              <w:bidi w:val="0"/>
              <w:spacing w:before="60" w:beforeAutospacing="0" w:after="60" w:afterAutospacing="0" w:line="360" w:lineRule="auto"/>
              <w:ind w:left="0" w:right="0" w:firstLine="422" w:firstLineChars="200"/>
              <w:rPr>
                <w:rFonts w:hint="eastAsia" w:ascii="宋体" w:hAnsi="宋体" w:eastAsia="宋体" w:cs="宋体"/>
                <w:b/>
                <w:color w:val="auto"/>
                <w:szCs w:val="21"/>
                <w:highlight w:val="none"/>
                <w:lang w:eastAsia="zh-CN"/>
              </w:rPr>
            </w:pPr>
            <w:r>
              <w:rPr>
                <w:rFonts w:hint="default" w:ascii="宋体" w:hAnsi="宋体"/>
                <w:b/>
                <w:bCs/>
                <w:color w:val="auto"/>
                <w:szCs w:val="21"/>
                <w:highlight w:val="none"/>
              </w:rPr>
              <w:t>3</w:t>
            </w:r>
            <w:r>
              <w:rPr>
                <w:rFonts w:hint="eastAsia" w:ascii="宋体" w:hAnsi="宋体"/>
                <w:b/>
                <w:bCs/>
                <w:color w:val="auto"/>
                <w:szCs w:val="21"/>
                <w:highlight w:val="none"/>
                <w:lang w:eastAsia="zh-CN"/>
              </w:rPr>
              <w:t>.</w:t>
            </w:r>
            <w:r>
              <w:rPr>
                <w:rFonts w:hint="eastAsia" w:ascii="宋体" w:hAnsi="宋体"/>
                <w:b/>
                <w:bCs/>
                <w:color w:val="auto"/>
                <w:szCs w:val="21"/>
                <w:highlight w:val="none"/>
              </w:rPr>
              <w:t>分公司参加竞标的，应当取得总公司授权</w:t>
            </w:r>
            <w:r>
              <w:rPr>
                <w:rFonts w:hint="eastAsia" w:ascii="宋体" w:hAnsi="宋体"/>
                <w:b/>
                <w:bCs/>
                <w:color w:val="auto"/>
                <w:szCs w:val="21"/>
                <w:highlight w:val="none"/>
                <w:lang w:eastAsia="zh-CN"/>
              </w:rPr>
              <w:t>。</w:t>
            </w:r>
          </w:p>
        </w:tc>
      </w:tr>
      <w:tr w14:paraId="2FE0B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C19E6B7">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zCs w:val="21"/>
                <w:highlight w:val="none"/>
                <w:lang w:eastAsia="zh-CN"/>
              </w:rPr>
              <w:t>.</w:t>
            </w: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2</w:t>
            </w:r>
          </w:p>
        </w:tc>
        <w:tc>
          <w:tcPr>
            <w:tcW w:w="7912" w:type="dxa"/>
            <w:vAlign w:val="center"/>
          </w:tcPr>
          <w:p w14:paraId="34C35936">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报价文件</w:t>
            </w:r>
          </w:p>
          <w:p w14:paraId="3B3DB0FE">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竞标报价表（格式后附）；（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1799DB63">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供应商认为需要提供的其他有关资料。</w:t>
            </w:r>
          </w:p>
        </w:tc>
      </w:tr>
      <w:tr w14:paraId="43CFE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61167AD">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zCs w:val="21"/>
                <w:highlight w:val="none"/>
                <w:lang w:eastAsia="zh-CN"/>
              </w:rPr>
              <w:t>.</w:t>
            </w:r>
            <w:r>
              <w:rPr>
                <w:rFonts w:hint="default"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3</w:t>
            </w:r>
          </w:p>
        </w:tc>
        <w:tc>
          <w:tcPr>
            <w:tcW w:w="7912" w:type="dxa"/>
            <w:vAlign w:val="center"/>
          </w:tcPr>
          <w:p w14:paraId="5909989A">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b/>
                <w:bCs/>
                <w:color w:val="auto"/>
                <w:szCs w:val="21"/>
                <w:highlight w:val="none"/>
              </w:rPr>
            </w:pPr>
            <w:r>
              <w:rPr>
                <w:rFonts w:hint="eastAsia" w:ascii="宋体" w:hAnsi="宋体" w:cs="宋体"/>
                <w:b/>
                <w:bCs/>
                <w:color w:val="auto"/>
                <w:szCs w:val="21"/>
                <w:highlight w:val="none"/>
              </w:rPr>
              <w:t>商务技术文件</w:t>
            </w:r>
          </w:p>
          <w:p w14:paraId="408B1B73">
            <w:pPr>
              <w:keepNext w:val="0"/>
              <w:keepLines w:val="0"/>
              <w:pageBreakBefore w:val="0"/>
              <w:suppressLineNumbers w:val="0"/>
              <w:kinsoku/>
              <w:topLinePunct w:val="0"/>
              <w:bidi w:val="0"/>
              <w:spacing w:before="60" w:beforeAutospacing="0" w:after="60" w:afterAutospacing="0" w:line="360" w:lineRule="auto"/>
              <w:ind w:left="0" w:right="0"/>
              <w:rPr>
                <w:rFonts w:hint="eastAsia" w:ascii="宋体" w:hAnsi="宋体" w:eastAsia="宋体" w:cs="宋体"/>
                <w:b/>
                <w:bCs/>
                <w:color w:val="auto"/>
                <w:szCs w:val="21"/>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无串通竞标行为的承诺函（格式后附）；</w:t>
            </w:r>
            <w:r>
              <w:rPr>
                <w:rFonts w:hint="eastAsia" w:ascii="宋体" w:hAnsi="宋体" w:eastAsia="宋体" w:cs="宋体"/>
                <w:b/>
                <w:bCs/>
                <w:color w:val="auto"/>
                <w:szCs w:val="21"/>
                <w:highlight w:val="none"/>
                <w:lang w:val="en-US" w:eastAsia="zh-CN"/>
              </w:rPr>
              <w:t>（必须提供，否则响应文件按无效响应处理）</w:t>
            </w:r>
          </w:p>
          <w:p w14:paraId="74A0C849">
            <w:pPr>
              <w:keepNext w:val="0"/>
              <w:keepLines w:val="0"/>
              <w:pageBreakBefore w:val="0"/>
              <w:suppressLineNumbers w:val="0"/>
              <w:kinsoku/>
              <w:topLinePunct w:val="0"/>
              <w:bidi w:val="0"/>
              <w:spacing w:before="60" w:beforeAutospacing="0" w:after="60" w:afterAutospacing="0" w:line="360" w:lineRule="auto"/>
              <w:ind w:left="0" w:right="0"/>
              <w:rPr>
                <w:rFonts w:hint="eastAsia" w:ascii="宋体" w:hAnsi="宋体" w:eastAsia="宋体" w:cs="宋体"/>
                <w:b/>
                <w:bCs/>
                <w:color w:val="auto"/>
                <w:szCs w:val="21"/>
                <w:highlight w:val="none"/>
                <w:lang w:val="en-US" w:eastAsia="zh-CN"/>
              </w:rPr>
            </w:pP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法定代表人身份证明书及法定代表人有效身份证正反面复印件（格式后附）；</w:t>
            </w:r>
            <w:r>
              <w:rPr>
                <w:rFonts w:hint="eastAsia" w:ascii="宋体" w:hAnsi="宋体" w:eastAsia="宋体" w:cs="宋体"/>
                <w:b/>
                <w:bCs/>
                <w:color w:val="auto"/>
                <w:szCs w:val="21"/>
                <w:highlight w:val="none"/>
                <w:lang w:val="en-US" w:eastAsia="zh-CN"/>
              </w:rPr>
              <w:t>（除自然人竞标外必须提供，否则响应文件按无效响应处理）</w:t>
            </w:r>
          </w:p>
          <w:p w14:paraId="1115C4AA">
            <w:pPr>
              <w:keepNext w:val="0"/>
              <w:keepLines w:val="0"/>
              <w:pageBreakBefore w:val="0"/>
              <w:suppressLineNumbers w:val="0"/>
              <w:kinsoku/>
              <w:topLinePunct w:val="0"/>
              <w:bidi w:val="0"/>
              <w:spacing w:before="60" w:beforeAutospacing="0" w:after="60" w:afterAutospacing="0" w:line="360" w:lineRule="auto"/>
              <w:ind w:left="0" w:right="0"/>
              <w:rPr>
                <w:rFonts w:hint="eastAsia" w:ascii="宋体" w:hAnsi="宋体" w:eastAsia="宋体" w:cs="宋体"/>
                <w:b/>
                <w:bCs/>
                <w:color w:val="auto"/>
                <w:szCs w:val="21"/>
                <w:highlight w:val="none"/>
                <w:lang w:val="en-US" w:eastAsia="zh-CN"/>
              </w:rPr>
            </w:pPr>
            <w:r>
              <w:rPr>
                <w:rFonts w:hint="eastAsia" w:ascii="宋体" w:hAnsi="宋体" w:eastAsia="宋体" w:cs="宋体"/>
                <w:color w:val="auto"/>
                <w:szCs w:val="21"/>
                <w:highlight w:val="none"/>
                <w:lang w:val="en-US" w:eastAsia="zh-CN"/>
              </w:rPr>
              <w:t>3</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授权委托书及委托代理人有效身份证正反面复印件（格式后附）；</w:t>
            </w:r>
            <w:r>
              <w:rPr>
                <w:rFonts w:hint="eastAsia" w:ascii="宋体" w:hAnsi="宋体" w:eastAsia="宋体" w:cs="宋体"/>
                <w:b/>
                <w:bCs/>
                <w:color w:val="auto"/>
                <w:szCs w:val="21"/>
                <w:highlight w:val="none"/>
                <w:lang w:val="en-US" w:eastAsia="zh-CN"/>
              </w:rPr>
              <w:t>（委托时必须提供，否则响应文件按无效响应处理）</w:t>
            </w:r>
          </w:p>
          <w:p w14:paraId="5356847B">
            <w:pPr>
              <w:keepNext w:val="0"/>
              <w:keepLines w:val="0"/>
              <w:pageBreakBefore w:val="0"/>
              <w:suppressLineNumbers w:val="0"/>
              <w:kinsoku/>
              <w:topLinePunct w:val="0"/>
              <w:bidi w:val="0"/>
              <w:spacing w:before="60" w:beforeAutospacing="0" w:after="60" w:afterAutospacing="0" w:line="360" w:lineRule="auto"/>
              <w:ind w:left="0" w:right="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商务要求偏离表（格式后附）；</w:t>
            </w:r>
            <w:r>
              <w:rPr>
                <w:rFonts w:hint="eastAsia" w:ascii="宋体" w:hAnsi="宋体" w:eastAsia="宋体" w:cs="宋体"/>
                <w:b/>
                <w:bCs/>
                <w:color w:val="auto"/>
                <w:szCs w:val="21"/>
                <w:highlight w:val="none"/>
                <w:lang w:val="en-US" w:eastAsia="zh-CN"/>
              </w:rPr>
              <w:t>（必须提供，否则响应文件按无效响应处理）</w:t>
            </w:r>
          </w:p>
          <w:p w14:paraId="3288C17E">
            <w:pPr>
              <w:keepNext w:val="0"/>
              <w:keepLines w:val="0"/>
              <w:pageBreakBefore w:val="0"/>
              <w:suppressLineNumbers w:val="0"/>
              <w:kinsoku/>
              <w:topLinePunct w:val="0"/>
              <w:bidi w:val="0"/>
              <w:spacing w:before="60" w:beforeAutospacing="0" w:after="60" w:afterAutospacing="0" w:line="360" w:lineRule="auto"/>
              <w:ind w:left="0" w:right="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val="en-US" w:eastAsia="zh-CN"/>
              </w:rPr>
              <w:t>技术要求偏离表（格式后附）；</w:t>
            </w:r>
            <w:r>
              <w:rPr>
                <w:rFonts w:hint="eastAsia" w:ascii="宋体" w:hAnsi="宋体" w:eastAsia="宋体" w:cs="宋体"/>
                <w:b/>
                <w:bCs/>
                <w:color w:val="auto"/>
                <w:szCs w:val="21"/>
                <w:highlight w:val="none"/>
                <w:lang w:val="en-US" w:eastAsia="zh-CN"/>
              </w:rPr>
              <w:t>（必须提供，否则响应文件按无效响应处理）</w:t>
            </w:r>
          </w:p>
          <w:p w14:paraId="1EAC54C3">
            <w:pPr>
              <w:keepNext w:val="0"/>
              <w:keepLines w:val="0"/>
              <w:pageBreakBefore w:val="0"/>
              <w:suppressLineNumbers w:val="0"/>
              <w:kinsoku/>
              <w:topLinePunct w:val="0"/>
              <w:bidi w:val="0"/>
              <w:spacing w:before="60" w:beforeAutospacing="0" w:after="60" w:afterAutospacing="0" w:line="360" w:lineRule="auto"/>
              <w:ind w:left="0" w:right="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6.售后服务承诺书（</w:t>
            </w:r>
            <w:r>
              <w:rPr>
                <w:rFonts w:hint="eastAsia" w:ascii="宋体" w:hAnsi="宋体" w:eastAsia="宋体" w:cs="宋体"/>
                <w:color w:val="auto"/>
                <w:szCs w:val="21"/>
                <w:highlight w:val="none"/>
                <w:lang w:val="en-US" w:eastAsia="zh-CN"/>
              </w:rPr>
              <w:t>格式自拟</w:t>
            </w:r>
            <w:r>
              <w:rPr>
                <w:rFonts w:hint="eastAsia" w:ascii="宋体" w:hAnsi="宋体" w:cs="宋体"/>
                <w:color w:val="auto"/>
                <w:szCs w:val="21"/>
                <w:highlight w:val="none"/>
                <w:lang w:val="en-US" w:eastAsia="zh-CN"/>
              </w:rPr>
              <w:t>）</w:t>
            </w:r>
            <w:r>
              <w:rPr>
                <w:rFonts w:hint="eastAsia" w:ascii="宋体" w:hAnsi="宋体" w:eastAsia="宋体" w:cs="宋体"/>
                <w:b/>
                <w:bCs/>
                <w:color w:val="auto"/>
                <w:szCs w:val="21"/>
                <w:highlight w:val="none"/>
                <w:lang w:val="en-US" w:eastAsia="zh-CN"/>
              </w:rPr>
              <w:t>（必须提供，否则响应文件按无效响应处理）</w:t>
            </w:r>
          </w:p>
          <w:p w14:paraId="0AB05051">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7.技术方案（供应商根据采购文件及评审方法自行提供</w:t>
            </w:r>
            <w:r>
              <w:rPr>
                <w:rFonts w:hint="eastAsia" w:ascii="宋体" w:hAnsi="宋体" w:eastAsia="宋体" w:cs="宋体"/>
                <w:color w:val="auto"/>
                <w:szCs w:val="21"/>
                <w:highlight w:val="none"/>
                <w:lang w:val="en-US" w:eastAsia="zh-CN"/>
              </w:rPr>
              <w:t>，格式自拟</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w:t>
            </w:r>
          </w:p>
          <w:p w14:paraId="4EB8B1B5">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对应采购需求的技术要求、商务要求提供的其他文件资料（格式自拟）；</w:t>
            </w:r>
          </w:p>
          <w:p w14:paraId="6BF834FB">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供应商认为需要提供的其他有关资料。</w:t>
            </w:r>
          </w:p>
          <w:p w14:paraId="2F6526B4">
            <w:pPr>
              <w:keepNext w:val="0"/>
              <w:keepLines w:val="0"/>
              <w:pageBreakBefore w:val="0"/>
              <w:suppressLineNumbers w:val="0"/>
              <w:kinsoku/>
              <w:topLinePunct w:val="0"/>
              <w:bidi w:val="0"/>
              <w:snapToGrid w:val="0"/>
              <w:spacing w:before="60" w:beforeAutospacing="0" w:after="60" w:afterAutospacing="0" w:line="360" w:lineRule="auto"/>
              <w:ind w:left="0" w:right="0"/>
              <w:jc w:val="left"/>
              <w:rPr>
                <w:rFonts w:hint="default" w:ascii="宋体" w:hAnsi="宋体" w:cs="宋体"/>
                <w:b/>
                <w:color w:val="auto"/>
                <w:szCs w:val="21"/>
                <w:highlight w:val="none"/>
              </w:rPr>
            </w:pPr>
            <w:r>
              <w:rPr>
                <w:rFonts w:hint="eastAsia" w:ascii="宋体" w:hAnsi="宋体" w:cs="宋体"/>
                <w:b/>
                <w:color w:val="auto"/>
                <w:szCs w:val="21"/>
                <w:highlight w:val="none"/>
              </w:rPr>
              <w:t>注：以上标明“必须提供”的材料属于复印件的，必须加盖供应商</w:t>
            </w:r>
            <w:r>
              <w:rPr>
                <w:rFonts w:hint="eastAsia" w:ascii="宋体" w:hAnsi="宋体"/>
                <w:b/>
                <w:bCs/>
                <w:color w:val="auto"/>
                <w:szCs w:val="21"/>
                <w:highlight w:val="none"/>
              </w:rPr>
              <w:t>电子签章</w:t>
            </w:r>
            <w:r>
              <w:rPr>
                <w:rFonts w:hint="eastAsia" w:ascii="宋体" w:hAnsi="宋体" w:cs="宋体"/>
                <w:b/>
                <w:color w:val="auto"/>
                <w:szCs w:val="21"/>
                <w:highlight w:val="none"/>
              </w:rPr>
              <w:t>，否则响应文件按无效响应处理。</w:t>
            </w:r>
          </w:p>
        </w:tc>
      </w:tr>
      <w:tr w14:paraId="78996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4FF64DC">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15</w:t>
            </w:r>
            <w:r>
              <w:rPr>
                <w:rFonts w:hint="eastAsia" w:ascii="宋体" w:hAnsi="宋体" w:cs="宋体"/>
                <w:color w:val="auto"/>
                <w:szCs w:val="21"/>
                <w:highlight w:val="none"/>
                <w:lang w:eastAsia="zh-CN"/>
              </w:rPr>
              <w:t>.</w:t>
            </w:r>
            <w:r>
              <w:rPr>
                <w:rFonts w:hint="eastAsia" w:ascii="宋体" w:hAnsi="宋体" w:cs="宋体"/>
                <w:color w:val="auto"/>
                <w:szCs w:val="21"/>
                <w:highlight w:val="none"/>
              </w:rPr>
              <w:t>2</w:t>
            </w:r>
          </w:p>
        </w:tc>
        <w:tc>
          <w:tcPr>
            <w:tcW w:w="7912" w:type="dxa"/>
            <w:vAlign w:val="center"/>
          </w:tcPr>
          <w:p w14:paraId="181403B5">
            <w:pPr>
              <w:keepNext w:val="0"/>
              <w:keepLines w:val="0"/>
              <w:pageBreakBefore w:val="0"/>
              <w:suppressLineNumbers w:val="0"/>
              <w:kinsoku/>
              <w:topLinePunct w:val="0"/>
              <w:bidi w:val="0"/>
              <w:spacing w:before="60" w:beforeAutospacing="0" w:after="60" w:afterAutospacing="0" w:line="360" w:lineRule="auto"/>
              <w:ind w:left="0" w:right="0"/>
              <w:contextualSpacing/>
              <w:jc w:val="left"/>
              <w:rPr>
                <w:rFonts w:hint="default" w:ascii="宋体" w:hAnsi="宋体" w:cs="宋体"/>
                <w:color w:val="auto"/>
                <w:szCs w:val="21"/>
                <w:highlight w:val="none"/>
              </w:rPr>
            </w:pPr>
            <w:r>
              <w:rPr>
                <w:rFonts w:hint="eastAsia" w:ascii="宋体" w:hAnsi="宋体"/>
                <w:color w:val="auto"/>
                <w:szCs w:val="21"/>
                <w:highlight w:val="none"/>
              </w:rPr>
              <w:t>竞标报价是履行合同的最终价格，</w:t>
            </w:r>
            <w:r>
              <w:rPr>
                <w:rFonts w:hint="eastAsia" w:ascii="宋体" w:hAnsi="宋体" w:cs="宋体"/>
                <w:color w:val="auto"/>
                <w:szCs w:val="21"/>
                <w:highlight w:val="none"/>
              </w:rPr>
              <w:t>即满足全部采购需求所应提供的服务的价格；包括竞标服务的成本、技术服务、培训、税费等所有费用。</w:t>
            </w:r>
          </w:p>
        </w:tc>
      </w:tr>
      <w:tr w14:paraId="50ECB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E933558">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16</w:t>
            </w:r>
            <w:r>
              <w:rPr>
                <w:rFonts w:hint="eastAsia" w:ascii="宋体" w:hAnsi="宋体" w:cs="宋体"/>
                <w:color w:val="auto"/>
                <w:szCs w:val="21"/>
                <w:highlight w:val="none"/>
                <w:lang w:eastAsia="zh-CN"/>
              </w:rPr>
              <w:t>.</w:t>
            </w:r>
            <w:r>
              <w:rPr>
                <w:rFonts w:hint="default" w:ascii="宋体" w:hAnsi="宋体" w:cs="宋体"/>
                <w:color w:val="auto"/>
                <w:szCs w:val="21"/>
                <w:highlight w:val="none"/>
              </w:rPr>
              <w:t>2</w:t>
            </w:r>
          </w:p>
        </w:tc>
        <w:tc>
          <w:tcPr>
            <w:tcW w:w="7912" w:type="dxa"/>
            <w:vAlign w:val="center"/>
          </w:tcPr>
          <w:p w14:paraId="609E511B">
            <w:pPr>
              <w:pStyle w:val="10"/>
              <w:keepNext w:val="0"/>
              <w:keepLines w:val="0"/>
              <w:pageBreakBefore w:val="0"/>
              <w:widowControl w:val="0"/>
              <w:suppressLineNumbers w:val="0"/>
              <w:tabs>
                <w:tab w:val="clear" w:pos="454"/>
              </w:tabs>
              <w:kinsoku/>
              <w:topLinePunct w:val="0"/>
              <w:bidi w:val="0"/>
              <w:snapToGrid w:val="0"/>
              <w:spacing w:before="60" w:beforeAutospacing="0" w:after="60" w:afterLines="0" w:afterAutospacing="0" w:line="360" w:lineRule="auto"/>
              <w:ind w:left="283" w:right="0" w:hanging="283" w:hangingChars="135"/>
              <w:rPr>
                <w:rFonts w:hint="default" w:ascii="宋体" w:hAnsi="宋体" w:cs="宋体"/>
                <w:color w:val="auto"/>
                <w:kern w:val="2"/>
                <w:sz w:val="21"/>
                <w:szCs w:val="21"/>
                <w:highlight w:val="none"/>
              </w:rPr>
            </w:pPr>
            <w:r>
              <w:rPr>
                <w:rFonts w:hint="eastAsia" w:ascii="宋体" w:hAnsi="宋体" w:cs="宋体"/>
                <w:color w:val="auto"/>
                <w:kern w:val="2"/>
                <w:sz w:val="21"/>
                <w:szCs w:val="21"/>
                <w:highlight w:val="none"/>
              </w:rPr>
              <w:t>竞标有效期：自首次响应文件提交截止之日起</w:t>
            </w:r>
            <w:r>
              <w:rPr>
                <w:rFonts w:hint="eastAsia" w:ascii="宋体" w:hAnsi="宋体" w:cs="宋体"/>
                <w:color w:val="auto"/>
                <w:kern w:val="2"/>
                <w:sz w:val="21"/>
                <w:szCs w:val="21"/>
                <w:highlight w:val="none"/>
                <w:u w:val="single"/>
              </w:rPr>
              <w:t>60</w:t>
            </w:r>
            <w:r>
              <w:rPr>
                <w:rFonts w:hint="eastAsia" w:ascii="宋体" w:hAnsi="宋体" w:cs="宋体"/>
                <w:color w:val="auto"/>
                <w:kern w:val="2"/>
                <w:sz w:val="21"/>
                <w:szCs w:val="21"/>
                <w:highlight w:val="none"/>
              </w:rPr>
              <w:t>日。</w:t>
            </w:r>
          </w:p>
        </w:tc>
      </w:tr>
      <w:tr w14:paraId="42052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A33C138">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17</w:t>
            </w:r>
            <w:r>
              <w:rPr>
                <w:rFonts w:hint="eastAsia" w:ascii="宋体" w:hAnsi="宋体" w:cs="宋体"/>
                <w:color w:val="auto"/>
                <w:szCs w:val="21"/>
                <w:highlight w:val="none"/>
                <w:lang w:eastAsia="zh-CN"/>
              </w:rPr>
              <w:t>.</w:t>
            </w:r>
            <w:r>
              <w:rPr>
                <w:rFonts w:hint="eastAsia" w:ascii="宋体" w:hAnsi="宋体" w:cs="宋体"/>
                <w:color w:val="auto"/>
                <w:szCs w:val="21"/>
                <w:highlight w:val="none"/>
              </w:rPr>
              <w:t>1</w:t>
            </w:r>
          </w:p>
        </w:tc>
        <w:tc>
          <w:tcPr>
            <w:tcW w:w="7912" w:type="dxa"/>
            <w:vAlign w:val="center"/>
          </w:tcPr>
          <w:p w14:paraId="54E39FA0">
            <w:pPr>
              <w:keepNext w:val="0"/>
              <w:keepLines w:val="0"/>
              <w:pageBreakBefore w:val="0"/>
              <w:suppressLineNumbers w:val="0"/>
              <w:kinsoku/>
              <w:topLinePunct w:val="0"/>
              <w:autoSpaceDE w:val="0"/>
              <w:autoSpaceDN w:val="0"/>
              <w:bidi w:val="0"/>
              <w:snapToGrid w:val="0"/>
              <w:spacing w:before="60" w:beforeAutospacing="0" w:after="60" w:afterAutospacing="0" w:line="360" w:lineRule="auto"/>
              <w:ind w:left="0" w:right="0"/>
              <w:textAlignment w:val="bottom"/>
              <w:rPr>
                <w:rFonts w:hint="default"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本项目不收取磋商保证金。</w:t>
            </w:r>
          </w:p>
          <w:p w14:paraId="36B8E4C7">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olor w:val="auto"/>
                <w:szCs w:val="21"/>
                <w:highlight w:val="none"/>
              </w:rPr>
            </w:pPr>
            <w:r>
              <w:rPr>
                <w:rFonts w:hint="eastAsia" w:ascii="MS Mincho" w:hAnsi="MS Mincho" w:eastAsia="宋体" w:cs="MS Mincho"/>
                <w:color w:val="auto"/>
                <w:szCs w:val="21"/>
                <w:highlight w:val="none"/>
                <w:lang w:eastAsia="zh-CN"/>
              </w:rPr>
              <w:t>□</w:t>
            </w:r>
            <w:r>
              <w:rPr>
                <w:rFonts w:hint="eastAsia" w:ascii="宋体" w:hAnsi="宋体"/>
                <w:color w:val="auto"/>
                <w:szCs w:val="21"/>
                <w:highlight w:val="none"/>
              </w:rPr>
              <w:t>本项目收取磋商保证金，具体规定如下：</w:t>
            </w:r>
          </w:p>
          <w:p w14:paraId="6AF0B919">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olor w:val="auto"/>
                <w:szCs w:val="21"/>
                <w:highlight w:val="none"/>
              </w:rPr>
            </w:pPr>
            <w:r>
              <w:rPr>
                <w:rFonts w:hint="eastAsia" w:ascii="宋体" w:hAnsi="宋体" w:cs="宋体"/>
                <w:color w:val="auto"/>
                <w:kern w:val="0"/>
                <w:szCs w:val="21"/>
                <w:highlight w:val="none"/>
              </w:rPr>
              <w:t>磋商保证金人民币元。</w:t>
            </w:r>
          </w:p>
          <w:p w14:paraId="5BE60B83">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s="宋体"/>
                <w:color w:val="auto"/>
                <w:kern w:val="0"/>
                <w:szCs w:val="21"/>
                <w:highlight w:val="none"/>
              </w:rPr>
            </w:pPr>
            <w:r>
              <w:rPr>
                <w:rFonts w:hint="eastAsia" w:ascii="宋体" w:hAnsi="宋体" w:cs="宋体"/>
                <w:color w:val="auto"/>
                <w:kern w:val="0"/>
                <w:szCs w:val="21"/>
                <w:highlight w:val="none"/>
              </w:rPr>
              <w:t>磋商保证金的交纳方式：银行转账、支票、汇票、本票或者银行、保险机构出具的保函，禁止采用现钞方式。采用银行转账方式的，在响应文件提交截止时间前交至指定账户并且到账（开户名称：；开户银行：；银行账号：；开户行行号：）；采用支票、汇票、本票或者保函等方式的，在响应文件提交截止时间前，供应商必须提交单独密封的支票、汇票、本票或者保函原件。否则视为无效磋商保证金。</w:t>
            </w:r>
          </w:p>
          <w:p w14:paraId="3DC11BC5">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相关要求：</w:t>
            </w:r>
          </w:p>
          <w:p w14:paraId="5D3B8009">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磋商保证金采用银行转账交纳方式的，在响应文件提交截止时间前交至指定账户并且到账，供应商应将银行转账底单的复印件作为磋商保证金提交凭证，放置于商务技术文件中，</w:t>
            </w:r>
            <w:r>
              <w:rPr>
                <w:rFonts w:hint="eastAsia" w:ascii="宋体" w:hAnsi="宋体" w:cs="宋体"/>
                <w:b/>
                <w:color w:val="auto"/>
                <w:szCs w:val="21"/>
                <w:highlight w:val="none"/>
              </w:rPr>
              <w:t>否则响应文件按无效响应处理</w:t>
            </w:r>
            <w:r>
              <w:rPr>
                <w:rFonts w:hint="eastAsia" w:ascii="宋体" w:hAnsi="宋体" w:cs="宋体"/>
                <w:color w:val="auto"/>
                <w:szCs w:val="21"/>
                <w:highlight w:val="none"/>
              </w:rPr>
              <w:t>。</w:t>
            </w:r>
          </w:p>
          <w:p w14:paraId="226C1436">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eastAsia="zh-CN"/>
              </w:rPr>
              <w:t>.</w:t>
            </w:r>
            <w:r>
              <w:rPr>
                <w:rFonts w:hint="eastAsia" w:ascii="宋体" w:hAnsi="宋体"/>
                <w:color w:val="auto"/>
                <w:szCs w:val="21"/>
                <w:highlight w:val="none"/>
              </w:rPr>
              <w:t>磋商保证金采用支票、汇票、本票或者银行、保险机构出具的保函交纳方式的，供应商应将支票、汇票、本票或者银行、保险机构出具的保函的复印件作为磋商保证金提交凭证，放置于</w:t>
            </w:r>
            <w:r>
              <w:rPr>
                <w:rFonts w:hint="eastAsia" w:ascii="宋体" w:hAnsi="宋体" w:cs="宋体"/>
                <w:color w:val="auto"/>
                <w:szCs w:val="21"/>
                <w:highlight w:val="none"/>
              </w:rPr>
              <w:t>商务技术文件</w:t>
            </w:r>
            <w:r>
              <w:rPr>
                <w:rFonts w:hint="eastAsia" w:ascii="宋体" w:hAnsi="宋体"/>
                <w:color w:val="auto"/>
                <w:szCs w:val="21"/>
                <w:highlight w:val="none"/>
              </w:rPr>
              <w:t>中，</w:t>
            </w:r>
            <w:r>
              <w:rPr>
                <w:rFonts w:hint="eastAsia" w:ascii="宋体" w:hAnsi="宋体" w:cs="宋体"/>
                <w:b/>
                <w:color w:val="auto"/>
                <w:szCs w:val="21"/>
                <w:highlight w:val="none"/>
              </w:rPr>
              <w:t>否则响应文件按无效处理</w:t>
            </w:r>
            <w:r>
              <w:rPr>
                <w:rFonts w:hint="eastAsia" w:ascii="宋体" w:hAnsi="宋体"/>
                <w:color w:val="auto"/>
                <w:szCs w:val="21"/>
                <w:highlight w:val="none"/>
              </w:rPr>
              <w:t>。供应商必须</w:t>
            </w:r>
            <w:r>
              <w:rPr>
                <w:rFonts w:hint="eastAsia"/>
                <w:color w:val="auto"/>
                <w:highlight w:val="none"/>
              </w:rPr>
              <w:t>在响应文件提交截止时间前采用现场或邮寄方式（现场提交地址：；邮寄地址：，收件人：，联系方式：）</w:t>
            </w:r>
            <w:r>
              <w:rPr>
                <w:rFonts w:hint="eastAsia" w:ascii="宋体" w:hAnsi="宋体"/>
                <w:color w:val="auto"/>
                <w:szCs w:val="21"/>
                <w:highlight w:val="none"/>
              </w:rPr>
              <w:t>将</w:t>
            </w:r>
            <w:r>
              <w:rPr>
                <w:rFonts w:hint="eastAsia" w:ascii="宋体" w:hAnsi="宋体" w:cs="宋体"/>
                <w:color w:val="auto"/>
                <w:kern w:val="0"/>
                <w:szCs w:val="21"/>
                <w:highlight w:val="none"/>
              </w:rPr>
              <w:t>单独密封的</w:t>
            </w:r>
            <w:r>
              <w:rPr>
                <w:rFonts w:hint="eastAsia" w:ascii="宋体" w:hAnsi="宋体"/>
                <w:color w:val="auto"/>
                <w:szCs w:val="21"/>
                <w:highlight w:val="none"/>
              </w:rPr>
              <w:t>支票、汇票、本票或者银行、保险机构出具的保函原件提交给采购人或者采购代理机构，由采购人或者采购代理机构向供应商出具回执（邮寄方式的除外），并妥善保管。</w:t>
            </w:r>
          </w:p>
          <w:p w14:paraId="2BF7A309">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s="宋体"/>
                <w:b/>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供应商为联合体的，可以由联合体中的一方或者多方共同交纳磋商保证金，其交纳的保证金对联合体各方均具有约束力。</w:t>
            </w:r>
          </w:p>
          <w:p w14:paraId="0BFAEA07">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s="宋体"/>
                <w:b/>
                <w:color w:val="auto"/>
                <w:szCs w:val="21"/>
                <w:highlight w:val="none"/>
              </w:rPr>
            </w:pPr>
            <w:r>
              <w:rPr>
                <w:rFonts w:hint="eastAsia" w:ascii="宋体" w:hAnsi="宋体" w:cs="宋体"/>
                <w:b/>
                <w:color w:val="auto"/>
                <w:szCs w:val="21"/>
                <w:highlight w:val="none"/>
              </w:rPr>
              <w:t xml:space="preserve">备注： </w:t>
            </w:r>
          </w:p>
          <w:p w14:paraId="18FD94C5">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s="宋体"/>
                <w:b/>
                <w:color w:val="auto"/>
                <w:szCs w:val="21"/>
                <w:highlight w:val="none"/>
              </w:rPr>
            </w:pPr>
            <w:r>
              <w:rPr>
                <w:rFonts w:hint="eastAsia" w:ascii="宋体" w:hAnsi="宋体" w:cs="宋体"/>
                <w:b/>
                <w:color w:val="auto"/>
                <w:szCs w:val="21"/>
                <w:highlight w:val="none"/>
              </w:rPr>
              <w:t>1</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磋商保证金在响应文件提交截止时间后提交的，或者不按规定交纳方式交纳的，或者未足额交纳的（包含保函额度不足的），视为无效磋商保证金。</w:t>
            </w:r>
          </w:p>
          <w:p w14:paraId="3B4AD0B8">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s="宋体"/>
                <w:b/>
                <w:color w:val="auto"/>
                <w:szCs w:val="21"/>
                <w:highlight w:val="none"/>
              </w:rPr>
            </w:pPr>
            <w:r>
              <w:rPr>
                <w:rFonts w:hint="eastAsia" w:ascii="宋体" w:hAnsi="宋体" w:cs="宋体"/>
                <w:b/>
                <w:color w:val="auto"/>
                <w:szCs w:val="21"/>
                <w:highlight w:val="none"/>
              </w:rPr>
              <w:t>2</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供应商采用现钞方式或者从个人账户（自然人竞标除外）转出的磋商保证金，视为无效磋商保证金。</w:t>
            </w:r>
          </w:p>
          <w:p w14:paraId="619D28F4">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s="宋体"/>
                <w:b/>
                <w:color w:val="auto"/>
                <w:szCs w:val="21"/>
                <w:highlight w:val="none"/>
              </w:rPr>
            </w:pPr>
            <w:r>
              <w:rPr>
                <w:rFonts w:hint="eastAsia" w:ascii="宋体" w:hAnsi="宋体" w:cs="宋体"/>
                <w:b/>
                <w:color w:val="auto"/>
                <w:szCs w:val="21"/>
                <w:highlight w:val="none"/>
              </w:rPr>
              <w:t>3</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支票、汇票或者本票出现无效或者背书情形的，视为无效磋商保证金。</w:t>
            </w:r>
          </w:p>
          <w:p w14:paraId="7E211BCC">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s="宋体"/>
                <w:b/>
                <w:color w:val="auto"/>
                <w:szCs w:val="21"/>
                <w:highlight w:val="none"/>
              </w:rPr>
            </w:pPr>
            <w:r>
              <w:rPr>
                <w:rFonts w:hint="eastAsia" w:ascii="宋体" w:hAnsi="宋体" w:cs="宋体"/>
                <w:b/>
                <w:color w:val="auto"/>
                <w:szCs w:val="21"/>
                <w:highlight w:val="none"/>
              </w:rPr>
              <w:t>4</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保函有效期低于竞标有效期的，视为无效磋商保证金。</w:t>
            </w:r>
          </w:p>
          <w:p w14:paraId="3D90E113">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b/>
                <w:color w:val="auto"/>
                <w:szCs w:val="21"/>
                <w:highlight w:val="none"/>
              </w:rPr>
              <w:t>5</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采用银行、保险机构出具保函的，必须为无条件保函，否则视为无效磋商保证金。</w:t>
            </w:r>
          </w:p>
        </w:tc>
      </w:tr>
      <w:tr w14:paraId="79BFA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1AB1528">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default" w:ascii="宋体" w:hAnsi="宋体" w:cs="宋体"/>
                <w:color w:val="auto"/>
                <w:szCs w:val="21"/>
                <w:highlight w:val="none"/>
              </w:rPr>
              <w:t>19</w:t>
            </w:r>
          </w:p>
        </w:tc>
        <w:tc>
          <w:tcPr>
            <w:tcW w:w="7912" w:type="dxa"/>
            <w:vAlign w:val="center"/>
          </w:tcPr>
          <w:p w14:paraId="06C907FE">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olor w:val="auto"/>
                <w:szCs w:val="21"/>
                <w:highlight w:val="none"/>
              </w:rPr>
              <w:t>本项目不接受</w:t>
            </w:r>
            <w:r>
              <w:rPr>
                <w:rFonts w:hint="eastAsia"/>
                <w:color w:val="auto"/>
                <w:highlight w:val="none"/>
              </w:rPr>
              <w:t>电子</w:t>
            </w:r>
            <w:r>
              <w:rPr>
                <w:rFonts w:hint="eastAsia" w:ascii="宋体" w:hAnsi="宋体"/>
                <w:color w:val="auto"/>
                <w:szCs w:val="21"/>
                <w:highlight w:val="none"/>
              </w:rPr>
              <w:t>备份响应文件</w:t>
            </w:r>
          </w:p>
        </w:tc>
      </w:tr>
      <w:tr w14:paraId="0D9E3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0B631CD">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20</w:t>
            </w:r>
            <w:r>
              <w:rPr>
                <w:rFonts w:hint="eastAsia" w:ascii="宋体" w:hAnsi="宋体" w:cs="宋体"/>
                <w:color w:val="auto"/>
                <w:szCs w:val="21"/>
                <w:highlight w:val="none"/>
                <w:lang w:eastAsia="zh-CN"/>
              </w:rPr>
              <w:t>.</w:t>
            </w:r>
            <w:r>
              <w:rPr>
                <w:rFonts w:hint="eastAsia" w:ascii="宋体" w:hAnsi="宋体" w:cs="宋体"/>
                <w:color w:val="auto"/>
                <w:szCs w:val="21"/>
                <w:highlight w:val="none"/>
              </w:rPr>
              <w:t>1</w:t>
            </w:r>
          </w:p>
        </w:tc>
        <w:tc>
          <w:tcPr>
            <w:tcW w:w="7912" w:type="dxa"/>
            <w:vAlign w:val="center"/>
          </w:tcPr>
          <w:p w14:paraId="7361D2D1">
            <w:pPr>
              <w:keepNext w:val="0"/>
              <w:keepLines w:val="0"/>
              <w:pageBreakBefore w:val="0"/>
              <w:suppressLineNumbers w:val="0"/>
              <w:kinsoku/>
              <w:topLinePunct w:val="0"/>
              <w:bidi w:val="0"/>
              <w:spacing w:before="60" w:beforeAutospacing="0" w:after="60" w:afterAutospacing="0" w:line="360" w:lineRule="auto"/>
              <w:ind w:left="0" w:right="0"/>
              <w:contextualSpacing/>
              <w:jc w:val="left"/>
              <w:rPr>
                <w:rFonts w:hint="default" w:ascii="宋体" w:hAnsi="宋体" w:cs="宋体"/>
                <w:color w:val="auto"/>
                <w:szCs w:val="21"/>
                <w:highlight w:val="none"/>
                <w:u w:val="single"/>
              </w:rPr>
            </w:pPr>
            <w:r>
              <w:rPr>
                <w:rFonts w:hint="eastAsia" w:ascii="宋体" w:hAnsi="宋体" w:cs="宋体"/>
                <w:color w:val="auto"/>
                <w:szCs w:val="21"/>
                <w:highlight w:val="none"/>
              </w:rPr>
              <w:t>响应文件提交截止时间：详见竞争性磋商公告或者竞标邀请函。</w:t>
            </w:r>
          </w:p>
          <w:p w14:paraId="3DF5BD44">
            <w:pPr>
              <w:keepNext w:val="0"/>
              <w:keepLines w:val="0"/>
              <w:pageBreakBefore w:val="0"/>
              <w:suppressLineNumbers w:val="0"/>
              <w:kinsoku/>
              <w:topLinePunct w:val="0"/>
              <w:bidi w:val="0"/>
              <w:spacing w:before="60" w:beforeAutospacing="0" w:after="60" w:afterAutospacing="0" w:line="360" w:lineRule="auto"/>
              <w:ind w:left="0" w:right="0"/>
              <w:contextualSpacing/>
              <w:jc w:val="left"/>
              <w:rPr>
                <w:rFonts w:hint="default" w:ascii="宋体" w:hAnsi="宋体" w:cs="宋体"/>
                <w:color w:val="auto"/>
                <w:szCs w:val="21"/>
                <w:highlight w:val="none"/>
              </w:rPr>
            </w:pPr>
            <w:r>
              <w:rPr>
                <w:rFonts w:hint="eastAsia" w:ascii="宋体" w:hAnsi="宋体" w:cs="宋体"/>
                <w:color w:val="auto"/>
                <w:szCs w:val="21"/>
                <w:highlight w:val="none"/>
              </w:rPr>
              <w:t>响应文件提交地点：详见竞争性磋商公告或者竞标邀请函。</w:t>
            </w:r>
          </w:p>
        </w:tc>
      </w:tr>
      <w:tr w14:paraId="4F7C1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9915DF8">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24</w:t>
            </w:r>
            <w:r>
              <w:rPr>
                <w:rFonts w:hint="eastAsia" w:ascii="宋体" w:hAnsi="宋体" w:cs="宋体"/>
                <w:color w:val="auto"/>
                <w:szCs w:val="21"/>
                <w:highlight w:val="none"/>
                <w:lang w:eastAsia="zh-CN"/>
              </w:rPr>
              <w:t>.</w:t>
            </w:r>
            <w:r>
              <w:rPr>
                <w:rFonts w:hint="eastAsia" w:ascii="宋体" w:hAnsi="宋体" w:cs="宋体"/>
                <w:color w:val="auto"/>
                <w:szCs w:val="21"/>
                <w:highlight w:val="none"/>
              </w:rPr>
              <w:t>1</w:t>
            </w:r>
          </w:p>
        </w:tc>
        <w:tc>
          <w:tcPr>
            <w:tcW w:w="7912" w:type="dxa"/>
            <w:vAlign w:val="center"/>
          </w:tcPr>
          <w:p w14:paraId="42C53C63">
            <w:pPr>
              <w:keepNext w:val="0"/>
              <w:keepLines w:val="0"/>
              <w:pageBreakBefore w:val="0"/>
              <w:suppressLineNumbers w:val="0"/>
              <w:kinsoku/>
              <w:topLinePunct w:val="0"/>
              <w:bidi w:val="0"/>
              <w:snapToGrid w:val="0"/>
              <w:spacing w:before="60" w:beforeAutospacing="0" w:after="60" w:afterAutospacing="0" w:line="360" w:lineRule="auto"/>
              <w:ind w:left="0" w:right="0"/>
              <w:jc w:val="left"/>
              <w:rPr>
                <w:rFonts w:hint="default" w:ascii="宋体" w:hAnsi="宋体" w:cs="宋体"/>
                <w:color w:val="auto"/>
                <w:szCs w:val="21"/>
                <w:highlight w:val="none"/>
                <w:u w:val="single"/>
              </w:rPr>
            </w:pPr>
            <w:r>
              <w:rPr>
                <w:rFonts w:hint="eastAsia" w:ascii="宋体" w:hAnsi="宋体" w:cs="宋体"/>
                <w:color w:val="auto"/>
                <w:szCs w:val="21"/>
                <w:highlight w:val="none"/>
              </w:rPr>
              <w:t>磋商小组的人数：</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人。</w:t>
            </w:r>
          </w:p>
        </w:tc>
      </w:tr>
      <w:tr w14:paraId="65140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710C75A">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2</w:t>
            </w:r>
            <w:r>
              <w:rPr>
                <w:rFonts w:hint="default" w:ascii="宋体" w:hAnsi="宋体" w:cs="宋体"/>
                <w:color w:val="auto"/>
                <w:szCs w:val="21"/>
                <w:highlight w:val="none"/>
              </w:rPr>
              <w:t>5</w:t>
            </w:r>
          </w:p>
        </w:tc>
        <w:tc>
          <w:tcPr>
            <w:tcW w:w="7912" w:type="dxa"/>
            <w:vAlign w:val="center"/>
          </w:tcPr>
          <w:p w14:paraId="66159560">
            <w:pPr>
              <w:keepNext w:val="0"/>
              <w:keepLines w:val="0"/>
              <w:pageBreakBefore w:val="0"/>
              <w:suppressLineNumbers w:val="0"/>
              <w:kinsoku/>
              <w:topLinePunct w:val="0"/>
              <w:bidi w:val="0"/>
              <w:snapToGrid w:val="0"/>
              <w:spacing w:before="60" w:beforeAutospacing="0" w:after="60" w:afterAutospacing="0" w:line="360" w:lineRule="auto"/>
              <w:ind w:left="0" w:right="0"/>
              <w:jc w:val="left"/>
              <w:rPr>
                <w:rFonts w:hint="default" w:ascii="宋体" w:hAnsi="宋体" w:cs="宋体"/>
                <w:color w:val="auto"/>
                <w:szCs w:val="21"/>
                <w:highlight w:val="none"/>
              </w:rPr>
            </w:pPr>
            <w:r>
              <w:rPr>
                <w:rFonts w:hint="eastAsia" w:ascii="宋体" w:hAnsi="宋体" w:cs="宋体"/>
                <w:color w:val="auto"/>
                <w:szCs w:val="21"/>
                <w:highlight w:val="none"/>
              </w:rPr>
              <w:t>首次响应文件开启时间详见“竞争性磋商公告”或者“竞标邀请函”</w:t>
            </w:r>
          </w:p>
          <w:p w14:paraId="08A1D510">
            <w:pPr>
              <w:keepNext w:val="0"/>
              <w:keepLines w:val="0"/>
              <w:pageBreakBefore w:val="0"/>
              <w:suppressLineNumbers w:val="0"/>
              <w:kinsoku/>
              <w:topLinePunct w:val="0"/>
              <w:bidi w:val="0"/>
              <w:snapToGrid w:val="0"/>
              <w:spacing w:before="60" w:beforeAutospacing="0" w:after="60" w:afterAutospacing="0" w:line="360" w:lineRule="auto"/>
              <w:ind w:left="0" w:right="0"/>
              <w:jc w:val="left"/>
              <w:rPr>
                <w:rFonts w:hint="default" w:ascii="宋体" w:hAnsi="宋体" w:cs="宋体"/>
                <w:color w:val="auto"/>
                <w:szCs w:val="21"/>
                <w:highlight w:val="none"/>
              </w:rPr>
            </w:pPr>
            <w:r>
              <w:rPr>
                <w:rFonts w:hint="eastAsia" w:ascii="宋体" w:hAnsi="宋体" w:cs="宋体"/>
                <w:color w:val="auto"/>
                <w:szCs w:val="21"/>
                <w:highlight w:val="none"/>
              </w:rPr>
              <w:t>首次响应文件解密时间：</w:t>
            </w:r>
            <w:r>
              <w:rPr>
                <w:rFonts w:hint="eastAsia" w:hAnsi="宋体"/>
                <w:color w:val="auto"/>
                <w:highlight w:val="none"/>
                <w:u w:val="single"/>
              </w:rPr>
              <w:t>30</w:t>
            </w:r>
            <w:r>
              <w:rPr>
                <w:rFonts w:hint="eastAsia" w:hAnsi="宋体"/>
                <w:color w:val="auto"/>
                <w:highlight w:val="none"/>
              </w:rPr>
              <w:t>分钟</w:t>
            </w:r>
          </w:p>
        </w:tc>
      </w:tr>
      <w:tr w14:paraId="71D62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92" w:type="dxa"/>
            <w:vAlign w:val="center"/>
          </w:tcPr>
          <w:p w14:paraId="7A59047A">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2</w:t>
            </w:r>
            <w:r>
              <w:rPr>
                <w:rFonts w:hint="default" w:ascii="宋体" w:hAnsi="宋体" w:cs="宋体"/>
                <w:color w:val="auto"/>
                <w:szCs w:val="21"/>
                <w:highlight w:val="none"/>
              </w:rPr>
              <w:t>6</w:t>
            </w:r>
            <w:r>
              <w:rPr>
                <w:rFonts w:hint="eastAsia" w:ascii="宋体" w:hAnsi="宋体" w:cs="宋体"/>
                <w:color w:val="auto"/>
                <w:szCs w:val="21"/>
                <w:highlight w:val="none"/>
                <w:lang w:eastAsia="zh-CN"/>
              </w:rPr>
              <w:t>.</w:t>
            </w:r>
            <w:r>
              <w:rPr>
                <w:rFonts w:hint="default" w:ascii="宋体" w:hAnsi="宋体" w:cs="宋体"/>
                <w:color w:val="auto"/>
                <w:szCs w:val="21"/>
                <w:highlight w:val="none"/>
              </w:rPr>
              <w:t>3</w:t>
            </w:r>
          </w:p>
        </w:tc>
        <w:tc>
          <w:tcPr>
            <w:tcW w:w="7912" w:type="dxa"/>
            <w:vAlign w:val="center"/>
          </w:tcPr>
          <w:p w14:paraId="6AC3DCC3">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商务要求评审中允许负偏离的条款数为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w:t>
            </w:r>
          </w:p>
          <w:p w14:paraId="39A26A1D">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技术要求评审中允许负偏离的条款数为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w:t>
            </w:r>
          </w:p>
        </w:tc>
      </w:tr>
      <w:tr w14:paraId="2FDB6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8575F3B">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default" w:ascii="宋体" w:hAnsi="宋体" w:cs="宋体"/>
                <w:color w:val="auto"/>
                <w:szCs w:val="21"/>
                <w:highlight w:val="none"/>
              </w:rPr>
              <w:t>28</w:t>
            </w:r>
            <w:r>
              <w:rPr>
                <w:rFonts w:hint="eastAsia" w:ascii="宋体" w:hAnsi="宋体" w:cs="宋体"/>
                <w:color w:val="auto"/>
                <w:szCs w:val="21"/>
                <w:highlight w:val="none"/>
                <w:lang w:eastAsia="zh-CN"/>
              </w:rPr>
              <w:t>.</w:t>
            </w:r>
            <w:r>
              <w:rPr>
                <w:rFonts w:hint="default" w:ascii="宋体" w:hAnsi="宋体" w:cs="宋体"/>
                <w:color w:val="auto"/>
                <w:szCs w:val="21"/>
                <w:highlight w:val="none"/>
              </w:rPr>
              <w:t>1</w:t>
            </w:r>
          </w:p>
        </w:tc>
        <w:tc>
          <w:tcPr>
            <w:tcW w:w="7912" w:type="dxa"/>
            <w:vAlign w:val="center"/>
          </w:tcPr>
          <w:p w14:paraId="42ED0042">
            <w:pPr>
              <w:keepNext w:val="0"/>
              <w:keepLines w:val="0"/>
              <w:pageBreakBefore w:val="0"/>
              <w:suppressLineNumbers w:val="0"/>
              <w:kinsoku/>
              <w:topLinePunct w:val="0"/>
              <w:autoSpaceDE w:val="0"/>
              <w:autoSpaceDN w:val="0"/>
              <w:bidi w:val="0"/>
              <w:snapToGrid w:val="0"/>
              <w:spacing w:before="60" w:beforeAutospacing="0" w:after="60" w:afterAutospacing="0" w:line="360" w:lineRule="auto"/>
              <w:ind w:left="0" w:right="0"/>
              <w:textAlignment w:val="bottom"/>
              <w:rPr>
                <w:rFonts w:hint="default" w:ascii="宋体" w:hAnsi="宋体"/>
                <w:color w:val="auto"/>
                <w:szCs w:val="21"/>
                <w:highlight w:val="none"/>
              </w:rPr>
            </w:pPr>
            <w:r>
              <w:rPr>
                <w:rFonts w:hint="eastAsia" w:ascii="MS Mincho" w:hAnsi="MS Mincho" w:cs="MS Mincho"/>
                <w:color w:val="auto"/>
                <w:szCs w:val="21"/>
                <w:highlight w:val="none"/>
                <w:lang w:eastAsia="zh-CN"/>
              </w:rPr>
              <w:t>☑</w:t>
            </w:r>
            <w:r>
              <w:rPr>
                <w:rFonts w:hint="eastAsia" w:ascii="宋体" w:hAnsi="宋体"/>
                <w:color w:val="auto"/>
                <w:szCs w:val="21"/>
                <w:highlight w:val="none"/>
              </w:rPr>
              <w:t>本项目不收取履约保证金。</w:t>
            </w:r>
          </w:p>
          <w:p w14:paraId="20F158FC">
            <w:pPr>
              <w:keepNext w:val="0"/>
              <w:keepLines w:val="0"/>
              <w:pageBreakBefore w:val="0"/>
              <w:suppressLineNumbers w:val="0"/>
              <w:kinsoku/>
              <w:topLinePunct w:val="0"/>
              <w:autoSpaceDE w:val="0"/>
              <w:autoSpaceDN w:val="0"/>
              <w:bidi w:val="0"/>
              <w:snapToGrid w:val="0"/>
              <w:spacing w:before="60" w:beforeAutospacing="0" w:after="60" w:afterAutospacing="0" w:line="360" w:lineRule="auto"/>
              <w:ind w:left="0" w:right="0"/>
              <w:textAlignment w:val="bottom"/>
              <w:rPr>
                <w:rFonts w:hint="default"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本项目收取履约保证金，具体规定如下：</w:t>
            </w:r>
          </w:p>
          <w:p w14:paraId="1EB80099">
            <w:pPr>
              <w:keepNext w:val="0"/>
              <w:keepLines w:val="0"/>
              <w:pageBreakBefore w:val="0"/>
              <w:suppressLineNumbers w:val="0"/>
              <w:kinsoku/>
              <w:topLinePunct w:val="0"/>
              <w:bidi w:val="0"/>
              <w:spacing w:before="60" w:beforeAutospacing="0" w:after="60" w:afterAutospacing="0" w:line="360" w:lineRule="auto"/>
              <w:ind w:left="0" w:right="0"/>
              <w:contextualSpacing/>
              <w:rPr>
                <w:rFonts w:hint="default" w:ascii="宋体" w:hAnsi="宋体" w:cs="宋体"/>
                <w:color w:val="auto"/>
                <w:szCs w:val="21"/>
                <w:highlight w:val="none"/>
              </w:rPr>
            </w:pPr>
            <w:r>
              <w:rPr>
                <w:rFonts w:hint="eastAsia" w:ascii="宋体" w:hAnsi="宋体" w:cs="宋体"/>
                <w:color w:val="auto"/>
                <w:szCs w:val="21"/>
                <w:highlight w:val="none"/>
              </w:rPr>
              <w:t>履约保证金金额：</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69AC0DB7">
            <w:pPr>
              <w:keepNext w:val="0"/>
              <w:keepLines w:val="0"/>
              <w:pageBreakBefore w:val="0"/>
              <w:suppressLineNumbers w:val="0"/>
              <w:kinsoku/>
              <w:topLinePunct w:val="0"/>
              <w:bidi w:val="0"/>
              <w:spacing w:before="60" w:beforeAutospacing="0" w:after="60" w:afterAutospacing="0" w:line="360" w:lineRule="auto"/>
              <w:ind w:left="0" w:right="0"/>
              <w:contextualSpacing/>
              <w:rPr>
                <w:rFonts w:hint="default" w:ascii="宋体" w:hAnsi="宋体" w:cs="宋体"/>
                <w:color w:val="auto"/>
                <w:szCs w:val="21"/>
                <w:highlight w:val="none"/>
              </w:rPr>
            </w:pPr>
            <w:r>
              <w:rPr>
                <w:rFonts w:hint="eastAsia" w:ascii="宋体" w:hAnsi="宋体" w:cs="宋体"/>
                <w:color w:val="auto"/>
                <w:szCs w:val="21"/>
                <w:highlight w:val="none"/>
              </w:rPr>
              <w:t>履约保证金提交方式：</w:t>
            </w:r>
            <w:r>
              <w:rPr>
                <w:rFonts w:hint="eastAsia" w:ascii="宋体" w:hAnsi="宋体" w:eastAsia="宋体" w:cs="宋体"/>
                <w:color w:val="auto"/>
                <w:szCs w:val="21"/>
                <w:highlight w:val="none"/>
                <w:u w:val="single"/>
                <w:lang w:val="en-US" w:eastAsia="zh-CN"/>
              </w:rPr>
              <w:t>成交供应商在签订合同前5个工作日内以银行转账、支票、汇票、本票或者金融机构、担保</w:t>
            </w:r>
            <w:r>
              <w:rPr>
                <w:rFonts w:hint="eastAsia" w:ascii="宋体" w:hAnsi="宋体" w:eastAsia="宋体" w:cs="宋体"/>
                <w:color w:val="auto"/>
                <w:szCs w:val="21"/>
                <w:highlight w:val="none"/>
                <w:u w:val="single"/>
              </w:rPr>
              <w:t>机构出具的保函等非现金方式</w:t>
            </w:r>
            <w:r>
              <w:rPr>
                <w:rFonts w:hint="eastAsia" w:ascii="宋体" w:hAnsi="宋体" w:eastAsia="宋体" w:cs="宋体"/>
                <w:color w:val="auto"/>
                <w:szCs w:val="21"/>
                <w:highlight w:val="none"/>
                <w:u w:val="single"/>
                <w:lang w:eastAsia="zh-CN"/>
              </w:rPr>
              <w:t>向</w:t>
            </w:r>
            <w:r>
              <w:rPr>
                <w:rFonts w:hint="eastAsia" w:ascii="宋体" w:hAnsi="宋体" w:eastAsia="宋体" w:cs="宋体"/>
                <w:color w:val="auto"/>
                <w:szCs w:val="21"/>
                <w:highlight w:val="none"/>
                <w:u w:val="single"/>
                <w:lang w:val="en-US" w:eastAsia="zh-CN"/>
              </w:rPr>
              <w:t>采购方提交</w:t>
            </w:r>
            <w:r>
              <w:rPr>
                <w:rFonts w:hint="eastAsia" w:ascii="宋体" w:hAnsi="宋体" w:eastAsia="宋体" w:cs="宋体"/>
                <w:color w:val="auto"/>
                <w:szCs w:val="21"/>
                <w:highlight w:val="none"/>
              </w:rPr>
              <w:t>。</w:t>
            </w:r>
          </w:p>
          <w:p w14:paraId="05385CBF">
            <w:pPr>
              <w:keepNext w:val="0"/>
              <w:keepLines w:val="0"/>
              <w:pageBreakBefore w:val="0"/>
              <w:suppressLineNumbers w:val="0"/>
              <w:kinsoku/>
              <w:topLinePunct w:val="0"/>
              <w:bidi w:val="0"/>
              <w:spacing w:before="60" w:beforeAutospacing="0" w:after="60" w:afterAutospacing="0" w:line="360" w:lineRule="auto"/>
              <w:ind w:left="0" w:right="0"/>
              <w:contextualSpacing/>
              <w:rPr>
                <w:rFonts w:hint="default" w:ascii="宋体" w:hAnsi="宋体" w:cs="宋体"/>
                <w:color w:val="auto"/>
                <w:szCs w:val="21"/>
                <w:highlight w:val="none"/>
                <w:u w:val="single"/>
              </w:rPr>
            </w:pPr>
            <w:r>
              <w:rPr>
                <w:rFonts w:hint="eastAsia" w:ascii="宋体" w:hAnsi="宋体" w:cs="宋体"/>
                <w:color w:val="auto"/>
                <w:szCs w:val="21"/>
                <w:highlight w:val="none"/>
              </w:rPr>
              <w:t>履约保证金退付方式、时间及条件：</w:t>
            </w:r>
            <w:r>
              <w:rPr>
                <w:rFonts w:hint="eastAsia" w:ascii="宋体" w:hAnsi="宋体" w:eastAsia="宋体" w:cs="宋体"/>
                <w:color w:val="auto"/>
                <w:szCs w:val="21"/>
                <w:highlight w:val="none"/>
                <w:u w:val="single"/>
                <w:lang w:val="en-US" w:eastAsia="zh-CN"/>
              </w:rPr>
              <w:t>项目通过</w:t>
            </w:r>
            <w:r>
              <w:rPr>
                <w:rFonts w:hint="eastAsia" w:ascii="宋体" w:hAnsi="宋体" w:cs="宋体"/>
                <w:color w:val="auto"/>
                <w:szCs w:val="21"/>
                <w:highlight w:val="none"/>
                <w:u w:val="single"/>
                <w:lang w:val="en-US" w:eastAsia="zh-CN"/>
              </w:rPr>
              <w:t>相关部门</w:t>
            </w:r>
            <w:r>
              <w:rPr>
                <w:rFonts w:hint="eastAsia" w:ascii="宋体" w:hAnsi="宋体" w:eastAsia="宋体" w:cs="宋体"/>
                <w:color w:val="auto"/>
                <w:szCs w:val="21"/>
                <w:highlight w:val="none"/>
                <w:u w:val="single"/>
                <w:lang w:val="en-US" w:eastAsia="zh-CN"/>
              </w:rPr>
              <w:t>验收合格后，</w:t>
            </w:r>
            <w:r>
              <w:rPr>
                <w:rFonts w:hint="eastAsia" w:ascii="宋体" w:hAnsi="宋体" w:cs="宋体"/>
                <w:color w:val="auto"/>
                <w:szCs w:val="21"/>
                <w:highlight w:val="none"/>
                <w:u w:val="single"/>
              </w:rPr>
              <w:t>由成交供应商向履约保证金收取单位提供《广西壮族自治区政府采购项目合同验收书》（详见桂财采〔2015〕22号）及《政府采购项目履约保证金退付意见书》，保证金收取单位在收到合格材料后</w:t>
            </w:r>
            <w:r>
              <w:rPr>
                <w:rFonts w:hint="eastAsia" w:ascii="宋体" w:hAnsi="宋体" w:cs="宋体"/>
                <w:color w:val="auto"/>
                <w:szCs w:val="21"/>
                <w:highlight w:val="none"/>
                <w:u w:val="single"/>
                <w:lang w:val="en-US" w:eastAsia="zh-CN"/>
              </w:rPr>
              <w:t>30</w:t>
            </w:r>
            <w:r>
              <w:rPr>
                <w:rFonts w:hint="eastAsia" w:ascii="宋体" w:hAnsi="宋体" w:cs="宋体"/>
                <w:color w:val="auto"/>
                <w:szCs w:val="21"/>
                <w:highlight w:val="none"/>
                <w:u w:val="single"/>
              </w:rPr>
              <w:t>个工作日内办理退还手续（不计利息）。</w:t>
            </w:r>
          </w:p>
          <w:p w14:paraId="209395D9">
            <w:pPr>
              <w:keepNext w:val="0"/>
              <w:keepLines w:val="0"/>
              <w:pageBreakBefore w:val="0"/>
              <w:suppressLineNumbers w:val="0"/>
              <w:kinsoku/>
              <w:topLinePunct w:val="0"/>
              <w:bidi w:val="0"/>
              <w:spacing w:before="60" w:beforeAutospacing="0" w:after="60" w:afterAutospacing="0" w:line="360" w:lineRule="auto"/>
              <w:ind w:left="0" w:right="0"/>
              <w:contextualSpacing/>
              <w:rPr>
                <w:rFonts w:hint="default" w:ascii="宋体" w:hAnsi="宋体" w:cs="宋体"/>
                <w:color w:val="auto"/>
                <w:szCs w:val="21"/>
                <w:highlight w:val="none"/>
              </w:rPr>
            </w:pPr>
            <w:r>
              <w:rPr>
                <w:rFonts w:hint="eastAsia" w:ascii="宋体" w:hAnsi="宋体" w:cs="宋体"/>
                <w:color w:val="auto"/>
                <w:szCs w:val="21"/>
                <w:highlight w:val="none"/>
              </w:rPr>
              <w:t>履约保证金指定账户：</w:t>
            </w:r>
          </w:p>
          <w:p w14:paraId="54A57F0D">
            <w:pPr>
              <w:keepNext w:val="0"/>
              <w:keepLines w:val="0"/>
              <w:pageBreakBefore w:val="0"/>
              <w:suppressLineNumbers w:val="0"/>
              <w:kinsoku/>
              <w:topLinePunct w:val="0"/>
              <w:bidi w:val="0"/>
              <w:spacing w:before="60" w:beforeAutospacing="0" w:after="60" w:afterAutospacing="0" w:line="360" w:lineRule="auto"/>
              <w:ind w:left="0" w:right="0"/>
              <w:contextualSpacing/>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开户名称：</w:t>
            </w:r>
          </w:p>
          <w:p w14:paraId="700AC205">
            <w:pPr>
              <w:keepNext w:val="0"/>
              <w:keepLines w:val="0"/>
              <w:pageBreakBefore w:val="0"/>
              <w:suppressLineNumbers w:val="0"/>
              <w:kinsoku/>
              <w:topLinePunct w:val="0"/>
              <w:bidi w:val="0"/>
              <w:spacing w:before="60" w:beforeAutospacing="0" w:after="60" w:afterAutospacing="0" w:line="360" w:lineRule="auto"/>
              <w:ind w:left="0" w:right="0"/>
              <w:contextualSpacing/>
              <w:rPr>
                <w:rFonts w:hint="eastAsia" w:ascii="宋体" w:hAnsi="宋体" w:cs="宋体"/>
                <w:color w:val="auto"/>
                <w:szCs w:val="21"/>
                <w:highlight w:val="none"/>
              </w:rPr>
            </w:pPr>
            <w:r>
              <w:rPr>
                <w:rFonts w:hint="eastAsia" w:ascii="宋体" w:hAnsi="宋体" w:cs="宋体"/>
                <w:color w:val="auto"/>
                <w:szCs w:val="21"/>
                <w:highlight w:val="none"/>
              </w:rPr>
              <w:t>开户银行：</w:t>
            </w:r>
          </w:p>
          <w:p w14:paraId="7AAE95B5">
            <w:pPr>
              <w:keepNext w:val="0"/>
              <w:keepLines w:val="0"/>
              <w:pageBreakBefore w:val="0"/>
              <w:suppressLineNumbers w:val="0"/>
              <w:kinsoku/>
              <w:topLinePunct w:val="0"/>
              <w:bidi w:val="0"/>
              <w:spacing w:before="60" w:beforeAutospacing="0" w:after="60" w:afterAutospacing="0" w:line="360" w:lineRule="auto"/>
              <w:ind w:left="0" w:right="0"/>
              <w:contextualSpacing/>
              <w:rPr>
                <w:rFonts w:hint="eastAsia" w:ascii="宋体" w:hAnsi="宋体" w:cs="宋体"/>
                <w:color w:val="auto"/>
                <w:szCs w:val="21"/>
                <w:highlight w:val="none"/>
              </w:rPr>
            </w:pPr>
            <w:r>
              <w:rPr>
                <w:rFonts w:hint="eastAsia" w:ascii="宋体" w:hAnsi="宋体" w:cs="宋体"/>
                <w:color w:val="auto"/>
                <w:szCs w:val="21"/>
                <w:highlight w:val="none"/>
              </w:rPr>
              <w:t>银行账号：</w:t>
            </w:r>
          </w:p>
          <w:p w14:paraId="1D6E6661">
            <w:pPr>
              <w:keepNext w:val="0"/>
              <w:keepLines w:val="0"/>
              <w:pageBreakBefore w:val="0"/>
              <w:suppressLineNumbers w:val="0"/>
              <w:kinsoku/>
              <w:topLinePunct w:val="0"/>
              <w:bidi w:val="0"/>
              <w:spacing w:before="60" w:beforeAutospacing="0" w:after="60" w:afterAutospacing="0" w:line="360" w:lineRule="auto"/>
              <w:ind w:left="0" w:right="0"/>
              <w:contextualSpacing/>
              <w:rPr>
                <w:rFonts w:hint="default" w:ascii="宋体" w:hAnsi="宋体" w:cs="宋体"/>
                <w:color w:val="auto"/>
                <w:szCs w:val="21"/>
                <w:highlight w:val="none"/>
              </w:rPr>
            </w:pPr>
            <w:r>
              <w:rPr>
                <w:rFonts w:hint="eastAsia" w:ascii="宋体" w:hAnsi="宋体" w:cs="宋体"/>
                <w:color w:val="auto"/>
                <w:szCs w:val="21"/>
                <w:highlight w:val="none"/>
              </w:rPr>
              <w:t>备注：</w:t>
            </w:r>
          </w:p>
          <w:p w14:paraId="1755DFAF">
            <w:pPr>
              <w:keepNext w:val="0"/>
              <w:keepLines w:val="0"/>
              <w:pageBreakBefore w:val="0"/>
              <w:suppressLineNumbers w:val="0"/>
              <w:kinsoku/>
              <w:topLinePunct w:val="0"/>
              <w:bidi w:val="0"/>
              <w:spacing w:before="60" w:beforeAutospacing="0" w:after="60" w:afterAutospacing="0" w:line="360" w:lineRule="auto"/>
              <w:ind w:left="0" w:right="0"/>
              <w:contextualSpacing/>
              <w:rPr>
                <w:rFonts w:hint="default" w:ascii="宋体" w:hAnsi="宋体" w:cs="宋体"/>
                <w:b/>
                <w:color w:val="auto"/>
                <w:szCs w:val="21"/>
                <w:highlight w:val="none"/>
              </w:rPr>
            </w:pPr>
            <w:r>
              <w:rPr>
                <w:rFonts w:hint="eastAsia" w:ascii="宋体" w:hAnsi="宋体" w:cs="宋体"/>
                <w:b/>
                <w:color w:val="auto"/>
                <w:szCs w:val="21"/>
                <w:highlight w:val="none"/>
              </w:rPr>
              <w:t>1</w:t>
            </w:r>
            <w:bookmarkStart w:id="61" w:name="_Hlk54170335"/>
            <w:r>
              <w:rPr>
                <w:rFonts w:hint="eastAsia" w:ascii="宋体" w:hAnsi="宋体" w:cs="宋体"/>
                <w:b/>
                <w:color w:val="auto"/>
                <w:szCs w:val="21"/>
                <w:highlight w:val="none"/>
                <w:lang w:eastAsia="zh-CN"/>
              </w:rPr>
              <w:t>.</w:t>
            </w:r>
            <w:r>
              <w:rPr>
                <w:rFonts w:hint="eastAsia" w:ascii="宋体" w:hAnsi="宋体"/>
                <w:b/>
                <w:color w:val="auto"/>
                <w:szCs w:val="21"/>
                <w:highlight w:val="none"/>
              </w:rPr>
              <w:t>根据《广西壮族自治区财政厅关于进一步发挥政府采购政策功能促进企业发展的通知》（桂财采〔2022〕30号）规定，鼓励采购人在与中小微企业签订政府采购合同时，减少或免于收取履约保证金，有必要收取履约保证金的，收取的履约保证金不得超过政府采购合同金额的5%，对中小企业收取的履约保证金数额不得超过政府采购合同金额的2%。</w:t>
            </w:r>
            <w:bookmarkEnd w:id="61"/>
          </w:p>
          <w:p w14:paraId="5742A581">
            <w:pPr>
              <w:keepNext w:val="0"/>
              <w:keepLines w:val="0"/>
              <w:pageBreakBefore w:val="0"/>
              <w:suppressLineNumbers w:val="0"/>
              <w:kinsoku/>
              <w:topLinePunct w:val="0"/>
              <w:bidi w:val="0"/>
              <w:spacing w:before="60" w:beforeAutospacing="0" w:after="60" w:afterAutospacing="0" w:line="360" w:lineRule="auto"/>
              <w:ind w:left="0" w:right="0"/>
              <w:contextualSpacing/>
              <w:rPr>
                <w:rFonts w:hint="default" w:ascii="宋体" w:hAnsi="宋体" w:cs="宋体"/>
                <w:b/>
                <w:color w:val="auto"/>
                <w:szCs w:val="21"/>
                <w:highlight w:val="none"/>
              </w:rPr>
            </w:pPr>
            <w:r>
              <w:rPr>
                <w:rFonts w:hint="eastAsia" w:ascii="宋体" w:hAnsi="宋体" w:cs="宋体"/>
                <w:b/>
                <w:color w:val="auto"/>
                <w:szCs w:val="21"/>
                <w:highlight w:val="none"/>
              </w:rPr>
              <w:t>2</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履约保证金不足额缴纳的，或者银行、保险机构出具的保函额度不足的或者保函有效期低于合同履行期限（即签订采购合同之日起至履行完合同约定的权利及义务之日止）的，不予签订合同。</w:t>
            </w:r>
          </w:p>
          <w:p w14:paraId="00627513">
            <w:pPr>
              <w:keepNext w:val="0"/>
              <w:keepLines w:val="0"/>
              <w:pageBreakBefore w:val="0"/>
              <w:suppressLineNumbers w:val="0"/>
              <w:kinsoku/>
              <w:topLinePunct w:val="0"/>
              <w:bidi w:val="0"/>
              <w:spacing w:before="60" w:beforeAutospacing="0" w:after="60" w:afterAutospacing="0" w:line="360" w:lineRule="auto"/>
              <w:ind w:left="0" w:right="0"/>
              <w:contextualSpacing/>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w:t>
            </w:r>
            <w:r>
              <w:rPr>
                <w:rFonts w:hint="eastAsia" w:ascii="宋体" w:hAnsi="宋体" w:cs="宋体"/>
                <w:b/>
                <w:color w:val="auto"/>
                <w:szCs w:val="21"/>
                <w:highlight w:val="none"/>
                <w:lang w:eastAsia="zh-CN"/>
              </w:rPr>
              <w:t>.</w:t>
            </w:r>
            <w:r>
              <w:rPr>
                <w:rFonts w:hint="eastAsia" w:ascii="宋体" w:hAnsi="宋体" w:eastAsia="宋体" w:cs="宋体"/>
                <w:b/>
                <w:color w:val="auto"/>
                <w:szCs w:val="21"/>
                <w:highlight w:val="none"/>
              </w:rPr>
              <w:t>采用银行、保险机构出具的保函的，必须为无条件保函，否则不予签订合同。</w:t>
            </w:r>
          </w:p>
          <w:p w14:paraId="481101BF">
            <w:pPr>
              <w:keepNext w:val="0"/>
              <w:keepLines w:val="0"/>
              <w:pageBreakBefore w:val="0"/>
              <w:suppressLineNumbers w:val="0"/>
              <w:kinsoku/>
              <w:topLinePunct w:val="0"/>
              <w:bidi w:val="0"/>
              <w:spacing w:before="60" w:beforeAutospacing="0" w:after="60" w:afterAutospacing="0" w:line="360" w:lineRule="auto"/>
              <w:ind w:left="0" w:right="0"/>
              <w:contextualSpacing/>
              <w:rPr>
                <w:rFonts w:hint="default" w:ascii="宋体" w:hAnsi="宋体" w:cs="宋体"/>
                <w:color w:val="auto"/>
                <w:szCs w:val="21"/>
                <w:highlight w:val="none"/>
              </w:rPr>
            </w:pPr>
            <w:r>
              <w:rPr>
                <w:rFonts w:hint="eastAsia" w:ascii="宋体" w:hAnsi="宋体" w:eastAsia="宋体" w:cs="宋体"/>
                <w:b/>
                <w:color w:val="auto"/>
                <w:szCs w:val="21"/>
                <w:highlight w:val="none"/>
              </w:rPr>
              <w:t>4</w:t>
            </w:r>
            <w:r>
              <w:rPr>
                <w:rFonts w:hint="eastAsia" w:ascii="宋体" w:hAnsi="宋体" w:cs="宋体"/>
                <w:b/>
                <w:color w:val="auto"/>
                <w:szCs w:val="21"/>
                <w:highlight w:val="none"/>
                <w:lang w:eastAsia="zh-CN"/>
              </w:rPr>
              <w:t>.</w:t>
            </w:r>
            <w:r>
              <w:rPr>
                <w:rFonts w:hint="eastAsia" w:ascii="宋体" w:hAnsi="宋体" w:eastAsia="宋体" w:cs="宋体"/>
                <w:b/>
                <w:color w:val="auto"/>
                <w:szCs w:val="21"/>
                <w:highlight w:val="none"/>
              </w:rPr>
              <w:t>供应商为联合体的，由联合体任意一方按规定提交的履约保证金，视为有效履约保证金。</w:t>
            </w:r>
          </w:p>
        </w:tc>
      </w:tr>
      <w:tr w14:paraId="01E69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574FB68">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default" w:ascii="宋体" w:hAnsi="宋体" w:cs="宋体"/>
                <w:color w:val="auto"/>
                <w:szCs w:val="21"/>
                <w:highlight w:val="none"/>
              </w:rPr>
              <w:t>29</w:t>
            </w:r>
            <w:r>
              <w:rPr>
                <w:rFonts w:hint="eastAsia" w:ascii="宋体" w:hAnsi="宋体" w:cs="宋体"/>
                <w:color w:val="auto"/>
                <w:szCs w:val="21"/>
                <w:highlight w:val="none"/>
                <w:lang w:eastAsia="zh-CN"/>
              </w:rPr>
              <w:t>.</w:t>
            </w:r>
            <w:r>
              <w:rPr>
                <w:rFonts w:hint="default" w:ascii="宋体" w:hAnsi="宋体" w:cs="宋体"/>
                <w:color w:val="auto"/>
                <w:szCs w:val="21"/>
                <w:highlight w:val="none"/>
              </w:rPr>
              <w:t>1</w:t>
            </w:r>
          </w:p>
        </w:tc>
        <w:tc>
          <w:tcPr>
            <w:tcW w:w="7912" w:type="dxa"/>
            <w:vAlign w:val="center"/>
          </w:tcPr>
          <w:p w14:paraId="79448B3F">
            <w:pPr>
              <w:keepNext w:val="0"/>
              <w:keepLines w:val="0"/>
              <w:pageBreakBefore w:val="0"/>
              <w:suppressLineNumbers w:val="0"/>
              <w:kinsoku/>
              <w:topLinePunct w:val="0"/>
              <w:autoSpaceDE w:val="0"/>
              <w:autoSpaceDN w:val="0"/>
              <w:bidi w:val="0"/>
              <w:snapToGrid w:val="0"/>
              <w:spacing w:before="60" w:beforeAutospacing="0" w:after="60" w:afterAutospacing="0" w:line="360" w:lineRule="auto"/>
              <w:ind w:left="0" w:right="0"/>
              <w:textAlignment w:val="bottom"/>
              <w:rPr>
                <w:rFonts w:hint="default" w:ascii="宋体" w:hAnsi="宋体"/>
                <w:color w:val="auto"/>
                <w:szCs w:val="21"/>
                <w:highlight w:val="none"/>
              </w:rPr>
            </w:pPr>
            <w:r>
              <w:rPr>
                <w:rFonts w:hint="eastAsia" w:ascii="宋体" w:hAnsi="宋体"/>
                <w:color w:val="auto"/>
                <w:szCs w:val="21"/>
                <w:highlight w:val="none"/>
              </w:rPr>
              <w:t xml:space="preserve">签订合同携带的证明材料： </w:t>
            </w:r>
          </w:p>
          <w:p w14:paraId="53DE0FA5">
            <w:pPr>
              <w:keepNext w:val="0"/>
              <w:keepLines w:val="0"/>
              <w:pageBreakBefore w:val="0"/>
              <w:suppressLineNumbers w:val="0"/>
              <w:kinsoku/>
              <w:topLinePunct w:val="0"/>
              <w:autoSpaceDE w:val="0"/>
              <w:autoSpaceDN w:val="0"/>
              <w:bidi w:val="0"/>
              <w:snapToGrid w:val="0"/>
              <w:spacing w:before="60" w:beforeAutospacing="0" w:after="60" w:afterAutospacing="0" w:line="360" w:lineRule="auto"/>
              <w:ind w:left="0" w:right="0"/>
              <w:textAlignment w:val="bottom"/>
              <w:rPr>
                <w:rFonts w:hint="default" w:ascii="宋体" w:hAnsi="宋体"/>
                <w:color w:val="auto"/>
                <w:szCs w:val="21"/>
                <w:highlight w:val="none"/>
              </w:rPr>
            </w:pPr>
            <w:r>
              <w:rPr>
                <w:rFonts w:hint="eastAsia" w:ascii="宋体" w:hAnsi="宋体"/>
                <w:color w:val="auto"/>
                <w:szCs w:val="21"/>
                <w:highlight w:val="none"/>
              </w:rPr>
              <w:t>委托代理人负责签订合同的，须携带授权委托书及委托代理人身份证原件等其他资格证件。</w:t>
            </w:r>
          </w:p>
          <w:p w14:paraId="7022AE58">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olor w:val="auto"/>
                <w:szCs w:val="21"/>
                <w:highlight w:val="none"/>
              </w:rPr>
              <w:t>法定代表人负责签订合同的，须携带法定代表人</w:t>
            </w:r>
            <w:r>
              <w:rPr>
                <w:rFonts w:hint="default" w:ascii="宋体" w:hAnsi="宋体"/>
                <w:color w:val="auto"/>
                <w:szCs w:val="21"/>
                <w:highlight w:val="none"/>
              </w:rPr>
              <w:t>身份证明原件</w:t>
            </w:r>
            <w:r>
              <w:rPr>
                <w:rFonts w:hint="eastAsia" w:ascii="宋体" w:hAnsi="宋体"/>
                <w:color w:val="auto"/>
                <w:szCs w:val="21"/>
                <w:highlight w:val="none"/>
              </w:rPr>
              <w:t>及</w:t>
            </w:r>
            <w:r>
              <w:rPr>
                <w:rFonts w:hint="default" w:ascii="宋体" w:hAnsi="宋体"/>
                <w:color w:val="auto"/>
                <w:szCs w:val="21"/>
                <w:highlight w:val="none"/>
              </w:rPr>
              <w:t>身份证原件</w:t>
            </w:r>
            <w:r>
              <w:rPr>
                <w:rFonts w:hint="eastAsia" w:ascii="宋体" w:hAnsi="宋体"/>
                <w:color w:val="auto"/>
                <w:szCs w:val="21"/>
                <w:highlight w:val="none"/>
              </w:rPr>
              <w:t>等其他证明材料。</w:t>
            </w:r>
          </w:p>
        </w:tc>
      </w:tr>
      <w:tr w14:paraId="22F0C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A7B13AF">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3</w:t>
            </w:r>
            <w:r>
              <w:rPr>
                <w:rFonts w:hint="default" w:ascii="宋体" w:hAnsi="宋体" w:cs="宋体"/>
                <w:color w:val="auto"/>
                <w:szCs w:val="21"/>
                <w:highlight w:val="none"/>
              </w:rPr>
              <w:t>1</w:t>
            </w:r>
            <w:r>
              <w:rPr>
                <w:rFonts w:hint="eastAsia" w:ascii="宋体" w:hAnsi="宋体" w:cs="宋体"/>
                <w:color w:val="auto"/>
                <w:szCs w:val="21"/>
                <w:highlight w:val="none"/>
                <w:lang w:eastAsia="zh-CN"/>
              </w:rPr>
              <w:t>.</w:t>
            </w:r>
            <w:r>
              <w:rPr>
                <w:rFonts w:hint="default" w:ascii="宋体" w:hAnsi="宋体" w:cs="宋体"/>
                <w:color w:val="auto"/>
                <w:szCs w:val="21"/>
                <w:highlight w:val="none"/>
              </w:rPr>
              <w:t>2</w:t>
            </w:r>
          </w:p>
        </w:tc>
        <w:tc>
          <w:tcPr>
            <w:tcW w:w="7912" w:type="dxa"/>
            <w:vAlign w:val="center"/>
          </w:tcPr>
          <w:p w14:paraId="362F6DA5">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接收质疑函方式：以书面形式。</w:t>
            </w:r>
          </w:p>
          <w:p w14:paraId="552FA72F">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olor w:val="auto"/>
                <w:szCs w:val="21"/>
                <w:highlight w:val="none"/>
              </w:rPr>
            </w:pPr>
            <w:r>
              <w:rPr>
                <w:rFonts w:hint="eastAsia" w:ascii="宋体" w:hAnsi="宋体"/>
                <w:color w:val="auto"/>
                <w:szCs w:val="21"/>
                <w:highlight w:val="none"/>
              </w:rPr>
              <w:t>质疑联系部门及联系方式：</w:t>
            </w:r>
            <w:r>
              <w:rPr>
                <w:rFonts w:hint="eastAsia" w:ascii="宋体" w:hAnsi="宋体"/>
                <w:color w:val="auto"/>
                <w:szCs w:val="21"/>
                <w:highlight w:val="none"/>
                <w:u w:val="single"/>
                <w:lang w:eastAsia="zh-CN"/>
              </w:rPr>
              <w:t>广西荣胜项目管理有限公司</w:t>
            </w:r>
            <w:r>
              <w:rPr>
                <w:rFonts w:hint="eastAsia" w:ascii="宋体" w:hAnsi="宋体"/>
                <w:color w:val="auto"/>
                <w:szCs w:val="21"/>
                <w:highlight w:val="none"/>
              </w:rPr>
              <w:t>，联系电话：</w:t>
            </w:r>
            <w:r>
              <w:rPr>
                <w:rFonts w:hint="eastAsia" w:ascii="宋体" w:hAnsi="宋体"/>
                <w:color w:val="auto"/>
                <w:szCs w:val="21"/>
                <w:highlight w:val="none"/>
                <w:lang w:eastAsia="zh-CN"/>
              </w:rPr>
              <w:t>0777-5512166</w:t>
            </w:r>
            <w:r>
              <w:rPr>
                <w:rFonts w:hint="eastAsia" w:ascii="宋体" w:hAnsi="宋体"/>
                <w:color w:val="auto"/>
                <w:szCs w:val="21"/>
                <w:highlight w:val="none"/>
              </w:rPr>
              <w:t>，通讯地址</w:t>
            </w:r>
            <w:r>
              <w:rPr>
                <w:rFonts w:hint="eastAsia" w:ascii="宋体" w:hAnsi="宋体" w:cs="Helvetica"/>
                <w:color w:val="auto"/>
                <w:szCs w:val="21"/>
                <w:highlight w:val="none"/>
              </w:rPr>
              <w:t>：</w:t>
            </w:r>
            <w:r>
              <w:rPr>
                <w:rFonts w:hint="eastAsia" w:ascii="宋体" w:hAnsi="宋体"/>
                <w:color w:val="auto"/>
                <w:szCs w:val="21"/>
                <w:highlight w:val="none"/>
                <w:lang w:eastAsia="zh-CN"/>
              </w:rPr>
              <w:t>钦州市蓬莱大道鸿亭街333号皇庭天麓湖小区183栋203室</w:t>
            </w:r>
            <w:r>
              <w:rPr>
                <w:rFonts w:hint="eastAsia" w:ascii="宋体" w:hAnsi="宋体"/>
                <w:color w:val="auto"/>
                <w:szCs w:val="21"/>
                <w:highlight w:val="none"/>
              </w:rPr>
              <w:t>。</w:t>
            </w:r>
          </w:p>
          <w:p w14:paraId="23FAD826">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olor w:val="auto"/>
                <w:szCs w:val="21"/>
                <w:highlight w:val="none"/>
              </w:rPr>
            </w:pPr>
            <w:r>
              <w:rPr>
                <w:rFonts w:hint="eastAsia" w:ascii="宋体" w:hAnsi="宋体"/>
                <w:color w:val="auto"/>
                <w:szCs w:val="21"/>
                <w:highlight w:val="none"/>
              </w:rPr>
              <w:t>业务时间：工作日每天上午</w:t>
            </w:r>
            <w:r>
              <w:rPr>
                <w:rFonts w:hint="default" w:ascii="宋体" w:hAnsi="宋体"/>
                <w:color w:val="auto"/>
                <w:szCs w:val="21"/>
                <w:highlight w:val="none"/>
              </w:rPr>
              <w:t>8</w:t>
            </w:r>
            <w:r>
              <w:rPr>
                <w:rFonts w:hint="eastAsia" w:ascii="宋体" w:hAnsi="宋体"/>
                <w:color w:val="auto"/>
                <w:szCs w:val="21"/>
                <w:highlight w:val="none"/>
              </w:rPr>
              <w:t>时3</w:t>
            </w:r>
            <w:r>
              <w:rPr>
                <w:rFonts w:hint="default" w:ascii="宋体" w:hAnsi="宋体"/>
                <w:color w:val="auto"/>
                <w:szCs w:val="21"/>
                <w:highlight w:val="none"/>
              </w:rPr>
              <w:t>0</w:t>
            </w:r>
            <w:r>
              <w:rPr>
                <w:rFonts w:hint="eastAsia" w:ascii="宋体" w:hAnsi="宋体"/>
                <w:color w:val="auto"/>
                <w:szCs w:val="21"/>
                <w:highlight w:val="none"/>
              </w:rPr>
              <w:t>分到</w:t>
            </w:r>
            <w:r>
              <w:rPr>
                <w:rFonts w:hint="default" w:ascii="宋体" w:hAnsi="宋体"/>
                <w:color w:val="auto"/>
                <w:szCs w:val="21"/>
                <w:highlight w:val="none"/>
              </w:rPr>
              <w:t>12</w:t>
            </w:r>
            <w:r>
              <w:rPr>
                <w:rFonts w:hint="eastAsia" w:ascii="宋体" w:hAnsi="宋体"/>
                <w:color w:val="auto"/>
                <w:szCs w:val="21"/>
                <w:highlight w:val="none"/>
              </w:rPr>
              <w:t>时</w:t>
            </w:r>
            <w:r>
              <w:rPr>
                <w:rFonts w:hint="default" w:ascii="宋体" w:hAnsi="宋体"/>
                <w:color w:val="auto"/>
                <w:szCs w:val="21"/>
                <w:highlight w:val="none"/>
              </w:rPr>
              <w:t>00</w:t>
            </w:r>
            <w:r>
              <w:rPr>
                <w:rFonts w:hint="eastAsia" w:ascii="宋体" w:hAnsi="宋体"/>
                <w:color w:val="auto"/>
                <w:szCs w:val="21"/>
                <w:highlight w:val="none"/>
              </w:rPr>
              <w:t>分，下午</w:t>
            </w:r>
            <w:r>
              <w:rPr>
                <w:rFonts w:hint="eastAsia" w:ascii="宋体" w:hAnsi="宋体"/>
                <w:color w:val="auto"/>
                <w:szCs w:val="21"/>
                <w:highlight w:val="none"/>
                <w:lang w:val="en-US" w:eastAsia="zh-CN"/>
              </w:rPr>
              <w:t>15</w:t>
            </w:r>
            <w:r>
              <w:rPr>
                <w:rFonts w:hint="eastAsia" w:ascii="宋体" w:hAnsi="宋体"/>
                <w:color w:val="auto"/>
                <w:szCs w:val="21"/>
                <w:highlight w:val="none"/>
              </w:rPr>
              <w:t>时</w:t>
            </w:r>
            <w:r>
              <w:rPr>
                <w:rFonts w:hint="eastAsia" w:ascii="宋体" w:hAnsi="宋体"/>
                <w:color w:val="auto"/>
                <w:szCs w:val="21"/>
                <w:highlight w:val="none"/>
                <w:lang w:val="en-US" w:eastAsia="zh-CN"/>
              </w:rPr>
              <w:t>0</w:t>
            </w:r>
            <w:r>
              <w:rPr>
                <w:rFonts w:hint="default" w:ascii="宋体" w:hAnsi="宋体"/>
                <w:color w:val="auto"/>
                <w:szCs w:val="21"/>
                <w:highlight w:val="none"/>
              </w:rPr>
              <w:t>0</w:t>
            </w:r>
            <w:r>
              <w:rPr>
                <w:rFonts w:hint="eastAsia" w:ascii="宋体" w:hAnsi="宋体"/>
                <w:color w:val="auto"/>
                <w:szCs w:val="21"/>
                <w:highlight w:val="none"/>
              </w:rPr>
              <w:t>分到1</w:t>
            </w:r>
            <w:r>
              <w:rPr>
                <w:rFonts w:hint="eastAsia" w:ascii="宋体" w:hAnsi="宋体"/>
                <w:color w:val="auto"/>
                <w:szCs w:val="21"/>
                <w:highlight w:val="none"/>
                <w:lang w:val="en-US" w:eastAsia="zh-CN"/>
              </w:rPr>
              <w:t>8</w:t>
            </w:r>
            <w:r>
              <w:rPr>
                <w:rFonts w:hint="eastAsia" w:ascii="宋体" w:hAnsi="宋体"/>
                <w:color w:val="auto"/>
                <w:szCs w:val="21"/>
                <w:highlight w:val="none"/>
              </w:rPr>
              <w:t>时</w:t>
            </w:r>
            <w:r>
              <w:rPr>
                <w:rFonts w:hint="eastAsia" w:ascii="宋体" w:hAnsi="宋体"/>
                <w:color w:val="auto"/>
                <w:szCs w:val="21"/>
                <w:highlight w:val="none"/>
                <w:lang w:val="en-US" w:eastAsia="zh-CN"/>
              </w:rPr>
              <w:t>0</w:t>
            </w:r>
            <w:r>
              <w:rPr>
                <w:rFonts w:hint="default" w:ascii="宋体" w:hAnsi="宋体"/>
                <w:color w:val="auto"/>
                <w:szCs w:val="21"/>
                <w:highlight w:val="none"/>
              </w:rPr>
              <w:t>0</w:t>
            </w:r>
            <w:r>
              <w:rPr>
                <w:rFonts w:hint="eastAsia" w:ascii="宋体" w:hAnsi="宋体"/>
                <w:color w:val="auto"/>
                <w:szCs w:val="21"/>
                <w:highlight w:val="none"/>
              </w:rPr>
              <w:t>分。</w:t>
            </w:r>
          </w:p>
        </w:tc>
      </w:tr>
      <w:tr w14:paraId="11336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7B31D0D">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default" w:ascii="宋体" w:hAnsi="宋体" w:cs="宋体"/>
                <w:color w:val="auto"/>
                <w:szCs w:val="21"/>
                <w:highlight w:val="none"/>
              </w:rPr>
              <w:t>32</w:t>
            </w:r>
            <w:r>
              <w:rPr>
                <w:rFonts w:hint="eastAsia" w:ascii="宋体" w:hAnsi="宋体" w:cs="宋体"/>
                <w:color w:val="auto"/>
                <w:szCs w:val="21"/>
                <w:highlight w:val="none"/>
                <w:lang w:eastAsia="zh-CN"/>
              </w:rPr>
              <w:t>.</w:t>
            </w:r>
            <w:r>
              <w:rPr>
                <w:rFonts w:hint="default" w:ascii="宋体" w:hAnsi="宋体" w:cs="宋体"/>
                <w:color w:val="auto"/>
                <w:szCs w:val="21"/>
                <w:highlight w:val="none"/>
              </w:rPr>
              <w:t>1</w:t>
            </w:r>
          </w:p>
        </w:tc>
        <w:tc>
          <w:tcPr>
            <w:tcW w:w="7912" w:type="dxa"/>
            <w:vAlign w:val="center"/>
          </w:tcPr>
          <w:p w14:paraId="49DE0DCE">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hAnsi="宋体" w:cs="宋体"/>
                <w:color w:val="auto"/>
                <w:highlight w:val="none"/>
              </w:rPr>
            </w:pPr>
            <w:r>
              <w:rPr>
                <w:rFonts w:hint="eastAsia" w:hAnsi="宋体" w:cs="宋体"/>
                <w:color w:val="auto"/>
                <w:highlight w:val="none"/>
              </w:rPr>
              <w:t>1</w:t>
            </w:r>
            <w:r>
              <w:rPr>
                <w:rFonts w:hint="eastAsia" w:hAnsi="宋体" w:cs="宋体"/>
                <w:color w:val="auto"/>
                <w:highlight w:val="none"/>
                <w:lang w:eastAsia="zh-CN"/>
              </w:rPr>
              <w:t>.</w:t>
            </w:r>
            <w:r>
              <w:rPr>
                <w:rFonts w:hint="eastAsia" w:hAnsi="宋体" w:cs="宋体"/>
                <w:color w:val="auto"/>
                <w:highlight w:val="none"/>
              </w:rPr>
              <w:t>采购代理费支付方式：</w:t>
            </w:r>
          </w:p>
          <w:p w14:paraId="21D04C3F">
            <w:pPr>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ascii="宋体" w:hAnsi="宋体" w:cs="宋体"/>
                <w:color w:val="auto"/>
                <w:szCs w:val="21"/>
                <w:highlight w:val="none"/>
              </w:rPr>
            </w:pPr>
            <w:r>
              <w:rPr>
                <w:rFonts w:hint="default" w:ascii="Segoe UI Symbol" w:hAnsi="Segoe UI Symbol" w:cs="Segoe UI Symbol"/>
                <w:color w:val="auto"/>
                <w:szCs w:val="21"/>
                <w:highlight w:val="none"/>
              </w:rPr>
              <w:t>☑</w:t>
            </w:r>
            <w:r>
              <w:rPr>
                <w:rFonts w:hint="eastAsia" w:ascii="宋体" w:hAnsi="宋体" w:cs="宋体"/>
                <w:color w:val="auto"/>
                <w:szCs w:val="21"/>
                <w:highlight w:val="none"/>
              </w:rPr>
              <w:t>本项目</w:t>
            </w:r>
            <w:r>
              <w:rPr>
                <w:rFonts w:hint="eastAsia" w:hAnsi="宋体" w:cs="宋体"/>
                <w:color w:val="auto"/>
                <w:highlight w:val="none"/>
              </w:rPr>
              <w:t>代理</w:t>
            </w:r>
            <w:r>
              <w:rPr>
                <w:rFonts w:hint="eastAsia" w:ascii="宋体" w:hAnsi="宋体" w:cs="宋体"/>
                <w:color w:val="auto"/>
                <w:szCs w:val="21"/>
                <w:highlight w:val="none"/>
              </w:rPr>
              <w:t>服务费由</w:t>
            </w:r>
            <w:r>
              <w:rPr>
                <w:rFonts w:hint="eastAsia" w:ascii="宋体" w:hAnsi="宋体" w:cs="宋体"/>
                <w:color w:val="auto"/>
                <w:szCs w:val="21"/>
                <w:highlight w:val="none"/>
                <w:u w:val="single"/>
              </w:rPr>
              <w:t>成交供应商</w:t>
            </w:r>
            <w:r>
              <w:rPr>
                <w:rFonts w:hint="eastAsia" w:ascii="宋体" w:hAnsi="宋体" w:cs="宋体"/>
                <w:color w:val="auto"/>
                <w:szCs w:val="21"/>
                <w:highlight w:val="none"/>
              </w:rPr>
              <w:t>领取成交通知书前，一次性向采购代理机构支付。</w:t>
            </w:r>
          </w:p>
          <w:p w14:paraId="6BA9D95E">
            <w:pPr>
              <w:pStyle w:val="16"/>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hAnsi="宋体" w:cs="宋体"/>
                <w:color w:val="auto"/>
                <w:sz w:val="21"/>
                <w:highlight w:val="none"/>
              </w:rPr>
            </w:pPr>
            <w:r>
              <w:rPr>
                <w:rFonts w:hint="eastAsia" w:hAnsi="宋体" w:cs="宋体"/>
                <w:color w:val="auto"/>
                <w:sz w:val="21"/>
                <w:highlight w:val="none"/>
              </w:rPr>
              <w:t>□采购人支付。</w:t>
            </w:r>
          </w:p>
          <w:p w14:paraId="1B29AADE">
            <w:pPr>
              <w:pStyle w:val="16"/>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hAnsi="宋体" w:cs="宋体"/>
                <w:color w:val="auto"/>
                <w:sz w:val="21"/>
                <w:highlight w:val="none"/>
              </w:rPr>
            </w:pPr>
            <w:r>
              <w:rPr>
                <w:rFonts w:hint="eastAsia" w:hAnsi="宋体" w:cs="宋体"/>
                <w:color w:val="auto"/>
                <w:sz w:val="21"/>
                <w:highlight w:val="none"/>
              </w:rPr>
              <w:t>2</w:t>
            </w:r>
            <w:r>
              <w:rPr>
                <w:rFonts w:hint="eastAsia" w:hAnsi="宋体" w:cs="宋体"/>
                <w:color w:val="auto"/>
                <w:sz w:val="21"/>
                <w:highlight w:val="none"/>
                <w:lang w:eastAsia="zh-CN"/>
              </w:rPr>
              <w:t>.</w:t>
            </w:r>
            <w:r>
              <w:rPr>
                <w:rFonts w:hint="eastAsia" w:hAnsi="宋体" w:cs="宋体"/>
                <w:color w:val="auto"/>
                <w:sz w:val="21"/>
                <w:highlight w:val="none"/>
              </w:rPr>
              <w:t>采购代理费收取标准：</w:t>
            </w:r>
          </w:p>
          <w:p w14:paraId="0DD9D1D2">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default" w:ascii="Segoe UI Symbol" w:hAnsi="Segoe UI Symbol" w:cs="Segoe UI Symbol"/>
                <w:color w:val="auto"/>
                <w:szCs w:val="21"/>
                <w:highlight w:val="none"/>
              </w:rPr>
              <w:t>☑</w:t>
            </w:r>
            <w:r>
              <w:rPr>
                <w:rFonts w:hint="default" w:ascii="Segoe UI Symbol" w:hAnsi="Segoe UI Symbol" w:cs="Segoe UI Symbol"/>
                <w:color w:val="auto"/>
                <w:szCs w:val="21"/>
                <w:highlight w:val="none"/>
                <w:lang w:val="en-US" w:eastAsia="zh-CN"/>
              </w:rPr>
              <w:t>按国家计委计价格[2002]1980号和发改办[2003]857号文规定由采购代理机构向成交供应商收取。即按成交金额100万元以下为1.</w:t>
            </w:r>
            <w:r>
              <w:rPr>
                <w:rFonts w:hint="eastAsia" w:ascii="Segoe UI Symbol" w:hAnsi="Segoe UI Symbol" w:cs="Segoe UI Symbol"/>
                <w:color w:val="auto"/>
                <w:szCs w:val="21"/>
                <w:highlight w:val="none"/>
                <w:lang w:val="en-US" w:eastAsia="zh-CN"/>
              </w:rPr>
              <w:t>5</w:t>
            </w:r>
            <w:r>
              <w:rPr>
                <w:rFonts w:hint="default" w:ascii="Segoe UI Symbol" w:hAnsi="Segoe UI Symbol" w:cs="Segoe UI Symbol"/>
                <w:color w:val="auto"/>
                <w:szCs w:val="21"/>
                <w:highlight w:val="none"/>
                <w:lang w:val="en-US" w:eastAsia="zh-CN"/>
              </w:rPr>
              <w:t>%，100-500万元为0.</w:t>
            </w:r>
            <w:r>
              <w:rPr>
                <w:rFonts w:hint="eastAsia" w:ascii="Segoe UI Symbol" w:hAnsi="Segoe UI Symbol" w:cs="Segoe UI Symbol"/>
                <w:color w:val="auto"/>
                <w:szCs w:val="21"/>
                <w:highlight w:val="none"/>
                <w:lang w:val="en-US" w:eastAsia="zh-CN"/>
              </w:rPr>
              <w:t>8</w:t>
            </w:r>
            <w:r>
              <w:rPr>
                <w:rFonts w:hint="default" w:ascii="Segoe UI Symbol" w:hAnsi="Segoe UI Symbol" w:cs="Segoe UI Symbol"/>
                <w:color w:val="auto"/>
                <w:szCs w:val="21"/>
                <w:highlight w:val="none"/>
                <w:lang w:val="en-US" w:eastAsia="zh-CN"/>
              </w:rPr>
              <w:t>%，并且按差额定率累进法计算</w:t>
            </w:r>
            <w:r>
              <w:rPr>
                <w:rFonts w:hint="eastAsia" w:ascii="宋体" w:hAnsi="宋体" w:cs="宋体"/>
                <w:color w:val="auto"/>
                <w:szCs w:val="21"/>
                <w:highlight w:val="none"/>
              </w:rPr>
              <w:t>。</w:t>
            </w:r>
          </w:p>
          <w:p w14:paraId="35AE3001">
            <w:pPr>
              <w:pStyle w:val="16"/>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hAnsi="宋体" w:cs="宋体"/>
                <w:color w:val="auto"/>
                <w:sz w:val="21"/>
                <w:highlight w:val="none"/>
                <w:u w:val="single"/>
              </w:rPr>
            </w:pPr>
            <w:r>
              <w:rPr>
                <w:rFonts w:hint="eastAsia" w:hAnsi="宋体" w:cs="宋体"/>
                <w:color w:val="auto"/>
                <w:sz w:val="21"/>
                <w:highlight w:val="none"/>
              </w:rPr>
              <w:t>□固定采购代理收费</w:t>
            </w:r>
            <w:r>
              <w:rPr>
                <w:rFonts w:hint="eastAsia" w:hAnsi="宋体" w:cs="宋体"/>
                <w:color w:val="auto"/>
                <w:sz w:val="21"/>
                <w:highlight w:val="none"/>
                <w:u w:val="single"/>
              </w:rPr>
              <w:t xml:space="preserve">              。</w:t>
            </w:r>
          </w:p>
          <w:p w14:paraId="0F66A735">
            <w:pPr>
              <w:pStyle w:val="16"/>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hAnsi="宋体" w:cs="宋体"/>
                <w:color w:val="auto"/>
                <w:sz w:val="21"/>
                <w:highlight w:val="none"/>
              </w:rPr>
            </w:pPr>
            <w:r>
              <w:rPr>
                <w:rFonts w:hint="eastAsia" w:hAnsi="宋体" w:cs="宋体"/>
                <w:color w:val="auto"/>
                <w:sz w:val="21"/>
                <w:highlight w:val="none"/>
              </w:rPr>
              <w:t>3</w:t>
            </w:r>
            <w:r>
              <w:rPr>
                <w:rFonts w:hint="eastAsia" w:hAnsi="宋体" w:cs="宋体"/>
                <w:color w:val="auto"/>
                <w:sz w:val="21"/>
                <w:highlight w:val="none"/>
                <w:lang w:eastAsia="zh-CN"/>
              </w:rPr>
              <w:t>.</w:t>
            </w:r>
            <w:r>
              <w:rPr>
                <w:rFonts w:hint="eastAsia" w:hAnsi="宋体" w:cs="宋体"/>
                <w:color w:val="auto"/>
                <w:sz w:val="21"/>
                <w:highlight w:val="none"/>
              </w:rPr>
              <w:t xml:space="preserve"> 采购代理费收取银行账户</w:t>
            </w:r>
          </w:p>
          <w:p w14:paraId="4E0A183B">
            <w:pPr>
              <w:pStyle w:val="16"/>
              <w:keepNext w:val="0"/>
              <w:keepLines w:val="0"/>
              <w:pageBreakBefore w:val="0"/>
              <w:suppressLineNumbers w:val="0"/>
              <w:kinsoku/>
              <w:topLinePunct w:val="0"/>
              <w:bidi w:val="0"/>
              <w:snapToGrid w:val="0"/>
              <w:spacing w:before="60" w:beforeAutospacing="0" w:after="60" w:afterAutospacing="0" w:line="360" w:lineRule="auto"/>
              <w:ind w:left="0" w:right="0"/>
              <w:rPr>
                <w:rFonts w:hint="eastAsia" w:hAnsi="宋体" w:eastAsia="宋体"/>
                <w:color w:val="auto"/>
                <w:sz w:val="21"/>
                <w:highlight w:val="none"/>
                <w:lang w:eastAsia="zh-CN"/>
              </w:rPr>
            </w:pPr>
            <w:r>
              <w:rPr>
                <w:rFonts w:hint="eastAsia" w:hAnsi="宋体"/>
                <w:color w:val="auto"/>
                <w:sz w:val="21"/>
                <w:highlight w:val="none"/>
              </w:rPr>
              <w:t>开户名称：</w:t>
            </w:r>
            <w:r>
              <w:rPr>
                <w:rFonts w:hint="eastAsia" w:hAnsi="宋体" w:cs="宋体"/>
                <w:color w:val="auto"/>
                <w:spacing w:val="0"/>
                <w:position w:val="0"/>
                <w:sz w:val="21"/>
                <w:highlight w:val="none"/>
                <w:lang w:val="en-US" w:eastAsia="zh-CN"/>
              </w:rPr>
              <w:t>广西荣胜项目管理有限公司防城港分公司</w:t>
            </w:r>
          </w:p>
          <w:p w14:paraId="335B3758">
            <w:pPr>
              <w:pStyle w:val="16"/>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hAnsi="宋体"/>
                <w:color w:val="auto"/>
                <w:sz w:val="21"/>
                <w:highlight w:val="none"/>
              </w:rPr>
            </w:pPr>
            <w:r>
              <w:rPr>
                <w:rFonts w:hint="eastAsia" w:hAnsi="宋体"/>
                <w:color w:val="auto"/>
                <w:sz w:val="21"/>
                <w:highlight w:val="none"/>
              </w:rPr>
              <w:t>开户银行：</w:t>
            </w:r>
            <w:r>
              <w:rPr>
                <w:rFonts w:hint="eastAsia" w:hAnsi="宋体" w:cs="宋体"/>
                <w:color w:val="auto"/>
                <w:spacing w:val="0"/>
                <w:position w:val="0"/>
                <w:sz w:val="21"/>
                <w:highlight w:val="none"/>
                <w:lang w:val="en-US" w:eastAsia="zh-CN"/>
              </w:rPr>
              <w:t>中国农业银行股份有限公司防城港友谊支行</w:t>
            </w:r>
          </w:p>
          <w:p w14:paraId="78D712C2">
            <w:pPr>
              <w:pStyle w:val="16"/>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hAnsi="宋体" w:cs="宋体"/>
                <w:color w:val="auto"/>
                <w:highlight w:val="none"/>
              </w:rPr>
            </w:pPr>
            <w:r>
              <w:rPr>
                <w:rFonts w:hint="eastAsia" w:hAnsi="宋体"/>
                <w:color w:val="auto"/>
                <w:sz w:val="21"/>
                <w:highlight w:val="none"/>
              </w:rPr>
              <w:t>银行账号：</w:t>
            </w:r>
            <w:r>
              <w:rPr>
                <w:rFonts w:hint="eastAsia" w:hAnsi="宋体" w:cs="宋体"/>
                <w:color w:val="auto"/>
                <w:spacing w:val="0"/>
                <w:position w:val="0"/>
                <w:sz w:val="21"/>
                <w:highlight w:val="none"/>
                <w:lang w:val="en-US" w:eastAsia="zh-CN"/>
              </w:rPr>
              <w:t>20769401040013220</w:t>
            </w:r>
          </w:p>
        </w:tc>
      </w:tr>
      <w:tr w14:paraId="61001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7AE98B9">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3</w:t>
            </w:r>
            <w:r>
              <w:rPr>
                <w:rFonts w:hint="default" w:ascii="宋体" w:hAnsi="宋体" w:cs="宋体"/>
                <w:color w:val="auto"/>
                <w:szCs w:val="21"/>
                <w:highlight w:val="none"/>
              </w:rPr>
              <w:t>3</w:t>
            </w:r>
            <w:r>
              <w:rPr>
                <w:rFonts w:hint="eastAsia" w:ascii="宋体" w:hAnsi="宋体" w:cs="宋体"/>
                <w:color w:val="auto"/>
                <w:szCs w:val="21"/>
                <w:highlight w:val="none"/>
                <w:lang w:eastAsia="zh-CN"/>
              </w:rPr>
              <w:t>.</w:t>
            </w:r>
            <w:r>
              <w:rPr>
                <w:rFonts w:hint="default" w:ascii="宋体" w:hAnsi="宋体" w:cs="宋体"/>
                <w:color w:val="auto"/>
                <w:szCs w:val="21"/>
                <w:highlight w:val="none"/>
              </w:rPr>
              <w:t>1</w:t>
            </w:r>
          </w:p>
        </w:tc>
        <w:tc>
          <w:tcPr>
            <w:tcW w:w="7912" w:type="dxa"/>
            <w:vAlign w:val="center"/>
          </w:tcPr>
          <w:p w14:paraId="13DD9FF1">
            <w:pPr>
              <w:pStyle w:val="16"/>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hAnsi="宋体" w:cs="宋体"/>
                <w:color w:val="auto"/>
                <w:kern w:val="2"/>
                <w:sz w:val="21"/>
                <w:highlight w:val="none"/>
              </w:rPr>
            </w:pPr>
            <w:r>
              <w:rPr>
                <w:rFonts w:hint="eastAsia" w:hAnsi="宋体"/>
                <w:color w:val="auto"/>
                <w:sz w:val="21"/>
                <w:highlight w:val="none"/>
              </w:rPr>
              <w:t>解释：</w:t>
            </w:r>
            <w:r>
              <w:rPr>
                <w:rFonts w:hint="default" w:hAnsi="宋体"/>
                <w:color w:val="auto"/>
                <w:sz w:val="21"/>
                <w:highlight w:val="none"/>
              </w:rPr>
              <w:t>构成本</w:t>
            </w:r>
            <w:r>
              <w:rPr>
                <w:rFonts w:hint="eastAsia" w:hAnsi="宋体"/>
                <w:color w:val="auto"/>
                <w:sz w:val="21"/>
                <w:highlight w:val="none"/>
              </w:rPr>
              <w:t>磋商文件</w:t>
            </w:r>
            <w:r>
              <w:rPr>
                <w:rFonts w:hint="default" w:hAnsi="宋体"/>
                <w:color w:val="auto"/>
                <w:sz w:val="21"/>
                <w:highlight w:val="none"/>
              </w:rPr>
              <w:t>的各个组成文件应互为解释，互为说明；除</w:t>
            </w:r>
            <w:r>
              <w:rPr>
                <w:rFonts w:hint="eastAsia" w:hAnsi="宋体"/>
                <w:color w:val="auto"/>
                <w:sz w:val="21"/>
                <w:highlight w:val="none"/>
              </w:rPr>
              <w:t>磋商文件</w:t>
            </w:r>
            <w:r>
              <w:rPr>
                <w:rFonts w:hint="default" w:hAnsi="宋体"/>
                <w:color w:val="auto"/>
                <w:sz w:val="21"/>
                <w:highlight w:val="none"/>
              </w:rPr>
              <w:t>中有特别规定外，仅适用于</w:t>
            </w:r>
            <w:r>
              <w:rPr>
                <w:rFonts w:hint="eastAsia" w:hAnsi="宋体"/>
                <w:color w:val="auto"/>
                <w:sz w:val="21"/>
                <w:highlight w:val="none"/>
              </w:rPr>
              <w:t>竞标</w:t>
            </w:r>
            <w:r>
              <w:rPr>
                <w:rFonts w:hint="default" w:hAnsi="宋体"/>
                <w:color w:val="auto"/>
                <w:sz w:val="21"/>
                <w:highlight w:val="none"/>
              </w:rPr>
              <w:t>阶段的规定，按</w:t>
            </w:r>
            <w:r>
              <w:rPr>
                <w:rFonts w:hint="eastAsia" w:hAnsi="宋体"/>
                <w:color w:val="auto"/>
                <w:sz w:val="21"/>
                <w:highlight w:val="none"/>
              </w:rPr>
              <w:t>更正公告（澄清公告）</w:t>
            </w:r>
            <w:r>
              <w:rPr>
                <w:rFonts w:hint="default" w:hAnsi="宋体"/>
                <w:color w:val="auto"/>
                <w:sz w:val="21"/>
                <w:highlight w:val="none"/>
              </w:rPr>
              <w:t>、</w:t>
            </w:r>
            <w:r>
              <w:rPr>
                <w:rFonts w:hint="eastAsia" w:hAnsi="宋体"/>
                <w:color w:val="auto"/>
                <w:sz w:val="21"/>
                <w:highlight w:val="none"/>
              </w:rPr>
              <w:t>竞争性磋商</w:t>
            </w:r>
            <w:r>
              <w:rPr>
                <w:rFonts w:hint="default" w:hAnsi="宋体"/>
                <w:color w:val="auto"/>
                <w:sz w:val="21"/>
                <w:highlight w:val="none"/>
              </w:rPr>
              <w:t>公告、</w:t>
            </w:r>
            <w:r>
              <w:rPr>
                <w:rFonts w:hint="eastAsia" w:hAnsi="宋体"/>
                <w:color w:val="auto"/>
                <w:sz w:val="21"/>
                <w:highlight w:val="none"/>
              </w:rPr>
              <w:t>供应商</w:t>
            </w:r>
            <w:r>
              <w:rPr>
                <w:rFonts w:hint="default" w:hAnsi="宋体"/>
                <w:color w:val="auto"/>
                <w:sz w:val="21"/>
                <w:highlight w:val="none"/>
              </w:rPr>
              <w:t>须知</w:t>
            </w:r>
            <w:r>
              <w:rPr>
                <w:rFonts w:hint="eastAsia" w:hAnsi="宋体"/>
                <w:color w:val="auto"/>
                <w:sz w:val="21"/>
                <w:highlight w:val="none"/>
              </w:rPr>
              <w:t>、采购需求</w:t>
            </w:r>
            <w:r>
              <w:rPr>
                <w:rFonts w:hint="default" w:hAnsi="宋体"/>
                <w:color w:val="auto"/>
                <w:sz w:val="21"/>
                <w:highlight w:val="none"/>
              </w:rPr>
              <w:t>、</w:t>
            </w:r>
            <w:r>
              <w:rPr>
                <w:rFonts w:hint="eastAsia" w:hAnsi="宋体"/>
                <w:color w:val="auto"/>
                <w:sz w:val="21"/>
                <w:highlight w:val="none"/>
              </w:rPr>
              <w:t>评审程序、评审方法和评审标准</w:t>
            </w:r>
            <w:r>
              <w:rPr>
                <w:rFonts w:hint="default" w:hAnsi="宋体"/>
                <w:color w:val="auto"/>
                <w:sz w:val="21"/>
                <w:highlight w:val="none"/>
              </w:rPr>
              <w:t>、</w:t>
            </w:r>
            <w:r>
              <w:rPr>
                <w:rFonts w:hint="eastAsia" w:hAnsi="宋体"/>
                <w:color w:val="auto"/>
                <w:sz w:val="21"/>
                <w:highlight w:val="none"/>
              </w:rPr>
              <w:t>响应</w:t>
            </w:r>
            <w:r>
              <w:rPr>
                <w:rFonts w:hint="default" w:hAnsi="宋体"/>
                <w:color w:val="auto"/>
                <w:sz w:val="21"/>
                <w:highlight w:val="none"/>
              </w:rPr>
              <w:t>文件格式</w:t>
            </w:r>
            <w:r>
              <w:rPr>
                <w:rFonts w:hint="eastAsia" w:hAnsi="宋体"/>
                <w:color w:val="auto"/>
                <w:sz w:val="21"/>
                <w:highlight w:val="none"/>
              </w:rPr>
              <w:t>、合同文本</w:t>
            </w:r>
            <w:r>
              <w:rPr>
                <w:rFonts w:hint="default" w:hAnsi="宋体"/>
                <w:color w:val="auto"/>
                <w:sz w:val="21"/>
                <w:highlight w:val="none"/>
              </w:rPr>
              <w:t>的先后顺序解释；同一组成文件中就同一事项的规定或者约定不一致的，以编排顺序在后者为准；同一组成文件不同版本之间有不一致的，以形成时间在后者为准；</w:t>
            </w:r>
            <w:r>
              <w:rPr>
                <w:rFonts w:hint="eastAsia" w:hAnsi="宋体"/>
                <w:color w:val="auto"/>
                <w:sz w:val="21"/>
                <w:highlight w:val="none"/>
              </w:rPr>
              <w:t>更正公告（澄清公告）</w:t>
            </w:r>
            <w:r>
              <w:rPr>
                <w:rFonts w:hint="default" w:hAnsi="宋体"/>
                <w:color w:val="auto"/>
                <w:sz w:val="21"/>
                <w:highlight w:val="none"/>
              </w:rPr>
              <w:t>与同步更新的</w:t>
            </w:r>
            <w:r>
              <w:rPr>
                <w:rFonts w:hint="eastAsia" w:hAnsi="宋体"/>
                <w:color w:val="auto"/>
                <w:sz w:val="21"/>
                <w:highlight w:val="none"/>
              </w:rPr>
              <w:t>磋商文件</w:t>
            </w:r>
            <w:r>
              <w:rPr>
                <w:rFonts w:hint="default" w:hAnsi="宋体"/>
                <w:color w:val="auto"/>
                <w:sz w:val="21"/>
                <w:highlight w:val="none"/>
              </w:rPr>
              <w:t>不一致时以</w:t>
            </w:r>
            <w:r>
              <w:rPr>
                <w:rFonts w:hint="eastAsia" w:hAnsi="宋体"/>
                <w:color w:val="auto"/>
                <w:sz w:val="21"/>
                <w:highlight w:val="none"/>
              </w:rPr>
              <w:t>更正公告（澄清公告）</w:t>
            </w:r>
            <w:r>
              <w:rPr>
                <w:rFonts w:hint="default" w:hAnsi="宋体"/>
                <w:color w:val="auto"/>
                <w:sz w:val="21"/>
                <w:highlight w:val="none"/>
              </w:rPr>
              <w:t>为准。按本款前述规定仍不能形成结论的，由</w:t>
            </w:r>
            <w:r>
              <w:rPr>
                <w:rFonts w:hint="eastAsia" w:hAnsi="宋体"/>
                <w:color w:val="auto"/>
                <w:sz w:val="21"/>
                <w:highlight w:val="none"/>
              </w:rPr>
              <w:t>采购</w:t>
            </w:r>
            <w:r>
              <w:rPr>
                <w:rFonts w:hint="default" w:hAnsi="宋体"/>
                <w:color w:val="auto"/>
                <w:sz w:val="21"/>
                <w:highlight w:val="none"/>
              </w:rPr>
              <w:t>人</w:t>
            </w:r>
            <w:r>
              <w:rPr>
                <w:rFonts w:hint="eastAsia" w:hAnsi="宋体"/>
                <w:color w:val="auto"/>
                <w:sz w:val="21"/>
                <w:highlight w:val="none"/>
              </w:rPr>
              <w:t>或者采购代理机构</w:t>
            </w:r>
            <w:r>
              <w:rPr>
                <w:rFonts w:hint="default" w:hAnsi="宋体"/>
                <w:color w:val="auto"/>
                <w:sz w:val="21"/>
                <w:highlight w:val="none"/>
              </w:rPr>
              <w:t>负责解释。</w:t>
            </w:r>
          </w:p>
        </w:tc>
      </w:tr>
      <w:tr w14:paraId="57AF8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82DBE36">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3</w:t>
            </w:r>
            <w:r>
              <w:rPr>
                <w:rFonts w:hint="default" w:ascii="宋体" w:hAnsi="宋体" w:cs="宋体"/>
                <w:color w:val="auto"/>
                <w:szCs w:val="21"/>
                <w:highlight w:val="none"/>
              </w:rPr>
              <w:t>3</w:t>
            </w:r>
            <w:r>
              <w:rPr>
                <w:rFonts w:hint="eastAsia" w:ascii="宋体" w:hAnsi="宋体" w:cs="宋体"/>
                <w:color w:val="auto"/>
                <w:szCs w:val="21"/>
                <w:highlight w:val="none"/>
                <w:lang w:eastAsia="zh-CN"/>
              </w:rPr>
              <w:t>.</w:t>
            </w:r>
            <w:r>
              <w:rPr>
                <w:rFonts w:hint="default" w:ascii="宋体" w:hAnsi="宋体" w:cs="宋体"/>
                <w:color w:val="auto"/>
                <w:szCs w:val="21"/>
                <w:highlight w:val="none"/>
              </w:rPr>
              <w:t>2</w:t>
            </w:r>
          </w:p>
        </w:tc>
        <w:tc>
          <w:tcPr>
            <w:tcW w:w="7912" w:type="dxa"/>
            <w:vAlign w:val="center"/>
          </w:tcPr>
          <w:p w14:paraId="6853EAE3">
            <w:pPr>
              <w:pStyle w:val="16"/>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hAnsi="宋体" w:cs="宋体"/>
                <w:color w:val="auto"/>
                <w:sz w:val="21"/>
                <w:highlight w:val="none"/>
              </w:rPr>
            </w:pPr>
            <w:r>
              <w:rPr>
                <w:rFonts w:hint="eastAsia" w:hAnsi="宋体" w:cs="宋体"/>
                <w:color w:val="auto"/>
                <w:sz w:val="21"/>
                <w:highlight w:val="none"/>
              </w:rPr>
              <w:t>1</w:t>
            </w:r>
            <w:r>
              <w:rPr>
                <w:rFonts w:hint="eastAsia" w:hAnsi="宋体" w:cs="宋体"/>
                <w:color w:val="auto"/>
                <w:sz w:val="21"/>
                <w:highlight w:val="none"/>
                <w:lang w:eastAsia="zh-CN"/>
              </w:rPr>
              <w:t>.</w:t>
            </w:r>
            <w:r>
              <w:rPr>
                <w:rFonts w:hint="eastAsia" w:hAnsi="宋体" w:cs="宋体"/>
                <w:color w:val="auto"/>
                <w:sz w:val="21"/>
                <w:highlight w:val="none"/>
              </w:rPr>
              <w:t>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7C299779">
            <w:pPr>
              <w:pStyle w:val="16"/>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hAnsi="宋体" w:cs="宋体"/>
                <w:color w:val="auto"/>
                <w:sz w:val="21"/>
                <w:highlight w:val="none"/>
              </w:rPr>
            </w:pPr>
            <w:r>
              <w:rPr>
                <w:rFonts w:hint="eastAsia" w:hAnsi="宋体" w:cs="宋体"/>
                <w:bCs/>
                <w:color w:val="auto"/>
                <w:sz w:val="21"/>
                <w:highlight w:val="none"/>
              </w:rPr>
              <w:t>2</w:t>
            </w:r>
            <w:r>
              <w:rPr>
                <w:rFonts w:hint="eastAsia" w:hAnsi="宋体" w:cs="宋体"/>
                <w:bCs/>
                <w:color w:val="auto"/>
                <w:sz w:val="21"/>
                <w:highlight w:val="none"/>
                <w:lang w:eastAsia="zh-CN"/>
              </w:rPr>
              <w:t>.</w:t>
            </w:r>
            <w:r>
              <w:rPr>
                <w:rFonts w:hint="eastAsia" w:hAnsi="宋体" w:cs="宋体"/>
                <w:bCs/>
                <w:color w:val="auto"/>
                <w:sz w:val="21"/>
                <w:highlight w:val="none"/>
              </w:rPr>
              <w:t>本磋商文件所称的“</w:t>
            </w:r>
            <w:r>
              <w:rPr>
                <w:rFonts w:hint="eastAsia" w:hAnsi="宋体"/>
                <w:color w:val="auto"/>
                <w:sz w:val="21"/>
                <w:highlight w:val="none"/>
              </w:rPr>
              <w:t>电子签章</w:t>
            </w:r>
            <w:r>
              <w:rPr>
                <w:rFonts w:hint="eastAsia" w:hAnsi="宋体" w:cs="宋体"/>
                <w:bCs/>
                <w:color w:val="auto"/>
                <w:sz w:val="21"/>
                <w:highlight w:val="none"/>
              </w:rPr>
              <w:t>”、“电子签名”</w:t>
            </w:r>
            <w:r>
              <w:rPr>
                <w:rFonts w:hint="eastAsia" w:hAnsi="宋体"/>
                <w:color w:val="auto"/>
                <w:sz w:val="21"/>
                <w:highlight w:val="none"/>
              </w:rPr>
              <w:t>，是指经“广西政府采购云平台”认可的CA认证的电子签名数据为表现形式的印章，可用于签署电子响应文件，电子印章与实物印章具有同等法律效力，不因其采用电子化表现形式而否定其法律效力。</w:t>
            </w:r>
          </w:p>
          <w:p w14:paraId="4DCC49D1">
            <w:pPr>
              <w:pStyle w:val="16"/>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hAnsi="宋体" w:cs="宋体"/>
                <w:bCs/>
                <w:color w:val="auto"/>
                <w:sz w:val="21"/>
                <w:highlight w:val="none"/>
              </w:rPr>
            </w:pPr>
            <w:r>
              <w:rPr>
                <w:rFonts w:hint="default" w:hAnsi="宋体" w:cs="宋体"/>
                <w:color w:val="auto"/>
                <w:sz w:val="21"/>
                <w:highlight w:val="none"/>
              </w:rPr>
              <w:t>3</w:t>
            </w:r>
            <w:r>
              <w:rPr>
                <w:rFonts w:hint="eastAsia" w:hAnsi="宋体" w:cs="宋体"/>
                <w:color w:val="auto"/>
                <w:sz w:val="21"/>
                <w:highlight w:val="none"/>
                <w:lang w:eastAsia="zh-CN"/>
              </w:rPr>
              <w:t>.</w:t>
            </w:r>
            <w:r>
              <w:rPr>
                <w:rFonts w:hint="eastAsia" w:hAnsi="宋体" w:cs="宋体"/>
                <w:color w:val="auto"/>
                <w:sz w:val="21"/>
                <w:highlight w:val="none"/>
              </w:rPr>
              <w:t>供应商为其他组织或者自然人时，本磋商文件规定的法定代表人指负责人或者自然人。本磋商文件所称负责人是指参加竞标的其他组织</w:t>
            </w:r>
            <w:r>
              <w:rPr>
                <w:rFonts w:hint="eastAsia" w:hAnsi="宋体" w:cs="宋体"/>
                <w:bCs/>
                <w:color w:val="auto"/>
                <w:sz w:val="21"/>
                <w:highlight w:val="none"/>
              </w:rPr>
              <w:t>营业执照或者执业许可证等证照上的</w:t>
            </w:r>
            <w:r>
              <w:rPr>
                <w:rFonts w:hint="eastAsia" w:hAnsi="宋体" w:cs="宋体"/>
                <w:color w:val="auto"/>
                <w:sz w:val="21"/>
                <w:highlight w:val="none"/>
              </w:rPr>
              <w:t>负责人，本磋商文件所称自然人指参与竞标的自然人本人，</w:t>
            </w:r>
            <w:r>
              <w:rPr>
                <w:rFonts w:hint="eastAsia" w:hAnsi="宋体" w:cs="宋体"/>
                <w:bCs/>
                <w:color w:val="auto"/>
                <w:sz w:val="21"/>
                <w:highlight w:val="none"/>
              </w:rPr>
              <w:t>且应具备独立承担民事责任能力，自然人应当为年满18岁以上成年人（十六周岁以上的未成年人，以自己的劳动收入为主要生活来源的，视为完全民事行为能力人）。</w:t>
            </w:r>
          </w:p>
          <w:p w14:paraId="4F1B0B15">
            <w:pPr>
              <w:pStyle w:val="16"/>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hAnsi="宋体" w:cs="宋体"/>
                <w:color w:val="auto"/>
                <w:sz w:val="21"/>
                <w:highlight w:val="none"/>
              </w:rPr>
            </w:pPr>
            <w:r>
              <w:rPr>
                <w:rFonts w:hint="default" w:hAnsi="宋体" w:cs="宋体"/>
                <w:color w:val="auto"/>
                <w:sz w:val="21"/>
                <w:highlight w:val="none"/>
              </w:rPr>
              <w:t>4</w:t>
            </w:r>
            <w:r>
              <w:rPr>
                <w:rFonts w:hint="eastAsia" w:hAnsi="宋体" w:cs="宋体"/>
                <w:color w:val="auto"/>
                <w:sz w:val="21"/>
                <w:highlight w:val="none"/>
                <w:lang w:eastAsia="zh-CN"/>
              </w:rPr>
              <w:t>.</w:t>
            </w:r>
            <w:r>
              <w:rPr>
                <w:rFonts w:hint="eastAsia" w:hAnsi="宋体" w:cs="宋体"/>
                <w:color w:val="auto"/>
                <w:sz w:val="21"/>
                <w:highlight w:val="none"/>
              </w:rPr>
              <w:t>本磋商文件中描述供应商的“签字”是指供应商的法定代表人或者委托代理人亲自在文件规定签署处亲笔写上个人的名字的行为，私章、签字章、印鉴、影印等其他形式均不能代替亲笔签字。</w:t>
            </w:r>
          </w:p>
          <w:p w14:paraId="0497F8CC">
            <w:pPr>
              <w:pStyle w:val="16"/>
              <w:keepNext w:val="0"/>
              <w:keepLines w:val="0"/>
              <w:pageBreakBefore w:val="0"/>
              <w:suppressLineNumbers w:val="0"/>
              <w:kinsoku/>
              <w:topLinePunct w:val="0"/>
              <w:bidi w:val="0"/>
              <w:snapToGrid w:val="0"/>
              <w:spacing w:before="60" w:beforeAutospacing="0" w:after="60" w:afterAutospacing="0" w:line="360" w:lineRule="auto"/>
              <w:ind w:left="0" w:right="0"/>
              <w:rPr>
                <w:rFonts w:hint="default" w:hAnsi="宋体" w:cs="宋体"/>
                <w:color w:val="auto"/>
                <w:sz w:val="21"/>
                <w:highlight w:val="none"/>
              </w:rPr>
            </w:pPr>
            <w:r>
              <w:rPr>
                <w:rFonts w:hint="eastAsia" w:hAnsi="宋体" w:cs="宋体"/>
                <w:color w:val="auto"/>
                <w:sz w:val="21"/>
                <w:highlight w:val="none"/>
              </w:rPr>
              <w:t>5</w:t>
            </w:r>
            <w:r>
              <w:rPr>
                <w:rFonts w:hint="eastAsia" w:hAnsi="宋体" w:cs="宋体"/>
                <w:color w:val="auto"/>
                <w:sz w:val="21"/>
                <w:highlight w:val="none"/>
                <w:lang w:eastAsia="zh-CN"/>
              </w:rPr>
              <w:t>.</w:t>
            </w:r>
            <w:r>
              <w:rPr>
                <w:rFonts w:hint="eastAsia" w:hAnsi="宋体" w:cs="宋体"/>
                <w:color w:val="auto"/>
                <w:sz w:val="21"/>
                <w:highlight w:val="none"/>
              </w:rPr>
              <w:t>本磋商文件所称的“以上”“以下”“以内”“届满”，包括本数；所称的“不满”“超过”“以外”，不包括本数。</w:t>
            </w:r>
          </w:p>
        </w:tc>
      </w:tr>
    </w:tbl>
    <w:p w14:paraId="1B49BB1C">
      <w:pPr>
        <w:pageBreakBefore w:val="0"/>
        <w:kinsoku/>
        <w:topLinePunct w:val="0"/>
        <w:bidi w:val="0"/>
        <w:spacing w:before="60" w:after="60" w:line="360" w:lineRule="auto"/>
        <w:jc w:val="center"/>
        <w:rPr>
          <w:rFonts w:ascii="宋体" w:hAnsi="宋体"/>
          <w:b/>
          <w:color w:val="auto"/>
          <w:sz w:val="32"/>
          <w:szCs w:val="32"/>
          <w:highlight w:val="none"/>
        </w:rPr>
      </w:pPr>
      <w:r>
        <w:rPr>
          <w:rFonts w:ascii="宋体" w:hAnsi="宋体"/>
          <w:b/>
          <w:color w:val="auto"/>
          <w:sz w:val="32"/>
          <w:szCs w:val="32"/>
          <w:highlight w:val="none"/>
        </w:rPr>
        <w:br w:type="page"/>
      </w:r>
      <w:r>
        <w:rPr>
          <w:rFonts w:hint="eastAsia" w:ascii="宋体" w:hAnsi="宋体"/>
          <w:b/>
          <w:color w:val="auto"/>
          <w:sz w:val="32"/>
          <w:szCs w:val="32"/>
          <w:highlight w:val="none"/>
        </w:rPr>
        <w:t>供应商须知正文</w:t>
      </w:r>
    </w:p>
    <w:p w14:paraId="2DABD0DA">
      <w:pPr>
        <w:pageBreakBefore w:val="0"/>
        <w:kinsoku/>
        <w:topLinePunct w:val="0"/>
        <w:bidi w:val="0"/>
        <w:spacing w:before="60" w:after="60" w:line="360" w:lineRule="auto"/>
        <w:jc w:val="center"/>
        <w:rPr>
          <w:rFonts w:ascii="宋体" w:hAnsi="宋体"/>
          <w:b/>
          <w:color w:val="auto"/>
          <w:sz w:val="32"/>
          <w:szCs w:val="32"/>
          <w:highlight w:val="none"/>
        </w:rPr>
      </w:pPr>
    </w:p>
    <w:p w14:paraId="7263FD30">
      <w:pPr>
        <w:pageBreakBefore w:val="0"/>
        <w:kinsoku/>
        <w:topLinePunct w:val="0"/>
        <w:bidi w:val="0"/>
        <w:spacing w:before="60" w:after="60" w:line="360" w:lineRule="auto"/>
        <w:jc w:val="center"/>
        <w:rPr>
          <w:rFonts w:ascii="宋体" w:hAnsi="宋体"/>
          <w:b/>
          <w:color w:val="auto"/>
          <w:sz w:val="32"/>
          <w:szCs w:val="32"/>
          <w:highlight w:val="none"/>
        </w:rPr>
      </w:pPr>
      <w:r>
        <w:rPr>
          <w:rFonts w:hint="eastAsia" w:ascii="宋体" w:hAnsi="宋体"/>
          <w:b/>
          <w:color w:val="auto"/>
          <w:sz w:val="32"/>
          <w:szCs w:val="32"/>
          <w:highlight w:val="none"/>
        </w:rPr>
        <w:t>一、总则</w:t>
      </w:r>
    </w:p>
    <w:p w14:paraId="476BCC89">
      <w:pPr>
        <w:pageBreakBefore w:val="0"/>
        <w:kinsoku/>
        <w:topLinePunct w:val="0"/>
        <w:bidi w:val="0"/>
        <w:spacing w:before="60" w:after="60" w:line="360" w:lineRule="auto"/>
        <w:rPr>
          <w:rFonts w:ascii="宋体" w:hAnsi="宋体"/>
          <w:color w:val="auto"/>
          <w:szCs w:val="21"/>
          <w:highlight w:val="none"/>
        </w:rPr>
      </w:pPr>
    </w:p>
    <w:p w14:paraId="429B83A0">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适用范围</w:t>
      </w:r>
    </w:p>
    <w:p w14:paraId="43157C9D">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1本项目采购人、采购代理机构、供应商、磋商小组的相关行为均受《中华人民共和国政府采购法》《中华人民共和国政府采购法实施条例》</w:t>
      </w:r>
      <w:r>
        <w:rPr>
          <w:rFonts w:hint="eastAsia" w:ascii="宋体" w:hAnsi="宋体"/>
          <w:color w:val="auto"/>
          <w:szCs w:val="21"/>
          <w:highlight w:val="none"/>
        </w:rPr>
        <w:t>《政府采购竞争性磋商采购方式管理暂行办法》《财政部关于政府采购竞争性磋商采购方式管理暂行办法有关问题的补充通知》</w:t>
      </w:r>
      <w:r>
        <w:rPr>
          <w:rFonts w:hint="eastAsia" w:ascii="宋体" w:hAnsi="宋体" w:cs="宋体"/>
          <w:color w:val="auto"/>
          <w:szCs w:val="21"/>
          <w:highlight w:val="none"/>
        </w:rPr>
        <w:t>及本项目本级和上级财政部门政府采购有关规定的约束和保护。</w:t>
      </w:r>
    </w:p>
    <w:p w14:paraId="7252BB82">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2</w:t>
      </w:r>
      <w:r>
        <w:rPr>
          <w:rFonts w:hint="eastAsia" w:ascii="宋体" w:hAnsi="宋体" w:cs="宋体"/>
          <w:color w:val="auto"/>
          <w:spacing w:val="-6"/>
          <w:szCs w:val="21"/>
          <w:highlight w:val="none"/>
        </w:rPr>
        <w:t>本竞争性磋商文件（以下简称磋商文件）适用于本项目的所有采购程序和环节（法律、法规另有规定的，从其规定）。</w:t>
      </w:r>
    </w:p>
    <w:p w14:paraId="7BC3E7D3">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定义</w:t>
      </w:r>
    </w:p>
    <w:p w14:paraId="1626024E">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1“采购人”是指依法进行政府采购的国家机关、事业单位、团体组织。</w:t>
      </w:r>
    </w:p>
    <w:p w14:paraId="71CE48DD">
      <w:pPr>
        <w:pageBreakBefore w:val="0"/>
        <w:kinsoku/>
        <w:topLinePunct w:val="0"/>
        <w:bidi w:val="0"/>
        <w:spacing w:before="60" w:after="60"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2“采购代理机构”是指政府采购集中采购机构和集中采购机构以外的采购代理机构。</w:t>
      </w:r>
    </w:p>
    <w:p w14:paraId="6B8FE938">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3“供应商”是指向采购人提供货物、工程或者服务的法人、其他组织或者自然人。</w:t>
      </w:r>
    </w:p>
    <w:p w14:paraId="5EBB2254">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eastAsia="zh-CN"/>
        </w:rPr>
        <w:t>.</w:t>
      </w:r>
      <w:r>
        <w:rPr>
          <w:rFonts w:hint="eastAsia" w:ascii="宋体" w:hAnsi="宋体"/>
          <w:color w:val="auto"/>
          <w:szCs w:val="21"/>
          <w:highlight w:val="none"/>
        </w:rPr>
        <w:t>4“服务”是指除货物和工程以外的其他政府采购对象。</w:t>
      </w:r>
    </w:p>
    <w:p w14:paraId="5B4F94F4">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ascii="宋体" w:hAnsi="宋体" w:cs="宋体"/>
          <w:color w:val="auto"/>
          <w:szCs w:val="21"/>
          <w:highlight w:val="none"/>
        </w:rPr>
        <w:t>5</w:t>
      </w:r>
      <w:r>
        <w:rPr>
          <w:rFonts w:hint="eastAsia" w:ascii="宋体" w:hAnsi="宋体" w:cs="宋体"/>
          <w:color w:val="auto"/>
          <w:szCs w:val="21"/>
          <w:highlight w:val="none"/>
        </w:rPr>
        <w:t>“竞标”是指供应商按照本项目竞争性磋商公告规定的方式获取磋商文件、提交响应文件并希望获得标的的行为。</w:t>
      </w:r>
    </w:p>
    <w:p w14:paraId="06E23E22">
      <w:pPr>
        <w:pageBreakBefore w:val="0"/>
        <w:kinsoku/>
        <w:topLinePunct w:val="0"/>
        <w:bidi w:val="0"/>
        <w:spacing w:before="60" w:after="60"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6“书面形式”是指合同书、信件和数据电文（包括电报、电传、传真、电子数据交换和电子邮件）等可以有形地表现所载内容的形式。</w:t>
      </w:r>
    </w:p>
    <w:p w14:paraId="2ACB26B6">
      <w:pPr>
        <w:pageBreakBefore w:val="0"/>
        <w:kinsoku/>
        <w:topLinePunct w:val="0"/>
        <w:bidi w:val="0"/>
        <w:spacing w:before="60" w:after="60"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7“响应文件”</w:t>
      </w:r>
      <w:r>
        <w:rPr>
          <w:rFonts w:hint="eastAsia" w:ascii="宋体" w:hAnsi="宋体" w:cs="宋体"/>
          <w:color w:val="auto"/>
          <w:spacing w:val="-6"/>
          <w:szCs w:val="21"/>
          <w:highlight w:val="none"/>
        </w:rPr>
        <w:t>是指：供应商根据本磋商文件要求，编制包含资格证明、报价、商务技术等所有内容的文件。</w:t>
      </w:r>
    </w:p>
    <w:p w14:paraId="75593960">
      <w:pPr>
        <w:pageBreakBefore w:val="0"/>
        <w:kinsoku/>
        <w:topLinePunct w:val="0"/>
        <w:bidi w:val="0"/>
        <w:spacing w:before="60" w:after="60"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8“实质性要求”是指磋商文件中已经指明不满足则响应文件按无效响应处理的条款，或者不能负偏离的条款，或者采购需求中带“▲”的条款。</w:t>
      </w:r>
    </w:p>
    <w:p w14:paraId="613C45A5">
      <w:pPr>
        <w:pageBreakBefore w:val="0"/>
        <w:kinsoku/>
        <w:topLinePunct w:val="0"/>
        <w:bidi w:val="0"/>
        <w:spacing w:before="60" w:after="60"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9“正偏离”，是指响应文件对磋商文件“采购需求”中有关条款作出的响应优于条款要求并有利于采购人的情形。</w:t>
      </w:r>
    </w:p>
    <w:p w14:paraId="2BB0BED2">
      <w:pPr>
        <w:pageBreakBefore w:val="0"/>
        <w:kinsoku/>
        <w:topLinePunct w:val="0"/>
        <w:bidi w:val="0"/>
        <w:spacing w:before="60" w:after="60" w:line="360" w:lineRule="auto"/>
        <w:ind w:firstLine="420" w:firstLineChars="200"/>
        <w:contextualSpacing/>
        <w:rPr>
          <w:rFonts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10“负偏离”，是指响应文件对磋商文件“采购需求”中有关条款作出的响应不满足条款要求，导致采购人要求不能得到满足的情形。</w:t>
      </w:r>
    </w:p>
    <w:p w14:paraId="6C914B10">
      <w:pPr>
        <w:pageBreakBefore w:val="0"/>
        <w:kinsoku/>
        <w:topLinePunct w:val="0"/>
        <w:bidi w:val="0"/>
        <w:spacing w:before="60" w:after="60"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11“允许负偏离的条款”是指采购需求中的不属于“实质性要求”的条款。</w:t>
      </w:r>
    </w:p>
    <w:p w14:paraId="2C2B2859">
      <w:pPr>
        <w:pageBreakBefore w:val="0"/>
        <w:kinsoku/>
        <w:topLinePunct w:val="0"/>
        <w:bidi w:val="0"/>
        <w:spacing w:before="60" w:after="60"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ascii="宋体" w:hAnsi="宋体" w:cs="宋体"/>
          <w:color w:val="auto"/>
          <w:szCs w:val="21"/>
          <w:highlight w:val="none"/>
        </w:rPr>
        <w:t>1</w:t>
      </w:r>
      <w:r>
        <w:rPr>
          <w:rFonts w:hint="eastAsia" w:ascii="宋体" w:hAnsi="宋体" w:cs="宋体"/>
          <w:color w:val="auto"/>
          <w:szCs w:val="21"/>
          <w:highlight w:val="none"/>
        </w:rPr>
        <w:t>2“首次报价”是指供应商提交的首次响应文件中的报价。</w:t>
      </w:r>
    </w:p>
    <w:p w14:paraId="36E7E158">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供应商的资格条件</w:t>
      </w:r>
    </w:p>
    <w:p w14:paraId="1C6968C1">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53D3C3B9">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4</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竞标费用</w:t>
      </w:r>
    </w:p>
    <w:p w14:paraId="6437BD5E">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供应商应承担参与本次采购活动有关的所有费用，包括但不限于获取磋商文件、</w:t>
      </w:r>
      <w:r>
        <w:rPr>
          <w:rFonts w:hint="eastAsia" w:ascii="宋体" w:hAnsi="宋体" w:cs="宋体"/>
          <w:color w:val="auto"/>
          <w:szCs w:val="21"/>
          <w:highlight w:val="none"/>
          <w:lang w:eastAsia="zh-CN"/>
        </w:rPr>
        <w:t>勘查</w:t>
      </w:r>
      <w:r>
        <w:rPr>
          <w:rFonts w:hint="eastAsia" w:ascii="宋体" w:hAnsi="宋体" w:cs="宋体"/>
          <w:color w:val="auto"/>
          <w:szCs w:val="21"/>
          <w:highlight w:val="none"/>
        </w:rPr>
        <w:t>现场、编制和提交响应文件、参加磋商与应答、签订合同等，不论竞标结果如何，均应自行承担。</w:t>
      </w:r>
    </w:p>
    <w:p w14:paraId="080CAD0E">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5</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联合体竞标</w:t>
      </w:r>
    </w:p>
    <w:p w14:paraId="25AE455C">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eastAsia="zh-CN"/>
        </w:rPr>
        <w:t>.</w:t>
      </w:r>
      <w:r>
        <w:rPr>
          <w:rFonts w:hint="eastAsia" w:ascii="宋体" w:hAnsi="宋体" w:cs="宋体"/>
          <w:color w:val="auto"/>
          <w:szCs w:val="21"/>
          <w:highlight w:val="none"/>
        </w:rPr>
        <w:t>1本项目是否接受联合体竞标，详见“供应商须知前附表”。</w:t>
      </w:r>
    </w:p>
    <w:p w14:paraId="1A45B89B">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eastAsia="zh-CN"/>
        </w:rPr>
        <w:t>.</w:t>
      </w:r>
      <w:r>
        <w:rPr>
          <w:rFonts w:hint="eastAsia" w:ascii="宋体" w:hAnsi="宋体" w:cs="宋体"/>
          <w:color w:val="auto"/>
          <w:szCs w:val="21"/>
          <w:highlight w:val="none"/>
        </w:rPr>
        <w:t>2</w:t>
      </w:r>
      <w:r>
        <w:rPr>
          <w:rFonts w:hint="eastAsia" w:ascii="宋体" w:hAnsi="宋体"/>
          <w:color w:val="auto"/>
          <w:highlight w:val="none"/>
        </w:rPr>
        <w:t>如接受联合体竞标，</w:t>
      </w:r>
      <w:r>
        <w:rPr>
          <w:rFonts w:hint="eastAsia" w:ascii="宋体" w:hAnsi="宋体" w:cs="宋体"/>
          <w:color w:val="auto"/>
          <w:szCs w:val="21"/>
          <w:highlight w:val="none"/>
        </w:rPr>
        <w:t>联合体竞标要求详见“供应商须知前附表”。</w:t>
      </w:r>
    </w:p>
    <w:p w14:paraId="19C38499">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eastAsia="zh-CN"/>
        </w:rPr>
        <w:t>.</w:t>
      </w:r>
      <w:r>
        <w:rPr>
          <w:rFonts w:hint="eastAsia" w:ascii="宋体" w:hAnsi="宋体" w:cs="宋体"/>
          <w:color w:val="auto"/>
          <w:szCs w:val="21"/>
          <w:highlight w:val="none"/>
        </w:rPr>
        <w:t>3</w:t>
      </w:r>
      <w:bookmarkStart w:id="62" w:name="_Hlk66782192"/>
      <w:r>
        <w:rPr>
          <w:rFonts w:hint="eastAsia" w:ascii="宋体" w:hAnsi="宋体"/>
          <w:color w:val="auto"/>
          <w:szCs w:val="21"/>
          <w:highlight w:val="none"/>
        </w:rPr>
        <w:t>根据《政府采购促进中小企业发展管理办法》（财库〔2020〕46号）和《广西壮族自治区财政厅关于进一步发挥政府采购政策功能促进企业发展的通知》（桂财采〔2022〕30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bookmarkEnd w:id="62"/>
    </w:p>
    <w:p w14:paraId="1004941B">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6</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 xml:space="preserve">转包与分包             </w:t>
      </w:r>
    </w:p>
    <w:p w14:paraId="28FC2D70">
      <w:pPr>
        <w:pageBreakBefore w:val="0"/>
        <w:kinsoku/>
        <w:topLinePunct w:val="0"/>
        <w:bidi w:val="0"/>
        <w:spacing w:before="60" w:after="60" w:line="360" w:lineRule="auto"/>
        <w:ind w:firstLine="420" w:firstLineChars="200"/>
        <w:rPr>
          <w:rFonts w:ascii="宋体" w:hAnsi="宋体" w:cs="宋体"/>
          <w:color w:val="auto"/>
          <w:szCs w:val="21"/>
          <w:highlight w:val="none"/>
        </w:rPr>
      </w:pPr>
      <w:bookmarkStart w:id="63" w:name="_Toc254970532"/>
      <w:bookmarkStart w:id="64" w:name="_Toc254970673"/>
      <w:r>
        <w:rPr>
          <w:rFonts w:hint="eastAsia" w:ascii="宋体" w:hAnsi="宋体" w:cs="宋体"/>
          <w:color w:val="auto"/>
          <w:szCs w:val="21"/>
          <w:highlight w:val="none"/>
        </w:rPr>
        <w:t>6</w:t>
      </w:r>
      <w:r>
        <w:rPr>
          <w:rFonts w:hint="eastAsia" w:ascii="宋体" w:hAnsi="宋体" w:cs="宋体"/>
          <w:color w:val="auto"/>
          <w:szCs w:val="21"/>
          <w:highlight w:val="none"/>
          <w:lang w:eastAsia="zh-CN"/>
        </w:rPr>
        <w:t>.</w:t>
      </w:r>
      <w:r>
        <w:rPr>
          <w:rFonts w:hint="eastAsia" w:ascii="宋体" w:hAnsi="宋体" w:cs="宋体"/>
          <w:color w:val="auto"/>
          <w:szCs w:val="21"/>
          <w:highlight w:val="none"/>
        </w:rPr>
        <w:t>1本项目不允许转包。</w:t>
      </w:r>
    </w:p>
    <w:p w14:paraId="72AA9199">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 6</w:t>
      </w:r>
      <w:r>
        <w:rPr>
          <w:rFonts w:hint="eastAsia" w:ascii="宋体" w:hAnsi="宋体" w:cs="宋体"/>
          <w:color w:val="auto"/>
          <w:szCs w:val="21"/>
          <w:highlight w:val="none"/>
          <w:lang w:eastAsia="zh-CN"/>
        </w:rPr>
        <w:t>.</w:t>
      </w:r>
      <w:r>
        <w:rPr>
          <w:rFonts w:hint="eastAsia" w:ascii="宋体" w:hAnsi="宋体" w:cs="宋体"/>
          <w:color w:val="auto"/>
          <w:szCs w:val="21"/>
          <w:highlight w:val="none"/>
        </w:rPr>
        <w:t>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37A73547">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 6</w:t>
      </w:r>
      <w:r>
        <w:rPr>
          <w:rFonts w:hint="eastAsia" w:ascii="宋体" w:hAnsi="宋体" w:cs="宋体"/>
          <w:color w:val="auto"/>
          <w:szCs w:val="21"/>
          <w:highlight w:val="none"/>
          <w:lang w:eastAsia="zh-CN"/>
        </w:rPr>
        <w:t>.</w:t>
      </w:r>
      <w:r>
        <w:rPr>
          <w:rFonts w:hint="eastAsia" w:ascii="宋体" w:hAnsi="宋体" w:cs="宋体"/>
          <w:color w:val="auto"/>
          <w:szCs w:val="21"/>
          <w:highlight w:val="none"/>
        </w:rPr>
        <w:t>3供应商根据磋商文件的规定和采购项目的实际情况，拟在成交后将成交项目的非主体、非关键性工作分包的，应当在响应文件中载明分包承担主体，分包承担主体应当具备相应资质条件且不得再次分包。</w:t>
      </w:r>
    </w:p>
    <w:p w14:paraId="2E519ADE">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7</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特别说明</w:t>
      </w:r>
      <w:bookmarkEnd w:id="63"/>
      <w:bookmarkEnd w:id="64"/>
    </w:p>
    <w:p w14:paraId="6744CE8C">
      <w:pPr>
        <w:pageBreakBefore w:val="0"/>
        <w:kinsoku/>
        <w:topLinePunct w:val="0"/>
        <w:bidi w:val="0"/>
        <w:spacing w:before="60" w:after="60" w:line="360" w:lineRule="auto"/>
        <w:ind w:firstLine="420" w:firstLineChars="200"/>
        <w:rPr>
          <w:rFonts w:ascii="宋体" w:hAnsi="宋体" w:cs="宋体"/>
          <w:color w:val="auto"/>
          <w:szCs w:val="21"/>
          <w:highlight w:val="none"/>
        </w:rPr>
      </w:pPr>
      <w:bookmarkStart w:id="65" w:name="_8.1提供相同品牌产品且通过资格审查、符合性审查的不同投标人参加同一合"/>
      <w:bookmarkEnd w:id="65"/>
      <w:r>
        <w:rPr>
          <w:rFonts w:hint="eastAsia" w:ascii="宋体" w:hAnsi="宋体" w:cs="宋体"/>
          <w:color w:val="auto"/>
          <w:szCs w:val="21"/>
          <w:highlight w:val="none"/>
        </w:rPr>
        <w:t>7</w:t>
      </w:r>
      <w:r>
        <w:rPr>
          <w:rFonts w:hint="eastAsia" w:ascii="宋体" w:hAnsi="宋体" w:cs="宋体"/>
          <w:color w:val="auto"/>
          <w:szCs w:val="21"/>
          <w:highlight w:val="none"/>
          <w:lang w:eastAsia="zh-CN"/>
        </w:rPr>
        <w:t>.</w:t>
      </w:r>
      <w:r>
        <w:rPr>
          <w:rFonts w:ascii="宋体" w:hAnsi="宋体" w:cs="宋体"/>
          <w:color w:val="auto"/>
          <w:szCs w:val="21"/>
          <w:highlight w:val="none"/>
        </w:rPr>
        <w:t>1</w:t>
      </w:r>
      <w:bookmarkStart w:id="66" w:name="_Hlk65832145"/>
      <w:r>
        <w:rPr>
          <w:rFonts w:hint="eastAsia" w:ascii="宋体" w:hAnsi="宋体"/>
          <w:color w:val="auto"/>
          <w:szCs w:val="21"/>
          <w:highlight w:val="none"/>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color w:val="auto"/>
          <w:szCs w:val="21"/>
          <w:highlight w:val="none"/>
        </w:rPr>
        <w:t>。</w:t>
      </w:r>
    </w:p>
    <w:bookmarkEnd w:id="66"/>
    <w:p w14:paraId="1785F524">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eastAsia="zh-CN"/>
        </w:rPr>
        <w:t>.</w:t>
      </w:r>
      <w:r>
        <w:rPr>
          <w:rFonts w:ascii="宋体" w:hAnsi="宋体" w:cs="宋体"/>
          <w:color w:val="auto"/>
          <w:szCs w:val="21"/>
          <w:highlight w:val="none"/>
        </w:rPr>
        <w:t>2</w:t>
      </w:r>
      <w:r>
        <w:rPr>
          <w:rFonts w:hint="eastAsia" w:ascii="宋体" w:hAnsi="宋体" w:cs="宋体"/>
          <w:color w:val="auto"/>
          <w:szCs w:val="21"/>
          <w:highlight w:val="none"/>
        </w:rPr>
        <w:t>供应商应仔细阅读磋商文件的所有内容，按照磋商文件的要求提交响应文件，并对所提供的全部资料的真实性承担法律责任。</w:t>
      </w:r>
    </w:p>
    <w:p w14:paraId="168FA3DE">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eastAsia="zh-CN"/>
        </w:rPr>
        <w:t>.</w:t>
      </w:r>
      <w:r>
        <w:rPr>
          <w:rFonts w:ascii="宋体" w:hAnsi="宋体" w:cs="宋体"/>
          <w:color w:val="auto"/>
          <w:szCs w:val="21"/>
          <w:highlight w:val="none"/>
        </w:rPr>
        <w:t>3</w:t>
      </w:r>
      <w:r>
        <w:rPr>
          <w:rFonts w:hint="eastAsia" w:ascii="宋体" w:hAnsi="宋体" w:cs="宋体"/>
          <w:color w:val="auto"/>
          <w:szCs w:val="21"/>
          <w:highlight w:val="none"/>
        </w:rPr>
        <w:t>供应商在竞标活动中提供任何疑似虚假材料，将报监管部门查处；签订合同后发现的，成交供应商须依法赔偿采购人，且民事赔偿并不免除违法供应商的行政与刑事责任。</w:t>
      </w:r>
    </w:p>
    <w:p w14:paraId="3D7EEB5F">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eastAsia="zh-CN"/>
        </w:rPr>
        <w:t>.</w:t>
      </w:r>
      <w:r>
        <w:rPr>
          <w:rFonts w:ascii="宋体" w:hAnsi="宋体" w:cs="宋体"/>
          <w:color w:val="auto"/>
          <w:szCs w:val="21"/>
          <w:highlight w:val="none"/>
        </w:rPr>
        <w:t>4</w:t>
      </w:r>
      <w:r>
        <w:rPr>
          <w:rFonts w:hint="eastAsia" w:ascii="宋体" w:hAnsi="宋体" w:cs="宋体"/>
          <w:color w:val="auto"/>
          <w:szCs w:val="21"/>
          <w:highlight w:val="none"/>
        </w:rPr>
        <w:t>在政府采购活动中，采购人员及相关人员与供应商有下列利害关系之一的，应当回避：</w:t>
      </w:r>
    </w:p>
    <w:p w14:paraId="18B1B469">
      <w:pPr>
        <w:pageBreakBefore w:val="0"/>
        <w:kinsoku/>
        <w:topLinePunct w:val="0"/>
        <w:bidi w:val="0"/>
        <w:spacing w:before="60" w:after="6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66D53BE0">
      <w:pPr>
        <w:pageBreakBefore w:val="0"/>
        <w:kinsoku/>
        <w:topLinePunct w:val="0"/>
        <w:bidi w:val="0"/>
        <w:spacing w:before="60" w:after="6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2EE3C6C0">
      <w:pPr>
        <w:pageBreakBefore w:val="0"/>
        <w:kinsoku/>
        <w:topLinePunct w:val="0"/>
        <w:bidi w:val="0"/>
        <w:spacing w:before="60" w:after="6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0835417E">
      <w:pPr>
        <w:pageBreakBefore w:val="0"/>
        <w:kinsoku/>
        <w:topLinePunct w:val="0"/>
        <w:bidi w:val="0"/>
        <w:spacing w:before="60" w:after="6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69D55D6F">
      <w:pPr>
        <w:pageBreakBefore w:val="0"/>
        <w:kinsoku/>
        <w:topLinePunct w:val="0"/>
        <w:bidi w:val="0"/>
        <w:spacing w:before="60" w:after="6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2A43B56B">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C1D7166">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eastAsia="zh-CN"/>
        </w:rPr>
        <w:t>.</w:t>
      </w:r>
      <w:r>
        <w:rPr>
          <w:rFonts w:ascii="宋体" w:hAnsi="宋体" w:cs="宋体"/>
          <w:color w:val="auto"/>
          <w:szCs w:val="21"/>
          <w:highlight w:val="none"/>
        </w:rPr>
        <w:t>5</w:t>
      </w:r>
      <w:r>
        <w:rPr>
          <w:rFonts w:hint="eastAsia" w:ascii="宋体" w:hAnsi="宋体" w:cs="宋体"/>
          <w:color w:val="auto"/>
          <w:szCs w:val="21"/>
          <w:highlight w:val="none"/>
        </w:rPr>
        <w:t>有下列情形之一的视为供应商相互串通竞标，响应文件将被视为无效：</w:t>
      </w:r>
    </w:p>
    <w:p w14:paraId="128D3CB9">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（1）不同供应商的响应文件由同一单位或者个人编制； </w:t>
      </w:r>
    </w:p>
    <w:p w14:paraId="503B6F47">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1713D7BB">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12E9D1EF">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61A78A0B">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0FF961B2">
      <w:pPr>
        <w:pageBreakBefore w:val="0"/>
        <w:tabs>
          <w:tab w:val="left" w:pos="6931"/>
        </w:tabs>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r>
        <w:rPr>
          <w:rFonts w:ascii="宋体" w:hAnsi="宋体" w:cs="宋体"/>
          <w:color w:val="auto"/>
          <w:szCs w:val="21"/>
          <w:highlight w:val="none"/>
        </w:rPr>
        <w:tab/>
      </w:r>
    </w:p>
    <w:p w14:paraId="5A19BFAE">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eastAsia="zh-CN"/>
        </w:rPr>
        <w:t>.</w:t>
      </w:r>
      <w:r>
        <w:rPr>
          <w:rFonts w:ascii="宋体" w:hAnsi="宋体" w:cs="宋体"/>
          <w:color w:val="auto"/>
          <w:szCs w:val="21"/>
          <w:highlight w:val="none"/>
        </w:rPr>
        <w:t>6</w:t>
      </w:r>
      <w:r>
        <w:rPr>
          <w:rFonts w:hint="eastAsia" w:ascii="宋体" w:hAnsi="宋体" w:cs="宋体"/>
          <w:color w:val="auto"/>
          <w:szCs w:val="21"/>
          <w:highlight w:val="none"/>
        </w:rPr>
        <w:t>供应商有下列情形之一的，属于恶意串通行为，将报同级监督管理部门：</w:t>
      </w:r>
    </w:p>
    <w:p w14:paraId="149AAF74">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77CA0634">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2D435548">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4276724B">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03A7AEFF">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732B7F6B">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5A1C2CB9">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527402B6">
      <w:pPr>
        <w:pageBreakBefore w:val="0"/>
        <w:kinsoku/>
        <w:topLinePunct w:val="0"/>
        <w:bidi w:val="0"/>
        <w:spacing w:before="60" w:after="60" w:line="360" w:lineRule="auto"/>
        <w:ind w:firstLine="420" w:firstLineChars="200"/>
        <w:rPr>
          <w:rFonts w:ascii="宋体" w:hAnsi="宋体" w:cs="宋体"/>
          <w:color w:val="auto"/>
          <w:szCs w:val="21"/>
          <w:highlight w:val="none"/>
        </w:rPr>
      </w:pPr>
    </w:p>
    <w:p w14:paraId="3894928A">
      <w:pPr>
        <w:pageBreakBefore w:val="0"/>
        <w:kinsoku/>
        <w:topLinePunct w:val="0"/>
        <w:bidi w:val="0"/>
        <w:spacing w:before="60" w:after="60" w:line="360" w:lineRule="auto"/>
        <w:ind w:left="1" w:firstLine="417" w:firstLineChars="199"/>
        <w:jc w:val="center"/>
        <w:rPr>
          <w:rFonts w:ascii="宋体" w:hAnsi="宋体"/>
          <w:color w:val="auto"/>
          <w:highlight w:val="none"/>
        </w:rPr>
      </w:pPr>
      <w:bookmarkStart w:id="67" w:name="_Toc254970675"/>
      <w:bookmarkStart w:id="68" w:name="_Toc254970534"/>
    </w:p>
    <w:p w14:paraId="5A9BD30F">
      <w:pPr>
        <w:pageBreakBefore w:val="0"/>
        <w:kinsoku/>
        <w:topLinePunct w:val="0"/>
        <w:bidi w:val="0"/>
        <w:spacing w:before="60" w:after="60"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二、磋商文件</w:t>
      </w:r>
      <w:bookmarkEnd w:id="67"/>
      <w:bookmarkEnd w:id="68"/>
    </w:p>
    <w:p w14:paraId="6A3A4ABF">
      <w:pPr>
        <w:pageBreakBefore w:val="0"/>
        <w:kinsoku/>
        <w:topLinePunct w:val="0"/>
        <w:bidi w:val="0"/>
        <w:spacing w:before="60" w:after="60" w:line="360" w:lineRule="auto"/>
        <w:rPr>
          <w:rFonts w:ascii="宋体" w:hAnsi="宋体"/>
          <w:color w:val="auto"/>
          <w:szCs w:val="21"/>
          <w:highlight w:val="none"/>
        </w:rPr>
      </w:pPr>
    </w:p>
    <w:p w14:paraId="4404480D">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8</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磋商文件的构成</w:t>
      </w:r>
    </w:p>
    <w:p w14:paraId="2458C0F2">
      <w:pPr>
        <w:pageBreakBefore w:val="0"/>
        <w:kinsoku/>
        <w:topLinePunct w:val="0"/>
        <w:bidi w:val="0"/>
        <w:spacing w:before="60" w:after="6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（1）竞争性磋商公告/竞标邀请函；</w:t>
      </w:r>
    </w:p>
    <w:p w14:paraId="59981F50">
      <w:pPr>
        <w:pageBreakBefore w:val="0"/>
        <w:kinsoku/>
        <w:topLinePunct w:val="0"/>
        <w:bidi w:val="0"/>
        <w:spacing w:before="60" w:after="6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 xml:space="preserve">（2）供应商须知； </w:t>
      </w:r>
    </w:p>
    <w:p w14:paraId="01E12456">
      <w:pPr>
        <w:pageBreakBefore w:val="0"/>
        <w:kinsoku/>
        <w:topLinePunct w:val="0"/>
        <w:bidi w:val="0"/>
        <w:spacing w:before="60" w:after="6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（3）采购需求；</w:t>
      </w:r>
    </w:p>
    <w:p w14:paraId="2262124B">
      <w:pPr>
        <w:pageBreakBefore w:val="0"/>
        <w:kinsoku/>
        <w:topLinePunct w:val="0"/>
        <w:bidi w:val="0"/>
        <w:spacing w:before="60" w:after="6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（4）评审程序、评审方法和评审标准；</w:t>
      </w:r>
    </w:p>
    <w:p w14:paraId="6D945ED4">
      <w:pPr>
        <w:pageBreakBefore w:val="0"/>
        <w:kinsoku/>
        <w:topLinePunct w:val="0"/>
        <w:bidi w:val="0"/>
        <w:spacing w:before="60" w:after="6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（5）响应文件格式；</w:t>
      </w:r>
    </w:p>
    <w:p w14:paraId="004D1CCB">
      <w:pPr>
        <w:pageBreakBefore w:val="0"/>
        <w:kinsoku/>
        <w:topLinePunct w:val="0"/>
        <w:bidi w:val="0"/>
        <w:spacing w:before="60" w:after="6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（6）合同文本。</w:t>
      </w:r>
    </w:p>
    <w:p w14:paraId="27070393">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9</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供应商的询问</w:t>
      </w:r>
    </w:p>
    <w:p w14:paraId="5D4810F5">
      <w:pPr>
        <w:pageBreakBefore w:val="0"/>
        <w:kinsoku/>
        <w:topLinePunct w:val="0"/>
        <w:bidi w:val="0"/>
        <w:spacing w:before="60" w:after="60" w:line="360" w:lineRule="auto"/>
        <w:ind w:firstLine="420" w:firstLineChars="200"/>
        <w:rPr>
          <w:rFonts w:ascii="宋体" w:hAnsi="宋体"/>
          <w:color w:val="auto"/>
          <w:szCs w:val="21"/>
          <w:highlight w:val="none"/>
        </w:rPr>
      </w:pPr>
      <w:r>
        <w:rPr>
          <w:rFonts w:hint="eastAsia" w:ascii="宋体" w:hAnsi="宋体"/>
          <w:color w:val="auto"/>
          <w:szCs w:val="21"/>
          <w:highlight w:val="none"/>
        </w:rPr>
        <w:t>供应商应认真阅读磋商文件的采购需求，如供应商对磋商文件有疑问的，如要求采购人作出澄清或者修改的，供应商尽可能在</w:t>
      </w:r>
      <w:r>
        <w:rPr>
          <w:rFonts w:ascii="宋体" w:hAnsi="宋体"/>
          <w:color w:val="auto"/>
          <w:szCs w:val="21"/>
          <w:highlight w:val="none"/>
        </w:rPr>
        <w:t>提交首次响应文件截止之日前</w:t>
      </w:r>
      <w:r>
        <w:rPr>
          <w:rFonts w:hint="eastAsia" w:ascii="宋体" w:hAnsi="宋体"/>
          <w:color w:val="auto"/>
          <w:szCs w:val="21"/>
          <w:highlight w:val="none"/>
        </w:rPr>
        <w:t>，以书面形式向</w:t>
      </w:r>
      <w:r>
        <w:rPr>
          <w:rFonts w:ascii="宋体" w:hAnsi="宋体"/>
          <w:color w:val="auto"/>
          <w:szCs w:val="21"/>
          <w:highlight w:val="none"/>
        </w:rPr>
        <w:t>采购人、采购代理机构</w:t>
      </w:r>
      <w:r>
        <w:rPr>
          <w:rFonts w:hint="eastAsia" w:ascii="宋体" w:hAnsi="宋体"/>
          <w:color w:val="auto"/>
          <w:szCs w:val="21"/>
          <w:highlight w:val="none"/>
        </w:rPr>
        <w:t>提出。</w:t>
      </w:r>
    </w:p>
    <w:p w14:paraId="78D3B5B4">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10</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磋商文件的澄清和修改</w:t>
      </w:r>
    </w:p>
    <w:p w14:paraId="585A57B8">
      <w:pPr>
        <w:pageBreakBefore w:val="0"/>
        <w:kinsoku/>
        <w:topLinePunct w:val="0"/>
        <w:bidi w:val="0"/>
        <w:spacing w:before="60" w:after="60" w:line="360" w:lineRule="auto"/>
        <w:ind w:firstLine="420" w:firstLineChars="200"/>
        <w:rPr>
          <w:rFonts w:ascii="宋体" w:hAnsi="宋体"/>
          <w:color w:val="auto"/>
          <w:szCs w:val="21"/>
          <w:highlight w:val="none"/>
        </w:rPr>
      </w:pPr>
      <w:r>
        <w:rPr>
          <w:rFonts w:ascii="宋体" w:hAnsi="宋体"/>
          <w:color w:val="auto"/>
          <w:szCs w:val="21"/>
          <w:highlight w:val="none"/>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w:t>
      </w:r>
      <w:r>
        <w:rPr>
          <w:rFonts w:hint="eastAsia" w:ascii="宋体" w:hAnsi="宋体"/>
          <w:color w:val="auto"/>
          <w:szCs w:val="21"/>
          <w:highlight w:val="none"/>
        </w:rPr>
        <w:t>5日</w:t>
      </w:r>
      <w:r>
        <w:rPr>
          <w:rFonts w:ascii="宋体" w:hAnsi="宋体"/>
          <w:color w:val="auto"/>
          <w:szCs w:val="21"/>
          <w:highlight w:val="none"/>
        </w:rPr>
        <w:t>前，以书面形式通知所有</w:t>
      </w:r>
      <w:r>
        <w:rPr>
          <w:rFonts w:hint="eastAsia" w:ascii="宋体" w:hAnsi="宋体"/>
          <w:color w:val="auto"/>
          <w:szCs w:val="21"/>
          <w:highlight w:val="none"/>
        </w:rPr>
        <w:t>获取</w:t>
      </w:r>
      <w:r>
        <w:rPr>
          <w:rFonts w:ascii="宋体" w:hAnsi="宋体"/>
          <w:color w:val="auto"/>
          <w:szCs w:val="21"/>
          <w:highlight w:val="none"/>
        </w:rPr>
        <w:t>磋商文件的供应商，不足</w:t>
      </w:r>
      <w:r>
        <w:rPr>
          <w:rFonts w:hint="eastAsia" w:ascii="宋体" w:hAnsi="宋体"/>
          <w:color w:val="auto"/>
          <w:szCs w:val="21"/>
          <w:highlight w:val="none"/>
        </w:rPr>
        <w:t>5日</w:t>
      </w:r>
      <w:r>
        <w:rPr>
          <w:rFonts w:ascii="宋体" w:hAnsi="宋体"/>
          <w:color w:val="auto"/>
          <w:szCs w:val="21"/>
          <w:highlight w:val="none"/>
        </w:rPr>
        <w:t>的，应当顺延提交首次响应文件截止之日。</w:t>
      </w:r>
    </w:p>
    <w:p w14:paraId="0C069D39">
      <w:pPr>
        <w:pageBreakBefore w:val="0"/>
        <w:kinsoku/>
        <w:topLinePunct w:val="0"/>
        <w:bidi w:val="0"/>
        <w:spacing w:before="60" w:after="60" w:line="360" w:lineRule="auto"/>
        <w:rPr>
          <w:rFonts w:ascii="宋体" w:hAnsi="宋体"/>
          <w:color w:val="auto"/>
          <w:szCs w:val="21"/>
          <w:highlight w:val="none"/>
        </w:rPr>
      </w:pPr>
    </w:p>
    <w:p w14:paraId="0FB3D827">
      <w:pPr>
        <w:pageBreakBefore w:val="0"/>
        <w:kinsoku/>
        <w:topLinePunct w:val="0"/>
        <w:bidi w:val="0"/>
        <w:spacing w:before="60" w:after="60" w:line="360" w:lineRule="auto"/>
        <w:jc w:val="center"/>
        <w:rPr>
          <w:rFonts w:ascii="宋体" w:hAnsi="宋体"/>
          <w:b/>
          <w:bCs/>
          <w:color w:val="auto"/>
          <w:szCs w:val="21"/>
          <w:highlight w:val="none"/>
        </w:rPr>
      </w:pPr>
      <w:r>
        <w:rPr>
          <w:rFonts w:hint="eastAsia" w:ascii="宋体" w:hAnsi="宋体"/>
          <w:b/>
          <w:bCs/>
          <w:color w:val="auto"/>
          <w:sz w:val="32"/>
          <w:szCs w:val="32"/>
          <w:highlight w:val="none"/>
        </w:rPr>
        <w:t>三、响应文件的编制</w:t>
      </w:r>
    </w:p>
    <w:p w14:paraId="3121A417">
      <w:pPr>
        <w:pageBreakBefore w:val="0"/>
        <w:kinsoku/>
        <w:topLinePunct w:val="0"/>
        <w:bidi w:val="0"/>
        <w:spacing w:before="60" w:after="60" w:line="360" w:lineRule="auto"/>
        <w:rPr>
          <w:rFonts w:ascii="宋体" w:hAnsi="宋体"/>
          <w:color w:val="auto"/>
          <w:szCs w:val="21"/>
          <w:highlight w:val="none"/>
        </w:rPr>
      </w:pPr>
    </w:p>
    <w:p w14:paraId="4F06C410">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11</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响应文件的编制原则</w:t>
      </w:r>
    </w:p>
    <w:p w14:paraId="679E1654">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供应商必须按照磋商文件的要求编制响应文件，并对其提交的响应文件的真实性、合法性承担法律责任。响应文件必须对磋商文件作出实质性响应。</w:t>
      </w:r>
    </w:p>
    <w:p w14:paraId="331447A6">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12</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响应文件的组成</w:t>
      </w:r>
    </w:p>
    <w:p w14:paraId="45E11073">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zCs w:val="21"/>
          <w:highlight w:val="none"/>
          <w:lang w:eastAsia="zh-CN"/>
        </w:rPr>
        <w:t>.</w:t>
      </w:r>
      <w:r>
        <w:rPr>
          <w:rFonts w:hint="eastAsia" w:ascii="宋体" w:hAnsi="宋体" w:cs="宋体"/>
          <w:color w:val="auto"/>
          <w:szCs w:val="21"/>
          <w:highlight w:val="none"/>
        </w:rPr>
        <w:t>1响应文件由资格证明文件、报价文件、商务技术文件三部分组成。</w:t>
      </w:r>
    </w:p>
    <w:p w14:paraId="1279C136">
      <w:pPr>
        <w:pageBreakBefore w:val="0"/>
        <w:kinsoku/>
        <w:topLinePunct w:val="0"/>
        <w:bidi w:val="0"/>
        <w:spacing w:before="60" w:after="60" w:line="360" w:lineRule="auto"/>
        <w:ind w:left="840" w:leftChars="200" w:hanging="420" w:hangingChars="200"/>
        <w:rPr>
          <w:rFonts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zCs w:val="21"/>
          <w:highlight w:val="none"/>
          <w:lang w:eastAsia="zh-CN"/>
        </w:rPr>
        <w:t>.</w:t>
      </w: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1资格证明文件：详见“供应商须知前附表”</w:t>
      </w:r>
    </w:p>
    <w:p w14:paraId="08A7472E">
      <w:pPr>
        <w:pageBreakBefore w:val="0"/>
        <w:kinsoku/>
        <w:topLinePunct w:val="0"/>
        <w:bidi w:val="0"/>
        <w:spacing w:before="60" w:after="60" w:line="360" w:lineRule="auto"/>
        <w:ind w:left="840" w:leftChars="200" w:hanging="420" w:hangingChars="200"/>
        <w:rPr>
          <w:rFonts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zCs w:val="21"/>
          <w:highlight w:val="none"/>
          <w:lang w:eastAsia="zh-CN"/>
        </w:rPr>
        <w:t>.</w:t>
      </w: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2报价文件：详见“供应商须知前附表”</w:t>
      </w:r>
    </w:p>
    <w:p w14:paraId="10AA7A2F">
      <w:pPr>
        <w:pageBreakBefore w:val="0"/>
        <w:kinsoku/>
        <w:topLinePunct w:val="0"/>
        <w:bidi w:val="0"/>
        <w:spacing w:before="60" w:after="60" w:line="360" w:lineRule="auto"/>
        <w:ind w:left="840" w:leftChars="200" w:hanging="420" w:hangingChars="200"/>
        <w:rPr>
          <w:rFonts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zCs w:val="21"/>
          <w:highlight w:val="none"/>
          <w:lang w:eastAsia="zh-CN"/>
        </w:rPr>
        <w:t>.</w:t>
      </w: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3商务技术文件：详见“供应商须知前附表”</w:t>
      </w:r>
    </w:p>
    <w:p w14:paraId="32590E8F">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13</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计量单位</w:t>
      </w:r>
    </w:p>
    <w:p w14:paraId="587A546A">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7F88BBAB">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14</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竞标的风险</w:t>
      </w:r>
    </w:p>
    <w:p w14:paraId="5BD0047F">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0FE69485">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15</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竞标报价</w:t>
      </w:r>
    </w:p>
    <w:p w14:paraId="6D69D46D">
      <w:pPr>
        <w:pageBreakBefore w:val="0"/>
        <w:tabs>
          <w:tab w:val="left" w:pos="2492"/>
        </w:tabs>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w:t>
      </w:r>
      <w:r>
        <w:rPr>
          <w:rFonts w:hint="eastAsia" w:ascii="宋体" w:hAnsi="宋体" w:cs="宋体"/>
          <w:color w:val="auto"/>
          <w:szCs w:val="21"/>
          <w:highlight w:val="none"/>
          <w:lang w:eastAsia="zh-CN"/>
        </w:rPr>
        <w:t>.</w:t>
      </w:r>
      <w:r>
        <w:rPr>
          <w:rFonts w:hint="eastAsia" w:ascii="宋体" w:hAnsi="宋体" w:cs="宋体"/>
          <w:color w:val="auto"/>
          <w:szCs w:val="21"/>
          <w:highlight w:val="none"/>
        </w:rPr>
        <w:t>1竞标报价应按磋商文件中“竞标报价表”格式填写。</w:t>
      </w:r>
    </w:p>
    <w:p w14:paraId="1C887713">
      <w:pPr>
        <w:pageBreakBefore w:val="0"/>
        <w:tabs>
          <w:tab w:val="left" w:pos="2492"/>
        </w:tabs>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w:t>
      </w:r>
      <w:r>
        <w:rPr>
          <w:rFonts w:hint="eastAsia" w:ascii="宋体" w:hAnsi="宋体" w:cs="宋体"/>
          <w:color w:val="auto"/>
          <w:szCs w:val="21"/>
          <w:highlight w:val="none"/>
          <w:lang w:eastAsia="zh-CN"/>
        </w:rPr>
        <w:t>.</w:t>
      </w:r>
      <w:r>
        <w:rPr>
          <w:rFonts w:hint="eastAsia" w:ascii="宋体" w:hAnsi="宋体" w:cs="宋体"/>
          <w:color w:val="auto"/>
          <w:szCs w:val="21"/>
          <w:highlight w:val="none"/>
        </w:rPr>
        <w:t>2竞标报价的内容见“供应商须知前附表”。</w:t>
      </w:r>
    </w:p>
    <w:p w14:paraId="43D46E89">
      <w:pPr>
        <w:pageBreakBefore w:val="0"/>
        <w:kinsoku/>
        <w:topLinePunct w:val="0"/>
        <w:bidi w:val="0"/>
        <w:spacing w:before="60" w:after="60" w:line="360" w:lineRule="auto"/>
        <w:ind w:left="426" w:leftChars="203"/>
        <w:rPr>
          <w:rFonts w:ascii="宋体" w:hAnsi="宋体" w:cs="宋体"/>
          <w:color w:val="auto"/>
          <w:szCs w:val="21"/>
          <w:highlight w:val="none"/>
        </w:rPr>
      </w:pPr>
      <w:r>
        <w:rPr>
          <w:rFonts w:hint="eastAsia" w:ascii="宋体" w:hAnsi="宋体" w:cs="宋体"/>
          <w:color w:val="auto"/>
          <w:szCs w:val="21"/>
          <w:highlight w:val="none"/>
        </w:rPr>
        <w:t>15</w:t>
      </w:r>
      <w:r>
        <w:rPr>
          <w:rFonts w:hint="eastAsia" w:ascii="宋体" w:hAnsi="宋体" w:cs="宋体"/>
          <w:color w:val="auto"/>
          <w:szCs w:val="21"/>
          <w:highlight w:val="none"/>
          <w:lang w:eastAsia="zh-CN"/>
        </w:rPr>
        <w:t>.</w:t>
      </w:r>
      <w:r>
        <w:rPr>
          <w:rFonts w:hint="eastAsia" w:ascii="宋体" w:hAnsi="宋体" w:cs="宋体"/>
          <w:color w:val="auto"/>
          <w:szCs w:val="21"/>
          <w:highlight w:val="none"/>
        </w:rPr>
        <w:t>3竞标报价要求</w:t>
      </w:r>
    </w:p>
    <w:p w14:paraId="2E196011">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5</w:t>
      </w:r>
      <w:r>
        <w:rPr>
          <w:rFonts w:hint="eastAsia" w:ascii="宋体" w:hAnsi="宋体" w:cs="宋体"/>
          <w:color w:val="auto"/>
          <w:szCs w:val="21"/>
          <w:highlight w:val="none"/>
          <w:lang w:eastAsia="zh-CN"/>
        </w:rPr>
        <w:t>.</w:t>
      </w:r>
      <w:r>
        <w:rPr>
          <w:rFonts w:ascii="宋体" w:hAnsi="宋体" w:cs="宋体"/>
          <w:color w:val="auto"/>
          <w:szCs w:val="21"/>
          <w:highlight w:val="none"/>
        </w:rPr>
        <w:t>3</w:t>
      </w:r>
      <w:r>
        <w:rPr>
          <w:rFonts w:hint="eastAsia" w:ascii="宋体" w:hAnsi="宋体" w:cs="宋体"/>
          <w:color w:val="auto"/>
          <w:szCs w:val="21"/>
          <w:highlight w:val="none"/>
          <w:lang w:eastAsia="zh-CN"/>
        </w:rPr>
        <w:t>.</w:t>
      </w:r>
      <w:r>
        <w:rPr>
          <w:rFonts w:ascii="宋体" w:hAnsi="宋体" w:cs="宋体"/>
          <w:color w:val="auto"/>
          <w:szCs w:val="21"/>
          <w:highlight w:val="none"/>
        </w:rPr>
        <w:t>1</w:t>
      </w:r>
      <w:r>
        <w:rPr>
          <w:rFonts w:hint="eastAsia" w:ascii="宋体" w:hAnsi="宋体" w:cs="宋体"/>
          <w:color w:val="auto"/>
          <w:szCs w:val="21"/>
          <w:highlight w:val="none"/>
        </w:rPr>
        <w:t>供应商的竞标报价应符合以下要求，否则响应文件按无效响应处理：</w:t>
      </w:r>
    </w:p>
    <w:p w14:paraId="64883C74">
      <w:pPr>
        <w:pageBreakBefore w:val="0"/>
        <w:kinsoku/>
        <w:topLinePunct w:val="0"/>
        <w:bidi w:val="0"/>
        <w:spacing w:before="60" w:after="60"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（1）供应商必须就“采购需求”中所竞标的全部内容分别作完整唯一总价报价，不得存在漏项报价；</w:t>
      </w:r>
    </w:p>
    <w:p w14:paraId="4202CD75">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）供应商必须就所竞标的单项内容作唯一报价。</w:t>
      </w:r>
    </w:p>
    <w:p w14:paraId="5E481181">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w:t>
      </w:r>
      <w:r>
        <w:rPr>
          <w:rFonts w:hint="eastAsia" w:ascii="宋体" w:hAnsi="宋体" w:cs="宋体"/>
          <w:color w:val="auto"/>
          <w:szCs w:val="21"/>
          <w:highlight w:val="none"/>
          <w:lang w:eastAsia="zh-CN"/>
        </w:rPr>
        <w:t>.</w:t>
      </w:r>
      <w:r>
        <w:rPr>
          <w:rFonts w:hint="eastAsia" w:ascii="宋体" w:hAnsi="宋体" w:cs="宋体"/>
          <w:color w:val="auto"/>
          <w:szCs w:val="21"/>
          <w:highlight w:val="none"/>
        </w:rPr>
        <w:t>3</w:t>
      </w:r>
      <w:r>
        <w:rPr>
          <w:rFonts w:hint="eastAsia" w:ascii="宋体" w:hAnsi="宋体" w:cs="宋体"/>
          <w:color w:val="auto"/>
          <w:szCs w:val="21"/>
          <w:highlight w:val="none"/>
          <w:lang w:eastAsia="zh-CN"/>
        </w:rPr>
        <w:t>.</w:t>
      </w:r>
      <w:r>
        <w:rPr>
          <w:rFonts w:ascii="宋体" w:hAnsi="宋体" w:cs="宋体"/>
          <w:color w:val="auto"/>
          <w:szCs w:val="21"/>
          <w:highlight w:val="none"/>
        </w:rPr>
        <w:t>2</w:t>
      </w:r>
      <w:r>
        <w:rPr>
          <w:rFonts w:hint="eastAsia" w:ascii="宋体" w:hAnsi="宋体" w:cs="宋体"/>
          <w:color w:val="auto"/>
          <w:szCs w:val="21"/>
          <w:highlight w:val="none"/>
        </w:rPr>
        <w:t>竞标报价（包含首次报价、最后报价）超过所竞标规定的采购预算金额或者最高限价的，其响应文件将按无效处理。</w:t>
      </w:r>
    </w:p>
    <w:p w14:paraId="001CAA37">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w:t>
      </w:r>
      <w:r>
        <w:rPr>
          <w:rFonts w:hint="eastAsia" w:ascii="宋体" w:hAnsi="宋体" w:cs="宋体"/>
          <w:color w:val="auto"/>
          <w:szCs w:val="21"/>
          <w:highlight w:val="none"/>
          <w:lang w:eastAsia="zh-CN"/>
        </w:rPr>
        <w:t>.</w:t>
      </w:r>
      <w:r>
        <w:rPr>
          <w:rFonts w:hint="eastAsia" w:ascii="宋体" w:hAnsi="宋体" w:cs="宋体"/>
          <w:color w:val="auto"/>
          <w:szCs w:val="21"/>
          <w:highlight w:val="none"/>
        </w:rPr>
        <w:t>3</w:t>
      </w:r>
      <w:r>
        <w:rPr>
          <w:rFonts w:hint="eastAsia" w:ascii="宋体" w:hAnsi="宋体" w:cs="宋体"/>
          <w:color w:val="auto"/>
          <w:szCs w:val="21"/>
          <w:highlight w:val="none"/>
          <w:lang w:eastAsia="zh-CN"/>
        </w:rPr>
        <w:t>.</w:t>
      </w:r>
      <w:r>
        <w:rPr>
          <w:rFonts w:ascii="宋体" w:hAnsi="宋体" w:cs="宋体"/>
          <w:color w:val="auto"/>
          <w:szCs w:val="21"/>
          <w:highlight w:val="none"/>
        </w:rPr>
        <w:t>3</w:t>
      </w:r>
      <w:bookmarkStart w:id="69" w:name="_Hlk42592874"/>
      <w:r>
        <w:rPr>
          <w:rFonts w:hint="eastAsia" w:ascii="宋体" w:hAnsi="宋体" w:cs="宋体"/>
          <w:color w:val="auto"/>
          <w:szCs w:val="21"/>
          <w:highlight w:val="none"/>
        </w:rPr>
        <w:t>竞标报价（包含首次报价、最后报价）超过采购预算金额或者最高限价的，其响应文件将按无效处理。</w:t>
      </w:r>
    </w:p>
    <w:bookmarkEnd w:id="69"/>
    <w:p w14:paraId="5379BE52">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16</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竞标有效期</w:t>
      </w:r>
    </w:p>
    <w:p w14:paraId="2748EA89">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w:t>
      </w:r>
      <w:r>
        <w:rPr>
          <w:rFonts w:hint="eastAsia" w:ascii="宋体" w:hAnsi="宋体" w:cs="宋体"/>
          <w:color w:val="auto"/>
          <w:szCs w:val="21"/>
          <w:highlight w:val="none"/>
          <w:lang w:eastAsia="zh-CN"/>
        </w:rPr>
        <w:t>.</w:t>
      </w:r>
      <w:r>
        <w:rPr>
          <w:rFonts w:hint="eastAsia" w:ascii="宋体" w:hAnsi="宋体" w:cs="宋体"/>
          <w:color w:val="auto"/>
          <w:szCs w:val="21"/>
          <w:highlight w:val="none"/>
        </w:rPr>
        <w:t>1竞标有效期是指为保证采购人有足够的时间在提交响应文件后完成评审、确定成交供应商、合同签订等工作而要求供应商提交的响应文件在一定时间内保持有效的期限。</w:t>
      </w:r>
    </w:p>
    <w:p w14:paraId="47818538">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w:t>
      </w:r>
      <w:r>
        <w:rPr>
          <w:rFonts w:hint="eastAsia" w:ascii="宋体" w:hAnsi="宋体" w:cs="宋体"/>
          <w:color w:val="auto"/>
          <w:szCs w:val="21"/>
          <w:highlight w:val="none"/>
          <w:lang w:eastAsia="zh-CN"/>
        </w:rPr>
        <w:t>.</w:t>
      </w:r>
      <w:r>
        <w:rPr>
          <w:rFonts w:hint="eastAsia" w:ascii="宋体" w:hAnsi="宋体" w:cs="宋体"/>
          <w:color w:val="auto"/>
          <w:szCs w:val="21"/>
          <w:highlight w:val="none"/>
        </w:rPr>
        <w:t>2 竞标有效期应由供应商按“供应商须知前附表”规定的期限作出响应。</w:t>
      </w:r>
    </w:p>
    <w:p w14:paraId="32AEA81D">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w:t>
      </w:r>
      <w:r>
        <w:rPr>
          <w:rFonts w:hint="eastAsia" w:ascii="宋体" w:hAnsi="宋体" w:cs="宋体"/>
          <w:color w:val="auto"/>
          <w:szCs w:val="21"/>
          <w:highlight w:val="none"/>
          <w:lang w:eastAsia="zh-CN"/>
        </w:rPr>
        <w:t>.</w:t>
      </w:r>
      <w:r>
        <w:rPr>
          <w:rFonts w:hint="eastAsia" w:ascii="宋体" w:hAnsi="宋体" w:cs="宋体"/>
          <w:color w:val="auto"/>
          <w:szCs w:val="21"/>
          <w:highlight w:val="none"/>
        </w:rPr>
        <w:t>3供应商的响应文件在竞标有效期内均保持有效。</w:t>
      </w:r>
    </w:p>
    <w:p w14:paraId="1103E59D">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17</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磋商保证金</w:t>
      </w:r>
    </w:p>
    <w:p w14:paraId="30049183">
      <w:pPr>
        <w:pageBreakBefore w:val="0"/>
        <w:kinsoku/>
        <w:topLinePunct w:val="0"/>
        <w:bidi w:val="0"/>
        <w:spacing w:before="60" w:after="60"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17</w:t>
      </w:r>
      <w:r>
        <w:rPr>
          <w:rFonts w:hint="eastAsia" w:ascii="宋体" w:hAnsi="宋体" w:cs="宋体"/>
          <w:color w:val="auto"/>
          <w:szCs w:val="21"/>
          <w:highlight w:val="none"/>
          <w:lang w:eastAsia="zh-CN"/>
        </w:rPr>
        <w:t>.</w:t>
      </w:r>
      <w:r>
        <w:rPr>
          <w:rFonts w:hint="eastAsia" w:ascii="宋体" w:hAnsi="宋体" w:cs="宋体"/>
          <w:color w:val="auto"/>
          <w:szCs w:val="21"/>
          <w:highlight w:val="none"/>
        </w:rPr>
        <w:t>1供应商须按“供应商须知前附表”的规定提交磋商保证金。</w:t>
      </w:r>
    </w:p>
    <w:p w14:paraId="1EB8DE46">
      <w:pPr>
        <w:pageBreakBefore w:val="0"/>
        <w:kinsoku/>
        <w:topLinePunct w:val="0"/>
        <w:bidi w:val="0"/>
        <w:spacing w:before="60" w:after="60"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17</w:t>
      </w:r>
      <w:r>
        <w:rPr>
          <w:rFonts w:hint="eastAsia" w:ascii="宋体" w:hAnsi="宋体" w:cs="宋体"/>
          <w:color w:val="auto"/>
          <w:szCs w:val="21"/>
          <w:highlight w:val="none"/>
          <w:lang w:eastAsia="zh-CN"/>
        </w:rPr>
        <w:t>.</w:t>
      </w:r>
      <w:r>
        <w:rPr>
          <w:rFonts w:hint="eastAsia" w:ascii="宋体" w:hAnsi="宋体" w:cs="宋体"/>
          <w:color w:val="auto"/>
          <w:szCs w:val="21"/>
          <w:highlight w:val="none"/>
        </w:rPr>
        <w:t>2磋商保证金的退还</w:t>
      </w:r>
    </w:p>
    <w:p w14:paraId="35CF4B02">
      <w:pPr>
        <w:pageBreakBefore w:val="0"/>
        <w:kinsoku/>
        <w:topLinePunct w:val="0"/>
        <w:bidi w:val="0"/>
        <w:spacing w:before="60" w:after="60" w:line="360" w:lineRule="auto"/>
        <w:ind w:firstLine="420" w:firstLineChars="200"/>
        <w:rPr>
          <w:rFonts w:ascii="宋体" w:hAnsi="宋体" w:cs="宋体"/>
          <w:color w:val="auto"/>
          <w:szCs w:val="21"/>
          <w:highlight w:val="none"/>
        </w:rPr>
      </w:pPr>
      <w:bookmarkStart w:id="70" w:name="_Hlk66782243"/>
      <w:r>
        <w:rPr>
          <w:rFonts w:hint="eastAsia" w:ascii="宋体" w:hAnsi="宋体" w:cs="宋体"/>
          <w:color w:val="auto"/>
          <w:szCs w:val="21"/>
          <w:highlight w:val="none"/>
        </w:rPr>
        <w:t>未</w:t>
      </w:r>
      <w:r>
        <w:rPr>
          <w:rFonts w:hint="eastAsia" w:ascii="宋体" w:hAnsi="宋体" w:cs="宋体"/>
          <w:color w:val="auto"/>
          <w:spacing w:val="-6"/>
          <w:szCs w:val="21"/>
          <w:highlight w:val="none"/>
        </w:rPr>
        <w:t>成交供应商的竞标保证金自成交通知书发出之日起5个工作日内退还；</w:t>
      </w:r>
      <w:r>
        <w:rPr>
          <w:rFonts w:hint="eastAsia" w:ascii="宋体" w:hAnsi="宋体" w:cs="宋体"/>
          <w:color w:val="auto"/>
          <w:szCs w:val="21"/>
          <w:highlight w:val="none"/>
        </w:rPr>
        <w:t>成交供应商的磋商保证金自签订合同之日起5个工作日内退还。</w:t>
      </w:r>
      <w:bookmarkEnd w:id="70"/>
    </w:p>
    <w:p w14:paraId="463D2413">
      <w:pPr>
        <w:pageBreakBefore w:val="0"/>
        <w:kinsoku/>
        <w:topLinePunct w:val="0"/>
        <w:bidi w:val="0"/>
        <w:spacing w:before="60" w:after="60"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17</w:t>
      </w:r>
      <w:r>
        <w:rPr>
          <w:rFonts w:hint="eastAsia" w:ascii="宋体" w:hAnsi="宋体" w:cs="宋体"/>
          <w:color w:val="auto"/>
          <w:szCs w:val="21"/>
          <w:highlight w:val="none"/>
          <w:lang w:eastAsia="zh-CN"/>
        </w:rPr>
        <w:t>.</w:t>
      </w:r>
      <w:r>
        <w:rPr>
          <w:rFonts w:hint="eastAsia" w:ascii="宋体" w:hAnsi="宋体" w:cs="宋体"/>
          <w:color w:val="auto"/>
          <w:szCs w:val="21"/>
          <w:highlight w:val="none"/>
        </w:rPr>
        <w:t>3磋商保证金不计息。</w:t>
      </w:r>
    </w:p>
    <w:p w14:paraId="2AEDD76E">
      <w:pPr>
        <w:pageBreakBefore w:val="0"/>
        <w:kinsoku/>
        <w:topLinePunct w:val="0"/>
        <w:bidi w:val="0"/>
        <w:spacing w:before="60" w:after="60"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17</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4供应商有下列情形之一的，磋商保证金将不予退还： </w:t>
      </w:r>
    </w:p>
    <w:p w14:paraId="290414D9">
      <w:pPr>
        <w:pageBreakBefore w:val="0"/>
        <w:kinsoku/>
        <w:topLinePunct w:val="0"/>
        <w:bidi w:val="0"/>
        <w:spacing w:before="60" w:after="60"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（1）供应商在提交响应文件截止时间后撤回响应文件的；</w:t>
      </w:r>
    </w:p>
    <w:p w14:paraId="3D1013CE">
      <w:pPr>
        <w:pageBreakBefore w:val="0"/>
        <w:kinsoku/>
        <w:topLinePunct w:val="0"/>
        <w:bidi w:val="0"/>
        <w:spacing w:before="60" w:after="60" w:line="360" w:lineRule="auto"/>
        <w:ind w:left="420" w:leftChars="200"/>
        <w:rPr>
          <w:rFonts w:ascii="宋体" w:hAnsi="宋体" w:cs="宋体"/>
          <w:color w:val="auto"/>
          <w:szCs w:val="21"/>
          <w:highlight w:val="none"/>
        </w:rPr>
      </w:pPr>
      <w:r>
        <w:rPr>
          <w:rFonts w:hint="eastAsia" w:ascii="宋体" w:hAnsi="宋体"/>
          <w:color w:val="auto"/>
          <w:szCs w:val="21"/>
          <w:highlight w:val="none"/>
        </w:rPr>
        <w:t>（2）未按规定提交履约保证金的；</w:t>
      </w:r>
    </w:p>
    <w:p w14:paraId="641D2F59">
      <w:pPr>
        <w:pageBreakBefore w:val="0"/>
        <w:kinsoku/>
        <w:topLinePunct w:val="0"/>
        <w:bidi w:val="0"/>
        <w:spacing w:before="60" w:after="60"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（3）供应商在响应文件中提供虚假材料的；</w:t>
      </w:r>
    </w:p>
    <w:p w14:paraId="45E9B8BC">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（4）除因不可抗力或者磋商文件认可的情形以外，成交供应商不与采购人签订合同的；</w:t>
      </w:r>
    </w:p>
    <w:p w14:paraId="0569F5CF">
      <w:pPr>
        <w:pageBreakBefore w:val="0"/>
        <w:kinsoku/>
        <w:topLinePunct w:val="0"/>
        <w:bidi w:val="0"/>
        <w:spacing w:before="60" w:after="60"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（5）供应商与采购人、其他供应商或者采购代理机构恶意串通的；</w:t>
      </w:r>
    </w:p>
    <w:p w14:paraId="104F24A7">
      <w:pPr>
        <w:pageBreakBefore w:val="0"/>
        <w:kinsoku/>
        <w:topLinePunct w:val="0"/>
        <w:bidi w:val="0"/>
        <w:spacing w:before="60" w:after="60"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（6）法律法规规定的其他情形。</w:t>
      </w:r>
    </w:p>
    <w:p w14:paraId="1C2FA3C0">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18</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响应文件编制的要求</w:t>
      </w:r>
    </w:p>
    <w:p w14:paraId="099D9A36">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w:t>
      </w:r>
      <w:r>
        <w:rPr>
          <w:rFonts w:hint="eastAsia" w:ascii="宋体" w:hAnsi="宋体" w:cs="宋体"/>
          <w:color w:val="auto"/>
          <w:szCs w:val="21"/>
          <w:highlight w:val="none"/>
          <w:lang w:eastAsia="zh-CN"/>
        </w:rPr>
        <w:t>.</w:t>
      </w:r>
      <w:r>
        <w:rPr>
          <w:rFonts w:hint="eastAsia" w:ascii="宋体" w:hAnsi="宋体" w:cs="宋体"/>
          <w:color w:val="auto"/>
          <w:szCs w:val="21"/>
          <w:highlight w:val="none"/>
        </w:rPr>
        <w:t>1供应商应先安装“广西政府采购云平台电子交易客户端”（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14:paraId="6016ADB1">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w:t>
      </w:r>
      <w:r>
        <w:rPr>
          <w:rFonts w:hint="eastAsia" w:ascii="宋体" w:hAnsi="宋体" w:cs="宋体"/>
          <w:color w:val="auto"/>
          <w:szCs w:val="21"/>
          <w:highlight w:val="none"/>
          <w:lang w:eastAsia="zh-CN"/>
        </w:rPr>
        <w:t>.</w:t>
      </w:r>
      <w:r>
        <w:rPr>
          <w:rFonts w:hint="eastAsia" w:ascii="宋体" w:hAnsi="宋体" w:cs="宋体"/>
          <w:color w:val="auto"/>
          <w:szCs w:val="21"/>
          <w:highlight w:val="none"/>
        </w:rPr>
        <w:t>2为确保网上操作合法、有效和安全，供应商应当在提交响应文件截止时间前完成在“广西政府采购云平台”的身份认证，确保在电子竞标过程中能够对相关数据电文进行加密和使用电子签章。</w:t>
      </w:r>
    </w:p>
    <w:p w14:paraId="6DF1ACA0">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w:t>
      </w:r>
      <w:r>
        <w:rPr>
          <w:rFonts w:hint="eastAsia" w:ascii="宋体" w:hAnsi="宋体" w:cs="宋体"/>
          <w:color w:val="auto"/>
          <w:szCs w:val="21"/>
          <w:highlight w:val="none"/>
          <w:lang w:eastAsia="zh-CN"/>
        </w:rPr>
        <w:t>.</w:t>
      </w:r>
      <w:r>
        <w:rPr>
          <w:rFonts w:hint="eastAsia" w:ascii="宋体" w:hAnsi="宋体" w:cs="宋体"/>
          <w:color w:val="auto"/>
          <w:szCs w:val="21"/>
          <w:highlight w:val="none"/>
        </w:rPr>
        <w:t>3响应文件须由供应商在规定位置签字、盖章（具体以供应商须知前附表或响应文件格式规定为准），否则按无效响应处理。</w:t>
      </w:r>
    </w:p>
    <w:p w14:paraId="1075D913">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w:t>
      </w:r>
      <w:r>
        <w:rPr>
          <w:rFonts w:hint="eastAsia" w:ascii="宋体" w:hAnsi="宋体" w:cs="宋体"/>
          <w:color w:val="auto"/>
          <w:szCs w:val="21"/>
          <w:highlight w:val="none"/>
          <w:lang w:eastAsia="zh-CN"/>
        </w:rPr>
        <w:t>.</w:t>
      </w:r>
      <w:r>
        <w:rPr>
          <w:rFonts w:hint="eastAsia" w:ascii="宋体" w:hAnsi="宋体" w:cs="宋体"/>
          <w:color w:val="auto"/>
          <w:szCs w:val="21"/>
          <w:highlight w:val="none"/>
        </w:rPr>
        <w:t>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14:paraId="18285381">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w:t>
      </w:r>
      <w:r>
        <w:rPr>
          <w:rFonts w:hint="eastAsia" w:ascii="宋体" w:hAnsi="宋体" w:cs="宋体"/>
          <w:color w:val="auto"/>
          <w:szCs w:val="21"/>
          <w:highlight w:val="none"/>
          <w:lang w:eastAsia="zh-CN"/>
        </w:rPr>
        <w:t>.</w:t>
      </w:r>
      <w:r>
        <w:rPr>
          <w:rFonts w:hint="eastAsia" w:ascii="宋体" w:hAnsi="宋体" w:cs="宋体"/>
          <w:color w:val="auto"/>
          <w:szCs w:val="21"/>
          <w:highlight w:val="none"/>
        </w:rPr>
        <w:t>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53A2BBD0">
      <w:pPr>
        <w:pageBreakBefore w:val="0"/>
        <w:kinsoku/>
        <w:topLinePunct w:val="0"/>
        <w:bidi w:val="0"/>
        <w:spacing w:before="60" w:after="60" w:line="360" w:lineRule="auto"/>
        <w:ind w:firstLine="482" w:firstLineChars="200"/>
        <w:rPr>
          <w:rFonts w:ascii="黑体" w:hAnsi="黑体" w:eastAsia="黑体"/>
          <w:color w:val="auto"/>
          <w:sz w:val="24"/>
          <w:highlight w:val="none"/>
        </w:rPr>
      </w:pPr>
      <w:r>
        <w:rPr>
          <w:rFonts w:hint="eastAsia" w:ascii="黑体" w:hAnsi="黑体" w:eastAsia="黑体" w:cs="宋体"/>
          <w:b/>
          <w:bCs/>
          <w:color w:val="auto"/>
          <w:sz w:val="24"/>
          <w:highlight w:val="none"/>
        </w:rPr>
        <w:t>19</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电子</w:t>
      </w:r>
      <w:r>
        <w:rPr>
          <w:rFonts w:hint="eastAsia" w:ascii="黑体" w:hAnsi="黑体" w:eastAsia="黑体"/>
          <w:b/>
          <w:color w:val="auto"/>
          <w:sz w:val="24"/>
          <w:highlight w:val="none"/>
        </w:rPr>
        <w:t>备份响应文件</w:t>
      </w:r>
    </w:p>
    <w:p w14:paraId="6635F69F">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color w:val="auto"/>
          <w:highlight w:val="none"/>
        </w:rPr>
        <w:t>电子备份响应文件是指通过“广西政府采购云平台电子投标客户端”在线编制生成且后缀名为“</w:t>
      </w:r>
      <w:r>
        <w:rPr>
          <w:color w:val="auto"/>
          <w:highlight w:val="none"/>
        </w:rPr>
        <w:t>bfbs</w:t>
      </w:r>
      <w:r>
        <w:rPr>
          <w:rFonts w:hint="eastAsia"/>
          <w:color w:val="auto"/>
          <w:highlight w:val="none"/>
        </w:rPr>
        <w:t>”的文件，是否接受电子备份响应文件</w:t>
      </w:r>
      <w:r>
        <w:rPr>
          <w:rFonts w:hint="eastAsia" w:hAnsi="宋体"/>
          <w:bCs/>
          <w:color w:val="auto"/>
          <w:szCs w:val="21"/>
          <w:highlight w:val="none"/>
        </w:rPr>
        <w:t>详见在“供应商须知前附表”。</w:t>
      </w:r>
    </w:p>
    <w:p w14:paraId="37DAF04A">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20</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响应文件的提交</w:t>
      </w:r>
    </w:p>
    <w:p w14:paraId="39561258">
      <w:pPr>
        <w:pageBreakBefore w:val="0"/>
        <w:kinsoku/>
        <w:topLinePunct w:val="0"/>
        <w:bidi w:val="0"/>
        <w:spacing w:before="60" w:after="60" w:line="360" w:lineRule="auto"/>
        <w:ind w:firstLine="420" w:firstLineChars="200"/>
        <w:rPr>
          <w:rFonts w:hAnsi="宋体"/>
          <w:b/>
          <w:color w:val="auto"/>
          <w:highlight w:val="none"/>
        </w:rPr>
      </w:pPr>
      <w:r>
        <w:rPr>
          <w:rFonts w:hint="eastAsia" w:hAnsi="宋体"/>
          <w:bCs/>
          <w:color w:val="auto"/>
          <w:szCs w:val="21"/>
          <w:highlight w:val="none"/>
        </w:rPr>
        <w:t>20</w:t>
      </w:r>
      <w:r>
        <w:rPr>
          <w:rFonts w:hint="eastAsia" w:hAnsi="宋体"/>
          <w:bCs/>
          <w:color w:val="auto"/>
          <w:szCs w:val="21"/>
          <w:highlight w:val="none"/>
          <w:lang w:eastAsia="zh-CN"/>
        </w:rPr>
        <w:t>.</w:t>
      </w:r>
      <w:r>
        <w:rPr>
          <w:rFonts w:hint="eastAsia" w:hAnsi="宋体"/>
          <w:bCs/>
          <w:color w:val="auto"/>
          <w:szCs w:val="21"/>
          <w:highlight w:val="none"/>
        </w:rPr>
        <w:t>1供应商必须按“供应商须知前附表”规定的</w:t>
      </w:r>
      <w:r>
        <w:rPr>
          <w:rFonts w:hint="eastAsia" w:ascii="宋体" w:hAnsi="宋体" w:cs="宋体"/>
          <w:color w:val="auto"/>
          <w:szCs w:val="21"/>
          <w:highlight w:val="none"/>
        </w:rPr>
        <w:t>时间</w:t>
      </w:r>
      <w:r>
        <w:rPr>
          <w:rFonts w:hint="eastAsia" w:ascii="宋体" w:hAnsi="宋体"/>
          <w:color w:val="auto"/>
          <w:szCs w:val="21"/>
          <w:highlight w:val="none"/>
        </w:rPr>
        <w:t>及</w:t>
      </w:r>
      <w:r>
        <w:rPr>
          <w:rFonts w:hint="eastAsia" w:hAnsi="宋体"/>
          <w:bCs/>
          <w:color w:val="auto"/>
          <w:szCs w:val="21"/>
          <w:highlight w:val="none"/>
        </w:rPr>
        <w:t>地点提交响应文件。电子响应文件应在制作完成后，</w:t>
      </w:r>
      <w:r>
        <w:rPr>
          <w:rFonts w:hAnsi="宋体"/>
          <w:bCs/>
          <w:color w:val="auto"/>
          <w:szCs w:val="21"/>
          <w:highlight w:val="none"/>
        </w:rPr>
        <w:t>在</w:t>
      </w:r>
      <w:r>
        <w:rPr>
          <w:rFonts w:hint="eastAsia" w:hAnsi="宋体"/>
          <w:bCs/>
          <w:color w:val="auto"/>
          <w:szCs w:val="21"/>
          <w:highlight w:val="none"/>
        </w:rPr>
        <w:t>提交响应文件截止</w:t>
      </w:r>
      <w:r>
        <w:rPr>
          <w:rFonts w:hAnsi="宋体"/>
          <w:bCs/>
          <w:color w:val="auto"/>
          <w:szCs w:val="21"/>
          <w:highlight w:val="none"/>
        </w:rPr>
        <w:t>时间前</w:t>
      </w:r>
      <w:r>
        <w:rPr>
          <w:rFonts w:hint="eastAsia" w:hAnsi="宋体"/>
          <w:bCs/>
          <w:color w:val="auto"/>
          <w:szCs w:val="21"/>
          <w:highlight w:val="none"/>
        </w:rPr>
        <w:t>通过有效数字证书（CA认证锁）进行电子签章、加密，然后通过网络将加密的电子响应文件提交至</w:t>
      </w:r>
      <w:r>
        <w:rPr>
          <w:rFonts w:hint="eastAsia" w:ascii="宋体" w:hAnsi="宋体"/>
          <w:color w:val="auto"/>
          <w:szCs w:val="21"/>
          <w:highlight w:val="none"/>
        </w:rPr>
        <w:t>“广西政府采购云平台”</w:t>
      </w:r>
      <w:r>
        <w:rPr>
          <w:rFonts w:hint="eastAsia" w:hAnsi="宋体"/>
          <w:bCs/>
          <w:color w:val="auto"/>
          <w:szCs w:val="21"/>
          <w:highlight w:val="none"/>
        </w:rPr>
        <w:t xml:space="preserve">。 </w:t>
      </w:r>
    </w:p>
    <w:p w14:paraId="5D897364">
      <w:pPr>
        <w:pageBreakBefore w:val="0"/>
        <w:kinsoku/>
        <w:topLinePunct w:val="0"/>
        <w:bidi w:val="0"/>
        <w:spacing w:before="60" w:after="60" w:line="360" w:lineRule="auto"/>
        <w:ind w:firstLine="422" w:firstLineChars="200"/>
        <w:rPr>
          <w:rFonts w:ascii="宋体" w:hAnsi="宋体" w:cs="宋体"/>
          <w:color w:val="auto"/>
          <w:szCs w:val="21"/>
          <w:highlight w:val="none"/>
        </w:rPr>
      </w:pPr>
      <w:r>
        <w:rPr>
          <w:rFonts w:hint="eastAsia" w:ascii="宋体" w:hAnsi="宋体"/>
          <w:b/>
          <w:color w:val="auto"/>
          <w:szCs w:val="21"/>
          <w:highlight w:val="none"/>
        </w:rPr>
        <w:t>20</w:t>
      </w:r>
      <w:r>
        <w:rPr>
          <w:rFonts w:hint="eastAsia" w:ascii="宋体" w:hAnsi="宋体"/>
          <w:b/>
          <w:color w:val="auto"/>
          <w:szCs w:val="21"/>
          <w:highlight w:val="none"/>
          <w:lang w:eastAsia="zh-CN"/>
        </w:rPr>
        <w:t>.</w:t>
      </w:r>
      <w:r>
        <w:rPr>
          <w:rFonts w:ascii="宋体" w:hAnsi="宋体"/>
          <w:b/>
          <w:color w:val="auto"/>
          <w:szCs w:val="21"/>
          <w:highlight w:val="none"/>
        </w:rPr>
        <w:t>2</w:t>
      </w:r>
      <w:r>
        <w:rPr>
          <w:rFonts w:hint="eastAsia" w:ascii="宋体" w:hAnsi="宋体"/>
          <w:b/>
          <w:color w:val="auto"/>
          <w:szCs w:val="21"/>
          <w:highlight w:val="none"/>
        </w:rPr>
        <w:t>未在规定时间内提交或者未按照磋商文件要求加密的电子响应文件，“广西政府采购云平台”将拒收。</w:t>
      </w:r>
    </w:p>
    <w:p w14:paraId="62F22182">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21</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首次响应文件的补充、修改与撤回</w:t>
      </w:r>
    </w:p>
    <w:p w14:paraId="22E228CA">
      <w:pPr>
        <w:pageBreakBefore w:val="0"/>
        <w:kinsoku/>
        <w:topLinePunct w:val="0"/>
        <w:bidi w:val="0"/>
        <w:snapToGrid w:val="0"/>
        <w:spacing w:before="60" w:after="60" w:line="360" w:lineRule="auto"/>
        <w:ind w:firstLine="420"/>
        <w:jc w:val="left"/>
        <w:rPr>
          <w:rFonts w:ascii="宋体" w:hAnsi="宋体"/>
          <w:color w:val="auto"/>
          <w:szCs w:val="21"/>
          <w:highlight w:val="none"/>
        </w:rPr>
      </w:pPr>
      <w:bookmarkStart w:id="71" w:name="_Toc254970684"/>
      <w:bookmarkStart w:id="72" w:name="_Toc254970543"/>
      <w:r>
        <w:rPr>
          <w:rFonts w:ascii="宋体" w:hAnsi="宋体" w:cs="宋体"/>
          <w:color w:val="auto"/>
          <w:szCs w:val="21"/>
          <w:highlight w:val="none"/>
        </w:rPr>
        <w:t>2</w:t>
      </w: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1</w:t>
      </w:r>
      <w:r>
        <w:rPr>
          <w:rFonts w:hint="eastAsia" w:ascii="宋体" w:hAnsi="宋体"/>
          <w:bCs/>
          <w:color w:val="auto"/>
          <w:szCs w:val="21"/>
          <w:highlight w:val="none"/>
        </w:rPr>
        <w:t>供应商应当在</w:t>
      </w:r>
      <w:r>
        <w:rPr>
          <w:rFonts w:hint="eastAsia" w:hAnsi="宋体"/>
          <w:bCs/>
          <w:color w:val="auto"/>
          <w:szCs w:val="21"/>
          <w:highlight w:val="none"/>
        </w:rPr>
        <w:t>提交响应文件截止</w:t>
      </w:r>
      <w:r>
        <w:rPr>
          <w:rFonts w:hAnsi="宋体"/>
          <w:bCs/>
          <w:color w:val="auto"/>
          <w:szCs w:val="21"/>
          <w:highlight w:val="none"/>
        </w:rPr>
        <w:t>时间</w:t>
      </w:r>
      <w:r>
        <w:rPr>
          <w:rFonts w:hint="eastAsia" w:ascii="宋体" w:hAnsi="宋体"/>
          <w:bCs/>
          <w:color w:val="auto"/>
          <w:szCs w:val="21"/>
          <w:highlight w:val="none"/>
        </w:rPr>
        <w:t>前完成电子响应文件的提交（上传），</w:t>
      </w:r>
      <w:r>
        <w:rPr>
          <w:rFonts w:hint="eastAsia" w:hAnsi="宋体"/>
          <w:bCs/>
          <w:color w:val="auto"/>
          <w:szCs w:val="21"/>
          <w:highlight w:val="none"/>
        </w:rPr>
        <w:t>提交响应文件截止</w:t>
      </w:r>
      <w:r>
        <w:rPr>
          <w:rFonts w:hAnsi="宋体"/>
          <w:bCs/>
          <w:color w:val="auto"/>
          <w:szCs w:val="21"/>
          <w:highlight w:val="none"/>
        </w:rPr>
        <w:t>时间</w:t>
      </w:r>
      <w:r>
        <w:rPr>
          <w:rFonts w:hint="eastAsia" w:hAnsi="宋体"/>
          <w:bCs/>
          <w:color w:val="auto"/>
          <w:szCs w:val="21"/>
          <w:highlight w:val="none"/>
        </w:rPr>
        <w:t>前</w:t>
      </w:r>
      <w:r>
        <w:rPr>
          <w:rFonts w:hint="eastAsia" w:ascii="宋体" w:hAnsi="宋体"/>
          <w:bCs/>
          <w:color w:val="auto"/>
          <w:szCs w:val="21"/>
          <w:highlight w:val="none"/>
        </w:rPr>
        <w:t>可以补充、修改或者撤回响应文件。补充或者修改响应文件的，应当先行撤回原响应文件，补充、修改后重新提交（上传），</w:t>
      </w:r>
      <w:r>
        <w:rPr>
          <w:rFonts w:hint="eastAsia" w:hAnsi="宋体"/>
          <w:bCs/>
          <w:color w:val="auto"/>
          <w:szCs w:val="21"/>
          <w:highlight w:val="none"/>
        </w:rPr>
        <w:t>提交响应文件截止</w:t>
      </w:r>
      <w:r>
        <w:rPr>
          <w:rFonts w:hAnsi="宋体"/>
          <w:bCs/>
          <w:color w:val="auto"/>
          <w:szCs w:val="21"/>
          <w:highlight w:val="none"/>
        </w:rPr>
        <w:t>时间</w:t>
      </w:r>
      <w:r>
        <w:rPr>
          <w:rFonts w:hint="eastAsia" w:hAnsi="宋体"/>
          <w:bCs/>
          <w:color w:val="auto"/>
          <w:szCs w:val="21"/>
          <w:highlight w:val="none"/>
        </w:rPr>
        <w:t>前</w:t>
      </w:r>
      <w:r>
        <w:rPr>
          <w:rFonts w:hint="eastAsia" w:ascii="宋体" w:hAnsi="宋体"/>
          <w:bCs/>
          <w:color w:val="auto"/>
          <w:szCs w:val="21"/>
          <w:highlight w:val="none"/>
        </w:rPr>
        <w:t>未完成提交（上传）的，视为撤回响应文件。</w:t>
      </w:r>
      <w:r>
        <w:rPr>
          <w:rFonts w:hint="eastAsia" w:hAnsi="宋体"/>
          <w:bCs/>
          <w:color w:val="auto"/>
          <w:szCs w:val="21"/>
          <w:highlight w:val="none"/>
        </w:rPr>
        <w:t>提交响应文件截止</w:t>
      </w:r>
      <w:r>
        <w:rPr>
          <w:rFonts w:hAnsi="宋体"/>
          <w:bCs/>
          <w:color w:val="auto"/>
          <w:szCs w:val="21"/>
          <w:highlight w:val="none"/>
        </w:rPr>
        <w:t>时间</w:t>
      </w:r>
      <w:r>
        <w:rPr>
          <w:rFonts w:hint="eastAsia" w:ascii="宋体" w:hAnsi="宋体"/>
          <w:bCs/>
          <w:color w:val="auto"/>
          <w:szCs w:val="21"/>
          <w:highlight w:val="none"/>
        </w:rPr>
        <w:t>以后提交（上传）的响应文件，“广西政府采购云平台”将予以拒收。</w:t>
      </w:r>
      <w:r>
        <w:rPr>
          <w:rFonts w:hint="eastAsia" w:ascii="宋体" w:hAnsi="宋体" w:cs="宋体"/>
          <w:color w:val="auto"/>
          <w:szCs w:val="21"/>
          <w:highlight w:val="none"/>
        </w:rPr>
        <w:t>（补充、修改或者撤回方式可</w:t>
      </w:r>
      <w:r>
        <w:rPr>
          <w:rFonts w:hint="eastAsia" w:ascii="宋体" w:hAnsi="宋体"/>
          <w:color w:val="auto"/>
          <w:szCs w:val="21"/>
          <w:highlight w:val="none"/>
          <w:lang w:eastAsia="zh-CN"/>
        </w:rPr>
        <w:t>登录</w:t>
      </w:r>
      <w:r>
        <w:rPr>
          <w:rFonts w:hint="eastAsia" w:ascii="宋体" w:hAnsi="宋体" w:cs="宋体"/>
          <w:color w:val="auto"/>
          <w:kern w:val="0"/>
          <w:szCs w:val="21"/>
          <w:highlight w:val="none"/>
        </w:rPr>
        <w:t>“广西政府采购云平台”，</w:t>
      </w:r>
      <w:r>
        <w:rPr>
          <w:rFonts w:hint="eastAsia" w:ascii="宋体" w:hAnsi="宋体"/>
          <w:color w:val="auto"/>
          <w:szCs w:val="21"/>
          <w:highlight w:val="none"/>
        </w:rPr>
        <w:t>进入“服务中心”中查看</w:t>
      </w:r>
      <w:r>
        <w:rPr>
          <w:rFonts w:hint="eastAsia" w:ascii="宋体" w:hAnsi="宋体" w:cs="宋体"/>
          <w:color w:val="auto"/>
          <w:szCs w:val="21"/>
          <w:highlight w:val="none"/>
        </w:rPr>
        <w:t xml:space="preserve"> “电子投标文件制作与投送教程”）</w:t>
      </w:r>
    </w:p>
    <w:bookmarkEnd w:id="71"/>
    <w:bookmarkEnd w:id="72"/>
    <w:p w14:paraId="1AE215D1">
      <w:pPr>
        <w:pStyle w:val="48"/>
        <w:pageBreakBefore w:val="0"/>
        <w:kinsoku/>
        <w:topLinePunct w:val="0"/>
        <w:bidi w:val="0"/>
        <w:spacing w:before="60" w:after="60" w:line="360" w:lineRule="auto"/>
        <w:ind w:firstLine="420"/>
        <w:rPr>
          <w:rFonts w:ascii="宋体" w:hAnsi="宋体" w:cs="宋体"/>
          <w:color w:val="auto"/>
          <w:sz w:val="21"/>
          <w:szCs w:val="21"/>
          <w:highlight w:val="none"/>
        </w:rPr>
      </w:pPr>
      <w:r>
        <w:rPr>
          <w:rFonts w:ascii="宋体" w:hAnsi="宋体" w:cs="宋体"/>
          <w:color w:val="auto"/>
          <w:sz w:val="21"/>
          <w:szCs w:val="21"/>
          <w:highlight w:val="none"/>
        </w:rPr>
        <w:t>2</w:t>
      </w:r>
      <w:r>
        <w:rPr>
          <w:rFonts w:hint="eastAsia" w:ascii="宋体" w:hAnsi="宋体" w:cs="宋体"/>
          <w:color w:val="auto"/>
          <w:sz w:val="21"/>
          <w:szCs w:val="21"/>
          <w:highlight w:val="none"/>
        </w:rPr>
        <w:t>1</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2在提交响应文件截止时间前，除供应商补充、修改或者撤回响应文件外，任何单位和个人不得解密或提取响应文件。</w:t>
      </w:r>
    </w:p>
    <w:p w14:paraId="7381A656">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bookmarkStart w:id="73" w:name="_Hlk45702405"/>
      <w:r>
        <w:rPr>
          <w:rFonts w:hint="eastAsia" w:ascii="黑体" w:hAnsi="黑体" w:eastAsia="黑体" w:cs="宋体"/>
          <w:b/>
          <w:bCs/>
          <w:color w:val="auto"/>
          <w:sz w:val="24"/>
          <w:highlight w:val="none"/>
        </w:rPr>
        <w:t>22</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响应文件的退回</w:t>
      </w:r>
    </w:p>
    <w:p w14:paraId="3CEED286">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采购人和采购代理机构对已提交的响应文件概不退回。</w:t>
      </w:r>
    </w:p>
    <w:p w14:paraId="08CB46E5">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23</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截止时间后的撤回</w:t>
      </w:r>
    </w:p>
    <w:p w14:paraId="5C375C8E">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供应商在响应文件提交截止时间后向采购人、采购代理机构书面申请撤回响应文件的，将根据本须知正文17</w:t>
      </w:r>
      <w:r>
        <w:rPr>
          <w:rFonts w:hint="eastAsia" w:ascii="宋体" w:hAnsi="宋体" w:cs="宋体"/>
          <w:color w:val="auto"/>
          <w:szCs w:val="21"/>
          <w:highlight w:val="none"/>
          <w:lang w:eastAsia="zh-CN"/>
        </w:rPr>
        <w:t>.</w:t>
      </w:r>
      <w:r>
        <w:rPr>
          <w:rFonts w:hint="eastAsia" w:ascii="宋体" w:hAnsi="宋体" w:cs="宋体"/>
          <w:color w:val="auto"/>
          <w:szCs w:val="21"/>
          <w:highlight w:val="none"/>
        </w:rPr>
        <w:t>4的规定不予退还其磋商保证金。</w:t>
      </w:r>
    </w:p>
    <w:bookmarkEnd w:id="73"/>
    <w:p w14:paraId="016FA64B">
      <w:pPr>
        <w:pageBreakBefore w:val="0"/>
        <w:kinsoku/>
        <w:topLinePunct w:val="0"/>
        <w:bidi w:val="0"/>
        <w:spacing w:before="60" w:after="60" w:line="360" w:lineRule="auto"/>
        <w:rPr>
          <w:rFonts w:ascii="宋体" w:hAnsi="宋体"/>
          <w:color w:val="auto"/>
          <w:szCs w:val="21"/>
          <w:highlight w:val="none"/>
        </w:rPr>
      </w:pPr>
    </w:p>
    <w:p w14:paraId="75E8E755">
      <w:pPr>
        <w:pageBreakBefore w:val="0"/>
        <w:kinsoku/>
        <w:topLinePunct w:val="0"/>
        <w:bidi w:val="0"/>
        <w:spacing w:before="60" w:after="60" w:line="360" w:lineRule="auto"/>
        <w:ind w:left="420" w:firstLine="420"/>
        <w:jc w:val="center"/>
        <w:rPr>
          <w:rFonts w:ascii="宋体" w:hAnsi="宋体"/>
          <w:b/>
          <w:bCs/>
          <w:color w:val="auto"/>
          <w:sz w:val="32"/>
          <w:szCs w:val="32"/>
          <w:highlight w:val="none"/>
        </w:rPr>
      </w:pPr>
      <w:r>
        <w:rPr>
          <w:rFonts w:hint="eastAsia" w:ascii="宋体" w:hAnsi="宋体"/>
          <w:b/>
          <w:bCs/>
          <w:color w:val="auto"/>
          <w:sz w:val="32"/>
          <w:szCs w:val="32"/>
          <w:highlight w:val="none"/>
        </w:rPr>
        <w:t>四、评审及磋商</w:t>
      </w:r>
    </w:p>
    <w:p w14:paraId="07C3D865">
      <w:pPr>
        <w:pageBreakBefore w:val="0"/>
        <w:kinsoku/>
        <w:topLinePunct w:val="0"/>
        <w:bidi w:val="0"/>
        <w:spacing w:before="60" w:after="60" w:line="360" w:lineRule="auto"/>
        <w:ind w:left="420" w:firstLine="420"/>
        <w:rPr>
          <w:rFonts w:ascii="宋体" w:hAnsi="宋体"/>
          <w:color w:val="auto"/>
          <w:szCs w:val="21"/>
          <w:highlight w:val="none"/>
        </w:rPr>
      </w:pPr>
    </w:p>
    <w:p w14:paraId="1B1F0C99">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24</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磋商小组成立</w:t>
      </w:r>
    </w:p>
    <w:p w14:paraId="5F7D4526">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w:t>
      </w:r>
      <w:r>
        <w:rPr>
          <w:rFonts w:hint="eastAsia" w:ascii="宋体" w:hAnsi="宋体" w:cs="宋体"/>
          <w:color w:val="auto"/>
          <w:szCs w:val="21"/>
          <w:highlight w:val="none"/>
          <w:lang w:eastAsia="zh-CN"/>
        </w:rPr>
        <w:t>.</w:t>
      </w:r>
      <w:r>
        <w:rPr>
          <w:rFonts w:hint="eastAsia" w:ascii="宋体" w:hAnsi="宋体" w:cs="宋体"/>
          <w:color w:val="auto"/>
          <w:szCs w:val="21"/>
          <w:highlight w:val="none"/>
        </w:rPr>
        <w:t>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42C53E2A">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w:t>
      </w:r>
      <w:r>
        <w:rPr>
          <w:rFonts w:hint="eastAsia" w:ascii="宋体" w:hAnsi="宋体" w:cs="宋体"/>
          <w:color w:val="auto"/>
          <w:szCs w:val="21"/>
          <w:highlight w:val="none"/>
          <w:lang w:eastAsia="zh-CN"/>
        </w:rPr>
        <w:t>.</w:t>
      </w:r>
      <w:r>
        <w:rPr>
          <w:rFonts w:hint="eastAsia" w:ascii="宋体" w:hAnsi="宋体" w:cs="宋体"/>
          <w:color w:val="auto"/>
          <w:szCs w:val="21"/>
          <w:highlight w:val="none"/>
        </w:rPr>
        <w:t>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5ECF5773">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w:t>
      </w:r>
      <w:r>
        <w:rPr>
          <w:rFonts w:hint="eastAsia" w:ascii="宋体" w:hAnsi="宋体" w:cs="宋体"/>
          <w:color w:val="auto"/>
          <w:szCs w:val="21"/>
          <w:highlight w:val="none"/>
          <w:lang w:eastAsia="zh-CN"/>
        </w:rPr>
        <w:t>.</w:t>
      </w:r>
      <w:r>
        <w:rPr>
          <w:rFonts w:hint="eastAsia" w:ascii="宋体" w:hAnsi="宋体" w:cs="宋体"/>
          <w:color w:val="auto"/>
          <w:szCs w:val="21"/>
          <w:highlight w:val="none"/>
        </w:rPr>
        <w:t>3</w:t>
      </w:r>
      <w:r>
        <w:rPr>
          <w:rFonts w:hint="eastAsia" w:hAnsi="宋体"/>
          <w:bCs/>
          <w:color w:val="auto"/>
          <w:szCs w:val="21"/>
          <w:highlight w:val="none"/>
        </w:rPr>
        <w:t>采购代理机构</w:t>
      </w:r>
      <w:r>
        <w:rPr>
          <w:rFonts w:hint="eastAsia" w:hAnsi="宋体"/>
          <w:bCs/>
          <w:color w:val="auto"/>
          <w:highlight w:val="none"/>
        </w:rPr>
        <w:t>应当</w:t>
      </w:r>
      <w:r>
        <w:rPr>
          <w:rFonts w:hint="eastAsia" w:hAnsi="宋体"/>
          <w:bCs/>
          <w:color w:val="auto"/>
          <w:szCs w:val="21"/>
          <w:highlight w:val="none"/>
        </w:rPr>
        <w:t>基于“广西政府采购云平台”</w:t>
      </w:r>
      <w:r>
        <w:rPr>
          <w:rFonts w:hint="eastAsia" w:hAnsi="宋体"/>
          <w:bCs/>
          <w:color w:val="auto"/>
          <w:highlight w:val="none"/>
        </w:rPr>
        <w:t>抽（选）取</w:t>
      </w:r>
      <w:r>
        <w:rPr>
          <w:rFonts w:hint="eastAsia" w:hAnsi="宋体"/>
          <w:bCs/>
          <w:color w:val="auto"/>
          <w:szCs w:val="21"/>
          <w:highlight w:val="none"/>
        </w:rPr>
        <w:t>评审专家。</w:t>
      </w:r>
    </w:p>
    <w:p w14:paraId="7B88487B">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25</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首次响应文件的开启和解密</w:t>
      </w:r>
    </w:p>
    <w:p w14:paraId="0FAE90D5">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hAnsi="宋体"/>
          <w:bCs/>
          <w:color w:val="auto"/>
          <w:highlight w:val="none"/>
        </w:rPr>
        <w:t>采购代理机构将在“供应商须知前附表”规定的时</w:t>
      </w:r>
      <w:r>
        <w:rPr>
          <w:rFonts w:hint="eastAsia" w:hAnsi="宋体"/>
          <w:color w:val="auto"/>
          <w:highlight w:val="none"/>
        </w:rPr>
        <w:t>间通过电子交易平台组织响应文件开启，供应商的法定代表人或其委托代理人须携带加密时所用的CA锁，按平台提示和磋商文件的规定登录到“广西政府采购云平台”电子开标大厅签到，</w:t>
      </w:r>
      <w:r>
        <w:rPr>
          <w:rFonts w:hint="eastAsia"/>
          <w:color w:val="auto"/>
          <w:highlight w:val="none"/>
        </w:rPr>
        <w:t>采购代理机构依托“广西政府采购云平台”向各供应商发出电子加密响应文件【开始解密】通知，由供应商按</w:t>
      </w:r>
      <w:r>
        <w:rPr>
          <w:rFonts w:hint="eastAsia" w:hAnsi="宋体"/>
          <w:bCs/>
          <w:color w:val="auto"/>
          <w:szCs w:val="21"/>
          <w:highlight w:val="none"/>
        </w:rPr>
        <w:t>“供应商须知前附表”</w:t>
      </w:r>
      <w:r>
        <w:rPr>
          <w:rFonts w:hint="eastAsia"/>
          <w:color w:val="auto"/>
          <w:highlight w:val="none"/>
        </w:rPr>
        <w:t>规定的时间内自行进行响应文件解密</w:t>
      </w:r>
      <w:r>
        <w:rPr>
          <w:rFonts w:hint="eastAsia" w:hAnsi="宋体"/>
          <w:color w:val="auto"/>
          <w:highlight w:val="none"/>
        </w:rPr>
        <w:t>。</w:t>
      </w:r>
      <w:r>
        <w:rPr>
          <w:rFonts w:hint="eastAsia"/>
          <w:b/>
          <w:color w:val="auto"/>
          <w:highlight w:val="none"/>
        </w:rPr>
        <w:t>供应商未在</w:t>
      </w:r>
      <w:r>
        <w:rPr>
          <w:b/>
          <w:color w:val="auto"/>
          <w:highlight w:val="none"/>
        </w:rPr>
        <w:t>规定的时间内解密</w:t>
      </w:r>
      <w:r>
        <w:rPr>
          <w:rFonts w:hint="eastAsia"/>
          <w:b/>
          <w:color w:val="auto"/>
          <w:highlight w:val="none"/>
        </w:rPr>
        <w:t>响应文件</w:t>
      </w:r>
      <w:r>
        <w:rPr>
          <w:b/>
          <w:color w:val="auto"/>
          <w:highlight w:val="none"/>
        </w:rPr>
        <w:t>或</w:t>
      </w:r>
      <w:r>
        <w:rPr>
          <w:rFonts w:hint="eastAsia"/>
          <w:b/>
          <w:color w:val="auto"/>
          <w:highlight w:val="none"/>
        </w:rPr>
        <w:t>者</w:t>
      </w:r>
      <w:r>
        <w:rPr>
          <w:b/>
          <w:color w:val="auto"/>
          <w:highlight w:val="none"/>
        </w:rPr>
        <w:t>解密失败的</w:t>
      </w:r>
      <w:r>
        <w:rPr>
          <w:rFonts w:hint="eastAsia"/>
          <w:b/>
          <w:color w:val="auto"/>
          <w:highlight w:val="none"/>
        </w:rPr>
        <w:t>，供应商</w:t>
      </w:r>
      <w:r>
        <w:rPr>
          <w:rFonts w:hint="eastAsia" w:ascii="宋体" w:hAnsi="宋体"/>
          <w:b/>
          <w:color w:val="auto"/>
          <w:szCs w:val="21"/>
          <w:highlight w:val="none"/>
        </w:rPr>
        <w:t>的响应文件作无效处理</w:t>
      </w:r>
      <w:r>
        <w:rPr>
          <w:b/>
          <w:color w:val="auto"/>
          <w:highlight w:val="none"/>
        </w:rPr>
        <w:t>。</w:t>
      </w:r>
    </w:p>
    <w:p w14:paraId="3167E0CF">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26</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评审程序、评审方法和评审标准</w:t>
      </w:r>
    </w:p>
    <w:p w14:paraId="7EC79C09">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w:t>
      </w:r>
      <w:r>
        <w:rPr>
          <w:rFonts w:hint="eastAsia" w:ascii="宋体" w:hAnsi="宋体" w:cs="宋体"/>
          <w:color w:val="auto"/>
          <w:szCs w:val="21"/>
          <w:highlight w:val="none"/>
          <w:lang w:eastAsia="zh-CN"/>
        </w:rPr>
        <w:t>.</w:t>
      </w:r>
      <w:r>
        <w:rPr>
          <w:rFonts w:hint="eastAsia" w:ascii="宋体" w:hAnsi="宋体" w:cs="宋体"/>
          <w:color w:val="auto"/>
          <w:szCs w:val="21"/>
          <w:highlight w:val="none"/>
        </w:rPr>
        <w:t>1本项目的评审方法为综合评分法。</w:t>
      </w:r>
    </w:p>
    <w:p w14:paraId="7C54BCF0">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26</w:t>
      </w:r>
      <w:r>
        <w:rPr>
          <w:rFonts w:hint="eastAsia" w:ascii="宋体" w:hAnsi="宋体" w:cs="宋体"/>
          <w:color w:val="auto"/>
          <w:szCs w:val="21"/>
          <w:highlight w:val="none"/>
          <w:lang w:eastAsia="zh-CN"/>
        </w:rPr>
        <w:t>.</w:t>
      </w:r>
      <w:r>
        <w:rPr>
          <w:rFonts w:ascii="宋体" w:hAnsi="宋体" w:cs="宋体"/>
          <w:color w:val="auto"/>
          <w:szCs w:val="21"/>
          <w:highlight w:val="none"/>
        </w:rPr>
        <w:t>2</w:t>
      </w:r>
      <w:r>
        <w:rPr>
          <w:rFonts w:hint="eastAsia" w:ascii="宋体" w:hAnsi="宋体" w:cs="宋体"/>
          <w:color w:val="auto"/>
          <w:szCs w:val="21"/>
          <w:highlight w:val="none"/>
        </w:rPr>
        <w:t>磋商小组</w:t>
      </w:r>
      <w:r>
        <w:rPr>
          <w:rFonts w:ascii="宋体" w:hAnsi="宋体" w:cs="宋体"/>
          <w:color w:val="auto"/>
          <w:szCs w:val="21"/>
          <w:highlight w:val="none"/>
        </w:rPr>
        <w:t>按照</w:t>
      </w:r>
      <w:r>
        <w:rPr>
          <w:rFonts w:hint="eastAsia" w:ascii="宋体" w:hAnsi="宋体" w:cs="宋体"/>
          <w:color w:val="auto"/>
          <w:szCs w:val="21"/>
          <w:highlight w:val="none"/>
        </w:rPr>
        <w:t>“第四章 评审程序、评审方法和评审标准”</w:t>
      </w:r>
      <w:r>
        <w:rPr>
          <w:rFonts w:ascii="宋体" w:hAnsi="宋体" w:cs="宋体"/>
          <w:color w:val="auto"/>
          <w:szCs w:val="21"/>
          <w:highlight w:val="none"/>
        </w:rPr>
        <w:t>规定的方法、评审因素、标准和程序对</w:t>
      </w:r>
      <w:r>
        <w:rPr>
          <w:rFonts w:hint="eastAsia" w:ascii="宋体" w:hAnsi="宋体" w:cs="宋体"/>
          <w:color w:val="auto"/>
          <w:szCs w:val="21"/>
          <w:highlight w:val="none"/>
        </w:rPr>
        <w:t>响应</w:t>
      </w:r>
      <w:r>
        <w:rPr>
          <w:rFonts w:ascii="宋体" w:hAnsi="宋体" w:cs="宋体"/>
          <w:color w:val="auto"/>
          <w:szCs w:val="21"/>
          <w:highlight w:val="none"/>
        </w:rPr>
        <w:t>文件进行评审。</w:t>
      </w:r>
    </w:p>
    <w:p w14:paraId="689D184C">
      <w:pPr>
        <w:pageBreakBefore w:val="0"/>
        <w:kinsoku/>
        <w:topLinePunct w:val="0"/>
        <w:bidi w:val="0"/>
        <w:spacing w:before="60" w:after="60" w:line="360" w:lineRule="auto"/>
        <w:ind w:firstLine="420" w:firstLineChars="200"/>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6</w:t>
      </w:r>
      <w:r>
        <w:rPr>
          <w:rFonts w:hint="eastAsia" w:ascii="宋体" w:hAnsi="宋体"/>
          <w:color w:val="auto"/>
          <w:szCs w:val="21"/>
          <w:highlight w:val="none"/>
          <w:lang w:eastAsia="zh-CN"/>
        </w:rPr>
        <w:t>.</w:t>
      </w:r>
      <w:r>
        <w:rPr>
          <w:rFonts w:ascii="宋体" w:hAnsi="宋体"/>
          <w:color w:val="auto"/>
          <w:szCs w:val="21"/>
          <w:highlight w:val="none"/>
        </w:rPr>
        <w:t xml:space="preserve">3 </w:t>
      </w:r>
      <w:r>
        <w:rPr>
          <w:rFonts w:hint="eastAsia" w:ascii="宋体" w:hAnsi="宋体"/>
          <w:color w:val="auto"/>
          <w:szCs w:val="21"/>
          <w:highlight w:val="none"/>
        </w:rPr>
        <w:t>商务/技术要求允许负偏离的条款数详见“供应商须知前附表”。</w:t>
      </w:r>
    </w:p>
    <w:p w14:paraId="5CFAC264">
      <w:pPr>
        <w:pageBreakBefore w:val="0"/>
        <w:kinsoku/>
        <w:topLinePunct w:val="0"/>
        <w:bidi w:val="0"/>
        <w:spacing w:before="60" w:after="60" w:line="360" w:lineRule="auto"/>
        <w:ind w:firstLine="420" w:firstLineChars="200"/>
        <w:rPr>
          <w:rFonts w:ascii="宋体" w:hAnsi="宋体"/>
          <w:color w:val="auto"/>
          <w:szCs w:val="21"/>
          <w:highlight w:val="none"/>
        </w:rPr>
      </w:pPr>
      <w:r>
        <w:rPr>
          <w:rFonts w:hint="eastAsia" w:ascii="宋体" w:hAnsi="宋体" w:cs="宋体"/>
          <w:color w:val="auto"/>
          <w:highlight w:val="none"/>
        </w:rPr>
        <w:t>26</w:t>
      </w:r>
      <w:r>
        <w:rPr>
          <w:rFonts w:hint="eastAsia" w:ascii="宋体" w:hAnsi="宋体" w:cs="宋体"/>
          <w:color w:val="auto"/>
          <w:highlight w:val="none"/>
          <w:lang w:eastAsia="zh-CN"/>
        </w:rPr>
        <w:t>.</w:t>
      </w:r>
      <w:r>
        <w:rPr>
          <w:rFonts w:ascii="宋体" w:hAnsi="宋体" w:cs="宋体"/>
          <w:color w:val="auto"/>
          <w:highlight w:val="none"/>
        </w:rPr>
        <w:t>4</w:t>
      </w:r>
      <w:r>
        <w:rPr>
          <w:rFonts w:hint="eastAsia" w:ascii="宋体" w:hAnsi="宋体" w:cs="宋体"/>
          <w:color w:val="auto"/>
          <w:highlight w:val="none"/>
        </w:rPr>
        <w:t>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69FC396D">
      <w:pPr>
        <w:pageBreakBefore w:val="0"/>
        <w:kinsoku/>
        <w:topLinePunct w:val="0"/>
        <w:bidi w:val="0"/>
        <w:spacing w:before="60" w:after="60" w:line="360" w:lineRule="auto"/>
        <w:ind w:firstLine="420" w:firstLineChars="200"/>
        <w:rPr>
          <w:rFonts w:hAnsi="宋体"/>
          <w:color w:val="auto"/>
          <w:highlight w:val="none"/>
        </w:rPr>
      </w:pPr>
      <w:r>
        <w:rPr>
          <w:rFonts w:hint="eastAsia" w:ascii="宋体" w:hAnsi="宋体" w:cs="宋体"/>
          <w:color w:val="auto"/>
          <w:highlight w:val="none"/>
        </w:rPr>
        <w:t>2</w:t>
      </w:r>
      <w:r>
        <w:rPr>
          <w:rFonts w:ascii="宋体" w:hAnsi="宋体" w:cs="宋体"/>
          <w:color w:val="auto"/>
          <w:highlight w:val="none"/>
        </w:rPr>
        <w:t>6</w:t>
      </w:r>
      <w:r>
        <w:rPr>
          <w:rFonts w:hint="eastAsia" w:ascii="宋体" w:hAnsi="宋体" w:cs="宋体"/>
          <w:color w:val="auto"/>
          <w:highlight w:val="none"/>
          <w:lang w:eastAsia="zh-CN"/>
        </w:rPr>
        <w:t>.</w:t>
      </w:r>
      <w:r>
        <w:rPr>
          <w:rFonts w:ascii="宋体" w:hAnsi="宋体" w:cs="宋体"/>
          <w:color w:val="auto"/>
          <w:highlight w:val="none"/>
        </w:rPr>
        <w:t>5</w:t>
      </w:r>
      <w:r>
        <w:rPr>
          <w:rFonts w:hint="eastAsia" w:hAnsi="宋体"/>
          <w:color w:val="auto"/>
          <w:highlight w:val="none"/>
        </w:rPr>
        <w:t>电子交易活动的中止。采购过程中出现以下情形，导致电子交易平台无法正常运行，或者无法保证电子交易的公平、公正和安全时，采购机构可中止电子交易活动：</w:t>
      </w:r>
    </w:p>
    <w:p w14:paraId="11F8DAEE">
      <w:pPr>
        <w:pageBreakBefore w:val="0"/>
        <w:kinsoku/>
        <w:topLinePunct w:val="0"/>
        <w:bidi w:val="0"/>
        <w:spacing w:before="60" w:after="60" w:line="360" w:lineRule="auto"/>
        <w:ind w:firstLine="420" w:firstLineChars="200"/>
        <w:rPr>
          <w:rFonts w:hAnsi="宋体"/>
          <w:color w:val="auto"/>
          <w:highlight w:val="none"/>
        </w:rPr>
      </w:pPr>
      <w:r>
        <w:rPr>
          <w:rFonts w:hint="eastAsia" w:hAnsi="宋体"/>
          <w:color w:val="auto"/>
          <w:highlight w:val="none"/>
        </w:rPr>
        <w:t xml:space="preserve">（1）电子交易平台发生故障而无法登录访问的； </w:t>
      </w:r>
    </w:p>
    <w:p w14:paraId="4373F1A1">
      <w:pPr>
        <w:pageBreakBefore w:val="0"/>
        <w:kinsoku/>
        <w:topLinePunct w:val="0"/>
        <w:bidi w:val="0"/>
        <w:spacing w:before="60" w:after="60" w:line="360" w:lineRule="auto"/>
        <w:ind w:firstLine="420" w:firstLineChars="200"/>
        <w:rPr>
          <w:rFonts w:hAnsi="宋体"/>
          <w:color w:val="auto"/>
          <w:highlight w:val="none"/>
        </w:rPr>
      </w:pPr>
      <w:r>
        <w:rPr>
          <w:rFonts w:hint="eastAsia" w:hAnsi="宋体"/>
          <w:color w:val="auto"/>
          <w:highlight w:val="none"/>
        </w:rPr>
        <w:t>（2）电子交易平台应用或数据库出现错误，不能进行正常操作的；</w:t>
      </w:r>
    </w:p>
    <w:p w14:paraId="19B115F6">
      <w:pPr>
        <w:pageBreakBefore w:val="0"/>
        <w:kinsoku/>
        <w:topLinePunct w:val="0"/>
        <w:bidi w:val="0"/>
        <w:spacing w:before="60" w:after="60" w:line="360" w:lineRule="auto"/>
        <w:ind w:firstLine="420" w:firstLineChars="200"/>
        <w:rPr>
          <w:rFonts w:hAnsi="宋体"/>
          <w:color w:val="auto"/>
          <w:highlight w:val="none"/>
        </w:rPr>
      </w:pPr>
      <w:r>
        <w:rPr>
          <w:rFonts w:hint="eastAsia" w:hAnsi="宋体"/>
          <w:color w:val="auto"/>
          <w:highlight w:val="none"/>
        </w:rPr>
        <w:t>（3）电子交易平台发现严重安全漏洞，有潜在泄密危险的；</w:t>
      </w:r>
    </w:p>
    <w:p w14:paraId="1896509C">
      <w:pPr>
        <w:pageBreakBefore w:val="0"/>
        <w:kinsoku/>
        <w:topLinePunct w:val="0"/>
        <w:bidi w:val="0"/>
        <w:spacing w:before="60" w:after="60" w:line="360" w:lineRule="auto"/>
        <w:ind w:firstLine="420" w:firstLineChars="200"/>
        <w:rPr>
          <w:rFonts w:hAnsi="宋体"/>
          <w:color w:val="auto"/>
          <w:highlight w:val="none"/>
        </w:rPr>
      </w:pPr>
      <w:r>
        <w:rPr>
          <w:rFonts w:hint="eastAsia" w:hAnsi="宋体"/>
          <w:color w:val="auto"/>
          <w:highlight w:val="none"/>
        </w:rPr>
        <w:t xml:space="preserve">（4）病毒发作导致不能进行正常操作的； </w:t>
      </w:r>
    </w:p>
    <w:p w14:paraId="53778A90">
      <w:pPr>
        <w:pageBreakBefore w:val="0"/>
        <w:kinsoku/>
        <w:topLinePunct w:val="0"/>
        <w:bidi w:val="0"/>
        <w:spacing w:before="60" w:after="60" w:line="360" w:lineRule="auto"/>
        <w:ind w:firstLine="420" w:firstLineChars="200"/>
        <w:rPr>
          <w:rFonts w:hAnsi="宋体"/>
          <w:color w:val="auto"/>
          <w:highlight w:val="none"/>
        </w:rPr>
      </w:pPr>
      <w:r>
        <w:rPr>
          <w:rFonts w:hint="eastAsia" w:hAnsi="宋体"/>
          <w:color w:val="auto"/>
          <w:highlight w:val="none"/>
        </w:rPr>
        <w:t>（5）其他无法保证电子交易的公平、公正和安全的情况。</w:t>
      </w:r>
    </w:p>
    <w:p w14:paraId="62281437">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olor w:val="auto"/>
          <w:highlight w:val="none"/>
        </w:rPr>
        <w:t>26</w:t>
      </w:r>
      <w:r>
        <w:rPr>
          <w:rFonts w:hint="eastAsia" w:ascii="宋体" w:hAnsi="宋体"/>
          <w:color w:val="auto"/>
          <w:highlight w:val="none"/>
          <w:lang w:eastAsia="zh-CN"/>
        </w:rPr>
        <w:t>.</w:t>
      </w:r>
      <w:r>
        <w:rPr>
          <w:rFonts w:ascii="宋体" w:hAnsi="宋体"/>
          <w:color w:val="auto"/>
          <w:highlight w:val="none"/>
        </w:rPr>
        <w:t>6</w:t>
      </w:r>
      <w:r>
        <w:rPr>
          <w:rFonts w:hint="eastAsia" w:hAnsi="宋体"/>
          <w:color w:val="auto"/>
          <w:highlight w:val="none"/>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62AD3864">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27</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确定成交供应商及结果公告</w:t>
      </w:r>
    </w:p>
    <w:p w14:paraId="52B7B7AD">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lang w:eastAsia="zh-CN"/>
        </w:rPr>
        <w:t>.</w:t>
      </w:r>
      <w:r>
        <w:rPr>
          <w:rFonts w:hint="eastAsia" w:ascii="宋体" w:hAnsi="宋体" w:cs="宋体"/>
          <w:color w:val="auto"/>
          <w:szCs w:val="21"/>
          <w:highlight w:val="none"/>
        </w:rPr>
        <w:t>1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406FB3CC">
      <w:pPr>
        <w:pageBreakBefore w:val="0"/>
        <w:kinsoku/>
        <w:topLinePunct w:val="0"/>
        <w:bidi w:val="0"/>
        <w:spacing w:before="60" w:after="60" w:line="360" w:lineRule="auto"/>
        <w:ind w:firstLine="420" w:firstLineChars="200"/>
        <w:rPr>
          <w:rFonts w:ascii="宋体" w:hAnsi="宋体" w:cs="Courier New"/>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lang w:eastAsia="zh-CN"/>
        </w:rPr>
        <w:t>.</w:t>
      </w:r>
      <w:r>
        <w:rPr>
          <w:rFonts w:hint="eastAsia" w:ascii="宋体" w:hAnsi="宋体" w:cs="宋体"/>
          <w:color w:val="auto"/>
          <w:szCs w:val="21"/>
          <w:highlight w:val="none"/>
        </w:rPr>
        <w:t>2采购代理机构应当在</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74" w:name="_Hlk66782294"/>
      <w:r>
        <w:rPr>
          <w:rFonts w:hint="eastAsia" w:ascii="宋体" w:hAnsi="宋体" w:cs="Courier New"/>
          <w:color w:val="auto"/>
          <w:szCs w:val="21"/>
          <w:highlight w:val="none"/>
        </w:rPr>
        <w:t>成交供应商享受</w:t>
      </w:r>
      <w:r>
        <w:rPr>
          <w:rFonts w:hint="eastAsia" w:ascii="宋体" w:hAnsi="宋体"/>
          <w:color w:val="auto"/>
          <w:szCs w:val="21"/>
          <w:highlight w:val="none"/>
        </w:rPr>
        <w:t>《政府采购促进中小企业发展管理办法》（财库〔2020〕46号）规定的中小企业扶持</w:t>
      </w:r>
      <w:r>
        <w:rPr>
          <w:rFonts w:hint="eastAsia" w:ascii="宋体" w:hAnsi="宋体" w:cs="Courier New"/>
          <w:color w:val="auto"/>
          <w:szCs w:val="21"/>
          <w:highlight w:val="none"/>
        </w:rPr>
        <w:t>政策的，采购人、采购代理机构应当随成交结果公开成交供应商的《中小企业声明函》。</w:t>
      </w:r>
      <w:bookmarkEnd w:id="74"/>
    </w:p>
    <w:p w14:paraId="4EADCE90">
      <w:pPr>
        <w:pageBreakBefore w:val="0"/>
        <w:kinsoku/>
        <w:topLinePunct w:val="0"/>
        <w:bidi w:val="0"/>
        <w:spacing w:before="60" w:after="6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27</w:t>
      </w:r>
      <w:r>
        <w:rPr>
          <w:rFonts w:hint="eastAsia" w:ascii="宋体" w:hAnsi="宋体" w:cs="Courier New"/>
          <w:color w:val="auto"/>
          <w:szCs w:val="21"/>
          <w:highlight w:val="none"/>
          <w:lang w:eastAsia="zh-CN"/>
        </w:rPr>
        <w:t>.</w:t>
      </w:r>
      <w:r>
        <w:rPr>
          <w:rFonts w:hint="eastAsia" w:ascii="宋体" w:hAnsi="宋体" w:cs="Courier New"/>
          <w:color w:val="auto"/>
          <w:szCs w:val="21"/>
          <w:highlight w:val="none"/>
        </w:rPr>
        <w:t>3出现下列情形之一的，采购人或者采购代理机构应当终止竞争性磋商采购活动，发布项目终止公告并说明原因，重新开展采购活动：</w:t>
      </w:r>
    </w:p>
    <w:p w14:paraId="677B738F">
      <w:pPr>
        <w:pageBreakBefore w:val="0"/>
        <w:kinsoku/>
        <w:topLinePunct w:val="0"/>
        <w:bidi w:val="0"/>
        <w:spacing w:before="60" w:after="6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（1）因情况变化，不再符合规定的竞争性磋商采购方式适用情形的；</w:t>
      </w:r>
    </w:p>
    <w:p w14:paraId="74108E15">
      <w:pPr>
        <w:pageBreakBefore w:val="0"/>
        <w:kinsoku/>
        <w:topLinePunct w:val="0"/>
        <w:bidi w:val="0"/>
        <w:spacing w:before="60" w:after="6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（2）出现影响采购公正的违法、违规行为的；</w:t>
      </w:r>
    </w:p>
    <w:p w14:paraId="4DAD6AC7">
      <w:pPr>
        <w:pageBreakBefore w:val="0"/>
        <w:kinsoku/>
        <w:topLinePunct w:val="0"/>
        <w:bidi w:val="0"/>
        <w:spacing w:before="60" w:after="60"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（3）除“第四章 评审程序、评审方法和评审标准”第4</w:t>
      </w:r>
      <w:r>
        <w:rPr>
          <w:rFonts w:hint="eastAsia" w:ascii="宋体" w:hAnsi="宋体" w:cs="Courier New"/>
          <w:color w:val="auto"/>
          <w:szCs w:val="21"/>
          <w:highlight w:val="none"/>
          <w:lang w:eastAsia="zh-CN"/>
        </w:rPr>
        <w:t>.</w:t>
      </w:r>
      <w:r>
        <w:rPr>
          <w:rFonts w:hint="eastAsia" w:ascii="宋体" w:hAnsi="宋体" w:cs="Courier New"/>
          <w:color w:val="auto"/>
          <w:szCs w:val="21"/>
          <w:highlight w:val="none"/>
        </w:rPr>
        <w:t>3条规定的情形外，在采购过程中符合要求的供应商或者报价未超过采购预算的供应商不足3家的。</w:t>
      </w:r>
    </w:p>
    <w:p w14:paraId="3979C9CF">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Courier New"/>
          <w:color w:val="auto"/>
          <w:szCs w:val="21"/>
          <w:highlight w:val="none"/>
        </w:rPr>
        <w:t>27</w:t>
      </w:r>
      <w:r>
        <w:rPr>
          <w:rFonts w:hint="eastAsia" w:ascii="宋体" w:hAnsi="宋体" w:cs="Courier New"/>
          <w:color w:val="auto"/>
          <w:szCs w:val="21"/>
          <w:highlight w:val="none"/>
          <w:lang w:eastAsia="zh-CN"/>
        </w:rPr>
        <w:t>.</w:t>
      </w:r>
      <w:r>
        <w:rPr>
          <w:rFonts w:hint="eastAsia" w:ascii="宋体" w:hAnsi="宋体" w:cs="Courier New"/>
          <w:color w:val="auto"/>
          <w:szCs w:val="21"/>
          <w:highlight w:val="none"/>
        </w:rPr>
        <w:t>4 在采购活动中因重大变故，采购任务取消的，采购人或者采购代理机构应当终止采购活动，通知所有参加采购活动的供应商，并将项目实施情况和采购任务取消原因报送本级财政部门。</w:t>
      </w:r>
    </w:p>
    <w:p w14:paraId="1F57C068">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28</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履约保证金</w:t>
      </w:r>
    </w:p>
    <w:p w14:paraId="560AF7A2">
      <w:pPr>
        <w:pageBreakBefore w:val="0"/>
        <w:kinsoku/>
        <w:topLinePunct w:val="0"/>
        <w:bidi w:val="0"/>
        <w:spacing w:before="60" w:after="60" w:line="360" w:lineRule="auto"/>
        <w:ind w:firstLine="424" w:firstLineChars="202"/>
        <w:rPr>
          <w:rFonts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lang w:eastAsia="zh-CN"/>
        </w:rPr>
        <w:t>.</w:t>
      </w:r>
      <w:r>
        <w:rPr>
          <w:rFonts w:hint="eastAsia" w:ascii="宋体" w:hAnsi="宋体" w:cs="宋体"/>
          <w:color w:val="auto"/>
          <w:szCs w:val="21"/>
          <w:highlight w:val="none"/>
        </w:rPr>
        <w:t>1履约保证金的金额、提交方式、退付的时间和条件详见 “供应商须知前附表”。成交供应商未按规定提交履约保证金的，视为拒绝</w:t>
      </w:r>
      <w:r>
        <w:rPr>
          <w:rFonts w:ascii="宋体" w:hAnsi="宋体"/>
          <w:color w:val="auto"/>
          <w:highlight w:val="none"/>
        </w:rPr>
        <w:t>与采购人</w:t>
      </w:r>
      <w:r>
        <w:rPr>
          <w:rFonts w:hint="eastAsia" w:ascii="宋体" w:hAnsi="宋体" w:cs="宋体"/>
          <w:color w:val="auto"/>
          <w:szCs w:val="21"/>
          <w:highlight w:val="none"/>
        </w:rPr>
        <w:t>签订合同。</w:t>
      </w:r>
    </w:p>
    <w:p w14:paraId="36E751D3">
      <w:pPr>
        <w:pageBreakBefore w:val="0"/>
        <w:kinsoku/>
        <w:topLinePunct w:val="0"/>
        <w:bidi w:val="0"/>
        <w:spacing w:before="60" w:after="60" w:line="360" w:lineRule="auto"/>
        <w:ind w:firstLine="424" w:firstLineChars="202"/>
        <w:rPr>
          <w:rFonts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lang w:eastAsia="zh-CN"/>
        </w:rPr>
        <w:t>.</w:t>
      </w:r>
      <w:r>
        <w:rPr>
          <w:rFonts w:hint="eastAsia" w:ascii="宋体" w:hAnsi="宋体" w:cs="宋体"/>
          <w:color w:val="auto"/>
          <w:szCs w:val="21"/>
          <w:highlight w:val="none"/>
        </w:rPr>
        <w:t>2在履约保证金退还日期前，若成交供应商的开户名称、开户银行、帐号有变动的，请以书面形式通知履约保证金收取单位，否则由此产生的后果由成交供应商自行承担。</w:t>
      </w:r>
    </w:p>
    <w:p w14:paraId="78E643CC">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29</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签订合同</w:t>
      </w:r>
    </w:p>
    <w:p w14:paraId="346D2B33">
      <w:pPr>
        <w:pageBreakBefore w:val="0"/>
        <w:kinsoku/>
        <w:topLinePunct w:val="0"/>
        <w:bidi w:val="0"/>
        <w:spacing w:before="60" w:after="60" w:line="360" w:lineRule="auto"/>
        <w:ind w:firstLine="424" w:firstLineChars="202"/>
        <w:rPr>
          <w:rFonts w:ascii="宋体" w:hAnsi="宋体" w:cs="宋体"/>
          <w:color w:val="auto"/>
          <w:szCs w:val="21"/>
          <w:highlight w:val="none"/>
        </w:rPr>
      </w:pPr>
      <w:r>
        <w:rPr>
          <w:rFonts w:hint="eastAsia" w:ascii="宋体" w:hAnsi="宋体" w:cs="宋体"/>
          <w:color w:val="auto"/>
          <w:szCs w:val="21"/>
          <w:highlight w:val="none"/>
        </w:rPr>
        <w:t>29</w:t>
      </w:r>
      <w:r>
        <w:rPr>
          <w:rFonts w:hint="eastAsia" w:ascii="宋体" w:hAnsi="宋体" w:cs="宋体"/>
          <w:color w:val="auto"/>
          <w:szCs w:val="21"/>
          <w:highlight w:val="none"/>
          <w:lang w:eastAsia="zh-CN"/>
        </w:rPr>
        <w:t>.</w:t>
      </w:r>
      <w:r>
        <w:rPr>
          <w:rFonts w:hint="eastAsia" w:ascii="宋体" w:hAnsi="宋体" w:cs="宋体"/>
          <w:color w:val="auto"/>
          <w:szCs w:val="21"/>
          <w:highlight w:val="none"/>
        </w:rPr>
        <w:t>1签订电子采购合同：成交供应商领取电子成交通知书后，在</w:t>
      </w:r>
      <w:r>
        <w:rPr>
          <w:rFonts w:hint="eastAsia" w:ascii="宋体" w:hAnsi="宋体" w:cs="宋体"/>
          <w:color w:val="auto"/>
          <w:szCs w:val="21"/>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14:paraId="601F14EC">
      <w:pPr>
        <w:pageBreakBefore w:val="0"/>
        <w:kinsoku/>
        <w:topLinePunct w:val="0"/>
        <w:bidi w:val="0"/>
        <w:spacing w:before="60" w:after="60" w:line="360" w:lineRule="auto"/>
        <w:ind w:firstLine="424" w:firstLineChars="202"/>
        <w:rPr>
          <w:rFonts w:ascii="宋体" w:hAnsi="宋体" w:cs="宋体"/>
          <w:color w:val="auto"/>
          <w:szCs w:val="21"/>
          <w:highlight w:val="none"/>
        </w:rPr>
      </w:pPr>
      <w:r>
        <w:rPr>
          <w:rFonts w:hint="eastAsia" w:ascii="宋体" w:hAnsi="宋体" w:cs="宋体"/>
          <w:color w:val="auto"/>
          <w:szCs w:val="21"/>
          <w:highlight w:val="none"/>
        </w:rPr>
        <w:t>线下签订纸质合同：供应商领取成交通知书后，按“供应商须知前附表”规定向采购人出示相关证明材料，经采购人核验合格后方可签订合同。</w:t>
      </w:r>
    </w:p>
    <w:p w14:paraId="2E49DCC2">
      <w:pPr>
        <w:pageBreakBefore w:val="0"/>
        <w:kinsoku/>
        <w:topLinePunct w:val="0"/>
        <w:bidi w:val="0"/>
        <w:spacing w:before="60" w:after="60" w:line="360" w:lineRule="auto"/>
        <w:ind w:firstLine="424" w:firstLineChars="202"/>
        <w:rPr>
          <w:rFonts w:ascii="宋体" w:hAnsi="宋体" w:cs="宋体"/>
          <w:color w:val="auto"/>
          <w:szCs w:val="21"/>
          <w:highlight w:val="none"/>
        </w:rPr>
      </w:pPr>
      <w:r>
        <w:rPr>
          <w:rFonts w:hint="eastAsia" w:ascii="宋体" w:hAnsi="宋体" w:cs="宋体"/>
          <w:color w:val="auto"/>
          <w:szCs w:val="21"/>
          <w:highlight w:val="none"/>
        </w:rPr>
        <w:t>29</w:t>
      </w:r>
      <w:r>
        <w:rPr>
          <w:rFonts w:hint="eastAsia" w:ascii="宋体" w:hAnsi="宋体" w:cs="宋体"/>
          <w:color w:val="auto"/>
          <w:szCs w:val="21"/>
          <w:highlight w:val="none"/>
          <w:lang w:eastAsia="zh-CN"/>
        </w:rPr>
        <w:t>.</w:t>
      </w:r>
      <w:r>
        <w:rPr>
          <w:rFonts w:hint="eastAsia" w:ascii="宋体" w:hAnsi="宋体" w:cs="宋体"/>
          <w:color w:val="auto"/>
          <w:szCs w:val="21"/>
          <w:highlight w:val="none"/>
        </w:rPr>
        <w:t>2签订合同时间：按成交通知书规定的时间与采购人签订合同。</w:t>
      </w:r>
    </w:p>
    <w:p w14:paraId="5FB1F7AA">
      <w:pPr>
        <w:pageBreakBefore w:val="0"/>
        <w:kinsoku/>
        <w:topLinePunct w:val="0"/>
        <w:bidi w:val="0"/>
        <w:spacing w:before="60" w:after="60" w:line="360" w:lineRule="auto"/>
        <w:ind w:firstLine="424" w:firstLineChars="202"/>
        <w:rPr>
          <w:rFonts w:ascii="宋体" w:hAnsi="宋体" w:cs="宋体"/>
          <w:color w:val="auto"/>
          <w:szCs w:val="21"/>
          <w:highlight w:val="none"/>
        </w:rPr>
      </w:pPr>
      <w:r>
        <w:rPr>
          <w:rFonts w:hint="eastAsia" w:ascii="宋体" w:hAnsi="宋体" w:cs="宋体"/>
          <w:color w:val="auto"/>
          <w:szCs w:val="21"/>
          <w:highlight w:val="none"/>
        </w:rPr>
        <w:t>29</w:t>
      </w:r>
      <w:r>
        <w:rPr>
          <w:rFonts w:hint="eastAsia" w:ascii="宋体" w:hAnsi="宋体" w:cs="宋体"/>
          <w:color w:val="auto"/>
          <w:szCs w:val="21"/>
          <w:highlight w:val="none"/>
          <w:lang w:eastAsia="zh-CN"/>
        </w:rPr>
        <w:t>.</w:t>
      </w:r>
      <w:r>
        <w:rPr>
          <w:rFonts w:ascii="宋体" w:hAnsi="宋体" w:cs="宋体"/>
          <w:color w:val="auto"/>
          <w:szCs w:val="21"/>
          <w:highlight w:val="none"/>
        </w:rPr>
        <w:t>3</w:t>
      </w:r>
      <w:r>
        <w:rPr>
          <w:rFonts w:hint="eastAsia" w:ascii="宋体" w:hAnsi="宋体" w:cs="宋体"/>
          <w:color w:val="auto"/>
          <w:szCs w:val="21"/>
          <w:highlight w:val="none"/>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27352938">
      <w:pPr>
        <w:pageBreakBefore w:val="0"/>
        <w:kinsoku/>
        <w:topLinePunct w:val="0"/>
        <w:bidi w:val="0"/>
        <w:spacing w:before="60" w:after="60" w:line="360" w:lineRule="auto"/>
        <w:ind w:firstLine="424" w:firstLineChars="202"/>
        <w:rPr>
          <w:rFonts w:ascii="宋体" w:hAnsi="宋体" w:cs="宋体"/>
          <w:color w:val="auto"/>
          <w:szCs w:val="21"/>
          <w:highlight w:val="none"/>
        </w:rPr>
      </w:pPr>
      <w:r>
        <w:rPr>
          <w:rFonts w:hint="eastAsia" w:ascii="宋体" w:hAnsi="宋体" w:cs="宋体"/>
          <w:color w:val="auto"/>
          <w:szCs w:val="21"/>
          <w:highlight w:val="none"/>
        </w:rPr>
        <w:t>29</w:t>
      </w:r>
      <w:r>
        <w:rPr>
          <w:rFonts w:hint="eastAsia" w:ascii="宋体" w:hAnsi="宋体" w:cs="宋体"/>
          <w:color w:val="auto"/>
          <w:szCs w:val="21"/>
          <w:highlight w:val="none"/>
          <w:lang w:eastAsia="zh-CN"/>
        </w:rPr>
        <w:t>.</w:t>
      </w:r>
      <w:r>
        <w:rPr>
          <w:rFonts w:hint="eastAsia" w:ascii="宋体" w:hAnsi="宋体" w:cs="宋体"/>
          <w:color w:val="auto"/>
          <w:szCs w:val="21"/>
          <w:highlight w:val="none"/>
        </w:rPr>
        <w:t>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4777FA87">
      <w:pPr>
        <w:pageBreakBefore w:val="0"/>
        <w:kinsoku/>
        <w:topLinePunct w:val="0"/>
        <w:bidi w:val="0"/>
        <w:spacing w:before="60" w:after="60" w:line="360" w:lineRule="auto"/>
        <w:ind w:firstLine="424" w:firstLineChars="202"/>
        <w:rPr>
          <w:rFonts w:ascii="宋体" w:hAnsi="宋体" w:cs="宋体"/>
          <w:color w:val="auto"/>
          <w:szCs w:val="21"/>
          <w:highlight w:val="none"/>
        </w:rPr>
      </w:pPr>
      <w:r>
        <w:rPr>
          <w:rFonts w:hint="eastAsia" w:ascii="宋体" w:hAnsi="宋体" w:cs="宋体"/>
          <w:color w:val="auto"/>
          <w:szCs w:val="21"/>
          <w:highlight w:val="none"/>
        </w:rPr>
        <w:t>29</w:t>
      </w:r>
      <w:r>
        <w:rPr>
          <w:rFonts w:hint="eastAsia" w:ascii="宋体" w:hAnsi="宋体" w:cs="宋体"/>
          <w:color w:val="auto"/>
          <w:szCs w:val="21"/>
          <w:highlight w:val="none"/>
          <w:lang w:eastAsia="zh-CN"/>
        </w:rPr>
        <w:t>.</w:t>
      </w:r>
      <w:r>
        <w:rPr>
          <w:rFonts w:hint="eastAsia" w:ascii="宋体" w:hAnsi="宋体" w:cs="宋体"/>
          <w:color w:val="auto"/>
          <w:szCs w:val="21"/>
          <w:highlight w:val="none"/>
        </w:rPr>
        <w:t>5采购人或成交供应商不得单方面向合同另一方提出任何磋商文件没有约定的条件或不合理的要求，作为签订合同的条件；也不得协商另行订立背离磋商文件和合同实质性内容的协议。</w:t>
      </w:r>
    </w:p>
    <w:p w14:paraId="11503FD3">
      <w:pPr>
        <w:pageBreakBefore w:val="0"/>
        <w:kinsoku/>
        <w:topLinePunct w:val="0"/>
        <w:bidi w:val="0"/>
        <w:spacing w:before="60" w:after="60" w:line="360" w:lineRule="auto"/>
        <w:ind w:firstLine="424" w:firstLineChars="202"/>
        <w:rPr>
          <w:rFonts w:ascii="宋体" w:hAnsi="宋体" w:cs="宋体"/>
          <w:color w:val="auto"/>
          <w:szCs w:val="21"/>
          <w:highlight w:val="none"/>
        </w:rPr>
      </w:pPr>
      <w:r>
        <w:rPr>
          <w:rFonts w:hint="eastAsia" w:ascii="宋体" w:hAnsi="宋体" w:cs="宋体"/>
          <w:color w:val="auto"/>
          <w:szCs w:val="21"/>
          <w:highlight w:val="none"/>
        </w:rPr>
        <w:t>29</w:t>
      </w:r>
      <w:r>
        <w:rPr>
          <w:rFonts w:hint="eastAsia" w:ascii="宋体" w:hAnsi="宋体" w:cs="宋体"/>
          <w:color w:val="auto"/>
          <w:szCs w:val="21"/>
          <w:highlight w:val="none"/>
          <w:lang w:eastAsia="zh-CN"/>
        </w:rPr>
        <w:t>.</w:t>
      </w:r>
      <w:r>
        <w:rPr>
          <w:rFonts w:hint="eastAsia" w:ascii="宋体" w:hAnsi="宋体" w:cs="宋体"/>
          <w:color w:val="auto"/>
          <w:szCs w:val="21"/>
          <w:highlight w:val="none"/>
        </w:rPr>
        <w:t>6如签订合同并生效后，供应商无故拒绝或延期，除按照合同条款处理外，将承担相应的法律责任。</w:t>
      </w:r>
    </w:p>
    <w:p w14:paraId="53E1B636">
      <w:pPr>
        <w:pageBreakBefore w:val="0"/>
        <w:kinsoku/>
        <w:topLinePunct w:val="0"/>
        <w:bidi w:val="0"/>
        <w:spacing w:before="60" w:after="60" w:line="360" w:lineRule="auto"/>
        <w:ind w:firstLine="424" w:firstLineChars="202"/>
        <w:rPr>
          <w:rFonts w:ascii="宋体" w:hAnsi="宋体" w:cs="宋体"/>
          <w:color w:val="auto"/>
          <w:szCs w:val="21"/>
          <w:highlight w:val="none"/>
        </w:rPr>
      </w:pPr>
      <w:r>
        <w:rPr>
          <w:rFonts w:hint="eastAsia" w:ascii="宋体" w:hAnsi="宋体" w:cs="宋体"/>
          <w:color w:val="auto"/>
          <w:szCs w:val="21"/>
          <w:highlight w:val="none"/>
        </w:rPr>
        <w:t>29</w:t>
      </w:r>
      <w:r>
        <w:rPr>
          <w:rFonts w:hint="eastAsia" w:ascii="宋体" w:hAnsi="宋体" w:cs="宋体"/>
          <w:color w:val="auto"/>
          <w:szCs w:val="21"/>
          <w:highlight w:val="none"/>
          <w:lang w:eastAsia="zh-CN"/>
        </w:rPr>
        <w:t>.</w:t>
      </w:r>
      <w:r>
        <w:rPr>
          <w:rFonts w:hint="eastAsia" w:ascii="宋体" w:hAnsi="宋体" w:cs="宋体"/>
          <w:color w:val="auto"/>
          <w:szCs w:val="21"/>
          <w:highlight w:val="none"/>
        </w:rPr>
        <w:t>7政府采购合同履行中，采购人需追加与合同标的相同的货物、工程或者服务的，在不改变合同其他条款的前提下，可以与供应商协商签订补充合同，但所有补充合同的采购金额不得超过原合同采购金额的10%。</w:t>
      </w:r>
    </w:p>
    <w:p w14:paraId="5666F730">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30</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政府采购合同公告</w:t>
      </w:r>
    </w:p>
    <w:p w14:paraId="6AB717B0">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4E49724C">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31</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 xml:space="preserve"> 询问、质疑和投诉</w:t>
      </w:r>
    </w:p>
    <w:p w14:paraId="11FB1C99">
      <w:pPr>
        <w:pStyle w:val="8"/>
        <w:pageBreakBefore w:val="0"/>
        <w:kinsoku/>
        <w:topLinePunct w:val="0"/>
        <w:bidi w:val="0"/>
        <w:spacing w:before="60" w:after="60" w:line="360" w:lineRule="auto"/>
        <w:rPr>
          <w:rFonts w:ascii="宋体" w:hAnsi="宋体"/>
          <w:color w:val="auto"/>
          <w:szCs w:val="21"/>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lang w:eastAsia="zh-CN"/>
        </w:rPr>
        <w:t>.</w:t>
      </w:r>
      <w:r>
        <w:rPr>
          <w:rFonts w:hint="eastAsia" w:ascii="宋体" w:hAnsi="宋体" w:cs="宋体"/>
          <w:color w:val="auto"/>
          <w:highlight w:val="none"/>
        </w:rPr>
        <w:t>1供应商对政府采购活动事项有疑问的，可以向采购人、采购代理机构提出询问，采购人或者采购代理机构应当在3个工作日内对供应商依法提出的询问作出答复，</w:t>
      </w:r>
      <w:r>
        <w:rPr>
          <w:rFonts w:hint="eastAsia" w:ascii="宋体" w:hAnsi="宋体"/>
          <w:color w:val="auto"/>
          <w:szCs w:val="21"/>
          <w:highlight w:val="none"/>
        </w:rPr>
        <w:t>但答复的内容不得涉及商业秘密</w:t>
      </w:r>
      <w:r>
        <w:rPr>
          <w:rFonts w:hint="eastAsia" w:ascii="宋体" w:hAnsi="宋体" w:cs="宋体"/>
          <w:color w:val="auto"/>
          <w:highlight w:val="none"/>
        </w:rPr>
        <w:t>。</w:t>
      </w:r>
    </w:p>
    <w:p w14:paraId="15DAF77D">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lang w:eastAsia="zh-CN"/>
        </w:rPr>
        <w:t>.</w:t>
      </w:r>
      <w:r>
        <w:rPr>
          <w:rFonts w:hint="eastAsia" w:ascii="宋体" w:hAnsi="宋体" w:cs="宋体"/>
          <w:color w:val="auto"/>
          <w:highlight w:val="none"/>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color w:val="auto"/>
          <w:highlight w:val="none"/>
          <w:shd w:val="clear" w:color="auto" w:fill="FFFFFF"/>
        </w:rPr>
        <w:t>接收质疑函的方式、联系部门、联系电话和通讯地址等信息</w:t>
      </w:r>
      <w:r>
        <w:rPr>
          <w:rFonts w:hint="eastAsia" w:ascii="宋体" w:hAnsi="宋体" w:cs="Arial"/>
          <w:color w:val="auto"/>
          <w:highlight w:val="none"/>
          <w:shd w:val="clear" w:color="auto" w:fill="FFFFFF"/>
        </w:rPr>
        <w:t>详见</w:t>
      </w:r>
      <w:r>
        <w:rPr>
          <w:rFonts w:hint="eastAsia" w:ascii="宋体" w:hAnsi="宋体" w:cs="宋体"/>
          <w:color w:val="auto"/>
          <w:szCs w:val="21"/>
          <w:highlight w:val="none"/>
        </w:rPr>
        <w:t>“供应商须知前附表”</w:t>
      </w:r>
      <w:r>
        <w:rPr>
          <w:rFonts w:hint="eastAsia" w:ascii="宋体" w:hAnsi="宋体" w:cs="宋体"/>
          <w:color w:val="auto"/>
          <w:highlight w:val="none"/>
        </w:rPr>
        <w:t>。具体质疑起算时间如下：</w:t>
      </w:r>
    </w:p>
    <w:p w14:paraId="79DCC2C0">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（1）对可以质疑的磋商文件提出质疑的，为收到磋商文件之日或者</w:t>
      </w:r>
      <w:r>
        <w:rPr>
          <w:rFonts w:hint="eastAsia" w:ascii="宋体" w:hAnsi="宋体"/>
          <w:color w:val="auto"/>
          <w:highlight w:val="none"/>
        </w:rPr>
        <w:t>竞争性磋商公告期限届满之日</w:t>
      </w:r>
      <w:r>
        <w:rPr>
          <w:rFonts w:hint="eastAsia" w:ascii="宋体" w:hAnsi="宋体" w:cs="宋体"/>
          <w:color w:val="auto"/>
          <w:highlight w:val="none"/>
        </w:rPr>
        <w:t>；</w:t>
      </w:r>
    </w:p>
    <w:p w14:paraId="59B5CD38">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（2）对采购过程提出质疑的，为各采购程序环节结束之日；</w:t>
      </w:r>
    </w:p>
    <w:p w14:paraId="693BFC40">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（3）对成交结果提出质疑的，为成交结果公告期限届满之日。</w:t>
      </w:r>
    </w:p>
    <w:p w14:paraId="2BCDB370">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lang w:eastAsia="zh-CN"/>
        </w:rPr>
        <w:t>.</w:t>
      </w:r>
      <w:r>
        <w:rPr>
          <w:rFonts w:hint="eastAsia" w:ascii="宋体" w:hAnsi="宋体" w:cs="宋体"/>
          <w:color w:val="auto"/>
          <w:highlight w:val="none"/>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3BB9EB4A">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lang w:eastAsia="zh-CN"/>
        </w:rPr>
        <w:t>.</w:t>
      </w:r>
      <w:r>
        <w:rPr>
          <w:rFonts w:hint="eastAsia" w:ascii="宋体" w:hAnsi="宋体" w:cs="宋体"/>
          <w:color w:val="auto"/>
          <w:highlight w:val="none"/>
        </w:rPr>
        <w:t>4 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33426C66">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1068235D">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（2）质疑项目的名称、编号；</w:t>
      </w:r>
    </w:p>
    <w:p w14:paraId="755DEEC1">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（3）具体、明确的质疑事项和与质疑事项相关的请求；</w:t>
      </w:r>
    </w:p>
    <w:p w14:paraId="0333BB79">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（4）事实依据；</w:t>
      </w:r>
    </w:p>
    <w:p w14:paraId="09FAEF5D">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（5）必要的法律依据；</w:t>
      </w:r>
    </w:p>
    <w:p w14:paraId="68737BD8">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（6）提出质疑的日期。</w:t>
      </w:r>
    </w:p>
    <w:p w14:paraId="6C107CA2">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25393603">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lang w:eastAsia="zh-CN"/>
        </w:rPr>
        <w:t>.</w:t>
      </w:r>
      <w:r>
        <w:rPr>
          <w:rFonts w:ascii="宋体" w:hAnsi="宋体" w:cs="宋体"/>
          <w:color w:val="auto"/>
          <w:highlight w:val="none"/>
        </w:rPr>
        <w:t>5</w:t>
      </w:r>
      <w:r>
        <w:rPr>
          <w:rFonts w:hint="eastAsia" w:ascii="宋体" w:hAnsi="宋体" w:cs="宋体"/>
          <w:color w:val="auto"/>
          <w:highlight w:val="none"/>
        </w:rPr>
        <w:t>采购人、采购代理机构认为供应商质疑不成立，或者成立但未对成交结果构成影响的，继续开展采购活动；认为供应商质疑成立且影响或者可能影响成交结果的，按照下列情况处理：</w:t>
      </w:r>
    </w:p>
    <w:p w14:paraId="4D419527">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3176C48A">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1811E3C4">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4337C243">
      <w:pPr>
        <w:pageBreakBefore w:val="0"/>
        <w:kinsoku/>
        <w:topLinePunct w:val="0"/>
        <w:bidi w:val="0"/>
        <w:spacing w:before="60" w:after="60" w:line="360" w:lineRule="auto"/>
        <w:ind w:firstLine="420" w:firstLineChars="200"/>
        <w:rPr>
          <w:rFonts w:ascii="宋体" w:hAnsi="宋体" w:cs="宋体"/>
          <w:color w:val="auto"/>
          <w:highlight w:val="none"/>
        </w:rPr>
      </w:pPr>
      <w:r>
        <w:rPr>
          <w:rFonts w:ascii="宋体" w:hAnsi="宋体" w:cs="宋体"/>
          <w:color w:val="auto"/>
          <w:highlight w:val="none"/>
        </w:rPr>
        <w:t>31</w:t>
      </w:r>
      <w:r>
        <w:rPr>
          <w:rFonts w:hint="eastAsia" w:ascii="宋体" w:hAnsi="宋体" w:cs="宋体"/>
          <w:color w:val="auto"/>
          <w:highlight w:val="none"/>
          <w:lang w:eastAsia="zh-CN"/>
        </w:rPr>
        <w:t>.</w:t>
      </w:r>
      <w:r>
        <w:rPr>
          <w:rFonts w:ascii="宋体" w:hAnsi="宋体" w:cs="宋体"/>
          <w:color w:val="auto"/>
          <w:highlight w:val="none"/>
        </w:rPr>
        <w:t>6</w:t>
      </w:r>
      <w:r>
        <w:rPr>
          <w:rFonts w:hint="eastAsia" w:ascii="宋体" w:hAnsi="宋体" w:cs="宋体"/>
          <w:color w:val="auto"/>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0AFD933B">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31</w:t>
      </w:r>
      <w:r>
        <w:rPr>
          <w:rFonts w:hint="eastAsia" w:ascii="宋体" w:hAnsi="宋体" w:cs="宋体"/>
          <w:color w:val="auto"/>
          <w:highlight w:val="none"/>
          <w:lang w:eastAsia="zh-CN"/>
        </w:rPr>
        <w:t>.</w:t>
      </w:r>
      <w:r>
        <w:rPr>
          <w:rFonts w:hint="eastAsia" w:ascii="宋体" w:hAnsi="宋体" w:cs="宋体"/>
          <w:color w:val="auto"/>
          <w:highlight w:val="none"/>
        </w:rPr>
        <w:t>7 监督管理部门：</w:t>
      </w:r>
      <w:r>
        <w:rPr>
          <w:rFonts w:hint="eastAsia" w:ascii="宋体" w:hAnsi="宋体" w:cs="宋体"/>
          <w:color w:val="auto"/>
          <w:highlight w:val="none"/>
          <w:lang w:eastAsia="zh-CN"/>
        </w:rPr>
        <w:t>浦北县政府采购监督管理办公室</w:t>
      </w:r>
      <w:r>
        <w:rPr>
          <w:rFonts w:hint="eastAsia" w:ascii="宋体" w:hAnsi="宋体" w:cs="宋体"/>
          <w:color w:val="auto"/>
          <w:highlight w:val="none"/>
        </w:rPr>
        <w:t>，</w:t>
      </w:r>
      <w:r>
        <w:rPr>
          <w:rFonts w:hint="eastAsia" w:ascii="宋体" w:hAnsi="宋体" w:cs="宋体"/>
          <w:color w:val="auto"/>
          <w:highlight w:val="none"/>
          <w:lang w:eastAsia="zh-CN"/>
        </w:rPr>
        <w:t>0777-8314622</w:t>
      </w:r>
      <w:r>
        <w:rPr>
          <w:rFonts w:hint="eastAsia" w:ascii="宋体" w:hAnsi="宋体" w:cs="宋体"/>
          <w:color w:val="auto"/>
          <w:highlight w:val="none"/>
        </w:rPr>
        <w:t>。</w:t>
      </w:r>
    </w:p>
    <w:p w14:paraId="311A5318">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32</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其他内容</w:t>
      </w:r>
    </w:p>
    <w:p w14:paraId="3D307B91">
      <w:pPr>
        <w:pageBreakBefore w:val="0"/>
        <w:tabs>
          <w:tab w:val="left" w:pos="2835"/>
        </w:tabs>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lang w:eastAsia="zh-CN"/>
        </w:rPr>
        <w:t>.</w:t>
      </w:r>
      <w:r>
        <w:rPr>
          <w:rFonts w:hint="eastAsia" w:ascii="宋体" w:hAnsi="宋体" w:cs="宋体"/>
          <w:color w:val="auto"/>
          <w:szCs w:val="21"/>
          <w:highlight w:val="none"/>
        </w:rPr>
        <w:t>1代理服务收取标准及缴费账户详见“供应商须知前附表”，供应商为联合体的，可以由联合体中的一方或者多方共同交纳代理服务费。</w:t>
      </w:r>
    </w:p>
    <w:p w14:paraId="225ED6C4">
      <w:pPr>
        <w:pageBreakBefore w:val="0"/>
        <w:tabs>
          <w:tab w:val="left" w:pos="2835"/>
        </w:tabs>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lang w:eastAsia="zh-CN"/>
        </w:rPr>
        <w:t>.</w:t>
      </w:r>
      <w:r>
        <w:rPr>
          <w:rFonts w:ascii="宋体" w:hAnsi="宋体" w:cs="宋体"/>
          <w:color w:val="auto"/>
          <w:szCs w:val="21"/>
          <w:highlight w:val="none"/>
        </w:rPr>
        <w:t>2</w:t>
      </w:r>
      <w:r>
        <w:rPr>
          <w:rFonts w:hint="eastAsia" w:ascii="宋体" w:hAnsi="宋体" w:cs="宋体"/>
          <w:color w:val="auto"/>
          <w:szCs w:val="21"/>
          <w:highlight w:val="none"/>
        </w:rPr>
        <w:t>代理服务费收费计算标准：</w:t>
      </w:r>
    </w:p>
    <w:tbl>
      <w:tblPr>
        <w:tblStyle w:val="31"/>
        <w:tblW w:w="9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48"/>
        <w:gridCol w:w="1837"/>
        <w:gridCol w:w="1697"/>
        <w:gridCol w:w="1713"/>
      </w:tblGrid>
      <w:tr w14:paraId="7AB96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8" w:type="dxa"/>
            <w:tcBorders>
              <w:tl2br w:val="single" w:color="auto" w:sz="4" w:space="0"/>
            </w:tcBorders>
          </w:tcPr>
          <w:p w14:paraId="117A6C66">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 xml:space="preserve">                          费率</w:t>
            </w:r>
          </w:p>
          <w:p w14:paraId="5B85EE42">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金额</w:t>
            </w:r>
          </w:p>
        </w:tc>
        <w:tc>
          <w:tcPr>
            <w:tcW w:w="1837" w:type="dxa"/>
            <w:vAlign w:val="center"/>
          </w:tcPr>
          <w:p w14:paraId="5592736E">
            <w:pPr>
              <w:keepNext w:val="0"/>
              <w:keepLines w:val="0"/>
              <w:pageBreakBefore w:val="0"/>
              <w:suppressLineNumbers w:val="0"/>
              <w:kinsoku/>
              <w:topLinePunct w:val="0"/>
              <w:bidi w:val="0"/>
              <w:spacing w:before="60" w:beforeAutospacing="0" w:after="60" w:afterAutospacing="0" w:line="360" w:lineRule="auto"/>
              <w:ind w:left="0" w:right="0" w:firstLine="105" w:firstLineChars="50"/>
              <w:jc w:val="center"/>
              <w:rPr>
                <w:rFonts w:hint="default" w:ascii="宋体" w:hAnsi="宋体" w:cs="宋体"/>
                <w:color w:val="auto"/>
                <w:szCs w:val="21"/>
                <w:highlight w:val="none"/>
              </w:rPr>
            </w:pPr>
            <w:r>
              <w:rPr>
                <w:rFonts w:hint="eastAsia" w:ascii="宋体" w:hAnsi="宋体" w:cs="宋体"/>
                <w:color w:val="auto"/>
                <w:szCs w:val="21"/>
                <w:highlight w:val="none"/>
              </w:rPr>
              <w:t>货物类</w:t>
            </w:r>
          </w:p>
        </w:tc>
        <w:tc>
          <w:tcPr>
            <w:tcW w:w="1697" w:type="dxa"/>
            <w:vAlign w:val="center"/>
          </w:tcPr>
          <w:p w14:paraId="33A54378">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服务类</w:t>
            </w:r>
          </w:p>
        </w:tc>
        <w:tc>
          <w:tcPr>
            <w:tcW w:w="1713" w:type="dxa"/>
            <w:vAlign w:val="center"/>
          </w:tcPr>
          <w:p w14:paraId="0F41E085">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工程类</w:t>
            </w:r>
          </w:p>
        </w:tc>
      </w:tr>
      <w:tr w14:paraId="018AC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8" w:type="dxa"/>
          </w:tcPr>
          <w:p w14:paraId="177A9D0F">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100万元以下</w:t>
            </w:r>
          </w:p>
        </w:tc>
        <w:tc>
          <w:tcPr>
            <w:tcW w:w="1837" w:type="dxa"/>
          </w:tcPr>
          <w:p w14:paraId="753F3F50">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5%</w:t>
            </w:r>
          </w:p>
        </w:tc>
        <w:tc>
          <w:tcPr>
            <w:tcW w:w="1697" w:type="dxa"/>
          </w:tcPr>
          <w:p w14:paraId="3C64002A">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5%</w:t>
            </w:r>
          </w:p>
        </w:tc>
        <w:tc>
          <w:tcPr>
            <w:tcW w:w="1713" w:type="dxa"/>
          </w:tcPr>
          <w:p w14:paraId="5DD95C9D">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0%</w:t>
            </w:r>
          </w:p>
        </w:tc>
      </w:tr>
      <w:tr w14:paraId="0C6D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8" w:type="dxa"/>
          </w:tcPr>
          <w:p w14:paraId="285B5048">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100～500万元</w:t>
            </w:r>
          </w:p>
        </w:tc>
        <w:tc>
          <w:tcPr>
            <w:tcW w:w="1837" w:type="dxa"/>
          </w:tcPr>
          <w:p w14:paraId="63E86BC0">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1%</w:t>
            </w:r>
          </w:p>
        </w:tc>
        <w:tc>
          <w:tcPr>
            <w:tcW w:w="1697" w:type="dxa"/>
          </w:tcPr>
          <w:p w14:paraId="7FCB5200">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kern w:val="0"/>
                <w:szCs w:val="21"/>
                <w:highlight w:val="none"/>
              </w:rPr>
              <w:t>0</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8%</w:t>
            </w:r>
          </w:p>
        </w:tc>
        <w:tc>
          <w:tcPr>
            <w:tcW w:w="1713" w:type="dxa"/>
          </w:tcPr>
          <w:p w14:paraId="33705746">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kern w:val="0"/>
                <w:szCs w:val="21"/>
                <w:highlight w:val="none"/>
              </w:rPr>
              <w:t>0</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7%</w:t>
            </w:r>
          </w:p>
        </w:tc>
      </w:tr>
      <w:tr w14:paraId="08FAA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8" w:type="dxa"/>
          </w:tcPr>
          <w:p w14:paraId="50444B87">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500～1000万元</w:t>
            </w:r>
          </w:p>
        </w:tc>
        <w:tc>
          <w:tcPr>
            <w:tcW w:w="1837" w:type="dxa"/>
          </w:tcPr>
          <w:p w14:paraId="1D427E99">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kern w:val="0"/>
                <w:szCs w:val="21"/>
                <w:highlight w:val="none"/>
              </w:rPr>
              <w:t>0</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8%</w:t>
            </w:r>
          </w:p>
        </w:tc>
        <w:tc>
          <w:tcPr>
            <w:tcW w:w="1697" w:type="dxa"/>
          </w:tcPr>
          <w:p w14:paraId="1B8486B0">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kern w:val="0"/>
                <w:szCs w:val="21"/>
                <w:highlight w:val="none"/>
              </w:rPr>
              <w:t>0</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45%</w:t>
            </w:r>
          </w:p>
        </w:tc>
        <w:tc>
          <w:tcPr>
            <w:tcW w:w="1713" w:type="dxa"/>
          </w:tcPr>
          <w:p w14:paraId="0CB1605A">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kern w:val="0"/>
                <w:szCs w:val="21"/>
                <w:highlight w:val="none"/>
              </w:rPr>
              <w:t>0</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55%</w:t>
            </w:r>
          </w:p>
        </w:tc>
      </w:tr>
      <w:tr w14:paraId="44BDA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8" w:type="dxa"/>
          </w:tcPr>
          <w:p w14:paraId="6715D6F7">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1000～5000万元</w:t>
            </w:r>
          </w:p>
        </w:tc>
        <w:tc>
          <w:tcPr>
            <w:tcW w:w="1837" w:type="dxa"/>
          </w:tcPr>
          <w:p w14:paraId="04AFDB07">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kern w:val="0"/>
                <w:szCs w:val="21"/>
                <w:highlight w:val="none"/>
              </w:rPr>
              <w:t>0</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5%</w:t>
            </w:r>
          </w:p>
        </w:tc>
        <w:tc>
          <w:tcPr>
            <w:tcW w:w="1697" w:type="dxa"/>
          </w:tcPr>
          <w:p w14:paraId="1FFFD2A5">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kern w:val="0"/>
                <w:szCs w:val="21"/>
                <w:highlight w:val="none"/>
              </w:rPr>
              <w:t>0</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25%</w:t>
            </w:r>
          </w:p>
        </w:tc>
        <w:tc>
          <w:tcPr>
            <w:tcW w:w="1713" w:type="dxa"/>
          </w:tcPr>
          <w:p w14:paraId="4F55581A">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kern w:val="0"/>
                <w:szCs w:val="21"/>
                <w:highlight w:val="none"/>
              </w:rPr>
              <w:t>0</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35%</w:t>
            </w:r>
          </w:p>
        </w:tc>
      </w:tr>
      <w:tr w14:paraId="112E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8" w:type="dxa"/>
          </w:tcPr>
          <w:p w14:paraId="20FC3724">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5000万元～1亿元</w:t>
            </w:r>
          </w:p>
        </w:tc>
        <w:tc>
          <w:tcPr>
            <w:tcW w:w="1837" w:type="dxa"/>
          </w:tcPr>
          <w:p w14:paraId="4386A3F5">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kern w:val="0"/>
                <w:szCs w:val="21"/>
                <w:highlight w:val="none"/>
              </w:rPr>
              <w:t>0</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25%</w:t>
            </w:r>
          </w:p>
        </w:tc>
        <w:tc>
          <w:tcPr>
            <w:tcW w:w="1697" w:type="dxa"/>
          </w:tcPr>
          <w:p w14:paraId="2890F258">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kern w:val="0"/>
                <w:szCs w:val="21"/>
                <w:highlight w:val="none"/>
              </w:rPr>
              <w:t>0</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1%</w:t>
            </w:r>
          </w:p>
        </w:tc>
        <w:tc>
          <w:tcPr>
            <w:tcW w:w="1713" w:type="dxa"/>
          </w:tcPr>
          <w:p w14:paraId="5F31FFF8">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kern w:val="0"/>
                <w:szCs w:val="21"/>
                <w:highlight w:val="none"/>
              </w:rPr>
              <w:t>0</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2%</w:t>
            </w:r>
          </w:p>
        </w:tc>
      </w:tr>
      <w:tr w14:paraId="3EC2C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8" w:type="dxa"/>
          </w:tcPr>
          <w:p w14:paraId="38785EFB">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1～5亿元</w:t>
            </w:r>
          </w:p>
        </w:tc>
        <w:tc>
          <w:tcPr>
            <w:tcW w:w="1837" w:type="dxa"/>
          </w:tcPr>
          <w:p w14:paraId="7AB05F96">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0</w:t>
            </w:r>
            <w:r>
              <w:rPr>
                <w:rFonts w:hint="eastAsia" w:ascii="宋体" w:hAnsi="宋体" w:cs="宋体"/>
                <w:color w:val="auto"/>
                <w:szCs w:val="21"/>
                <w:highlight w:val="none"/>
                <w:lang w:eastAsia="zh-CN"/>
              </w:rPr>
              <w:t>.</w:t>
            </w:r>
            <w:r>
              <w:rPr>
                <w:rFonts w:hint="eastAsia" w:ascii="宋体" w:hAnsi="宋体" w:cs="宋体"/>
                <w:color w:val="auto"/>
                <w:szCs w:val="21"/>
                <w:highlight w:val="none"/>
              </w:rPr>
              <w:t>05%</w:t>
            </w:r>
          </w:p>
        </w:tc>
        <w:tc>
          <w:tcPr>
            <w:tcW w:w="1697" w:type="dxa"/>
          </w:tcPr>
          <w:p w14:paraId="29BCEBF1">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0</w:t>
            </w:r>
            <w:r>
              <w:rPr>
                <w:rFonts w:hint="eastAsia" w:ascii="宋体" w:hAnsi="宋体" w:cs="宋体"/>
                <w:color w:val="auto"/>
                <w:szCs w:val="21"/>
                <w:highlight w:val="none"/>
                <w:lang w:eastAsia="zh-CN"/>
              </w:rPr>
              <w:t>.</w:t>
            </w:r>
            <w:r>
              <w:rPr>
                <w:rFonts w:hint="eastAsia" w:ascii="宋体" w:hAnsi="宋体" w:cs="宋体"/>
                <w:color w:val="auto"/>
                <w:szCs w:val="21"/>
                <w:highlight w:val="none"/>
              </w:rPr>
              <w:t>05%</w:t>
            </w:r>
          </w:p>
        </w:tc>
        <w:tc>
          <w:tcPr>
            <w:tcW w:w="1713" w:type="dxa"/>
          </w:tcPr>
          <w:p w14:paraId="6B1CF020">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0</w:t>
            </w:r>
            <w:r>
              <w:rPr>
                <w:rFonts w:hint="eastAsia" w:ascii="宋体" w:hAnsi="宋体" w:cs="宋体"/>
                <w:color w:val="auto"/>
                <w:szCs w:val="21"/>
                <w:highlight w:val="none"/>
                <w:lang w:eastAsia="zh-CN"/>
              </w:rPr>
              <w:t>.</w:t>
            </w:r>
            <w:r>
              <w:rPr>
                <w:rFonts w:hint="eastAsia" w:ascii="宋体" w:hAnsi="宋体" w:cs="宋体"/>
                <w:color w:val="auto"/>
                <w:szCs w:val="21"/>
                <w:highlight w:val="none"/>
              </w:rPr>
              <w:t>05%</w:t>
            </w:r>
          </w:p>
        </w:tc>
      </w:tr>
      <w:tr w14:paraId="1E89F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8" w:type="dxa"/>
          </w:tcPr>
          <w:p w14:paraId="43B7ED2A">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5～10亿元</w:t>
            </w:r>
          </w:p>
        </w:tc>
        <w:tc>
          <w:tcPr>
            <w:tcW w:w="1837" w:type="dxa"/>
          </w:tcPr>
          <w:p w14:paraId="41E60C10">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0</w:t>
            </w:r>
            <w:r>
              <w:rPr>
                <w:rFonts w:hint="eastAsia" w:ascii="宋体" w:hAnsi="宋体" w:cs="宋体"/>
                <w:color w:val="auto"/>
                <w:szCs w:val="21"/>
                <w:highlight w:val="none"/>
                <w:lang w:eastAsia="zh-CN"/>
              </w:rPr>
              <w:t>.</w:t>
            </w:r>
            <w:r>
              <w:rPr>
                <w:rFonts w:hint="eastAsia" w:ascii="宋体" w:hAnsi="宋体" w:cs="宋体"/>
                <w:color w:val="auto"/>
                <w:szCs w:val="21"/>
                <w:highlight w:val="none"/>
              </w:rPr>
              <w:t>035%</w:t>
            </w:r>
          </w:p>
        </w:tc>
        <w:tc>
          <w:tcPr>
            <w:tcW w:w="1697" w:type="dxa"/>
          </w:tcPr>
          <w:p w14:paraId="25815AF8">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0</w:t>
            </w:r>
            <w:r>
              <w:rPr>
                <w:rFonts w:hint="eastAsia" w:ascii="宋体" w:hAnsi="宋体" w:cs="宋体"/>
                <w:color w:val="auto"/>
                <w:szCs w:val="21"/>
                <w:highlight w:val="none"/>
                <w:lang w:eastAsia="zh-CN"/>
              </w:rPr>
              <w:t>.</w:t>
            </w:r>
            <w:r>
              <w:rPr>
                <w:rFonts w:hint="eastAsia" w:ascii="宋体" w:hAnsi="宋体" w:cs="宋体"/>
                <w:color w:val="auto"/>
                <w:szCs w:val="21"/>
                <w:highlight w:val="none"/>
              </w:rPr>
              <w:t>035%</w:t>
            </w:r>
          </w:p>
        </w:tc>
        <w:tc>
          <w:tcPr>
            <w:tcW w:w="1713" w:type="dxa"/>
          </w:tcPr>
          <w:p w14:paraId="6829AF4F">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0</w:t>
            </w:r>
            <w:r>
              <w:rPr>
                <w:rFonts w:hint="eastAsia" w:ascii="宋体" w:hAnsi="宋体" w:cs="宋体"/>
                <w:color w:val="auto"/>
                <w:szCs w:val="21"/>
                <w:highlight w:val="none"/>
                <w:lang w:eastAsia="zh-CN"/>
              </w:rPr>
              <w:t>.</w:t>
            </w:r>
            <w:r>
              <w:rPr>
                <w:rFonts w:hint="eastAsia" w:ascii="宋体" w:hAnsi="宋体" w:cs="宋体"/>
                <w:color w:val="auto"/>
                <w:szCs w:val="21"/>
                <w:highlight w:val="none"/>
              </w:rPr>
              <w:t>035%</w:t>
            </w:r>
          </w:p>
        </w:tc>
      </w:tr>
      <w:tr w14:paraId="5105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8" w:type="dxa"/>
          </w:tcPr>
          <w:p w14:paraId="6A387D7D">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10～50亿元</w:t>
            </w:r>
          </w:p>
        </w:tc>
        <w:tc>
          <w:tcPr>
            <w:tcW w:w="1837" w:type="dxa"/>
          </w:tcPr>
          <w:p w14:paraId="2C21E8B0">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0</w:t>
            </w:r>
            <w:r>
              <w:rPr>
                <w:rFonts w:hint="eastAsia" w:ascii="宋体" w:hAnsi="宋体" w:cs="宋体"/>
                <w:color w:val="auto"/>
                <w:szCs w:val="21"/>
                <w:highlight w:val="none"/>
                <w:lang w:eastAsia="zh-CN"/>
              </w:rPr>
              <w:t>.</w:t>
            </w:r>
            <w:r>
              <w:rPr>
                <w:rFonts w:hint="eastAsia" w:ascii="宋体" w:hAnsi="宋体" w:cs="宋体"/>
                <w:color w:val="auto"/>
                <w:szCs w:val="21"/>
                <w:highlight w:val="none"/>
              </w:rPr>
              <w:t>008%</w:t>
            </w:r>
          </w:p>
        </w:tc>
        <w:tc>
          <w:tcPr>
            <w:tcW w:w="1697" w:type="dxa"/>
          </w:tcPr>
          <w:p w14:paraId="566007A0">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0</w:t>
            </w:r>
            <w:r>
              <w:rPr>
                <w:rFonts w:hint="eastAsia" w:ascii="宋体" w:hAnsi="宋体" w:cs="宋体"/>
                <w:color w:val="auto"/>
                <w:szCs w:val="21"/>
                <w:highlight w:val="none"/>
                <w:lang w:eastAsia="zh-CN"/>
              </w:rPr>
              <w:t>.</w:t>
            </w:r>
            <w:r>
              <w:rPr>
                <w:rFonts w:hint="eastAsia" w:ascii="宋体" w:hAnsi="宋体" w:cs="宋体"/>
                <w:color w:val="auto"/>
                <w:szCs w:val="21"/>
                <w:highlight w:val="none"/>
              </w:rPr>
              <w:t>008%</w:t>
            </w:r>
          </w:p>
        </w:tc>
        <w:tc>
          <w:tcPr>
            <w:tcW w:w="1713" w:type="dxa"/>
          </w:tcPr>
          <w:p w14:paraId="121E8413">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0</w:t>
            </w:r>
            <w:r>
              <w:rPr>
                <w:rFonts w:hint="eastAsia" w:ascii="宋体" w:hAnsi="宋体" w:cs="宋体"/>
                <w:color w:val="auto"/>
                <w:szCs w:val="21"/>
                <w:highlight w:val="none"/>
                <w:lang w:eastAsia="zh-CN"/>
              </w:rPr>
              <w:t>.</w:t>
            </w:r>
            <w:r>
              <w:rPr>
                <w:rFonts w:hint="eastAsia" w:ascii="宋体" w:hAnsi="宋体" w:cs="宋体"/>
                <w:color w:val="auto"/>
                <w:szCs w:val="21"/>
                <w:highlight w:val="none"/>
              </w:rPr>
              <w:t>008%</w:t>
            </w:r>
          </w:p>
        </w:tc>
      </w:tr>
      <w:tr w14:paraId="300E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8" w:type="dxa"/>
          </w:tcPr>
          <w:p w14:paraId="11E6ACCE">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50～100亿元</w:t>
            </w:r>
          </w:p>
        </w:tc>
        <w:tc>
          <w:tcPr>
            <w:tcW w:w="1837" w:type="dxa"/>
          </w:tcPr>
          <w:p w14:paraId="2DF2386A">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0</w:t>
            </w:r>
            <w:r>
              <w:rPr>
                <w:rFonts w:hint="eastAsia" w:ascii="宋体" w:hAnsi="宋体" w:cs="宋体"/>
                <w:color w:val="auto"/>
                <w:szCs w:val="21"/>
                <w:highlight w:val="none"/>
                <w:lang w:eastAsia="zh-CN"/>
              </w:rPr>
              <w:t>.</w:t>
            </w:r>
            <w:r>
              <w:rPr>
                <w:rFonts w:hint="eastAsia" w:ascii="宋体" w:hAnsi="宋体" w:cs="宋体"/>
                <w:color w:val="auto"/>
                <w:szCs w:val="21"/>
                <w:highlight w:val="none"/>
              </w:rPr>
              <w:t>006%</w:t>
            </w:r>
          </w:p>
        </w:tc>
        <w:tc>
          <w:tcPr>
            <w:tcW w:w="1697" w:type="dxa"/>
          </w:tcPr>
          <w:p w14:paraId="3D3A82DE">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0</w:t>
            </w:r>
            <w:r>
              <w:rPr>
                <w:rFonts w:hint="eastAsia" w:ascii="宋体" w:hAnsi="宋体" w:cs="宋体"/>
                <w:color w:val="auto"/>
                <w:szCs w:val="21"/>
                <w:highlight w:val="none"/>
                <w:lang w:eastAsia="zh-CN"/>
              </w:rPr>
              <w:t>.</w:t>
            </w:r>
            <w:r>
              <w:rPr>
                <w:rFonts w:hint="eastAsia" w:ascii="宋体" w:hAnsi="宋体" w:cs="宋体"/>
                <w:color w:val="auto"/>
                <w:szCs w:val="21"/>
                <w:highlight w:val="none"/>
              </w:rPr>
              <w:t>006%</w:t>
            </w:r>
          </w:p>
        </w:tc>
        <w:tc>
          <w:tcPr>
            <w:tcW w:w="1713" w:type="dxa"/>
          </w:tcPr>
          <w:p w14:paraId="62D88DBC">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0</w:t>
            </w:r>
            <w:r>
              <w:rPr>
                <w:rFonts w:hint="eastAsia" w:ascii="宋体" w:hAnsi="宋体" w:cs="宋体"/>
                <w:color w:val="auto"/>
                <w:szCs w:val="21"/>
                <w:highlight w:val="none"/>
                <w:lang w:eastAsia="zh-CN"/>
              </w:rPr>
              <w:t>.</w:t>
            </w:r>
            <w:r>
              <w:rPr>
                <w:rFonts w:hint="eastAsia" w:ascii="宋体" w:hAnsi="宋体" w:cs="宋体"/>
                <w:color w:val="auto"/>
                <w:szCs w:val="21"/>
                <w:highlight w:val="none"/>
              </w:rPr>
              <w:t>006%</w:t>
            </w:r>
          </w:p>
        </w:tc>
      </w:tr>
      <w:tr w14:paraId="4DEDB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8" w:type="dxa"/>
          </w:tcPr>
          <w:p w14:paraId="6472D1BE">
            <w:pPr>
              <w:keepNext w:val="0"/>
              <w:keepLines w:val="0"/>
              <w:pageBreakBefore w:val="0"/>
              <w:suppressLineNumbers w:val="0"/>
              <w:kinsoku/>
              <w:topLinePunct w:val="0"/>
              <w:bidi w:val="0"/>
              <w:spacing w:before="60" w:beforeAutospacing="0" w:after="60" w:afterAutospacing="0" w:line="360" w:lineRule="auto"/>
              <w:ind w:left="0" w:right="0"/>
              <w:rPr>
                <w:rFonts w:hint="default" w:ascii="宋体" w:hAnsi="宋体" w:cs="宋体"/>
                <w:color w:val="auto"/>
                <w:szCs w:val="21"/>
                <w:highlight w:val="none"/>
              </w:rPr>
            </w:pPr>
            <w:r>
              <w:rPr>
                <w:rFonts w:hint="eastAsia" w:ascii="宋体" w:hAnsi="宋体" w:cs="宋体"/>
                <w:color w:val="auto"/>
                <w:szCs w:val="21"/>
                <w:highlight w:val="none"/>
              </w:rPr>
              <w:t>100亿以上</w:t>
            </w:r>
          </w:p>
        </w:tc>
        <w:tc>
          <w:tcPr>
            <w:tcW w:w="1837" w:type="dxa"/>
          </w:tcPr>
          <w:p w14:paraId="0E6EE0FD">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0</w:t>
            </w:r>
            <w:r>
              <w:rPr>
                <w:rFonts w:hint="eastAsia" w:ascii="宋体" w:hAnsi="宋体" w:cs="宋体"/>
                <w:color w:val="auto"/>
                <w:szCs w:val="21"/>
                <w:highlight w:val="none"/>
                <w:lang w:eastAsia="zh-CN"/>
              </w:rPr>
              <w:t>.</w:t>
            </w:r>
            <w:r>
              <w:rPr>
                <w:rFonts w:hint="eastAsia" w:ascii="宋体" w:hAnsi="宋体" w:cs="宋体"/>
                <w:color w:val="auto"/>
                <w:szCs w:val="21"/>
                <w:highlight w:val="none"/>
              </w:rPr>
              <w:t>004%</w:t>
            </w:r>
          </w:p>
        </w:tc>
        <w:tc>
          <w:tcPr>
            <w:tcW w:w="1697" w:type="dxa"/>
          </w:tcPr>
          <w:p w14:paraId="03640DA7">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0</w:t>
            </w:r>
            <w:r>
              <w:rPr>
                <w:rFonts w:hint="eastAsia" w:ascii="宋体" w:hAnsi="宋体" w:cs="宋体"/>
                <w:color w:val="auto"/>
                <w:szCs w:val="21"/>
                <w:highlight w:val="none"/>
                <w:lang w:eastAsia="zh-CN"/>
              </w:rPr>
              <w:t>.</w:t>
            </w:r>
            <w:r>
              <w:rPr>
                <w:rFonts w:hint="eastAsia" w:ascii="宋体" w:hAnsi="宋体" w:cs="宋体"/>
                <w:color w:val="auto"/>
                <w:szCs w:val="21"/>
                <w:highlight w:val="none"/>
              </w:rPr>
              <w:t>004%</w:t>
            </w:r>
          </w:p>
        </w:tc>
        <w:tc>
          <w:tcPr>
            <w:tcW w:w="1713" w:type="dxa"/>
          </w:tcPr>
          <w:p w14:paraId="63C3F5A6">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0</w:t>
            </w:r>
            <w:r>
              <w:rPr>
                <w:rFonts w:hint="eastAsia" w:ascii="宋体" w:hAnsi="宋体" w:cs="宋体"/>
                <w:color w:val="auto"/>
                <w:szCs w:val="21"/>
                <w:highlight w:val="none"/>
                <w:lang w:eastAsia="zh-CN"/>
              </w:rPr>
              <w:t>.</w:t>
            </w:r>
            <w:r>
              <w:rPr>
                <w:rFonts w:hint="eastAsia" w:ascii="宋体" w:hAnsi="宋体" w:cs="宋体"/>
                <w:color w:val="auto"/>
                <w:szCs w:val="21"/>
                <w:highlight w:val="none"/>
              </w:rPr>
              <w:t>004%</w:t>
            </w:r>
          </w:p>
        </w:tc>
      </w:tr>
    </w:tbl>
    <w:p w14:paraId="28B36120">
      <w:pPr>
        <w:pageBreakBefore w:val="0"/>
        <w:kinsoku/>
        <w:topLinePunct w:val="0"/>
        <w:bidi w:val="0"/>
        <w:spacing w:before="60" w:after="60" w:line="360" w:lineRule="auto"/>
        <w:ind w:firstLine="420" w:firstLineChars="200"/>
        <w:rPr>
          <w:rFonts w:ascii="宋体" w:hAnsi="宋体" w:cs="宋体"/>
          <w:color w:val="auto"/>
          <w:highlight w:val="none"/>
        </w:rPr>
      </w:pPr>
      <w:r>
        <w:rPr>
          <w:rFonts w:ascii="宋体" w:hAnsi="宋体" w:cs="宋体"/>
          <w:color w:val="auto"/>
          <w:highlight w:val="none"/>
        </w:rPr>
        <w:t>注：</w:t>
      </w:r>
    </w:p>
    <w:p w14:paraId="2C10195D">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（1）</w:t>
      </w:r>
      <w:r>
        <w:rPr>
          <w:rFonts w:ascii="宋体" w:hAnsi="宋体" w:cs="宋体"/>
          <w:color w:val="auto"/>
          <w:highlight w:val="none"/>
        </w:rPr>
        <w:t>按本表费率计算的收费为</w:t>
      </w:r>
      <w:r>
        <w:rPr>
          <w:rFonts w:hint="eastAsia" w:ascii="宋体" w:hAnsi="宋体" w:cs="宋体"/>
          <w:color w:val="auto"/>
          <w:highlight w:val="none"/>
        </w:rPr>
        <w:t>采购</w:t>
      </w:r>
      <w:r>
        <w:rPr>
          <w:rFonts w:ascii="宋体" w:hAnsi="宋体" w:cs="宋体"/>
          <w:color w:val="auto"/>
          <w:highlight w:val="none"/>
        </w:rPr>
        <w:t>代理的收费基准价格</w:t>
      </w:r>
      <w:r>
        <w:rPr>
          <w:rFonts w:hint="eastAsia" w:ascii="宋体" w:hAnsi="宋体" w:cs="宋体"/>
          <w:color w:val="auto"/>
          <w:highlight w:val="none"/>
        </w:rPr>
        <w:t>；</w:t>
      </w:r>
    </w:p>
    <w:p w14:paraId="0DB39189">
      <w:pPr>
        <w:pageBreakBefore w:val="0"/>
        <w:kinsoku/>
        <w:topLinePunct w:val="0"/>
        <w:bidi w:val="0"/>
        <w:spacing w:before="60" w:after="60" w:line="360" w:lineRule="auto"/>
        <w:ind w:firstLine="420" w:firstLineChars="200"/>
        <w:rPr>
          <w:rFonts w:ascii="宋体" w:hAnsi="宋体" w:cs="宋体"/>
          <w:color w:val="auto"/>
          <w:highlight w:val="none"/>
        </w:rPr>
      </w:pPr>
      <w:r>
        <w:rPr>
          <w:rFonts w:hint="eastAsia" w:ascii="宋体" w:hAnsi="宋体" w:cs="宋体"/>
          <w:color w:val="auto"/>
          <w:highlight w:val="none"/>
        </w:rPr>
        <w:t>（2）采购</w:t>
      </w:r>
      <w:r>
        <w:rPr>
          <w:rFonts w:ascii="宋体" w:hAnsi="宋体" w:cs="宋体"/>
          <w:color w:val="auto"/>
          <w:highlight w:val="none"/>
        </w:rPr>
        <w:t>代理收费按差额定率累进法计算。</w:t>
      </w:r>
    </w:p>
    <w:p w14:paraId="5A5F6E35">
      <w:pPr>
        <w:pageBreakBefore w:val="0"/>
        <w:kinsoku/>
        <w:topLinePunct w:val="0"/>
        <w:bidi w:val="0"/>
        <w:spacing w:before="60" w:after="60" w:line="360" w:lineRule="auto"/>
        <w:ind w:firstLine="420" w:firstLineChars="200"/>
        <w:rPr>
          <w:rFonts w:ascii="宋体" w:hAnsi="宋体" w:cs="宋体"/>
          <w:color w:val="auto"/>
          <w:highlight w:val="none"/>
        </w:rPr>
      </w:pPr>
      <w:r>
        <w:rPr>
          <w:rFonts w:ascii="宋体" w:hAnsi="宋体" w:cs="宋体"/>
          <w:color w:val="auto"/>
          <w:highlight w:val="none"/>
        </w:rPr>
        <w:t>例如：某</w:t>
      </w:r>
      <w:r>
        <w:rPr>
          <w:rFonts w:hint="eastAsia" w:ascii="宋体" w:hAnsi="宋体" w:cs="宋体"/>
          <w:color w:val="auto"/>
          <w:highlight w:val="none"/>
        </w:rPr>
        <w:t>服务采购</w:t>
      </w:r>
      <w:r>
        <w:rPr>
          <w:rFonts w:ascii="宋体" w:hAnsi="宋体" w:cs="宋体"/>
          <w:color w:val="auto"/>
          <w:highlight w:val="none"/>
        </w:rPr>
        <w:t>代理业务</w:t>
      </w:r>
      <w:r>
        <w:rPr>
          <w:rFonts w:hint="eastAsia" w:ascii="宋体" w:hAnsi="宋体" w:cs="宋体"/>
          <w:color w:val="auto"/>
          <w:highlight w:val="none"/>
        </w:rPr>
        <w:t>成交</w:t>
      </w:r>
      <w:r>
        <w:rPr>
          <w:rFonts w:ascii="宋体" w:hAnsi="宋体" w:cs="宋体"/>
          <w:color w:val="auto"/>
          <w:highlight w:val="none"/>
        </w:rPr>
        <w:t>金额</w:t>
      </w:r>
      <w:r>
        <w:rPr>
          <w:rFonts w:hint="eastAsia" w:ascii="宋体" w:hAnsi="宋体" w:cs="宋体"/>
          <w:color w:val="auto"/>
          <w:highlight w:val="none"/>
        </w:rPr>
        <w:t>或者暂定价</w:t>
      </w:r>
      <w:r>
        <w:rPr>
          <w:rFonts w:ascii="宋体" w:hAnsi="宋体" w:cs="宋体"/>
          <w:color w:val="auto"/>
          <w:highlight w:val="none"/>
        </w:rPr>
        <w:t>为150万元，计算</w:t>
      </w:r>
      <w:r>
        <w:rPr>
          <w:rFonts w:hint="eastAsia" w:ascii="宋体" w:hAnsi="宋体" w:cs="宋体"/>
          <w:color w:val="auto"/>
          <w:highlight w:val="none"/>
        </w:rPr>
        <w:t>采购</w:t>
      </w:r>
      <w:r>
        <w:rPr>
          <w:rFonts w:ascii="宋体" w:hAnsi="宋体" w:cs="宋体"/>
          <w:color w:val="auto"/>
          <w:highlight w:val="none"/>
        </w:rPr>
        <w:t>代理收费额如下：</w:t>
      </w:r>
    </w:p>
    <w:p w14:paraId="6B607944">
      <w:pPr>
        <w:pageBreakBefore w:val="0"/>
        <w:kinsoku/>
        <w:topLinePunct w:val="0"/>
        <w:bidi w:val="0"/>
        <w:spacing w:before="60" w:after="60" w:line="360" w:lineRule="auto"/>
        <w:ind w:firstLine="420" w:firstLineChars="200"/>
        <w:rPr>
          <w:rFonts w:ascii="宋体" w:hAnsi="宋体" w:cs="宋体"/>
          <w:color w:val="auto"/>
          <w:highlight w:val="none"/>
        </w:rPr>
      </w:pPr>
      <w:r>
        <w:rPr>
          <w:rFonts w:ascii="宋体" w:hAnsi="宋体" w:cs="宋体"/>
          <w:color w:val="auto"/>
          <w:highlight w:val="none"/>
        </w:rPr>
        <w:t>100 万元 ×l</w:t>
      </w:r>
      <w:r>
        <w:rPr>
          <w:rFonts w:hint="eastAsia" w:ascii="宋体" w:hAnsi="宋体" w:cs="宋体"/>
          <w:color w:val="auto"/>
          <w:highlight w:val="none"/>
          <w:lang w:eastAsia="zh-CN"/>
        </w:rPr>
        <w:t>.</w:t>
      </w:r>
      <w:r>
        <w:rPr>
          <w:rFonts w:ascii="宋体" w:hAnsi="宋体" w:cs="宋体"/>
          <w:color w:val="auto"/>
          <w:highlight w:val="none"/>
        </w:rPr>
        <w:t>5 %＝ 1</w:t>
      </w:r>
      <w:r>
        <w:rPr>
          <w:rFonts w:hint="eastAsia" w:ascii="宋体" w:hAnsi="宋体" w:cs="宋体"/>
          <w:color w:val="auto"/>
          <w:highlight w:val="none"/>
          <w:lang w:eastAsia="zh-CN"/>
        </w:rPr>
        <w:t>.</w:t>
      </w:r>
      <w:r>
        <w:rPr>
          <w:rFonts w:ascii="宋体" w:hAnsi="宋体" w:cs="宋体"/>
          <w:color w:val="auto"/>
          <w:highlight w:val="none"/>
        </w:rPr>
        <w:t>5 万元</w:t>
      </w:r>
    </w:p>
    <w:p w14:paraId="7C6E1CA9">
      <w:pPr>
        <w:pageBreakBefore w:val="0"/>
        <w:kinsoku/>
        <w:topLinePunct w:val="0"/>
        <w:bidi w:val="0"/>
        <w:spacing w:before="60" w:after="60" w:line="360" w:lineRule="auto"/>
        <w:ind w:firstLine="420" w:firstLineChars="200"/>
        <w:rPr>
          <w:rFonts w:ascii="宋体" w:hAnsi="宋体" w:cs="宋体"/>
          <w:color w:val="auto"/>
          <w:highlight w:val="none"/>
        </w:rPr>
      </w:pPr>
      <w:r>
        <w:rPr>
          <w:rFonts w:ascii="宋体" w:hAnsi="宋体" w:cs="宋体"/>
          <w:color w:val="auto"/>
          <w:highlight w:val="none"/>
        </w:rPr>
        <w:t>（ 150 － 100 ）万元 ×0</w:t>
      </w:r>
      <w:r>
        <w:rPr>
          <w:rFonts w:hint="eastAsia" w:ascii="宋体" w:hAnsi="宋体" w:cs="宋体"/>
          <w:color w:val="auto"/>
          <w:highlight w:val="none"/>
          <w:lang w:eastAsia="zh-CN"/>
        </w:rPr>
        <w:t>.</w:t>
      </w:r>
      <w:r>
        <w:rPr>
          <w:rFonts w:ascii="宋体" w:hAnsi="宋体" w:cs="宋体"/>
          <w:color w:val="auto"/>
          <w:highlight w:val="none"/>
        </w:rPr>
        <w:t>8%＝ 0</w:t>
      </w:r>
      <w:r>
        <w:rPr>
          <w:rFonts w:hint="eastAsia" w:ascii="宋体" w:hAnsi="宋体" w:cs="宋体"/>
          <w:color w:val="auto"/>
          <w:highlight w:val="none"/>
          <w:lang w:eastAsia="zh-CN"/>
        </w:rPr>
        <w:t>.</w:t>
      </w:r>
      <w:r>
        <w:rPr>
          <w:rFonts w:ascii="宋体" w:hAnsi="宋体" w:cs="宋体"/>
          <w:color w:val="auto"/>
          <w:highlight w:val="none"/>
        </w:rPr>
        <w:t>4万元</w:t>
      </w:r>
    </w:p>
    <w:p w14:paraId="24321C39">
      <w:pPr>
        <w:pageBreakBefore w:val="0"/>
        <w:kinsoku/>
        <w:topLinePunct w:val="0"/>
        <w:bidi w:val="0"/>
        <w:spacing w:before="60" w:after="60" w:line="360" w:lineRule="auto"/>
        <w:ind w:firstLine="420" w:firstLineChars="200"/>
        <w:rPr>
          <w:rFonts w:ascii="宋体" w:hAnsi="宋体" w:cs="宋体"/>
          <w:color w:val="auto"/>
          <w:highlight w:val="none"/>
        </w:rPr>
      </w:pPr>
      <w:r>
        <w:rPr>
          <w:rFonts w:ascii="宋体" w:hAnsi="宋体" w:cs="宋体"/>
          <w:color w:val="auto"/>
          <w:highlight w:val="none"/>
        </w:rPr>
        <w:t>合计收费＝ 1</w:t>
      </w:r>
      <w:r>
        <w:rPr>
          <w:rFonts w:hint="eastAsia" w:ascii="宋体" w:hAnsi="宋体" w:cs="宋体"/>
          <w:color w:val="auto"/>
          <w:highlight w:val="none"/>
          <w:lang w:eastAsia="zh-CN"/>
        </w:rPr>
        <w:t>.</w:t>
      </w:r>
      <w:r>
        <w:rPr>
          <w:rFonts w:ascii="宋体" w:hAnsi="宋体" w:cs="宋体"/>
          <w:color w:val="auto"/>
          <w:highlight w:val="none"/>
        </w:rPr>
        <w:t>5 ＋ 0</w:t>
      </w:r>
      <w:r>
        <w:rPr>
          <w:rFonts w:hint="eastAsia" w:ascii="宋体" w:hAnsi="宋体" w:cs="宋体"/>
          <w:color w:val="auto"/>
          <w:highlight w:val="none"/>
          <w:lang w:eastAsia="zh-CN"/>
        </w:rPr>
        <w:t>.</w:t>
      </w:r>
      <w:r>
        <w:rPr>
          <w:rFonts w:ascii="宋体" w:hAnsi="宋体" w:cs="宋体"/>
          <w:color w:val="auto"/>
          <w:highlight w:val="none"/>
        </w:rPr>
        <w:t>4＝ 1</w:t>
      </w:r>
      <w:r>
        <w:rPr>
          <w:rFonts w:hint="eastAsia" w:ascii="宋体" w:hAnsi="宋体" w:cs="宋体"/>
          <w:color w:val="auto"/>
          <w:highlight w:val="none"/>
          <w:lang w:eastAsia="zh-CN"/>
        </w:rPr>
        <w:t>.</w:t>
      </w:r>
      <w:r>
        <w:rPr>
          <w:rFonts w:ascii="宋体" w:hAnsi="宋体" w:cs="宋体"/>
          <w:color w:val="auto"/>
          <w:highlight w:val="none"/>
        </w:rPr>
        <w:t>9 万元</w:t>
      </w:r>
    </w:p>
    <w:p w14:paraId="5EAB440D">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w:t>
      </w:r>
      <w:r>
        <w:rPr>
          <w:rFonts w:ascii="黑体" w:hAnsi="黑体" w:eastAsia="黑体" w:cs="宋体"/>
          <w:b/>
          <w:bCs/>
          <w:color w:val="auto"/>
          <w:sz w:val="24"/>
          <w:highlight w:val="none"/>
        </w:rPr>
        <w:t>3</w:t>
      </w:r>
      <w:r>
        <w:rPr>
          <w:rFonts w:hint="eastAsia" w:ascii="黑体" w:hAnsi="黑体" w:eastAsia="黑体" w:cs="宋体"/>
          <w:b/>
          <w:bCs/>
          <w:color w:val="auto"/>
          <w:sz w:val="24"/>
          <w:highlight w:val="none"/>
          <w:lang w:eastAsia="zh-CN"/>
        </w:rPr>
        <w:t>.</w:t>
      </w:r>
      <w:r>
        <w:rPr>
          <w:rFonts w:ascii="黑体" w:hAnsi="黑体" w:eastAsia="黑体" w:cs="宋体"/>
          <w:b/>
          <w:bCs/>
          <w:color w:val="auto"/>
          <w:sz w:val="24"/>
          <w:highlight w:val="none"/>
        </w:rPr>
        <w:t>需要补充的其他内容</w:t>
      </w:r>
    </w:p>
    <w:p w14:paraId="19F53D82">
      <w:pPr>
        <w:pStyle w:val="16"/>
        <w:pageBreakBefore w:val="0"/>
        <w:kinsoku/>
        <w:topLinePunct w:val="0"/>
        <w:bidi w:val="0"/>
        <w:spacing w:before="60" w:after="60"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3</w:t>
      </w:r>
      <w:r>
        <w:rPr>
          <w:rFonts w:hAnsi="宋体" w:cs="宋体"/>
          <w:color w:val="auto"/>
          <w:kern w:val="2"/>
          <w:sz w:val="21"/>
          <w:highlight w:val="none"/>
        </w:rPr>
        <w:t>3</w:t>
      </w:r>
      <w:r>
        <w:rPr>
          <w:rFonts w:hint="eastAsia" w:hAnsi="宋体" w:cs="宋体"/>
          <w:color w:val="auto"/>
          <w:kern w:val="2"/>
          <w:sz w:val="21"/>
          <w:highlight w:val="none"/>
          <w:lang w:eastAsia="zh-CN"/>
        </w:rPr>
        <w:t>.</w:t>
      </w:r>
      <w:r>
        <w:rPr>
          <w:rFonts w:hAnsi="宋体" w:cs="宋体"/>
          <w:color w:val="auto"/>
          <w:kern w:val="2"/>
          <w:sz w:val="21"/>
          <w:highlight w:val="none"/>
        </w:rPr>
        <w:t>1</w:t>
      </w:r>
      <w:r>
        <w:rPr>
          <w:rFonts w:hint="eastAsia" w:hAnsi="宋体" w:cs="宋体"/>
          <w:color w:val="auto"/>
          <w:kern w:val="2"/>
          <w:sz w:val="21"/>
          <w:highlight w:val="none"/>
        </w:rPr>
        <w:t>本磋商文件解释规则详见“供应商须知前附表”。</w:t>
      </w:r>
    </w:p>
    <w:p w14:paraId="33E0F381">
      <w:pPr>
        <w:pStyle w:val="16"/>
        <w:pageBreakBefore w:val="0"/>
        <w:kinsoku/>
        <w:topLinePunct w:val="0"/>
        <w:bidi w:val="0"/>
        <w:spacing w:before="60" w:after="60" w:line="360" w:lineRule="auto"/>
        <w:ind w:firstLine="420" w:firstLineChars="200"/>
        <w:textAlignment w:val="center"/>
        <w:rPr>
          <w:rFonts w:hAnsi="宋体" w:cs="宋体"/>
          <w:color w:val="auto"/>
          <w:kern w:val="2"/>
          <w:sz w:val="21"/>
          <w:highlight w:val="none"/>
        </w:rPr>
      </w:pPr>
      <w:r>
        <w:rPr>
          <w:rFonts w:hAnsi="宋体" w:cs="宋体"/>
          <w:color w:val="auto"/>
          <w:kern w:val="2"/>
          <w:sz w:val="21"/>
          <w:highlight w:val="none"/>
        </w:rPr>
        <w:t>33</w:t>
      </w:r>
      <w:r>
        <w:rPr>
          <w:rFonts w:hint="eastAsia" w:hAnsi="宋体" w:cs="宋体"/>
          <w:color w:val="auto"/>
          <w:kern w:val="2"/>
          <w:sz w:val="21"/>
          <w:highlight w:val="none"/>
          <w:lang w:eastAsia="zh-CN"/>
        </w:rPr>
        <w:t>.</w:t>
      </w:r>
      <w:r>
        <w:rPr>
          <w:rFonts w:hAnsi="宋体" w:cs="宋体"/>
          <w:color w:val="auto"/>
          <w:kern w:val="2"/>
          <w:sz w:val="21"/>
          <w:highlight w:val="none"/>
        </w:rPr>
        <w:t>2</w:t>
      </w:r>
      <w:r>
        <w:rPr>
          <w:rFonts w:hint="eastAsia" w:hAnsi="宋体" w:cs="宋体"/>
          <w:color w:val="auto"/>
          <w:kern w:val="2"/>
          <w:sz w:val="21"/>
          <w:highlight w:val="none"/>
        </w:rPr>
        <w:t xml:space="preserve"> 其他事项详见“供应商须知前附表”。</w:t>
      </w:r>
    </w:p>
    <w:p w14:paraId="4E1A5F35">
      <w:pPr>
        <w:pStyle w:val="16"/>
        <w:pageBreakBefore w:val="0"/>
        <w:kinsoku/>
        <w:topLinePunct w:val="0"/>
        <w:bidi w:val="0"/>
        <w:spacing w:before="60" w:after="60"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3</w:t>
      </w:r>
      <w:r>
        <w:rPr>
          <w:rFonts w:hAnsi="宋体" w:cs="宋体"/>
          <w:color w:val="auto"/>
          <w:kern w:val="2"/>
          <w:sz w:val="21"/>
          <w:highlight w:val="none"/>
        </w:rPr>
        <w:t>3</w:t>
      </w:r>
      <w:r>
        <w:rPr>
          <w:rFonts w:hint="eastAsia" w:hAnsi="宋体" w:cs="宋体"/>
          <w:color w:val="auto"/>
          <w:kern w:val="2"/>
          <w:sz w:val="21"/>
          <w:highlight w:val="none"/>
          <w:lang w:eastAsia="zh-CN"/>
        </w:rPr>
        <w:t>.</w:t>
      </w:r>
      <w:r>
        <w:rPr>
          <w:rFonts w:hAnsi="宋体" w:cs="宋体"/>
          <w:color w:val="auto"/>
          <w:kern w:val="2"/>
          <w:sz w:val="21"/>
          <w:highlight w:val="none"/>
        </w:rPr>
        <w:t>3</w:t>
      </w:r>
      <w:r>
        <w:rPr>
          <w:rFonts w:hint="eastAsia" w:hAnsi="宋体" w:cs="宋体"/>
          <w:color w:val="auto"/>
          <w:kern w:val="2"/>
          <w:sz w:val="21"/>
          <w:highlight w:val="none"/>
        </w:rPr>
        <w:t>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597A11DF">
      <w:pPr>
        <w:pStyle w:val="16"/>
        <w:pageBreakBefore w:val="0"/>
        <w:kinsoku/>
        <w:topLinePunct w:val="0"/>
        <w:bidi w:val="0"/>
        <w:spacing w:before="60" w:after="60" w:line="360" w:lineRule="auto"/>
        <w:ind w:firstLine="420" w:firstLineChars="200"/>
        <w:contextualSpacing/>
        <w:rPr>
          <w:rFonts w:hAnsi="宋体"/>
          <w:color w:val="auto"/>
          <w:sz w:val="21"/>
          <w:highlight w:val="none"/>
        </w:rPr>
      </w:pPr>
      <w:r>
        <w:rPr>
          <w:rFonts w:hint="eastAsia" w:hAnsi="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04522CD6">
      <w:pPr>
        <w:pStyle w:val="16"/>
        <w:pageBreakBefore w:val="0"/>
        <w:kinsoku/>
        <w:topLinePunct w:val="0"/>
        <w:bidi w:val="0"/>
        <w:spacing w:before="60" w:after="60" w:line="360" w:lineRule="auto"/>
        <w:ind w:firstLine="420" w:firstLineChars="200"/>
        <w:contextualSpacing/>
        <w:rPr>
          <w:rFonts w:hAnsi="宋体"/>
          <w:color w:val="auto"/>
          <w:sz w:val="21"/>
          <w:highlight w:val="none"/>
        </w:rPr>
      </w:pPr>
      <w:r>
        <w:rPr>
          <w:rFonts w:hint="eastAsia" w:hAnsi="宋体"/>
          <w:color w:val="auto"/>
          <w:sz w:val="21"/>
          <w:highlight w:val="none"/>
        </w:rPr>
        <w:t>（2）在工程采购项目中，工程由中小企业承建，即工程施工单位为中小企业，不对其中涉及的货物的制造商和服务的承接商作出要求；</w:t>
      </w:r>
    </w:p>
    <w:p w14:paraId="247E98AD">
      <w:pPr>
        <w:pStyle w:val="16"/>
        <w:pageBreakBefore w:val="0"/>
        <w:kinsoku/>
        <w:topLinePunct w:val="0"/>
        <w:bidi w:val="0"/>
        <w:spacing w:before="60" w:after="60" w:line="360" w:lineRule="auto"/>
        <w:ind w:firstLine="420" w:firstLineChars="200"/>
        <w:contextualSpacing/>
        <w:rPr>
          <w:rFonts w:hAnsi="宋体"/>
          <w:color w:val="auto"/>
          <w:sz w:val="21"/>
          <w:highlight w:val="none"/>
        </w:rPr>
      </w:pPr>
      <w:r>
        <w:rPr>
          <w:rFonts w:hint="eastAsia" w:hAnsi="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1CA5B13A">
      <w:pPr>
        <w:pStyle w:val="16"/>
        <w:pageBreakBefore w:val="0"/>
        <w:kinsoku/>
        <w:topLinePunct w:val="0"/>
        <w:bidi w:val="0"/>
        <w:spacing w:before="60" w:after="60"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14:paraId="51987FE4">
      <w:pPr>
        <w:pStyle w:val="16"/>
        <w:pageBreakBefore w:val="0"/>
        <w:kinsoku/>
        <w:topLinePunct w:val="0"/>
        <w:bidi w:val="0"/>
        <w:spacing w:before="60" w:after="60"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依据本磋商文件规定享受扶持政策获得政府采购合同的，小微企业不得将合同分包给大中型企业，中型企业不得将合同分包给大型企业。</w:t>
      </w:r>
    </w:p>
    <w:p w14:paraId="24D19667">
      <w:pPr>
        <w:pageBreakBefore w:val="0"/>
        <w:kinsoku/>
        <w:topLinePunct w:val="0"/>
        <w:bidi w:val="0"/>
        <w:spacing w:before="60" w:after="60" w:line="360" w:lineRule="auto"/>
        <w:ind w:firstLine="422" w:firstLineChars="200"/>
        <w:rPr>
          <w:rFonts w:ascii="宋体" w:hAnsi="宋体" w:cs="宋体"/>
          <w:b/>
          <w:color w:val="auto"/>
          <w:szCs w:val="21"/>
          <w:highlight w:val="none"/>
        </w:rPr>
      </w:pPr>
      <w:r>
        <w:rPr>
          <w:rFonts w:hint="eastAsia" w:ascii="宋体" w:hAnsi="宋体" w:eastAsia="宋体" w:cs="宋体"/>
          <w:b/>
          <w:bCs w:val="0"/>
          <w:color w:val="auto"/>
          <w:szCs w:val="21"/>
          <w:highlight w:val="none"/>
        </w:rPr>
        <w:t>33</w:t>
      </w:r>
      <w:r>
        <w:rPr>
          <w:rFonts w:hint="eastAsia" w:ascii="宋体" w:hAnsi="宋体" w:cs="宋体"/>
          <w:b/>
          <w:bCs w:val="0"/>
          <w:color w:val="auto"/>
          <w:szCs w:val="21"/>
          <w:highlight w:val="none"/>
          <w:lang w:eastAsia="zh-CN"/>
        </w:rPr>
        <w:t>.</w:t>
      </w:r>
      <w:r>
        <w:rPr>
          <w:rFonts w:hint="eastAsia" w:ascii="宋体" w:hAnsi="宋体" w:eastAsia="宋体" w:cs="宋体"/>
          <w:b/>
          <w:bCs w:val="0"/>
          <w:color w:val="auto"/>
          <w:szCs w:val="21"/>
          <w:highlight w:val="none"/>
        </w:rPr>
        <w:t>4</w:t>
      </w:r>
      <w:r>
        <w:rPr>
          <w:rFonts w:hint="eastAsia" w:ascii="宋体" w:hAnsi="宋体" w:cs="宋体"/>
          <w:b/>
          <w:color w:val="auto"/>
          <w:szCs w:val="21"/>
          <w:highlight w:val="none"/>
        </w:rPr>
        <w:t xml:space="preserve">纸质投标文件：中标（成交）人在中标（成交）通知书发出后5天内须提交 2套纸质版投标（响应）文件（含报价文件、资格证明文件、商务文件、技术文件。按要求加盖公章）给招标代理机构，一正一副。 </w:t>
      </w:r>
    </w:p>
    <w:p w14:paraId="31C40B3C">
      <w:pPr>
        <w:ind w:firstLine="422"/>
        <w:rPr>
          <w:rFonts w:hAnsi="宋体"/>
          <w:b/>
          <w:color w:val="auto"/>
          <w:sz w:val="32"/>
          <w:szCs w:val="32"/>
          <w:highlight w:val="none"/>
        </w:rPr>
      </w:pPr>
      <w:r>
        <w:rPr>
          <w:rFonts w:hint="eastAsia" w:ascii="宋体" w:hAnsi="宋体" w:cs="宋体"/>
          <w:b/>
          <w:color w:val="auto"/>
          <w:szCs w:val="21"/>
          <w:highlight w:val="none"/>
        </w:rPr>
        <w:t>提交的纸质版投标（响应）文件文本必须与其上传到桂采云系统的电子投标（响应）文件内容一致，不允许有篡改。如项目验收时因所提供的纸质投标（响应）文件与评标的投标（响应）文件不一致造成纠纷时，所有责任由中标（成交）人承担。</w:t>
      </w:r>
      <w:r>
        <w:rPr>
          <w:rFonts w:hAnsi="宋体"/>
          <w:b/>
          <w:color w:val="auto"/>
          <w:highlight w:val="none"/>
        </w:rPr>
        <w:br w:type="page"/>
      </w:r>
    </w:p>
    <w:p w14:paraId="64C525E8">
      <w:pPr>
        <w:pStyle w:val="4"/>
        <w:pageBreakBefore w:val="0"/>
        <w:kinsoku/>
        <w:topLinePunct w:val="0"/>
        <w:bidi w:val="0"/>
        <w:spacing w:before="60" w:after="60" w:line="360" w:lineRule="auto"/>
        <w:jc w:val="center"/>
        <w:rPr>
          <w:color w:val="auto"/>
          <w:highlight w:val="none"/>
        </w:rPr>
      </w:pPr>
      <w:bookmarkStart w:id="75" w:name="_Toc15007"/>
      <w:r>
        <w:rPr>
          <w:rFonts w:hint="eastAsia"/>
          <w:color w:val="auto"/>
          <w:highlight w:val="none"/>
        </w:rPr>
        <w:t>第三章 采购需求</w:t>
      </w:r>
      <w:bookmarkEnd w:id="75"/>
    </w:p>
    <w:p w14:paraId="10F9FD45">
      <w:pPr>
        <w:pageBreakBefore w:val="0"/>
        <w:kinsoku/>
        <w:topLinePunct w:val="0"/>
        <w:bidi w:val="0"/>
        <w:spacing w:before="60" w:after="60" w:line="360" w:lineRule="auto"/>
        <w:jc w:val="left"/>
        <w:rPr>
          <w:rFonts w:ascii="宋体" w:hAnsi="宋体" w:cs="宋体"/>
          <w:color w:val="auto"/>
          <w:szCs w:val="21"/>
          <w:highlight w:val="none"/>
        </w:rPr>
      </w:pPr>
      <w:r>
        <w:rPr>
          <w:rFonts w:hint="eastAsia" w:ascii="宋体" w:hAnsi="宋体" w:cs="宋体"/>
          <w:color w:val="auto"/>
          <w:szCs w:val="21"/>
          <w:highlight w:val="none"/>
        </w:rPr>
        <w:t>说明：</w:t>
      </w:r>
    </w:p>
    <w:p w14:paraId="4FED592C">
      <w:pPr>
        <w:pageBreakBefore w:val="0"/>
        <w:kinsoku/>
        <w:topLinePunct w:val="0"/>
        <w:bidi w:val="0"/>
        <w:spacing w:before="60" w:after="60" w:line="360"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color w:val="auto"/>
          <w:highlight w:val="none"/>
        </w:rPr>
        <w:t>1</w:t>
      </w:r>
      <w:r>
        <w:rPr>
          <w:rFonts w:hint="eastAsia"/>
          <w:color w:val="auto"/>
          <w:highlight w:val="none"/>
          <w:lang w:eastAsia="zh-CN"/>
        </w:rPr>
        <w:t>.</w:t>
      </w:r>
      <w:r>
        <w:rPr>
          <w:rFonts w:hint="eastAsia"/>
          <w:color w:val="auto"/>
          <w:highlight w:val="none"/>
        </w:rPr>
        <w:t xml:space="preserve"> 为落实政府采购政策需满足的要求</w:t>
      </w:r>
      <w:r>
        <w:rPr>
          <w:rFonts w:hint="eastAsia"/>
          <w:color w:val="auto"/>
          <w:highlight w:val="none"/>
          <w:lang w:eastAsia="zh-CN"/>
        </w:rPr>
        <w:t>：</w:t>
      </w:r>
    </w:p>
    <w:p w14:paraId="39AE8DE4">
      <w:pPr>
        <w:pageBreakBefore w:val="0"/>
        <w:kinsoku/>
        <w:topLinePunct w:val="0"/>
        <w:bidi w:val="0"/>
        <w:spacing w:before="60" w:after="6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本竞争性磋商采购文件所称中小企业必须符合《政府采购促进中小企业发展管理办法》（财库〔2020〕46号）的规定。</w:t>
      </w:r>
    </w:p>
    <w:p w14:paraId="725C5A4E">
      <w:pPr>
        <w:pageBreakBefore w:val="0"/>
        <w:kinsoku/>
        <w:topLinePunct w:val="0"/>
        <w:bidi w:val="0"/>
        <w:spacing w:before="60" w:after="60" w:line="360" w:lineRule="auto"/>
        <w:ind w:firstLine="424" w:firstLineChars="202"/>
        <w:jc w:val="left"/>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w:t>
      </w:r>
      <w:r>
        <w:rPr>
          <w:rFonts w:hint="eastAsia" w:ascii="宋体" w:hAnsi="宋体" w:cs="宋体"/>
          <w:b/>
          <w:bCs/>
          <w:color w:val="auto"/>
          <w:szCs w:val="21"/>
          <w:highlight w:val="none"/>
          <w:lang w:val="en-US" w:eastAsia="zh-CN"/>
        </w:rPr>
        <w:t>本项目</w:t>
      </w:r>
      <w:r>
        <w:rPr>
          <w:rFonts w:hint="eastAsia" w:ascii="宋体" w:hAnsi="宋体" w:cs="宋体"/>
          <w:b/>
          <w:bCs/>
          <w:color w:val="auto"/>
          <w:szCs w:val="21"/>
          <w:highlight w:val="none"/>
        </w:rPr>
        <w:t>采购需求中</w:t>
      </w:r>
      <w:r>
        <w:rPr>
          <w:rFonts w:hint="eastAsia" w:ascii="宋体" w:hAnsi="宋体" w:cs="宋体"/>
          <w:b/>
          <w:bCs/>
          <w:color w:val="auto"/>
          <w:szCs w:val="21"/>
          <w:highlight w:val="none"/>
          <w:lang w:val="en-US" w:eastAsia="zh-CN"/>
        </w:rPr>
        <w:t>所有技术及商务</w:t>
      </w:r>
      <w:r>
        <w:rPr>
          <w:rFonts w:hint="eastAsia" w:ascii="宋体" w:hAnsi="宋体" w:cs="宋体"/>
          <w:b/>
          <w:bCs/>
          <w:color w:val="auto"/>
          <w:szCs w:val="21"/>
          <w:highlight w:val="none"/>
        </w:rPr>
        <w:t>条款</w:t>
      </w:r>
      <w:r>
        <w:rPr>
          <w:rFonts w:hint="eastAsia" w:ascii="宋体" w:hAnsi="宋体" w:cs="宋体"/>
          <w:b/>
          <w:bCs/>
          <w:color w:val="auto"/>
          <w:szCs w:val="21"/>
          <w:highlight w:val="none"/>
          <w:lang w:val="en-US" w:eastAsia="zh-CN"/>
        </w:rPr>
        <w:t>均</w:t>
      </w:r>
      <w:r>
        <w:rPr>
          <w:rFonts w:hint="eastAsia" w:ascii="宋体" w:hAnsi="宋体" w:cs="宋体"/>
          <w:b/>
          <w:bCs/>
          <w:color w:val="auto"/>
          <w:szCs w:val="21"/>
          <w:highlight w:val="none"/>
        </w:rPr>
        <w:t>不能负偏离</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否则</w:t>
      </w:r>
      <w:r>
        <w:rPr>
          <w:rFonts w:hint="eastAsia" w:ascii="宋体" w:hAnsi="宋体" w:cs="宋体"/>
          <w:b/>
          <w:bCs/>
          <w:color w:val="auto"/>
          <w:szCs w:val="21"/>
          <w:highlight w:val="none"/>
        </w:rPr>
        <w:t>响应文件按无效处理</w:t>
      </w:r>
      <w:r>
        <w:rPr>
          <w:rFonts w:hint="eastAsia" w:ascii="宋体" w:hAnsi="宋体" w:cs="宋体"/>
          <w:color w:val="auto"/>
          <w:szCs w:val="21"/>
          <w:highlight w:val="none"/>
        </w:rPr>
        <w:t>。</w:t>
      </w:r>
    </w:p>
    <w:p w14:paraId="7800F40B">
      <w:pPr>
        <w:pageBreakBefore w:val="0"/>
        <w:kinsoku/>
        <w:topLinePunct w:val="0"/>
        <w:bidi w:val="0"/>
        <w:spacing w:before="60" w:after="60" w:line="360" w:lineRule="auto"/>
        <w:ind w:firstLine="424" w:firstLineChars="202"/>
        <w:jc w:val="left"/>
        <w:rPr>
          <w:color w:val="auto"/>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供应商应根据自身实际情况如实响应磋商文件</w:t>
      </w:r>
      <w:r>
        <w:rPr>
          <w:rFonts w:hint="eastAsia" w:ascii="宋体" w:hAnsi="宋体"/>
          <w:color w:val="auto"/>
          <w:szCs w:val="21"/>
          <w:highlight w:val="none"/>
        </w:rPr>
        <w:t>，不得仅将</w:t>
      </w:r>
      <w:r>
        <w:rPr>
          <w:rFonts w:hint="eastAsia" w:ascii="宋体" w:hAnsi="宋体" w:cs="宋体"/>
          <w:color w:val="auto"/>
          <w:szCs w:val="21"/>
          <w:highlight w:val="none"/>
        </w:rPr>
        <w:t>磋商文件</w:t>
      </w:r>
      <w:r>
        <w:rPr>
          <w:rFonts w:hint="eastAsia" w:ascii="宋体" w:hAnsi="宋体"/>
          <w:color w:val="auto"/>
          <w:szCs w:val="21"/>
          <w:highlight w:val="none"/>
        </w:rPr>
        <w:t>内容简单复制粘贴作为竞标响应，还应当提供相关证明材料，否则将按无效响应处理（定制采购不适用本条款）。</w:t>
      </w:r>
      <w:r>
        <w:rPr>
          <w:rFonts w:hint="eastAsia"/>
          <w:color w:val="auto"/>
          <w:highlight w:val="none"/>
        </w:rPr>
        <w:t>对于重要技术条款或技术参数应当在响应文件中提供技术支持资料，技术支持资料以磋商文件中规定的形式为准，否则将视为无效技术支持资料。</w:t>
      </w:r>
    </w:p>
    <w:p w14:paraId="21CA3B4B">
      <w:pPr>
        <w:pageBreakBefore w:val="0"/>
        <w:kinsoku/>
        <w:topLinePunct w:val="0"/>
        <w:bidi w:val="0"/>
        <w:spacing w:before="60" w:after="60"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eastAsia="zh-CN"/>
        </w:rPr>
        <w:t>.</w:t>
      </w:r>
      <w:r>
        <w:rPr>
          <w:rFonts w:hint="eastAsia" w:ascii="宋体" w:hAnsi="宋体" w:cs="宋体"/>
          <w:color w:val="auto"/>
          <w:szCs w:val="21"/>
          <w:highlight w:val="none"/>
        </w:rPr>
        <w:t>供应商必须自行为其竞标产品侵犯他人的知识产权或者专利成果的行为承担相应法律责任。</w:t>
      </w:r>
    </w:p>
    <w:p w14:paraId="03144625">
      <w:pPr>
        <w:pageBreakBefore w:val="0"/>
        <w:kinsoku/>
        <w:topLinePunct w:val="0"/>
        <w:bidi w:val="0"/>
        <w:spacing w:before="60" w:after="60" w:line="360" w:lineRule="auto"/>
        <w:ind w:firstLine="424" w:firstLineChars="202"/>
        <w:jc w:val="left"/>
        <w:rPr>
          <w:rFonts w:hint="default" w:ascii="宋体" w:hAnsi="宋体" w:eastAsia="宋体"/>
          <w:color w:val="auto"/>
          <w:szCs w:val="21"/>
          <w:highlight w:val="none"/>
          <w:lang w:val="en-US" w:eastAsia="zh-CN"/>
        </w:rPr>
      </w:pPr>
      <w:r>
        <w:rPr>
          <w:rFonts w:hint="eastAsia" w:ascii="宋体" w:hAnsi="宋体" w:cs="宋体"/>
          <w:color w:val="auto"/>
          <w:szCs w:val="21"/>
          <w:highlight w:val="none"/>
          <w:lang w:val="en-US" w:eastAsia="zh-CN"/>
        </w:rPr>
        <w:t>5.采购标的对应的中小企业划分标准所属行业名称： 其他未列明行业</w:t>
      </w:r>
    </w:p>
    <w:tbl>
      <w:tblPr>
        <w:tblStyle w:val="31"/>
        <w:tblW w:w="87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5"/>
        <w:gridCol w:w="1293"/>
        <w:gridCol w:w="850"/>
        <w:gridCol w:w="5954"/>
      </w:tblGrid>
      <w:tr w14:paraId="7538C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8752" w:type="dxa"/>
            <w:gridSpan w:val="4"/>
            <w:vAlign w:val="center"/>
          </w:tcPr>
          <w:p w14:paraId="131DE47F">
            <w:pPr>
              <w:keepNext w:val="0"/>
              <w:keepLines w:val="0"/>
              <w:pageBreakBefore w:val="0"/>
              <w:suppressLineNumbers w:val="0"/>
              <w:tabs>
                <w:tab w:val="left" w:pos="180"/>
                <w:tab w:val="left" w:pos="1620"/>
              </w:tabs>
              <w:kinsoku/>
              <w:wordWrap/>
              <w:overflowPunct/>
              <w:topLinePunct w:val="0"/>
              <w:autoSpaceDN/>
              <w:bidi w:val="0"/>
              <w:adjustRightInd/>
              <w:snapToGrid/>
              <w:spacing w:before="60" w:beforeAutospacing="0" w:after="60" w:afterAutospacing="0" w:line="360" w:lineRule="auto"/>
              <w:ind w:left="0" w:right="0"/>
              <w:jc w:val="center"/>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服务需求一览表</w:t>
            </w:r>
          </w:p>
        </w:tc>
      </w:tr>
      <w:tr w14:paraId="06119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55" w:type="dxa"/>
            <w:vAlign w:val="center"/>
          </w:tcPr>
          <w:p w14:paraId="147FA34C">
            <w:pPr>
              <w:keepNext w:val="0"/>
              <w:keepLines w:val="0"/>
              <w:pageBreakBefore w:val="0"/>
              <w:suppressLineNumbers w:val="0"/>
              <w:tabs>
                <w:tab w:val="left" w:pos="180"/>
                <w:tab w:val="left" w:pos="1620"/>
              </w:tabs>
              <w:kinsoku/>
              <w:wordWrap/>
              <w:overflowPunct/>
              <w:topLinePunct w:val="0"/>
              <w:autoSpaceDN/>
              <w:bidi w:val="0"/>
              <w:adjustRightInd/>
              <w:snapToGrid/>
              <w:spacing w:before="60" w:beforeAutospacing="0" w:after="60" w:afterAutospacing="0" w:line="360" w:lineRule="auto"/>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293" w:type="dxa"/>
            <w:vAlign w:val="center"/>
          </w:tcPr>
          <w:p w14:paraId="38C4A282">
            <w:pPr>
              <w:keepNext w:val="0"/>
              <w:keepLines w:val="0"/>
              <w:pageBreakBefore w:val="0"/>
              <w:suppressLineNumbers w:val="0"/>
              <w:tabs>
                <w:tab w:val="left" w:pos="180"/>
                <w:tab w:val="left" w:pos="1620"/>
              </w:tabs>
              <w:kinsoku/>
              <w:wordWrap/>
              <w:overflowPunct/>
              <w:topLinePunct w:val="0"/>
              <w:autoSpaceDN/>
              <w:bidi w:val="0"/>
              <w:adjustRightInd/>
              <w:snapToGrid/>
              <w:spacing w:before="60" w:beforeAutospacing="0" w:after="60" w:afterAutospacing="0" w:line="360" w:lineRule="auto"/>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850" w:type="dxa"/>
            <w:vAlign w:val="center"/>
          </w:tcPr>
          <w:p w14:paraId="009F6866">
            <w:pPr>
              <w:keepNext w:val="0"/>
              <w:keepLines w:val="0"/>
              <w:pageBreakBefore w:val="0"/>
              <w:suppressLineNumbers w:val="0"/>
              <w:tabs>
                <w:tab w:val="left" w:pos="180"/>
                <w:tab w:val="left" w:pos="1620"/>
              </w:tabs>
              <w:kinsoku/>
              <w:wordWrap/>
              <w:overflowPunct/>
              <w:topLinePunct w:val="0"/>
              <w:autoSpaceDN/>
              <w:bidi w:val="0"/>
              <w:adjustRightInd/>
              <w:snapToGrid/>
              <w:spacing w:before="60" w:beforeAutospacing="0" w:after="60" w:afterAutospacing="0" w:line="360" w:lineRule="auto"/>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数量及单位</w:t>
            </w:r>
          </w:p>
        </w:tc>
        <w:tc>
          <w:tcPr>
            <w:tcW w:w="5954" w:type="dxa"/>
            <w:vAlign w:val="center"/>
          </w:tcPr>
          <w:p w14:paraId="2C8F19CD">
            <w:pPr>
              <w:keepNext w:val="0"/>
              <w:keepLines w:val="0"/>
              <w:pageBreakBefore w:val="0"/>
              <w:suppressLineNumbers w:val="0"/>
              <w:tabs>
                <w:tab w:val="left" w:pos="180"/>
                <w:tab w:val="left" w:pos="1620"/>
              </w:tabs>
              <w:kinsoku/>
              <w:wordWrap/>
              <w:overflowPunct/>
              <w:topLinePunct w:val="0"/>
              <w:autoSpaceDN/>
              <w:bidi w:val="0"/>
              <w:adjustRightInd/>
              <w:snapToGrid/>
              <w:spacing w:before="60" w:beforeAutospacing="0" w:after="60" w:afterAutospacing="0" w:line="360" w:lineRule="auto"/>
              <w:ind w:left="0" w:leftChars="0" w:right="0" w:rightChars="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服务内容</w:t>
            </w:r>
            <w:r>
              <w:rPr>
                <w:rFonts w:hint="eastAsia" w:ascii="宋体" w:hAnsi="宋体" w:eastAsia="宋体" w:cs="宋体"/>
                <w:color w:val="auto"/>
                <w:sz w:val="21"/>
                <w:szCs w:val="21"/>
                <w:highlight w:val="none"/>
              </w:rPr>
              <w:t>和</w:t>
            </w:r>
            <w:r>
              <w:rPr>
                <w:rFonts w:hint="eastAsia" w:ascii="宋体" w:hAnsi="宋体" w:cs="宋体"/>
                <w:color w:val="auto"/>
                <w:sz w:val="21"/>
                <w:szCs w:val="21"/>
                <w:highlight w:val="none"/>
                <w:lang w:eastAsia="zh-CN"/>
              </w:rPr>
              <w:t>技术</w:t>
            </w:r>
            <w:r>
              <w:rPr>
                <w:rFonts w:hint="eastAsia" w:ascii="宋体" w:hAnsi="宋体" w:eastAsia="宋体" w:cs="宋体"/>
                <w:color w:val="auto"/>
                <w:sz w:val="21"/>
                <w:szCs w:val="21"/>
                <w:highlight w:val="none"/>
              </w:rPr>
              <w:t>要求</w:t>
            </w:r>
          </w:p>
        </w:tc>
      </w:tr>
      <w:tr w14:paraId="38702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5" w:hRule="atLeast"/>
          <w:jc w:val="center"/>
        </w:trPr>
        <w:tc>
          <w:tcPr>
            <w:tcW w:w="655" w:type="dxa"/>
            <w:vAlign w:val="center"/>
          </w:tcPr>
          <w:p w14:paraId="572DB974">
            <w:pPr>
              <w:keepNext w:val="0"/>
              <w:keepLines w:val="0"/>
              <w:pageBreakBefore w:val="0"/>
              <w:suppressLineNumbers w:val="0"/>
              <w:tabs>
                <w:tab w:val="left" w:pos="180"/>
                <w:tab w:val="left" w:pos="1620"/>
              </w:tabs>
              <w:kinsoku/>
              <w:wordWrap/>
              <w:overflowPunct/>
              <w:topLinePunct w:val="0"/>
              <w:autoSpaceDN/>
              <w:bidi w:val="0"/>
              <w:adjustRightInd/>
              <w:snapToGrid/>
              <w:spacing w:before="60" w:beforeAutospacing="0" w:after="60" w:afterAutospacing="0" w:line="36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93" w:type="dxa"/>
            <w:vAlign w:val="center"/>
          </w:tcPr>
          <w:p w14:paraId="318E7DDB">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center"/>
              <w:textAlignment w:val="center"/>
              <w:rPr>
                <w:rFonts w:hint="eastAsia" w:ascii="宋体" w:hAnsi="宋体" w:eastAsia="宋体" w:cs="宋体"/>
                <w:color w:val="auto"/>
                <w:sz w:val="21"/>
                <w:szCs w:val="21"/>
                <w:highlight w:val="none"/>
                <w:lang w:eastAsia="zh-CN"/>
              </w:rPr>
            </w:pPr>
            <w:r>
              <w:rPr>
                <w:rFonts w:hint="eastAsia" w:ascii="宋体" w:hAnsi="宋体"/>
                <w:color w:val="auto"/>
                <w:szCs w:val="21"/>
                <w:highlight w:val="none"/>
                <w:lang w:eastAsia="zh-CN"/>
              </w:rPr>
              <w:t>浦北县农民工创业园能力提升项目</w:t>
            </w:r>
          </w:p>
        </w:tc>
        <w:tc>
          <w:tcPr>
            <w:tcW w:w="850" w:type="dxa"/>
            <w:vAlign w:val="center"/>
          </w:tcPr>
          <w:p w14:paraId="656B65A3">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1项</w:t>
            </w:r>
          </w:p>
        </w:tc>
        <w:tc>
          <w:tcPr>
            <w:tcW w:w="5954" w:type="dxa"/>
            <w:shd w:val="clear" w:color="auto" w:fill="auto"/>
            <w:vAlign w:val="center"/>
          </w:tcPr>
          <w:p w14:paraId="64980509">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eastAsia="宋体"/>
                <w:b/>
                <w:bCs/>
                <w:color w:val="auto"/>
                <w:sz w:val="21"/>
                <w:szCs w:val="21"/>
                <w:highlight w:val="none"/>
                <w:lang w:val="en-US" w:eastAsia="zh-CN"/>
              </w:rPr>
            </w:pPr>
            <w:r>
              <w:rPr>
                <w:rFonts w:hint="eastAsia" w:eastAsia="宋体"/>
                <w:b/>
                <w:bCs/>
                <w:color w:val="auto"/>
                <w:sz w:val="21"/>
                <w:szCs w:val="21"/>
                <w:highlight w:val="none"/>
                <w:lang w:val="en-US" w:eastAsia="zh-CN"/>
              </w:rPr>
              <w:t>一、实施内容</w:t>
            </w:r>
          </w:p>
          <w:p w14:paraId="7BE9B543">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b/>
                <w:bCs/>
                <w:color w:val="auto"/>
                <w:sz w:val="21"/>
                <w:szCs w:val="21"/>
                <w:highlight w:val="none"/>
                <w:lang w:val="en-US" w:eastAsia="zh-CN"/>
              </w:rPr>
              <w:t>（一）提升园区创业就业公共服务建设。</w:t>
            </w:r>
            <w:r>
              <w:rPr>
                <w:rFonts w:hint="eastAsia"/>
                <w:color w:val="auto"/>
                <w:sz w:val="21"/>
                <w:szCs w:val="21"/>
                <w:highlight w:val="none"/>
                <w:lang w:val="en-US" w:eastAsia="zh-CN"/>
              </w:rPr>
              <w:t>在农民工创业园比较集中的区域升级设立浦北县农民工创业园综合服务中心，设置综合服务大厅、洽谈室、创业指导室、培训室等功能区，在园区主要区域打造农民工创业园连片企业一条街特色，建成千米企业信息发布栏；宣传推介本地创业特色项目，依托农副产品加工、编织等特色产业设立浦北县农民工创业园农特优产品展示区，全面激活县域特色；优化升级制作农民工创业园标识，提升园区辨识度，全方位提升整个创业园运营管理服务水平，激活农民工创业活力、推动园区企业高质量发展。</w:t>
            </w:r>
          </w:p>
          <w:p w14:paraId="6B7C2ACF">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b/>
                <w:bCs/>
                <w:color w:val="auto"/>
                <w:sz w:val="21"/>
                <w:szCs w:val="21"/>
                <w:highlight w:val="none"/>
                <w:lang w:val="en-US" w:eastAsia="zh-CN"/>
              </w:rPr>
              <w:t>（二）健全园区创业就业服务管理体系。</w:t>
            </w:r>
            <w:r>
              <w:rPr>
                <w:rFonts w:hint="eastAsia"/>
                <w:color w:val="auto"/>
                <w:sz w:val="21"/>
                <w:szCs w:val="21"/>
                <w:highlight w:val="none"/>
                <w:lang w:val="en-US" w:eastAsia="zh-CN"/>
              </w:rPr>
              <w:t>进一步健全创业园管理制度，明确入驻标准与退出机制，保障创业园区各项服务工作有序运营，配备相应的工作人员，负责日常管理工作，跟踪管理、指导、服务创业园区内各类市场主体，并依托平台辐射带动园区外的本地各类市场主体。设立“一窗受理”窗口，推行“五员”管家服务模式，创新推行政策宣传员、补贴政策代办员、招工勤务员、维权保障员、纾难解困员“五员”管家服务模式。每月组织人员定期入企开展人社惠企政策宣传，扩大政策宣传面，提高政策知晓率，确保入园企业对人社惠企政策应知尽知，应办尽办；建立企业的用工需求台账，积极为企业提供招聘、培训、咨询等相关服务；协助入驻企业、农民工办理一次性创业补贴、创业担保贷款、失业金申领、社保缴费等政策性业务。</w:t>
            </w:r>
          </w:p>
          <w:p w14:paraId="7F416FDB">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b/>
                <w:bCs/>
                <w:color w:val="auto"/>
                <w:sz w:val="21"/>
                <w:szCs w:val="21"/>
                <w:highlight w:val="none"/>
                <w:lang w:val="en-US" w:eastAsia="zh-CN"/>
              </w:rPr>
              <w:t>（三）升级培训内容与模式。</w:t>
            </w:r>
            <w:r>
              <w:rPr>
                <w:rFonts w:hint="eastAsia"/>
                <w:color w:val="auto"/>
                <w:sz w:val="21"/>
                <w:szCs w:val="21"/>
                <w:highlight w:val="none"/>
                <w:lang w:val="en-US" w:eastAsia="zh-CN"/>
              </w:rPr>
              <w:t>结合浦北产业优势和农民工需求，采用“互动教学+案例教学+现场观摩”相结合的方式有针对性开展培训，从基础层面，开展创业意识培育、企业经营管理、政策解读等实用技术培训；特色层面，围绕“世界长寿之乡”品牌，开发健康食品加工、乡村旅游、陈皮产业等特色培训项目；新兴层面，增设数字电商、直播带货等课程，推广“技能+创业”融合培训模式，提高园区企业管理能力及农民工技能水平。</w:t>
            </w:r>
          </w:p>
          <w:p w14:paraId="42F552D1">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b/>
                <w:bCs/>
                <w:color w:val="auto"/>
                <w:sz w:val="21"/>
                <w:szCs w:val="21"/>
                <w:highlight w:val="none"/>
                <w:lang w:val="en-US" w:eastAsia="zh-CN"/>
              </w:rPr>
              <w:t>（四）建强创业指导服务阵地。</w:t>
            </w:r>
            <w:r>
              <w:rPr>
                <w:rFonts w:hint="eastAsia"/>
                <w:color w:val="auto"/>
                <w:sz w:val="21"/>
                <w:szCs w:val="21"/>
                <w:highlight w:val="none"/>
                <w:lang w:val="en-US" w:eastAsia="zh-CN"/>
              </w:rPr>
              <w:t>设立创业指导师工作室，定期和不定期邀请创业指导师开展创业就业指导，为创业者提供“一对一”跟踪指导服务，向创业者及时推介投资少、见效快、市场前景好的创业项目，为企业提供市场营销、品牌建设、财务管理、法律咨询、人力资源等专项服务。支持举办农民工创业、技能大赛，创业项目展示推介等活动，搭建返乡留乡农民工与创业项目的对接平台。组建返乡留乡农民工创业微信群，为返乡创业人员交流和信息共享提供方便。</w:t>
            </w:r>
          </w:p>
          <w:p w14:paraId="1BEA361E">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二、服务要求</w:t>
            </w:r>
          </w:p>
          <w:p w14:paraId="5DDF409C">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（一）要严格按“五个一”管理</w:t>
            </w:r>
          </w:p>
          <w:p w14:paraId="56EB7932">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浦北县农民工创业园综合服务中心必须在采购人的管理和指导下开展服务工作，按照“五个一”（统一标识、统一制度、统一标准、统一流程、统一队伍）的模式进行管理，确保各项工作正常开展，按时按质完成各项工作任务。</w:t>
            </w:r>
          </w:p>
          <w:p w14:paraId="310280D0">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（二）要落实“五个有”</w:t>
            </w:r>
          </w:p>
          <w:p w14:paraId="01E7EC1D">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1.有固定办公场所（综合服务大厅、洽谈室、会议室、创业指导室、培训室等功能区）；</w:t>
            </w:r>
          </w:p>
          <w:p w14:paraId="77D6F19F">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有办公设备（服务大厅配备办公桌椅、电脑、打印机、空调、饮水机、档案柜、复印机、群众座椅、窗口座椅，会议室配备会议台、椅，洽谈室配备沙发、茶几，拉通网络、数智人社专线、安装摄象头，开通固定电话等）；</w:t>
            </w:r>
          </w:p>
          <w:p w14:paraId="4BF4C163">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3.有专职工作人员（工作人员统一工作服，佩带工作牌上岗），要求配备3名专职工作人员；</w:t>
            </w:r>
          </w:p>
          <w:p w14:paraId="4659403E">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4.有宣传阵地（安装显示屏，设立宣传牌，印制相关资料等）；</w:t>
            </w:r>
          </w:p>
          <w:p w14:paraId="4E30C25A">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5.有工作要求（做到工作有制度、服务有标准、操作有流程）。</w:t>
            </w:r>
          </w:p>
          <w:p w14:paraId="3E6C8052">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（三）要按要求印制宣传资料</w:t>
            </w:r>
          </w:p>
          <w:p w14:paraId="0FE0F283">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按采购人要求制作相关资料，包括开展各个项目服务所需资料，以及农民工入驻企业所需材料、宣传简介、横幅、海报、宣传栏等。</w:t>
            </w:r>
          </w:p>
          <w:p w14:paraId="6FF9E5CE">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（四）要规范建立工作台账</w:t>
            </w:r>
          </w:p>
          <w:p w14:paraId="4AA67942">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所开展的每一个服务项目活动或工作，必须分类归档建立工作台账资料，做到一项一档。</w:t>
            </w:r>
          </w:p>
          <w:p w14:paraId="04893233">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（五）要及时收集材料报送</w:t>
            </w:r>
          </w:p>
          <w:p w14:paraId="28141D47">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1.报表报送。务必按县人社部门的要求报送相关信息材料，如各类报表、实名制名册、总结等材料。</w:t>
            </w:r>
          </w:p>
          <w:p w14:paraId="554969E6">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服务项目进展情况报送。主要包括入驻企业数量、企业开工投产率、农民工创办企业的比率（含入股）、园内农民工就业率等情况，帮助入驻企业招聘情况、开展招聘进展、招聘工作亮点、活动组织、工作动态、工作存在的问题等，研判形势，总结经验。</w:t>
            </w:r>
          </w:p>
          <w:p w14:paraId="55A0C96B">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3.活动资料报送。活动方案、图片、经验总结等材料每月以书面、电子版形式报送。</w:t>
            </w:r>
          </w:p>
          <w:p w14:paraId="1B1F15DF">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三、工作要求</w:t>
            </w:r>
          </w:p>
          <w:p w14:paraId="22BB24C2">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b/>
                <w:bCs/>
                <w:color w:val="auto"/>
                <w:sz w:val="21"/>
                <w:szCs w:val="21"/>
                <w:highlight w:val="none"/>
                <w:lang w:val="en-US" w:eastAsia="zh-CN"/>
              </w:rPr>
              <w:t>（一）压实责任闭环。</w:t>
            </w:r>
            <w:r>
              <w:rPr>
                <w:rFonts w:hint="eastAsia"/>
                <w:color w:val="auto"/>
                <w:sz w:val="21"/>
                <w:szCs w:val="21"/>
                <w:highlight w:val="none"/>
                <w:lang w:val="en-US" w:eastAsia="zh-CN"/>
              </w:rPr>
              <w:t>建立“统筹协调、分工落实”的工作机制，要不定期召开推进会，破解项目难点堵点，细化流程、设定阶段目标，确保各项任务落地，要严把各环节质量关，杜绝形式主义，同时细化考核指标分解，建立常态化监测、通报与预警整改机制，确保各项考核指标全部达标，坚决守住工作质效底线。</w:t>
            </w:r>
          </w:p>
          <w:p w14:paraId="5D4CD2CB">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eastAsia="宋体"/>
                <w:b/>
                <w:bCs/>
                <w:color w:val="auto"/>
                <w:sz w:val="21"/>
                <w:szCs w:val="21"/>
                <w:highlight w:val="none"/>
                <w:lang w:val="en-US" w:eastAsia="zh-CN"/>
              </w:rPr>
              <w:t>（二）强化督查评估。</w:t>
            </w:r>
            <w:r>
              <w:rPr>
                <w:rFonts w:hint="eastAsia"/>
                <w:color w:val="auto"/>
                <w:sz w:val="21"/>
                <w:szCs w:val="21"/>
                <w:highlight w:val="none"/>
                <w:lang w:val="en-US" w:eastAsia="zh-CN"/>
              </w:rPr>
              <w:t>建立项目进度督查机制，以入驻企业家数、带动就业人数、企业满意度等为核心指标，开展项目成效评估，评估结果作为资金拨付的重要依据。</w:t>
            </w:r>
          </w:p>
          <w:p w14:paraId="65260C3B">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b/>
                <w:bCs/>
                <w:color w:val="auto"/>
                <w:sz w:val="21"/>
                <w:szCs w:val="21"/>
                <w:highlight w:val="none"/>
                <w:lang w:val="en-US" w:eastAsia="zh-CN"/>
              </w:rPr>
              <w:t>（三）加强宣传引导。</w:t>
            </w:r>
            <w:r>
              <w:rPr>
                <w:rFonts w:hint="eastAsia"/>
                <w:color w:val="auto"/>
                <w:sz w:val="21"/>
                <w:szCs w:val="21"/>
                <w:highlight w:val="none"/>
                <w:lang w:val="en-US" w:eastAsia="zh-CN"/>
              </w:rPr>
              <w:t>通过搭建交流平台，组织创业观摩、项目推介，营造敢创业、能创业、创成业浓厚氛围，培育挖掘创业明星、示范车间、带动就业示范项目，多渠道宣传政策成效与典型案例，提升知晓率与参与度，总结推广“浦北经验”。</w:t>
            </w:r>
          </w:p>
        </w:tc>
      </w:tr>
      <w:tr w14:paraId="46AC5D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752" w:type="dxa"/>
            <w:gridSpan w:val="4"/>
            <w:tcBorders>
              <w:top w:val="single" w:color="auto" w:sz="4" w:space="0"/>
              <w:left w:val="single" w:color="auto" w:sz="4" w:space="0"/>
              <w:bottom w:val="single" w:color="auto" w:sz="4" w:space="0"/>
              <w:right w:val="single" w:color="auto" w:sz="4" w:space="0"/>
            </w:tcBorders>
          </w:tcPr>
          <w:p w14:paraId="6949ABF0">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一、商务要求</w:t>
            </w:r>
          </w:p>
        </w:tc>
      </w:tr>
      <w:tr w14:paraId="191722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94" w:hRule="atLeast"/>
          <w:jc w:val="center"/>
        </w:trPr>
        <w:tc>
          <w:tcPr>
            <w:tcW w:w="8752" w:type="dxa"/>
            <w:gridSpan w:val="4"/>
            <w:tcBorders>
              <w:top w:val="single" w:color="auto" w:sz="4" w:space="0"/>
              <w:left w:val="single" w:color="auto" w:sz="4" w:space="0"/>
              <w:bottom w:val="single" w:color="auto" w:sz="4" w:space="0"/>
              <w:right w:val="single" w:color="auto" w:sz="4" w:space="0"/>
            </w:tcBorders>
            <w:vAlign w:val="center"/>
          </w:tcPr>
          <w:p w14:paraId="6D94F047">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1、签订合同时间：</w:t>
            </w:r>
            <w:r>
              <w:rPr>
                <w:rFonts w:hint="eastAsia" w:ascii="宋体" w:hAnsi="宋体" w:eastAsia="宋体" w:cs="宋体"/>
                <w:color w:val="auto"/>
                <w:sz w:val="21"/>
                <w:szCs w:val="21"/>
                <w:highlight w:val="none"/>
              </w:rPr>
              <w:t>自成交通知书发出之日起</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5日历日内。</w:t>
            </w:r>
          </w:p>
          <w:p w14:paraId="20281ACA">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cs="宋体"/>
                <w:b/>
                <w:bCs/>
                <w:color w:val="auto"/>
                <w:szCs w:val="21"/>
                <w:highlight w:val="none"/>
              </w:rPr>
              <w:t>服务响应要求</w:t>
            </w:r>
            <w:r>
              <w:rPr>
                <w:rFonts w:hint="eastAsia" w:ascii="宋体" w:hAnsi="宋体" w:cs="宋体"/>
                <w:b/>
                <w:bCs/>
                <w:color w:val="auto"/>
                <w:szCs w:val="21"/>
                <w:highlight w:val="none"/>
                <w:lang w:eastAsia="zh-CN"/>
              </w:rPr>
              <w:t>：</w:t>
            </w:r>
            <w:r>
              <w:rPr>
                <w:rFonts w:hint="eastAsia" w:ascii="宋体" w:hAnsi="宋体" w:cs="宋体"/>
                <w:color w:val="auto"/>
                <w:szCs w:val="21"/>
                <w:highlight w:val="none"/>
              </w:rPr>
              <w:t>活动期间提供 7×24 小时现场服务，供应商接到采购人的通知后</w:t>
            </w:r>
            <w:r>
              <w:rPr>
                <w:rFonts w:hint="eastAsia" w:ascii="宋体" w:hAnsi="宋体" w:cs="宋体"/>
                <w:color w:val="auto"/>
                <w:szCs w:val="21"/>
                <w:highlight w:val="none"/>
                <w:lang w:val="en-US" w:eastAsia="zh-CN"/>
              </w:rPr>
              <w:t>15分钟内</w:t>
            </w:r>
            <w:r>
              <w:rPr>
                <w:rFonts w:hint="eastAsia" w:ascii="宋体" w:hAnsi="宋体" w:cs="宋体"/>
                <w:color w:val="auto"/>
                <w:szCs w:val="21"/>
                <w:highlight w:val="none"/>
              </w:rPr>
              <w:t>立即响应，</w:t>
            </w:r>
            <w:r>
              <w:rPr>
                <w:rFonts w:hint="eastAsia" w:ascii="宋体" w:hAnsi="宋体" w:cs="宋体"/>
                <w:color w:val="auto"/>
                <w:szCs w:val="21"/>
                <w:highlight w:val="none"/>
                <w:lang w:eastAsia="zh-CN"/>
              </w:rPr>
              <w:t>紧急情况的</w:t>
            </w:r>
            <w:r>
              <w:rPr>
                <w:rFonts w:hint="eastAsia" w:ascii="宋体" w:hAnsi="宋体" w:cs="宋体"/>
                <w:color w:val="auto"/>
                <w:szCs w:val="21"/>
                <w:highlight w:val="none"/>
                <w:lang w:val="en-US" w:eastAsia="zh-CN"/>
              </w:rPr>
              <w:t>2小时内到达指定现场，</w:t>
            </w:r>
            <w:r>
              <w:rPr>
                <w:rFonts w:hint="eastAsia" w:ascii="宋体" w:hAnsi="宋体" w:cs="宋体"/>
                <w:color w:val="auto"/>
                <w:szCs w:val="21"/>
                <w:highlight w:val="none"/>
              </w:rPr>
              <w:t>并承担一切相关费用。</w:t>
            </w:r>
          </w:p>
          <w:p w14:paraId="40052296">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r>
              <w:rPr>
                <w:rFonts w:hint="eastAsia" w:ascii="宋体" w:hAnsi="宋体" w:cs="宋体"/>
                <w:b/>
                <w:bCs/>
                <w:color w:val="auto"/>
                <w:sz w:val="21"/>
                <w:szCs w:val="21"/>
                <w:highlight w:val="none"/>
                <w:lang w:eastAsia="zh-CN"/>
              </w:rPr>
              <w:t>报价要求</w:t>
            </w:r>
            <w:r>
              <w:rPr>
                <w:rFonts w:hint="eastAsia" w:ascii="宋体" w:hAnsi="宋体" w:eastAsia="宋体" w:cs="宋体"/>
                <w:b/>
                <w:bCs/>
                <w:color w:val="auto"/>
                <w:sz w:val="21"/>
                <w:szCs w:val="21"/>
                <w:highlight w:val="none"/>
              </w:rPr>
              <w:t>：</w:t>
            </w:r>
          </w:p>
          <w:p w14:paraId="3CE8AB54">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本项目磋商报价为总额报价，即一次性报出本项目服务所需的所有费用。</w:t>
            </w:r>
          </w:p>
          <w:p w14:paraId="1B5320E5">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报价包含但不限于以下部分：</w:t>
            </w:r>
          </w:p>
          <w:p w14:paraId="06CEA669">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w:t>
            </w:r>
            <w:r>
              <w:rPr>
                <w:rFonts w:hint="eastAsia" w:ascii="宋体" w:hAnsi="宋体" w:eastAsia="宋体" w:cs="宋体"/>
                <w:color w:val="auto"/>
                <w:sz w:val="21"/>
                <w:szCs w:val="21"/>
                <w:highlight w:val="none"/>
                <w:lang w:val="en-US" w:eastAsia="zh-CN"/>
              </w:rPr>
              <w:t>人工成本费、场地租金、</w:t>
            </w:r>
            <w:r>
              <w:rPr>
                <w:rFonts w:hint="eastAsia" w:ascii="宋体" w:hAnsi="宋体" w:eastAsia="宋体" w:cs="宋体"/>
                <w:color w:val="auto"/>
                <w:sz w:val="21"/>
                <w:szCs w:val="21"/>
                <w:highlight w:val="none"/>
              </w:rPr>
              <w:t>水电费用、邮电通讯费、网络费、保洁卫生费、服务设施</w:t>
            </w:r>
            <w:r>
              <w:rPr>
                <w:rFonts w:hint="eastAsia" w:ascii="宋体" w:hAnsi="宋体" w:eastAsia="宋体" w:cs="宋体"/>
                <w:color w:val="auto"/>
                <w:sz w:val="21"/>
                <w:szCs w:val="21"/>
                <w:highlight w:val="none"/>
                <w:lang w:val="en-US" w:eastAsia="zh-CN"/>
              </w:rPr>
              <w:t>设备</w:t>
            </w:r>
            <w:r>
              <w:rPr>
                <w:rFonts w:hint="eastAsia" w:ascii="宋体" w:hAnsi="宋体" w:eastAsia="宋体" w:cs="宋体"/>
                <w:color w:val="auto"/>
                <w:sz w:val="21"/>
                <w:szCs w:val="21"/>
                <w:highlight w:val="none"/>
              </w:rPr>
              <w:t>维护费、物业管理费、办公耗材费等</w:t>
            </w:r>
            <w:r>
              <w:rPr>
                <w:rFonts w:hint="eastAsia" w:ascii="宋体" w:hAnsi="宋体" w:eastAsia="宋体" w:cs="宋体"/>
                <w:color w:val="auto"/>
                <w:sz w:val="21"/>
                <w:szCs w:val="21"/>
                <w:highlight w:val="none"/>
                <w:lang w:val="en-US" w:eastAsia="zh-CN"/>
              </w:rPr>
              <w:t>相关费用</w:t>
            </w:r>
            <w:r>
              <w:rPr>
                <w:rFonts w:hint="eastAsia" w:ascii="宋体" w:hAnsi="宋体" w:eastAsia="宋体" w:cs="宋体"/>
                <w:color w:val="auto"/>
                <w:sz w:val="21"/>
                <w:szCs w:val="21"/>
                <w:highlight w:val="none"/>
              </w:rPr>
              <w:t>；</w:t>
            </w:r>
          </w:p>
          <w:p w14:paraId="108A8B30">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 必要的保险费用和各项税金；</w:t>
            </w:r>
          </w:p>
          <w:p w14:paraId="1CF35C14">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 其他费用（包括但不限于组织、策划、宣传等费用）；</w:t>
            </w:r>
          </w:p>
          <w:p w14:paraId="452C9BCD">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 完成本项目采购的可预见及不可预见的所有成本及费用的总和，除合同价款及采购人认可的特殊情况外，采购人不再为本项目另付其他任何费用给成交供应商。</w:t>
            </w:r>
          </w:p>
          <w:p w14:paraId="7FEA93A9">
            <w:pPr>
              <w:keepNext w:val="0"/>
              <w:keepLines w:val="0"/>
              <w:pageBreakBefore w:val="0"/>
              <w:suppressLineNumbers w:val="0"/>
              <w:shd w:val="clear"/>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4、付款方式：</w:t>
            </w:r>
            <w:r>
              <w:rPr>
                <w:rFonts w:hint="eastAsia" w:ascii="宋体" w:hAnsi="宋体" w:cs="宋体"/>
                <w:color w:val="auto"/>
                <w:sz w:val="21"/>
                <w:szCs w:val="21"/>
                <w:highlight w:val="none"/>
                <w:lang w:val="en-US" w:eastAsia="zh-CN"/>
              </w:rPr>
              <w:t>采购人在</w:t>
            </w:r>
            <w:r>
              <w:rPr>
                <w:rFonts w:hint="eastAsia" w:ascii="宋体" w:hAnsi="宋体" w:eastAsia="宋体" w:cs="宋体"/>
                <w:color w:val="auto"/>
                <w:sz w:val="21"/>
                <w:szCs w:val="21"/>
                <w:highlight w:val="none"/>
                <w:lang w:eastAsia="zh-CN"/>
              </w:rPr>
              <w:t>签订合同后15个工作日内</w:t>
            </w:r>
            <w:r>
              <w:rPr>
                <w:rFonts w:hint="eastAsia" w:ascii="宋体" w:hAnsi="宋体" w:eastAsia="宋体" w:cs="宋体"/>
                <w:color w:val="auto"/>
                <w:sz w:val="21"/>
                <w:szCs w:val="21"/>
                <w:highlight w:val="none"/>
                <w:lang w:val="en-US" w:eastAsia="zh-CN"/>
              </w:rPr>
              <w:t>向财政</w:t>
            </w:r>
            <w:r>
              <w:rPr>
                <w:rFonts w:hint="eastAsia" w:ascii="宋体" w:hAnsi="宋体" w:eastAsia="宋体" w:cs="宋体"/>
                <w:color w:val="auto"/>
                <w:kern w:val="0"/>
                <w:szCs w:val="21"/>
                <w:highlight w:val="none"/>
                <w:lang w:eastAsia="zh-CN"/>
              </w:rPr>
              <w:t>申请</w:t>
            </w:r>
            <w:r>
              <w:rPr>
                <w:rFonts w:hint="eastAsia" w:ascii="宋体" w:hAnsi="宋体" w:eastAsia="宋体" w:cs="宋体"/>
                <w:color w:val="auto"/>
                <w:kern w:val="0"/>
                <w:szCs w:val="21"/>
                <w:highlight w:val="none"/>
              </w:rPr>
              <w:t>拔付</w:t>
            </w:r>
            <w:r>
              <w:rPr>
                <w:rFonts w:hint="eastAsia" w:ascii="宋体" w:hAnsi="宋体" w:eastAsia="宋体" w:cs="宋体"/>
                <w:color w:val="auto"/>
                <w:kern w:val="0"/>
                <w:szCs w:val="21"/>
                <w:highlight w:val="none"/>
                <w:lang w:eastAsia="zh-CN"/>
              </w:rPr>
              <w:t>合同金额的</w:t>
            </w: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lang w:eastAsia="zh-CN"/>
              </w:rPr>
              <w:t>0%</w:t>
            </w:r>
            <w:r>
              <w:rPr>
                <w:rFonts w:hint="eastAsia" w:ascii="宋体" w:hAnsi="宋体" w:cs="宋体"/>
                <w:color w:val="auto"/>
                <w:kern w:val="0"/>
                <w:szCs w:val="21"/>
                <w:highlight w:val="none"/>
                <w:lang w:val="en-US" w:eastAsia="zh-CN"/>
              </w:rPr>
              <w:t>给成交供应商</w:t>
            </w:r>
            <w:r>
              <w:rPr>
                <w:rFonts w:hint="eastAsia" w:ascii="宋体" w:hAnsi="宋体" w:eastAsia="宋体" w:cs="宋体"/>
                <w:color w:val="auto"/>
                <w:kern w:val="0"/>
                <w:szCs w:val="21"/>
                <w:highlight w:val="none"/>
                <w:lang w:eastAsia="zh-CN"/>
              </w:rPr>
              <w:t>作为前期运营服务款</w:t>
            </w:r>
            <w:r>
              <w:rPr>
                <w:rFonts w:hint="eastAsia" w:ascii="宋体" w:hAnsi="宋体" w:eastAsia="宋体" w:cs="宋体"/>
                <w:color w:val="auto"/>
                <w:kern w:val="0"/>
                <w:szCs w:val="21"/>
                <w:highlight w:val="none"/>
              </w:rPr>
              <w:t>，末期</w:t>
            </w:r>
            <w:r>
              <w:rPr>
                <w:rFonts w:hint="eastAsia" w:ascii="宋体" w:hAnsi="宋体" w:cs="宋体"/>
                <w:color w:val="auto"/>
                <w:kern w:val="0"/>
                <w:szCs w:val="21"/>
                <w:highlight w:val="none"/>
                <w:lang w:val="en-US" w:eastAsia="zh-CN"/>
              </w:rPr>
              <w:t>的50%服务费</w:t>
            </w:r>
            <w:r>
              <w:rPr>
                <w:rFonts w:hint="eastAsia" w:ascii="宋体" w:hAnsi="宋体" w:eastAsia="宋体" w:cs="宋体"/>
                <w:color w:val="auto"/>
                <w:kern w:val="0"/>
                <w:szCs w:val="21"/>
                <w:highlight w:val="none"/>
              </w:rPr>
              <w:t>（即服务满一年）</w:t>
            </w:r>
            <w:r>
              <w:rPr>
                <w:rFonts w:hint="eastAsia" w:ascii="宋体" w:hAnsi="宋体" w:cs="宋体"/>
                <w:color w:val="auto"/>
                <w:kern w:val="0"/>
                <w:szCs w:val="21"/>
                <w:highlight w:val="none"/>
                <w:lang w:val="en-US" w:eastAsia="zh-CN"/>
              </w:rPr>
              <w:t>根据考核结果支付</w:t>
            </w:r>
            <w:r>
              <w:rPr>
                <w:rFonts w:hint="eastAsia" w:ascii="宋体" w:hAnsi="宋体" w:eastAsia="宋体" w:cs="宋体"/>
                <w:color w:val="auto"/>
                <w:kern w:val="0"/>
                <w:szCs w:val="21"/>
                <w:highlight w:val="none"/>
              </w:rPr>
              <w:t>。</w:t>
            </w:r>
            <w:r>
              <w:rPr>
                <w:rFonts w:hint="eastAsia" w:ascii="宋体" w:hAnsi="宋体" w:cs="宋体"/>
                <w:color w:val="auto"/>
                <w:kern w:val="0"/>
                <w:szCs w:val="21"/>
                <w:highlight w:val="none"/>
                <w:lang w:val="en-US" w:eastAsia="zh-CN"/>
              </w:rPr>
              <w:t>每次款项</w:t>
            </w:r>
            <w:r>
              <w:rPr>
                <w:rFonts w:hint="eastAsia" w:ascii="宋体" w:hAnsi="宋体" w:eastAsia="宋体" w:cs="宋体"/>
                <w:color w:val="auto"/>
                <w:kern w:val="0"/>
                <w:szCs w:val="21"/>
                <w:highlight w:val="none"/>
              </w:rPr>
              <w:t>支付前</w:t>
            </w:r>
            <w:r>
              <w:rPr>
                <w:rFonts w:hint="eastAsia" w:ascii="宋体" w:hAnsi="宋体" w:cs="宋体"/>
                <w:color w:val="auto"/>
                <w:kern w:val="0"/>
                <w:szCs w:val="21"/>
                <w:highlight w:val="none"/>
                <w:lang w:val="en-US" w:eastAsia="zh-CN"/>
              </w:rPr>
              <w:t>成交供应商</w:t>
            </w:r>
            <w:r>
              <w:rPr>
                <w:rFonts w:hint="eastAsia" w:ascii="宋体" w:hAnsi="宋体" w:eastAsia="宋体" w:cs="宋体"/>
                <w:color w:val="auto"/>
                <w:kern w:val="0"/>
                <w:szCs w:val="21"/>
                <w:highlight w:val="none"/>
              </w:rPr>
              <w:t>应先开具等额</w:t>
            </w:r>
            <w:r>
              <w:rPr>
                <w:rFonts w:hint="eastAsia" w:ascii="宋体" w:hAnsi="宋体" w:cs="宋体"/>
                <w:color w:val="auto"/>
                <w:kern w:val="0"/>
                <w:szCs w:val="21"/>
                <w:highlight w:val="none"/>
                <w:lang w:val="en-US" w:eastAsia="zh-CN"/>
              </w:rPr>
              <w:t>税务</w:t>
            </w:r>
            <w:r>
              <w:rPr>
                <w:rFonts w:hint="eastAsia" w:ascii="宋体" w:hAnsi="宋体" w:eastAsia="宋体" w:cs="宋体"/>
                <w:color w:val="auto"/>
                <w:kern w:val="0"/>
                <w:szCs w:val="21"/>
                <w:highlight w:val="none"/>
              </w:rPr>
              <w:t>发票给</w:t>
            </w:r>
            <w:r>
              <w:rPr>
                <w:rFonts w:hint="eastAsia" w:ascii="宋体" w:hAnsi="宋体" w:cs="宋体"/>
                <w:color w:val="auto"/>
                <w:kern w:val="0"/>
                <w:szCs w:val="21"/>
                <w:highlight w:val="none"/>
                <w:lang w:val="en-US" w:eastAsia="zh-CN"/>
              </w:rPr>
              <w:t>采购人</w:t>
            </w:r>
            <w:r>
              <w:rPr>
                <w:rFonts w:hint="eastAsia" w:ascii="宋体" w:hAnsi="宋体" w:eastAsia="宋体" w:cs="宋体"/>
                <w:color w:val="auto"/>
                <w:kern w:val="0"/>
                <w:szCs w:val="21"/>
                <w:highlight w:val="none"/>
              </w:rPr>
              <w:t>后，</w:t>
            </w:r>
            <w:r>
              <w:rPr>
                <w:rFonts w:hint="eastAsia" w:ascii="宋体" w:hAnsi="宋体" w:cs="宋体"/>
                <w:color w:val="auto"/>
                <w:kern w:val="0"/>
                <w:szCs w:val="21"/>
                <w:highlight w:val="none"/>
                <w:lang w:val="en-US" w:eastAsia="zh-CN"/>
              </w:rPr>
              <w:t>采购人</w:t>
            </w:r>
            <w:r>
              <w:rPr>
                <w:rFonts w:hint="eastAsia" w:ascii="宋体" w:hAnsi="宋体" w:eastAsia="宋体" w:cs="宋体"/>
                <w:color w:val="auto"/>
                <w:kern w:val="0"/>
                <w:szCs w:val="21"/>
                <w:highlight w:val="none"/>
              </w:rPr>
              <w:t>再进行支付</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否则采购人有权拒付并不因此构成违约</w:t>
            </w:r>
            <w:r>
              <w:rPr>
                <w:rFonts w:hint="eastAsia" w:ascii="宋体" w:hAnsi="宋体" w:eastAsia="宋体" w:cs="宋体"/>
                <w:color w:val="auto"/>
                <w:sz w:val="21"/>
                <w:szCs w:val="21"/>
                <w:highlight w:val="none"/>
              </w:rPr>
              <w:t>。</w:t>
            </w:r>
          </w:p>
          <w:p w14:paraId="7D3C8B7C">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5、服务地点：采购人指定地点。</w:t>
            </w:r>
          </w:p>
          <w:p w14:paraId="32FAD4D4">
            <w:pPr>
              <w:keepNext w:val="0"/>
              <w:keepLines w:val="0"/>
              <w:pageBreakBefore w:val="0"/>
              <w:suppressLineNumbers w:val="0"/>
              <w:kinsoku/>
              <w:topLinePunct w:val="0"/>
              <w:bidi w:val="0"/>
              <w:spacing w:before="60" w:beforeAutospacing="0" w:after="60" w:afterAutospacing="0" w:line="360" w:lineRule="auto"/>
              <w:ind w:left="0" w:right="0"/>
              <w:rPr>
                <w:rFonts w:hint="eastAsia" w:ascii="宋体" w:hAnsi="宋体" w:eastAsia="宋体"/>
                <w:color w:val="auto"/>
                <w:szCs w:val="21"/>
                <w:highlight w:val="none"/>
                <w:lang w:eastAsia="zh-CN"/>
              </w:rPr>
            </w:pPr>
            <w:r>
              <w:rPr>
                <w:rFonts w:hint="eastAsia" w:ascii="宋体" w:hAnsi="宋体" w:eastAsia="宋体" w:cs="宋体"/>
                <w:color w:val="auto"/>
                <w:sz w:val="21"/>
                <w:szCs w:val="21"/>
                <w:highlight w:val="none"/>
              </w:rPr>
              <w:t>6、</w:t>
            </w:r>
            <w:r>
              <w:rPr>
                <w:rFonts w:hint="eastAsia" w:ascii="宋体" w:hAnsi="宋体" w:cs="宋体"/>
                <w:color w:val="auto"/>
                <w:sz w:val="21"/>
                <w:szCs w:val="21"/>
                <w:highlight w:val="none"/>
                <w:lang w:eastAsia="zh-CN"/>
              </w:rPr>
              <w:t>服务期限</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自签订合同之日起一年。</w:t>
            </w:r>
          </w:p>
          <w:p w14:paraId="08CF625B">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7、验收</w:t>
            </w:r>
          </w:p>
          <w:p w14:paraId="6B6D57A6">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采购人或委托的第三方根据</w:t>
            </w:r>
            <w:r>
              <w:rPr>
                <w:rFonts w:hint="eastAsia" w:ascii="宋体" w:hAnsi="宋体" w:cs="宋体"/>
                <w:color w:val="auto"/>
                <w:sz w:val="21"/>
                <w:szCs w:val="21"/>
                <w:highlight w:val="none"/>
                <w:lang w:eastAsia="zh-CN"/>
              </w:rPr>
              <w:t>签订</w:t>
            </w:r>
            <w:r>
              <w:rPr>
                <w:rFonts w:hint="eastAsia" w:ascii="宋体" w:hAnsi="宋体" w:eastAsia="宋体" w:cs="宋体"/>
                <w:color w:val="auto"/>
                <w:sz w:val="21"/>
                <w:szCs w:val="21"/>
                <w:highlight w:val="none"/>
              </w:rPr>
              <w:t>的合同和国家或所属地区有关政策标准对成交供应商提供的服务进行验收。</w:t>
            </w:r>
          </w:p>
          <w:p w14:paraId="1F8E9C6C">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成交供应商在验收前应对所提供的服务</w:t>
            </w:r>
            <w:r>
              <w:rPr>
                <w:rFonts w:hint="eastAsia" w:ascii="宋体" w:hAnsi="宋体" w:cs="宋体"/>
                <w:color w:val="auto"/>
                <w:sz w:val="21"/>
                <w:szCs w:val="21"/>
                <w:highlight w:val="none"/>
                <w:lang w:eastAsia="zh-CN"/>
              </w:rPr>
              <w:t>做出</w:t>
            </w:r>
            <w:r>
              <w:rPr>
                <w:rFonts w:hint="eastAsia" w:ascii="宋体" w:hAnsi="宋体" w:eastAsia="宋体" w:cs="宋体"/>
                <w:color w:val="auto"/>
                <w:sz w:val="21"/>
                <w:szCs w:val="21"/>
                <w:highlight w:val="none"/>
              </w:rPr>
              <w:t>全面检查和对验收文件进行整理，并列出 清单，作为采购人验收的依据之一。成交供应商不能按规定交付相关材料，导致采购人 无法确认成交供应商服务结果的，必须负责补齐，否则视为未按合同约定交付服务。</w:t>
            </w:r>
          </w:p>
          <w:p w14:paraId="226043BF">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以符合现行国家相关标准、行业标准、地方标准或者其他标准、规范及验收标准之一， 未尽事宜严格按照《关于印发广西壮族自治区政府采购项目履约验收管理办法的通知》 [桂财采〔2015〕22 号]以及《财政部关于进一步加强政府采购需求和履约验收管理的指 导意见》 [财库〔2016〕205 号]规定执行。</w:t>
            </w:r>
          </w:p>
          <w:p w14:paraId="19A7C166">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8、知识产权</w:t>
            </w:r>
          </w:p>
          <w:p w14:paraId="05488C02">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须保障采购人在使用该货物及服务或其任何一部分时不受到第三方关于侵犯专利权、商标权或工业设计权等知识产权的指控。如果任何第三方提出侵权指控与采购人无关，供应商须与第三方交涉并承担可能发生的责任与一切费用。如采购人因此而</w:t>
            </w:r>
            <w:r>
              <w:rPr>
                <w:rFonts w:hint="eastAsia" w:ascii="宋体" w:hAnsi="宋体" w:cs="宋体"/>
                <w:color w:val="auto"/>
                <w:sz w:val="21"/>
                <w:szCs w:val="21"/>
                <w:highlight w:val="none"/>
                <w:lang w:eastAsia="zh-CN"/>
              </w:rPr>
              <w:t>遭受</w:t>
            </w:r>
            <w:r>
              <w:rPr>
                <w:rFonts w:hint="eastAsia" w:ascii="宋体" w:hAnsi="宋体" w:eastAsia="宋体" w:cs="宋体"/>
                <w:color w:val="auto"/>
                <w:sz w:val="21"/>
                <w:szCs w:val="21"/>
                <w:highlight w:val="none"/>
              </w:rPr>
              <w:t>损失的，供应商应赔偿该损失。</w:t>
            </w:r>
          </w:p>
          <w:p w14:paraId="702D248C">
            <w:pPr>
              <w:keepNext w:val="0"/>
              <w:keepLines w:val="0"/>
              <w:pageBreakBefore w:val="0"/>
              <w:numPr>
                <w:ilvl w:val="0"/>
                <w:numId w:val="0"/>
              </w:numPr>
              <w:suppressLineNumbers w:val="0"/>
              <w:kinsoku/>
              <w:wordWrap/>
              <w:overflowPunct/>
              <w:topLinePunct w:val="0"/>
              <w:autoSpaceDN/>
              <w:bidi w:val="0"/>
              <w:adjustRightInd/>
              <w:snapToGrid/>
              <w:spacing w:before="60" w:beforeAutospacing="0" w:after="60" w:afterAutospacing="0" w:line="360" w:lineRule="auto"/>
              <w:ind w:left="0" w:leftChars="0" w:right="0" w:rightChars="0"/>
              <w:jc w:val="left"/>
              <w:rPr>
                <w:rFonts w:hint="eastAsia" w:ascii="宋体" w:hAnsi="宋体" w:eastAsia="宋体" w:cs="宋体"/>
                <w:b/>
                <w:bCs/>
                <w:color w:val="auto"/>
                <w:sz w:val="21"/>
                <w:szCs w:val="21"/>
                <w:highlight w:val="none"/>
              </w:rPr>
            </w:pPr>
            <w:r>
              <w:rPr>
                <w:rFonts w:hint="eastAsia" w:ascii="宋体" w:hAnsi="宋体" w:eastAsia="宋体" w:cs="宋体"/>
                <w:b/>
                <w:bCs/>
                <w:color w:val="auto"/>
                <w:kern w:val="2"/>
                <w:sz w:val="21"/>
                <w:szCs w:val="21"/>
                <w:highlight w:val="none"/>
                <w:lang w:val="en-US" w:eastAsia="zh-CN" w:bidi="ar-SA"/>
              </w:rPr>
              <w:t>9、</w:t>
            </w:r>
            <w:r>
              <w:rPr>
                <w:rFonts w:hint="eastAsia" w:ascii="宋体" w:hAnsi="宋体" w:eastAsia="宋体" w:cs="宋体"/>
                <w:b/>
                <w:bCs/>
                <w:color w:val="auto"/>
                <w:sz w:val="21"/>
                <w:szCs w:val="21"/>
                <w:highlight w:val="none"/>
              </w:rPr>
              <w:t>标准、规范</w:t>
            </w:r>
          </w:p>
          <w:p w14:paraId="579D8D83">
            <w:pPr>
              <w:keepNext w:val="0"/>
              <w:keepLines w:val="0"/>
              <w:pageBreakBefore w:val="0"/>
              <w:numPr>
                <w:ilvl w:val="0"/>
                <w:numId w:val="0"/>
              </w:numPr>
              <w:suppressLineNumbers w:val="0"/>
              <w:kinsoku/>
              <w:wordWrap/>
              <w:overflowPunct/>
              <w:topLinePunct w:val="0"/>
              <w:autoSpaceDN/>
              <w:bidi w:val="0"/>
              <w:adjustRightInd/>
              <w:snapToGrid/>
              <w:spacing w:before="60" w:beforeAutospacing="0" w:after="60" w:afterAutospacing="0" w:line="360" w:lineRule="auto"/>
              <w:ind w:left="0" w:leftChars="0" w:right="0" w:right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如有国家相关标准、行业标准、地方标准或者其他标准、规范的，应执行相应的标准、规范。如具体采购需求与标准、规范不一致的，高于标准、规范的按具体采购需求执行，低于标准、规范的按标准、规范执行。</w:t>
            </w:r>
          </w:p>
          <w:p w14:paraId="552FD659">
            <w:pPr>
              <w:keepNext w:val="0"/>
              <w:keepLines w:val="0"/>
              <w:pageBreakBefore w:val="0"/>
              <w:numPr>
                <w:ilvl w:val="0"/>
                <w:numId w:val="0"/>
              </w:numPr>
              <w:suppressLineNumbers w:val="0"/>
              <w:kinsoku/>
              <w:wordWrap/>
              <w:overflowPunct/>
              <w:topLinePunct w:val="0"/>
              <w:autoSpaceDN/>
              <w:bidi w:val="0"/>
              <w:adjustRightInd/>
              <w:snapToGrid/>
              <w:spacing w:before="60" w:beforeAutospacing="0" w:after="60" w:afterAutospacing="0" w:line="360" w:lineRule="auto"/>
              <w:ind w:left="0" w:leftChars="0" w:right="0" w:rightChars="0"/>
              <w:jc w:val="left"/>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10、项目考核要求</w:t>
            </w:r>
          </w:p>
          <w:p w14:paraId="2C8F7EB9">
            <w:pPr>
              <w:keepNext w:val="0"/>
              <w:keepLines w:val="0"/>
              <w:pageBreakBefore w:val="0"/>
              <w:numPr>
                <w:ilvl w:val="0"/>
                <w:numId w:val="0"/>
              </w:numPr>
              <w:suppressLineNumbers w:val="0"/>
              <w:kinsoku/>
              <w:wordWrap/>
              <w:overflowPunct/>
              <w:topLinePunct w:val="0"/>
              <w:autoSpaceDN/>
              <w:bidi w:val="0"/>
              <w:adjustRightInd/>
              <w:snapToGrid/>
              <w:spacing w:before="60" w:beforeAutospacing="0" w:after="60" w:afterAutospacing="0" w:line="360" w:lineRule="auto"/>
              <w:ind w:left="0" w:leftChars="0" w:right="0" w:rightChars="0"/>
              <w:jc w:val="left"/>
              <w:rPr>
                <w:rFonts w:hint="eastAsia" w:ascii="宋体" w:hAnsi="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（一）要规范人员与窗口管理。</w:t>
            </w:r>
            <w:r>
              <w:rPr>
                <w:rFonts w:hint="eastAsia" w:ascii="宋体" w:hAnsi="宋体" w:cs="宋体"/>
                <w:color w:val="auto"/>
                <w:sz w:val="21"/>
                <w:szCs w:val="21"/>
                <w:highlight w:val="none"/>
                <w:lang w:val="en-US" w:eastAsia="zh-CN"/>
              </w:rPr>
              <w:t>配备熟悉创业政策、政治素质较高、服务意识较强的专职工作人员，配齐常驻专职服务人员≥3人的，在岗稳定，无缺岗、人员频繁流失等问题，服从采购人日常调度、不定期现场检查，按时参会、配合各类督导检查等工作。窗口服务要规范，工作人员要按时上下班，着装要整洁、服务要贴心，无企业、群众有效投诉，出现1次服务态度差被投诉或不服从采购人统一工作安排、无故缺席工作部署会的扣经费0.1万元。</w:t>
            </w:r>
          </w:p>
          <w:p w14:paraId="4CD248B7">
            <w:pPr>
              <w:keepNext w:val="0"/>
              <w:keepLines w:val="0"/>
              <w:pageBreakBefore w:val="0"/>
              <w:numPr>
                <w:ilvl w:val="0"/>
                <w:numId w:val="0"/>
              </w:numPr>
              <w:suppressLineNumbers w:val="0"/>
              <w:kinsoku/>
              <w:wordWrap/>
              <w:overflowPunct/>
              <w:topLinePunct w:val="0"/>
              <w:autoSpaceDN/>
              <w:bidi w:val="0"/>
              <w:adjustRightInd/>
              <w:snapToGrid/>
              <w:spacing w:before="60" w:beforeAutospacing="0" w:after="60" w:afterAutospacing="0" w:line="360" w:lineRule="auto"/>
              <w:ind w:left="0" w:leftChars="0" w:right="0" w:rightChars="0"/>
              <w:jc w:val="left"/>
              <w:rPr>
                <w:rFonts w:hint="eastAsia" w:ascii="宋体" w:hAnsi="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（二）要定期上门服务。</w:t>
            </w:r>
            <w:r>
              <w:rPr>
                <w:rFonts w:hint="eastAsia" w:ascii="宋体" w:hAnsi="宋体" w:cs="宋体"/>
                <w:color w:val="auto"/>
                <w:sz w:val="21"/>
                <w:szCs w:val="21"/>
                <w:highlight w:val="none"/>
                <w:lang w:val="en-US" w:eastAsia="zh-CN"/>
              </w:rPr>
              <w:t>要组织人员对创业园区范围内的企业进行一次重新核查，了解入驻企业的运营情况、吸纳就业情况等，对停产企业不再纳入创业园管理，对符合入驻创业园的企业重新纳入园区管理，并提供系列服务，对整个园区入驻的企业实行动态管理，建立工作台账。每月定期到园区企业开展一次上门服务，上门服务企业率100%，企业知晓率100%，企业满意率95%以上，以上指标每少一个百分点扣经费0.2万元。</w:t>
            </w:r>
          </w:p>
          <w:p w14:paraId="5EC185A4">
            <w:pPr>
              <w:keepNext w:val="0"/>
              <w:keepLines w:val="0"/>
              <w:pageBreakBefore w:val="0"/>
              <w:numPr>
                <w:ilvl w:val="0"/>
                <w:numId w:val="0"/>
              </w:numPr>
              <w:suppressLineNumbers w:val="0"/>
              <w:kinsoku/>
              <w:wordWrap/>
              <w:overflowPunct/>
              <w:topLinePunct w:val="0"/>
              <w:autoSpaceDN/>
              <w:bidi w:val="0"/>
              <w:adjustRightInd/>
              <w:snapToGrid/>
              <w:spacing w:before="60" w:beforeAutospacing="0" w:after="60" w:afterAutospacing="0" w:line="360" w:lineRule="auto"/>
              <w:ind w:left="0" w:leftChars="0" w:right="0" w:rightChars="0"/>
              <w:jc w:val="left"/>
              <w:rPr>
                <w:rFonts w:hint="eastAsia" w:ascii="宋体" w:hAnsi="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（三）要建立健全服务制度。</w:t>
            </w:r>
            <w:r>
              <w:rPr>
                <w:rFonts w:hint="eastAsia" w:ascii="宋体" w:hAnsi="宋体" w:cs="宋体"/>
                <w:color w:val="auto"/>
                <w:sz w:val="21"/>
                <w:szCs w:val="21"/>
                <w:highlight w:val="none"/>
                <w:lang w:val="en-US" w:eastAsia="zh-CN"/>
              </w:rPr>
              <w:t>创业园运营管理机构没有建立服务承诺、公开公示、限时办结、目标考核、监督举报和责任追究等制度，并对外公布、悬挂上墙的，扣0.05万元。</w:t>
            </w:r>
          </w:p>
          <w:p w14:paraId="32131D4F">
            <w:pPr>
              <w:keepNext w:val="0"/>
              <w:keepLines w:val="0"/>
              <w:pageBreakBefore w:val="0"/>
              <w:numPr>
                <w:ilvl w:val="0"/>
                <w:numId w:val="0"/>
              </w:numPr>
              <w:suppressLineNumbers w:val="0"/>
              <w:kinsoku/>
              <w:wordWrap/>
              <w:overflowPunct/>
              <w:topLinePunct w:val="0"/>
              <w:autoSpaceDN/>
              <w:bidi w:val="0"/>
              <w:adjustRightInd/>
              <w:snapToGrid/>
              <w:spacing w:before="60" w:beforeAutospacing="0" w:after="60" w:afterAutospacing="0" w:line="360" w:lineRule="auto"/>
              <w:ind w:left="0" w:leftChars="0" w:right="0" w:rightChars="0"/>
              <w:jc w:val="left"/>
              <w:rPr>
                <w:rFonts w:hint="eastAsia" w:ascii="宋体" w:hAnsi="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（四）要组织开展创业指导和培训。</w:t>
            </w:r>
            <w:r>
              <w:rPr>
                <w:rFonts w:hint="eastAsia" w:ascii="宋体" w:hAnsi="宋体" w:cs="宋体"/>
                <w:color w:val="auto"/>
                <w:sz w:val="21"/>
                <w:szCs w:val="21"/>
                <w:highlight w:val="none"/>
                <w:lang w:val="en-US" w:eastAsia="zh-CN"/>
              </w:rPr>
              <w:t>年内要邀请创业指导师、高校专家、企业高管、优秀创业者、金融从业者等开展创业交流指导4次；年内至少组织园内的务工人员开展岗位技能培训不少于3场。以上指标如未完成每项扣经费0.1万元。</w:t>
            </w:r>
          </w:p>
          <w:p w14:paraId="49A07C2E">
            <w:pPr>
              <w:keepNext w:val="0"/>
              <w:keepLines w:val="0"/>
              <w:pageBreakBefore w:val="0"/>
              <w:numPr>
                <w:ilvl w:val="0"/>
                <w:numId w:val="0"/>
              </w:numPr>
              <w:suppressLineNumbers w:val="0"/>
              <w:kinsoku/>
              <w:wordWrap/>
              <w:overflowPunct/>
              <w:topLinePunct w:val="0"/>
              <w:autoSpaceDN/>
              <w:bidi w:val="0"/>
              <w:adjustRightInd/>
              <w:snapToGrid/>
              <w:spacing w:before="60" w:beforeAutospacing="0" w:after="60" w:afterAutospacing="0" w:line="360" w:lineRule="auto"/>
              <w:ind w:left="0" w:leftChars="0" w:right="0" w:rightChars="0"/>
              <w:jc w:val="left"/>
              <w:rPr>
                <w:rFonts w:hint="default" w:ascii="宋体" w:hAnsi="宋体" w:eastAsia="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（五）要建立基础台账、档案、信息报送与宣传。</w:t>
            </w:r>
            <w:r>
              <w:rPr>
                <w:rFonts w:hint="eastAsia" w:ascii="宋体" w:hAnsi="宋体" w:cs="宋体"/>
                <w:color w:val="auto"/>
                <w:sz w:val="21"/>
                <w:szCs w:val="21"/>
                <w:highlight w:val="none"/>
                <w:lang w:val="en-US" w:eastAsia="zh-CN"/>
              </w:rPr>
              <w:t>建立服务工作台账和档案资料，真实、准确、规范地记录园区内的入驻企业和实体、就业人数、参保缴费、政策兑现、跟踪服务等情况，没有建立台账和档案资料的，每项扣0.1万元；每月定期报送相关报表、服务项目进展情况及开展信息宣传等相关资料，少报1次扣减经费0.1万元。</w:t>
            </w:r>
          </w:p>
        </w:tc>
      </w:tr>
    </w:tbl>
    <w:p w14:paraId="33725788">
      <w:pPr>
        <w:pageBreakBefore w:val="0"/>
        <w:kinsoku/>
        <w:topLinePunct w:val="0"/>
        <w:bidi w:val="0"/>
        <w:spacing w:before="60" w:after="60" w:line="360" w:lineRule="auto"/>
        <w:rPr>
          <w:rFonts w:hint="eastAsia" w:ascii="宋体" w:hAnsi="宋体" w:cs="Arial Unicode MS"/>
          <w:b/>
          <w:bCs/>
          <w:color w:val="auto"/>
          <w:sz w:val="28"/>
          <w:szCs w:val="28"/>
          <w:highlight w:val="none"/>
        </w:rPr>
      </w:pPr>
      <w:r>
        <w:rPr>
          <w:rFonts w:hint="eastAsia" w:ascii="宋体" w:hAnsi="宋体" w:cs="Arial Unicode MS"/>
          <w:b/>
          <w:bCs/>
          <w:color w:val="auto"/>
          <w:sz w:val="28"/>
          <w:szCs w:val="28"/>
          <w:highlight w:val="none"/>
        </w:rPr>
        <w:br w:type="page"/>
      </w:r>
    </w:p>
    <w:p w14:paraId="6051D65D">
      <w:pPr>
        <w:pageBreakBefore w:val="0"/>
        <w:kinsoku/>
        <w:topLinePunct w:val="0"/>
        <w:bidi w:val="0"/>
        <w:spacing w:before="60" w:after="60" w:line="360" w:lineRule="auto"/>
        <w:jc w:val="center"/>
        <w:rPr>
          <w:rFonts w:ascii="宋体" w:hAnsi="宋体" w:cs="Arial Unicode MS"/>
          <w:b/>
          <w:bCs/>
          <w:color w:val="auto"/>
          <w:sz w:val="28"/>
          <w:szCs w:val="28"/>
          <w:highlight w:val="none"/>
        </w:rPr>
      </w:pPr>
      <w:r>
        <w:rPr>
          <w:rFonts w:hint="eastAsia" w:ascii="宋体" w:hAnsi="宋体" w:cs="Arial Unicode MS"/>
          <w:b/>
          <w:bCs/>
          <w:color w:val="auto"/>
          <w:sz w:val="28"/>
          <w:szCs w:val="28"/>
          <w:highlight w:val="none"/>
        </w:rPr>
        <w:t>中小微企业划型标准</w:t>
      </w:r>
    </w:p>
    <w:p w14:paraId="0D19D2E0">
      <w:pPr>
        <w:pStyle w:val="30"/>
        <w:pageBreakBefore w:val="0"/>
        <w:kinsoku/>
        <w:topLinePunct w:val="0"/>
        <w:bidi w:val="0"/>
        <w:spacing w:before="60" w:after="60" w:line="360" w:lineRule="auto"/>
        <w:ind w:firstLine="400"/>
        <w:rPr>
          <w:color w:val="auto"/>
          <w:highlight w:val="none"/>
        </w:rPr>
      </w:pPr>
    </w:p>
    <w:tbl>
      <w:tblPr>
        <w:tblStyle w:val="31"/>
        <w:tblW w:w="0" w:type="auto"/>
        <w:jc w:val="center"/>
        <w:tblLayout w:type="fixed"/>
        <w:tblCellMar>
          <w:top w:w="0" w:type="dxa"/>
          <w:left w:w="108" w:type="dxa"/>
          <w:bottom w:w="0" w:type="dxa"/>
          <w:right w:w="108" w:type="dxa"/>
        </w:tblCellMar>
      </w:tblPr>
      <w:tblGrid>
        <w:gridCol w:w="2209"/>
        <w:gridCol w:w="1384"/>
        <w:gridCol w:w="913"/>
        <w:gridCol w:w="1620"/>
        <w:gridCol w:w="1440"/>
        <w:gridCol w:w="1315"/>
      </w:tblGrid>
      <w:tr w14:paraId="0365A58D">
        <w:tblPrEx>
          <w:tblCellMar>
            <w:top w:w="0" w:type="dxa"/>
            <w:left w:w="108" w:type="dxa"/>
            <w:bottom w:w="0" w:type="dxa"/>
            <w:right w:w="108" w:type="dxa"/>
          </w:tblCellMar>
        </w:tblPrEx>
        <w:trPr>
          <w:trHeight w:val="283" w:hRule="atLeast"/>
          <w:jc w:val="center"/>
        </w:trPr>
        <w:tc>
          <w:tcPr>
            <w:tcW w:w="2209" w:type="dxa"/>
            <w:tcBorders>
              <w:top w:val="single" w:color="auto" w:sz="4" w:space="0"/>
              <w:left w:val="single" w:color="auto" w:sz="4" w:space="0"/>
              <w:bottom w:val="single" w:color="auto" w:sz="4" w:space="0"/>
              <w:right w:val="single" w:color="auto" w:sz="4" w:space="0"/>
            </w:tcBorders>
            <w:vAlign w:val="center"/>
          </w:tcPr>
          <w:p w14:paraId="28D7231F">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color w:val="auto"/>
                <w:kern w:val="0"/>
                <w:sz w:val="24"/>
                <w:highlight w:val="none"/>
              </w:rPr>
            </w:pPr>
            <w:r>
              <w:rPr>
                <w:rFonts w:hint="eastAsia" w:ascii="宋体" w:hAnsi="宋体" w:cs="宋体"/>
                <w:b/>
                <w:color w:val="auto"/>
                <w:kern w:val="0"/>
                <w:sz w:val="24"/>
                <w:highlight w:val="none"/>
              </w:rPr>
              <w:t>行业名称</w:t>
            </w:r>
          </w:p>
        </w:tc>
        <w:tc>
          <w:tcPr>
            <w:tcW w:w="1384" w:type="dxa"/>
            <w:tcBorders>
              <w:top w:val="single" w:color="auto" w:sz="4" w:space="0"/>
              <w:left w:val="nil"/>
              <w:bottom w:val="single" w:color="auto" w:sz="4" w:space="0"/>
              <w:right w:val="single" w:color="auto" w:sz="4" w:space="0"/>
            </w:tcBorders>
            <w:vAlign w:val="center"/>
          </w:tcPr>
          <w:p w14:paraId="494957BC">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color w:val="auto"/>
                <w:kern w:val="0"/>
                <w:sz w:val="24"/>
                <w:highlight w:val="none"/>
              </w:rPr>
            </w:pPr>
            <w:r>
              <w:rPr>
                <w:rFonts w:hint="eastAsia" w:ascii="宋体" w:hAnsi="宋体" w:cs="宋体"/>
                <w:b/>
                <w:color w:val="auto"/>
                <w:kern w:val="0"/>
                <w:sz w:val="24"/>
                <w:highlight w:val="none"/>
              </w:rPr>
              <w:t>指标名称</w:t>
            </w:r>
          </w:p>
        </w:tc>
        <w:tc>
          <w:tcPr>
            <w:tcW w:w="913" w:type="dxa"/>
            <w:tcBorders>
              <w:top w:val="single" w:color="auto" w:sz="4" w:space="0"/>
              <w:left w:val="nil"/>
              <w:bottom w:val="single" w:color="auto" w:sz="4" w:space="0"/>
              <w:right w:val="single" w:color="auto" w:sz="4" w:space="0"/>
            </w:tcBorders>
            <w:vAlign w:val="center"/>
          </w:tcPr>
          <w:p w14:paraId="0712AFD9">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color w:val="auto"/>
                <w:kern w:val="0"/>
                <w:sz w:val="24"/>
                <w:highlight w:val="none"/>
              </w:rPr>
            </w:pPr>
            <w:r>
              <w:rPr>
                <w:rFonts w:hint="eastAsia" w:ascii="宋体" w:hAnsi="宋体" w:cs="宋体"/>
                <w:b/>
                <w:color w:val="auto"/>
                <w:kern w:val="0"/>
                <w:sz w:val="24"/>
                <w:highlight w:val="none"/>
              </w:rPr>
              <w:t>计量单位</w:t>
            </w:r>
          </w:p>
        </w:tc>
        <w:tc>
          <w:tcPr>
            <w:tcW w:w="1620" w:type="dxa"/>
            <w:tcBorders>
              <w:top w:val="single" w:color="auto" w:sz="4" w:space="0"/>
              <w:left w:val="nil"/>
              <w:bottom w:val="single" w:color="auto" w:sz="4" w:space="0"/>
              <w:right w:val="single" w:color="auto" w:sz="4" w:space="0"/>
            </w:tcBorders>
            <w:vAlign w:val="center"/>
          </w:tcPr>
          <w:p w14:paraId="2CA71BAE">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color w:val="auto"/>
                <w:kern w:val="0"/>
                <w:sz w:val="24"/>
                <w:highlight w:val="none"/>
              </w:rPr>
            </w:pPr>
            <w:r>
              <w:rPr>
                <w:rFonts w:hint="eastAsia" w:ascii="宋体" w:hAnsi="宋体" w:cs="宋体"/>
                <w:b/>
                <w:color w:val="auto"/>
                <w:kern w:val="0"/>
                <w:sz w:val="24"/>
                <w:highlight w:val="none"/>
              </w:rPr>
              <w:t>中型</w:t>
            </w:r>
          </w:p>
        </w:tc>
        <w:tc>
          <w:tcPr>
            <w:tcW w:w="1440" w:type="dxa"/>
            <w:tcBorders>
              <w:top w:val="single" w:color="auto" w:sz="4" w:space="0"/>
              <w:left w:val="nil"/>
              <w:bottom w:val="single" w:color="auto" w:sz="4" w:space="0"/>
              <w:right w:val="single" w:color="auto" w:sz="4" w:space="0"/>
            </w:tcBorders>
            <w:vAlign w:val="center"/>
          </w:tcPr>
          <w:p w14:paraId="3F4A2BD5">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color w:val="auto"/>
                <w:kern w:val="0"/>
                <w:sz w:val="24"/>
                <w:highlight w:val="none"/>
              </w:rPr>
            </w:pPr>
            <w:r>
              <w:rPr>
                <w:rFonts w:hint="eastAsia" w:ascii="宋体" w:hAnsi="宋体" w:cs="宋体"/>
                <w:b/>
                <w:color w:val="auto"/>
                <w:kern w:val="0"/>
                <w:sz w:val="24"/>
                <w:highlight w:val="none"/>
              </w:rPr>
              <w:t>小型</w:t>
            </w:r>
          </w:p>
        </w:tc>
        <w:tc>
          <w:tcPr>
            <w:tcW w:w="1315" w:type="dxa"/>
            <w:tcBorders>
              <w:top w:val="single" w:color="auto" w:sz="4" w:space="0"/>
              <w:left w:val="nil"/>
              <w:bottom w:val="single" w:color="auto" w:sz="4" w:space="0"/>
              <w:right w:val="single" w:color="auto" w:sz="4" w:space="0"/>
            </w:tcBorders>
            <w:vAlign w:val="center"/>
          </w:tcPr>
          <w:p w14:paraId="25FC34D8">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color w:val="auto"/>
                <w:kern w:val="0"/>
                <w:sz w:val="24"/>
                <w:highlight w:val="none"/>
              </w:rPr>
            </w:pPr>
            <w:r>
              <w:rPr>
                <w:rFonts w:hint="eastAsia" w:ascii="宋体" w:hAnsi="宋体" w:cs="宋体"/>
                <w:b/>
                <w:color w:val="auto"/>
                <w:kern w:val="0"/>
                <w:sz w:val="24"/>
                <w:highlight w:val="none"/>
              </w:rPr>
              <w:t>微型</w:t>
            </w:r>
          </w:p>
        </w:tc>
      </w:tr>
      <w:tr w14:paraId="6F3093E8">
        <w:tblPrEx>
          <w:tblCellMar>
            <w:top w:w="0" w:type="dxa"/>
            <w:left w:w="108" w:type="dxa"/>
            <w:bottom w:w="0" w:type="dxa"/>
            <w:right w:w="108" w:type="dxa"/>
          </w:tblCellMar>
        </w:tblPrEx>
        <w:trPr>
          <w:trHeight w:val="225" w:hRule="atLeast"/>
          <w:jc w:val="center"/>
        </w:trPr>
        <w:tc>
          <w:tcPr>
            <w:tcW w:w="2209" w:type="dxa"/>
            <w:tcBorders>
              <w:top w:val="nil"/>
              <w:left w:val="single" w:color="auto" w:sz="4" w:space="0"/>
              <w:bottom w:val="single" w:color="auto" w:sz="4" w:space="0"/>
              <w:right w:val="single" w:color="auto" w:sz="4" w:space="0"/>
            </w:tcBorders>
            <w:vAlign w:val="bottom"/>
          </w:tcPr>
          <w:p w14:paraId="632D24B0">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农、林、牧、渔</w:t>
            </w:r>
          </w:p>
        </w:tc>
        <w:tc>
          <w:tcPr>
            <w:tcW w:w="1384" w:type="dxa"/>
            <w:tcBorders>
              <w:top w:val="nil"/>
              <w:left w:val="nil"/>
              <w:bottom w:val="single" w:color="auto" w:sz="4" w:space="0"/>
              <w:right w:val="single" w:color="auto" w:sz="4" w:space="0"/>
            </w:tcBorders>
            <w:vAlign w:val="center"/>
          </w:tcPr>
          <w:p w14:paraId="0B50E310">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784D82FA">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36FFD258">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40" w:type="dxa"/>
            <w:tcBorders>
              <w:top w:val="nil"/>
              <w:left w:val="nil"/>
              <w:bottom w:val="single" w:color="auto" w:sz="4" w:space="0"/>
              <w:right w:val="single" w:color="auto" w:sz="4" w:space="0"/>
            </w:tcBorders>
            <w:vAlign w:val="center"/>
          </w:tcPr>
          <w:p w14:paraId="0660F5C9">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1315" w:type="dxa"/>
            <w:tcBorders>
              <w:top w:val="nil"/>
              <w:left w:val="nil"/>
              <w:bottom w:val="single" w:color="auto" w:sz="4" w:space="0"/>
              <w:right w:val="single" w:color="auto" w:sz="4" w:space="0"/>
            </w:tcBorders>
            <w:vAlign w:val="center"/>
          </w:tcPr>
          <w:p w14:paraId="059CB0D2">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7ACBBE8E">
        <w:tblPrEx>
          <w:tblCellMar>
            <w:top w:w="0" w:type="dxa"/>
            <w:left w:w="108" w:type="dxa"/>
            <w:bottom w:w="0" w:type="dxa"/>
            <w:right w:w="108" w:type="dxa"/>
          </w:tblCellMar>
        </w:tblPrEx>
        <w:trPr>
          <w:trHeight w:val="225" w:hRule="atLeast"/>
          <w:jc w:val="center"/>
        </w:trPr>
        <w:tc>
          <w:tcPr>
            <w:tcW w:w="2209" w:type="dxa"/>
            <w:vMerge w:val="restart"/>
            <w:tcBorders>
              <w:top w:val="nil"/>
              <w:left w:val="single" w:color="auto" w:sz="4" w:space="0"/>
              <w:bottom w:val="single" w:color="auto" w:sz="4" w:space="0"/>
              <w:right w:val="single" w:color="auto" w:sz="4" w:space="0"/>
            </w:tcBorders>
            <w:vAlign w:val="center"/>
          </w:tcPr>
          <w:p w14:paraId="19657F73">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工业</w:t>
            </w:r>
          </w:p>
        </w:tc>
        <w:tc>
          <w:tcPr>
            <w:tcW w:w="1384" w:type="dxa"/>
            <w:tcBorders>
              <w:top w:val="nil"/>
              <w:left w:val="nil"/>
              <w:bottom w:val="single" w:color="auto" w:sz="4" w:space="0"/>
              <w:right w:val="single" w:color="auto" w:sz="4" w:space="0"/>
            </w:tcBorders>
            <w:vAlign w:val="center"/>
          </w:tcPr>
          <w:p w14:paraId="63AC643D">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67CC0841">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1469F185">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vAlign w:val="center"/>
          </w:tcPr>
          <w:p w14:paraId="3442FEE9">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315" w:type="dxa"/>
            <w:tcBorders>
              <w:top w:val="nil"/>
              <w:left w:val="nil"/>
              <w:bottom w:val="single" w:color="auto" w:sz="4" w:space="0"/>
              <w:right w:val="single" w:color="auto" w:sz="4" w:space="0"/>
            </w:tcBorders>
            <w:vAlign w:val="center"/>
          </w:tcPr>
          <w:p w14:paraId="79611367">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E04AE0C">
        <w:tblPrEx>
          <w:tblCellMar>
            <w:top w:w="0" w:type="dxa"/>
            <w:left w:w="108" w:type="dxa"/>
            <w:bottom w:w="0" w:type="dxa"/>
            <w:right w:w="108" w:type="dxa"/>
          </w:tblCellMar>
        </w:tblPrEx>
        <w:trPr>
          <w:trHeight w:val="225" w:hRule="atLeast"/>
          <w:jc w:val="center"/>
        </w:trPr>
        <w:tc>
          <w:tcPr>
            <w:tcW w:w="2209" w:type="dxa"/>
            <w:vMerge w:val="continue"/>
            <w:tcBorders>
              <w:top w:val="nil"/>
              <w:left w:val="single" w:color="auto" w:sz="4" w:space="0"/>
              <w:bottom w:val="single" w:color="auto" w:sz="4" w:space="0"/>
              <w:right w:val="single" w:color="auto" w:sz="4" w:space="0"/>
            </w:tcBorders>
            <w:vAlign w:val="center"/>
          </w:tcPr>
          <w:p w14:paraId="464AEF4E">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4A7C1999">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5A4E7A43">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0F7434F7">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440" w:type="dxa"/>
            <w:tcBorders>
              <w:top w:val="nil"/>
              <w:left w:val="nil"/>
              <w:bottom w:val="single" w:color="auto" w:sz="4" w:space="0"/>
              <w:right w:val="single" w:color="auto" w:sz="4" w:space="0"/>
            </w:tcBorders>
            <w:vAlign w:val="center"/>
          </w:tcPr>
          <w:p w14:paraId="1440E87A">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1315" w:type="dxa"/>
            <w:tcBorders>
              <w:top w:val="nil"/>
              <w:left w:val="nil"/>
              <w:bottom w:val="single" w:color="auto" w:sz="4" w:space="0"/>
              <w:right w:val="single" w:color="auto" w:sz="4" w:space="0"/>
            </w:tcBorders>
            <w:vAlign w:val="center"/>
          </w:tcPr>
          <w:p w14:paraId="5B6CD578">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46346BB5">
        <w:tblPrEx>
          <w:tblCellMar>
            <w:top w:w="0" w:type="dxa"/>
            <w:left w:w="108" w:type="dxa"/>
            <w:bottom w:w="0" w:type="dxa"/>
            <w:right w:w="108" w:type="dxa"/>
          </w:tblCellMar>
        </w:tblPrEx>
        <w:trPr>
          <w:trHeight w:val="225" w:hRule="atLeast"/>
          <w:jc w:val="center"/>
        </w:trPr>
        <w:tc>
          <w:tcPr>
            <w:tcW w:w="2209" w:type="dxa"/>
            <w:vMerge w:val="restart"/>
            <w:tcBorders>
              <w:top w:val="nil"/>
              <w:left w:val="single" w:color="auto" w:sz="4" w:space="0"/>
              <w:bottom w:val="single" w:color="auto" w:sz="4" w:space="0"/>
              <w:right w:val="single" w:color="auto" w:sz="4" w:space="0"/>
            </w:tcBorders>
            <w:vAlign w:val="center"/>
          </w:tcPr>
          <w:p w14:paraId="1D85C101">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建筑业</w:t>
            </w:r>
          </w:p>
        </w:tc>
        <w:tc>
          <w:tcPr>
            <w:tcW w:w="1384" w:type="dxa"/>
            <w:tcBorders>
              <w:top w:val="nil"/>
              <w:left w:val="nil"/>
              <w:bottom w:val="single" w:color="auto" w:sz="4" w:space="0"/>
              <w:right w:val="single" w:color="auto" w:sz="4" w:space="0"/>
            </w:tcBorders>
            <w:vAlign w:val="center"/>
          </w:tcPr>
          <w:p w14:paraId="483807BE">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3C78A8C6">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4DD71DC1">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440" w:type="dxa"/>
            <w:tcBorders>
              <w:top w:val="nil"/>
              <w:left w:val="nil"/>
              <w:bottom w:val="single" w:color="auto" w:sz="4" w:space="0"/>
              <w:right w:val="single" w:color="auto" w:sz="4" w:space="0"/>
            </w:tcBorders>
            <w:vAlign w:val="center"/>
          </w:tcPr>
          <w:p w14:paraId="654E8843">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1315" w:type="dxa"/>
            <w:tcBorders>
              <w:top w:val="nil"/>
              <w:left w:val="nil"/>
              <w:bottom w:val="single" w:color="auto" w:sz="4" w:space="0"/>
              <w:right w:val="single" w:color="auto" w:sz="4" w:space="0"/>
            </w:tcBorders>
            <w:vAlign w:val="center"/>
          </w:tcPr>
          <w:p w14:paraId="50191876">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535473E7">
        <w:tblPrEx>
          <w:tblCellMar>
            <w:top w:w="0" w:type="dxa"/>
            <w:left w:w="108" w:type="dxa"/>
            <w:bottom w:w="0" w:type="dxa"/>
            <w:right w:w="108" w:type="dxa"/>
          </w:tblCellMar>
        </w:tblPrEx>
        <w:trPr>
          <w:trHeight w:val="225" w:hRule="atLeast"/>
          <w:jc w:val="center"/>
        </w:trPr>
        <w:tc>
          <w:tcPr>
            <w:tcW w:w="2209" w:type="dxa"/>
            <w:vMerge w:val="continue"/>
            <w:tcBorders>
              <w:top w:val="nil"/>
              <w:left w:val="single" w:color="auto" w:sz="4" w:space="0"/>
              <w:bottom w:val="single" w:color="auto" w:sz="4" w:space="0"/>
              <w:right w:val="single" w:color="auto" w:sz="4" w:space="0"/>
            </w:tcBorders>
            <w:vAlign w:val="center"/>
          </w:tcPr>
          <w:p w14:paraId="0F105659">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11394549">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913" w:type="dxa"/>
            <w:tcBorders>
              <w:top w:val="nil"/>
              <w:left w:val="nil"/>
              <w:bottom w:val="single" w:color="auto" w:sz="4" w:space="0"/>
              <w:right w:val="single" w:color="auto" w:sz="4" w:space="0"/>
            </w:tcBorders>
            <w:vAlign w:val="center"/>
          </w:tcPr>
          <w:p w14:paraId="1A93E6BB">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55CB66D6">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440" w:type="dxa"/>
            <w:tcBorders>
              <w:top w:val="nil"/>
              <w:left w:val="nil"/>
              <w:bottom w:val="single" w:color="auto" w:sz="4" w:space="0"/>
              <w:right w:val="single" w:color="auto" w:sz="4" w:space="0"/>
            </w:tcBorders>
            <w:vAlign w:val="center"/>
          </w:tcPr>
          <w:p w14:paraId="37DEBF9A">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1315" w:type="dxa"/>
            <w:tcBorders>
              <w:top w:val="nil"/>
              <w:left w:val="nil"/>
              <w:bottom w:val="single" w:color="auto" w:sz="4" w:space="0"/>
              <w:right w:val="single" w:color="auto" w:sz="4" w:space="0"/>
            </w:tcBorders>
            <w:vAlign w:val="center"/>
          </w:tcPr>
          <w:p w14:paraId="17124B89">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02BFD20D">
        <w:tblPrEx>
          <w:tblCellMar>
            <w:top w:w="0" w:type="dxa"/>
            <w:left w:w="108" w:type="dxa"/>
            <w:bottom w:w="0" w:type="dxa"/>
            <w:right w:w="108" w:type="dxa"/>
          </w:tblCellMar>
        </w:tblPrEx>
        <w:trPr>
          <w:trHeight w:val="225" w:hRule="atLeast"/>
          <w:jc w:val="center"/>
        </w:trPr>
        <w:tc>
          <w:tcPr>
            <w:tcW w:w="2209" w:type="dxa"/>
            <w:vMerge w:val="restart"/>
            <w:tcBorders>
              <w:top w:val="nil"/>
              <w:left w:val="single" w:color="auto" w:sz="4" w:space="0"/>
              <w:bottom w:val="single" w:color="auto" w:sz="4" w:space="0"/>
              <w:right w:val="single" w:color="auto" w:sz="4" w:space="0"/>
            </w:tcBorders>
            <w:vAlign w:val="center"/>
          </w:tcPr>
          <w:p w14:paraId="1C08D77A">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批发业</w:t>
            </w:r>
          </w:p>
        </w:tc>
        <w:tc>
          <w:tcPr>
            <w:tcW w:w="1384" w:type="dxa"/>
            <w:tcBorders>
              <w:top w:val="nil"/>
              <w:left w:val="nil"/>
              <w:bottom w:val="single" w:color="auto" w:sz="4" w:space="0"/>
              <w:right w:val="single" w:color="auto" w:sz="4" w:space="0"/>
            </w:tcBorders>
            <w:vAlign w:val="center"/>
          </w:tcPr>
          <w:p w14:paraId="4763FDAD">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454D861B">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44DB04E1">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440" w:type="dxa"/>
            <w:tcBorders>
              <w:top w:val="nil"/>
              <w:left w:val="nil"/>
              <w:bottom w:val="single" w:color="auto" w:sz="4" w:space="0"/>
              <w:right w:val="single" w:color="auto" w:sz="4" w:space="0"/>
            </w:tcBorders>
            <w:vAlign w:val="center"/>
          </w:tcPr>
          <w:p w14:paraId="10775D9E">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1315" w:type="dxa"/>
            <w:tcBorders>
              <w:top w:val="nil"/>
              <w:left w:val="nil"/>
              <w:bottom w:val="single" w:color="auto" w:sz="4" w:space="0"/>
              <w:right w:val="single" w:color="auto" w:sz="4" w:space="0"/>
            </w:tcBorders>
            <w:vAlign w:val="center"/>
          </w:tcPr>
          <w:p w14:paraId="19C7CC9C">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4E26BB05">
        <w:tblPrEx>
          <w:tblCellMar>
            <w:top w:w="0" w:type="dxa"/>
            <w:left w:w="108" w:type="dxa"/>
            <w:bottom w:w="0" w:type="dxa"/>
            <w:right w:w="108" w:type="dxa"/>
          </w:tblCellMar>
        </w:tblPrEx>
        <w:trPr>
          <w:trHeight w:val="225" w:hRule="atLeast"/>
          <w:jc w:val="center"/>
        </w:trPr>
        <w:tc>
          <w:tcPr>
            <w:tcW w:w="2209" w:type="dxa"/>
            <w:vMerge w:val="continue"/>
            <w:tcBorders>
              <w:top w:val="nil"/>
              <w:left w:val="single" w:color="auto" w:sz="4" w:space="0"/>
              <w:bottom w:val="single" w:color="auto" w:sz="4" w:space="0"/>
              <w:right w:val="single" w:color="auto" w:sz="4" w:space="0"/>
            </w:tcBorders>
            <w:vAlign w:val="center"/>
          </w:tcPr>
          <w:p w14:paraId="6EF8E90F">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76FC83BF">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376D801E">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28C0E436">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440" w:type="dxa"/>
            <w:tcBorders>
              <w:top w:val="nil"/>
              <w:left w:val="nil"/>
              <w:bottom w:val="single" w:color="auto" w:sz="4" w:space="0"/>
              <w:right w:val="single" w:color="auto" w:sz="4" w:space="0"/>
            </w:tcBorders>
            <w:vAlign w:val="center"/>
          </w:tcPr>
          <w:p w14:paraId="33D2BB79">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315" w:type="dxa"/>
            <w:tcBorders>
              <w:top w:val="nil"/>
              <w:left w:val="nil"/>
              <w:bottom w:val="single" w:color="auto" w:sz="4" w:space="0"/>
              <w:right w:val="single" w:color="auto" w:sz="4" w:space="0"/>
            </w:tcBorders>
            <w:vAlign w:val="center"/>
          </w:tcPr>
          <w:p w14:paraId="7D41A9A5">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02520336">
        <w:tblPrEx>
          <w:tblCellMar>
            <w:top w:w="0" w:type="dxa"/>
            <w:left w:w="108" w:type="dxa"/>
            <w:bottom w:w="0" w:type="dxa"/>
            <w:right w:w="108" w:type="dxa"/>
          </w:tblCellMar>
        </w:tblPrEx>
        <w:trPr>
          <w:trHeight w:val="225" w:hRule="atLeast"/>
          <w:jc w:val="center"/>
        </w:trPr>
        <w:tc>
          <w:tcPr>
            <w:tcW w:w="2209" w:type="dxa"/>
            <w:vMerge w:val="restart"/>
            <w:tcBorders>
              <w:top w:val="nil"/>
              <w:left w:val="single" w:color="auto" w:sz="4" w:space="0"/>
              <w:bottom w:val="single" w:color="auto" w:sz="4" w:space="0"/>
              <w:right w:val="single" w:color="auto" w:sz="4" w:space="0"/>
            </w:tcBorders>
            <w:vAlign w:val="center"/>
          </w:tcPr>
          <w:p w14:paraId="1730A4F1">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零售业</w:t>
            </w:r>
          </w:p>
        </w:tc>
        <w:tc>
          <w:tcPr>
            <w:tcW w:w="1384" w:type="dxa"/>
            <w:tcBorders>
              <w:top w:val="nil"/>
              <w:left w:val="nil"/>
              <w:bottom w:val="single" w:color="auto" w:sz="4" w:space="0"/>
              <w:right w:val="single" w:color="auto" w:sz="4" w:space="0"/>
            </w:tcBorders>
            <w:vAlign w:val="center"/>
          </w:tcPr>
          <w:p w14:paraId="25F659CF">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29B80DEF">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77B4B810">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440" w:type="dxa"/>
            <w:tcBorders>
              <w:top w:val="nil"/>
              <w:left w:val="nil"/>
              <w:bottom w:val="single" w:color="auto" w:sz="4" w:space="0"/>
              <w:right w:val="single" w:color="auto" w:sz="4" w:space="0"/>
            </w:tcBorders>
            <w:vAlign w:val="center"/>
          </w:tcPr>
          <w:p w14:paraId="574F0FAD">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10≤X＜50</w:t>
            </w:r>
          </w:p>
        </w:tc>
        <w:tc>
          <w:tcPr>
            <w:tcW w:w="1315" w:type="dxa"/>
            <w:tcBorders>
              <w:top w:val="nil"/>
              <w:left w:val="nil"/>
              <w:bottom w:val="single" w:color="auto" w:sz="4" w:space="0"/>
              <w:right w:val="single" w:color="auto" w:sz="4" w:space="0"/>
            </w:tcBorders>
            <w:vAlign w:val="center"/>
          </w:tcPr>
          <w:p w14:paraId="1E8A8C2A">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528B94D1">
        <w:tblPrEx>
          <w:tblCellMar>
            <w:top w:w="0" w:type="dxa"/>
            <w:left w:w="108" w:type="dxa"/>
            <w:bottom w:w="0" w:type="dxa"/>
            <w:right w:w="108" w:type="dxa"/>
          </w:tblCellMar>
        </w:tblPrEx>
        <w:trPr>
          <w:trHeight w:val="225" w:hRule="atLeast"/>
          <w:jc w:val="center"/>
        </w:trPr>
        <w:tc>
          <w:tcPr>
            <w:tcW w:w="2209" w:type="dxa"/>
            <w:vMerge w:val="continue"/>
            <w:tcBorders>
              <w:top w:val="nil"/>
              <w:left w:val="single" w:color="auto" w:sz="4" w:space="0"/>
              <w:bottom w:val="single" w:color="auto" w:sz="4" w:space="0"/>
              <w:right w:val="single" w:color="auto" w:sz="4" w:space="0"/>
            </w:tcBorders>
            <w:vAlign w:val="center"/>
          </w:tcPr>
          <w:p w14:paraId="1A0CD3FA">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2CD54E16">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71A3639E">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7A646DB7">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40" w:type="dxa"/>
            <w:tcBorders>
              <w:top w:val="nil"/>
              <w:left w:val="nil"/>
              <w:bottom w:val="single" w:color="auto" w:sz="4" w:space="0"/>
              <w:right w:val="single" w:color="auto" w:sz="4" w:space="0"/>
            </w:tcBorders>
            <w:vAlign w:val="center"/>
          </w:tcPr>
          <w:p w14:paraId="7AFEC645">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1315" w:type="dxa"/>
            <w:tcBorders>
              <w:top w:val="nil"/>
              <w:left w:val="nil"/>
              <w:bottom w:val="single" w:color="auto" w:sz="4" w:space="0"/>
              <w:right w:val="single" w:color="auto" w:sz="4" w:space="0"/>
            </w:tcBorders>
            <w:vAlign w:val="center"/>
          </w:tcPr>
          <w:p w14:paraId="19D95715">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6337124">
        <w:tblPrEx>
          <w:tblCellMar>
            <w:top w:w="0" w:type="dxa"/>
            <w:left w:w="108" w:type="dxa"/>
            <w:bottom w:w="0" w:type="dxa"/>
            <w:right w:w="108" w:type="dxa"/>
          </w:tblCellMar>
        </w:tblPrEx>
        <w:trPr>
          <w:trHeight w:val="225" w:hRule="atLeast"/>
          <w:jc w:val="center"/>
        </w:trPr>
        <w:tc>
          <w:tcPr>
            <w:tcW w:w="2209" w:type="dxa"/>
            <w:vMerge w:val="restart"/>
            <w:tcBorders>
              <w:top w:val="nil"/>
              <w:left w:val="single" w:color="auto" w:sz="4" w:space="0"/>
              <w:bottom w:val="single" w:color="auto" w:sz="4" w:space="0"/>
              <w:right w:val="single" w:color="auto" w:sz="4" w:space="0"/>
            </w:tcBorders>
            <w:vAlign w:val="center"/>
          </w:tcPr>
          <w:p w14:paraId="59D75838">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交通运输业</w:t>
            </w:r>
          </w:p>
        </w:tc>
        <w:tc>
          <w:tcPr>
            <w:tcW w:w="1384" w:type="dxa"/>
            <w:tcBorders>
              <w:top w:val="nil"/>
              <w:left w:val="nil"/>
              <w:bottom w:val="single" w:color="auto" w:sz="4" w:space="0"/>
              <w:right w:val="single" w:color="auto" w:sz="4" w:space="0"/>
            </w:tcBorders>
            <w:vAlign w:val="center"/>
          </w:tcPr>
          <w:p w14:paraId="72A1318F">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16E08D7A">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44417E26">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vAlign w:val="center"/>
          </w:tcPr>
          <w:p w14:paraId="6A510D62">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315" w:type="dxa"/>
            <w:tcBorders>
              <w:top w:val="nil"/>
              <w:left w:val="nil"/>
              <w:bottom w:val="single" w:color="auto" w:sz="4" w:space="0"/>
              <w:right w:val="single" w:color="auto" w:sz="4" w:space="0"/>
            </w:tcBorders>
            <w:vAlign w:val="center"/>
          </w:tcPr>
          <w:p w14:paraId="3A18E095">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C2078F9">
        <w:tblPrEx>
          <w:tblCellMar>
            <w:top w:w="0" w:type="dxa"/>
            <w:left w:w="108" w:type="dxa"/>
            <w:bottom w:w="0" w:type="dxa"/>
            <w:right w:w="108" w:type="dxa"/>
          </w:tblCellMar>
        </w:tblPrEx>
        <w:trPr>
          <w:trHeight w:val="225" w:hRule="atLeast"/>
          <w:jc w:val="center"/>
        </w:trPr>
        <w:tc>
          <w:tcPr>
            <w:tcW w:w="2209" w:type="dxa"/>
            <w:vMerge w:val="continue"/>
            <w:tcBorders>
              <w:top w:val="nil"/>
              <w:left w:val="single" w:color="auto" w:sz="4" w:space="0"/>
              <w:bottom w:val="single" w:color="auto" w:sz="4" w:space="0"/>
              <w:right w:val="single" w:color="auto" w:sz="4" w:space="0"/>
            </w:tcBorders>
            <w:vAlign w:val="center"/>
          </w:tcPr>
          <w:p w14:paraId="289DD139">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4986E2DF">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08527D13">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3BA08770">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440" w:type="dxa"/>
            <w:tcBorders>
              <w:top w:val="nil"/>
              <w:left w:val="nil"/>
              <w:bottom w:val="single" w:color="auto" w:sz="4" w:space="0"/>
              <w:right w:val="single" w:color="auto" w:sz="4" w:space="0"/>
            </w:tcBorders>
            <w:vAlign w:val="center"/>
          </w:tcPr>
          <w:p w14:paraId="3851CDD8">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1315" w:type="dxa"/>
            <w:tcBorders>
              <w:top w:val="nil"/>
              <w:left w:val="nil"/>
              <w:bottom w:val="single" w:color="auto" w:sz="4" w:space="0"/>
              <w:right w:val="single" w:color="auto" w:sz="4" w:space="0"/>
            </w:tcBorders>
            <w:vAlign w:val="center"/>
          </w:tcPr>
          <w:p w14:paraId="0D1B5EE1">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3D53BE8D">
        <w:tblPrEx>
          <w:tblCellMar>
            <w:top w:w="0" w:type="dxa"/>
            <w:left w:w="108" w:type="dxa"/>
            <w:bottom w:w="0" w:type="dxa"/>
            <w:right w:w="108" w:type="dxa"/>
          </w:tblCellMar>
        </w:tblPrEx>
        <w:trPr>
          <w:trHeight w:val="225" w:hRule="atLeast"/>
          <w:jc w:val="center"/>
        </w:trPr>
        <w:tc>
          <w:tcPr>
            <w:tcW w:w="2209" w:type="dxa"/>
            <w:vMerge w:val="restart"/>
            <w:tcBorders>
              <w:top w:val="nil"/>
              <w:left w:val="single" w:color="auto" w:sz="4" w:space="0"/>
              <w:bottom w:val="single" w:color="auto" w:sz="4" w:space="0"/>
              <w:right w:val="single" w:color="auto" w:sz="4" w:space="0"/>
            </w:tcBorders>
            <w:vAlign w:val="center"/>
          </w:tcPr>
          <w:p w14:paraId="206DB737">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仓储业</w:t>
            </w:r>
          </w:p>
        </w:tc>
        <w:tc>
          <w:tcPr>
            <w:tcW w:w="1384" w:type="dxa"/>
            <w:tcBorders>
              <w:top w:val="nil"/>
              <w:left w:val="nil"/>
              <w:bottom w:val="single" w:color="auto" w:sz="4" w:space="0"/>
              <w:right w:val="single" w:color="auto" w:sz="4" w:space="0"/>
            </w:tcBorders>
            <w:vAlign w:val="center"/>
          </w:tcPr>
          <w:p w14:paraId="77E362E6">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5A09E273">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05A05AD2">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440" w:type="dxa"/>
            <w:tcBorders>
              <w:top w:val="nil"/>
              <w:left w:val="nil"/>
              <w:bottom w:val="single" w:color="auto" w:sz="4" w:space="0"/>
              <w:right w:val="single" w:color="auto" w:sz="4" w:space="0"/>
            </w:tcBorders>
            <w:vAlign w:val="center"/>
          </w:tcPr>
          <w:p w14:paraId="646A120A">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1315" w:type="dxa"/>
            <w:tcBorders>
              <w:top w:val="nil"/>
              <w:left w:val="nil"/>
              <w:bottom w:val="single" w:color="auto" w:sz="4" w:space="0"/>
              <w:right w:val="single" w:color="auto" w:sz="4" w:space="0"/>
            </w:tcBorders>
            <w:vAlign w:val="center"/>
          </w:tcPr>
          <w:p w14:paraId="61A00C65">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037F405D">
        <w:tblPrEx>
          <w:tblCellMar>
            <w:top w:w="0" w:type="dxa"/>
            <w:left w:w="108" w:type="dxa"/>
            <w:bottom w:w="0" w:type="dxa"/>
            <w:right w:w="108" w:type="dxa"/>
          </w:tblCellMar>
        </w:tblPrEx>
        <w:trPr>
          <w:trHeight w:val="225" w:hRule="atLeast"/>
          <w:jc w:val="center"/>
        </w:trPr>
        <w:tc>
          <w:tcPr>
            <w:tcW w:w="2209" w:type="dxa"/>
            <w:vMerge w:val="continue"/>
            <w:tcBorders>
              <w:top w:val="nil"/>
              <w:left w:val="single" w:color="auto" w:sz="4" w:space="0"/>
              <w:bottom w:val="single" w:color="auto" w:sz="4" w:space="0"/>
              <w:right w:val="single" w:color="auto" w:sz="4" w:space="0"/>
            </w:tcBorders>
            <w:vAlign w:val="center"/>
          </w:tcPr>
          <w:p w14:paraId="3C8E7409">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0EC552DF">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52E459FF">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061833C6">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440" w:type="dxa"/>
            <w:tcBorders>
              <w:top w:val="nil"/>
              <w:left w:val="nil"/>
              <w:bottom w:val="single" w:color="auto" w:sz="4" w:space="0"/>
              <w:right w:val="single" w:color="auto" w:sz="4" w:space="0"/>
            </w:tcBorders>
            <w:vAlign w:val="center"/>
          </w:tcPr>
          <w:p w14:paraId="07D4A8BA">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315" w:type="dxa"/>
            <w:tcBorders>
              <w:top w:val="nil"/>
              <w:left w:val="nil"/>
              <w:bottom w:val="single" w:color="auto" w:sz="4" w:space="0"/>
              <w:right w:val="single" w:color="auto" w:sz="4" w:space="0"/>
            </w:tcBorders>
            <w:vAlign w:val="center"/>
          </w:tcPr>
          <w:p w14:paraId="0A11CDB5">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4AA3688">
        <w:tblPrEx>
          <w:tblCellMar>
            <w:top w:w="0" w:type="dxa"/>
            <w:left w:w="108" w:type="dxa"/>
            <w:bottom w:w="0" w:type="dxa"/>
            <w:right w:w="108" w:type="dxa"/>
          </w:tblCellMar>
        </w:tblPrEx>
        <w:trPr>
          <w:trHeight w:val="225" w:hRule="atLeast"/>
          <w:jc w:val="center"/>
        </w:trPr>
        <w:tc>
          <w:tcPr>
            <w:tcW w:w="2209" w:type="dxa"/>
            <w:vMerge w:val="restart"/>
            <w:tcBorders>
              <w:top w:val="nil"/>
              <w:left w:val="single" w:color="auto" w:sz="4" w:space="0"/>
              <w:bottom w:val="single" w:color="auto" w:sz="4" w:space="0"/>
              <w:right w:val="single" w:color="auto" w:sz="4" w:space="0"/>
            </w:tcBorders>
            <w:vAlign w:val="center"/>
          </w:tcPr>
          <w:p w14:paraId="29094C80">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邮政业</w:t>
            </w:r>
          </w:p>
        </w:tc>
        <w:tc>
          <w:tcPr>
            <w:tcW w:w="1384" w:type="dxa"/>
            <w:tcBorders>
              <w:top w:val="nil"/>
              <w:left w:val="nil"/>
              <w:bottom w:val="single" w:color="auto" w:sz="4" w:space="0"/>
              <w:right w:val="single" w:color="auto" w:sz="4" w:space="0"/>
            </w:tcBorders>
            <w:vAlign w:val="center"/>
          </w:tcPr>
          <w:p w14:paraId="338C4525">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1FFE036C">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1C60C6FD">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vAlign w:val="center"/>
          </w:tcPr>
          <w:p w14:paraId="38273D03">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315" w:type="dxa"/>
            <w:tcBorders>
              <w:top w:val="nil"/>
              <w:left w:val="nil"/>
              <w:bottom w:val="single" w:color="auto" w:sz="4" w:space="0"/>
              <w:right w:val="single" w:color="auto" w:sz="4" w:space="0"/>
            </w:tcBorders>
            <w:vAlign w:val="center"/>
          </w:tcPr>
          <w:p w14:paraId="1F2EF6EC">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D3E85B4">
        <w:tblPrEx>
          <w:tblCellMar>
            <w:top w:w="0" w:type="dxa"/>
            <w:left w:w="108" w:type="dxa"/>
            <w:bottom w:w="0" w:type="dxa"/>
            <w:right w:w="108" w:type="dxa"/>
          </w:tblCellMar>
        </w:tblPrEx>
        <w:trPr>
          <w:trHeight w:val="225" w:hRule="atLeast"/>
          <w:jc w:val="center"/>
        </w:trPr>
        <w:tc>
          <w:tcPr>
            <w:tcW w:w="2209" w:type="dxa"/>
            <w:vMerge w:val="continue"/>
            <w:tcBorders>
              <w:top w:val="nil"/>
              <w:left w:val="single" w:color="auto" w:sz="4" w:space="0"/>
              <w:bottom w:val="single" w:color="auto" w:sz="4" w:space="0"/>
              <w:right w:val="single" w:color="auto" w:sz="4" w:space="0"/>
            </w:tcBorders>
            <w:vAlign w:val="center"/>
          </w:tcPr>
          <w:p w14:paraId="6F746F67">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78C578A9">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745A3C78">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26DB3FA8">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440" w:type="dxa"/>
            <w:tcBorders>
              <w:top w:val="nil"/>
              <w:left w:val="nil"/>
              <w:bottom w:val="single" w:color="auto" w:sz="4" w:space="0"/>
              <w:right w:val="single" w:color="auto" w:sz="4" w:space="0"/>
            </w:tcBorders>
            <w:vAlign w:val="center"/>
          </w:tcPr>
          <w:p w14:paraId="6232059E">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315" w:type="dxa"/>
            <w:tcBorders>
              <w:top w:val="nil"/>
              <w:left w:val="nil"/>
              <w:bottom w:val="single" w:color="auto" w:sz="4" w:space="0"/>
              <w:right w:val="single" w:color="auto" w:sz="4" w:space="0"/>
            </w:tcBorders>
            <w:vAlign w:val="center"/>
          </w:tcPr>
          <w:p w14:paraId="7A05F4C0">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FEB96B3">
        <w:tblPrEx>
          <w:tblCellMar>
            <w:top w:w="0" w:type="dxa"/>
            <w:left w:w="108" w:type="dxa"/>
            <w:bottom w:w="0" w:type="dxa"/>
            <w:right w:w="108" w:type="dxa"/>
          </w:tblCellMar>
        </w:tblPrEx>
        <w:trPr>
          <w:trHeight w:val="225" w:hRule="atLeast"/>
          <w:jc w:val="center"/>
        </w:trPr>
        <w:tc>
          <w:tcPr>
            <w:tcW w:w="2209" w:type="dxa"/>
            <w:vMerge w:val="restart"/>
            <w:tcBorders>
              <w:top w:val="nil"/>
              <w:left w:val="single" w:color="auto" w:sz="4" w:space="0"/>
              <w:bottom w:val="single" w:color="auto" w:sz="4" w:space="0"/>
              <w:right w:val="single" w:color="auto" w:sz="4" w:space="0"/>
            </w:tcBorders>
            <w:vAlign w:val="center"/>
          </w:tcPr>
          <w:p w14:paraId="7792507D">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住宿业</w:t>
            </w:r>
          </w:p>
        </w:tc>
        <w:tc>
          <w:tcPr>
            <w:tcW w:w="1384" w:type="dxa"/>
            <w:tcBorders>
              <w:top w:val="nil"/>
              <w:left w:val="nil"/>
              <w:bottom w:val="single" w:color="auto" w:sz="4" w:space="0"/>
              <w:right w:val="single" w:color="auto" w:sz="4" w:space="0"/>
            </w:tcBorders>
            <w:vAlign w:val="center"/>
          </w:tcPr>
          <w:p w14:paraId="08421DBA">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10C943D7">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34B58E5C">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6E1DBE08">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315" w:type="dxa"/>
            <w:tcBorders>
              <w:top w:val="nil"/>
              <w:left w:val="nil"/>
              <w:bottom w:val="single" w:color="auto" w:sz="4" w:space="0"/>
              <w:right w:val="single" w:color="auto" w:sz="4" w:space="0"/>
            </w:tcBorders>
            <w:vAlign w:val="center"/>
          </w:tcPr>
          <w:p w14:paraId="774C70CE">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019D38C">
        <w:tblPrEx>
          <w:tblCellMar>
            <w:top w:w="0" w:type="dxa"/>
            <w:left w:w="108" w:type="dxa"/>
            <w:bottom w:w="0" w:type="dxa"/>
            <w:right w:w="108" w:type="dxa"/>
          </w:tblCellMar>
        </w:tblPrEx>
        <w:trPr>
          <w:trHeight w:val="225" w:hRule="atLeast"/>
          <w:jc w:val="center"/>
        </w:trPr>
        <w:tc>
          <w:tcPr>
            <w:tcW w:w="2209" w:type="dxa"/>
            <w:vMerge w:val="continue"/>
            <w:tcBorders>
              <w:top w:val="nil"/>
              <w:left w:val="single" w:color="auto" w:sz="4" w:space="0"/>
              <w:bottom w:val="single" w:color="auto" w:sz="4" w:space="0"/>
              <w:right w:val="single" w:color="auto" w:sz="4" w:space="0"/>
            </w:tcBorders>
            <w:vAlign w:val="center"/>
          </w:tcPr>
          <w:p w14:paraId="3B2D2109">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04601CC7">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1DB51E83">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72854B44">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40" w:type="dxa"/>
            <w:tcBorders>
              <w:top w:val="nil"/>
              <w:left w:val="nil"/>
              <w:bottom w:val="single" w:color="auto" w:sz="4" w:space="0"/>
              <w:right w:val="single" w:color="auto" w:sz="4" w:space="0"/>
            </w:tcBorders>
            <w:vAlign w:val="center"/>
          </w:tcPr>
          <w:p w14:paraId="2F68DE93">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315" w:type="dxa"/>
            <w:tcBorders>
              <w:top w:val="nil"/>
              <w:left w:val="nil"/>
              <w:bottom w:val="single" w:color="auto" w:sz="4" w:space="0"/>
              <w:right w:val="single" w:color="auto" w:sz="4" w:space="0"/>
            </w:tcBorders>
            <w:vAlign w:val="center"/>
          </w:tcPr>
          <w:p w14:paraId="0FAD6C43">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5CA2122F">
        <w:tblPrEx>
          <w:tblCellMar>
            <w:top w:w="0" w:type="dxa"/>
            <w:left w:w="108" w:type="dxa"/>
            <w:bottom w:w="0" w:type="dxa"/>
            <w:right w:w="108" w:type="dxa"/>
          </w:tblCellMar>
        </w:tblPrEx>
        <w:trPr>
          <w:trHeight w:val="225" w:hRule="atLeast"/>
          <w:jc w:val="center"/>
        </w:trPr>
        <w:tc>
          <w:tcPr>
            <w:tcW w:w="2209" w:type="dxa"/>
            <w:vMerge w:val="restart"/>
            <w:tcBorders>
              <w:top w:val="nil"/>
              <w:left w:val="single" w:color="auto" w:sz="4" w:space="0"/>
              <w:bottom w:val="single" w:color="auto" w:sz="4" w:space="0"/>
              <w:right w:val="single" w:color="auto" w:sz="4" w:space="0"/>
            </w:tcBorders>
            <w:vAlign w:val="center"/>
          </w:tcPr>
          <w:p w14:paraId="619060D1">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餐饮业</w:t>
            </w:r>
          </w:p>
        </w:tc>
        <w:tc>
          <w:tcPr>
            <w:tcW w:w="1384" w:type="dxa"/>
            <w:tcBorders>
              <w:top w:val="nil"/>
              <w:left w:val="nil"/>
              <w:bottom w:val="single" w:color="auto" w:sz="4" w:space="0"/>
              <w:right w:val="single" w:color="auto" w:sz="4" w:space="0"/>
            </w:tcBorders>
            <w:vAlign w:val="center"/>
          </w:tcPr>
          <w:p w14:paraId="2A102470">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6F18A189">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665EF696">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32139824">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315" w:type="dxa"/>
            <w:tcBorders>
              <w:top w:val="nil"/>
              <w:left w:val="nil"/>
              <w:bottom w:val="single" w:color="auto" w:sz="4" w:space="0"/>
              <w:right w:val="single" w:color="auto" w:sz="4" w:space="0"/>
            </w:tcBorders>
            <w:vAlign w:val="center"/>
          </w:tcPr>
          <w:p w14:paraId="2194EEBE">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EC63C20">
        <w:tblPrEx>
          <w:tblCellMar>
            <w:top w:w="0" w:type="dxa"/>
            <w:left w:w="108" w:type="dxa"/>
            <w:bottom w:w="0" w:type="dxa"/>
            <w:right w:w="108" w:type="dxa"/>
          </w:tblCellMar>
        </w:tblPrEx>
        <w:trPr>
          <w:trHeight w:val="225" w:hRule="atLeast"/>
          <w:jc w:val="center"/>
        </w:trPr>
        <w:tc>
          <w:tcPr>
            <w:tcW w:w="2209" w:type="dxa"/>
            <w:vMerge w:val="continue"/>
            <w:tcBorders>
              <w:top w:val="nil"/>
              <w:left w:val="single" w:color="auto" w:sz="4" w:space="0"/>
              <w:bottom w:val="single" w:color="auto" w:sz="4" w:space="0"/>
              <w:right w:val="single" w:color="auto" w:sz="4" w:space="0"/>
            </w:tcBorders>
            <w:vAlign w:val="center"/>
          </w:tcPr>
          <w:p w14:paraId="52555BF1">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2E3BE7D3">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4F41422B">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6DA04081">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40" w:type="dxa"/>
            <w:tcBorders>
              <w:top w:val="nil"/>
              <w:left w:val="nil"/>
              <w:bottom w:val="single" w:color="auto" w:sz="4" w:space="0"/>
              <w:right w:val="single" w:color="auto" w:sz="4" w:space="0"/>
            </w:tcBorders>
            <w:vAlign w:val="center"/>
          </w:tcPr>
          <w:p w14:paraId="34563D0F">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315" w:type="dxa"/>
            <w:tcBorders>
              <w:top w:val="nil"/>
              <w:left w:val="nil"/>
              <w:bottom w:val="single" w:color="auto" w:sz="4" w:space="0"/>
              <w:right w:val="single" w:color="auto" w:sz="4" w:space="0"/>
            </w:tcBorders>
            <w:vAlign w:val="center"/>
          </w:tcPr>
          <w:p w14:paraId="504A1E12">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5AC0C89">
        <w:tblPrEx>
          <w:tblCellMar>
            <w:top w:w="0" w:type="dxa"/>
            <w:left w:w="108" w:type="dxa"/>
            <w:bottom w:w="0" w:type="dxa"/>
            <w:right w:w="108" w:type="dxa"/>
          </w:tblCellMar>
        </w:tblPrEx>
        <w:trPr>
          <w:trHeight w:val="225" w:hRule="atLeast"/>
          <w:jc w:val="center"/>
        </w:trPr>
        <w:tc>
          <w:tcPr>
            <w:tcW w:w="2209" w:type="dxa"/>
            <w:vMerge w:val="restart"/>
            <w:tcBorders>
              <w:top w:val="nil"/>
              <w:left w:val="single" w:color="auto" w:sz="4" w:space="0"/>
              <w:bottom w:val="single" w:color="auto" w:sz="4" w:space="0"/>
              <w:right w:val="single" w:color="auto" w:sz="4" w:space="0"/>
            </w:tcBorders>
            <w:vAlign w:val="center"/>
          </w:tcPr>
          <w:p w14:paraId="28EEF331">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信息传输业</w:t>
            </w:r>
          </w:p>
        </w:tc>
        <w:tc>
          <w:tcPr>
            <w:tcW w:w="1384" w:type="dxa"/>
            <w:tcBorders>
              <w:top w:val="nil"/>
              <w:left w:val="nil"/>
              <w:bottom w:val="single" w:color="auto" w:sz="4" w:space="0"/>
              <w:right w:val="single" w:color="auto" w:sz="4" w:space="0"/>
            </w:tcBorders>
            <w:vAlign w:val="center"/>
          </w:tcPr>
          <w:p w14:paraId="1F403A19">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639B0D69">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35D1A5E7">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440" w:type="dxa"/>
            <w:tcBorders>
              <w:top w:val="nil"/>
              <w:left w:val="nil"/>
              <w:bottom w:val="single" w:color="auto" w:sz="4" w:space="0"/>
              <w:right w:val="single" w:color="auto" w:sz="4" w:space="0"/>
            </w:tcBorders>
            <w:vAlign w:val="center"/>
          </w:tcPr>
          <w:p w14:paraId="234DDBE7">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315" w:type="dxa"/>
            <w:tcBorders>
              <w:top w:val="nil"/>
              <w:left w:val="nil"/>
              <w:bottom w:val="single" w:color="auto" w:sz="4" w:space="0"/>
              <w:right w:val="single" w:color="auto" w:sz="4" w:space="0"/>
            </w:tcBorders>
            <w:vAlign w:val="center"/>
          </w:tcPr>
          <w:p w14:paraId="7A030C0F">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607FEDA5">
        <w:tblPrEx>
          <w:tblCellMar>
            <w:top w:w="0" w:type="dxa"/>
            <w:left w:w="108" w:type="dxa"/>
            <w:bottom w:w="0" w:type="dxa"/>
            <w:right w:w="108" w:type="dxa"/>
          </w:tblCellMar>
        </w:tblPrEx>
        <w:trPr>
          <w:trHeight w:val="225" w:hRule="atLeast"/>
          <w:jc w:val="center"/>
        </w:trPr>
        <w:tc>
          <w:tcPr>
            <w:tcW w:w="2209" w:type="dxa"/>
            <w:vMerge w:val="continue"/>
            <w:tcBorders>
              <w:top w:val="nil"/>
              <w:left w:val="single" w:color="auto" w:sz="4" w:space="0"/>
              <w:bottom w:val="single" w:color="auto" w:sz="4" w:space="0"/>
              <w:right w:val="single" w:color="auto" w:sz="4" w:space="0"/>
            </w:tcBorders>
            <w:vAlign w:val="center"/>
          </w:tcPr>
          <w:p w14:paraId="08BD7508">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2EDF59B7">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2C43B901">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75DE0601">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440" w:type="dxa"/>
            <w:tcBorders>
              <w:top w:val="nil"/>
              <w:left w:val="nil"/>
              <w:bottom w:val="single" w:color="auto" w:sz="4" w:space="0"/>
              <w:right w:val="single" w:color="auto" w:sz="4" w:space="0"/>
            </w:tcBorders>
            <w:vAlign w:val="center"/>
          </w:tcPr>
          <w:p w14:paraId="30D9725B">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315" w:type="dxa"/>
            <w:tcBorders>
              <w:top w:val="nil"/>
              <w:left w:val="nil"/>
              <w:bottom w:val="single" w:color="auto" w:sz="4" w:space="0"/>
              <w:right w:val="single" w:color="auto" w:sz="4" w:space="0"/>
            </w:tcBorders>
            <w:vAlign w:val="center"/>
          </w:tcPr>
          <w:p w14:paraId="6D394D7D">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6AB7C962">
        <w:tblPrEx>
          <w:tblCellMar>
            <w:top w:w="0" w:type="dxa"/>
            <w:left w:w="108" w:type="dxa"/>
            <w:bottom w:w="0" w:type="dxa"/>
            <w:right w:w="108" w:type="dxa"/>
          </w:tblCellMar>
        </w:tblPrEx>
        <w:trPr>
          <w:trHeight w:val="225" w:hRule="atLeast"/>
          <w:jc w:val="center"/>
        </w:trPr>
        <w:tc>
          <w:tcPr>
            <w:tcW w:w="2209" w:type="dxa"/>
            <w:vMerge w:val="restart"/>
            <w:tcBorders>
              <w:top w:val="nil"/>
              <w:left w:val="single" w:color="auto" w:sz="4" w:space="0"/>
              <w:bottom w:val="single" w:color="auto" w:sz="4" w:space="0"/>
              <w:right w:val="single" w:color="auto" w:sz="4" w:space="0"/>
            </w:tcBorders>
            <w:vAlign w:val="center"/>
          </w:tcPr>
          <w:p w14:paraId="724C55FB">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软件和信息技术服务业</w:t>
            </w:r>
          </w:p>
        </w:tc>
        <w:tc>
          <w:tcPr>
            <w:tcW w:w="1384" w:type="dxa"/>
            <w:tcBorders>
              <w:top w:val="nil"/>
              <w:left w:val="nil"/>
              <w:bottom w:val="single" w:color="auto" w:sz="4" w:space="0"/>
              <w:right w:val="single" w:color="auto" w:sz="4" w:space="0"/>
            </w:tcBorders>
            <w:vAlign w:val="center"/>
          </w:tcPr>
          <w:p w14:paraId="3F21BD89">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4679EA3F">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14B041CC">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40ECAF13">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315" w:type="dxa"/>
            <w:tcBorders>
              <w:top w:val="nil"/>
              <w:left w:val="nil"/>
              <w:bottom w:val="single" w:color="auto" w:sz="4" w:space="0"/>
              <w:right w:val="single" w:color="auto" w:sz="4" w:space="0"/>
            </w:tcBorders>
            <w:vAlign w:val="center"/>
          </w:tcPr>
          <w:p w14:paraId="3DABE15D">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0729E69D">
        <w:tblPrEx>
          <w:tblCellMar>
            <w:top w:w="0" w:type="dxa"/>
            <w:left w:w="108" w:type="dxa"/>
            <w:bottom w:w="0" w:type="dxa"/>
            <w:right w:w="108" w:type="dxa"/>
          </w:tblCellMar>
        </w:tblPrEx>
        <w:trPr>
          <w:trHeight w:val="225" w:hRule="atLeast"/>
          <w:jc w:val="center"/>
        </w:trPr>
        <w:tc>
          <w:tcPr>
            <w:tcW w:w="2209" w:type="dxa"/>
            <w:vMerge w:val="continue"/>
            <w:tcBorders>
              <w:top w:val="nil"/>
              <w:left w:val="single" w:color="auto" w:sz="4" w:space="0"/>
              <w:bottom w:val="single" w:color="auto" w:sz="4" w:space="0"/>
              <w:right w:val="single" w:color="auto" w:sz="4" w:space="0"/>
            </w:tcBorders>
            <w:vAlign w:val="center"/>
          </w:tcPr>
          <w:p w14:paraId="5BC8605E">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07957416">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1CC8FD08">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13826E92">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440" w:type="dxa"/>
            <w:tcBorders>
              <w:top w:val="nil"/>
              <w:left w:val="nil"/>
              <w:bottom w:val="single" w:color="auto" w:sz="4" w:space="0"/>
              <w:right w:val="single" w:color="auto" w:sz="4" w:space="0"/>
            </w:tcBorders>
            <w:vAlign w:val="center"/>
          </w:tcPr>
          <w:p w14:paraId="19ABF854">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1315" w:type="dxa"/>
            <w:tcBorders>
              <w:top w:val="nil"/>
              <w:left w:val="nil"/>
              <w:bottom w:val="single" w:color="auto" w:sz="4" w:space="0"/>
              <w:right w:val="single" w:color="auto" w:sz="4" w:space="0"/>
            </w:tcBorders>
            <w:vAlign w:val="center"/>
          </w:tcPr>
          <w:p w14:paraId="49CE2807">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38FD4CD5">
        <w:tblPrEx>
          <w:tblCellMar>
            <w:top w:w="0" w:type="dxa"/>
            <w:left w:w="108" w:type="dxa"/>
            <w:bottom w:w="0" w:type="dxa"/>
            <w:right w:w="108" w:type="dxa"/>
          </w:tblCellMar>
        </w:tblPrEx>
        <w:trPr>
          <w:trHeight w:val="225" w:hRule="atLeast"/>
          <w:jc w:val="center"/>
        </w:trPr>
        <w:tc>
          <w:tcPr>
            <w:tcW w:w="2209" w:type="dxa"/>
            <w:vMerge w:val="restart"/>
            <w:tcBorders>
              <w:top w:val="nil"/>
              <w:left w:val="single" w:color="auto" w:sz="4" w:space="0"/>
              <w:bottom w:val="single" w:color="auto" w:sz="4" w:space="0"/>
              <w:right w:val="single" w:color="auto" w:sz="4" w:space="0"/>
            </w:tcBorders>
            <w:vAlign w:val="center"/>
          </w:tcPr>
          <w:p w14:paraId="5A545B5C">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房地产开发经营</w:t>
            </w:r>
          </w:p>
        </w:tc>
        <w:tc>
          <w:tcPr>
            <w:tcW w:w="1384" w:type="dxa"/>
            <w:tcBorders>
              <w:top w:val="nil"/>
              <w:left w:val="nil"/>
              <w:bottom w:val="single" w:color="auto" w:sz="4" w:space="0"/>
              <w:right w:val="single" w:color="auto" w:sz="4" w:space="0"/>
            </w:tcBorders>
            <w:vAlign w:val="center"/>
          </w:tcPr>
          <w:p w14:paraId="4CCD8695">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005071ED">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1148B5CD">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440" w:type="dxa"/>
            <w:tcBorders>
              <w:top w:val="nil"/>
              <w:left w:val="nil"/>
              <w:bottom w:val="single" w:color="auto" w:sz="4" w:space="0"/>
              <w:right w:val="single" w:color="auto" w:sz="4" w:space="0"/>
            </w:tcBorders>
            <w:vAlign w:val="center"/>
          </w:tcPr>
          <w:p w14:paraId="30A3864B">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100≤X＜1000</w:t>
            </w:r>
          </w:p>
        </w:tc>
        <w:tc>
          <w:tcPr>
            <w:tcW w:w="1315" w:type="dxa"/>
            <w:tcBorders>
              <w:top w:val="nil"/>
              <w:left w:val="nil"/>
              <w:bottom w:val="single" w:color="auto" w:sz="4" w:space="0"/>
              <w:right w:val="single" w:color="auto" w:sz="4" w:space="0"/>
            </w:tcBorders>
            <w:vAlign w:val="center"/>
          </w:tcPr>
          <w:p w14:paraId="6DCE3D94">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57F0B1BC">
        <w:tblPrEx>
          <w:tblCellMar>
            <w:top w:w="0" w:type="dxa"/>
            <w:left w:w="108" w:type="dxa"/>
            <w:bottom w:w="0" w:type="dxa"/>
            <w:right w:w="108" w:type="dxa"/>
          </w:tblCellMar>
        </w:tblPrEx>
        <w:trPr>
          <w:trHeight w:val="225" w:hRule="atLeast"/>
          <w:jc w:val="center"/>
        </w:trPr>
        <w:tc>
          <w:tcPr>
            <w:tcW w:w="2209" w:type="dxa"/>
            <w:vMerge w:val="continue"/>
            <w:tcBorders>
              <w:top w:val="nil"/>
              <w:left w:val="single" w:color="auto" w:sz="4" w:space="0"/>
              <w:bottom w:val="single" w:color="auto" w:sz="4" w:space="0"/>
              <w:right w:val="single" w:color="auto" w:sz="4" w:space="0"/>
            </w:tcBorders>
            <w:vAlign w:val="center"/>
          </w:tcPr>
          <w:p w14:paraId="7D187A1D">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24855E50">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913" w:type="dxa"/>
            <w:tcBorders>
              <w:top w:val="nil"/>
              <w:left w:val="nil"/>
              <w:bottom w:val="single" w:color="auto" w:sz="4" w:space="0"/>
              <w:right w:val="single" w:color="auto" w:sz="4" w:space="0"/>
            </w:tcBorders>
            <w:vAlign w:val="center"/>
          </w:tcPr>
          <w:p w14:paraId="3973AFB5">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47BF2C01">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440" w:type="dxa"/>
            <w:tcBorders>
              <w:top w:val="nil"/>
              <w:left w:val="nil"/>
              <w:bottom w:val="single" w:color="auto" w:sz="4" w:space="0"/>
              <w:right w:val="single" w:color="auto" w:sz="4" w:space="0"/>
            </w:tcBorders>
            <w:vAlign w:val="center"/>
          </w:tcPr>
          <w:p w14:paraId="5572351C">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2000≤Y＜5000</w:t>
            </w:r>
          </w:p>
        </w:tc>
        <w:tc>
          <w:tcPr>
            <w:tcW w:w="1315" w:type="dxa"/>
            <w:tcBorders>
              <w:top w:val="nil"/>
              <w:left w:val="nil"/>
              <w:bottom w:val="single" w:color="auto" w:sz="4" w:space="0"/>
              <w:right w:val="single" w:color="auto" w:sz="4" w:space="0"/>
            </w:tcBorders>
            <w:vAlign w:val="center"/>
          </w:tcPr>
          <w:p w14:paraId="147588DC">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Y＜2000</w:t>
            </w:r>
          </w:p>
        </w:tc>
      </w:tr>
      <w:tr w14:paraId="3BBDC174">
        <w:tblPrEx>
          <w:tblCellMar>
            <w:top w:w="0" w:type="dxa"/>
            <w:left w:w="108" w:type="dxa"/>
            <w:bottom w:w="0" w:type="dxa"/>
            <w:right w:w="108" w:type="dxa"/>
          </w:tblCellMar>
        </w:tblPrEx>
        <w:trPr>
          <w:trHeight w:val="225" w:hRule="atLeast"/>
          <w:jc w:val="center"/>
        </w:trPr>
        <w:tc>
          <w:tcPr>
            <w:tcW w:w="2209" w:type="dxa"/>
            <w:vMerge w:val="restart"/>
            <w:tcBorders>
              <w:top w:val="nil"/>
              <w:left w:val="single" w:color="auto" w:sz="4" w:space="0"/>
              <w:bottom w:val="single" w:color="auto" w:sz="4" w:space="0"/>
              <w:right w:val="single" w:color="auto" w:sz="4" w:space="0"/>
            </w:tcBorders>
            <w:vAlign w:val="center"/>
          </w:tcPr>
          <w:p w14:paraId="6237C703">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物业管理</w:t>
            </w:r>
          </w:p>
        </w:tc>
        <w:tc>
          <w:tcPr>
            <w:tcW w:w="1384" w:type="dxa"/>
            <w:tcBorders>
              <w:top w:val="nil"/>
              <w:left w:val="nil"/>
              <w:bottom w:val="single" w:color="auto" w:sz="4" w:space="0"/>
              <w:right w:val="single" w:color="auto" w:sz="4" w:space="0"/>
            </w:tcBorders>
            <w:vAlign w:val="center"/>
          </w:tcPr>
          <w:p w14:paraId="51BB222E">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3CB1727C">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2001FFCB">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vAlign w:val="center"/>
          </w:tcPr>
          <w:p w14:paraId="4A40E3BD">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315" w:type="dxa"/>
            <w:tcBorders>
              <w:top w:val="nil"/>
              <w:left w:val="nil"/>
              <w:bottom w:val="single" w:color="auto" w:sz="4" w:space="0"/>
              <w:right w:val="single" w:color="auto" w:sz="4" w:space="0"/>
            </w:tcBorders>
            <w:vAlign w:val="center"/>
          </w:tcPr>
          <w:p w14:paraId="462026BF">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00DEB9A2">
        <w:tblPrEx>
          <w:tblCellMar>
            <w:top w:w="0" w:type="dxa"/>
            <w:left w:w="108" w:type="dxa"/>
            <w:bottom w:w="0" w:type="dxa"/>
            <w:right w:w="108" w:type="dxa"/>
          </w:tblCellMar>
        </w:tblPrEx>
        <w:trPr>
          <w:trHeight w:val="225" w:hRule="atLeast"/>
          <w:jc w:val="center"/>
        </w:trPr>
        <w:tc>
          <w:tcPr>
            <w:tcW w:w="2209" w:type="dxa"/>
            <w:vMerge w:val="continue"/>
            <w:tcBorders>
              <w:top w:val="nil"/>
              <w:left w:val="single" w:color="auto" w:sz="4" w:space="0"/>
              <w:bottom w:val="single" w:color="auto" w:sz="4" w:space="0"/>
              <w:right w:val="single" w:color="auto" w:sz="4" w:space="0"/>
            </w:tcBorders>
            <w:vAlign w:val="center"/>
          </w:tcPr>
          <w:p w14:paraId="53A32BC7">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75FAB307">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4130792E">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794A7F7A">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440" w:type="dxa"/>
            <w:tcBorders>
              <w:top w:val="nil"/>
              <w:left w:val="nil"/>
              <w:bottom w:val="single" w:color="auto" w:sz="4" w:space="0"/>
              <w:right w:val="single" w:color="auto" w:sz="4" w:space="0"/>
            </w:tcBorders>
            <w:vAlign w:val="center"/>
          </w:tcPr>
          <w:p w14:paraId="420AA935">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1315" w:type="dxa"/>
            <w:tcBorders>
              <w:top w:val="nil"/>
              <w:left w:val="nil"/>
              <w:bottom w:val="single" w:color="auto" w:sz="4" w:space="0"/>
              <w:right w:val="single" w:color="auto" w:sz="4" w:space="0"/>
            </w:tcBorders>
            <w:vAlign w:val="center"/>
          </w:tcPr>
          <w:p w14:paraId="67199915">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25CF7D8D">
        <w:tblPrEx>
          <w:tblCellMar>
            <w:top w:w="0" w:type="dxa"/>
            <w:left w:w="108" w:type="dxa"/>
            <w:bottom w:w="0" w:type="dxa"/>
            <w:right w:w="108" w:type="dxa"/>
          </w:tblCellMar>
        </w:tblPrEx>
        <w:trPr>
          <w:trHeight w:val="225" w:hRule="atLeast"/>
          <w:jc w:val="center"/>
        </w:trPr>
        <w:tc>
          <w:tcPr>
            <w:tcW w:w="2209" w:type="dxa"/>
            <w:vMerge w:val="restart"/>
            <w:tcBorders>
              <w:top w:val="nil"/>
              <w:left w:val="single" w:color="auto" w:sz="4" w:space="0"/>
              <w:bottom w:val="single" w:color="auto" w:sz="4" w:space="0"/>
              <w:right w:val="single" w:color="auto" w:sz="4" w:space="0"/>
            </w:tcBorders>
            <w:vAlign w:val="center"/>
          </w:tcPr>
          <w:p w14:paraId="747EC2CF">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租赁和商务服务业</w:t>
            </w:r>
          </w:p>
        </w:tc>
        <w:tc>
          <w:tcPr>
            <w:tcW w:w="1384" w:type="dxa"/>
            <w:tcBorders>
              <w:top w:val="nil"/>
              <w:left w:val="nil"/>
              <w:bottom w:val="single" w:color="auto" w:sz="4" w:space="0"/>
              <w:right w:val="single" w:color="auto" w:sz="4" w:space="0"/>
            </w:tcBorders>
            <w:vAlign w:val="center"/>
          </w:tcPr>
          <w:p w14:paraId="38593D89">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471D327F">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32E17836">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5B5C2D97">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315" w:type="dxa"/>
            <w:tcBorders>
              <w:top w:val="nil"/>
              <w:left w:val="nil"/>
              <w:bottom w:val="single" w:color="auto" w:sz="4" w:space="0"/>
              <w:right w:val="single" w:color="auto" w:sz="4" w:space="0"/>
            </w:tcBorders>
            <w:vAlign w:val="center"/>
          </w:tcPr>
          <w:p w14:paraId="4199F624">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03D6E28B">
        <w:tblPrEx>
          <w:tblCellMar>
            <w:top w:w="0" w:type="dxa"/>
            <w:left w:w="108" w:type="dxa"/>
            <w:bottom w:w="0" w:type="dxa"/>
            <w:right w:w="108" w:type="dxa"/>
          </w:tblCellMar>
        </w:tblPrEx>
        <w:trPr>
          <w:trHeight w:val="225" w:hRule="atLeast"/>
          <w:jc w:val="center"/>
        </w:trPr>
        <w:tc>
          <w:tcPr>
            <w:tcW w:w="2209" w:type="dxa"/>
            <w:vMerge w:val="continue"/>
            <w:tcBorders>
              <w:top w:val="nil"/>
              <w:left w:val="single" w:color="auto" w:sz="4" w:space="0"/>
              <w:bottom w:val="single" w:color="auto" w:sz="4" w:space="0"/>
              <w:right w:val="single" w:color="auto" w:sz="4" w:space="0"/>
            </w:tcBorders>
            <w:vAlign w:val="center"/>
          </w:tcPr>
          <w:p w14:paraId="71B77D4B">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773F7C2B">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913" w:type="dxa"/>
            <w:tcBorders>
              <w:top w:val="nil"/>
              <w:left w:val="nil"/>
              <w:bottom w:val="single" w:color="auto" w:sz="4" w:space="0"/>
              <w:right w:val="single" w:color="auto" w:sz="4" w:space="0"/>
            </w:tcBorders>
            <w:vAlign w:val="center"/>
          </w:tcPr>
          <w:p w14:paraId="3455203B">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111134D1">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440" w:type="dxa"/>
            <w:tcBorders>
              <w:top w:val="nil"/>
              <w:left w:val="nil"/>
              <w:bottom w:val="single" w:color="auto" w:sz="4" w:space="0"/>
              <w:right w:val="single" w:color="auto" w:sz="4" w:space="0"/>
            </w:tcBorders>
            <w:vAlign w:val="center"/>
          </w:tcPr>
          <w:p w14:paraId="45BADEEF">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1315" w:type="dxa"/>
            <w:tcBorders>
              <w:top w:val="nil"/>
              <w:left w:val="nil"/>
              <w:bottom w:val="single" w:color="auto" w:sz="4" w:space="0"/>
              <w:right w:val="single" w:color="auto" w:sz="4" w:space="0"/>
            </w:tcBorders>
            <w:vAlign w:val="center"/>
          </w:tcPr>
          <w:p w14:paraId="4B4C746D">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3A14A11">
        <w:tblPrEx>
          <w:tblCellMar>
            <w:top w:w="0" w:type="dxa"/>
            <w:left w:w="108" w:type="dxa"/>
            <w:bottom w:w="0" w:type="dxa"/>
            <w:right w:w="108" w:type="dxa"/>
          </w:tblCellMar>
        </w:tblPrEx>
        <w:trPr>
          <w:trHeight w:val="225" w:hRule="atLeast"/>
          <w:jc w:val="center"/>
        </w:trPr>
        <w:tc>
          <w:tcPr>
            <w:tcW w:w="2209" w:type="dxa"/>
            <w:tcBorders>
              <w:top w:val="nil"/>
              <w:left w:val="single" w:color="auto" w:sz="4" w:space="0"/>
              <w:bottom w:val="single" w:color="auto" w:sz="4" w:space="0"/>
              <w:right w:val="single" w:color="auto" w:sz="4" w:space="0"/>
            </w:tcBorders>
            <w:vAlign w:val="bottom"/>
          </w:tcPr>
          <w:p w14:paraId="67704FFB">
            <w:pPr>
              <w:keepNext w:val="0"/>
              <w:keepLines w:val="0"/>
              <w:pageBreakBefore w:val="0"/>
              <w:widowControl/>
              <w:suppressLineNumbers w:val="0"/>
              <w:kinsoku/>
              <w:topLinePunct w:val="0"/>
              <w:bidi w:val="0"/>
              <w:spacing w:before="60" w:beforeAutospacing="0" w:after="60" w:afterAutospacing="0" w:line="360" w:lineRule="auto"/>
              <w:ind w:left="0" w:right="0"/>
              <w:jc w:val="center"/>
              <w:rPr>
                <w:rFonts w:hint="default"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其他未列明行业</w:t>
            </w:r>
          </w:p>
        </w:tc>
        <w:tc>
          <w:tcPr>
            <w:tcW w:w="1384" w:type="dxa"/>
            <w:tcBorders>
              <w:top w:val="nil"/>
              <w:left w:val="nil"/>
              <w:bottom w:val="single" w:color="auto" w:sz="4" w:space="0"/>
              <w:right w:val="single" w:color="auto" w:sz="4" w:space="0"/>
            </w:tcBorders>
            <w:vAlign w:val="center"/>
          </w:tcPr>
          <w:p w14:paraId="3D784D72">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39450A78">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6DB6DA8C">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757D307E">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315" w:type="dxa"/>
            <w:tcBorders>
              <w:top w:val="nil"/>
              <w:left w:val="nil"/>
              <w:bottom w:val="single" w:color="auto" w:sz="4" w:space="0"/>
              <w:right w:val="single" w:color="auto" w:sz="4" w:space="0"/>
            </w:tcBorders>
            <w:vAlign w:val="center"/>
          </w:tcPr>
          <w:p w14:paraId="1AF20C8B">
            <w:pPr>
              <w:keepNext w:val="0"/>
              <w:keepLines w:val="0"/>
              <w:pageBreakBefore w:val="0"/>
              <w:widowControl/>
              <w:suppressLineNumbers w:val="0"/>
              <w:kinsoku/>
              <w:topLinePunct w:val="0"/>
              <w:bidi w:val="0"/>
              <w:spacing w:before="60" w:beforeAutospacing="0" w:after="60" w:afterAutospacing="0" w:line="360" w:lineRule="auto"/>
              <w:ind w:left="0" w:right="0"/>
              <w:jc w:val="left"/>
              <w:rPr>
                <w:rFonts w:hint="default"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6989C00B">
      <w:pPr>
        <w:pageBreakBefore w:val="0"/>
        <w:kinsoku/>
        <w:topLinePunct w:val="0"/>
        <w:bidi w:val="0"/>
        <w:spacing w:before="60" w:after="60" w:line="360" w:lineRule="auto"/>
        <w:ind w:firstLine="525" w:firstLineChars="250"/>
        <w:rPr>
          <w:rFonts w:ascii="宋体" w:hAnsi="宋体"/>
          <w:color w:val="auto"/>
          <w:szCs w:val="21"/>
          <w:highlight w:val="none"/>
        </w:rPr>
      </w:pPr>
      <w:r>
        <w:rPr>
          <w:rFonts w:hint="eastAsia" w:ascii="宋体" w:hAnsi="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5A9626D3">
      <w:pPr>
        <w:pStyle w:val="4"/>
        <w:pageBreakBefore w:val="0"/>
        <w:kinsoku/>
        <w:topLinePunct w:val="0"/>
        <w:bidi w:val="0"/>
        <w:spacing w:before="60" w:after="60" w:line="360" w:lineRule="auto"/>
        <w:jc w:val="center"/>
        <w:rPr>
          <w:color w:val="auto"/>
          <w:highlight w:val="none"/>
        </w:rPr>
      </w:pPr>
      <w:r>
        <w:rPr>
          <w:rFonts w:ascii="宋体" w:hAnsi="宋体" w:cs="宋体"/>
          <w:color w:val="auto"/>
          <w:sz w:val="20"/>
          <w:szCs w:val="20"/>
          <w:highlight w:val="none"/>
        </w:rPr>
        <w:br w:type="page"/>
      </w:r>
      <w:bookmarkStart w:id="76" w:name="_Toc2716"/>
      <w:r>
        <w:rPr>
          <w:rFonts w:hint="eastAsia"/>
          <w:color w:val="auto"/>
          <w:highlight w:val="none"/>
        </w:rPr>
        <w:t>第四章 评审程序、评审方法和评审标准</w:t>
      </w:r>
      <w:bookmarkEnd w:id="76"/>
    </w:p>
    <w:p w14:paraId="5F4697AD">
      <w:pPr>
        <w:pageBreakBefore w:val="0"/>
        <w:kinsoku/>
        <w:topLinePunct w:val="0"/>
        <w:bidi w:val="0"/>
        <w:spacing w:before="60" w:after="60" w:line="360" w:lineRule="auto"/>
        <w:jc w:val="center"/>
        <w:rPr>
          <w:rFonts w:ascii="宋体" w:hAnsi="宋体"/>
          <w:b/>
          <w:color w:val="auto"/>
          <w:sz w:val="32"/>
          <w:szCs w:val="32"/>
          <w:highlight w:val="none"/>
        </w:rPr>
      </w:pPr>
      <w:r>
        <w:rPr>
          <w:rFonts w:hint="eastAsia" w:ascii="宋体" w:hAnsi="宋体"/>
          <w:b/>
          <w:color w:val="auto"/>
          <w:sz w:val="32"/>
          <w:szCs w:val="32"/>
          <w:highlight w:val="none"/>
        </w:rPr>
        <w:t>一、评审程序和评审方法</w:t>
      </w:r>
    </w:p>
    <w:p w14:paraId="23F776A2">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1</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资格审查</w:t>
      </w:r>
    </w:p>
    <w:p w14:paraId="01687426">
      <w:pPr>
        <w:pageBreakBefore w:val="0"/>
        <w:kinsoku/>
        <w:topLinePunct w:val="0"/>
        <w:bidi w:val="0"/>
        <w:snapToGrid w:val="0"/>
        <w:spacing w:before="60" w:after="60" w:line="360" w:lineRule="auto"/>
        <w:ind w:firstLine="420" w:firstLineChars="200"/>
        <w:rPr>
          <w:rFonts w:ascii="宋体" w:hAnsi="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1</w:t>
      </w:r>
      <w:r>
        <w:rPr>
          <w:rFonts w:hint="eastAsia" w:ascii="宋体" w:hAnsi="宋体"/>
          <w:color w:val="auto"/>
          <w:szCs w:val="21"/>
          <w:highlight w:val="none"/>
        </w:rPr>
        <w:t>响应文件开启后，磋商小组依法对供应商的资格证明文件进行审查。</w:t>
      </w:r>
    </w:p>
    <w:p w14:paraId="27E5FC02">
      <w:pPr>
        <w:pageBreakBefore w:val="0"/>
        <w:kinsoku/>
        <w:topLinePunct w:val="0"/>
        <w:bidi w:val="0"/>
        <w:snapToGrid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注：</w:t>
      </w:r>
      <w:r>
        <w:rPr>
          <w:rFonts w:hint="eastAsia"/>
          <w:color w:val="auto"/>
          <w:highlight w:val="none"/>
        </w:rPr>
        <w:t>磋商小组</w:t>
      </w:r>
      <w:r>
        <w:rPr>
          <w:rFonts w:hint="eastAsia" w:ascii="宋体" w:hAnsi="宋体" w:cs="宋体"/>
          <w:color w:val="auto"/>
          <w:szCs w:val="21"/>
          <w:highlight w:val="none"/>
        </w:rPr>
        <w:t>在资格审查结束前，对供应商进行信用查询。</w:t>
      </w:r>
    </w:p>
    <w:p w14:paraId="2CF9BD13">
      <w:pPr>
        <w:pageBreakBefore w:val="0"/>
        <w:kinsoku/>
        <w:topLinePunct w:val="0"/>
        <w:bidi w:val="0"/>
        <w:snapToGrid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（1）查询渠道：“信用中国”网站(www</w:t>
      </w:r>
      <w:r>
        <w:rPr>
          <w:rFonts w:hint="eastAsia" w:ascii="宋体" w:hAnsi="宋体" w:cs="宋体"/>
          <w:color w:val="auto"/>
          <w:szCs w:val="21"/>
          <w:highlight w:val="none"/>
          <w:lang w:eastAsia="zh-CN"/>
        </w:rPr>
        <w:t>.</w:t>
      </w:r>
      <w:r>
        <w:rPr>
          <w:rFonts w:hint="eastAsia" w:ascii="宋体" w:hAnsi="宋体" w:cs="宋体"/>
          <w:color w:val="auto"/>
          <w:szCs w:val="21"/>
          <w:highlight w:val="none"/>
        </w:rPr>
        <w:t>creditchina</w:t>
      </w:r>
      <w:r>
        <w:rPr>
          <w:rFonts w:hint="eastAsia" w:ascii="宋体" w:hAnsi="宋体" w:cs="宋体"/>
          <w:color w:val="auto"/>
          <w:szCs w:val="21"/>
          <w:highlight w:val="none"/>
          <w:lang w:eastAsia="zh-CN"/>
        </w:rPr>
        <w:t>.</w:t>
      </w:r>
      <w:r>
        <w:rPr>
          <w:rFonts w:hint="eastAsia" w:ascii="宋体" w:hAnsi="宋体" w:cs="宋体"/>
          <w:color w:val="auto"/>
          <w:szCs w:val="21"/>
          <w:highlight w:val="none"/>
        </w:rPr>
        <w:t>gov</w:t>
      </w:r>
      <w:r>
        <w:rPr>
          <w:rFonts w:hint="eastAsia" w:ascii="宋体" w:hAnsi="宋体" w:cs="宋体"/>
          <w:color w:val="auto"/>
          <w:szCs w:val="21"/>
          <w:highlight w:val="none"/>
          <w:lang w:eastAsia="zh-CN"/>
        </w:rPr>
        <w:t>.</w:t>
      </w:r>
      <w:r>
        <w:rPr>
          <w:rFonts w:hint="eastAsia" w:ascii="宋体" w:hAnsi="宋体" w:cs="宋体"/>
          <w:color w:val="auto"/>
          <w:szCs w:val="21"/>
          <w:highlight w:val="none"/>
        </w:rPr>
        <w:t>cn)、中国政府采购网(www</w:t>
      </w:r>
      <w:r>
        <w:rPr>
          <w:rFonts w:hint="eastAsia" w:ascii="宋体" w:hAnsi="宋体" w:cs="宋体"/>
          <w:color w:val="auto"/>
          <w:szCs w:val="21"/>
          <w:highlight w:val="none"/>
          <w:lang w:eastAsia="zh-CN"/>
        </w:rPr>
        <w:t>.</w:t>
      </w:r>
      <w:r>
        <w:rPr>
          <w:rFonts w:hint="eastAsia" w:ascii="宋体" w:hAnsi="宋体" w:cs="宋体"/>
          <w:color w:val="auto"/>
          <w:szCs w:val="21"/>
          <w:highlight w:val="none"/>
        </w:rPr>
        <w:t>ccgp</w:t>
      </w:r>
      <w:r>
        <w:rPr>
          <w:rFonts w:hint="eastAsia" w:ascii="宋体" w:hAnsi="宋体" w:cs="宋体"/>
          <w:color w:val="auto"/>
          <w:szCs w:val="21"/>
          <w:highlight w:val="none"/>
          <w:lang w:eastAsia="zh-CN"/>
        </w:rPr>
        <w:t>.</w:t>
      </w:r>
      <w:r>
        <w:rPr>
          <w:rFonts w:hint="eastAsia" w:ascii="宋体" w:hAnsi="宋体" w:cs="宋体"/>
          <w:color w:val="auto"/>
          <w:szCs w:val="21"/>
          <w:highlight w:val="none"/>
        </w:rPr>
        <w:t>gov</w:t>
      </w:r>
      <w:r>
        <w:rPr>
          <w:rFonts w:hint="eastAsia" w:ascii="宋体" w:hAnsi="宋体" w:cs="宋体"/>
          <w:color w:val="auto"/>
          <w:szCs w:val="21"/>
          <w:highlight w:val="none"/>
          <w:lang w:eastAsia="zh-CN"/>
        </w:rPr>
        <w:t>.</w:t>
      </w:r>
      <w:r>
        <w:rPr>
          <w:rFonts w:hint="eastAsia" w:ascii="宋体" w:hAnsi="宋体" w:cs="宋体"/>
          <w:color w:val="auto"/>
          <w:szCs w:val="21"/>
          <w:highlight w:val="none"/>
        </w:rPr>
        <w:t>cn)链接入口。</w:t>
      </w:r>
    </w:p>
    <w:p w14:paraId="5635754D">
      <w:pPr>
        <w:pageBreakBefore w:val="0"/>
        <w:kinsoku/>
        <w:topLinePunct w:val="0"/>
        <w:bidi w:val="0"/>
        <w:snapToGrid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5B4F8FAF">
      <w:pPr>
        <w:pageBreakBefore w:val="0"/>
        <w:kinsoku/>
        <w:topLinePunct w:val="0"/>
        <w:bidi w:val="0"/>
        <w:snapToGrid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（3）查询记录和证据留存方式：在查询网站中直接查询，截图另存为电子文档作为评审资料保存。</w:t>
      </w:r>
    </w:p>
    <w:p w14:paraId="69792A31">
      <w:pPr>
        <w:pageBreakBefore w:val="0"/>
        <w:kinsoku/>
        <w:topLinePunct w:val="0"/>
        <w:bidi w:val="0"/>
        <w:snapToGrid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（4）信用信息使用规则：对在“信用中国”网站（www</w:t>
      </w:r>
      <w:r>
        <w:rPr>
          <w:rFonts w:hint="eastAsia" w:ascii="宋体" w:hAnsi="宋体" w:cs="宋体"/>
          <w:color w:val="auto"/>
          <w:szCs w:val="21"/>
          <w:highlight w:val="none"/>
          <w:lang w:eastAsia="zh-CN"/>
        </w:rPr>
        <w:t>.</w:t>
      </w:r>
      <w:r>
        <w:rPr>
          <w:rFonts w:hint="eastAsia" w:ascii="宋体" w:hAnsi="宋体" w:cs="宋体"/>
          <w:color w:val="auto"/>
          <w:szCs w:val="21"/>
          <w:highlight w:val="none"/>
        </w:rPr>
        <w:t>creditchina</w:t>
      </w:r>
      <w:r>
        <w:rPr>
          <w:rFonts w:hint="eastAsia" w:ascii="宋体" w:hAnsi="宋体" w:cs="宋体"/>
          <w:color w:val="auto"/>
          <w:szCs w:val="21"/>
          <w:highlight w:val="none"/>
          <w:lang w:eastAsia="zh-CN"/>
        </w:rPr>
        <w:t>.</w:t>
      </w:r>
      <w:r>
        <w:rPr>
          <w:rFonts w:hint="eastAsia" w:ascii="宋体" w:hAnsi="宋体" w:cs="宋体"/>
          <w:color w:val="auto"/>
          <w:szCs w:val="21"/>
          <w:highlight w:val="none"/>
        </w:rPr>
        <w:t>gov</w:t>
      </w:r>
      <w:r>
        <w:rPr>
          <w:rFonts w:hint="eastAsia" w:ascii="宋体" w:hAnsi="宋体" w:cs="宋体"/>
          <w:color w:val="auto"/>
          <w:szCs w:val="21"/>
          <w:highlight w:val="none"/>
          <w:lang w:eastAsia="zh-CN"/>
        </w:rPr>
        <w:t>.</w:t>
      </w:r>
      <w:r>
        <w:rPr>
          <w:rFonts w:hint="eastAsia" w:ascii="宋体" w:hAnsi="宋体" w:cs="宋体"/>
          <w:color w:val="auto"/>
          <w:szCs w:val="21"/>
          <w:highlight w:val="none"/>
        </w:rPr>
        <w:t>cn） 、中国政府采购网（www</w:t>
      </w:r>
      <w:r>
        <w:rPr>
          <w:rFonts w:hint="eastAsia" w:ascii="宋体" w:hAnsi="宋体" w:cs="宋体"/>
          <w:color w:val="auto"/>
          <w:szCs w:val="21"/>
          <w:highlight w:val="none"/>
          <w:lang w:eastAsia="zh-CN"/>
        </w:rPr>
        <w:t>.</w:t>
      </w:r>
      <w:r>
        <w:rPr>
          <w:rFonts w:hint="eastAsia" w:ascii="宋体" w:hAnsi="宋体" w:cs="宋体"/>
          <w:color w:val="auto"/>
          <w:szCs w:val="21"/>
          <w:highlight w:val="none"/>
        </w:rPr>
        <w:t>ccgp</w:t>
      </w:r>
      <w:r>
        <w:rPr>
          <w:rFonts w:hint="eastAsia" w:ascii="宋体" w:hAnsi="宋体" w:cs="宋体"/>
          <w:color w:val="auto"/>
          <w:szCs w:val="21"/>
          <w:highlight w:val="none"/>
          <w:lang w:eastAsia="zh-CN"/>
        </w:rPr>
        <w:t>.</w:t>
      </w:r>
      <w:r>
        <w:rPr>
          <w:rFonts w:hint="eastAsia" w:ascii="宋体" w:hAnsi="宋体" w:cs="宋体"/>
          <w:color w:val="auto"/>
          <w:szCs w:val="21"/>
          <w:highlight w:val="none"/>
        </w:rPr>
        <w:t>gov</w:t>
      </w:r>
      <w:r>
        <w:rPr>
          <w:rFonts w:hint="eastAsia" w:ascii="宋体" w:hAnsi="宋体" w:cs="宋体"/>
          <w:color w:val="auto"/>
          <w:szCs w:val="21"/>
          <w:highlight w:val="none"/>
          <w:lang w:eastAsia="zh-CN"/>
        </w:rPr>
        <w:t>.</w:t>
      </w:r>
      <w:r>
        <w:rPr>
          <w:rFonts w:hint="eastAsia" w:ascii="宋体" w:hAnsi="宋体" w:cs="宋体"/>
          <w:color w:val="auto"/>
          <w:szCs w:val="21"/>
          <w:highlight w:val="none"/>
        </w:rPr>
        <w:t>cn）被列入失信被执行人、重大税收违法失信主体、政府采购严重违法失信行为记录名单及其他不符合《中华人民共和国政府采购法》第二十二条规定条件的供应商，资格审查不通过，不得参与政府采购活动。</w:t>
      </w:r>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Pr>
          <w:rFonts w:hint="eastAsia" w:ascii="宋体" w:hAnsi="宋体" w:cs="宋体"/>
          <w:color w:val="auto"/>
          <w:szCs w:val="21"/>
          <w:highlight w:val="none"/>
        </w:rPr>
        <w:t>。</w:t>
      </w:r>
    </w:p>
    <w:p w14:paraId="6317F2E2">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2资格审查标准为本磋商文件中载明对供应商资格要求的条件。资格审查采用合格制，凡符合磋商文件规定的供应商资格要求的响应文件均通过资格审查。</w:t>
      </w:r>
    </w:p>
    <w:p w14:paraId="75C7D764">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3供应商有下列情形之一的，资格审查不通过，其响应文件按无效响应处理：</w:t>
      </w:r>
    </w:p>
    <w:p w14:paraId="6AA4750E">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）不具备磋商文件中规定的资格要求的；</w:t>
      </w:r>
    </w:p>
    <w:p w14:paraId="5FB44C6D">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（2）未按磋商文件规定的方式获取本磋商文件的供应商；</w:t>
      </w:r>
    </w:p>
    <w:p w14:paraId="73833415">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）响应文件的资格证明文件缺少任一项“供应商须知前附表”资格证明文件规定的“必须提供”的文件资料的；</w:t>
      </w:r>
    </w:p>
    <w:p w14:paraId="334FF782">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）响应文件中的资格证明文件出现任一项不符合“供应商须知前附表”资格证明文件规定的“必须提供”的文件资料要求或者无效的；</w:t>
      </w:r>
    </w:p>
    <w:p w14:paraId="6F6278B3">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）同一合同项下的不同供应商，单位负责人为同一人或者存在直接控股、管理关系的；为本项目提供过整体设计、规范编制或者项目管理、监理、检测等服务的供应商，再参加该采购项目的其他采购活动的。</w:t>
      </w:r>
    </w:p>
    <w:p w14:paraId="38EB5556">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4通过资格审查的合格供应商不足3家的，不得进入符合性审查环节，</w:t>
      </w:r>
      <w:r>
        <w:rPr>
          <w:rFonts w:hint="eastAsia" w:ascii="宋体" w:hAnsi="宋体"/>
          <w:color w:val="auto"/>
          <w:szCs w:val="21"/>
          <w:highlight w:val="none"/>
        </w:rPr>
        <w:t>采购人或者采购代理机构应当重新开展采购活动。</w:t>
      </w:r>
    </w:p>
    <w:p w14:paraId="1B52D537">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符合性审查</w:t>
      </w:r>
    </w:p>
    <w:p w14:paraId="1F845436">
      <w:pPr>
        <w:pageBreakBefore w:val="0"/>
        <w:kinsoku/>
        <w:topLinePunct w:val="0"/>
        <w:bidi w:val="0"/>
        <w:spacing w:before="60" w:after="60" w:line="360" w:lineRule="auto"/>
        <w:ind w:firstLine="420" w:firstLineChars="200"/>
        <w:rPr>
          <w:rFonts w:ascii="宋体" w:hAnsi="宋体" w:cs="宋体"/>
          <w:color w:val="auto"/>
          <w:szCs w:val="21"/>
          <w:highlight w:val="none"/>
        </w:rPr>
      </w:pPr>
      <w:bookmarkStart w:id="77" w:name="_Hlk42528882"/>
      <w:r>
        <w:rPr>
          <w:rFonts w:ascii="宋体" w:hAnsi="宋体" w:cs="宋体"/>
          <w:color w:val="auto"/>
          <w:szCs w:val="21"/>
          <w:highlight w:val="none"/>
        </w:rPr>
        <w:t>2</w:t>
      </w:r>
      <w:r>
        <w:rPr>
          <w:rFonts w:hint="eastAsia" w:ascii="宋体" w:hAnsi="宋体" w:cs="宋体"/>
          <w:color w:val="auto"/>
          <w:szCs w:val="21"/>
          <w:highlight w:val="none"/>
          <w:lang w:eastAsia="zh-CN"/>
        </w:rPr>
        <w:t>.</w:t>
      </w:r>
      <w:r>
        <w:rPr>
          <w:rFonts w:ascii="宋体" w:hAnsi="宋体" w:cs="宋体"/>
          <w:color w:val="auto"/>
          <w:szCs w:val="21"/>
          <w:highlight w:val="none"/>
        </w:rPr>
        <w:t>1</w:t>
      </w:r>
      <w:r>
        <w:rPr>
          <w:rFonts w:hint="eastAsia" w:ascii="宋体" w:hAnsi="宋体" w:cs="宋体"/>
          <w:color w:val="auto"/>
          <w:szCs w:val="21"/>
          <w:highlight w:val="none"/>
        </w:rPr>
        <w:t>由磋商小组对</w:t>
      </w:r>
      <w:r>
        <w:rPr>
          <w:rFonts w:hint="eastAsia" w:ascii="宋体" w:hAnsi="宋体"/>
          <w:color w:val="auto"/>
          <w:szCs w:val="21"/>
          <w:highlight w:val="none"/>
        </w:rPr>
        <w:t>通过资格审查的合格供应商</w:t>
      </w:r>
      <w:r>
        <w:rPr>
          <w:rFonts w:hint="eastAsia" w:ascii="宋体" w:hAnsi="宋体" w:cs="宋体"/>
          <w:color w:val="auto"/>
          <w:szCs w:val="21"/>
          <w:highlight w:val="none"/>
        </w:rPr>
        <w:t>的响应文件的竞标报价、商务、技术等实质性要求进行符合性审查，以确定其是否满足磋商文件的实质性要求。</w:t>
      </w:r>
    </w:p>
    <w:bookmarkEnd w:id="77"/>
    <w:p w14:paraId="340509F7">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lang w:eastAsia="zh-CN"/>
        </w:rPr>
        <w:t>.</w:t>
      </w:r>
      <w:r>
        <w:rPr>
          <w:rFonts w:ascii="宋体" w:hAnsi="宋体" w:cs="宋体"/>
          <w:color w:val="auto"/>
          <w:szCs w:val="21"/>
          <w:highlight w:val="none"/>
        </w:rPr>
        <w:t>2</w:t>
      </w:r>
      <w:r>
        <w:rPr>
          <w:rFonts w:hint="eastAsia" w:ascii="宋体" w:hAnsi="宋体" w:cs="宋体"/>
          <w:color w:val="auto"/>
          <w:szCs w:val="21"/>
          <w:highlight w:val="none"/>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35351EE">
      <w:pPr>
        <w:pageBreakBefore w:val="0"/>
        <w:kinsoku/>
        <w:topLinePunct w:val="0"/>
        <w:bidi w:val="0"/>
        <w:spacing w:before="60" w:after="60" w:line="360" w:lineRule="auto"/>
        <w:ind w:firstLine="420" w:firstLineChars="200"/>
        <w:rPr>
          <w:rFonts w:ascii="宋体" w:hAnsi="宋体" w:cs="宋体"/>
          <w:color w:val="auto"/>
          <w:spacing w:val="-6"/>
          <w:szCs w:val="21"/>
          <w:highlight w:val="none"/>
        </w:rPr>
      </w:pPr>
      <w:r>
        <w:rPr>
          <w:rFonts w:ascii="宋体" w:hAnsi="宋体" w:cs="宋体"/>
          <w:color w:val="auto"/>
          <w:szCs w:val="21"/>
          <w:highlight w:val="none"/>
        </w:rPr>
        <w:t>2</w:t>
      </w:r>
      <w:r>
        <w:rPr>
          <w:rFonts w:hint="eastAsia" w:ascii="宋体" w:hAnsi="宋体" w:cs="宋体"/>
          <w:color w:val="auto"/>
          <w:szCs w:val="21"/>
          <w:highlight w:val="none"/>
          <w:lang w:eastAsia="zh-CN"/>
        </w:rPr>
        <w:t>.</w:t>
      </w:r>
      <w:r>
        <w:rPr>
          <w:rFonts w:ascii="宋体" w:hAnsi="宋体" w:cs="宋体"/>
          <w:color w:val="auto"/>
          <w:szCs w:val="21"/>
          <w:highlight w:val="none"/>
        </w:rPr>
        <w:t>3</w:t>
      </w:r>
      <w:r>
        <w:rPr>
          <w:rFonts w:hint="eastAsia" w:ascii="宋体" w:hAnsi="宋体" w:cs="宋体"/>
          <w:color w:val="auto"/>
          <w:szCs w:val="21"/>
          <w:highlight w:val="none"/>
        </w:rPr>
        <w:t>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hAnsi="宋体"/>
          <w:color w:val="auto"/>
          <w:highlight w:val="none"/>
        </w:rPr>
        <w:t>签章</w:t>
      </w:r>
      <w:r>
        <w:rPr>
          <w:rFonts w:hint="eastAsia" w:ascii="宋体" w:hAnsi="宋体" w:cs="宋体"/>
          <w:color w:val="auto"/>
          <w:spacing w:val="-6"/>
          <w:szCs w:val="21"/>
          <w:highlight w:val="none"/>
        </w:rPr>
        <w:t>。</w:t>
      </w:r>
    </w:p>
    <w:p w14:paraId="42090565">
      <w:pPr>
        <w:pageBreakBefore w:val="0"/>
        <w:kinsoku/>
        <w:topLinePunct w:val="0"/>
        <w:bidi w:val="0"/>
        <w:spacing w:before="60" w:after="60" w:line="360" w:lineRule="auto"/>
        <w:ind w:firstLine="420" w:firstLineChars="200"/>
        <w:rPr>
          <w:rFonts w:ascii="宋体" w:hAnsi="宋体" w:cs="宋体"/>
          <w:color w:val="auto"/>
          <w:spacing w:val="-6"/>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0BB2B6E5">
      <w:pPr>
        <w:pageBreakBefore w:val="0"/>
        <w:kinsoku/>
        <w:topLinePunct w:val="0"/>
        <w:bidi w:val="0"/>
        <w:spacing w:before="60" w:after="60" w:line="360" w:lineRule="auto"/>
        <w:ind w:firstLine="396" w:firstLineChars="200"/>
        <w:rPr>
          <w:rFonts w:ascii="宋体" w:hAnsi="宋体" w:cs="宋体"/>
          <w:color w:val="auto"/>
          <w:szCs w:val="21"/>
          <w:highlight w:val="none"/>
        </w:rPr>
      </w:pPr>
      <w:r>
        <w:rPr>
          <w:rFonts w:ascii="宋体" w:hAnsi="宋体" w:cs="宋体"/>
          <w:color w:val="auto"/>
          <w:spacing w:val="-6"/>
          <w:szCs w:val="21"/>
          <w:highlight w:val="none"/>
        </w:rPr>
        <w:t>2</w:t>
      </w:r>
      <w:r>
        <w:rPr>
          <w:rFonts w:hint="eastAsia" w:ascii="宋体" w:hAnsi="宋体" w:cs="宋体"/>
          <w:color w:val="auto"/>
          <w:spacing w:val="-6"/>
          <w:szCs w:val="21"/>
          <w:highlight w:val="none"/>
          <w:lang w:eastAsia="zh-CN"/>
        </w:rPr>
        <w:t>.</w:t>
      </w:r>
      <w:r>
        <w:rPr>
          <w:rFonts w:ascii="宋体" w:hAnsi="宋体" w:cs="宋体"/>
          <w:color w:val="auto"/>
          <w:spacing w:val="-6"/>
          <w:szCs w:val="21"/>
          <w:highlight w:val="none"/>
        </w:rPr>
        <w:t>4</w:t>
      </w:r>
      <w:r>
        <w:rPr>
          <w:rFonts w:hint="eastAsia" w:ascii="宋体" w:hAnsi="宋体" w:cs="宋体"/>
          <w:color w:val="auto"/>
          <w:szCs w:val="21"/>
          <w:highlight w:val="none"/>
        </w:rPr>
        <w:t xml:space="preserve">首次响应文件报价出现前后不一致的，按照下列规定修正： </w:t>
      </w:r>
    </w:p>
    <w:p w14:paraId="48D53182">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3DAA9D34">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6D1D1C31">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5CB7C40D">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5731BF34">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58C5AC8E">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lang w:eastAsia="zh-CN"/>
        </w:rPr>
        <w:t>.</w:t>
      </w:r>
      <w:r>
        <w:rPr>
          <w:rFonts w:ascii="宋体" w:hAnsi="宋体" w:cs="宋体"/>
          <w:color w:val="auto"/>
          <w:szCs w:val="21"/>
          <w:highlight w:val="none"/>
        </w:rPr>
        <w:t>5</w:t>
      </w:r>
      <w:r>
        <w:rPr>
          <w:rFonts w:hint="eastAsia" w:ascii="宋体" w:hAnsi="宋体" w:cs="宋体"/>
          <w:color w:val="auto"/>
          <w:szCs w:val="21"/>
          <w:highlight w:val="none"/>
        </w:rPr>
        <w:t>商务技术报价评审</w:t>
      </w:r>
    </w:p>
    <w:p w14:paraId="01EAD7A8">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14:paraId="448B11C9">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（1）商务技术评审</w:t>
      </w:r>
    </w:p>
    <w:p w14:paraId="66BFD5AC">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1）响应文件未按磋商文件要求签署、盖章；</w:t>
      </w:r>
    </w:p>
    <w:p w14:paraId="731E0D08">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2）委托代理人未能出具有效身份证或者出具的身份证与授权委托书中的信息不符的； </w:t>
      </w:r>
    </w:p>
    <w:p w14:paraId="52ACAB9E">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3）提交的磋商保证金无效的或者未按照磋商文件的规定提交磋商保证金；</w:t>
      </w:r>
    </w:p>
    <w:p w14:paraId="5905C1FC">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1C63DBA3">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5）商务要求允许负偏离的条款数超过“供应商须知前附表”规定项数的；</w:t>
      </w:r>
    </w:p>
    <w:p w14:paraId="625FD6CA">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6）未对竞标有效期作出响应或者响应文件承诺的竞标有效期不满足磋商文件要求；</w:t>
      </w:r>
    </w:p>
    <w:p w14:paraId="4A5EC5F0">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7）响应文件的实质性内容未使用中文表述、使用计量单位不符合磋商文件要求；</w:t>
      </w:r>
    </w:p>
    <w:p w14:paraId="476966B7">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8）响应文件中的文件资料因填写不齐全或者内容虚假或者出现其他情形而导致被磋商小组认定无效；</w:t>
      </w:r>
    </w:p>
    <w:p w14:paraId="6001ECEE">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9）响应文件含有采购人不能接受的附加条件；</w:t>
      </w:r>
    </w:p>
    <w:p w14:paraId="2FC69204">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10）属于“供应商须知正文”第7</w:t>
      </w:r>
      <w:r>
        <w:rPr>
          <w:rFonts w:hint="eastAsia" w:ascii="宋体" w:hAnsi="宋体" w:cs="宋体"/>
          <w:color w:val="auto"/>
          <w:szCs w:val="21"/>
          <w:highlight w:val="none"/>
          <w:lang w:eastAsia="zh-CN"/>
        </w:rPr>
        <w:t>.</w:t>
      </w:r>
      <w:r>
        <w:rPr>
          <w:rFonts w:ascii="宋体" w:hAnsi="宋体" w:cs="宋体"/>
          <w:color w:val="auto"/>
          <w:szCs w:val="21"/>
          <w:highlight w:val="none"/>
        </w:rPr>
        <w:t>5</w:t>
      </w:r>
      <w:r>
        <w:rPr>
          <w:rFonts w:hint="eastAsia" w:ascii="宋体" w:hAnsi="宋体" w:cs="宋体"/>
          <w:color w:val="auto"/>
          <w:szCs w:val="21"/>
          <w:highlight w:val="none"/>
        </w:rPr>
        <w:t>条情形；</w:t>
      </w:r>
    </w:p>
    <w:p w14:paraId="6466FE29">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1）技术要求允许负偏离的条款数超过“供应商须知前附表”规定项数；</w:t>
      </w:r>
    </w:p>
    <w:p w14:paraId="5049DDC3">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2）虚假竞标，或者出现其他情形而导致被磋商小组认定无效；</w:t>
      </w:r>
    </w:p>
    <w:p w14:paraId="17B19CBC">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3）</w:t>
      </w:r>
      <w:bookmarkStart w:id="78" w:name="_Hlk71704147"/>
      <w:r>
        <w:rPr>
          <w:rFonts w:hint="eastAsia" w:ascii="宋体" w:hAnsi="宋体" w:cs="宋体"/>
          <w:color w:val="auto"/>
          <w:szCs w:val="21"/>
          <w:highlight w:val="none"/>
        </w:rPr>
        <w:t>磋商文件未载明允许提供备选（替代）竞标方案或明确不允许提供备选（替代）竞标方案时，供应商提供了备选（替代）竞标方案的；</w:t>
      </w:r>
      <w:bookmarkEnd w:id="78"/>
    </w:p>
    <w:p w14:paraId="413FF27E">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4）响应文件标注的项目名称或者项目编号与磋商文件标注的项目名称或者项目编号不一致的；</w:t>
      </w:r>
    </w:p>
    <w:p w14:paraId="17395B02">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w:t>
      </w:r>
      <w:r>
        <w:rPr>
          <w:rFonts w:hint="eastAsia" w:ascii="宋体" w:hAnsi="宋体"/>
          <w:b/>
          <w:color w:val="auto"/>
          <w:szCs w:val="21"/>
          <w:highlight w:val="none"/>
        </w:rPr>
        <w:t>竞争性磋商文件明确不允许分包，响应文件拟分包的；</w:t>
      </w:r>
    </w:p>
    <w:p w14:paraId="7F70E07F">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6）未响应磋商文件实质性要求；</w:t>
      </w:r>
    </w:p>
    <w:p w14:paraId="1DE0566E">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17）法律、法规和磋商文件规定的其他无效情形。</w:t>
      </w:r>
    </w:p>
    <w:p w14:paraId="2ECB3FFC">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）报价评审</w:t>
      </w:r>
    </w:p>
    <w:p w14:paraId="3ADC9F5E">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1）响应文件未提供“供应商须知前附表” 报价文件中规定的“竞标报价表”；</w:t>
      </w:r>
    </w:p>
    <w:p w14:paraId="3F46D1A8">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2）未采用人民币报价或者未按照磋商文件标明的币种报价；</w:t>
      </w:r>
    </w:p>
    <w:p w14:paraId="2C83A776">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5A317A89">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4）竞标报价（包含首次报价、最后报价）超过所竞标分标规定的采购预算金额或者最高限价的（如本项目公布了最高限价）；</w:t>
      </w:r>
      <w:bookmarkStart w:id="79" w:name="_Hlk42596405"/>
      <w:r>
        <w:rPr>
          <w:rFonts w:hint="eastAsia" w:ascii="宋体" w:hAnsi="宋体" w:cs="宋体"/>
          <w:color w:val="auto"/>
          <w:szCs w:val="21"/>
          <w:highlight w:val="none"/>
        </w:rPr>
        <w:t>竞标报价（包含首次报价、最后报价）</w:t>
      </w:r>
      <w:bookmarkEnd w:id="79"/>
      <w:bookmarkStart w:id="80" w:name="_Hlk42596276"/>
      <w:r>
        <w:rPr>
          <w:rFonts w:hint="eastAsia" w:ascii="宋体" w:hAnsi="宋体" w:cs="宋体"/>
          <w:color w:val="auto"/>
          <w:szCs w:val="21"/>
          <w:highlight w:val="none"/>
        </w:rPr>
        <w:t>超过磋商文件分项采购预算金额或者最高限价的</w:t>
      </w:r>
      <w:bookmarkEnd w:id="80"/>
      <w:r>
        <w:rPr>
          <w:rFonts w:hint="eastAsia" w:ascii="宋体" w:hAnsi="宋体" w:cs="宋体"/>
          <w:color w:val="auto"/>
          <w:szCs w:val="21"/>
          <w:highlight w:val="none"/>
        </w:rPr>
        <w:t>（如本项目公布了最高限价）；</w:t>
      </w:r>
    </w:p>
    <w:p w14:paraId="3EC0F9D0">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公布了最高限价）。</w:t>
      </w:r>
    </w:p>
    <w:p w14:paraId="1716837C">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olor w:val="auto"/>
          <w:szCs w:val="21"/>
          <w:highlight w:val="none"/>
        </w:rPr>
        <w:t>响应文件响应的标的数量及单位与竞争性磋商采购文件要求实质性不一致的。</w:t>
      </w:r>
    </w:p>
    <w:p w14:paraId="202187C6">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lang w:eastAsia="zh-CN"/>
        </w:rPr>
        <w:t>.</w:t>
      </w:r>
      <w:r>
        <w:rPr>
          <w:rFonts w:ascii="宋体" w:hAnsi="宋体" w:cs="宋体"/>
          <w:color w:val="auto"/>
          <w:szCs w:val="21"/>
          <w:highlight w:val="none"/>
        </w:rPr>
        <w:t>6</w:t>
      </w:r>
      <w:r>
        <w:rPr>
          <w:rFonts w:hint="eastAsia" w:ascii="宋体" w:hAnsi="宋体" w:cs="宋体"/>
          <w:color w:val="auto"/>
          <w:szCs w:val="21"/>
          <w:highlight w:val="none"/>
        </w:rPr>
        <w:t>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491A64E1">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lang w:eastAsia="zh-CN"/>
        </w:rPr>
        <w:t>.</w:t>
      </w:r>
      <w:r>
        <w:rPr>
          <w:rFonts w:ascii="宋体" w:hAnsi="宋体" w:cs="宋体"/>
          <w:color w:val="auto"/>
          <w:szCs w:val="21"/>
          <w:highlight w:val="none"/>
        </w:rPr>
        <w:t>7</w:t>
      </w:r>
      <w:r>
        <w:rPr>
          <w:rFonts w:hint="eastAsia" w:ascii="宋体" w:hAnsi="宋体"/>
          <w:color w:val="auto"/>
          <w:szCs w:val="21"/>
          <w:highlight w:val="none"/>
        </w:rPr>
        <w:t>通过符合性审查的合格供应商不足3家的，不得进入磋商环节，采购人或者采购代理机构应当重新开展采购活动。</w:t>
      </w:r>
    </w:p>
    <w:p w14:paraId="6814C39A">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3</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磋商程序</w:t>
      </w:r>
    </w:p>
    <w:p w14:paraId="3E17D35C">
      <w:pPr>
        <w:pageBreakBefore w:val="0"/>
        <w:kinsoku/>
        <w:topLinePunct w:val="0"/>
        <w:bidi w:val="0"/>
        <w:spacing w:before="60" w:after="60"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eastAsia="zh-CN"/>
        </w:rPr>
        <w:t>.</w:t>
      </w:r>
      <w:r>
        <w:rPr>
          <w:rFonts w:ascii="宋体" w:hAnsi="宋体" w:cs="宋体"/>
          <w:color w:val="auto"/>
          <w:kern w:val="0"/>
          <w:szCs w:val="21"/>
          <w:highlight w:val="none"/>
        </w:rPr>
        <w:t>1</w:t>
      </w:r>
      <w:r>
        <w:rPr>
          <w:rFonts w:hint="eastAsia" w:ascii="宋体" w:hAnsi="宋体" w:cs="宋体"/>
          <w:color w:val="auto"/>
          <w:kern w:val="0"/>
          <w:szCs w:val="21"/>
          <w:highlight w:val="none"/>
        </w:rPr>
        <w:t>磋商小组</w:t>
      </w:r>
      <w:r>
        <w:rPr>
          <w:rFonts w:hint="eastAsia" w:ascii="宋体" w:hAnsi="宋体" w:cs="宋体"/>
          <w:color w:val="auto"/>
          <w:szCs w:val="21"/>
          <w:highlight w:val="none"/>
        </w:rPr>
        <w:t>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043EE429">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lang w:eastAsia="zh-CN"/>
        </w:rPr>
        <w:t>.</w:t>
      </w:r>
      <w:r>
        <w:rPr>
          <w:rFonts w:ascii="宋体" w:hAnsi="宋体" w:cs="宋体"/>
          <w:color w:val="auto"/>
          <w:szCs w:val="21"/>
          <w:highlight w:val="none"/>
        </w:rPr>
        <w:t>2</w:t>
      </w:r>
      <w:r>
        <w:rPr>
          <w:rFonts w:hint="eastAsia" w:ascii="宋体" w:hAnsi="宋体" w:cs="宋体"/>
          <w:color w:val="auto"/>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5EC946AD">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lang w:eastAsia="zh-CN"/>
        </w:rPr>
        <w:t>.</w:t>
      </w:r>
      <w:r>
        <w:rPr>
          <w:rFonts w:ascii="宋体" w:hAnsi="宋体" w:cs="宋体"/>
          <w:color w:val="auto"/>
          <w:szCs w:val="21"/>
          <w:highlight w:val="none"/>
        </w:rPr>
        <w:t>3</w:t>
      </w:r>
      <w:r>
        <w:rPr>
          <w:rFonts w:hint="eastAsia" w:ascii="宋体" w:hAnsi="宋体" w:cs="宋体"/>
          <w:color w:val="auto"/>
          <w:szCs w:val="21"/>
          <w:highlight w:val="none"/>
        </w:rPr>
        <w:t>对磋商文件作出的实质性变动是磋商文件的有效组成部分，由磋商小组及时以电子澄清函形式同时通知所有参加磋商的供应商。</w:t>
      </w:r>
    </w:p>
    <w:p w14:paraId="5205B966">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lang w:eastAsia="zh-CN"/>
        </w:rPr>
        <w:t>.</w:t>
      </w:r>
      <w:r>
        <w:rPr>
          <w:rFonts w:ascii="宋体" w:hAnsi="宋体" w:cs="宋体"/>
          <w:color w:val="auto"/>
          <w:szCs w:val="21"/>
          <w:highlight w:val="none"/>
        </w:rPr>
        <w:t>4</w:t>
      </w:r>
      <w:r>
        <w:rPr>
          <w:rFonts w:hint="eastAsia" w:ascii="宋体" w:hAnsi="宋体" w:cs="宋体"/>
          <w:color w:val="auto"/>
          <w:szCs w:val="21"/>
          <w:highlight w:val="none"/>
        </w:rPr>
        <w:t>供应商必须按照磋商文件的变动情况和磋商小组的要求以回函的形式重新提交响应文件，并加盖电子签章。参加磋商的供应商未在规定时间内重新提交响应文件的，视同退出磋商，其响应文件按无效处理。</w:t>
      </w:r>
    </w:p>
    <w:p w14:paraId="7E4B2148">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lang w:eastAsia="zh-CN"/>
        </w:rPr>
        <w:t>.</w:t>
      </w:r>
      <w:r>
        <w:rPr>
          <w:rFonts w:ascii="宋体" w:hAnsi="宋体" w:cs="宋体"/>
          <w:color w:val="auto"/>
          <w:szCs w:val="21"/>
          <w:highlight w:val="none"/>
        </w:rPr>
        <w:t>5</w:t>
      </w:r>
      <w:r>
        <w:rPr>
          <w:rFonts w:hint="eastAsia" w:ascii="宋体" w:hAnsi="宋体" w:cs="宋体"/>
          <w:color w:val="auto"/>
          <w:szCs w:val="21"/>
          <w:highlight w:val="none"/>
        </w:rPr>
        <w:t>磋商中，</w:t>
      </w:r>
      <w:r>
        <w:rPr>
          <w:rFonts w:hint="eastAsia" w:ascii="宋体" w:hAnsi="宋体" w:cs="宋体"/>
          <w:color w:val="auto"/>
          <w:spacing w:val="-6"/>
          <w:szCs w:val="21"/>
          <w:highlight w:val="none"/>
        </w:rPr>
        <w:t>磋商的任何一方不得透露与磋商有关的其他供应商的技术资料、价格和其他信息。</w:t>
      </w:r>
    </w:p>
    <w:p w14:paraId="0AC63963">
      <w:pPr>
        <w:pageBreakBefore w:val="0"/>
        <w:widowControl/>
        <w:tabs>
          <w:tab w:val="left" w:pos="540"/>
        </w:tabs>
        <w:kinsoku/>
        <w:topLinePunct w:val="0"/>
        <w:bidi w:val="0"/>
        <w:spacing w:before="60" w:after="60" w:line="360" w:lineRule="auto"/>
        <w:ind w:firstLine="420" w:firstLineChars="200"/>
        <w:jc w:val="left"/>
        <w:rPr>
          <w:rFonts w:ascii="宋体" w:hAns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lang w:eastAsia="zh-CN"/>
        </w:rPr>
        <w:t>.</w:t>
      </w:r>
      <w:r>
        <w:rPr>
          <w:rFonts w:ascii="宋体" w:hAnsi="宋体" w:cs="宋体"/>
          <w:color w:val="auto"/>
          <w:szCs w:val="21"/>
          <w:highlight w:val="none"/>
        </w:rPr>
        <w:t>6</w:t>
      </w:r>
      <w:r>
        <w:rPr>
          <w:rFonts w:hint="eastAsia" w:ascii="宋体" w:hAnsi="宋体" w:cs="宋体"/>
          <w:color w:val="auto"/>
          <w:szCs w:val="21"/>
          <w:highlight w:val="none"/>
        </w:rPr>
        <w:t>采购代理机构对磋商过程和重要磋商内容进行记录。</w:t>
      </w:r>
    </w:p>
    <w:p w14:paraId="735FAD1B">
      <w:pPr>
        <w:pageBreakBefore w:val="0"/>
        <w:widowControl/>
        <w:tabs>
          <w:tab w:val="left" w:pos="540"/>
        </w:tabs>
        <w:kinsoku/>
        <w:topLinePunct w:val="0"/>
        <w:bidi w:val="0"/>
        <w:spacing w:before="60" w:after="60"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eastAsia="zh-CN"/>
        </w:rPr>
        <w:t>.</w:t>
      </w:r>
      <w:r>
        <w:rPr>
          <w:rFonts w:ascii="宋体" w:hAnsi="宋体" w:cs="宋体"/>
          <w:color w:val="auto"/>
          <w:szCs w:val="21"/>
          <w:highlight w:val="none"/>
        </w:rPr>
        <w:t>7</w:t>
      </w:r>
      <w:r>
        <w:rPr>
          <w:color w:val="auto"/>
          <w:highlight w:val="none"/>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3BD1C2BC">
      <w:pPr>
        <w:pageBreakBefore w:val="0"/>
        <w:tabs>
          <w:tab w:val="left" w:pos="2835"/>
        </w:tabs>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lang w:eastAsia="zh-CN"/>
        </w:rPr>
        <w:t>.</w:t>
      </w:r>
      <w:r>
        <w:rPr>
          <w:rFonts w:ascii="宋体" w:hAnsi="宋体" w:cs="宋体"/>
          <w:color w:val="auto"/>
          <w:szCs w:val="21"/>
          <w:highlight w:val="none"/>
        </w:rPr>
        <w:t>8除</w:t>
      </w:r>
      <w:r>
        <w:rPr>
          <w:color w:val="auto"/>
          <w:highlight w:val="none"/>
        </w:rPr>
        <w:t>本章第3</w:t>
      </w:r>
      <w:r>
        <w:rPr>
          <w:rFonts w:hint="eastAsia"/>
          <w:color w:val="auto"/>
          <w:highlight w:val="none"/>
          <w:lang w:eastAsia="zh-CN"/>
        </w:rPr>
        <w:t>.</w:t>
      </w:r>
      <w:r>
        <w:rPr>
          <w:color w:val="auto"/>
          <w:highlight w:val="none"/>
        </w:rPr>
        <w:t>7条情形</w:t>
      </w:r>
      <w:r>
        <w:rPr>
          <w:rFonts w:hint="eastAsia"/>
          <w:color w:val="auto"/>
          <w:highlight w:val="none"/>
        </w:rPr>
        <w:t>外，</w:t>
      </w:r>
      <w:r>
        <w:rPr>
          <w:rFonts w:hint="eastAsia" w:ascii="宋体" w:hAnsi="宋体"/>
          <w:color w:val="auto"/>
          <w:szCs w:val="21"/>
          <w:highlight w:val="none"/>
        </w:rPr>
        <w:t>对磋商过程提交的响应文件进行有效性、完整性和响应程度审查，通过审查的合格供应商不足3家的，采购人或者采购代理机构应当重新开展采购活动。</w:t>
      </w:r>
    </w:p>
    <w:p w14:paraId="3AE3CA38">
      <w:pPr>
        <w:pageBreakBefore w:val="0"/>
        <w:kinsoku/>
        <w:topLinePunct w:val="0"/>
        <w:bidi w:val="0"/>
        <w:spacing w:before="60" w:after="60" w:line="360" w:lineRule="auto"/>
        <w:ind w:firstLine="482" w:firstLineChars="200"/>
        <w:rPr>
          <w:rFonts w:ascii="宋体" w:hAnsi="宋体" w:cs="宋体"/>
          <w:color w:val="auto"/>
          <w:szCs w:val="21"/>
          <w:highlight w:val="none"/>
        </w:rPr>
      </w:pPr>
      <w:r>
        <w:rPr>
          <w:rFonts w:ascii="黑体" w:hAnsi="黑体" w:eastAsia="黑体" w:cs="宋体"/>
          <w:b/>
          <w:bCs/>
          <w:color w:val="auto"/>
          <w:sz w:val="24"/>
          <w:highlight w:val="none"/>
        </w:rPr>
        <w:t>4</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 xml:space="preserve"> 最后报价</w:t>
      </w:r>
    </w:p>
    <w:p w14:paraId="7FB733E3">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eastAsia="zh-CN"/>
        </w:rPr>
        <w:t>.</w:t>
      </w:r>
      <w:r>
        <w:rPr>
          <w:rFonts w:ascii="宋体" w:hAnsi="宋体" w:cs="宋体"/>
          <w:color w:val="auto"/>
          <w:szCs w:val="21"/>
          <w:highlight w:val="none"/>
        </w:rPr>
        <w:t>1</w:t>
      </w:r>
      <w:r>
        <w:rPr>
          <w:rFonts w:hint="eastAsia" w:ascii="宋体" w:hAnsi="宋体" w:cs="宋体"/>
          <w:color w:val="auto"/>
          <w:szCs w:val="21"/>
          <w:highlight w:val="none"/>
        </w:rPr>
        <w:t>磋商文件能够详细列明采购标的的技术、服务要求的，磋商结束后，磋商小组应当要求所有继续参加磋商的供应商在规定时间内在“广西政府采购云平台”开标大厅提交最后报价，除本章第</w:t>
      </w:r>
      <w:r>
        <w:rPr>
          <w:rFonts w:ascii="宋体" w:hAnsi="宋体" w:cs="宋体"/>
          <w:color w:val="auto"/>
          <w:szCs w:val="21"/>
          <w:highlight w:val="none"/>
        </w:rPr>
        <w:t>4</w:t>
      </w:r>
      <w:r>
        <w:rPr>
          <w:rFonts w:hint="eastAsia" w:ascii="宋体" w:hAnsi="宋体" w:cs="宋体"/>
          <w:color w:val="auto"/>
          <w:szCs w:val="21"/>
          <w:highlight w:val="none"/>
          <w:lang w:eastAsia="zh-CN"/>
        </w:rPr>
        <w:t>.</w:t>
      </w:r>
      <w:r>
        <w:rPr>
          <w:rFonts w:ascii="宋体" w:hAnsi="宋体" w:cs="宋体"/>
          <w:color w:val="auto"/>
          <w:szCs w:val="21"/>
          <w:highlight w:val="none"/>
        </w:rPr>
        <w:t>3</w:t>
      </w:r>
      <w:r>
        <w:rPr>
          <w:rFonts w:hint="eastAsia" w:ascii="宋体" w:hAnsi="宋体" w:cs="宋体"/>
          <w:color w:val="auto"/>
          <w:szCs w:val="21"/>
          <w:highlight w:val="none"/>
        </w:rPr>
        <w:t>条外，提交最后报价的供应商不得少于3家，否则必须重新采购。</w:t>
      </w:r>
    </w:p>
    <w:p w14:paraId="340D7E85">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eastAsia="zh-CN"/>
        </w:rPr>
        <w:t>.</w:t>
      </w:r>
      <w:r>
        <w:rPr>
          <w:rFonts w:ascii="宋体" w:hAnsi="宋体" w:cs="宋体"/>
          <w:color w:val="auto"/>
          <w:szCs w:val="21"/>
          <w:highlight w:val="none"/>
        </w:rPr>
        <w:t>2</w:t>
      </w:r>
      <w:r>
        <w:rPr>
          <w:rFonts w:hint="eastAsia" w:ascii="宋体" w:hAnsi="宋体" w:cs="宋体"/>
          <w:color w:val="auto"/>
          <w:szCs w:val="21"/>
          <w:highlight w:val="none"/>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p>
    <w:p w14:paraId="2E6744BA">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4</w:t>
      </w:r>
      <w:r>
        <w:rPr>
          <w:rFonts w:hint="eastAsia" w:ascii="宋体" w:hAnsi="宋体" w:cs="宋体"/>
          <w:color w:val="auto"/>
          <w:szCs w:val="21"/>
          <w:highlight w:val="none"/>
          <w:lang w:eastAsia="zh-CN"/>
        </w:rPr>
        <w:t>.</w:t>
      </w:r>
      <w:r>
        <w:rPr>
          <w:rFonts w:ascii="宋体" w:hAnsi="宋体" w:cs="宋体"/>
          <w:color w:val="auto"/>
          <w:szCs w:val="21"/>
          <w:highlight w:val="none"/>
        </w:rPr>
        <w:t>3</w:t>
      </w:r>
      <w:r>
        <w:rPr>
          <w:rFonts w:hint="eastAsia" w:ascii="宋体" w:hAnsi="宋体" w:cs="宋体"/>
          <w:color w:val="auto"/>
          <w:szCs w:val="21"/>
          <w:highlight w:val="none"/>
        </w:rPr>
        <w:t xml:space="preserve"> 最后报价是供应商响应文件的有效组成部分。符合《政府采购竞争性磋商采购方式管理暂行办法》（财库〔2014〕214号）第三条第四项“市场竞争不充分的科研项目，以及需要扶持的科技成果转化项目”和</w:t>
      </w:r>
      <w:r>
        <w:rPr>
          <w:color w:val="auto"/>
          <w:highlight w:val="none"/>
        </w:rPr>
        <w:t>本章第3</w:t>
      </w:r>
      <w:r>
        <w:rPr>
          <w:rFonts w:hint="eastAsia"/>
          <w:color w:val="auto"/>
          <w:highlight w:val="none"/>
          <w:lang w:eastAsia="zh-CN"/>
        </w:rPr>
        <w:t>.</w:t>
      </w:r>
      <w:r>
        <w:rPr>
          <w:color w:val="auto"/>
          <w:highlight w:val="none"/>
        </w:rPr>
        <w:t>7条情形的，</w:t>
      </w:r>
      <w:r>
        <w:rPr>
          <w:rFonts w:hint="eastAsia" w:ascii="宋体" w:hAnsi="宋体" w:cs="宋体"/>
          <w:color w:val="auto"/>
          <w:szCs w:val="21"/>
          <w:highlight w:val="none"/>
        </w:rPr>
        <w:t>提交最后报价的供应商可以为2家。</w:t>
      </w:r>
    </w:p>
    <w:p w14:paraId="0BE75114">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4</w:t>
      </w:r>
      <w:r>
        <w:rPr>
          <w:rFonts w:hint="eastAsia" w:ascii="宋体" w:hAnsi="宋体" w:cs="宋体"/>
          <w:color w:val="auto"/>
          <w:szCs w:val="21"/>
          <w:highlight w:val="none"/>
          <w:lang w:eastAsia="zh-CN"/>
        </w:rPr>
        <w:t>.</w:t>
      </w:r>
      <w:r>
        <w:rPr>
          <w:rFonts w:ascii="宋体" w:hAnsi="宋体" w:cs="宋体"/>
          <w:color w:val="auto"/>
          <w:szCs w:val="21"/>
          <w:highlight w:val="none"/>
        </w:rPr>
        <w:t>4</w:t>
      </w:r>
      <w:r>
        <w:rPr>
          <w:rFonts w:hint="eastAsia" w:ascii="宋体" w:hAnsi="宋体" w:cs="宋体"/>
          <w:color w:val="auto"/>
          <w:szCs w:val="21"/>
          <w:highlight w:val="none"/>
        </w:rPr>
        <w:t>已经提交响应文件的供应商，在提交最后报价之前，可以根据磋商情况退出磋商，退出磋商的供应商的响应文件按无效响应处理。采购人、采购代理机构将退还退出磋商的供应商的保证金。</w:t>
      </w:r>
    </w:p>
    <w:p w14:paraId="4B827AB4">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4</w:t>
      </w:r>
      <w:r>
        <w:rPr>
          <w:rFonts w:hint="eastAsia" w:ascii="宋体" w:hAnsi="宋体" w:cs="宋体"/>
          <w:color w:val="auto"/>
          <w:szCs w:val="21"/>
          <w:highlight w:val="none"/>
          <w:lang w:eastAsia="zh-CN"/>
        </w:rPr>
        <w:t>.</w:t>
      </w:r>
      <w:r>
        <w:rPr>
          <w:rFonts w:ascii="宋体" w:hAnsi="宋体" w:cs="宋体"/>
          <w:color w:val="auto"/>
          <w:szCs w:val="21"/>
          <w:highlight w:val="none"/>
        </w:rPr>
        <w:t>5</w:t>
      </w:r>
      <w:r>
        <w:rPr>
          <w:rFonts w:hint="eastAsia" w:ascii="宋体" w:hAnsi="宋体" w:cs="宋体"/>
          <w:color w:val="auto"/>
          <w:szCs w:val="21"/>
          <w:highlight w:val="none"/>
        </w:rPr>
        <w:t>供应商未在规定时间内提交最后报价的，视同退出磋商，其响应文件按无效处理。</w:t>
      </w:r>
    </w:p>
    <w:p w14:paraId="6D5425C6">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4</w:t>
      </w:r>
      <w:r>
        <w:rPr>
          <w:rFonts w:hint="eastAsia" w:ascii="宋体" w:hAnsi="宋体" w:cs="宋体"/>
          <w:color w:val="auto"/>
          <w:szCs w:val="21"/>
          <w:highlight w:val="none"/>
          <w:lang w:eastAsia="zh-CN"/>
        </w:rPr>
        <w:t>.</w:t>
      </w:r>
      <w:r>
        <w:rPr>
          <w:rFonts w:ascii="宋体" w:hAnsi="宋体" w:cs="宋体"/>
          <w:color w:val="auto"/>
          <w:szCs w:val="21"/>
          <w:highlight w:val="none"/>
        </w:rPr>
        <w:t>6</w:t>
      </w:r>
      <w:r>
        <w:rPr>
          <w:rFonts w:hint="eastAsia" w:ascii="宋体" w:hAnsi="宋体" w:cs="宋体"/>
          <w:color w:val="auto"/>
          <w:szCs w:val="21"/>
          <w:highlight w:val="none"/>
        </w:rPr>
        <w:t>最后报价统一开启后，磋商小组对最后报价进行有效性、完整性和响应程度的审查。</w:t>
      </w:r>
    </w:p>
    <w:p w14:paraId="757EA039">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4</w:t>
      </w:r>
      <w:r>
        <w:rPr>
          <w:rFonts w:hint="eastAsia" w:ascii="宋体" w:hAnsi="宋体" w:cs="宋体"/>
          <w:color w:val="auto"/>
          <w:szCs w:val="21"/>
          <w:highlight w:val="none"/>
          <w:lang w:eastAsia="zh-CN"/>
        </w:rPr>
        <w:t>.</w:t>
      </w:r>
      <w:r>
        <w:rPr>
          <w:rFonts w:ascii="宋体" w:hAnsi="宋体" w:cs="宋体"/>
          <w:color w:val="auto"/>
          <w:szCs w:val="21"/>
          <w:highlight w:val="none"/>
        </w:rPr>
        <w:t>7</w:t>
      </w:r>
      <w:r>
        <w:rPr>
          <w:rFonts w:hint="eastAsia" w:ascii="宋体" w:hAnsi="宋体" w:cs="宋体"/>
          <w:color w:val="auto"/>
          <w:szCs w:val="21"/>
          <w:highlight w:val="none"/>
        </w:rPr>
        <w:t>最后报价出现前后不一致的，按照本章第</w:t>
      </w:r>
      <w:r>
        <w:rPr>
          <w:rFonts w:ascii="宋体" w:hAnsi="宋体" w:cs="宋体"/>
          <w:color w:val="auto"/>
          <w:szCs w:val="21"/>
          <w:highlight w:val="none"/>
        </w:rPr>
        <w:t>2</w:t>
      </w:r>
      <w:r>
        <w:rPr>
          <w:rFonts w:hint="eastAsia" w:ascii="宋体" w:hAnsi="宋体" w:cs="宋体"/>
          <w:color w:val="auto"/>
          <w:szCs w:val="21"/>
          <w:highlight w:val="none"/>
          <w:lang w:eastAsia="zh-CN"/>
        </w:rPr>
        <w:t>.</w:t>
      </w:r>
      <w:r>
        <w:rPr>
          <w:rFonts w:ascii="宋体" w:hAnsi="宋体" w:cs="宋体"/>
          <w:color w:val="auto"/>
          <w:szCs w:val="21"/>
          <w:highlight w:val="none"/>
        </w:rPr>
        <w:t>4</w:t>
      </w:r>
      <w:r>
        <w:rPr>
          <w:rFonts w:hint="eastAsia" w:ascii="宋体" w:hAnsi="宋体" w:cs="宋体"/>
          <w:color w:val="auto"/>
          <w:szCs w:val="21"/>
          <w:highlight w:val="none"/>
        </w:rPr>
        <w:t xml:space="preserve">条的规定修正。 </w:t>
      </w:r>
    </w:p>
    <w:p w14:paraId="42ACF10B">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4</w:t>
      </w:r>
      <w:r>
        <w:rPr>
          <w:rFonts w:hint="eastAsia" w:ascii="宋体" w:hAnsi="宋体" w:cs="宋体"/>
          <w:color w:val="auto"/>
          <w:szCs w:val="21"/>
          <w:highlight w:val="none"/>
          <w:lang w:eastAsia="zh-CN"/>
        </w:rPr>
        <w:t>.</w:t>
      </w:r>
      <w:r>
        <w:rPr>
          <w:rFonts w:ascii="宋体" w:hAnsi="宋体" w:cs="宋体"/>
          <w:color w:val="auto"/>
          <w:szCs w:val="21"/>
          <w:highlight w:val="none"/>
        </w:rPr>
        <w:t>8</w:t>
      </w:r>
      <w:r>
        <w:rPr>
          <w:rFonts w:hint="eastAsia" w:ascii="宋体" w:hAnsi="宋体" w:cs="宋体"/>
          <w:color w:val="auto"/>
          <w:szCs w:val="21"/>
          <w:highlight w:val="none"/>
        </w:rPr>
        <w:t>修正后的报价出现下列情形的，按无效响应处理：</w:t>
      </w:r>
    </w:p>
    <w:p w14:paraId="2444FB2F">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52DCC59E">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（2）经供应商确认修正后的竞标报价（包含首次报价、最后报价）超过所竞标分标规定的采购预算金额或者最高限价的（如本项目公布了最高限价）；</w:t>
      </w:r>
    </w:p>
    <w:p w14:paraId="746AFCD6">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（3）经供应商确认修正后的竞标报价（包含首次报价、最后报价）超过分项采购预算金额或者最高限价的（如本项目公布了最高限价）。</w:t>
      </w:r>
    </w:p>
    <w:p w14:paraId="31EC58D4">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4</w:t>
      </w:r>
      <w:r>
        <w:rPr>
          <w:rFonts w:hint="eastAsia" w:ascii="宋体" w:hAnsi="宋体" w:cs="宋体"/>
          <w:color w:val="auto"/>
          <w:szCs w:val="21"/>
          <w:highlight w:val="none"/>
          <w:lang w:eastAsia="zh-CN"/>
        </w:rPr>
        <w:t>.</w:t>
      </w:r>
      <w:r>
        <w:rPr>
          <w:rFonts w:ascii="宋体" w:hAnsi="宋体" w:cs="宋体"/>
          <w:color w:val="auto"/>
          <w:szCs w:val="21"/>
          <w:highlight w:val="none"/>
        </w:rPr>
        <w:t>9</w:t>
      </w:r>
      <w:r>
        <w:rPr>
          <w:rFonts w:hint="eastAsia" w:ascii="宋体" w:hAnsi="宋体" w:cs="宋体"/>
          <w:color w:val="auto"/>
          <w:szCs w:val="21"/>
          <w:highlight w:val="none"/>
        </w:rPr>
        <w:t>经供应商确认修正后的最后报价作为评审及签订合同的依据。</w:t>
      </w:r>
    </w:p>
    <w:p w14:paraId="23CFB4ED">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eastAsia="zh-CN"/>
        </w:rPr>
        <w:t>.</w:t>
      </w:r>
      <w:r>
        <w:rPr>
          <w:rFonts w:hint="eastAsia" w:ascii="宋体" w:hAnsi="宋体" w:cs="宋体"/>
          <w:color w:val="auto"/>
          <w:szCs w:val="21"/>
          <w:highlight w:val="none"/>
        </w:rPr>
        <w:t>10供应商出现最后报价按无效响应处理或者响应文件按无效处理时</w:t>
      </w:r>
      <w:r>
        <w:rPr>
          <w:rFonts w:hint="eastAsia" w:ascii="宋体" w:hAnsi="宋体"/>
          <w:color w:val="auto"/>
          <w:sz w:val="22"/>
          <w:szCs w:val="22"/>
          <w:highlight w:val="none"/>
        </w:rPr>
        <w:t>，磋商小组应当告知有关供应商</w:t>
      </w:r>
      <w:r>
        <w:rPr>
          <w:rFonts w:hint="eastAsia" w:ascii="宋体" w:hAnsi="宋体" w:cs="宋体"/>
          <w:color w:val="auto"/>
          <w:szCs w:val="21"/>
          <w:highlight w:val="none"/>
        </w:rPr>
        <w:t>。</w:t>
      </w:r>
    </w:p>
    <w:p w14:paraId="111C1059">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eastAsia="zh-CN"/>
        </w:rPr>
        <w:t>.</w:t>
      </w:r>
      <w:r>
        <w:rPr>
          <w:rFonts w:ascii="宋体" w:hAnsi="宋体" w:cs="宋体"/>
          <w:color w:val="auto"/>
          <w:szCs w:val="21"/>
          <w:highlight w:val="none"/>
        </w:rPr>
        <w:t>1</w:t>
      </w:r>
      <w:r>
        <w:rPr>
          <w:rFonts w:hint="eastAsia" w:ascii="宋体" w:hAnsi="宋体" w:cs="宋体"/>
          <w:color w:val="auto"/>
          <w:szCs w:val="21"/>
          <w:highlight w:val="none"/>
        </w:rPr>
        <w:t>1最后报价结束后，磋商小组不得再与供应商进行任何形式的商谈。</w:t>
      </w:r>
    </w:p>
    <w:p w14:paraId="4EAD6C4B">
      <w:pPr>
        <w:pageBreakBefore w:val="0"/>
        <w:kinsoku/>
        <w:topLinePunct w:val="0"/>
        <w:bidi w:val="0"/>
        <w:spacing w:before="60" w:after="60"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5</w:t>
      </w:r>
      <w:r>
        <w:rPr>
          <w:rFonts w:hint="eastAsia" w:ascii="黑体" w:hAnsi="黑体" w:eastAsia="黑体" w:cs="宋体"/>
          <w:b/>
          <w:bCs/>
          <w:color w:val="auto"/>
          <w:sz w:val="24"/>
          <w:highlight w:val="none"/>
          <w:lang w:eastAsia="zh-CN"/>
        </w:rPr>
        <w:t>.</w:t>
      </w:r>
      <w:r>
        <w:rPr>
          <w:rFonts w:hint="eastAsia" w:ascii="黑体" w:hAnsi="黑体" w:eastAsia="黑体" w:cs="宋体"/>
          <w:b/>
          <w:bCs/>
          <w:color w:val="auto"/>
          <w:sz w:val="24"/>
          <w:highlight w:val="none"/>
        </w:rPr>
        <w:t>比较与评价</w:t>
      </w:r>
    </w:p>
    <w:p w14:paraId="34AABD20">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eastAsia="zh-CN"/>
        </w:rPr>
        <w:t>.</w:t>
      </w:r>
      <w:r>
        <w:rPr>
          <w:rFonts w:ascii="宋体" w:hAnsi="宋体" w:cs="宋体"/>
          <w:color w:val="auto"/>
          <w:szCs w:val="21"/>
          <w:highlight w:val="none"/>
        </w:rPr>
        <w:t>1</w:t>
      </w:r>
      <w:r>
        <w:rPr>
          <w:rFonts w:hint="eastAsia" w:ascii="宋体" w:hAnsi="宋体" w:cs="宋体"/>
          <w:color w:val="auto"/>
          <w:szCs w:val="21"/>
          <w:highlight w:val="none"/>
        </w:rPr>
        <w:t>评审方法：综合评分法。</w:t>
      </w:r>
    </w:p>
    <w:p w14:paraId="2A0BC155">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（1）磋商小组按照采购文件中规定的评审方法及评审标准，对资格及符合性审查合格的响应文件进行商务和技术评估，综合比较与评价。</w:t>
      </w:r>
    </w:p>
    <w:p w14:paraId="3A8900C3">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（2）磋商小组独立对每个供应商的响应文件进行评价，并汇总每个供应商的得分。</w:t>
      </w:r>
    </w:p>
    <w:p w14:paraId="400BB8F7">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1）磋商小组在评审中发出现下列情形之一的，应当启动异常低价投标审查程序：</w:t>
      </w:r>
    </w:p>
    <w:p w14:paraId="4EFA4B42">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①磋商报价低于全部通过资格及符合性审查供应商磋商报价平均值</w:t>
      </w:r>
      <w:r>
        <w:rPr>
          <w:rFonts w:ascii="宋体" w:hAnsi="宋体"/>
          <w:color w:val="auto"/>
          <w:szCs w:val="21"/>
          <w:highlight w:val="none"/>
          <w:u w:val="single"/>
        </w:rPr>
        <w:t xml:space="preserve"> </w:t>
      </w:r>
      <w:r>
        <w:rPr>
          <w:rFonts w:hint="eastAsia" w:ascii="宋体" w:hAnsi="宋体"/>
          <w:color w:val="auto"/>
          <w:szCs w:val="21"/>
          <w:highlight w:val="none"/>
          <w:u w:val="single"/>
        </w:rPr>
        <w:t>50%</w:t>
      </w:r>
      <w:r>
        <w:rPr>
          <w:rFonts w:ascii="宋体" w:hAnsi="宋体"/>
          <w:color w:val="auto"/>
          <w:szCs w:val="21"/>
          <w:highlight w:val="none"/>
          <w:u w:val="single"/>
        </w:rPr>
        <w:t xml:space="preserve"> </w:t>
      </w:r>
      <w:r>
        <w:rPr>
          <w:rFonts w:hint="eastAsia" w:ascii="宋体" w:hAnsi="宋体"/>
          <w:color w:val="auto"/>
          <w:szCs w:val="21"/>
          <w:highlight w:val="none"/>
        </w:rPr>
        <w:t>的，即磋商报价＜全部通过资格及符合性审查供应商磋商报价平均值×</w:t>
      </w:r>
      <w:r>
        <w:rPr>
          <w:rFonts w:ascii="宋体" w:hAnsi="宋体"/>
          <w:color w:val="auto"/>
          <w:szCs w:val="21"/>
          <w:highlight w:val="none"/>
          <w:u w:val="single"/>
        </w:rPr>
        <w:t xml:space="preserve"> </w:t>
      </w:r>
      <w:r>
        <w:rPr>
          <w:rFonts w:hint="eastAsia" w:ascii="宋体" w:hAnsi="宋体"/>
          <w:color w:val="auto"/>
          <w:szCs w:val="21"/>
          <w:highlight w:val="none"/>
          <w:u w:val="single"/>
        </w:rPr>
        <w:t>50%</w:t>
      </w:r>
      <w:r>
        <w:rPr>
          <w:rFonts w:ascii="宋体" w:hAnsi="宋体"/>
          <w:color w:val="auto"/>
          <w:szCs w:val="21"/>
          <w:highlight w:val="none"/>
          <w:u w:val="single"/>
        </w:rPr>
        <w:t xml:space="preserve">  </w:t>
      </w:r>
      <w:r>
        <w:rPr>
          <w:rFonts w:hint="eastAsia" w:ascii="宋体" w:hAnsi="宋体"/>
          <w:color w:val="auto"/>
          <w:szCs w:val="21"/>
          <w:highlight w:val="none"/>
        </w:rPr>
        <w:t xml:space="preserve">； </w:t>
      </w:r>
    </w:p>
    <w:p w14:paraId="2BEA5579">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②磋商报价低于通过符合性审查的次低报价供应商磋商报价</w:t>
      </w:r>
      <w:r>
        <w:rPr>
          <w:rFonts w:ascii="宋体" w:hAnsi="宋体"/>
          <w:color w:val="auto"/>
          <w:szCs w:val="21"/>
          <w:highlight w:val="none"/>
          <w:u w:val="single"/>
        </w:rPr>
        <w:t xml:space="preserve"> </w:t>
      </w:r>
      <w:r>
        <w:rPr>
          <w:rFonts w:hint="eastAsia" w:ascii="宋体" w:hAnsi="宋体"/>
          <w:color w:val="auto"/>
          <w:szCs w:val="21"/>
          <w:highlight w:val="none"/>
          <w:u w:val="single"/>
        </w:rPr>
        <w:t>50%</w:t>
      </w:r>
      <w:r>
        <w:rPr>
          <w:rFonts w:ascii="宋体" w:hAnsi="宋体"/>
          <w:color w:val="auto"/>
          <w:szCs w:val="21"/>
          <w:highlight w:val="none"/>
          <w:u w:val="single"/>
        </w:rPr>
        <w:t xml:space="preserve"> </w:t>
      </w:r>
      <w:r>
        <w:rPr>
          <w:rFonts w:hint="eastAsia" w:ascii="宋体" w:hAnsi="宋体"/>
          <w:color w:val="auto"/>
          <w:szCs w:val="21"/>
          <w:highlight w:val="none"/>
        </w:rPr>
        <w:t>的，即磋商报价＜通过资格及符合性审查的次低报价供应商磋商报价×</w:t>
      </w:r>
      <w:r>
        <w:rPr>
          <w:rFonts w:ascii="宋体" w:hAnsi="宋体"/>
          <w:color w:val="auto"/>
          <w:szCs w:val="21"/>
          <w:highlight w:val="none"/>
          <w:u w:val="single"/>
        </w:rPr>
        <w:t xml:space="preserve"> </w:t>
      </w:r>
      <w:r>
        <w:rPr>
          <w:rFonts w:hint="eastAsia" w:ascii="宋体" w:hAnsi="宋体"/>
          <w:color w:val="auto"/>
          <w:szCs w:val="21"/>
          <w:highlight w:val="none"/>
          <w:u w:val="single"/>
        </w:rPr>
        <w:t>50%</w:t>
      </w:r>
      <w:r>
        <w:rPr>
          <w:rFonts w:ascii="宋体" w:hAnsi="宋体"/>
          <w:color w:val="auto"/>
          <w:szCs w:val="21"/>
          <w:highlight w:val="none"/>
          <w:u w:val="single"/>
        </w:rPr>
        <w:t xml:space="preserve">  </w:t>
      </w:r>
      <w:r>
        <w:rPr>
          <w:rFonts w:hint="eastAsia" w:ascii="宋体" w:hAnsi="宋体"/>
          <w:color w:val="auto"/>
          <w:szCs w:val="21"/>
          <w:highlight w:val="none"/>
        </w:rPr>
        <w:t xml:space="preserve">； </w:t>
      </w:r>
    </w:p>
    <w:p w14:paraId="6140CAC0">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③磋商报价低于采购项目最高限价</w:t>
      </w:r>
      <w:r>
        <w:rPr>
          <w:rFonts w:ascii="宋体" w:hAnsi="宋体"/>
          <w:color w:val="auto"/>
          <w:szCs w:val="21"/>
          <w:highlight w:val="none"/>
          <w:u w:val="single"/>
        </w:rPr>
        <w:t xml:space="preserve"> </w:t>
      </w:r>
      <w:r>
        <w:rPr>
          <w:rFonts w:hint="eastAsia" w:ascii="宋体" w:hAnsi="宋体"/>
          <w:color w:val="auto"/>
          <w:szCs w:val="21"/>
          <w:highlight w:val="none"/>
          <w:u w:val="single"/>
        </w:rPr>
        <w:t>45%</w:t>
      </w:r>
      <w:r>
        <w:rPr>
          <w:rFonts w:ascii="宋体" w:hAnsi="宋体"/>
          <w:color w:val="auto"/>
          <w:szCs w:val="21"/>
          <w:highlight w:val="none"/>
          <w:u w:val="single"/>
        </w:rPr>
        <w:t xml:space="preserve">  </w:t>
      </w:r>
      <w:r>
        <w:rPr>
          <w:rFonts w:hint="eastAsia" w:ascii="宋体" w:hAnsi="宋体"/>
          <w:color w:val="auto"/>
          <w:szCs w:val="21"/>
          <w:highlight w:val="none"/>
        </w:rPr>
        <w:t>的，即磋商报价＜采购项目最高限价×</w:t>
      </w:r>
      <w:r>
        <w:rPr>
          <w:rFonts w:ascii="宋体" w:hAnsi="宋体"/>
          <w:color w:val="auto"/>
          <w:szCs w:val="21"/>
          <w:highlight w:val="none"/>
          <w:u w:val="single"/>
        </w:rPr>
        <w:t xml:space="preserve"> </w:t>
      </w:r>
      <w:r>
        <w:rPr>
          <w:rFonts w:hint="eastAsia" w:ascii="宋体" w:hAnsi="宋体"/>
          <w:color w:val="auto"/>
          <w:szCs w:val="21"/>
          <w:highlight w:val="none"/>
          <w:u w:val="single"/>
        </w:rPr>
        <w:t>45%</w:t>
      </w:r>
      <w:r>
        <w:rPr>
          <w:rFonts w:ascii="宋体" w:hAnsi="宋体"/>
          <w:color w:val="auto"/>
          <w:szCs w:val="21"/>
          <w:highlight w:val="none"/>
          <w:u w:val="single"/>
        </w:rPr>
        <w:t xml:space="preserve"> </w:t>
      </w:r>
      <w:r>
        <w:rPr>
          <w:rFonts w:hint="eastAsia" w:ascii="宋体" w:hAnsi="宋体"/>
          <w:color w:val="auto"/>
          <w:szCs w:val="21"/>
          <w:highlight w:val="none"/>
        </w:rPr>
        <w:t xml:space="preserve">； </w:t>
      </w:r>
    </w:p>
    <w:p w14:paraId="6BAF9842">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④磋商小组基于专业判断，认为供应商报价过低，有可能影响产品质量或者不能诚信履约的其他情形。</w:t>
      </w:r>
    </w:p>
    <w:p w14:paraId="351B3BC0">
      <w:pPr>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磋商小组启动异常低价投标审查后，属于前述第1项至第4项情形的，应当要求相关供应商在评审现场合理的时间内对磋商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0FE09F2E">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auto"/>
          <w:szCs w:val="21"/>
          <w:highlight w:val="none"/>
        </w:rPr>
        <w:t>供应商不能提供书面说明、证明材料，或者提供的书面说明、证明材料不能证明其报价合理性的，磋商小组应当将其作为无效竞标处理。</w:t>
      </w:r>
    </w:p>
    <w:p w14:paraId="7CE01CA1">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eastAsia="zh-CN"/>
        </w:rPr>
        <w:t>.</w:t>
      </w:r>
      <w:r>
        <w:rPr>
          <w:rFonts w:ascii="宋体" w:hAnsi="宋体" w:cs="宋体"/>
          <w:color w:val="auto"/>
          <w:szCs w:val="21"/>
          <w:highlight w:val="none"/>
        </w:rPr>
        <w:t>2</w:t>
      </w:r>
      <w:r>
        <w:rPr>
          <w:rFonts w:hint="eastAsia" w:ascii="宋体" w:hAnsi="宋体" w:cs="宋体"/>
          <w:color w:val="auto"/>
          <w:szCs w:val="21"/>
          <w:highlight w:val="none"/>
        </w:rPr>
        <w:t>经磋商确定最终采购需求和提交最后报价的供应商后，由磋商小组采用综合评分法对提交最后报价的供应商的响应文件和最后报价进行综合评分。</w:t>
      </w:r>
    </w:p>
    <w:p w14:paraId="1CA8A66C">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eastAsia="zh-CN"/>
        </w:rPr>
        <w:t>.</w:t>
      </w:r>
      <w:r>
        <w:rPr>
          <w:rFonts w:ascii="宋体" w:hAnsi="宋体" w:cs="宋体"/>
          <w:color w:val="auto"/>
          <w:szCs w:val="21"/>
          <w:highlight w:val="none"/>
        </w:rPr>
        <w:t>3</w:t>
      </w:r>
      <w:r>
        <w:rPr>
          <w:rFonts w:hint="eastAsia" w:ascii="宋体" w:hAnsi="宋体" w:cs="宋体"/>
          <w:color w:val="auto"/>
          <w:szCs w:val="21"/>
          <w:highlight w:val="none"/>
        </w:rPr>
        <w:t>评审时，磋商小组各成员应当独立对每个有效响应的文件进行评价、打分，然后汇总每个供应商每项评分因素的得分。</w:t>
      </w:r>
    </w:p>
    <w:p w14:paraId="2A062B98">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（1）磋商小组按照磋商文件中规定的评审标准计算各供应商的报价得分。项目评审过程中，不得去掉最后报价中的最高报价和最低报价。</w:t>
      </w:r>
    </w:p>
    <w:p w14:paraId="2FD57F66">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（2）各供应商的得分为磋商小组所有成员的有效评分的算术平均数。</w:t>
      </w:r>
    </w:p>
    <w:p w14:paraId="72FB8DE6">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eastAsia="zh-CN"/>
        </w:rPr>
        <w:t>.</w:t>
      </w:r>
      <w:r>
        <w:rPr>
          <w:rFonts w:ascii="宋体" w:hAnsi="宋体" w:cs="宋体"/>
          <w:color w:val="auto"/>
          <w:szCs w:val="21"/>
          <w:highlight w:val="none"/>
        </w:rPr>
        <w:t>4</w:t>
      </w:r>
      <w:r>
        <w:rPr>
          <w:rFonts w:hint="eastAsia" w:ascii="宋体" w:hAnsi="宋体" w:cs="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056962F1">
      <w:pPr>
        <w:pageBreakBefore w:val="0"/>
        <w:kinsoku/>
        <w:topLinePunct w:val="0"/>
        <w:bidi w:val="0"/>
        <w:spacing w:before="60" w:after="60" w:line="360" w:lineRule="auto"/>
        <w:ind w:firstLine="420" w:firstLineChars="200"/>
        <w:rPr>
          <w:rFonts w:ascii="宋体" w:hAnsi="宋体"/>
          <w:color w:val="auto"/>
          <w:kern w:val="0"/>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eastAsia="zh-CN"/>
        </w:rPr>
        <w:t>.</w:t>
      </w:r>
      <w:r>
        <w:rPr>
          <w:rFonts w:ascii="宋体" w:hAnsi="宋体" w:cs="宋体"/>
          <w:color w:val="auto"/>
          <w:szCs w:val="21"/>
          <w:highlight w:val="none"/>
        </w:rPr>
        <w:t>5</w:t>
      </w:r>
      <w:r>
        <w:rPr>
          <w:rFonts w:hint="eastAsia" w:ascii="宋体" w:hAnsi="宋体" w:cs="宋体"/>
          <w:color w:val="auto"/>
          <w:szCs w:val="21"/>
          <w:highlight w:val="none"/>
        </w:rPr>
        <w:t>由磋商小组根据综合评分情况，按照评审得分由高到低顺序推荐3名以上成交候选供应商，并编写评</w:t>
      </w:r>
      <w:r>
        <w:rPr>
          <w:rFonts w:hint="eastAsia" w:ascii="宋体" w:hAnsi="宋体"/>
          <w:color w:val="auto"/>
          <w:kern w:val="0"/>
          <w:szCs w:val="21"/>
          <w:highlight w:val="none"/>
        </w:rPr>
        <w:t>审报告。符合本章第</w:t>
      </w:r>
      <w:r>
        <w:rPr>
          <w:rFonts w:ascii="宋体" w:hAnsi="宋体"/>
          <w:color w:val="auto"/>
          <w:kern w:val="0"/>
          <w:szCs w:val="21"/>
          <w:highlight w:val="none"/>
        </w:rPr>
        <w:t>4</w:t>
      </w:r>
      <w:r>
        <w:rPr>
          <w:rFonts w:hint="eastAsia" w:ascii="宋体" w:hAnsi="宋体"/>
          <w:color w:val="auto"/>
          <w:kern w:val="0"/>
          <w:szCs w:val="21"/>
          <w:highlight w:val="none"/>
          <w:lang w:eastAsia="zh-CN"/>
        </w:rPr>
        <w:t>.</w:t>
      </w:r>
      <w:r>
        <w:rPr>
          <w:rFonts w:ascii="宋体" w:hAnsi="宋体"/>
          <w:color w:val="auto"/>
          <w:kern w:val="0"/>
          <w:szCs w:val="21"/>
          <w:highlight w:val="none"/>
        </w:rPr>
        <w:t>3</w:t>
      </w:r>
      <w:r>
        <w:rPr>
          <w:rFonts w:hint="eastAsia" w:ascii="宋体" w:hAnsi="宋体"/>
          <w:color w:val="auto"/>
          <w:kern w:val="0"/>
          <w:szCs w:val="21"/>
          <w:highlight w:val="none"/>
        </w:rPr>
        <w:t>条情形的，可以推荐2家成交候选供应商。评审得分相同的，按照最后报价由低到高的顺序推荐。评审得分且最后报价相同的，按照技术指标优劣顺序推荐。</w:t>
      </w:r>
    </w:p>
    <w:p w14:paraId="7ADE031F">
      <w:pPr>
        <w:pageBreakBefore w:val="0"/>
        <w:kinsoku/>
        <w:topLinePunct w:val="0"/>
        <w:bidi w:val="0"/>
        <w:spacing w:before="60" w:after="60" w:line="360" w:lineRule="auto"/>
        <w:ind w:firstLine="420" w:firstLineChars="200"/>
        <w:rPr>
          <w:rFonts w:ascii="宋体" w:hAnsi="宋体" w:cs="宋体"/>
          <w:color w:val="auto"/>
          <w:szCs w:val="21"/>
          <w:highlight w:val="none"/>
        </w:rPr>
      </w:pPr>
      <w:r>
        <w:rPr>
          <w:rFonts w:ascii="宋体" w:hAnsi="宋体"/>
          <w:color w:val="auto"/>
          <w:kern w:val="0"/>
          <w:szCs w:val="21"/>
          <w:highlight w:val="none"/>
        </w:rPr>
        <w:t>5</w:t>
      </w:r>
      <w:r>
        <w:rPr>
          <w:rFonts w:hint="eastAsia" w:ascii="宋体" w:hAnsi="宋体"/>
          <w:color w:val="auto"/>
          <w:kern w:val="0"/>
          <w:szCs w:val="21"/>
          <w:highlight w:val="none"/>
          <w:lang w:eastAsia="zh-CN"/>
        </w:rPr>
        <w:t>.</w:t>
      </w:r>
      <w:r>
        <w:rPr>
          <w:rFonts w:ascii="宋体" w:hAnsi="宋体"/>
          <w:color w:val="auto"/>
          <w:kern w:val="0"/>
          <w:szCs w:val="21"/>
          <w:highlight w:val="none"/>
        </w:rPr>
        <w:t>6</w:t>
      </w:r>
      <w:r>
        <w:rPr>
          <w:rFonts w:hint="eastAsia" w:ascii="宋体" w:hAnsi="宋体"/>
          <w:color w:val="auto"/>
          <w:kern w:val="0"/>
          <w:szCs w:val="21"/>
          <w:highlight w:val="none"/>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DDA3CA7">
      <w:pPr>
        <w:pageBreakBefore w:val="0"/>
        <w:kinsoku/>
        <w:topLinePunct w:val="0"/>
        <w:bidi w:val="0"/>
        <w:spacing w:before="60" w:after="60" w:line="360" w:lineRule="auto"/>
        <w:jc w:val="center"/>
        <w:rPr>
          <w:rFonts w:hint="eastAsia" w:ascii="宋体" w:hAnsi="宋体"/>
          <w:b/>
          <w:color w:val="auto"/>
          <w:sz w:val="32"/>
          <w:szCs w:val="32"/>
          <w:highlight w:val="none"/>
        </w:rPr>
      </w:pPr>
    </w:p>
    <w:p w14:paraId="0443182A">
      <w:pPr>
        <w:pageBreakBefore w:val="0"/>
        <w:kinsoku/>
        <w:topLinePunct w:val="0"/>
        <w:bidi w:val="0"/>
        <w:spacing w:before="60" w:after="60" w:line="360" w:lineRule="auto"/>
        <w:jc w:val="center"/>
        <w:rPr>
          <w:rFonts w:hint="eastAsia" w:ascii="宋体" w:hAnsi="宋体" w:eastAsia="宋体"/>
          <w:b/>
          <w:color w:val="auto"/>
          <w:sz w:val="32"/>
          <w:szCs w:val="32"/>
          <w:highlight w:val="none"/>
          <w:lang w:eastAsia="zh-CN"/>
        </w:rPr>
      </w:pPr>
      <w:r>
        <w:rPr>
          <w:rFonts w:hint="eastAsia" w:ascii="宋体" w:hAnsi="宋体"/>
          <w:b/>
          <w:color w:val="auto"/>
          <w:sz w:val="32"/>
          <w:szCs w:val="32"/>
          <w:highlight w:val="none"/>
        </w:rPr>
        <w:t>二、评审标准</w:t>
      </w:r>
    </w:p>
    <w:p w14:paraId="635C52FD">
      <w:pPr>
        <w:pageBreakBefore w:val="0"/>
        <w:kinsoku/>
        <w:topLinePunct w:val="0"/>
        <w:bidi w:val="0"/>
        <w:spacing w:before="60" w:after="60"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6</w:t>
      </w:r>
      <w:r>
        <w:rPr>
          <w:rFonts w:hint="eastAsia" w:ascii="宋体" w:hAnsi="宋体"/>
          <w:bCs/>
          <w:color w:val="auto"/>
          <w:szCs w:val="21"/>
          <w:highlight w:val="none"/>
          <w:lang w:eastAsia="zh-CN"/>
        </w:rPr>
        <w:t>.</w:t>
      </w:r>
      <w:r>
        <w:rPr>
          <w:rFonts w:hint="eastAsia" w:ascii="宋体" w:hAnsi="宋体"/>
          <w:bCs/>
          <w:color w:val="auto"/>
          <w:szCs w:val="21"/>
          <w:highlight w:val="none"/>
        </w:rPr>
        <w:t>评审依据：磋商小组将以磋商响应文件为评审依据，对供应商的报价、技术、商务等方面内容按百分制打分。（计分方法按四舍五入取至百分位）</w:t>
      </w:r>
    </w:p>
    <w:tbl>
      <w:tblPr>
        <w:tblStyle w:val="31"/>
        <w:tblW w:w="97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1129"/>
        <w:gridCol w:w="805"/>
        <w:gridCol w:w="1564"/>
        <w:gridCol w:w="5524"/>
      </w:tblGrid>
      <w:tr w14:paraId="62A7C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28" w:type="dxa"/>
            <w:noWrap/>
            <w:vAlign w:val="center"/>
          </w:tcPr>
          <w:p w14:paraId="6BF47EED">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129" w:type="dxa"/>
            <w:noWrap/>
            <w:vAlign w:val="center"/>
          </w:tcPr>
          <w:p w14:paraId="71E7C202">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评审因素</w:t>
            </w:r>
          </w:p>
        </w:tc>
        <w:tc>
          <w:tcPr>
            <w:tcW w:w="805" w:type="dxa"/>
            <w:noWrap/>
            <w:vAlign w:val="center"/>
          </w:tcPr>
          <w:p w14:paraId="7551F90F">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w:t>
            </w:r>
          </w:p>
        </w:tc>
        <w:tc>
          <w:tcPr>
            <w:tcW w:w="7088" w:type="dxa"/>
            <w:gridSpan w:val="2"/>
            <w:noWrap/>
            <w:vAlign w:val="center"/>
          </w:tcPr>
          <w:p w14:paraId="3E25615F">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评标标准</w:t>
            </w:r>
          </w:p>
        </w:tc>
      </w:tr>
      <w:tr w14:paraId="6691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28" w:type="dxa"/>
            <w:noWrap/>
            <w:vAlign w:val="center"/>
          </w:tcPr>
          <w:p w14:paraId="39C08944">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w:t>
            </w:r>
          </w:p>
        </w:tc>
        <w:tc>
          <w:tcPr>
            <w:tcW w:w="1129" w:type="dxa"/>
            <w:noWrap/>
            <w:vAlign w:val="center"/>
          </w:tcPr>
          <w:p w14:paraId="038C8444">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价格分</w:t>
            </w:r>
          </w:p>
        </w:tc>
        <w:tc>
          <w:tcPr>
            <w:tcW w:w="805" w:type="dxa"/>
            <w:noWrap/>
            <w:vAlign w:val="center"/>
          </w:tcPr>
          <w:p w14:paraId="23A7E457">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cs="宋体"/>
                <w:b/>
                <w:color w:val="auto"/>
                <w:sz w:val="21"/>
                <w:szCs w:val="21"/>
                <w:highlight w:val="none"/>
                <w:lang w:val="en-US" w:eastAsia="zh-CN"/>
              </w:rPr>
              <w:t>15</w:t>
            </w:r>
            <w:r>
              <w:rPr>
                <w:rFonts w:hint="eastAsia" w:ascii="宋体" w:hAnsi="宋体" w:eastAsia="宋体" w:cs="宋体"/>
                <w:b/>
                <w:color w:val="auto"/>
                <w:sz w:val="21"/>
                <w:szCs w:val="21"/>
                <w:highlight w:val="none"/>
              </w:rPr>
              <w:t>分</w:t>
            </w:r>
          </w:p>
        </w:tc>
        <w:tc>
          <w:tcPr>
            <w:tcW w:w="7088" w:type="dxa"/>
            <w:gridSpan w:val="2"/>
            <w:noWrap/>
            <w:vAlign w:val="center"/>
          </w:tcPr>
          <w:p w14:paraId="64E91A4F">
            <w:pPr>
              <w:keepNext w:val="0"/>
              <w:keepLines w:val="0"/>
              <w:pageBreakBefore w:val="0"/>
              <w:widowControl w:val="0"/>
              <w:suppressLineNumbers w:val="0"/>
              <w:kinsoku/>
              <w:wordWrap/>
              <w:overflowPunct/>
              <w:topLinePunct w:val="0"/>
              <w:autoSpaceDE/>
              <w:autoSpaceDN/>
              <w:bidi w:val="0"/>
              <w:adjustRightInd/>
              <w:snapToGrid w:val="0"/>
              <w:spacing w:before="60" w:beforeAutospacing="0" w:after="60" w:afterAutospacing="0" w:line="360" w:lineRule="auto"/>
              <w:ind w:left="0" w:right="0"/>
              <w:jc w:val="left"/>
              <w:textAlignment w:val="auto"/>
              <w:rPr>
                <w:rFonts w:hint="eastAsia" w:ascii="宋体" w:hAnsi="宋体" w:eastAsia="宋体" w:cs="宋体"/>
                <w:b w:val="0"/>
                <w:bCs w:val="0"/>
                <w:color w:val="auto"/>
                <w:spacing w:val="0"/>
                <w:w w:val="100"/>
                <w:position w:val="0"/>
                <w:sz w:val="21"/>
                <w:szCs w:val="21"/>
                <w:highlight w:val="none"/>
                <w:lang w:val="en-US" w:eastAsia="zh-CN"/>
              </w:rPr>
            </w:pPr>
            <w:r>
              <w:rPr>
                <w:rFonts w:hint="eastAsia" w:ascii="宋体" w:hAnsi="宋体" w:eastAsia="宋体" w:cs="宋体"/>
                <w:b w:val="0"/>
                <w:bCs w:val="0"/>
                <w:color w:val="auto"/>
                <w:spacing w:val="0"/>
                <w:w w:val="100"/>
                <w:position w:val="0"/>
                <w:sz w:val="21"/>
                <w:szCs w:val="21"/>
                <w:highlight w:val="none"/>
                <w:lang w:val="en-US" w:eastAsia="zh-CN"/>
              </w:rPr>
              <w:t>1.本项目专门面向中小企业采购（供应商应为中小微企业或监狱企业或残疾人福利性单位)，不再执行价格评审优惠的扶持政策。</w:t>
            </w:r>
          </w:p>
          <w:p w14:paraId="7916C839">
            <w:pPr>
              <w:keepNext w:val="0"/>
              <w:keepLines w:val="0"/>
              <w:pageBreakBefore w:val="0"/>
              <w:widowControl w:val="0"/>
              <w:suppressLineNumbers w:val="0"/>
              <w:kinsoku/>
              <w:wordWrap/>
              <w:overflowPunct/>
              <w:topLinePunct w:val="0"/>
              <w:autoSpaceDE/>
              <w:autoSpaceDN/>
              <w:bidi w:val="0"/>
              <w:adjustRightInd/>
              <w:snapToGrid w:val="0"/>
              <w:spacing w:before="60" w:beforeAutospacing="0" w:after="60" w:afterAutospacing="0" w:line="360" w:lineRule="auto"/>
              <w:ind w:left="0" w:right="0"/>
              <w:jc w:val="left"/>
              <w:textAlignment w:val="auto"/>
              <w:rPr>
                <w:rFonts w:hint="eastAsia" w:ascii="宋体" w:hAnsi="宋体" w:eastAsia="宋体" w:cs="宋体"/>
                <w:b w:val="0"/>
                <w:bCs w:val="0"/>
                <w:color w:val="auto"/>
                <w:spacing w:val="0"/>
                <w:w w:val="100"/>
                <w:position w:val="0"/>
                <w:sz w:val="21"/>
                <w:szCs w:val="21"/>
                <w:highlight w:val="none"/>
              </w:rPr>
            </w:pPr>
            <w:r>
              <w:rPr>
                <w:rFonts w:hint="eastAsia" w:ascii="宋体" w:hAnsi="宋体" w:eastAsia="宋体" w:cs="宋体"/>
                <w:b w:val="0"/>
                <w:bCs w:val="0"/>
                <w:color w:val="auto"/>
                <w:spacing w:val="0"/>
                <w:w w:val="100"/>
                <w:position w:val="0"/>
                <w:sz w:val="21"/>
                <w:szCs w:val="21"/>
                <w:highlight w:val="none"/>
                <w:lang w:val="en-US" w:eastAsia="zh-CN"/>
              </w:rPr>
              <w:t>2.</w:t>
            </w:r>
            <w:r>
              <w:rPr>
                <w:rFonts w:hint="eastAsia" w:ascii="宋体" w:hAnsi="宋体" w:eastAsia="宋体" w:cs="宋体"/>
                <w:b w:val="0"/>
                <w:bCs w:val="0"/>
                <w:color w:val="auto"/>
                <w:spacing w:val="0"/>
                <w:w w:val="100"/>
                <w:position w:val="0"/>
                <w:sz w:val="21"/>
                <w:szCs w:val="21"/>
                <w:highlight w:val="none"/>
              </w:rPr>
              <w:t>以进入比较与评价环节的</w:t>
            </w:r>
            <w:r>
              <w:rPr>
                <w:rFonts w:hint="eastAsia" w:ascii="宋体" w:hAnsi="宋体" w:eastAsia="宋体" w:cs="宋体"/>
                <w:b w:val="0"/>
                <w:bCs w:val="0"/>
                <w:color w:val="auto"/>
                <w:spacing w:val="0"/>
                <w:w w:val="100"/>
                <w:position w:val="0"/>
                <w:sz w:val="21"/>
                <w:szCs w:val="21"/>
                <w:highlight w:val="none"/>
                <w:lang w:val="en-US" w:eastAsia="zh-CN"/>
              </w:rPr>
              <w:t>最后报价的</w:t>
            </w:r>
            <w:r>
              <w:rPr>
                <w:rFonts w:hint="eastAsia" w:ascii="宋体" w:hAnsi="宋体" w:eastAsia="宋体" w:cs="宋体"/>
                <w:b w:val="0"/>
                <w:bCs w:val="0"/>
                <w:color w:val="auto"/>
                <w:spacing w:val="0"/>
                <w:w w:val="100"/>
                <w:position w:val="0"/>
                <w:sz w:val="21"/>
                <w:szCs w:val="21"/>
                <w:highlight w:val="none"/>
              </w:rPr>
              <w:t>最低</w:t>
            </w:r>
            <w:r>
              <w:rPr>
                <w:rFonts w:hint="eastAsia" w:ascii="宋体" w:hAnsi="宋体" w:eastAsia="宋体" w:cs="宋体"/>
                <w:b w:val="0"/>
                <w:bCs w:val="0"/>
                <w:color w:val="auto"/>
                <w:spacing w:val="0"/>
                <w:w w:val="100"/>
                <w:position w:val="0"/>
                <w:sz w:val="21"/>
                <w:szCs w:val="21"/>
                <w:highlight w:val="none"/>
                <w:lang w:val="en-US" w:eastAsia="zh-CN"/>
              </w:rPr>
              <w:t>价格</w:t>
            </w:r>
            <w:r>
              <w:rPr>
                <w:rFonts w:hint="eastAsia" w:ascii="宋体" w:hAnsi="宋体" w:eastAsia="宋体" w:cs="宋体"/>
                <w:b w:val="0"/>
                <w:bCs w:val="0"/>
                <w:color w:val="auto"/>
                <w:spacing w:val="0"/>
                <w:w w:val="100"/>
                <w:position w:val="0"/>
                <w:sz w:val="21"/>
                <w:szCs w:val="21"/>
                <w:highlight w:val="none"/>
              </w:rPr>
              <w:t>为基准价，基准价得分为</w:t>
            </w:r>
            <w:r>
              <w:rPr>
                <w:rFonts w:hint="eastAsia" w:ascii="宋体" w:hAnsi="宋体" w:eastAsia="宋体" w:cs="宋体"/>
                <w:b w:val="0"/>
                <w:bCs w:val="0"/>
                <w:color w:val="auto"/>
                <w:spacing w:val="0"/>
                <w:w w:val="100"/>
                <w:position w:val="0"/>
                <w:sz w:val="21"/>
                <w:szCs w:val="21"/>
                <w:highlight w:val="none"/>
                <w:lang w:val="en-US" w:eastAsia="zh-CN"/>
              </w:rPr>
              <w:t>1</w:t>
            </w:r>
            <w:r>
              <w:rPr>
                <w:rFonts w:hint="eastAsia" w:ascii="宋体" w:hAnsi="宋体" w:cs="宋体"/>
                <w:b w:val="0"/>
                <w:bCs w:val="0"/>
                <w:color w:val="auto"/>
                <w:spacing w:val="0"/>
                <w:w w:val="100"/>
                <w:position w:val="0"/>
                <w:sz w:val="21"/>
                <w:szCs w:val="21"/>
                <w:highlight w:val="none"/>
                <w:lang w:val="en-US" w:eastAsia="zh-CN"/>
              </w:rPr>
              <w:t>5</w:t>
            </w:r>
            <w:r>
              <w:rPr>
                <w:rFonts w:hint="eastAsia" w:ascii="宋体" w:hAnsi="宋体" w:eastAsia="宋体" w:cs="宋体"/>
                <w:b w:val="0"/>
                <w:bCs w:val="0"/>
                <w:color w:val="auto"/>
                <w:spacing w:val="0"/>
                <w:w w:val="100"/>
                <w:position w:val="0"/>
                <w:sz w:val="21"/>
                <w:szCs w:val="21"/>
                <w:highlight w:val="none"/>
              </w:rPr>
              <w:t>分。</w:t>
            </w:r>
          </w:p>
          <w:p w14:paraId="71808133">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rPr>
                <w:rFonts w:hint="eastAsia" w:ascii="宋体" w:hAnsi="宋体" w:eastAsia="宋体" w:cs="宋体"/>
                <w:bCs/>
                <w:color w:val="auto"/>
                <w:sz w:val="21"/>
                <w:szCs w:val="21"/>
                <w:highlight w:val="none"/>
              </w:rPr>
            </w:pPr>
            <w:r>
              <w:rPr>
                <w:rFonts w:hint="eastAsia" w:ascii="宋体" w:hAnsi="宋体" w:eastAsia="宋体" w:cs="宋体"/>
                <w:b w:val="0"/>
                <w:bCs w:val="0"/>
                <w:color w:val="auto"/>
                <w:spacing w:val="0"/>
                <w:w w:val="100"/>
                <w:position w:val="0"/>
                <w:sz w:val="21"/>
                <w:szCs w:val="21"/>
                <w:highlight w:val="none"/>
                <w:lang w:val="en-US" w:eastAsia="zh-CN"/>
              </w:rPr>
              <w:t>3.</w:t>
            </w:r>
            <w:r>
              <w:rPr>
                <w:rFonts w:hint="eastAsia" w:ascii="宋体" w:hAnsi="宋体" w:eastAsia="宋体" w:cs="宋体"/>
                <w:b w:val="0"/>
                <w:bCs w:val="0"/>
                <w:color w:val="auto"/>
                <w:spacing w:val="0"/>
                <w:w w:val="100"/>
                <w:position w:val="0"/>
                <w:sz w:val="21"/>
                <w:szCs w:val="21"/>
                <w:highlight w:val="none"/>
              </w:rPr>
              <w:t>价格分计算公式：报价得分=（基准价/最后报价）×</w:t>
            </w:r>
            <w:r>
              <w:rPr>
                <w:rFonts w:hint="eastAsia" w:ascii="宋体" w:hAnsi="宋体" w:eastAsia="宋体" w:cs="宋体"/>
                <w:b w:val="0"/>
                <w:bCs w:val="0"/>
                <w:color w:val="auto"/>
                <w:spacing w:val="0"/>
                <w:w w:val="100"/>
                <w:position w:val="0"/>
                <w:sz w:val="21"/>
                <w:szCs w:val="21"/>
                <w:highlight w:val="none"/>
                <w:lang w:val="en-US" w:eastAsia="zh-CN"/>
              </w:rPr>
              <w:t>1</w:t>
            </w:r>
            <w:r>
              <w:rPr>
                <w:rFonts w:hint="eastAsia" w:ascii="宋体" w:hAnsi="宋体" w:cs="宋体"/>
                <w:b w:val="0"/>
                <w:bCs w:val="0"/>
                <w:color w:val="auto"/>
                <w:spacing w:val="0"/>
                <w:w w:val="100"/>
                <w:position w:val="0"/>
                <w:sz w:val="21"/>
                <w:szCs w:val="21"/>
                <w:highlight w:val="none"/>
                <w:lang w:val="en-US" w:eastAsia="zh-CN"/>
              </w:rPr>
              <w:t>5</w:t>
            </w:r>
            <w:r>
              <w:rPr>
                <w:rFonts w:hint="eastAsia" w:ascii="宋体" w:hAnsi="宋体" w:eastAsia="宋体" w:cs="宋体"/>
                <w:b w:val="0"/>
                <w:bCs w:val="0"/>
                <w:color w:val="auto"/>
                <w:spacing w:val="0"/>
                <w:w w:val="100"/>
                <w:position w:val="0"/>
                <w:sz w:val="21"/>
                <w:szCs w:val="21"/>
                <w:highlight w:val="none"/>
              </w:rPr>
              <w:t>分</w:t>
            </w:r>
          </w:p>
        </w:tc>
      </w:tr>
      <w:tr w14:paraId="5C228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Merge w:val="restart"/>
            <w:noWrap/>
            <w:vAlign w:val="center"/>
          </w:tcPr>
          <w:p w14:paraId="426D9B62">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w:t>
            </w:r>
          </w:p>
        </w:tc>
        <w:tc>
          <w:tcPr>
            <w:tcW w:w="1129" w:type="dxa"/>
            <w:vMerge w:val="restart"/>
            <w:noWrap/>
            <w:vAlign w:val="center"/>
          </w:tcPr>
          <w:p w14:paraId="30CF6B48">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技术分</w:t>
            </w:r>
          </w:p>
        </w:tc>
        <w:tc>
          <w:tcPr>
            <w:tcW w:w="805" w:type="dxa"/>
            <w:vMerge w:val="restart"/>
            <w:noWrap/>
            <w:vAlign w:val="center"/>
          </w:tcPr>
          <w:p w14:paraId="61D8C1E3">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cs="宋体"/>
                <w:b/>
                <w:color w:val="auto"/>
                <w:sz w:val="21"/>
                <w:szCs w:val="21"/>
                <w:highlight w:val="none"/>
                <w:lang w:val="en-US" w:eastAsia="zh-CN"/>
              </w:rPr>
              <w:t>满分75</w:t>
            </w:r>
            <w:r>
              <w:rPr>
                <w:rFonts w:hint="eastAsia" w:ascii="宋体" w:hAnsi="宋体" w:eastAsia="宋体" w:cs="宋体"/>
                <w:b/>
                <w:color w:val="auto"/>
                <w:sz w:val="21"/>
                <w:szCs w:val="21"/>
                <w:highlight w:val="none"/>
              </w:rPr>
              <w:t>分</w:t>
            </w:r>
          </w:p>
        </w:tc>
        <w:tc>
          <w:tcPr>
            <w:tcW w:w="1564" w:type="dxa"/>
            <w:noWrap/>
            <w:vAlign w:val="center"/>
          </w:tcPr>
          <w:p w14:paraId="0CBD1743">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jc w:val="center"/>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 xml:space="preserve">1实施规划方案（满分 </w:t>
            </w:r>
            <w:r>
              <w:rPr>
                <w:rFonts w:hint="eastAsia" w:ascii="宋体" w:hAnsi="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分）</w:t>
            </w:r>
          </w:p>
        </w:tc>
        <w:tc>
          <w:tcPr>
            <w:tcW w:w="5524" w:type="dxa"/>
            <w:noWrap/>
          </w:tcPr>
          <w:p w14:paraId="01BEE6F9">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firstLine="422" w:firstLineChars="200"/>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评审依据：根据响应文件中提供的实施规划方案进行打分，未提供或提供</w:t>
            </w:r>
            <w:r>
              <w:rPr>
                <w:rFonts w:hint="eastAsia" w:ascii="宋体" w:hAnsi="宋体" w:cs="宋体"/>
                <w:b/>
                <w:bCs/>
                <w:color w:val="auto"/>
                <w:kern w:val="2"/>
                <w:sz w:val="21"/>
                <w:szCs w:val="21"/>
                <w:highlight w:val="none"/>
                <w:lang w:val="en-US" w:eastAsia="zh-CN"/>
              </w:rPr>
              <w:t>不满足以下档次要求</w:t>
            </w:r>
            <w:r>
              <w:rPr>
                <w:rFonts w:hint="eastAsia" w:ascii="宋体" w:hAnsi="宋体" w:eastAsia="宋体" w:cs="宋体"/>
                <w:b/>
                <w:bCs/>
                <w:color w:val="auto"/>
                <w:kern w:val="2"/>
                <w:sz w:val="21"/>
                <w:szCs w:val="21"/>
                <w:highlight w:val="none"/>
                <w:lang w:val="en-US" w:eastAsia="zh-CN"/>
              </w:rPr>
              <w:t>的不得分</w:t>
            </w:r>
            <w:r>
              <w:rPr>
                <w:rFonts w:hint="eastAsia" w:ascii="宋体" w:hAnsi="宋体" w:cs="宋体"/>
                <w:b/>
                <w:bCs/>
                <w:color w:val="auto"/>
                <w:kern w:val="2"/>
                <w:sz w:val="21"/>
                <w:szCs w:val="21"/>
                <w:highlight w:val="none"/>
                <w:lang w:val="en-US" w:eastAsia="zh-CN"/>
              </w:rPr>
              <w:t>。</w:t>
            </w:r>
          </w:p>
          <w:p w14:paraId="43FA0722">
            <w:pPr>
              <w:pStyle w:val="86"/>
              <w:keepNext w:val="0"/>
              <w:keepLines w:val="0"/>
              <w:pageBreakBefore w:val="0"/>
              <w:suppressLineNumbers w:val="0"/>
              <w:kinsoku/>
              <w:wordWrap/>
              <w:overflowPunct/>
              <w:topLinePunct w:val="0"/>
              <w:autoSpaceDE/>
              <w:autoSpaceDN/>
              <w:bidi w:val="0"/>
              <w:adjustRightInd w:val="0"/>
              <w:snapToGrid w:val="0"/>
              <w:spacing w:before="60" w:beforeAutospacing="0" w:after="60" w:afterAutospacing="0" w:line="360" w:lineRule="auto"/>
              <w:ind w:left="0"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一档（10 分）：提供实施规划方案，包括基本的项目背景分析、项目需求分析和基本设计方案，方案基本满足项目需求。</w:t>
            </w:r>
          </w:p>
          <w:p w14:paraId="74A715F8">
            <w:pPr>
              <w:pStyle w:val="86"/>
              <w:keepNext w:val="0"/>
              <w:keepLines w:val="0"/>
              <w:pageBreakBefore w:val="0"/>
              <w:suppressLineNumbers w:val="0"/>
              <w:kinsoku/>
              <w:wordWrap/>
              <w:overflowPunct/>
              <w:topLinePunct w:val="0"/>
              <w:autoSpaceDE/>
              <w:autoSpaceDN/>
              <w:bidi w:val="0"/>
              <w:adjustRightInd w:val="0"/>
              <w:snapToGrid w:val="0"/>
              <w:spacing w:before="60" w:beforeAutospacing="0" w:after="60" w:afterAutospacing="0" w:line="360" w:lineRule="auto"/>
              <w:ind w:left="0"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二档（15 分）：在满足一档要求的基础上，项目背景与需求分析更深入（包含目标、规模、定位等）。设计方案较详细，明确各区域的功能划分和规划。</w:t>
            </w:r>
          </w:p>
          <w:p w14:paraId="3A891889">
            <w:pPr>
              <w:pStyle w:val="86"/>
              <w:keepNext w:val="0"/>
              <w:keepLines w:val="0"/>
              <w:pageBreakBefore w:val="0"/>
              <w:suppressLineNumbers w:val="0"/>
              <w:kinsoku/>
              <w:wordWrap/>
              <w:overflowPunct/>
              <w:topLinePunct w:val="0"/>
              <w:autoSpaceDE/>
              <w:autoSpaceDN/>
              <w:bidi w:val="0"/>
              <w:adjustRightInd w:val="0"/>
              <w:snapToGrid w:val="0"/>
              <w:spacing w:before="60" w:beforeAutospacing="0" w:after="60" w:afterAutospacing="0" w:line="360" w:lineRule="auto"/>
              <w:ind w:left="0"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三档（20 分）：在满足二档要求的基础上，项目背景、需求分析更全面深入，愿景明确。设计方案详细，包含布局设计和效果图，完全满足项目要求。</w:t>
            </w:r>
          </w:p>
          <w:p w14:paraId="3DA757FB">
            <w:pPr>
              <w:pStyle w:val="86"/>
              <w:keepNext w:val="0"/>
              <w:keepLines w:val="0"/>
              <w:pageBreakBefore w:val="0"/>
              <w:suppressLineNumbers w:val="0"/>
              <w:kinsoku/>
              <w:wordWrap/>
              <w:overflowPunct/>
              <w:topLinePunct w:val="0"/>
              <w:autoSpaceDE/>
              <w:autoSpaceDN/>
              <w:bidi w:val="0"/>
              <w:adjustRightInd w:val="0"/>
              <w:snapToGrid w:val="0"/>
              <w:spacing w:before="60" w:beforeAutospacing="0" w:after="60" w:afterAutospacing="0" w:line="360" w:lineRule="auto"/>
              <w:ind w:left="0"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注：不提供或不满足要求不得分。</w:t>
            </w:r>
          </w:p>
        </w:tc>
      </w:tr>
      <w:tr w14:paraId="6595A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28" w:type="dxa"/>
            <w:vMerge w:val="continue"/>
            <w:noWrap/>
            <w:vAlign w:val="center"/>
          </w:tcPr>
          <w:p w14:paraId="4BD7DB62">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p>
        </w:tc>
        <w:tc>
          <w:tcPr>
            <w:tcW w:w="1129" w:type="dxa"/>
            <w:vMerge w:val="continue"/>
            <w:noWrap/>
            <w:vAlign w:val="center"/>
          </w:tcPr>
          <w:p w14:paraId="045EF344">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p>
        </w:tc>
        <w:tc>
          <w:tcPr>
            <w:tcW w:w="805" w:type="dxa"/>
            <w:vMerge w:val="continue"/>
            <w:noWrap/>
            <w:vAlign w:val="center"/>
          </w:tcPr>
          <w:p w14:paraId="0711C72D">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p>
        </w:tc>
        <w:tc>
          <w:tcPr>
            <w:tcW w:w="1564" w:type="dxa"/>
            <w:noWrap/>
            <w:vAlign w:val="center"/>
          </w:tcPr>
          <w:p w14:paraId="7D21B2E3">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jc w:val="center"/>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组织实施方案</w:t>
            </w:r>
            <w:r>
              <w:rPr>
                <w:rFonts w:hint="eastAsia" w:ascii="宋体" w:hAnsi="宋体" w:eastAsia="宋体" w:cs="宋体"/>
                <w:b/>
                <w:bCs/>
                <w:color w:val="auto"/>
                <w:sz w:val="21"/>
                <w:szCs w:val="21"/>
                <w:highlight w:val="none"/>
              </w:rPr>
              <w:t xml:space="preserve">（满分 </w:t>
            </w:r>
            <w:r>
              <w:rPr>
                <w:rFonts w:hint="eastAsia" w:ascii="宋体" w:hAnsi="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 xml:space="preserve"> 分）</w:t>
            </w:r>
          </w:p>
        </w:tc>
        <w:tc>
          <w:tcPr>
            <w:tcW w:w="5524" w:type="dxa"/>
            <w:noWrap/>
            <w:vAlign w:val="center"/>
          </w:tcPr>
          <w:p w14:paraId="74062E83">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firstLine="422" w:firstLineChars="20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rPr>
              <w:t>评审依据：根据响应文件中提供的</w:t>
            </w:r>
            <w:r>
              <w:rPr>
                <w:rFonts w:hint="eastAsia" w:ascii="宋体" w:hAnsi="宋体" w:eastAsia="宋体" w:cs="宋体"/>
                <w:b/>
                <w:bCs/>
                <w:color w:val="auto"/>
                <w:sz w:val="21"/>
                <w:szCs w:val="21"/>
                <w:highlight w:val="none"/>
                <w:lang w:val="en-US" w:eastAsia="zh-CN"/>
              </w:rPr>
              <w:t>组织实施方案</w:t>
            </w:r>
            <w:r>
              <w:rPr>
                <w:rFonts w:hint="eastAsia" w:ascii="宋体" w:hAnsi="宋体" w:eastAsia="宋体" w:cs="宋体"/>
                <w:b/>
                <w:bCs/>
                <w:color w:val="auto"/>
                <w:kern w:val="2"/>
                <w:sz w:val="21"/>
                <w:szCs w:val="21"/>
                <w:highlight w:val="none"/>
                <w:lang w:val="en-US" w:eastAsia="zh-CN"/>
              </w:rPr>
              <w:t>进行打分，未提供或提供</w:t>
            </w:r>
            <w:r>
              <w:rPr>
                <w:rFonts w:hint="eastAsia" w:ascii="宋体" w:hAnsi="宋体" w:cs="宋体"/>
                <w:b/>
                <w:bCs/>
                <w:color w:val="auto"/>
                <w:kern w:val="2"/>
                <w:sz w:val="21"/>
                <w:szCs w:val="21"/>
                <w:highlight w:val="none"/>
                <w:lang w:val="en-US" w:eastAsia="zh-CN"/>
              </w:rPr>
              <w:t>不满足以下档次要求</w:t>
            </w:r>
            <w:r>
              <w:rPr>
                <w:rFonts w:hint="eastAsia" w:ascii="宋体" w:hAnsi="宋体" w:eastAsia="宋体" w:cs="宋体"/>
                <w:b/>
                <w:bCs/>
                <w:color w:val="auto"/>
                <w:kern w:val="2"/>
                <w:sz w:val="21"/>
                <w:szCs w:val="21"/>
                <w:highlight w:val="none"/>
                <w:lang w:val="en-US" w:eastAsia="zh-CN"/>
              </w:rPr>
              <w:t>的不得分。</w:t>
            </w:r>
          </w:p>
          <w:p w14:paraId="79852151">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firstLine="420" w:firstLineChars="200"/>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lang w:val="en-US" w:eastAsia="zh-CN"/>
              </w:rPr>
              <w:t xml:space="preserve">一档（10 分）：提供基本的组织实施方案，包括总体框架、基本管理制度、服务事项及企业入驻流程在内的核心要素，能支撑园区基础运营。 </w:t>
            </w:r>
          </w:p>
          <w:p w14:paraId="52D7225F">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firstLine="420" w:firstLineChars="200"/>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lang w:val="en-US" w:eastAsia="zh-CN"/>
              </w:rPr>
              <w:t xml:space="preserve">二档（15 分）：在满足第一档要求基础上，对宣传推广及活动开展等具体计划进行描述，并制定清晰的实施进度安排。各项内容描述清晰完整，具备良好的可操作性。 </w:t>
            </w:r>
          </w:p>
          <w:p w14:paraId="2DF2A8E3">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firstLine="420" w:firstLineChars="200"/>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lang w:val="en-US" w:eastAsia="zh-CN"/>
              </w:rPr>
              <w:t>三档（20 分）：在满足二档要求的基础上，方案内容更丰富详实，并提供如政策法律服务、融资对接、资源对接等其他服务内容，展现出优秀的可持续运营能力。</w:t>
            </w:r>
          </w:p>
        </w:tc>
      </w:tr>
      <w:tr w14:paraId="7969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continue"/>
            <w:noWrap/>
            <w:vAlign w:val="center"/>
          </w:tcPr>
          <w:p w14:paraId="1A2DF634">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p>
        </w:tc>
        <w:tc>
          <w:tcPr>
            <w:tcW w:w="1129" w:type="dxa"/>
            <w:vMerge w:val="continue"/>
            <w:noWrap/>
            <w:vAlign w:val="center"/>
          </w:tcPr>
          <w:p w14:paraId="7EF1A9BF">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p>
        </w:tc>
        <w:tc>
          <w:tcPr>
            <w:tcW w:w="805" w:type="dxa"/>
            <w:vMerge w:val="continue"/>
            <w:noWrap/>
            <w:vAlign w:val="center"/>
          </w:tcPr>
          <w:p w14:paraId="77BA24B1">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p>
        </w:tc>
        <w:tc>
          <w:tcPr>
            <w:tcW w:w="1564" w:type="dxa"/>
            <w:noWrap/>
            <w:vAlign w:val="center"/>
          </w:tcPr>
          <w:p w14:paraId="3AB38BF1">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jc w:val="center"/>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2.3</w:t>
            </w:r>
            <w:r>
              <w:rPr>
                <w:rFonts w:hint="eastAsia" w:ascii="宋体" w:hAnsi="宋体" w:eastAsia="宋体" w:cs="宋体"/>
                <w:b/>
                <w:bCs/>
                <w:color w:val="auto"/>
                <w:sz w:val="21"/>
                <w:szCs w:val="21"/>
                <w:highlight w:val="none"/>
              </w:rPr>
              <w:t>服务承诺（满分1</w:t>
            </w: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分）</w:t>
            </w:r>
          </w:p>
        </w:tc>
        <w:tc>
          <w:tcPr>
            <w:tcW w:w="5524" w:type="dxa"/>
            <w:noWrap/>
            <w:vAlign w:val="center"/>
          </w:tcPr>
          <w:p w14:paraId="2AA3ED7D">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firstLine="422" w:firstLineChars="200"/>
              <w:rPr>
                <w:rFonts w:hint="eastAsia" w:ascii="宋体" w:hAnsi="宋体" w:cs="宋体"/>
                <w:bCs w:val="0"/>
                <w:color w:val="auto"/>
                <w:sz w:val="21"/>
                <w:szCs w:val="21"/>
                <w:highlight w:val="none"/>
                <w:lang w:eastAsia="zh-CN"/>
              </w:rPr>
            </w:pPr>
            <w:r>
              <w:rPr>
                <w:rFonts w:hint="eastAsia" w:ascii="宋体" w:hAnsi="宋体" w:eastAsia="宋体" w:cs="宋体"/>
                <w:b/>
                <w:bCs/>
                <w:color w:val="auto"/>
                <w:kern w:val="2"/>
                <w:sz w:val="21"/>
                <w:szCs w:val="21"/>
                <w:highlight w:val="none"/>
                <w:lang w:val="en-US" w:eastAsia="zh-CN"/>
              </w:rPr>
              <w:t>评审依据：根据响应文件中提供的服务承诺进行打分，未提供或提供</w:t>
            </w:r>
            <w:r>
              <w:rPr>
                <w:rFonts w:hint="eastAsia" w:ascii="宋体" w:hAnsi="宋体" w:cs="宋体"/>
                <w:b/>
                <w:bCs/>
                <w:color w:val="auto"/>
                <w:kern w:val="2"/>
                <w:sz w:val="21"/>
                <w:szCs w:val="21"/>
                <w:highlight w:val="none"/>
                <w:lang w:val="en-US" w:eastAsia="zh-CN"/>
              </w:rPr>
              <w:t>不满足以下档次要求</w:t>
            </w:r>
            <w:r>
              <w:rPr>
                <w:rFonts w:hint="eastAsia" w:ascii="宋体" w:hAnsi="宋体" w:eastAsia="宋体" w:cs="宋体"/>
                <w:b/>
                <w:bCs/>
                <w:color w:val="auto"/>
                <w:kern w:val="2"/>
                <w:sz w:val="21"/>
                <w:szCs w:val="21"/>
                <w:highlight w:val="none"/>
                <w:lang w:val="en-US" w:eastAsia="zh-CN"/>
              </w:rPr>
              <w:t>的不得分。</w:t>
            </w:r>
          </w:p>
          <w:p w14:paraId="7DB7AC94">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rPr>
                <w:rFonts w:hint="eastAsia" w:ascii="宋体" w:hAnsi="宋体" w:cs="宋体"/>
                <w:bCs w:val="0"/>
                <w:color w:val="auto"/>
                <w:sz w:val="21"/>
                <w:szCs w:val="21"/>
                <w:highlight w:val="none"/>
                <w:lang w:eastAsia="zh-CN"/>
              </w:rPr>
            </w:pPr>
            <w:r>
              <w:rPr>
                <w:rFonts w:hint="eastAsia" w:ascii="宋体" w:hAnsi="宋体" w:cs="宋体"/>
                <w:bCs w:val="0"/>
                <w:color w:val="auto"/>
                <w:sz w:val="21"/>
                <w:szCs w:val="21"/>
                <w:highlight w:val="none"/>
                <w:lang w:val="en-US" w:eastAsia="zh-CN"/>
              </w:rPr>
              <w:t xml:space="preserve">一档（5 分）：服务承诺方案基本满足项目要求，对各项承诺内容进行基本描述。 </w:t>
            </w:r>
          </w:p>
          <w:p w14:paraId="1E8A2694">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rPr>
                <w:rFonts w:hint="eastAsia" w:ascii="宋体" w:hAnsi="宋体" w:cs="宋体"/>
                <w:bCs w:val="0"/>
                <w:color w:val="auto"/>
                <w:sz w:val="21"/>
                <w:szCs w:val="21"/>
                <w:highlight w:val="none"/>
                <w:lang w:eastAsia="zh-CN"/>
              </w:rPr>
            </w:pPr>
            <w:r>
              <w:rPr>
                <w:rFonts w:hint="eastAsia" w:ascii="宋体" w:hAnsi="宋体" w:cs="宋体"/>
                <w:bCs w:val="0"/>
                <w:color w:val="auto"/>
                <w:sz w:val="21"/>
                <w:szCs w:val="21"/>
                <w:highlight w:val="none"/>
                <w:lang w:val="en-US" w:eastAsia="zh-CN"/>
              </w:rPr>
              <w:t xml:space="preserve">二档（10 分）：服务承诺方案基本完整，各项承诺内容合理，措施明确，基本满足项目需求。 </w:t>
            </w:r>
          </w:p>
          <w:p w14:paraId="118C8CAD">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rPr>
                <w:rFonts w:hint="eastAsia" w:ascii="宋体" w:hAnsi="宋体" w:cs="宋体"/>
                <w:bCs w:val="0"/>
                <w:color w:val="auto"/>
                <w:sz w:val="21"/>
                <w:szCs w:val="21"/>
                <w:highlight w:val="none"/>
                <w:lang w:eastAsia="zh-CN"/>
              </w:rPr>
            </w:pPr>
            <w:r>
              <w:rPr>
                <w:rFonts w:hint="eastAsia" w:ascii="宋体" w:hAnsi="宋体" w:cs="宋体"/>
                <w:bCs w:val="0"/>
                <w:color w:val="auto"/>
                <w:sz w:val="21"/>
                <w:szCs w:val="21"/>
                <w:highlight w:val="none"/>
                <w:lang w:val="en-US" w:eastAsia="zh-CN"/>
              </w:rPr>
              <w:t>三档（15 分）：服务承诺方案详细全面，各项承诺具有项目针对性，内容合理，措施明确，服务质量承诺方案优秀。</w:t>
            </w:r>
          </w:p>
        </w:tc>
      </w:tr>
      <w:tr w14:paraId="44323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8" w:type="dxa"/>
            <w:vMerge w:val="continue"/>
            <w:noWrap/>
            <w:vAlign w:val="center"/>
          </w:tcPr>
          <w:p w14:paraId="1D982AAD">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p>
        </w:tc>
        <w:tc>
          <w:tcPr>
            <w:tcW w:w="1129" w:type="dxa"/>
            <w:vMerge w:val="continue"/>
            <w:noWrap/>
            <w:vAlign w:val="center"/>
          </w:tcPr>
          <w:p w14:paraId="0EC41B89">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p>
        </w:tc>
        <w:tc>
          <w:tcPr>
            <w:tcW w:w="805" w:type="dxa"/>
            <w:vMerge w:val="continue"/>
            <w:noWrap/>
            <w:vAlign w:val="center"/>
          </w:tcPr>
          <w:p w14:paraId="48ADF191">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p>
        </w:tc>
        <w:tc>
          <w:tcPr>
            <w:tcW w:w="1564" w:type="dxa"/>
            <w:noWrap/>
            <w:vAlign w:val="center"/>
          </w:tcPr>
          <w:p w14:paraId="16B89318">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4服务保障方案（满分</w:t>
            </w:r>
            <w:r>
              <w:rPr>
                <w:rFonts w:hint="eastAsia" w:ascii="宋体" w:hAnsi="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lang w:val="en-US" w:eastAsia="zh-CN"/>
              </w:rPr>
              <w:t>分）</w:t>
            </w:r>
          </w:p>
        </w:tc>
        <w:tc>
          <w:tcPr>
            <w:tcW w:w="5524" w:type="dxa"/>
            <w:noWrap/>
            <w:vAlign w:val="center"/>
          </w:tcPr>
          <w:p w14:paraId="22B4AEFC">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firstLine="422" w:firstLineChars="200"/>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根据响应文件中提供的</w:t>
            </w:r>
            <w:r>
              <w:rPr>
                <w:rFonts w:hint="eastAsia" w:ascii="宋体" w:hAnsi="宋体" w:eastAsia="宋体" w:cs="宋体"/>
                <w:b/>
                <w:bCs/>
                <w:color w:val="auto"/>
                <w:sz w:val="21"/>
                <w:szCs w:val="21"/>
                <w:highlight w:val="none"/>
                <w:lang w:val="en-US" w:eastAsia="zh-CN"/>
              </w:rPr>
              <w:t>服务保障方案</w:t>
            </w:r>
            <w:r>
              <w:rPr>
                <w:rFonts w:hint="eastAsia" w:ascii="宋体" w:hAnsi="宋体" w:eastAsia="宋体" w:cs="宋体"/>
                <w:b/>
                <w:bCs/>
                <w:color w:val="auto"/>
                <w:kern w:val="2"/>
                <w:sz w:val="21"/>
                <w:szCs w:val="21"/>
                <w:highlight w:val="none"/>
                <w:lang w:val="en-US" w:eastAsia="zh-CN"/>
              </w:rPr>
              <w:t>进行打分，未提供或提供</w:t>
            </w:r>
            <w:r>
              <w:rPr>
                <w:rFonts w:hint="eastAsia" w:ascii="宋体" w:hAnsi="宋体" w:cs="宋体"/>
                <w:b/>
                <w:bCs/>
                <w:color w:val="auto"/>
                <w:kern w:val="2"/>
                <w:sz w:val="21"/>
                <w:szCs w:val="21"/>
                <w:highlight w:val="none"/>
                <w:lang w:val="en-US" w:eastAsia="zh-CN"/>
              </w:rPr>
              <w:t>不满足以下档次要求</w:t>
            </w:r>
            <w:r>
              <w:rPr>
                <w:rFonts w:hint="eastAsia" w:ascii="宋体" w:hAnsi="宋体" w:eastAsia="宋体" w:cs="宋体"/>
                <w:b/>
                <w:bCs/>
                <w:color w:val="auto"/>
                <w:kern w:val="2"/>
                <w:sz w:val="21"/>
                <w:szCs w:val="21"/>
                <w:highlight w:val="none"/>
                <w:lang w:val="en-US" w:eastAsia="zh-CN"/>
              </w:rPr>
              <w:t>的不得分。</w:t>
            </w:r>
          </w:p>
          <w:p w14:paraId="4A390677">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firstLine="210" w:firstLineChars="1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一档（10 分）：提供服务保障方案，包括服务保障的基本措施，基本的应急预案，人员分工的初步构想及至少</w:t>
            </w:r>
            <w:r>
              <w:rPr>
                <w:rFonts w:hint="eastAsia" w:ascii="宋体" w:hAnsi="宋体" w:cs="宋体"/>
                <w:bCs/>
                <w:color w:val="auto"/>
                <w:sz w:val="21"/>
                <w:szCs w:val="21"/>
                <w:highlight w:val="none"/>
                <w:lang w:val="en-US" w:eastAsia="zh-CN"/>
              </w:rPr>
              <w:t>1</w:t>
            </w:r>
            <w:r>
              <w:rPr>
                <w:rFonts w:hint="eastAsia" w:ascii="宋体" w:hAnsi="宋体" w:eastAsia="宋体" w:cs="宋体"/>
                <w:bCs/>
                <w:color w:val="auto"/>
                <w:sz w:val="21"/>
                <w:szCs w:val="21"/>
                <w:highlight w:val="none"/>
                <w:lang w:val="en-US" w:eastAsia="zh-CN"/>
              </w:rPr>
              <w:t xml:space="preserve">种服务响应方式，内容较为概括。 </w:t>
            </w:r>
          </w:p>
          <w:p w14:paraId="4DDC7BC0">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firstLine="210" w:firstLineChars="1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二档（15 分）：在满足一档要求的基础上，服务保障方案内容具体可行，应急预案流程清晰，人员分工明确，能提供至少</w:t>
            </w: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eastAsia="zh-CN"/>
              </w:rPr>
              <w:t xml:space="preserve">种服务响应方式。 </w:t>
            </w:r>
          </w:p>
          <w:p w14:paraId="28B74D24">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firstLine="210" w:firstLineChars="1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三档（20 分）：在满足第二档要求的基础上，服务保障方案、应急预案流程完整详细，能提供至少</w:t>
            </w: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种服务响应方式且服务响应有时限承诺，并建立满意度调查机制，确保服务品质的持续提升。</w:t>
            </w:r>
          </w:p>
        </w:tc>
      </w:tr>
      <w:tr w14:paraId="1373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728" w:type="dxa"/>
            <w:noWrap/>
            <w:vAlign w:val="center"/>
          </w:tcPr>
          <w:p w14:paraId="7DA812A5">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p>
        </w:tc>
        <w:tc>
          <w:tcPr>
            <w:tcW w:w="1129" w:type="dxa"/>
            <w:noWrap/>
            <w:vAlign w:val="center"/>
          </w:tcPr>
          <w:p w14:paraId="2DD66C85">
            <w:pPr>
              <w:keepNext w:val="0"/>
              <w:keepLines w:val="0"/>
              <w:pageBreakBefore w:val="0"/>
              <w:suppressLineNumbers w:val="0"/>
              <w:kinsoku/>
              <w:wordWrap/>
              <w:overflowPunct/>
              <w:topLinePunct w:val="0"/>
              <w:autoSpaceDE/>
              <w:autoSpaceDN/>
              <w:bidi w:val="0"/>
              <w:adjustRightInd w:val="0"/>
              <w:spacing w:before="60" w:beforeAutospacing="0" w:after="6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商务分</w:t>
            </w:r>
          </w:p>
        </w:tc>
        <w:tc>
          <w:tcPr>
            <w:tcW w:w="805" w:type="dxa"/>
            <w:noWrap/>
            <w:vAlign w:val="center"/>
          </w:tcPr>
          <w:p w14:paraId="06546841">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rPr>
                <w:rFonts w:hint="eastAsia" w:ascii="宋体" w:hAnsi="宋体" w:eastAsia="宋体" w:cs="宋体"/>
                <w:b/>
                <w:bCs w:val="0"/>
                <w:color w:val="auto"/>
                <w:sz w:val="21"/>
                <w:szCs w:val="21"/>
                <w:highlight w:val="none"/>
                <w:lang w:val="en-US" w:eastAsia="zh-CN"/>
              </w:rPr>
            </w:pPr>
            <w:r>
              <w:rPr>
                <w:rFonts w:hint="eastAsia" w:ascii="宋体" w:hAnsi="宋体" w:cs="宋体"/>
                <w:b/>
                <w:color w:val="auto"/>
                <w:sz w:val="21"/>
                <w:szCs w:val="21"/>
                <w:highlight w:val="none"/>
                <w:lang w:val="en-US" w:eastAsia="zh-CN"/>
              </w:rPr>
              <w:t>满分10</w:t>
            </w:r>
            <w:r>
              <w:rPr>
                <w:rFonts w:hint="eastAsia" w:ascii="宋体" w:hAnsi="宋体" w:eastAsia="宋体" w:cs="宋体"/>
                <w:b/>
                <w:color w:val="auto"/>
                <w:sz w:val="21"/>
                <w:szCs w:val="21"/>
                <w:highlight w:val="none"/>
              </w:rPr>
              <w:t>分</w:t>
            </w:r>
          </w:p>
        </w:tc>
        <w:tc>
          <w:tcPr>
            <w:tcW w:w="1564" w:type="dxa"/>
            <w:shd w:val="clear" w:color="auto" w:fill="auto"/>
            <w:noWrap/>
            <w:vAlign w:val="center"/>
          </w:tcPr>
          <w:p w14:paraId="035DA1CE">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leftChars="0" w:right="0" w:rightChars="0"/>
              <w:jc w:val="center"/>
              <w:rPr>
                <w:rFonts w:hint="eastAsia" w:ascii="宋体" w:hAnsi="宋体" w:eastAsia="宋体" w:cs="宋体"/>
                <w:b/>
                <w:bCs w:val="0"/>
                <w:color w:val="auto"/>
                <w:kern w:val="2"/>
                <w:sz w:val="21"/>
                <w:szCs w:val="21"/>
                <w:highlight w:val="none"/>
                <w:lang w:val="en-US" w:eastAsia="zh-CN" w:bidi="ar-SA"/>
              </w:rPr>
            </w:pPr>
            <w:r>
              <w:rPr>
                <w:rFonts w:hint="eastAsia" w:ascii="宋体" w:hAnsi="宋体" w:eastAsia="宋体" w:cs="宋体"/>
                <w:b/>
                <w:bCs w:val="0"/>
                <w:color w:val="auto"/>
                <w:sz w:val="21"/>
                <w:szCs w:val="21"/>
                <w:highlight w:val="none"/>
                <w:lang w:val="en-US" w:eastAsia="zh-CN"/>
              </w:rPr>
              <w:t>服务人员</w:t>
            </w:r>
            <w:r>
              <w:rPr>
                <w:rFonts w:hint="eastAsia" w:ascii="宋体" w:hAnsi="宋体" w:cs="宋体"/>
                <w:b/>
                <w:bCs w:val="0"/>
                <w:color w:val="auto"/>
                <w:sz w:val="21"/>
                <w:szCs w:val="21"/>
                <w:highlight w:val="none"/>
                <w:lang w:val="en-US" w:eastAsia="zh-CN"/>
              </w:rPr>
              <w:t>分</w:t>
            </w:r>
            <w:r>
              <w:rPr>
                <w:rFonts w:hint="eastAsia" w:ascii="宋体" w:hAnsi="宋体" w:eastAsia="宋体" w:cs="宋体"/>
                <w:b/>
                <w:bCs w:val="0"/>
                <w:color w:val="auto"/>
                <w:sz w:val="21"/>
                <w:szCs w:val="21"/>
                <w:highlight w:val="none"/>
                <w:lang w:val="en-US" w:eastAsia="zh-CN"/>
              </w:rPr>
              <w:t>（满分</w:t>
            </w:r>
            <w:r>
              <w:rPr>
                <w:rFonts w:hint="eastAsia" w:ascii="宋体" w:hAnsi="宋体" w:cs="宋体"/>
                <w:b/>
                <w:bCs w:val="0"/>
                <w:color w:val="auto"/>
                <w:sz w:val="21"/>
                <w:szCs w:val="21"/>
                <w:highlight w:val="none"/>
                <w:lang w:val="en-US" w:eastAsia="zh-CN"/>
              </w:rPr>
              <w:t>10</w:t>
            </w:r>
            <w:r>
              <w:rPr>
                <w:rFonts w:hint="eastAsia" w:ascii="宋体" w:hAnsi="宋体" w:eastAsia="宋体" w:cs="宋体"/>
                <w:b/>
                <w:bCs w:val="0"/>
                <w:color w:val="auto"/>
                <w:sz w:val="21"/>
                <w:szCs w:val="21"/>
                <w:highlight w:val="none"/>
                <w:lang w:val="en-US" w:eastAsia="zh-CN"/>
              </w:rPr>
              <w:t>分）</w:t>
            </w:r>
          </w:p>
        </w:tc>
        <w:tc>
          <w:tcPr>
            <w:tcW w:w="5524" w:type="dxa"/>
            <w:shd w:val="clear" w:color="auto" w:fill="auto"/>
            <w:noWrap/>
            <w:vAlign w:val="center"/>
          </w:tcPr>
          <w:p w14:paraId="5A6CE879">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服务人员</w:t>
            </w:r>
            <w:r>
              <w:rPr>
                <w:rFonts w:hint="eastAsia" w:ascii="宋体" w:hAnsi="宋体" w:cs="宋体"/>
                <w:b w:val="0"/>
                <w:bCs/>
                <w:color w:val="auto"/>
                <w:sz w:val="21"/>
                <w:szCs w:val="21"/>
                <w:highlight w:val="none"/>
                <w:lang w:val="en-US" w:eastAsia="zh-CN"/>
              </w:rPr>
              <w:t>分</w:t>
            </w:r>
            <w:r>
              <w:rPr>
                <w:rFonts w:hint="eastAsia" w:ascii="宋体" w:hAnsi="宋体" w:eastAsia="宋体" w:cs="宋体"/>
                <w:b w:val="0"/>
                <w:bCs/>
                <w:color w:val="auto"/>
                <w:sz w:val="21"/>
                <w:szCs w:val="21"/>
                <w:highlight w:val="none"/>
                <w:lang w:val="en-US" w:eastAsia="zh-CN"/>
              </w:rPr>
              <w:t>。（满分10 分）</w:t>
            </w:r>
          </w:p>
          <w:p w14:paraId="4EB93D6A">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拟投入本项目服务人员具有大专以上学历</w:t>
            </w:r>
            <w:r>
              <w:rPr>
                <w:rFonts w:hint="eastAsia" w:ascii="宋体" w:hAnsi="宋体" w:cs="宋体"/>
                <w:b w:val="0"/>
                <w:bCs/>
                <w:color w:val="auto"/>
                <w:sz w:val="21"/>
                <w:szCs w:val="21"/>
                <w:highlight w:val="none"/>
                <w:lang w:val="en-US" w:eastAsia="zh-CN"/>
              </w:rPr>
              <w:t>(含大专)</w:t>
            </w:r>
            <w:r>
              <w:rPr>
                <w:rFonts w:hint="eastAsia" w:ascii="宋体" w:hAnsi="宋体" w:eastAsia="宋体" w:cs="宋体"/>
                <w:b w:val="0"/>
                <w:bCs/>
                <w:color w:val="auto"/>
                <w:sz w:val="21"/>
                <w:szCs w:val="21"/>
                <w:highlight w:val="none"/>
                <w:lang w:val="en-US" w:eastAsia="zh-CN"/>
              </w:rPr>
              <w:t xml:space="preserve">、责任心强、专职在岗提供服务的每1人得 </w:t>
            </w:r>
            <w:r>
              <w:rPr>
                <w:rFonts w:hint="eastAsia" w:ascii="宋体" w:hAnsi="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lang w:val="en-US" w:eastAsia="zh-CN"/>
              </w:rPr>
              <w:t>.5分</w:t>
            </w:r>
            <w:r>
              <w:rPr>
                <w:rFonts w:hint="eastAsia" w:ascii="宋体" w:hAnsi="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满分10分。</w:t>
            </w:r>
          </w:p>
          <w:p w14:paraId="65D14BFA">
            <w:pPr>
              <w:keepNext w:val="0"/>
              <w:keepLines w:val="0"/>
              <w:widowControl/>
              <w:suppressLineNumbers w:val="0"/>
              <w:spacing w:before="0" w:beforeAutospacing="0" w:after="0" w:afterAutospacing="0"/>
              <w:ind w:left="0" w:right="0"/>
              <w:jc w:val="left"/>
              <w:rPr>
                <w:rFonts w:hint="eastAsia"/>
                <w:color w:val="auto"/>
                <w:highlight w:val="none"/>
                <w:lang w:val="en-US" w:eastAsia="zh-CN"/>
              </w:rPr>
            </w:pPr>
            <w:r>
              <w:rPr>
                <w:rFonts w:hint="eastAsia" w:ascii="宋体" w:hAnsi="宋体" w:eastAsia="宋体" w:cs="宋体"/>
                <w:b w:val="0"/>
                <w:bCs/>
                <w:color w:val="auto"/>
                <w:sz w:val="21"/>
                <w:szCs w:val="21"/>
                <w:highlight w:val="none"/>
                <w:lang w:val="en-US" w:eastAsia="zh-CN"/>
              </w:rPr>
              <w:t>提供人员</w:t>
            </w:r>
            <w:r>
              <w:rPr>
                <w:rFonts w:hint="eastAsia" w:ascii="宋体" w:hAnsi="宋体" w:cs="宋体"/>
                <w:b w:val="0"/>
                <w:bCs/>
                <w:color w:val="auto"/>
                <w:sz w:val="21"/>
                <w:szCs w:val="21"/>
                <w:highlight w:val="none"/>
                <w:lang w:val="en-US" w:eastAsia="zh-CN"/>
              </w:rPr>
              <w:t>学历</w:t>
            </w:r>
            <w:r>
              <w:rPr>
                <w:rFonts w:hint="eastAsia" w:ascii="宋体" w:hAnsi="宋体" w:eastAsia="宋体" w:cs="宋体"/>
                <w:b w:val="0"/>
                <w:bCs/>
                <w:color w:val="auto"/>
                <w:sz w:val="21"/>
                <w:szCs w:val="21"/>
                <w:highlight w:val="none"/>
                <w:lang w:val="en-US" w:eastAsia="zh-CN"/>
              </w:rPr>
              <w:t>证书复印件，否则不计分。</w:t>
            </w:r>
          </w:p>
        </w:tc>
      </w:tr>
      <w:tr w14:paraId="59184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0" w:type="dxa"/>
            <w:gridSpan w:val="5"/>
            <w:noWrap/>
            <w:vAlign w:val="center"/>
          </w:tcPr>
          <w:p w14:paraId="76DF5A70">
            <w:pPr>
              <w:keepNext w:val="0"/>
              <w:keepLines w:val="0"/>
              <w:pageBreakBefore w:val="0"/>
              <w:suppressLineNumbers w:val="0"/>
              <w:kinsoku/>
              <w:wordWrap/>
              <w:overflowPunct/>
              <w:topLinePunct w:val="0"/>
              <w:autoSpaceDE/>
              <w:autoSpaceDN/>
              <w:bidi w:val="0"/>
              <w:spacing w:before="60" w:beforeAutospacing="0" w:after="60" w:afterAutospacing="0" w:line="360" w:lineRule="auto"/>
              <w:ind w:left="0" w:right="0"/>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rPr>
              <w:t>总得分=1+2+3。（价格分+技术分+商务分=100分）</w:t>
            </w:r>
          </w:p>
        </w:tc>
      </w:tr>
    </w:tbl>
    <w:p w14:paraId="299AB49F">
      <w:pPr>
        <w:pageBreakBefore w:val="0"/>
        <w:numPr>
          <w:ilvl w:val="0"/>
          <w:numId w:val="0"/>
        </w:numPr>
        <w:kinsoku/>
        <w:topLinePunct w:val="0"/>
        <w:bidi w:val="0"/>
        <w:spacing w:before="60" w:after="60" w:line="360" w:lineRule="auto"/>
        <w:ind w:firstLine="420" w:firstLineChars="200"/>
        <w:rPr>
          <w:rFonts w:ascii="宋体" w:hAnsi="宋体"/>
          <w:bCs/>
          <w:color w:val="auto"/>
          <w:szCs w:val="21"/>
          <w:highlight w:val="none"/>
        </w:rPr>
      </w:pPr>
      <w:r>
        <w:rPr>
          <w:rFonts w:hint="eastAsia" w:ascii="宋体" w:hAnsi="宋体"/>
          <w:bCs/>
          <w:color w:val="auto"/>
          <w:szCs w:val="21"/>
          <w:highlight w:val="none"/>
          <w:lang w:val="en-US" w:eastAsia="zh-CN"/>
        </w:rPr>
        <w:t>7.</w:t>
      </w:r>
      <w:r>
        <w:rPr>
          <w:rFonts w:hint="eastAsia" w:ascii="宋体" w:hAnsi="宋体"/>
          <w:bCs/>
          <w:color w:val="auto"/>
          <w:szCs w:val="21"/>
          <w:highlight w:val="none"/>
        </w:rPr>
        <w:t>由磋商小组根据综合评分情况，按照评审得分由高到低顺序推荐3名以上成交候选供应商，并编写评审报告，</w:t>
      </w:r>
      <w:r>
        <w:rPr>
          <w:rFonts w:hint="eastAsia" w:ascii="宋体" w:hAnsi="宋体" w:cs="宋体"/>
          <w:color w:val="auto"/>
          <w:highlight w:val="none"/>
        </w:rPr>
        <w:t>评审报告</w:t>
      </w:r>
      <w:r>
        <w:rPr>
          <w:rFonts w:hint="eastAsia" w:hAnsi="宋体"/>
          <w:color w:val="auto"/>
          <w:highlight w:val="none"/>
        </w:rPr>
        <w:t>通过电子交易平台向采购人、采购代理机构提交。</w:t>
      </w:r>
      <w:r>
        <w:rPr>
          <w:rFonts w:hint="eastAsia" w:ascii="宋体" w:hAnsi="宋体"/>
          <w:bCs/>
          <w:color w:val="auto"/>
          <w:szCs w:val="21"/>
          <w:highlight w:val="none"/>
        </w:rPr>
        <w:t>符合本章第</w:t>
      </w:r>
      <w:r>
        <w:rPr>
          <w:rFonts w:ascii="宋体" w:hAnsi="宋体"/>
          <w:bCs/>
          <w:color w:val="auto"/>
          <w:szCs w:val="21"/>
          <w:highlight w:val="none"/>
        </w:rPr>
        <w:t>4</w:t>
      </w:r>
      <w:r>
        <w:rPr>
          <w:rFonts w:hint="eastAsia" w:ascii="宋体" w:hAnsi="宋体"/>
          <w:bCs/>
          <w:color w:val="auto"/>
          <w:szCs w:val="21"/>
          <w:highlight w:val="none"/>
          <w:lang w:eastAsia="zh-CN"/>
        </w:rPr>
        <w:t>.</w:t>
      </w:r>
      <w:r>
        <w:rPr>
          <w:rFonts w:ascii="宋体" w:hAnsi="宋体"/>
          <w:bCs/>
          <w:color w:val="auto"/>
          <w:szCs w:val="21"/>
          <w:highlight w:val="none"/>
        </w:rPr>
        <w:t>3</w:t>
      </w:r>
      <w:r>
        <w:rPr>
          <w:rFonts w:hint="eastAsia" w:ascii="宋体" w:hAnsi="宋体"/>
          <w:bCs/>
          <w:color w:val="auto"/>
          <w:szCs w:val="21"/>
          <w:highlight w:val="none"/>
        </w:rPr>
        <w:t>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技术要求偏离分由高到低排序）。评审得分、最后报价（不计算价格折扣）、技术得分、技术要求偏离分均相同的，由磋商小组随机抽取推荐。</w:t>
      </w:r>
    </w:p>
    <w:p w14:paraId="3852DE4F">
      <w:pPr>
        <w:pStyle w:val="29"/>
        <w:pageBreakBefore w:val="0"/>
        <w:kinsoku/>
        <w:topLinePunct w:val="0"/>
        <w:bidi w:val="0"/>
        <w:spacing w:before="60" w:after="60" w:line="360" w:lineRule="auto"/>
        <w:ind w:firstLine="210"/>
        <w:rPr>
          <w:color w:val="auto"/>
          <w:highlight w:val="none"/>
        </w:rPr>
      </w:pPr>
    </w:p>
    <w:p w14:paraId="02A7553F">
      <w:pPr>
        <w:pageBreakBefore w:val="0"/>
        <w:kinsoku/>
        <w:topLinePunct w:val="0"/>
        <w:bidi w:val="0"/>
        <w:spacing w:before="60" w:after="60" w:line="360" w:lineRule="auto"/>
        <w:rPr>
          <w:color w:val="auto"/>
          <w:highlight w:val="none"/>
        </w:rPr>
      </w:pPr>
    </w:p>
    <w:p w14:paraId="596550AC">
      <w:pPr>
        <w:rPr>
          <w:color w:val="auto"/>
          <w:highlight w:val="none"/>
        </w:rPr>
      </w:pPr>
    </w:p>
    <w:p w14:paraId="09D6A6A1">
      <w:pPr>
        <w:rPr>
          <w:rFonts w:hint="eastAsia"/>
          <w:color w:val="auto"/>
          <w:highlight w:val="none"/>
        </w:rPr>
      </w:pPr>
    </w:p>
    <w:p w14:paraId="73D8171A">
      <w:pPr>
        <w:pStyle w:val="4"/>
        <w:pageBreakBefore w:val="0"/>
        <w:kinsoku/>
        <w:topLinePunct w:val="0"/>
        <w:bidi w:val="0"/>
        <w:spacing w:before="60" w:after="60" w:line="360" w:lineRule="auto"/>
        <w:jc w:val="center"/>
        <w:rPr>
          <w:rFonts w:hint="eastAsia"/>
          <w:color w:val="auto"/>
          <w:highlight w:val="none"/>
        </w:rPr>
      </w:pPr>
      <w:bookmarkStart w:id="81" w:name="_Toc4136"/>
      <w:r>
        <w:rPr>
          <w:rFonts w:hint="eastAsia"/>
          <w:color w:val="auto"/>
          <w:highlight w:val="none"/>
        </w:rPr>
        <w:t>第五章 响应文件格式</w:t>
      </w:r>
      <w:bookmarkEnd w:id="81"/>
    </w:p>
    <w:p w14:paraId="135F9084">
      <w:pPr>
        <w:rPr>
          <w:color w:val="auto"/>
          <w:highlight w:val="none"/>
        </w:rPr>
      </w:pPr>
    </w:p>
    <w:p w14:paraId="15CB8FCA">
      <w:pPr>
        <w:pStyle w:val="20"/>
        <w:rPr>
          <w:color w:val="auto"/>
          <w:highlight w:val="none"/>
        </w:rPr>
      </w:pPr>
    </w:p>
    <w:p w14:paraId="5B729AF8">
      <w:pPr>
        <w:pageBreakBefore w:val="0"/>
        <w:kinsoku/>
        <w:topLinePunct w:val="0"/>
        <w:bidi w:val="0"/>
        <w:snapToGrid w:val="0"/>
        <w:spacing w:before="60" w:after="60" w:line="360" w:lineRule="auto"/>
        <w:rPr>
          <w:b/>
          <w:color w:val="auto"/>
          <w:sz w:val="32"/>
          <w:szCs w:val="32"/>
          <w:highlight w:val="none"/>
        </w:rPr>
      </w:pPr>
      <w:bookmarkStart w:id="82" w:name="_Toc71366186"/>
      <w:bookmarkStart w:id="83" w:name="_Toc35611516"/>
      <w:bookmarkStart w:id="84" w:name="_Toc31728084"/>
      <w:bookmarkStart w:id="85" w:name="_Toc44229899"/>
      <w:bookmarkStart w:id="86" w:name="_Toc31723070"/>
      <w:bookmarkStart w:id="87" w:name="_Toc35611438"/>
      <w:r>
        <w:rPr>
          <w:rFonts w:hint="eastAsia"/>
          <w:b/>
          <w:color w:val="auto"/>
          <w:sz w:val="32"/>
          <w:szCs w:val="32"/>
          <w:highlight w:val="none"/>
        </w:rPr>
        <w:t>一、资格证明文件格式</w:t>
      </w:r>
      <w:bookmarkEnd w:id="82"/>
      <w:bookmarkEnd w:id="83"/>
      <w:bookmarkEnd w:id="84"/>
      <w:bookmarkEnd w:id="85"/>
      <w:bookmarkEnd w:id="86"/>
      <w:bookmarkEnd w:id="87"/>
    </w:p>
    <w:p w14:paraId="20ADC0A1">
      <w:pPr>
        <w:pageBreakBefore w:val="0"/>
        <w:kinsoku/>
        <w:topLinePunct w:val="0"/>
        <w:bidi w:val="0"/>
        <w:snapToGrid w:val="0"/>
        <w:spacing w:before="60" w:after="60" w:line="360" w:lineRule="auto"/>
        <w:jc w:val="left"/>
        <w:rPr>
          <w:rFonts w:ascii="宋体" w:hAnsi="宋体"/>
          <w:b/>
          <w:color w:val="auto"/>
          <w:sz w:val="24"/>
          <w:highlight w:val="none"/>
        </w:rPr>
      </w:pPr>
      <w:r>
        <w:rPr>
          <w:rFonts w:hint="eastAsia" w:ascii="宋体" w:hAnsi="宋体"/>
          <w:b/>
          <w:color w:val="auto"/>
          <w:sz w:val="32"/>
          <w:szCs w:val="32"/>
          <w:highlight w:val="none"/>
        </w:rPr>
        <w:t>1</w:t>
      </w:r>
      <w:r>
        <w:rPr>
          <w:rFonts w:hint="eastAsia" w:ascii="宋体" w:hAnsi="宋体"/>
          <w:b/>
          <w:color w:val="auto"/>
          <w:sz w:val="32"/>
          <w:szCs w:val="32"/>
          <w:highlight w:val="none"/>
          <w:lang w:eastAsia="zh-CN"/>
        </w:rPr>
        <w:t>.</w:t>
      </w:r>
      <w:r>
        <w:rPr>
          <w:rFonts w:hint="eastAsia" w:ascii="宋体" w:hAnsi="宋体"/>
          <w:b/>
          <w:color w:val="auto"/>
          <w:sz w:val="32"/>
          <w:szCs w:val="32"/>
          <w:highlight w:val="none"/>
        </w:rPr>
        <w:t>资格证明文件封面格式：</w:t>
      </w:r>
    </w:p>
    <w:p w14:paraId="57918BBA">
      <w:pPr>
        <w:pageBreakBefore w:val="0"/>
        <w:kinsoku/>
        <w:topLinePunct w:val="0"/>
        <w:bidi w:val="0"/>
        <w:snapToGrid w:val="0"/>
        <w:spacing w:before="60" w:after="60" w:line="360" w:lineRule="auto"/>
        <w:jc w:val="center"/>
        <w:rPr>
          <w:rFonts w:ascii="宋体" w:hAnsi="宋体"/>
          <w:color w:val="auto"/>
          <w:sz w:val="44"/>
          <w:szCs w:val="44"/>
          <w:highlight w:val="none"/>
        </w:rPr>
      </w:pPr>
    </w:p>
    <w:p w14:paraId="25A7EEFB">
      <w:pPr>
        <w:pageBreakBefore w:val="0"/>
        <w:kinsoku/>
        <w:topLinePunct w:val="0"/>
        <w:bidi w:val="0"/>
        <w:snapToGrid w:val="0"/>
        <w:spacing w:before="60" w:after="60" w:line="360" w:lineRule="auto"/>
        <w:jc w:val="center"/>
        <w:rPr>
          <w:rFonts w:ascii="宋体" w:hAnsi="宋体"/>
          <w:color w:val="auto"/>
          <w:sz w:val="44"/>
          <w:szCs w:val="44"/>
          <w:highlight w:val="none"/>
        </w:rPr>
      </w:pPr>
      <w:r>
        <w:rPr>
          <w:rFonts w:hint="eastAsia" w:ascii="宋体" w:hAnsi="宋体"/>
          <w:color w:val="auto"/>
          <w:sz w:val="44"/>
          <w:szCs w:val="44"/>
          <w:highlight w:val="none"/>
        </w:rPr>
        <w:t>电 子 响 应 文 件</w:t>
      </w:r>
    </w:p>
    <w:p w14:paraId="57E28018">
      <w:pPr>
        <w:pageBreakBefore w:val="0"/>
        <w:kinsoku/>
        <w:topLinePunct w:val="0"/>
        <w:bidi w:val="0"/>
        <w:snapToGrid w:val="0"/>
        <w:spacing w:before="60" w:after="60" w:line="360" w:lineRule="auto"/>
        <w:rPr>
          <w:rFonts w:ascii="宋体" w:hAnsi="宋体"/>
          <w:color w:val="auto"/>
          <w:sz w:val="24"/>
          <w:szCs w:val="20"/>
          <w:highlight w:val="none"/>
        </w:rPr>
      </w:pPr>
    </w:p>
    <w:p w14:paraId="1C6BE5A2">
      <w:pPr>
        <w:pageBreakBefore w:val="0"/>
        <w:kinsoku/>
        <w:topLinePunct w:val="0"/>
        <w:bidi w:val="0"/>
        <w:snapToGrid w:val="0"/>
        <w:spacing w:before="60" w:after="60" w:line="360" w:lineRule="auto"/>
        <w:jc w:val="center"/>
        <w:rPr>
          <w:rFonts w:cs="方正小标宋简体" w:asciiTheme="majorEastAsia" w:hAnsiTheme="majorEastAsia" w:eastAsiaTheme="majorEastAsia"/>
          <w:bCs/>
          <w:color w:val="auto"/>
          <w:sz w:val="44"/>
          <w:szCs w:val="44"/>
          <w:highlight w:val="none"/>
        </w:rPr>
      </w:pPr>
      <w:r>
        <w:rPr>
          <w:rFonts w:hint="eastAsia" w:cs="方正小标宋简体" w:asciiTheme="majorEastAsia" w:hAnsiTheme="majorEastAsia" w:eastAsiaTheme="majorEastAsia"/>
          <w:bCs/>
          <w:color w:val="auto"/>
          <w:sz w:val="44"/>
          <w:szCs w:val="44"/>
          <w:highlight w:val="none"/>
        </w:rPr>
        <w:t>资  格  证  明  文  件</w:t>
      </w:r>
    </w:p>
    <w:p w14:paraId="7ECF9B37">
      <w:pPr>
        <w:pageBreakBefore w:val="0"/>
        <w:kinsoku/>
        <w:topLinePunct w:val="0"/>
        <w:bidi w:val="0"/>
        <w:snapToGrid w:val="0"/>
        <w:spacing w:before="60" w:after="60" w:line="360" w:lineRule="auto"/>
        <w:rPr>
          <w:rFonts w:ascii="宋体" w:hAnsi="宋体"/>
          <w:bCs/>
          <w:color w:val="auto"/>
          <w:sz w:val="24"/>
          <w:szCs w:val="20"/>
          <w:highlight w:val="none"/>
        </w:rPr>
      </w:pPr>
    </w:p>
    <w:p w14:paraId="7A85673A">
      <w:pPr>
        <w:pageBreakBefore w:val="0"/>
        <w:kinsoku/>
        <w:topLinePunct w:val="0"/>
        <w:bidi w:val="0"/>
        <w:snapToGrid w:val="0"/>
        <w:spacing w:before="60" w:after="60" w:line="360" w:lineRule="auto"/>
        <w:rPr>
          <w:rFonts w:ascii="宋体" w:hAnsi="宋体"/>
          <w:bCs/>
          <w:color w:val="auto"/>
          <w:sz w:val="24"/>
          <w:szCs w:val="20"/>
          <w:highlight w:val="none"/>
        </w:rPr>
      </w:pPr>
    </w:p>
    <w:p w14:paraId="245CDCD5">
      <w:pPr>
        <w:pageBreakBefore w:val="0"/>
        <w:kinsoku/>
        <w:topLinePunct w:val="0"/>
        <w:bidi w:val="0"/>
        <w:snapToGrid w:val="0"/>
        <w:spacing w:before="60" w:after="60" w:line="360" w:lineRule="auto"/>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392791E7">
      <w:pPr>
        <w:pageBreakBefore w:val="0"/>
        <w:kinsoku/>
        <w:topLinePunct w:val="0"/>
        <w:bidi w:val="0"/>
        <w:snapToGrid w:val="0"/>
        <w:spacing w:before="60" w:after="60" w:line="360" w:lineRule="auto"/>
        <w:ind w:firstLine="720" w:firstLineChars="225"/>
        <w:rPr>
          <w:rFonts w:ascii="宋体" w:hAnsi="宋体" w:cs="仿宋_GB2312"/>
          <w:bCs/>
          <w:color w:val="auto"/>
          <w:sz w:val="32"/>
          <w:szCs w:val="32"/>
          <w:highlight w:val="none"/>
        </w:rPr>
      </w:pPr>
    </w:p>
    <w:p w14:paraId="6256C8BC">
      <w:pPr>
        <w:pageBreakBefore w:val="0"/>
        <w:kinsoku/>
        <w:topLinePunct w:val="0"/>
        <w:bidi w:val="0"/>
        <w:snapToGrid w:val="0"/>
        <w:spacing w:before="60" w:after="60" w:line="360" w:lineRule="auto"/>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2E1C117A">
      <w:pPr>
        <w:pageBreakBefore w:val="0"/>
        <w:kinsoku/>
        <w:topLinePunct w:val="0"/>
        <w:bidi w:val="0"/>
        <w:snapToGrid w:val="0"/>
        <w:spacing w:before="60" w:after="60" w:line="360" w:lineRule="auto"/>
        <w:ind w:firstLine="720" w:firstLineChars="225"/>
        <w:rPr>
          <w:rFonts w:ascii="宋体" w:hAnsi="宋体" w:cs="仿宋_GB2312"/>
          <w:bCs/>
          <w:color w:val="auto"/>
          <w:sz w:val="32"/>
          <w:szCs w:val="32"/>
          <w:highlight w:val="none"/>
        </w:rPr>
      </w:pPr>
    </w:p>
    <w:p w14:paraId="7050B8F7">
      <w:pPr>
        <w:pageBreakBefore w:val="0"/>
        <w:kinsoku/>
        <w:topLinePunct w:val="0"/>
        <w:bidi w:val="0"/>
        <w:snapToGrid w:val="0"/>
        <w:spacing w:before="60" w:after="60" w:line="360" w:lineRule="auto"/>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3847C87B">
      <w:pPr>
        <w:pStyle w:val="8"/>
        <w:pageBreakBefore w:val="0"/>
        <w:kinsoku/>
        <w:topLinePunct w:val="0"/>
        <w:bidi w:val="0"/>
        <w:snapToGrid w:val="0"/>
        <w:spacing w:before="60" w:after="60" w:line="360" w:lineRule="auto"/>
        <w:ind w:firstLine="720" w:firstLineChars="225"/>
        <w:rPr>
          <w:rFonts w:hint="eastAsia" w:ascii="宋体" w:hAnsi="宋体" w:cs="仿宋_GB2312"/>
          <w:bCs/>
          <w:color w:val="auto"/>
          <w:sz w:val="32"/>
          <w:szCs w:val="32"/>
          <w:highlight w:val="none"/>
        </w:rPr>
      </w:pPr>
    </w:p>
    <w:p w14:paraId="2B4BFC54">
      <w:pPr>
        <w:pStyle w:val="8"/>
        <w:pageBreakBefore w:val="0"/>
        <w:kinsoku/>
        <w:topLinePunct w:val="0"/>
        <w:bidi w:val="0"/>
        <w:snapToGrid w:val="0"/>
        <w:spacing w:before="60" w:after="60" w:line="360" w:lineRule="auto"/>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35892054">
      <w:pPr>
        <w:pageBreakBefore w:val="0"/>
        <w:kinsoku/>
        <w:topLinePunct w:val="0"/>
        <w:bidi w:val="0"/>
        <w:snapToGrid w:val="0"/>
        <w:spacing w:before="60" w:after="60" w:line="360" w:lineRule="auto"/>
        <w:ind w:firstLine="640" w:firstLineChars="200"/>
        <w:rPr>
          <w:rFonts w:ascii="宋体" w:hAnsi="宋体" w:cs="仿宋_GB2312"/>
          <w:bCs/>
          <w:color w:val="auto"/>
          <w:sz w:val="32"/>
          <w:szCs w:val="32"/>
          <w:highlight w:val="none"/>
        </w:rPr>
      </w:pPr>
    </w:p>
    <w:p w14:paraId="785EC398">
      <w:pPr>
        <w:pageBreakBefore w:val="0"/>
        <w:kinsoku/>
        <w:topLinePunct w:val="0"/>
        <w:bidi w:val="0"/>
        <w:snapToGrid w:val="0"/>
        <w:spacing w:before="60" w:after="60" w:line="360" w:lineRule="auto"/>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5853C046">
      <w:pPr>
        <w:pageBreakBefore w:val="0"/>
        <w:kinsoku/>
        <w:topLinePunct w:val="0"/>
        <w:bidi w:val="0"/>
        <w:snapToGrid w:val="0"/>
        <w:spacing w:before="60" w:after="60" w:line="360" w:lineRule="auto"/>
        <w:ind w:left="142"/>
        <w:jc w:val="left"/>
        <w:rPr>
          <w:rFonts w:ascii="宋体" w:hAnsi="宋体"/>
          <w:b/>
          <w:bCs/>
          <w:color w:val="auto"/>
          <w:sz w:val="32"/>
          <w:szCs w:val="32"/>
          <w:highlight w:val="none"/>
        </w:rPr>
      </w:pPr>
      <w:r>
        <w:rPr>
          <w:rFonts w:ascii="宋体" w:hAnsi="宋体"/>
          <w:color w:val="auto"/>
          <w:sz w:val="24"/>
          <w:highlight w:val="none"/>
        </w:rPr>
        <w:br w:type="page"/>
      </w:r>
      <w:r>
        <w:rPr>
          <w:rFonts w:hint="eastAsia" w:ascii="宋体" w:hAnsi="宋体"/>
          <w:b/>
          <w:bCs/>
          <w:color w:val="auto"/>
          <w:sz w:val="32"/>
          <w:szCs w:val="32"/>
          <w:highlight w:val="none"/>
        </w:rPr>
        <w:t>2</w:t>
      </w:r>
      <w:r>
        <w:rPr>
          <w:rFonts w:hint="eastAsia" w:ascii="宋体" w:hAnsi="宋体"/>
          <w:b/>
          <w:bCs/>
          <w:color w:val="auto"/>
          <w:sz w:val="32"/>
          <w:szCs w:val="32"/>
          <w:highlight w:val="none"/>
          <w:lang w:eastAsia="zh-CN"/>
        </w:rPr>
        <w:t>.</w:t>
      </w:r>
      <w:r>
        <w:rPr>
          <w:rFonts w:hint="eastAsia" w:ascii="宋体" w:hAnsi="宋体"/>
          <w:b/>
          <w:bCs/>
          <w:color w:val="auto"/>
          <w:sz w:val="32"/>
          <w:szCs w:val="32"/>
          <w:highlight w:val="none"/>
        </w:rPr>
        <w:t>资格证明文件目录</w:t>
      </w:r>
    </w:p>
    <w:p w14:paraId="1EB5D64E">
      <w:pPr>
        <w:pageBreakBefore w:val="0"/>
        <w:kinsoku/>
        <w:topLinePunct w:val="0"/>
        <w:bidi w:val="0"/>
        <w:snapToGrid w:val="0"/>
        <w:spacing w:before="60" w:after="60" w:line="360" w:lineRule="auto"/>
        <w:ind w:firstLine="645"/>
        <w:rPr>
          <w:rFonts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68BA05F6">
      <w:pPr>
        <w:pageBreakBefore w:val="0"/>
        <w:kinsoku/>
        <w:topLinePunct w:val="0"/>
        <w:bidi w:val="0"/>
        <w:snapToGrid w:val="0"/>
        <w:spacing w:before="60" w:after="60" w:line="360" w:lineRule="auto"/>
        <w:rPr>
          <w:rFonts w:ascii="宋体" w:hAnsi="宋体"/>
          <w:color w:val="auto"/>
          <w:sz w:val="24"/>
          <w:szCs w:val="20"/>
          <w:highlight w:val="none"/>
        </w:rPr>
      </w:pPr>
    </w:p>
    <w:p w14:paraId="7B5FDA55">
      <w:pPr>
        <w:pageBreakBefore w:val="0"/>
        <w:kinsoku/>
        <w:topLinePunct w:val="0"/>
        <w:bidi w:val="0"/>
        <w:spacing w:before="60" w:after="60" w:line="360" w:lineRule="auto"/>
        <w:rPr>
          <w:rFonts w:ascii="宋体" w:hAnsi="宋体"/>
          <w:color w:val="auto"/>
          <w:szCs w:val="21"/>
          <w:highlight w:val="none"/>
        </w:rPr>
      </w:pPr>
    </w:p>
    <w:p w14:paraId="635AB1D7">
      <w:pPr>
        <w:pageBreakBefore w:val="0"/>
        <w:kinsoku/>
        <w:topLinePunct w:val="0"/>
        <w:bidi w:val="0"/>
        <w:spacing w:before="60" w:after="60" w:line="360" w:lineRule="auto"/>
        <w:rPr>
          <w:rFonts w:ascii="宋体" w:hAnsi="宋体"/>
          <w:color w:val="auto"/>
          <w:szCs w:val="21"/>
          <w:highlight w:val="none"/>
        </w:rPr>
      </w:pPr>
    </w:p>
    <w:p w14:paraId="76CF3A65">
      <w:pPr>
        <w:pageBreakBefore w:val="0"/>
        <w:kinsoku/>
        <w:topLinePunct w:val="0"/>
        <w:bidi w:val="0"/>
        <w:spacing w:before="60" w:after="60" w:line="360" w:lineRule="auto"/>
        <w:rPr>
          <w:rFonts w:ascii="宋体" w:hAnsi="宋体"/>
          <w:color w:val="auto"/>
          <w:szCs w:val="21"/>
          <w:highlight w:val="none"/>
        </w:rPr>
      </w:pPr>
    </w:p>
    <w:p w14:paraId="715A1CF9">
      <w:pPr>
        <w:pageBreakBefore w:val="0"/>
        <w:kinsoku/>
        <w:topLinePunct w:val="0"/>
        <w:bidi w:val="0"/>
        <w:spacing w:before="60" w:after="60" w:line="360" w:lineRule="auto"/>
        <w:rPr>
          <w:rFonts w:ascii="宋体" w:hAnsi="宋体"/>
          <w:color w:val="auto"/>
          <w:szCs w:val="21"/>
          <w:highlight w:val="none"/>
        </w:rPr>
      </w:pPr>
    </w:p>
    <w:p w14:paraId="19953EED">
      <w:pPr>
        <w:pageBreakBefore w:val="0"/>
        <w:kinsoku/>
        <w:topLinePunct w:val="0"/>
        <w:bidi w:val="0"/>
        <w:spacing w:before="60" w:after="60" w:line="360" w:lineRule="auto"/>
        <w:rPr>
          <w:rFonts w:ascii="宋体" w:hAnsi="宋体"/>
          <w:color w:val="auto"/>
          <w:szCs w:val="21"/>
          <w:highlight w:val="none"/>
        </w:rPr>
      </w:pPr>
    </w:p>
    <w:p w14:paraId="346D9A96">
      <w:pPr>
        <w:pageBreakBefore w:val="0"/>
        <w:kinsoku/>
        <w:topLinePunct w:val="0"/>
        <w:bidi w:val="0"/>
        <w:spacing w:before="60" w:after="60" w:line="360" w:lineRule="auto"/>
        <w:rPr>
          <w:rFonts w:ascii="宋体" w:hAnsi="宋体"/>
          <w:color w:val="auto"/>
          <w:szCs w:val="21"/>
          <w:highlight w:val="none"/>
        </w:rPr>
      </w:pPr>
    </w:p>
    <w:p w14:paraId="771AB2A6">
      <w:pPr>
        <w:pageBreakBefore w:val="0"/>
        <w:kinsoku/>
        <w:topLinePunct w:val="0"/>
        <w:bidi w:val="0"/>
        <w:spacing w:before="60" w:after="60" w:line="360" w:lineRule="auto"/>
        <w:rPr>
          <w:rFonts w:ascii="宋体" w:hAnsi="宋体"/>
          <w:color w:val="auto"/>
          <w:szCs w:val="21"/>
          <w:highlight w:val="none"/>
        </w:rPr>
      </w:pPr>
    </w:p>
    <w:p w14:paraId="617103F1">
      <w:pPr>
        <w:pageBreakBefore w:val="0"/>
        <w:kinsoku/>
        <w:topLinePunct w:val="0"/>
        <w:bidi w:val="0"/>
        <w:spacing w:before="60" w:after="60" w:line="360" w:lineRule="auto"/>
        <w:rPr>
          <w:rFonts w:ascii="宋体" w:hAnsi="宋体"/>
          <w:color w:val="auto"/>
          <w:szCs w:val="21"/>
          <w:highlight w:val="none"/>
        </w:rPr>
      </w:pPr>
    </w:p>
    <w:p w14:paraId="4CB926F8">
      <w:pPr>
        <w:pageBreakBefore w:val="0"/>
        <w:kinsoku/>
        <w:topLinePunct w:val="0"/>
        <w:bidi w:val="0"/>
        <w:spacing w:before="60" w:after="60" w:line="360" w:lineRule="auto"/>
        <w:rPr>
          <w:rFonts w:ascii="宋体" w:hAnsi="宋体"/>
          <w:color w:val="auto"/>
          <w:szCs w:val="21"/>
          <w:highlight w:val="none"/>
        </w:rPr>
      </w:pPr>
    </w:p>
    <w:p w14:paraId="6A22DF43">
      <w:pPr>
        <w:pageBreakBefore w:val="0"/>
        <w:kinsoku/>
        <w:topLinePunct w:val="0"/>
        <w:bidi w:val="0"/>
        <w:spacing w:before="60" w:after="60" w:line="360" w:lineRule="auto"/>
        <w:rPr>
          <w:rFonts w:ascii="宋体" w:hAnsi="宋体"/>
          <w:color w:val="auto"/>
          <w:szCs w:val="21"/>
          <w:highlight w:val="none"/>
        </w:rPr>
      </w:pPr>
    </w:p>
    <w:p w14:paraId="0D7C979C">
      <w:pPr>
        <w:pageBreakBefore w:val="0"/>
        <w:kinsoku/>
        <w:topLinePunct w:val="0"/>
        <w:bidi w:val="0"/>
        <w:spacing w:before="60" w:after="60" w:line="360" w:lineRule="auto"/>
        <w:rPr>
          <w:rFonts w:ascii="宋体" w:hAnsi="宋体"/>
          <w:color w:val="auto"/>
          <w:szCs w:val="21"/>
          <w:highlight w:val="none"/>
        </w:rPr>
      </w:pPr>
    </w:p>
    <w:p w14:paraId="04C3CEAF">
      <w:pPr>
        <w:pageBreakBefore w:val="0"/>
        <w:kinsoku/>
        <w:topLinePunct w:val="0"/>
        <w:bidi w:val="0"/>
        <w:spacing w:before="60" w:after="60" w:line="360" w:lineRule="auto"/>
        <w:rPr>
          <w:rFonts w:ascii="宋体" w:hAnsi="宋体"/>
          <w:color w:val="auto"/>
          <w:szCs w:val="21"/>
          <w:highlight w:val="none"/>
        </w:rPr>
      </w:pPr>
    </w:p>
    <w:p w14:paraId="2CD0D9FD">
      <w:pPr>
        <w:pageBreakBefore w:val="0"/>
        <w:kinsoku/>
        <w:topLinePunct w:val="0"/>
        <w:bidi w:val="0"/>
        <w:spacing w:before="60" w:after="60" w:line="360" w:lineRule="auto"/>
        <w:rPr>
          <w:rFonts w:ascii="宋体" w:hAnsi="宋体"/>
          <w:color w:val="auto"/>
          <w:szCs w:val="21"/>
          <w:highlight w:val="none"/>
        </w:rPr>
      </w:pPr>
    </w:p>
    <w:p w14:paraId="53FC437D">
      <w:pPr>
        <w:pageBreakBefore w:val="0"/>
        <w:kinsoku/>
        <w:topLinePunct w:val="0"/>
        <w:bidi w:val="0"/>
        <w:spacing w:before="60" w:after="60" w:line="360" w:lineRule="auto"/>
        <w:rPr>
          <w:rFonts w:ascii="宋体" w:hAnsi="宋体"/>
          <w:color w:val="auto"/>
          <w:szCs w:val="21"/>
          <w:highlight w:val="none"/>
        </w:rPr>
      </w:pPr>
    </w:p>
    <w:p w14:paraId="3B9FC91C">
      <w:pPr>
        <w:pageBreakBefore w:val="0"/>
        <w:kinsoku/>
        <w:topLinePunct w:val="0"/>
        <w:bidi w:val="0"/>
        <w:spacing w:before="60" w:after="60" w:line="360" w:lineRule="auto"/>
        <w:rPr>
          <w:rFonts w:ascii="宋体" w:hAnsi="宋体"/>
          <w:color w:val="auto"/>
          <w:szCs w:val="21"/>
          <w:highlight w:val="none"/>
        </w:rPr>
      </w:pPr>
    </w:p>
    <w:p w14:paraId="00021E72">
      <w:pPr>
        <w:pageBreakBefore w:val="0"/>
        <w:kinsoku/>
        <w:topLinePunct w:val="0"/>
        <w:bidi w:val="0"/>
        <w:spacing w:before="60" w:after="60" w:line="360" w:lineRule="auto"/>
        <w:jc w:val="left"/>
        <w:rPr>
          <w:rFonts w:ascii="宋体" w:hAnsi="宋体"/>
          <w:color w:val="auto"/>
          <w:szCs w:val="21"/>
          <w:highlight w:val="none"/>
        </w:rPr>
      </w:pPr>
      <w:r>
        <w:rPr>
          <w:rFonts w:ascii="宋体" w:hAnsi="宋体"/>
          <w:color w:val="auto"/>
          <w:szCs w:val="21"/>
          <w:highlight w:val="none"/>
        </w:rPr>
        <w:br w:type="page"/>
      </w:r>
    </w:p>
    <w:p w14:paraId="6294C159">
      <w:pPr>
        <w:pageBreakBefore w:val="0"/>
        <w:kinsoku/>
        <w:wordWrap w:val="0"/>
        <w:topLinePunct w:val="0"/>
        <w:bidi w:val="0"/>
        <w:spacing w:before="60" w:after="60" w:line="360" w:lineRule="auto"/>
        <w:ind w:right="482" w:firstLine="210" w:firstLineChars="100"/>
        <w:contextualSpacing/>
        <w:jc w:val="center"/>
        <w:rPr>
          <w:rFonts w:ascii="宋体" w:hAnsi="宋体"/>
          <w:color w:val="auto"/>
          <w:szCs w:val="21"/>
          <w:highlight w:val="none"/>
        </w:rPr>
      </w:pPr>
    </w:p>
    <w:p w14:paraId="06885707">
      <w:pPr>
        <w:pageBreakBefore w:val="0"/>
        <w:kinsoku/>
        <w:topLinePunct w:val="0"/>
        <w:bidi w:val="0"/>
        <w:spacing w:before="60" w:after="60" w:line="360" w:lineRule="auto"/>
        <w:jc w:val="center"/>
        <w:rPr>
          <w:rFonts w:ascii="宋体" w:hAnsi="宋体"/>
          <w:b/>
          <w:color w:val="auto"/>
          <w:sz w:val="32"/>
          <w:szCs w:val="32"/>
          <w:highlight w:val="none"/>
        </w:rPr>
      </w:pPr>
      <w:r>
        <w:rPr>
          <w:rFonts w:hint="eastAsia" w:ascii="宋体" w:hAnsi="宋体"/>
          <w:b/>
          <w:color w:val="auto"/>
          <w:sz w:val="32"/>
          <w:szCs w:val="32"/>
          <w:highlight w:val="none"/>
        </w:rPr>
        <w:t>供应商直接控股、管理关系信息表</w:t>
      </w:r>
    </w:p>
    <w:p w14:paraId="723B7C0D">
      <w:pPr>
        <w:pageBreakBefore w:val="0"/>
        <w:kinsoku/>
        <w:topLinePunct w:val="0"/>
        <w:bidi w:val="0"/>
        <w:snapToGrid w:val="0"/>
        <w:spacing w:before="60" w:after="60" w:line="360" w:lineRule="auto"/>
        <w:jc w:val="center"/>
        <w:rPr>
          <w:rFonts w:ascii="宋体" w:hAnsi="宋体"/>
          <w:b/>
          <w:color w:val="auto"/>
          <w:sz w:val="24"/>
          <w:highlight w:val="none"/>
        </w:rPr>
      </w:pPr>
    </w:p>
    <w:p w14:paraId="34B7339D">
      <w:pPr>
        <w:pageBreakBefore w:val="0"/>
        <w:kinsoku/>
        <w:topLinePunct w:val="0"/>
        <w:bidi w:val="0"/>
        <w:spacing w:before="60" w:after="60" w:line="360" w:lineRule="auto"/>
        <w:contextualSpacing/>
        <w:jc w:val="center"/>
        <w:rPr>
          <w:rFonts w:ascii="宋体" w:hAnsi="宋体"/>
          <w:b/>
          <w:color w:val="auto"/>
          <w:sz w:val="32"/>
          <w:szCs w:val="32"/>
          <w:highlight w:val="none"/>
        </w:rPr>
      </w:pPr>
      <w:r>
        <w:rPr>
          <w:rFonts w:hint="eastAsia" w:ascii="宋体" w:hAnsi="宋体"/>
          <w:b/>
          <w:color w:val="auto"/>
          <w:sz w:val="32"/>
          <w:szCs w:val="32"/>
          <w:highlight w:val="none"/>
        </w:rPr>
        <w:t>供应商直接控股股东信息表</w:t>
      </w:r>
    </w:p>
    <w:p w14:paraId="78A70C1A">
      <w:pPr>
        <w:pageBreakBefore w:val="0"/>
        <w:kinsoku/>
        <w:topLinePunct w:val="0"/>
        <w:bidi w:val="0"/>
        <w:spacing w:before="60" w:after="60" w:line="360" w:lineRule="auto"/>
        <w:contextualSpacing/>
        <w:jc w:val="center"/>
        <w:rPr>
          <w:rFonts w:ascii="宋体" w:hAnsi="宋体"/>
          <w:b/>
          <w:color w:val="auto"/>
          <w:sz w:val="24"/>
          <w:highlight w:val="none"/>
        </w:rPr>
      </w:pPr>
    </w:p>
    <w:tbl>
      <w:tblPr>
        <w:tblStyle w:val="31"/>
        <w:tblW w:w="10147" w:type="dxa"/>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0ACE9D57">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A4FCFD3">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C44CB7A">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3582703">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53018A6">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49D9E34">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3F00CEF7">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5DD018F">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368CE3A">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6A4644E">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EB22941">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A65094">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r>
      <w:tr w14:paraId="4FF2AA7D">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AD8E471">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7105AFF">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EA7FBFE">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B80253D">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9D8387B">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r>
      <w:tr w14:paraId="64AE4548">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1F3B97">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60A32EC">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3773154">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D0DD7DF">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E4F8EAC">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r>
      <w:tr w14:paraId="417CF90F">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64344A1">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r>
              <w:rPr>
                <w:rFonts w:hint="eastAsia" w:ascii="宋体" w:hAnsi="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D050E70">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CE368D5">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245A287">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4073C6A">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r>
    </w:tbl>
    <w:p w14:paraId="56070956">
      <w:pPr>
        <w:pageBreakBefore w:val="0"/>
        <w:kinsoku/>
        <w:topLinePunct w:val="0"/>
        <w:bidi w:val="0"/>
        <w:spacing w:before="60" w:after="60" w:line="360" w:lineRule="auto"/>
        <w:contextualSpacing/>
        <w:jc w:val="left"/>
        <w:rPr>
          <w:rFonts w:ascii="宋体" w:hAnsi="宋体" w:cs="宋体"/>
          <w:color w:val="auto"/>
          <w:sz w:val="24"/>
          <w:highlight w:val="none"/>
        </w:rPr>
      </w:pPr>
      <w:r>
        <w:rPr>
          <w:rFonts w:hint="eastAsia" w:ascii="宋体" w:hAnsi="宋体" w:cs="宋体"/>
          <w:color w:val="auto"/>
          <w:sz w:val="24"/>
          <w:highlight w:val="none"/>
        </w:rPr>
        <w:t>注：</w:t>
      </w:r>
    </w:p>
    <w:p w14:paraId="2CFB50CF">
      <w:pPr>
        <w:pageBreakBefore w:val="0"/>
        <w:kinsoku/>
        <w:topLinePunct w:val="0"/>
        <w:bidi w:val="0"/>
        <w:spacing w:before="60" w:after="60" w:line="360" w:lineRule="auto"/>
        <w:ind w:firstLine="480" w:firstLineChars="200"/>
        <w:contextualSpacing/>
        <w:jc w:val="left"/>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eastAsia="zh-CN"/>
        </w:rPr>
        <w:t>.</w:t>
      </w:r>
      <w:r>
        <w:rPr>
          <w:rFonts w:hint="eastAsia" w:ascii="宋体" w:hAnsi="宋体" w:cs="宋体"/>
          <w:color w:val="auto"/>
          <w:sz w:val="24"/>
          <w:highlight w:val="none"/>
        </w:rPr>
        <w:t>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CAEF2AF">
      <w:pPr>
        <w:pageBreakBefore w:val="0"/>
        <w:kinsoku/>
        <w:topLinePunct w:val="0"/>
        <w:bidi w:val="0"/>
        <w:spacing w:before="60" w:after="60" w:line="360" w:lineRule="auto"/>
        <w:ind w:firstLine="480" w:firstLineChars="200"/>
        <w:contextualSpacing/>
        <w:jc w:val="left"/>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lang w:eastAsia="zh-CN"/>
        </w:rPr>
        <w:t>.</w:t>
      </w:r>
      <w:r>
        <w:rPr>
          <w:rFonts w:hint="eastAsia" w:ascii="宋体" w:hAnsi="宋体" w:cs="宋体"/>
          <w:color w:val="auto"/>
          <w:sz w:val="24"/>
          <w:highlight w:val="none"/>
        </w:rPr>
        <w:t>本表所指的控股关系仅限于直接控股关系，不包括间接的控股关系。公司实际控制人与公司之间的关系不属于本表所指的直接控股关系。</w:t>
      </w:r>
    </w:p>
    <w:p w14:paraId="462E2A06">
      <w:pPr>
        <w:pageBreakBefore w:val="0"/>
        <w:kinsoku/>
        <w:topLinePunct w:val="0"/>
        <w:bidi w:val="0"/>
        <w:spacing w:before="60" w:after="60" w:line="360" w:lineRule="auto"/>
        <w:ind w:firstLine="480" w:firstLineChars="200"/>
        <w:contextualSpacing/>
        <w:jc w:val="left"/>
        <w:rPr>
          <w:rFonts w:ascii="宋体" w:hAnsi="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eastAsia="zh-CN"/>
        </w:rPr>
        <w:t>.</w:t>
      </w:r>
      <w:r>
        <w:rPr>
          <w:rFonts w:hint="eastAsia" w:ascii="宋体" w:hAnsi="宋体" w:cs="宋体"/>
          <w:color w:val="auto"/>
          <w:sz w:val="24"/>
          <w:highlight w:val="none"/>
        </w:rPr>
        <w:t>供应商不存在直接控股股东的，</w:t>
      </w:r>
      <w:r>
        <w:rPr>
          <w:rFonts w:hint="eastAsia" w:ascii="宋体" w:hAnsi="宋体"/>
          <w:color w:val="auto"/>
          <w:sz w:val="24"/>
          <w:highlight w:val="none"/>
        </w:rPr>
        <w:t>则在“直接控股股东名称”填“无”</w:t>
      </w:r>
      <w:r>
        <w:rPr>
          <w:rFonts w:hint="eastAsia" w:ascii="宋体" w:hAnsi="宋体" w:cs="宋体"/>
          <w:color w:val="auto"/>
          <w:sz w:val="24"/>
          <w:highlight w:val="none"/>
        </w:rPr>
        <w:t>。</w:t>
      </w:r>
    </w:p>
    <w:p w14:paraId="6FE3B44F">
      <w:pPr>
        <w:pageBreakBefore w:val="0"/>
        <w:kinsoku/>
        <w:topLinePunct w:val="0"/>
        <w:bidi w:val="0"/>
        <w:spacing w:before="60" w:after="60" w:line="360" w:lineRule="auto"/>
        <w:ind w:firstLine="420" w:firstLineChars="200"/>
        <w:contextualSpacing/>
        <w:jc w:val="left"/>
        <w:rPr>
          <w:rFonts w:ascii="宋体" w:hAnsi="宋体" w:cs="宋体"/>
          <w:color w:val="auto"/>
          <w:szCs w:val="21"/>
          <w:highlight w:val="none"/>
        </w:rPr>
      </w:pPr>
    </w:p>
    <w:p w14:paraId="4FECE68B">
      <w:pPr>
        <w:pageBreakBefore w:val="0"/>
        <w:kinsoku/>
        <w:topLinePunct w:val="0"/>
        <w:bidi w:val="0"/>
        <w:spacing w:before="60" w:after="60" w:line="360" w:lineRule="auto"/>
        <w:ind w:firstLine="560" w:firstLineChars="200"/>
        <w:contextualSpacing/>
        <w:jc w:val="left"/>
        <w:rPr>
          <w:rFonts w:ascii="宋体" w:hAnsi="宋体" w:cs="宋体"/>
          <w:color w:val="auto"/>
          <w:sz w:val="28"/>
          <w:szCs w:val="28"/>
          <w:highlight w:val="none"/>
        </w:rPr>
      </w:pPr>
    </w:p>
    <w:p w14:paraId="23BE29FA">
      <w:pPr>
        <w:pageBreakBefore w:val="0"/>
        <w:kinsoku/>
        <w:topLinePunct w:val="0"/>
        <w:bidi w:val="0"/>
        <w:spacing w:before="60" w:after="60" w:line="360" w:lineRule="auto"/>
        <w:ind w:right="480"/>
        <w:contextualSpacing/>
        <w:jc w:val="center"/>
        <w:rPr>
          <w:rFonts w:ascii="宋体" w:hAnsi="宋体" w:cs="宋体"/>
          <w:color w:val="auto"/>
          <w:sz w:val="24"/>
          <w:highlight w:val="none"/>
          <w:u w:val="single"/>
        </w:rPr>
      </w:pPr>
      <w:r>
        <w:rPr>
          <w:rFonts w:hint="eastAsia" w:ascii="宋体" w:hAnsi="宋体" w:cs="宋体"/>
          <w:color w:val="auto"/>
          <w:sz w:val="24"/>
          <w:highlight w:val="none"/>
        </w:rPr>
        <w:t>法定代表人或者委托代理人</w:t>
      </w:r>
      <w:r>
        <w:rPr>
          <w:rFonts w:hint="eastAsia" w:ascii="宋体" w:hAnsi="宋体"/>
          <w:color w:val="auto"/>
          <w:sz w:val="24"/>
          <w:highlight w:val="none"/>
        </w:rPr>
        <w:t>（签字或者电子签名）</w:t>
      </w:r>
      <w:r>
        <w:rPr>
          <w:rFonts w:hint="eastAsia" w:ascii="宋体" w:hAnsi="宋体" w:cs="宋体"/>
          <w:color w:val="auto"/>
          <w:sz w:val="24"/>
          <w:highlight w:val="none"/>
        </w:rPr>
        <w:t>：</w:t>
      </w:r>
    </w:p>
    <w:p w14:paraId="22AC4EC5">
      <w:pPr>
        <w:pageBreakBefore w:val="0"/>
        <w:kinsoku/>
        <w:topLinePunct w:val="0"/>
        <w:bidi w:val="0"/>
        <w:spacing w:before="60" w:after="60" w:line="360" w:lineRule="auto"/>
        <w:ind w:right="480" w:firstLine="3000" w:firstLineChars="1250"/>
        <w:contextualSpacing/>
        <w:rPr>
          <w:rFonts w:ascii="宋体" w:hAnsi="宋体" w:cs="宋体"/>
          <w:color w:val="auto"/>
          <w:sz w:val="24"/>
          <w:highlight w:val="none"/>
          <w:u w:val="single"/>
        </w:rPr>
      </w:pPr>
      <w:r>
        <w:rPr>
          <w:rFonts w:hint="eastAsia" w:ascii="宋体" w:hAnsi="宋体" w:cs="宋体"/>
          <w:color w:val="auto"/>
          <w:sz w:val="24"/>
          <w:highlight w:val="none"/>
        </w:rPr>
        <w:t>供应商</w:t>
      </w:r>
      <w:r>
        <w:rPr>
          <w:rFonts w:hint="eastAsia" w:ascii="宋体" w:hAnsi="宋体"/>
          <w:color w:val="auto"/>
          <w:sz w:val="24"/>
          <w:highlight w:val="none"/>
        </w:rPr>
        <w:t>（电子签章）</w:t>
      </w:r>
      <w:r>
        <w:rPr>
          <w:rFonts w:hint="eastAsia" w:ascii="宋体" w:hAnsi="宋体" w:cs="宋体"/>
          <w:color w:val="auto"/>
          <w:sz w:val="24"/>
          <w:highlight w:val="none"/>
        </w:rPr>
        <w:t xml:space="preserve">： </w:t>
      </w:r>
    </w:p>
    <w:p w14:paraId="11C92A5E">
      <w:pPr>
        <w:pageBreakBefore w:val="0"/>
        <w:kinsoku/>
        <w:topLinePunct w:val="0"/>
        <w:bidi w:val="0"/>
        <w:spacing w:before="60" w:after="60" w:line="360" w:lineRule="auto"/>
        <w:ind w:firstLine="480" w:firstLineChars="200"/>
        <w:contextualSpacing/>
        <w:jc w:val="right"/>
        <w:rPr>
          <w:rFonts w:ascii="宋体" w:hAnsi="宋体" w:cs="宋体"/>
          <w:color w:val="auto"/>
          <w:sz w:val="28"/>
          <w:szCs w:val="28"/>
          <w:highlight w:val="none"/>
        </w:rPr>
      </w:pPr>
      <w:r>
        <w:rPr>
          <w:rFonts w:hint="eastAsia" w:ascii="宋体" w:hAnsi="宋体" w:cs="宋体"/>
          <w:color w:val="auto"/>
          <w:sz w:val="24"/>
          <w:highlight w:val="none"/>
        </w:rPr>
        <w:t>年    月    日</w:t>
      </w:r>
    </w:p>
    <w:p w14:paraId="2AE35938">
      <w:pPr>
        <w:pageBreakBefore w:val="0"/>
        <w:kinsoku/>
        <w:topLinePunct w:val="0"/>
        <w:bidi w:val="0"/>
        <w:snapToGrid w:val="0"/>
        <w:spacing w:before="60" w:after="60" w:line="360" w:lineRule="auto"/>
        <w:jc w:val="center"/>
        <w:rPr>
          <w:rFonts w:ascii="宋体" w:hAnsi="宋体"/>
          <w:b/>
          <w:color w:val="auto"/>
          <w:sz w:val="28"/>
          <w:szCs w:val="28"/>
          <w:highlight w:val="none"/>
        </w:rPr>
      </w:pPr>
      <w:r>
        <w:rPr>
          <w:rFonts w:ascii="宋体" w:hAnsi="宋体"/>
          <w:b/>
          <w:color w:val="auto"/>
          <w:sz w:val="28"/>
          <w:szCs w:val="28"/>
          <w:highlight w:val="none"/>
        </w:rPr>
        <w:br w:type="page"/>
      </w:r>
    </w:p>
    <w:p w14:paraId="31BB5511">
      <w:pPr>
        <w:pageBreakBefore w:val="0"/>
        <w:kinsoku/>
        <w:topLinePunct w:val="0"/>
        <w:bidi w:val="0"/>
        <w:spacing w:before="60" w:after="60" w:line="360" w:lineRule="auto"/>
        <w:jc w:val="center"/>
        <w:rPr>
          <w:rFonts w:ascii="宋体" w:hAnsi="宋体"/>
          <w:b/>
          <w:color w:val="auto"/>
          <w:sz w:val="32"/>
          <w:szCs w:val="32"/>
          <w:highlight w:val="none"/>
        </w:rPr>
      </w:pPr>
      <w:r>
        <w:rPr>
          <w:rFonts w:hint="eastAsia" w:ascii="宋体" w:hAnsi="宋体"/>
          <w:b/>
          <w:color w:val="auto"/>
          <w:sz w:val="32"/>
          <w:szCs w:val="32"/>
          <w:highlight w:val="none"/>
        </w:rPr>
        <w:t>供应商直接管理关系信息表</w:t>
      </w:r>
    </w:p>
    <w:p w14:paraId="0DE25944">
      <w:pPr>
        <w:pageBreakBefore w:val="0"/>
        <w:kinsoku/>
        <w:topLinePunct w:val="0"/>
        <w:bidi w:val="0"/>
        <w:snapToGrid w:val="0"/>
        <w:spacing w:before="60" w:after="60" w:line="360" w:lineRule="auto"/>
        <w:jc w:val="center"/>
        <w:rPr>
          <w:rFonts w:ascii="宋体" w:hAnsi="宋体"/>
          <w:b/>
          <w:color w:val="auto"/>
          <w:sz w:val="24"/>
          <w:highlight w:val="none"/>
        </w:rPr>
      </w:pPr>
    </w:p>
    <w:tbl>
      <w:tblPr>
        <w:tblStyle w:val="31"/>
        <w:tblW w:w="9652" w:type="dxa"/>
        <w:jc w:val="center"/>
        <w:shd w:val="clear" w:color="auto" w:fill="FBFBFB"/>
        <w:tblLayout w:type="fixed"/>
        <w:tblCellMar>
          <w:top w:w="0" w:type="dxa"/>
          <w:left w:w="0" w:type="dxa"/>
          <w:bottom w:w="0" w:type="dxa"/>
          <w:right w:w="0" w:type="dxa"/>
        </w:tblCellMar>
      </w:tblPr>
      <w:tblGrid>
        <w:gridCol w:w="808"/>
        <w:gridCol w:w="3600"/>
        <w:gridCol w:w="3555"/>
        <w:gridCol w:w="1689"/>
      </w:tblGrid>
      <w:tr w14:paraId="281F9D4F">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C672BD8">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1FA9247">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25BD51D">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4F59BA9">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46EA3B2A">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9A91722">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C6439B3">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A82DB15">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9F226AD">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r>
      <w:tr w14:paraId="69E64390">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53E925D">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186B2C1">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4F46BC8">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D21E319">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r>
      <w:tr w14:paraId="185B1C30">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005B52B">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C5FA129">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6478331">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4A8DF8">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r>
      <w:tr w14:paraId="3E70E6CE">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F9758A6">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r>
              <w:rPr>
                <w:rFonts w:hint="eastAsia" w:ascii="宋体" w:hAnsi="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CE2A18">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DA177C">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0828625">
            <w:pPr>
              <w:keepNext w:val="0"/>
              <w:keepLines w:val="0"/>
              <w:pageBreakBefore w:val="0"/>
              <w:widowControl/>
              <w:suppressLineNumbers w:val="0"/>
              <w:kinsoku/>
              <w:topLinePunct w:val="0"/>
              <w:bidi w:val="0"/>
              <w:spacing w:before="60" w:beforeAutospacing="0" w:after="60" w:afterAutospacing="0" w:line="360" w:lineRule="auto"/>
              <w:ind w:left="0" w:right="0"/>
              <w:contextualSpacing/>
              <w:jc w:val="center"/>
              <w:rPr>
                <w:rFonts w:hint="default" w:ascii="宋体" w:hAnsi="宋体" w:cs="宋体"/>
                <w:color w:val="auto"/>
                <w:kern w:val="0"/>
                <w:sz w:val="24"/>
                <w:highlight w:val="none"/>
              </w:rPr>
            </w:pPr>
          </w:p>
        </w:tc>
      </w:tr>
    </w:tbl>
    <w:p w14:paraId="6FDE89AD">
      <w:pPr>
        <w:pageBreakBefore w:val="0"/>
        <w:kinsoku/>
        <w:topLinePunct w:val="0"/>
        <w:bidi w:val="0"/>
        <w:spacing w:before="60" w:after="60" w:line="360" w:lineRule="auto"/>
        <w:contextualSpacing/>
        <w:jc w:val="left"/>
        <w:rPr>
          <w:rFonts w:ascii="宋体" w:hAnsi="宋体"/>
          <w:color w:val="auto"/>
          <w:sz w:val="24"/>
          <w:highlight w:val="none"/>
        </w:rPr>
      </w:pPr>
      <w:r>
        <w:rPr>
          <w:rFonts w:hint="eastAsia" w:ascii="宋体" w:hAnsi="宋体"/>
          <w:color w:val="auto"/>
          <w:sz w:val="24"/>
          <w:highlight w:val="none"/>
        </w:rPr>
        <w:t>注：</w:t>
      </w:r>
    </w:p>
    <w:p w14:paraId="5F101474">
      <w:pPr>
        <w:pageBreakBefore w:val="0"/>
        <w:kinsoku/>
        <w:topLinePunct w:val="0"/>
        <w:bidi w:val="0"/>
        <w:spacing w:before="60" w:after="60" w:line="360" w:lineRule="auto"/>
        <w:ind w:firstLine="480" w:firstLineChars="200"/>
        <w:contextualSpacing/>
        <w:jc w:val="left"/>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eastAsia="zh-CN"/>
        </w:rPr>
        <w:t>.</w:t>
      </w:r>
      <w:r>
        <w:rPr>
          <w:rFonts w:hint="eastAsia" w:ascii="宋体" w:hAnsi="宋体"/>
          <w:color w:val="auto"/>
          <w:sz w:val="24"/>
          <w:highlight w:val="none"/>
        </w:rPr>
        <w:t>管理关系：是指不具有出资持股关系的其他单位之间存在的管理与被管理关系，如一些上下级关系的事业单位和团体组织。</w:t>
      </w:r>
    </w:p>
    <w:p w14:paraId="2262EA92">
      <w:pPr>
        <w:pageBreakBefore w:val="0"/>
        <w:kinsoku/>
        <w:topLinePunct w:val="0"/>
        <w:bidi w:val="0"/>
        <w:spacing w:before="60" w:after="60" w:line="360" w:lineRule="auto"/>
        <w:ind w:firstLine="480" w:firstLineChars="200"/>
        <w:contextualSpacing/>
        <w:jc w:val="left"/>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z w:val="24"/>
          <w:highlight w:val="none"/>
          <w:lang w:eastAsia="zh-CN"/>
        </w:rPr>
        <w:t>.</w:t>
      </w:r>
      <w:r>
        <w:rPr>
          <w:rFonts w:hint="eastAsia" w:ascii="宋体" w:hAnsi="宋体"/>
          <w:color w:val="auto"/>
          <w:spacing w:val="-6"/>
          <w:sz w:val="24"/>
          <w:highlight w:val="none"/>
        </w:rPr>
        <w:t>本表所指的管理关系仅限于直接管理关系，不包括间接的管理关系。</w:t>
      </w:r>
    </w:p>
    <w:p w14:paraId="7249E65D">
      <w:pPr>
        <w:pageBreakBefore w:val="0"/>
        <w:kinsoku/>
        <w:topLinePunct w:val="0"/>
        <w:bidi w:val="0"/>
        <w:spacing w:before="60" w:after="60" w:line="360" w:lineRule="auto"/>
        <w:ind w:firstLine="480" w:firstLineChars="200"/>
        <w:contextualSpacing/>
        <w:jc w:val="left"/>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eastAsia="zh-CN"/>
        </w:rPr>
        <w:t>.</w:t>
      </w:r>
      <w:r>
        <w:rPr>
          <w:rFonts w:hint="eastAsia" w:ascii="宋体" w:hAnsi="宋体"/>
          <w:color w:val="auto"/>
          <w:sz w:val="24"/>
          <w:highlight w:val="none"/>
        </w:rPr>
        <w:t>供应商不存在直接管理关系的，则在“直接管理关系单位名称”填“无”。</w:t>
      </w:r>
    </w:p>
    <w:p w14:paraId="5E80F138">
      <w:pPr>
        <w:pageBreakBefore w:val="0"/>
        <w:kinsoku/>
        <w:topLinePunct w:val="0"/>
        <w:bidi w:val="0"/>
        <w:spacing w:before="60" w:after="60" w:line="360" w:lineRule="auto"/>
        <w:contextualSpacing/>
        <w:jc w:val="left"/>
        <w:rPr>
          <w:rFonts w:ascii="宋体" w:hAnsi="宋体"/>
          <w:color w:val="auto"/>
          <w:sz w:val="28"/>
          <w:szCs w:val="28"/>
          <w:highlight w:val="none"/>
        </w:rPr>
      </w:pPr>
    </w:p>
    <w:p w14:paraId="4343CB80">
      <w:pPr>
        <w:pageBreakBefore w:val="0"/>
        <w:kinsoku/>
        <w:topLinePunct w:val="0"/>
        <w:bidi w:val="0"/>
        <w:spacing w:before="60" w:after="60" w:line="360" w:lineRule="auto"/>
        <w:contextualSpacing/>
        <w:jc w:val="left"/>
        <w:rPr>
          <w:color w:val="auto"/>
          <w:sz w:val="28"/>
          <w:szCs w:val="28"/>
          <w:highlight w:val="none"/>
        </w:rPr>
      </w:pPr>
    </w:p>
    <w:p w14:paraId="63C52A74">
      <w:pPr>
        <w:pageBreakBefore w:val="0"/>
        <w:kinsoku/>
        <w:topLinePunct w:val="0"/>
        <w:bidi w:val="0"/>
        <w:spacing w:before="60" w:after="60" w:line="360" w:lineRule="auto"/>
        <w:contextualSpacing/>
        <w:jc w:val="left"/>
        <w:rPr>
          <w:color w:val="auto"/>
          <w:sz w:val="28"/>
          <w:szCs w:val="28"/>
          <w:highlight w:val="none"/>
        </w:rPr>
      </w:pPr>
    </w:p>
    <w:p w14:paraId="6A788F0E">
      <w:pPr>
        <w:pageBreakBefore w:val="0"/>
        <w:kinsoku/>
        <w:topLinePunct w:val="0"/>
        <w:bidi w:val="0"/>
        <w:spacing w:before="60" w:after="60" w:line="360" w:lineRule="auto"/>
        <w:contextualSpacing/>
        <w:jc w:val="left"/>
        <w:rPr>
          <w:rFonts w:ascii="宋体" w:hAnsi="宋体"/>
          <w:color w:val="auto"/>
          <w:sz w:val="28"/>
          <w:szCs w:val="28"/>
          <w:highlight w:val="none"/>
        </w:rPr>
      </w:pPr>
    </w:p>
    <w:p w14:paraId="6CD5CFF9">
      <w:pPr>
        <w:pageBreakBefore w:val="0"/>
        <w:kinsoku/>
        <w:topLinePunct w:val="0"/>
        <w:bidi w:val="0"/>
        <w:spacing w:before="60" w:after="60" w:line="360" w:lineRule="auto"/>
        <w:ind w:right="480"/>
        <w:contextualSpacing/>
        <w:jc w:val="center"/>
        <w:rPr>
          <w:rFonts w:ascii="宋体" w:hAnsi="宋体"/>
          <w:color w:val="auto"/>
          <w:sz w:val="24"/>
          <w:highlight w:val="none"/>
          <w:u w:val="single"/>
        </w:rPr>
      </w:pPr>
      <w:r>
        <w:rPr>
          <w:rFonts w:hint="eastAsia" w:ascii="宋体" w:hAnsi="宋体"/>
          <w:color w:val="auto"/>
          <w:sz w:val="24"/>
          <w:highlight w:val="none"/>
        </w:rPr>
        <w:t>法定代表人或者委托代理人（签字或者电子签名）：</w:t>
      </w:r>
    </w:p>
    <w:p w14:paraId="6EE504FB">
      <w:pPr>
        <w:pageBreakBefore w:val="0"/>
        <w:kinsoku/>
        <w:topLinePunct w:val="0"/>
        <w:bidi w:val="0"/>
        <w:spacing w:before="60" w:after="60" w:line="360" w:lineRule="auto"/>
        <w:ind w:right="480" w:firstLine="3360" w:firstLineChars="1400"/>
        <w:contextualSpacing/>
        <w:rPr>
          <w:rFonts w:ascii="宋体" w:hAnsi="宋体"/>
          <w:color w:val="auto"/>
          <w:sz w:val="24"/>
          <w:highlight w:val="none"/>
        </w:rPr>
      </w:pPr>
      <w:r>
        <w:rPr>
          <w:rFonts w:hint="eastAsia" w:ascii="宋体" w:hAnsi="宋体"/>
          <w:color w:val="auto"/>
          <w:sz w:val="24"/>
          <w:highlight w:val="none"/>
        </w:rPr>
        <w:t>供应商（电子签章）：</w:t>
      </w:r>
    </w:p>
    <w:p w14:paraId="1CA93CE3">
      <w:pPr>
        <w:pageBreakBefore w:val="0"/>
        <w:kinsoku/>
        <w:topLinePunct w:val="0"/>
        <w:bidi w:val="0"/>
        <w:spacing w:before="60" w:after="60" w:line="360" w:lineRule="auto"/>
        <w:ind w:firstLine="480" w:firstLineChars="200"/>
        <w:contextualSpacing/>
        <w:jc w:val="left"/>
        <w:rPr>
          <w:rFonts w:ascii="宋体" w:hAnsi="宋体"/>
          <w:color w:val="auto"/>
          <w:sz w:val="28"/>
          <w:szCs w:val="28"/>
          <w:highlight w:val="none"/>
        </w:rPr>
      </w:pPr>
      <w:r>
        <w:rPr>
          <w:rFonts w:hint="eastAsia" w:ascii="宋体" w:hAnsi="宋体"/>
          <w:color w:val="auto"/>
          <w:sz w:val="24"/>
          <w:highlight w:val="none"/>
        </w:rPr>
        <w:t xml:space="preserve">                                        年    月    日</w:t>
      </w:r>
    </w:p>
    <w:p w14:paraId="1F1EF789">
      <w:pPr>
        <w:pageBreakBefore w:val="0"/>
        <w:kinsoku/>
        <w:topLinePunct w:val="0"/>
        <w:bidi w:val="0"/>
        <w:spacing w:before="60" w:after="60" w:line="360" w:lineRule="auto"/>
        <w:jc w:val="center"/>
        <w:rPr>
          <w:rFonts w:ascii="宋体" w:hAnsi="宋体"/>
          <w:b/>
          <w:color w:val="auto"/>
          <w:sz w:val="32"/>
          <w:szCs w:val="32"/>
          <w:highlight w:val="none"/>
        </w:rPr>
      </w:pPr>
      <w:r>
        <w:rPr>
          <w:rFonts w:ascii="宋体" w:hAnsi="宋体"/>
          <w:color w:val="auto"/>
          <w:sz w:val="28"/>
          <w:szCs w:val="28"/>
          <w:highlight w:val="none"/>
        </w:rPr>
        <w:br w:type="page"/>
      </w:r>
      <w:r>
        <w:rPr>
          <w:rFonts w:hint="eastAsia" w:ascii="宋体" w:hAnsi="宋体"/>
          <w:b/>
          <w:color w:val="auto"/>
          <w:sz w:val="36"/>
          <w:szCs w:val="36"/>
          <w:highlight w:val="none"/>
        </w:rPr>
        <w:t>竞标声明</w:t>
      </w:r>
    </w:p>
    <w:p w14:paraId="4678A024">
      <w:pPr>
        <w:pageBreakBefore w:val="0"/>
        <w:kinsoku/>
        <w:topLinePunct w:val="0"/>
        <w:bidi w:val="0"/>
        <w:spacing w:before="60" w:after="60" w:line="360" w:lineRule="auto"/>
        <w:contextualSpacing/>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38C1F2A7">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  。</w:t>
      </w:r>
    </w:p>
    <w:p w14:paraId="18193A8C">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项目的竞标，为便于贵方公正、择优地确定成交供应商及其竞标产品和服务，我方就本次竞标有关事项郑重声明如下：</w:t>
      </w:r>
    </w:p>
    <w:p w14:paraId="10E63F3A">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eastAsia="zh-CN"/>
        </w:rPr>
        <w:t>.</w:t>
      </w:r>
      <w:r>
        <w:rPr>
          <w:rFonts w:hint="eastAsia" w:ascii="宋体" w:hAnsi="宋体" w:cs="宋体"/>
          <w:color w:val="auto"/>
          <w:sz w:val="24"/>
          <w:highlight w:val="none"/>
        </w:rPr>
        <w:t>我方向贵方提交的所有响应文件、资料都是准确的和真实的。</w:t>
      </w:r>
    </w:p>
    <w:p w14:paraId="06BC1ED1">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lang w:eastAsia="zh-CN"/>
        </w:rPr>
        <w:t>.</w:t>
      </w:r>
      <w:r>
        <w:rPr>
          <w:rFonts w:hint="eastAsia" w:ascii="宋体" w:hAnsi="宋体"/>
          <w:color w:val="auto"/>
          <w:sz w:val="24"/>
          <w:highlight w:val="none"/>
        </w:rPr>
        <w:t>我方不是为本次采购项目提供整体设计、规范编制或者项目管理、监理、检测等服务的供应商</w:t>
      </w:r>
      <w:r>
        <w:rPr>
          <w:rFonts w:hint="eastAsia" w:ascii="宋体" w:hAnsi="宋体" w:cs="宋体"/>
          <w:color w:val="auto"/>
          <w:sz w:val="24"/>
          <w:highlight w:val="none"/>
        </w:rPr>
        <w:t>。</w:t>
      </w:r>
    </w:p>
    <w:p w14:paraId="25772A92">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eastAsia="zh-CN"/>
        </w:rPr>
        <w:t>.</w:t>
      </w:r>
      <w:r>
        <w:rPr>
          <w:rFonts w:hint="eastAsia" w:ascii="宋体" w:hAnsi="宋体" w:cs="宋体"/>
          <w:color w:val="auto"/>
          <w:sz w:val="24"/>
          <w:highlight w:val="none"/>
        </w:rPr>
        <w:t>在此，我方宣布同意如下：</w:t>
      </w:r>
    </w:p>
    <w:p w14:paraId="7C7709E2">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5B9018F9">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14:paraId="235DBEDF">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14:paraId="34792607">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（4）响应磋商文件规定的竞标有效期。</w:t>
      </w:r>
    </w:p>
    <w:p w14:paraId="7E6D0EE9">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w:t>
      </w:r>
      <w:r>
        <w:rPr>
          <w:rFonts w:hint="eastAsia" w:ascii="宋体" w:hAnsi="宋体" w:cs="宋体"/>
          <w:color w:val="auto"/>
          <w:sz w:val="24"/>
          <w:highlight w:val="none"/>
          <w:lang w:eastAsia="zh-CN"/>
        </w:rPr>
        <w:t>.</w:t>
      </w:r>
      <w:r>
        <w:rPr>
          <w:rFonts w:hint="eastAsia" w:ascii="宋体" w:hAnsi="宋体" w:cs="宋体"/>
          <w:color w:val="auto"/>
          <w:sz w:val="24"/>
          <w:highlight w:val="none"/>
        </w:rPr>
        <w:t>我方承诺符合《中华人民共和国政府采购法》第二十二条规定：</w:t>
      </w:r>
    </w:p>
    <w:p w14:paraId="72EBE329">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（1）具有独立承担民事责任的能力；</w:t>
      </w:r>
    </w:p>
    <w:p w14:paraId="5641FCBD">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5F33E46B">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0426A4CF">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0F855C8D">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7DBD2E02">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（6）法律、行政法规规定的其他条件。</w:t>
      </w:r>
    </w:p>
    <w:p w14:paraId="2CF70B7A">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w:t>
      </w:r>
      <w:r>
        <w:rPr>
          <w:rFonts w:hint="eastAsia" w:ascii="宋体" w:hAnsi="宋体" w:cs="宋体"/>
          <w:color w:val="auto"/>
          <w:sz w:val="24"/>
          <w:highlight w:val="none"/>
          <w:lang w:eastAsia="zh-CN"/>
        </w:rPr>
        <w:t>.</w:t>
      </w:r>
      <w:r>
        <w:rPr>
          <w:rFonts w:hint="eastAsia" w:ascii="宋体" w:hAnsi="宋体" w:cs="宋体"/>
          <w:color w:val="auto"/>
          <w:sz w:val="24"/>
          <w:highlight w:val="none"/>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0A99952E">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w:t>
      </w:r>
      <w:r>
        <w:rPr>
          <w:rFonts w:hint="eastAsia" w:ascii="宋体" w:hAnsi="宋体" w:cs="宋体"/>
          <w:color w:val="auto"/>
          <w:sz w:val="24"/>
          <w:highlight w:val="none"/>
          <w:lang w:eastAsia="zh-CN"/>
        </w:rPr>
        <w:t>.</w:t>
      </w:r>
      <w:r>
        <w:rPr>
          <w:rFonts w:hint="eastAsia" w:ascii="宋体" w:hAnsi="宋体" w:cs="宋体"/>
          <w:color w:val="auto"/>
          <w:sz w:val="24"/>
          <w:highlight w:val="none"/>
        </w:rPr>
        <w:t>根据《中华人民共和国政府采购法实施条例》第五十条要求对政府采购合同进行公告，但政府采购合同中涉及国家秘密、商业秘密的内容除外。我方就对本次响应文件进行注明如下：（两项内容中必须选择一项）</w:t>
      </w:r>
    </w:p>
    <w:p w14:paraId="5BC60456">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37EBFA93">
      <w:pPr>
        <w:pageBreakBefore w:val="0"/>
        <w:kinsoku/>
        <w:topLinePunct w:val="0"/>
        <w:bidi w:val="0"/>
        <w:spacing w:before="60" w:after="60"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                    ；</w:t>
      </w:r>
    </w:p>
    <w:p w14:paraId="29A6DDF2">
      <w:pPr>
        <w:pStyle w:val="16"/>
        <w:pageBreakBefore w:val="0"/>
        <w:kinsoku/>
        <w:topLinePunct w:val="0"/>
        <w:bidi w:val="0"/>
        <w:spacing w:before="60" w:after="60" w:line="360" w:lineRule="auto"/>
        <w:ind w:firstLine="480" w:firstLineChars="200"/>
        <w:contextualSpacing/>
        <w:rPr>
          <w:rFonts w:hAnsi="宋体" w:cs="宋体"/>
          <w:color w:val="auto"/>
          <w:sz w:val="24"/>
          <w:szCs w:val="24"/>
          <w:highlight w:val="none"/>
          <w:u w:val="single"/>
        </w:rPr>
      </w:pPr>
      <w:r>
        <w:rPr>
          <w:rFonts w:hint="eastAsia" w:hAnsi="宋体" w:cs="宋体"/>
          <w:color w:val="auto"/>
          <w:sz w:val="24"/>
          <w:szCs w:val="24"/>
          <w:highlight w:val="none"/>
        </w:rPr>
        <w:t>7</w:t>
      </w:r>
      <w:r>
        <w:rPr>
          <w:rFonts w:hint="eastAsia" w:hAnsi="宋体" w:cs="宋体"/>
          <w:color w:val="auto"/>
          <w:sz w:val="24"/>
          <w:szCs w:val="24"/>
          <w:highlight w:val="none"/>
          <w:lang w:eastAsia="zh-CN"/>
        </w:rPr>
        <w:t>.</w:t>
      </w:r>
      <w:r>
        <w:rPr>
          <w:rFonts w:hint="eastAsia" w:hAnsi="宋体" w:cs="宋体"/>
          <w:color w:val="auto"/>
          <w:sz w:val="24"/>
          <w:szCs w:val="24"/>
          <w:highlight w:val="none"/>
        </w:rPr>
        <w:t>与本磋商有关的一切正式往来信函请寄：                邮政编号：</w:t>
      </w:r>
    </w:p>
    <w:p w14:paraId="0948C0FC">
      <w:pPr>
        <w:pStyle w:val="16"/>
        <w:pageBreakBefore w:val="0"/>
        <w:kinsoku/>
        <w:topLinePunct w:val="0"/>
        <w:bidi w:val="0"/>
        <w:spacing w:before="60" w:after="60"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电话/传真：                      电子邮箱：</w:t>
      </w:r>
    </w:p>
    <w:p w14:paraId="2DCF75DE">
      <w:pPr>
        <w:pStyle w:val="15"/>
        <w:pageBreakBefore w:val="0"/>
        <w:tabs>
          <w:tab w:val="left" w:pos="939"/>
        </w:tabs>
        <w:kinsoku/>
        <w:topLinePunct w:val="0"/>
        <w:bidi w:val="0"/>
        <w:spacing w:before="60" w:after="60" w:line="360" w:lineRule="auto"/>
        <w:ind w:left="141" w:leftChars="67" w:firstLine="360" w:firstLineChars="150"/>
        <w:rPr>
          <w:rFonts w:ascii="宋体" w:hAnsi="宋体" w:cs="宋体"/>
          <w:color w:val="auto"/>
          <w:sz w:val="24"/>
          <w:highlight w:val="none"/>
        </w:rPr>
      </w:pPr>
      <w:r>
        <w:rPr>
          <w:rFonts w:hint="eastAsia" w:ascii="宋体" w:hAnsi="宋体" w:cs="宋体"/>
          <w:color w:val="auto"/>
          <w:sz w:val="24"/>
          <w:highlight w:val="none"/>
        </w:rPr>
        <w:t>开户银行：                       帐号：</w:t>
      </w:r>
    </w:p>
    <w:p w14:paraId="2AE038BA">
      <w:pPr>
        <w:pStyle w:val="15"/>
        <w:pageBreakBefore w:val="0"/>
        <w:tabs>
          <w:tab w:val="left" w:pos="939"/>
        </w:tabs>
        <w:kinsoku/>
        <w:topLinePunct w:val="0"/>
        <w:bidi w:val="0"/>
        <w:spacing w:before="60" w:after="60" w:line="360" w:lineRule="auto"/>
        <w:ind w:left="0" w:leftChars="0" w:firstLine="480" w:firstLineChars="200"/>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color w:val="auto"/>
          <w:sz w:val="24"/>
          <w:highlight w:val="none"/>
          <w:lang w:eastAsia="zh-CN"/>
        </w:rPr>
        <w:t>.</w:t>
      </w:r>
      <w:r>
        <w:rPr>
          <w:rFonts w:hint="eastAsia" w:ascii="宋体" w:hAnsi="宋体" w:cs="宋体"/>
          <w:color w:val="auto"/>
          <w:sz w:val="24"/>
          <w:highlight w:val="none"/>
        </w:rPr>
        <w:t>以上事项如有虚假或者隐瞒，我方愿意承担一切后果，并不再寻求任何旨在减轻或者免除法律责任的辩解。</w:t>
      </w:r>
    </w:p>
    <w:p w14:paraId="42DC4E00">
      <w:pPr>
        <w:pStyle w:val="15"/>
        <w:pageBreakBefore w:val="0"/>
        <w:tabs>
          <w:tab w:val="left" w:pos="939"/>
        </w:tabs>
        <w:kinsoku/>
        <w:topLinePunct w:val="0"/>
        <w:bidi w:val="0"/>
        <w:spacing w:before="60" w:after="60" w:line="360" w:lineRule="auto"/>
        <w:ind w:left="141" w:leftChars="67" w:firstLine="360" w:firstLineChars="150"/>
        <w:rPr>
          <w:rFonts w:ascii="宋体" w:hAnsi="宋体" w:cs="宋体"/>
          <w:color w:val="auto"/>
          <w:sz w:val="24"/>
          <w:highlight w:val="none"/>
        </w:rPr>
      </w:pPr>
      <w:r>
        <w:rPr>
          <w:rFonts w:hint="eastAsia" w:ascii="宋体" w:hAnsi="宋体" w:cs="宋体"/>
          <w:color w:val="auto"/>
          <w:sz w:val="24"/>
          <w:highlight w:val="none"/>
        </w:rPr>
        <w:t>特此承诺。</w:t>
      </w:r>
    </w:p>
    <w:p w14:paraId="03EF1233">
      <w:pPr>
        <w:pageBreakBefore w:val="0"/>
        <w:kinsoku/>
        <w:topLinePunct w:val="0"/>
        <w:bidi w:val="0"/>
        <w:spacing w:before="60" w:after="60" w:line="360" w:lineRule="auto"/>
        <w:contextualSpacing/>
        <w:jc w:val="left"/>
        <w:rPr>
          <w:rFonts w:ascii="宋体" w:hAnsi="宋体"/>
          <w:b/>
          <w:color w:val="auto"/>
          <w:sz w:val="24"/>
          <w:highlight w:val="none"/>
        </w:rPr>
      </w:pPr>
      <w:r>
        <w:rPr>
          <w:rFonts w:hint="eastAsia" w:ascii="宋体" w:hAnsi="宋体" w:cs="宋体"/>
          <w:b/>
          <w:color w:val="auto"/>
          <w:sz w:val="24"/>
          <w:highlight w:val="none"/>
        </w:rPr>
        <w:t>注：</w:t>
      </w:r>
      <w:r>
        <w:rPr>
          <w:rFonts w:hint="eastAsia" w:ascii="宋体" w:hAnsi="宋体"/>
          <w:b/>
          <w:color w:val="auto"/>
          <w:sz w:val="24"/>
          <w:highlight w:val="none"/>
        </w:rPr>
        <w:t>如为联合体竞标，盖章处须加盖联合体牵头人电子签章并由联合体牵头人法定代表人分别签字或者盖章或者电子签名，否则响应文件按无效处理。</w:t>
      </w:r>
    </w:p>
    <w:p w14:paraId="49826E28">
      <w:pPr>
        <w:pageBreakBefore w:val="0"/>
        <w:kinsoku/>
        <w:topLinePunct w:val="0"/>
        <w:bidi w:val="0"/>
        <w:spacing w:before="60" w:after="60" w:line="360" w:lineRule="auto"/>
        <w:contextualSpacing/>
        <w:jc w:val="left"/>
        <w:rPr>
          <w:rFonts w:ascii="宋体" w:hAnsi="宋体" w:cs="宋体"/>
          <w:color w:val="auto"/>
          <w:szCs w:val="21"/>
          <w:highlight w:val="none"/>
        </w:rPr>
      </w:pPr>
    </w:p>
    <w:p w14:paraId="197CDF5A">
      <w:pPr>
        <w:pageBreakBefore w:val="0"/>
        <w:kinsoku/>
        <w:topLinePunct w:val="0"/>
        <w:bidi w:val="0"/>
        <w:spacing w:before="60" w:after="60" w:line="360" w:lineRule="auto"/>
        <w:ind w:firstLine="1800" w:firstLineChars="750"/>
        <w:contextualSpacing/>
        <w:rPr>
          <w:color w:val="auto"/>
          <w:highlight w:val="none"/>
        </w:rPr>
      </w:pPr>
      <w:r>
        <w:rPr>
          <w:rFonts w:hint="eastAsia"/>
          <w:color w:val="auto"/>
          <w:sz w:val="24"/>
          <w:highlight w:val="none"/>
        </w:rPr>
        <w:t>法定代表人</w:t>
      </w:r>
      <w:r>
        <w:rPr>
          <w:rFonts w:hint="eastAsia"/>
          <w:color w:val="auto"/>
          <w:highlight w:val="none"/>
        </w:rPr>
        <w:t>（</w:t>
      </w:r>
      <w:r>
        <w:rPr>
          <w:rFonts w:hint="eastAsia" w:ascii="宋体" w:hAnsi="宋体"/>
          <w:color w:val="auto"/>
          <w:sz w:val="24"/>
          <w:highlight w:val="none"/>
        </w:rPr>
        <w:t>签字或者盖章或者电子签名</w:t>
      </w:r>
      <w:r>
        <w:rPr>
          <w:rFonts w:hint="eastAsia"/>
          <w:color w:val="auto"/>
          <w:highlight w:val="none"/>
        </w:rPr>
        <w:t>）：</w:t>
      </w:r>
    </w:p>
    <w:p w14:paraId="591B3D55">
      <w:pPr>
        <w:pageBreakBefore w:val="0"/>
        <w:kinsoku/>
        <w:topLinePunct w:val="0"/>
        <w:bidi w:val="0"/>
        <w:spacing w:before="60" w:after="60" w:line="360" w:lineRule="auto"/>
        <w:ind w:firstLine="4320" w:firstLineChars="1800"/>
        <w:contextualSpacing/>
        <w:rPr>
          <w:rFonts w:ascii="宋体" w:hAnsi="宋体" w:cs="宋体"/>
          <w:color w:val="auto"/>
          <w:sz w:val="24"/>
          <w:highlight w:val="none"/>
          <w:u w:val="single"/>
        </w:rPr>
      </w:pPr>
      <w:r>
        <w:rPr>
          <w:rFonts w:hint="eastAsia"/>
          <w:color w:val="auto"/>
          <w:sz w:val="24"/>
          <w:highlight w:val="none"/>
        </w:rPr>
        <w:t>供应商（电子签章）：</w:t>
      </w:r>
    </w:p>
    <w:p w14:paraId="43233200">
      <w:pPr>
        <w:pStyle w:val="15"/>
        <w:pageBreakBefore w:val="0"/>
        <w:tabs>
          <w:tab w:val="left" w:pos="939"/>
        </w:tabs>
        <w:kinsoku/>
        <w:topLinePunct w:val="0"/>
        <w:bidi w:val="0"/>
        <w:spacing w:before="60" w:after="60" w:line="360" w:lineRule="auto"/>
        <w:ind w:left="0" w:leftChars="0" w:firstLine="480" w:firstLineChars="200"/>
        <w:jc w:val="right"/>
        <w:rPr>
          <w:color w:val="auto"/>
          <w:sz w:val="24"/>
          <w:highlight w:val="none"/>
        </w:rPr>
      </w:pPr>
      <w:r>
        <w:rPr>
          <w:rFonts w:hint="eastAsia"/>
          <w:color w:val="auto"/>
          <w:sz w:val="24"/>
          <w:highlight w:val="none"/>
        </w:rPr>
        <w:t xml:space="preserve"> 年    月    日</w:t>
      </w:r>
    </w:p>
    <w:p w14:paraId="144B577B">
      <w:pPr>
        <w:pStyle w:val="8"/>
        <w:pageBreakBefore w:val="0"/>
        <w:kinsoku/>
        <w:overflowPunct w:val="0"/>
        <w:topLinePunct w:val="0"/>
        <w:bidi w:val="0"/>
        <w:spacing w:before="60" w:after="60" w:line="360" w:lineRule="auto"/>
        <w:ind w:firstLine="0"/>
        <w:jc w:val="center"/>
        <w:rPr>
          <w:rFonts w:cs="方正小标宋简体" w:asciiTheme="minorEastAsia" w:hAnsiTheme="minorEastAsia" w:eastAsiaTheme="minorEastAsia"/>
          <w:color w:val="auto"/>
          <w:sz w:val="44"/>
          <w:szCs w:val="44"/>
          <w:highlight w:val="none"/>
        </w:rPr>
      </w:pPr>
      <w:r>
        <w:rPr>
          <w:rFonts w:hint="eastAsia"/>
          <w:color w:val="auto"/>
          <w:sz w:val="24"/>
          <w:highlight w:val="none"/>
        </w:rPr>
        <w:br w:type="page"/>
      </w:r>
      <w:r>
        <w:rPr>
          <w:rFonts w:hint="eastAsia" w:cs="方正小标宋简体" w:asciiTheme="minorEastAsia" w:hAnsiTheme="minorEastAsia" w:eastAsiaTheme="minorEastAsia"/>
          <w:color w:val="auto"/>
          <w:sz w:val="36"/>
          <w:szCs w:val="36"/>
          <w:highlight w:val="none"/>
        </w:rPr>
        <w:t>联合体竞标协议书</w:t>
      </w:r>
    </w:p>
    <w:p w14:paraId="54CF8A3C">
      <w:pPr>
        <w:pStyle w:val="8"/>
        <w:pageBreakBefore w:val="0"/>
        <w:kinsoku/>
        <w:overflowPunct w:val="0"/>
        <w:topLinePunct w:val="0"/>
        <w:bidi w:val="0"/>
        <w:spacing w:before="60" w:after="60" w:line="360" w:lineRule="auto"/>
        <w:ind w:firstLine="0"/>
        <w:rPr>
          <w:rFonts w:ascii="宋体" w:hAnsi="宋体"/>
          <w:color w:val="auto"/>
          <w:sz w:val="24"/>
          <w:szCs w:val="24"/>
          <w:highlight w:val="none"/>
        </w:rPr>
      </w:pPr>
    </w:p>
    <w:p w14:paraId="41A9E2E3">
      <w:pPr>
        <w:pStyle w:val="8"/>
        <w:pageBreakBefore w:val="0"/>
        <w:kinsoku/>
        <w:overflowPunct w:val="0"/>
        <w:topLinePunct w:val="0"/>
        <w:bidi w:val="0"/>
        <w:spacing w:before="60" w:after="60" w:line="360" w:lineRule="auto"/>
        <w:ind w:firstLine="480" w:firstLineChars="20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（所有成员单位名称）自愿组成（联合体名称）联合体，共同参加（项目名称）采购项目竞标。现就联合体竞标事宜订立如下协议。</w:t>
      </w:r>
    </w:p>
    <w:p w14:paraId="3B084FB8">
      <w:pPr>
        <w:pStyle w:val="8"/>
        <w:pageBreakBefore w:val="0"/>
        <w:kinsoku/>
        <w:overflowPunct w:val="0"/>
        <w:topLinePunct w:val="0"/>
        <w:bidi w:val="0"/>
        <w:spacing w:before="60" w:after="60" w:line="360" w:lineRule="auto"/>
        <w:ind w:firstLine="480" w:firstLineChars="20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hint="eastAsia" w:ascii="宋体" w:hAnsi="宋体" w:cs="仿宋_GB2312"/>
          <w:color w:val="auto"/>
          <w:sz w:val="24"/>
          <w:szCs w:val="24"/>
          <w:highlight w:val="none"/>
          <w:lang w:eastAsia="zh-CN"/>
        </w:rPr>
        <w:t>.</w:t>
      </w:r>
      <w:r>
        <w:rPr>
          <w:rFonts w:hint="eastAsia" w:ascii="宋体" w:hAnsi="宋体" w:cs="仿宋_GB2312"/>
          <w:color w:val="auto"/>
          <w:sz w:val="24"/>
          <w:szCs w:val="24"/>
          <w:highlight w:val="none"/>
          <w:u w:val="single"/>
        </w:rPr>
        <w:tab/>
      </w:r>
      <w:r>
        <w:rPr>
          <w:rFonts w:hint="eastAsia" w:ascii="宋体" w:hAnsi="宋体" w:cs="仿宋_GB2312"/>
          <w:color w:val="auto"/>
          <w:sz w:val="24"/>
          <w:szCs w:val="24"/>
          <w:highlight w:val="none"/>
        </w:rPr>
        <w:t>（某成员单位名称）为（联合体名称）牵头人。</w:t>
      </w:r>
    </w:p>
    <w:p w14:paraId="14E35F90">
      <w:pPr>
        <w:pStyle w:val="8"/>
        <w:pageBreakBefore w:val="0"/>
        <w:kinsoku/>
        <w:overflowPunct w:val="0"/>
        <w:topLinePunct w:val="0"/>
        <w:bidi w:val="0"/>
        <w:spacing w:before="60" w:after="60" w:line="360" w:lineRule="auto"/>
        <w:ind w:firstLine="480" w:firstLineChars="20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2</w:t>
      </w:r>
      <w:r>
        <w:rPr>
          <w:rFonts w:hint="eastAsia" w:ascii="宋体" w:hAnsi="宋体" w:cs="仿宋_GB2312"/>
          <w:color w:val="auto"/>
          <w:sz w:val="24"/>
          <w:szCs w:val="24"/>
          <w:highlight w:val="none"/>
          <w:lang w:eastAsia="zh-CN"/>
        </w:rPr>
        <w:t>.</w:t>
      </w:r>
      <w:r>
        <w:rPr>
          <w:rFonts w:hint="eastAsia" w:ascii="宋体" w:hAnsi="宋体" w:cs="仿宋_GB2312"/>
          <w:color w:val="auto"/>
          <w:sz w:val="24"/>
          <w:szCs w:val="24"/>
          <w:highlight w:val="none"/>
        </w:rPr>
        <w:t>联合体各成员授权牵头人代表联合体参加竞标活动，签署文件及对文件的盖章，提交和接收相关的资料、信息及指示，进行合同磋商活动，负责合同实施阶段的组织和协调工作，以及处理与本竞标项目有关的一切事宜。</w:t>
      </w:r>
    </w:p>
    <w:p w14:paraId="32C282DB">
      <w:pPr>
        <w:pStyle w:val="8"/>
        <w:pageBreakBefore w:val="0"/>
        <w:kinsoku/>
        <w:overflowPunct w:val="0"/>
        <w:topLinePunct w:val="0"/>
        <w:bidi w:val="0"/>
        <w:spacing w:before="60" w:after="60" w:line="360" w:lineRule="auto"/>
        <w:ind w:firstLine="480" w:firstLineChars="20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3</w:t>
      </w:r>
      <w:r>
        <w:rPr>
          <w:rFonts w:hint="eastAsia" w:ascii="宋体" w:hAnsi="宋体" w:cs="仿宋_GB2312"/>
          <w:color w:val="auto"/>
          <w:sz w:val="24"/>
          <w:szCs w:val="24"/>
          <w:highlight w:val="none"/>
          <w:lang w:eastAsia="zh-CN"/>
        </w:rPr>
        <w:t>.</w:t>
      </w:r>
      <w:r>
        <w:rPr>
          <w:rFonts w:hint="eastAsia" w:ascii="宋体" w:hAnsi="宋体" w:cs="仿宋_GB2312"/>
          <w:color w:val="auto"/>
          <w:sz w:val="24"/>
          <w:szCs w:val="24"/>
          <w:highlight w:val="none"/>
        </w:rPr>
        <w:t>联合体牵头人在本项目中签署和盖章的一切文件和处理的一切事宜，联合体各成员均予以承认。联合体各成员将严格按照磋商文件、响应文件和合同的要求全面履行义务，并向采购人承担连带责任。</w:t>
      </w:r>
    </w:p>
    <w:p w14:paraId="73F06139">
      <w:pPr>
        <w:pStyle w:val="8"/>
        <w:pageBreakBefore w:val="0"/>
        <w:kinsoku/>
        <w:overflowPunct w:val="0"/>
        <w:topLinePunct w:val="0"/>
        <w:bidi w:val="0"/>
        <w:spacing w:before="60" w:after="60" w:line="360" w:lineRule="auto"/>
        <w:ind w:firstLine="480" w:firstLineChars="20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4</w:t>
      </w:r>
      <w:r>
        <w:rPr>
          <w:rFonts w:hint="eastAsia" w:ascii="宋体" w:hAnsi="宋体" w:cs="仿宋_GB2312"/>
          <w:color w:val="auto"/>
          <w:sz w:val="24"/>
          <w:szCs w:val="24"/>
          <w:highlight w:val="none"/>
          <w:lang w:eastAsia="zh-CN"/>
        </w:rPr>
        <w:t>.</w:t>
      </w:r>
      <w:r>
        <w:rPr>
          <w:rFonts w:hint="eastAsia" w:ascii="宋体" w:hAnsi="宋体" w:cs="仿宋_GB2312"/>
          <w:color w:val="auto"/>
          <w:sz w:val="24"/>
          <w:szCs w:val="24"/>
          <w:highlight w:val="none"/>
        </w:rPr>
        <w:t>联合体各成员单位内部的职责分工如下：。</w:t>
      </w:r>
    </w:p>
    <w:p w14:paraId="30716418">
      <w:pPr>
        <w:pStyle w:val="8"/>
        <w:pageBreakBefore w:val="0"/>
        <w:kinsoku/>
        <w:overflowPunct w:val="0"/>
        <w:topLinePunct w:val="0"/>
        <w:bidi w:val="0"/>
        <w:spacing w:before="60" w:after="60" w:line="360" w:lineRule="auto"/>
        <w:ind w:firstLine="480" w:firstLineChars="20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5</w:t>
      </w:r>
      <w:r>
        <w:rPr>
          <w:rFonts w:hint="eastAsia" w:ascii="宋体" w:hAnsi="宋体" w:cs="仿宋_GB2312"/>
          <w:color w:val="auto"/>
          <w:sz w:val="24"/>
          <w:szCs w:val="24"/>
          <w:highlight w:val="none"/>
          <w:lang w:eastAsia="zh-CN"/>
        </w:rPr>
        <w:t>.</w:t>
      </w:r>
      <w:r>
        <w:rPr>
          <w:rFonts w:hint="eastAsia" w:ascii="宋体" w:hAnsi="宋体" w:cs="仿宋_GB2312"/>
          <w:color w:val="auto"/>
          <w:sz w:val="24"/>
          <w:szCs w:val="24"/>
          <w:highlight w:val="none"/>
        </w:rPr>
        <w:t>本</w:t>
      </w:r>
      <w:r>
        <w:rPr>
          <w:rFonts w:hint="eastAsia" w:ascii="宋体" w:hAnsi="宋体" w:cs="仿宋_GB2312"/>
          <w:color w:val="auto"/>
          <w:spacing w:val="-6"/>
          <w:sz w:val="24"/>
          <w:szCs w:val="24"/>
          <w:highlight w:val="none"/>
        </w:rPr>
        <w:t>协议书自所有成员单位法定代表人（单位负责人）或者其委托代理人签字或者盖单位章之日起生效，合同履行完毕后自动失效。</w:t>
      </w:r>
    </w:p>
    <w:p w14:paraId="2391CBEA">
      <w:pPr>
        <w:pStyle w:val="8"/>
        <w:pageBreakBefore w:val="0"/>
        <w:kinsoku/>
        <w:overflowPunct w:val="0"/>
        <w:topLinePunct w:val="0"/>
        <w:bidi w:val="0"/>
        <w:spacing w:before="60" w:after="60" w:line="360" w:lineRule="auto"/>
        <w:ind w:firstLine="480" w:firstLineChars="20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6</w:t>
      </w:r>
      <w:r>
        <w:rPr>
          <w:rFonts w:hint="eastAsia" w:ascii="宋体" w:hAnsi="宋体" w:cs="仿宋_GB2312"/>
          <w:color w:val="auto"/>
          <w:sz w:val="24"/>
          <w:szCs w:val="24"/>
          <w:highlight w:val="none"/>
          <w:lang w:eastAsia="zh-CN"/>
        </w:rPr>
        <w:t>.</w:t>
      </w:r>
      <w:r>
        <w:rPr>
          <w:rFonts w:hint="eastAsia" w:ascii="宋体" w:hAnsi="宋体" w:cs="仿宋_GB2312"/>
          <w:color w:val="auto"/>
          <w:sz w:val="24"/>
          <w:szCs w:val="24"/>
          <w:highlight w:val="none"/>
        </w:rPr>
        <w:t>本协议书一式</w:t>
      </w:r>
      <w:r>
        <w:rPr>
          <w:rFonts w:hint="eastAsia" w:ascii="宋体" w:hAnsi="宋体" w:cs="仿宋_GB2312"/>
          <w:color w:val="auto"/>
          <w:sz w:val="24"/>
          <w:szCs w:val="24"/>
          <w:highlight w:val="none"/>
          <w:u w:val="single"/>
        </w:rPr>
        <w:tab/>
      </w:r>
      <w:r>
        <w:rPr>
          <w:rFonts w:hint="eastAsia" w:ascii="宋体" w:hAnsi="宋体" w:cs="仿宋_GB2312"/>
          <w:color w:val="auto"/>
          <w:sz w:val="24"/>
          <w:szCs w:val="24"/>
          <w:highlight w:val="none"/>
        </w:rPr>
        <w:t>份，联合体成员和采购人各执一份。</w:t>
      </w:r>
    </w:p>
    <w:p w14:paraId="135B82F4">
      <w:pPr>
        <w:pStyle w:val="8"/>
        <w:pageBreakBefore w:val="0"/>
        <w:kinsoku/>
        <w:overflowPunct w:val="0"/>
        <w:topLinePunct w:val="0"/>
        <w:bidi w:val="0"/>
        <w:spacing w:before="60" w:after="60" w:line="360" w:lineRule="auto"/>
        <w:ind w:firstLine="480" w:firstLineChars="20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注：本协议书应附法定代表人身份证明书；有委托代理的，应</w:t>
      </w:r>
      <w:r>
        <w:rPr>
          <w:rFonts w:hint="eastAsia" w:ascii="宋体" w:hAnsi="宋体" w:cs="仿宋_GB2312"/>
          <w:color w:val="auto"/>
          <w:sz w:val="24"/>
          <w:szCs w:val="24"/>
          <w:highlight w:val="none"/>
          <w:lang w:eastAsia="zh-CN"/>
        </w:rPr>
        <w:t>附</w:t>
      </w:r>
      <w:r>
        <w:rPr>
          <w:rFonts w:hint="eastAsia" w:ascii="宋体" w:hAnsi="宋体" w:cs="仿宋_GB2312"/>
          <w:color w:val="auto"/>
          <w:sz w:val="24"/>
          <w:szCs w:val="24"/>
          <w:highlight w:val="none"/>
        </w:rPr>
        <w:t>委托书（格式自拟）。</w:t>
      </w:r>
    </w:p>
    <w:p w14:paraId="57FF7B17">
      <w:pPr>
        <w:pStyle w:val="8"/>
        <w:pageBreakBefore w:val="0"/>
        <w:kinsoku/>
        <w:overflowPunct w:val="0"/>
        <w:topLinePunct w:val="0"/>
        <w:bidi w:val="0"/>
        <w:spacing w:before="60" w:after="60" w:line="360" w:lineRule="auto"/>
        <w:ind w:firstLineChars="175"/>
        <w:contextualSpacing/>
        <w:rPr>
          <w:rFonts w:ascii="宋体" w:hAnsi="宋体" w:cs="仿宋_GB2312"/>
          <w:color w:val="auto"/>
          <w:sz w:val="24"/>
          <w:szCs w:val="24"/>
          <w:highlight w:val="none"/>
        </w:rPr>
      </w:pPr>
    </w:p>
    <w:p w14:paraId="507992D0">
      <w:pPr>
        <w:pStyle w:val="8"/>
        <w:pageBreakBefore w:val="0"/>
        <w:kinsoku/>
        <w:overflowPunct w:val="0"/>
        <w:topLinePunct w:val="0"/>
        <w:bidi w:val="0"/>
        <w:spacing w:before="60" w:after="60" w:line="360" w:lineRule="auto"/>
        <w:ind w:firstLine="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联合体牵头人名称（电子签章）：</w:t>
      </w:r>
    </w:p>
    <w:p w14:paraId="231DEA43">
      <w:pPr>
        <w:pStyle w:val="8"/>
        <w:pageBreakBefore w:val="0"/>
        <w:kinsoku/>
        <w:overflowPunct w:val="0"/>
        <w:topLinePunct w:val="0"/>
        <w:bidi w:val="0"/>
        <w:spacing w:before="60" w:after="60" w:line="360" w:lineRule="auto"/>
        <w:ind w:firstLine="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法定代表人或者其委托代理人（签字或者电子签名）：</w:t>
      </w:r>
    </w:p>
    <w:p w14:paraId="3B2060B8">
      <w:pPr>
        <w:pStyle w:val="8"/>
        <w:pageBreakBefore w:val="0"/>
        <w:kinsoku/>
        <w:overflowPunct w:val="0"/>
        <w:topLinePunct w:val="0"/>
        <w:bidi w:val="0"/>
        <w:spacing w:before="60" w:after="60" w:line="360" w:lineRule="auto"/>
        <w:ind w:firstLine="0"/>
        <w:contextualSpacing/>
        <w:rPr>
          <w:rFonts w:ascii="宋体" w:hAnsi="宋体" w:cs="仿宋_GB2312"/>
          <w:color w:val="auto"/>
          <w:sz w:val="24"/>
          <w:szCs w:val="24"/>
          <w:highlight w:val="none"/>
        </w:rPr>
      </w:pPr>
    </w:p>
    <w:p w14:paraId="783C6E46">
      <w:pPr>
        <w:pStyle w:val="8"/>
        <w:pageBreakBefore w:val="0"/>
        <w:kinsoku/>
        <w:overflowPunct w:val="0"/>
        <w:topLinePunct w:val="0"/>
        <w:bidi w:val="0"/>
        <w:spacing w:before="60" w:after="60" w:line="360" w:lineRule="auto"/>
        <w:ind w:firstLine="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联合体成员名称（盖公章或者电子签章）：</w:t>
      </w:r>
    </w:p>
    <w:p w14:paraId="13B9EC70">
      <w:pPr>
        <w:pStyle w:val="8"/>
        <w:pageBreakBefore w:val="0"/>
        <w:kinsoku/>
        <w:overflowPunct w:val="0"/>
        <w:topLinePunct w:val="0"/>
        <w:bidi w:val="0"/>
        <w:spacing w:before="60" w:after="60" w:line="360" w:lineRule="auto"/>
        <w:ind w:firstLine="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法定代表人或者其委托代理人（签字或者电子签名）：</w:t>
      </w:r>
    </w:p>
    <w:p w14:paraId="525C2FA2">
      <w:pPr>
        <w:pStyle w:val="8"/>
        <w:pageBreakBefore w:val="0"/>
        <w:kinsoku/>
        <w:overflowPunct w:val="0"/>
        <w:topLinePunct w:val="0"/>
        <w:bidi w:val="0"/>
        <w:spacing w:before="60" w:after="60" w:line="360" w:lineRule="auto"/>
        <w:ind w:firstLine="0"/>
        <w:contextualSpacing/>
        <w:rPr>
          <w:rFonts w:ascii="宋体" w:hAnsi="宋体" w:cs="仿宋_GB2312"/>
          <w:color w:val="auto"/>
          <w:sz w:val="24"/>
          <w:szCs w:val="24"/>
          <w:highlight w:val="none"/>
        </w:rPr>
      </w:pPr>
    </w:p>
    <w:p w14:paraId="68E167B6">
      <w:pPr>
        <w:pStyle w:val="8"/>
        <w:pageBreakBefore w:val="0"/>
        <w:kinsoku/>
        <w:overflowPunct w:val="0"/>
        <w:topLinePunct w:val="0"/>
        <w:bidi w:val="0"/>
        <w:spacing w:before="60" w:after="60" w:line="360" w:lineRule="auto"/>
        <w:ind w:firstLine="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联合体成员名称（盖公章或者电子签章）：</w:t>
      </w:r>
    </w:p>
    <w:p w14:paraId="0690133B">
      <w:pPr>
        <w:pStyle w:val="8"/>
        <w:pageBreakBefore w:val="0"/>
        <w:kinsoku/>
        <w:overflowPunct w:val="0"/>
        <w:topLinePunct w:val="0"/>
        <w:bidi w:val="0"/>
        <w:spacing w:before="60" w:after="60" w:line="360" w:lineRule="auto"/>
        <w:ind w:firstLine="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法定代表人或者其委托代理人（签字或者电子签名）：</w:t>
      </w:r>
    </w:p>
    <w:p w14:paraId="4480E8EB">
      <w:pPr>
        <w:pStyle w:val="8"/>
        <w:pageBreakBefore w:val="0"/>
        <w:kinsoku/>
        <w:overflowPunct w:val="0"/>
        <w:topLinePunct w:val="0"/>
        <w:bidi w:val="0"/>
        <w:spacing w:before="60" w:after="60" w:line="360" w:lineRule="auto"/>
        <w:ind w:firstLine="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w:t>
      </w:r>
    </w:p>
    <w:p w14:paraId="6A2428DB">
      <w:pPr>
        <w:pageBreakBefore w:val="0"/>
        <w:kinsoku/>
        <w:topLinePunct w:val="0"/>
        <w:bidi w:val="0"/>
        <w:spacing w:before="60" w:after="60" w:line="360" w:lineRule="auto"/>
        <w:ind w:right="480" w:firstLine="240" w:firstLineChars="100"/>
        <w:contextualSpacing/>
        <w:jc w:val="center"/>
        <w:rPr>
          <w:rFonts w:ascii="宋体" w:hAnsi="宋体" w:cs="仿宋_GB2312"/>
          <w:color w:val="auto"/>
          <w:sz w:val="24"/>
          <w:highlight w:val="none"/>
        </w:rPr>
      </w:pPr>
    </w:p>
    <w:p w14:paraId="66DE5AF5">
      <w:pPr>
        <w:pageBreakBefore w:val="0"/>
        <w:kinsoku/>
        <w:topLinePunct w:val="0"/>
        <w:bidi w:val="0"/>
        <w:spacing w:before="60" w:after="60" w:line="360" w:lineRule="auto"/>
        <w:ind w:right="480" w:firstLine="240" w:firstLineChars="100"/>
        <w:contextualSpacing/>
        <w:jc w:val="center"/>
        <w:rPr>
          <w:rFonts w:ascii="宋体" w:hAnsi="宋体"/>
          <w:b/>
          <w:bCs/>
          <w:color w:val="auto"/>
          <w:sz w:val="32"/>
          <w:szCs w:val="32"/>
          <w:highlight w:val="none"/>
        </w:rPr>
      </w:pPr>
      <w:r>
        <w:rPr>
          <w:rFonts w:hint="eastAsia" w:ascii="宋体" w:hAnsi="宋体" w:cs="仿宋_GB2312"/>
          <w:color w:val="auto"/>
          <w:sz w:val="24"/>
          <w:highlight w:val="none"/>
        </w:rPr>
        <w:t xml:space="preserve">                                                年  </w:t>
      </w:r>
      <w:r>
        <w:rPr>
          <w:rFonts w:hint="eastAsia" w:ascii="宋体" w:hAnsi="宋体" w:cs="仿宋_GB2312"/>
          <w:color w:val="auto"/>
          <w:sz w:val="24"/>
          <w:highlight w:val="none"/>
        </w:rPr>
        <w:tab/>
      </w:r>
      <w:r>
        <w:rPr>
          <w:rFonts w:hint="eastAsia" w:ascii="宋体" w:hAnsi="宋体" w:cs="仿宋_GB2312"/>
          <w:color w:val="auto"/>
          <w:sz w:val="24"/>
          <w:highlight w:val="none"/>
        </w:rPr>
        <w:t xml:space="preserve">月  </w:t>
      </w:r>
      <w:r>
        <w:rPr>
          <w:rFonts w:hint="eastAsia" w:ascii="宋体" w:hAnsi="宋体" w:cs="仿宋_GB2312"/>
          <w:color w:val="auto"/>
          <w:sz w:val="24"/>
          <w:highlight w:val="none"/>
        </w:rPr>
        <w:tab/>
      </w:r>
      <w:r>
        <w:rPr>
          <w:rFonts w:hint="eastAsia" w:ascii="宋体" w:hAnsi="宋体" w:cs="仿宋_GB2312"/>
          <w:color w:val="auto"/>
          <w:sz w:val="24"/>
          <w:highlight w:val="none"/>
        </w:rPr>
        <w:t>日</w:t>
      </w:r>
    </w:p>
    <w:p w14:paraId="02B0A258">
      <w:pPr>
        <w:pageBreakBefore w:val="0"/>
        <w:kinsoku/>
        <w:topLinePunct w:val="0"/>
        <w:bidi w:val="0"/>
        <w:spacing w:before="60" w:after="60" w:line="360" w:lineRule="auto"/>
        <w:ind w:right="420"/>
        <w:contextualSpacing/>
        <w:jc w:val="left"/>
        <w:rPr>
          <w:rFonts w:ascii="宋体" w:hAnsi="宋体"/>
          <w:b/>
          <w:color w:val="auto"/>
          <w:sz w:val="32"/>
          <w:szCs w:val="32"/>
          <w:highlight w:val="none"/>
        </w:rPr>
      </w:pPr>
      <w:r>
        <w:rPr>
          <w:rFonts w:ascii="宋体" w:hAnsi="宋体"/>
          <w:b/>
          <w:bCs/>
          <w:color w:val="auto"/>
          <w:sz w:val="32"/>
          <w:szCs w:val="32"/>
          <w:highlight w:val="none"/>
        </w:rPr>
        <w:br w:type="page"/>
      </w:r>
      <w:r>
        <w:rPr>
          <w:rFonts w:hint="eastAsia" w:ascii="宋体" w:hAnsi="宋体"/>
          <w:b/>
          <w:bCs/>
          <w:color w:val="auto"/>
          <w:sz w:val="32"/>
          <w:szCs w:val="32"/>
          <w:highlight w:val="none"/>
        </w:rPr>
        <w:t>二、</w:t>
      </w:r>
      <w:r>
        <w:rPr>
          <w:rFonts w:hint="eastAsia" w:ascii="宋体" w:hAnsi="宋体"/>
          <w:b/>
          <w:color w:val="auto"/>
          <w:sz w:val="32"/>
          <w:szCs w:val="32"/>
          <w:highlight w:val="none"/>
        </w:rPr>
        <w:t xml:space="preserve">报价文件格式 </w:t>
      </w:r>
    </w:p>
    <w:p w14:paraId="71031B6E">
      <w:pPr>
        <w:pageBreakBefore w:val="0"/>
        <w:kinsoku/>
        <w:topLinePunct w:val="0"/>
        <w:bidi w:val="0"/>
        <w:snapToGrid w:val="0"/>
        <w:spacing w:before="60" w:after="60" w:line="360" w:lineRule="auto"/>
        <w:jc w:val="left"/>
        <w:rPr>
          <w:rFonts w:ascii="宋体" w:hAnsi="宋体"/>
          <w:b/>
          <w:color w:val="auto"/>
          <w:sz w:val="32"/>
          <w:szCs w:val="32"/>
          <w:highlight w:val="none"/>
        </w:rPr>
      </w:pPr>
      <w:r>
        <w:rPr>
          <w:rFonts w:hint="eastAsia" w:ascii="宋体" w:hAnsi="宋体"/>
          <w:b/>
          <w:color w:val="auto"/>
          <w:sz w:val="32"/>
          <w:szCs w:val="32"/>
          <w:highlight w:val="none"/>
        </w:rPr>
        <w:t>1</w:t>
      </w:r>
      <w:r>
        <w:rPr>
          <w:rFonts w:hint="eastAsia" w:ascii="宋体" w:hAnsi="宋体"/>
          <w:b/>
          <w:color w:val="auto"/>
          <w:sz w:val="32"/>
          <w:szCs w:val="32"/>
          <w:highlight w:val="none"/>
          <w:lang w:eastAsia="zh-CN"/>
        </w:rPr>
        <w:t>.</w:t>
      </w:r>
      <w:r>
        <w:rPr>
          <w:rFonts w:hint="eastAsia" w:ascii="宋体" w:hAnsi="宋体"/>
          <w:b/>
          <w:color w:val="auto"/>
          <w:sz w:val="32"/>
          <w:szCs w:val="32"/>
          <w:highlight w:val="none"/>
        </w:rPr>
        <w:t>报价文件封面格式</w:t>
      </w:r>
    </w:p>
    <w:p w14:paraId="1BC85470">
      <w:pPr>
        <w:pageBreakBefore w:val="0"/>
        <w:kinsoku/>
        <w:topLinePunct w:val="0"/>
        <w:bidi w:val="0"/>
        <w:snapToGrid w:val="0"/>
        <w:spacing w:before="60" w:after="60" w:line="360" w:lineRule="auto"/>
        <w:rPr>
          <w:rFonts w:ascii="宋体" w:hAnsi="宋体"/>
          <w:bCs/>
          <w:color w:val="auto"/>
          <w:sz w:val="32"/>
          <w:szCs w:val="20"/>
          <w:highlight w:val="none"/>
        </w:rPr>
      </w:pPr>
    </w:p>
    <w:p w14:paraId="046AC4FD">
      <w:pPr>
        <w:pageBreakBefore w:val="0"/>
        <w:kinsoku/>
        <w:topLinePunct w:val="0"/>
        <w:bidi w:val="0"/>
        <w:snapToGrid w:val="0"/>
        <w:spacing w:before="60" w:after="60" w:line="360" w:lineRule="auto"/>
        <w:jc w:val="center"/>
        <w:rPr>
          <w:rFonts w:ascii="宋体" w:hAnsi="宋体"/>
          <w:color w:val="auto"/>
          <w:sz w:val="24"/>
          <w:szCs w:val="20"/>
          <w:highlight w:val="none"/>
        </w:rPr>
      </w:pPr>
      <w:r>
        <w:rPr>
          <w:rFonts w:hint="eastAsia" w:ascii="宋体" w:hAnsi="宋体"/>
          <w:color w:val="auto"/>
          <w:sz w:val="44"/>
          <w:szCs w:val="44"/>
          <w:highlight w:val="none"/>
        </w:rPr>
        <w:t>电 子 响 应 文 件</w:t>
      </w:r>
    </w:p>
    <w:p w14:paraId="7C7F6539">
      <w:pPr>
        <w:pageBreakBefore w:val="0"/>
        <w:kinsoku/>
        <w:topLinePunct w:val="0"/>
        <w:bidi w:val="0"/>
        <w:snapToGrid w:val="0"/>
        <w:spacing w:before="60" w:after="60" w:line="360" w:lineRule="auto"/>
        <w:rPr>
          <w:rFonts w:ascii="宋体" w:hAnsi="宋体"/>
          <w:color w:val="auto"/>
          <w:sz w:val="24"/>
          <w:szCs w:val="20"/>
          <w:highlight w:val="none"/>
        </w:rPr>
      </w:pPr>
    </w:p>
    <w:p w14:paraId="57AAE389">
      <w:pPr>
        <w:pageBreakBefore w:val="0"/>
        <w:kinsoku/>
        <w:topLinePunct w:val="0"/>
        <w:bidi w:val="0"/>
        <w:snapToGrid w:val="0"/>
        <w:spacing w:before="60" w:after="60" w:line="360" w:lineRule="auto"/>
        <w:rPr>
          <w:rFonts w:ascii="宋体" w:hAnsi="宋体"/>
          <w:color w:val="auto"/>
          <w:sz w:val="24"/>
          <w:szCs w:val="20"/>
          <w:highlight w:val="none"/>
        </w:rPr>
      </w:pPr>
    </w:p>
    <w:p w14:paraId="68A99F55">
      <w:pPr>
        <w:pageBreakBefore w:val="0"/>
        <w:kinsoku/>
        <w:topLinePunct w:val="0"/>
        <w:bidi w:val="0"/>
        <w:snapToGrid w:val="0"/>
        <w:spacing w:before="60" w:after="60" w:line="360" w:lineRule="auto"/>
        <w:jc w:val="center"/>
        <w:rPr>
          <w:rFonts w:cs="方正小标宋简体" w:asciiTheme="minorEastAsia" w:hAnsiTheme="minorEastAsia" w:eastAsiaTheme="minorEastAsia"/>
          <w:bCs/>
          <w:color w:val="auto"/>
          <w:sz w:val="44"/>
          <w:szCs w:val="44"/>
          <w:highlight w:val="none"/>
        </w:rPr>
      </w:pPr>
      <w:r>
        <w:rPr>
          <w:rFonts w:hint="eastAsia" w:cs="方正小标宋简体" w:asciiTheme="minorEastAsia" w:hAnsiTheme="minorEastAsia" w:eastAsiaTheme="minorEastAsia"/>
          <w:bCs/>
          <w:color w:val="auto"/>
          <w:sz w:val="44"/>
          <w:szCs w:val="44"/>
          <w:highlight w:val="none"/>
        </w:rPr>
        <w:t>报  价  文  件</w:t>
      </w:r>
    </w:p>
    <w:p w14:paraId="426826C0">
      <w:pPr>
        <w:pageBreakBefore w:val="0"/>
        <w:kinsoku/>
        <w:topLinePunct w:val="0"/>
        <w:bidi w:val="0"/>
        <w:snapToGrid w:val="0"/>
        <w:spacing w:before="60" w:after="60" w:line="360" w:lineRule="auto"/>
        <w:rPr>
          <w:rFonts w:ascii="宋体" w:hAnsi="宋体"/>
          <w:bCs/>
          <w:color w:val="auto"/>
          <w:sz w:val="24"/>
          <w:szCs w:val="20"/>
          <w:highlight w:val="none"/>
        </w:rPr>
      </w:pPr>
    </w:p>
    <w:p w14:paraId="19C4EA0F">
      <w:pPr>
        <w:pageBreakBefore w:val="0"/>
        <w:kinsoku/>
        <w:topLinePunct w:val="0"/>
        <w:bidi w:val="0"/>
        <w:snapToGrid w:val="0"/>
        <w:spacing w:before="60" w:after="60" w:line="360" w:lineRule="auto"/>
        <w:rPr>
          <w:rFonts w:ascii="宋体" w:hAnsi="宋体"/>
          <w:bCs/>
          <w:color w:val="auto"/>
          <w:sz w:val="24"/>
          <w:szCs w:val="20"/>
          <w:highlight w:val="none"/>
        </w:rPr>
      </w:pPr>
    </w:p>
    <w:p w14:paraId="6E521F70">
      <w:pPr>
        <w:pageBreakBefore w:val="0"/>
        <w:kinsoku/>
        <w:topLinePunct w:val="0"/>
        <w:bidi w:val="0"/>
        <w:snapToGrid w:val="0"/>
        <w:spacing w:before="60" w:after="60" w:line="360" w:lineRule="auto"/>
        <w:rPr>
          <w:rFonts w:ascii="宋体" w:hAnsi="宋体"/>
          <w:bCs/>
          <w:color w:val="auto"/>
          <w:sz w:val="24"/>
          <w:szCs w:val="20"/>
          <w:highlight w:val="none"/>
        </w:rPr>
      </w:pPr>
    </w:p>
    <w:p w14:paraId="16D73787">
      <w:pPr>
        <w:pageBreakBefore w:val="0"/>
        <w:kinsoku/>
        <w:topLinePunct w:val="0"/>
        <w:bidi w:val="0"/>
        <w:snapToGrid w:val="0"/>
        <w:spacing w:before="60" w:after="60" w:line="360" w:lineRule="auto"/>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6F1D2B60">
      <w:pPr>
        <w:pageBreakBefore w:val="0"/>
        <w:kinsoku/>
        <w:topLinePunct w:val="0"/>
        <w:bidi w:val="0"/>
        <w:snapToGrid w:val="0"/>
        <w:spacing w:before="60" w:after="60" w:line="360" w:lineRule="auto"/>
        <w:ind w:firstLine="720" w:firstLineChars="225"/>
        <w:rPr>
          <w:rFonts w:ascii="宋体" w:hAnsi="宋体" w:cs="仿宋_GB2312"/>
          <w:bCs/>
          <w:color w:val="auto"/>
          <w:sz w:val="32"/>
          <w:szCs w:val="32"/>
          <w:highlight w:val="none"/>
        </w:rPr>
      </w:pPr>
    </w:p>
    <w:p w14:paraId="51F96DCB">
      <w:pPr>
        <w:pageBreakBefore w:val="0"/>
        <w:kinsoku/>
        <w:topLinePunct w:val="0"/>
        <w:bidi w:val="0"/>
        <w:snapToGrid w:val="0"/>
        <w:spacing w:before="60" w:after="60" w:line="360" w:lineRule="auto"/>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1DDA581A">
      <w:pPr>
        <w:pageBreakBefore w:val="0"/>
        <w:kinsoku/>
        <w:topLinePunct w:val="0"/>
        <w:bidi w:val="0"/>
        <w:snapToGrid w:val="0"/>
        <w:spacing w:before="60" w:after="60" w:line="360" w:lineRule="auto"/>
        <w:ind w:firstLine="720" w:firstLineChars="225"/>
        <w:rPr>
          <w:rFonts w:ascii="宋体" w:hAnsi="宋体" w:cs="仿宋_GB2312"/>
          <w:bCs/>
          <w:color w:val="auto"/>
          <w:sz w:val="32"/>
          <w:szCs w:val="32"/>
          <w:highlight w:val="none"/>
        </w:rPr>
      </w:pPr>
    </w:p>
    <w:p w14:paraId="3CEE472B">
      <w:pPr>
        <w:pageBreakBefore w:val="0"/>
        <w:kinsoku/>
        <w:topLinePunct w:val="0"/>
        <w:bidi w:val="0"/>
        <w:snapToGrid w:val="0"/>
        <w:spacing w:before="60" w:after="60" w:line="360" w:lineRule="auto"/>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5B083566">
      <w:pPr>
        <w:pageBreakBefore w:val="0"/>
        <w:kinsoku/>
        <w:topLinePunct w:val="0"/>
        <w:bidi w:val="0"/>
        <w:snapToGrid w:val="0"/>
        <w:spacing w:before="60" w:after="60" w:line="360" w:lineRule="auto"/>
        <w:ind w:firstLine="720" w:firstLineChars="225"/>
        <w:rPr>
          <w:rFonts w:ascii="宋体" w:hAnsi="宋体" w:cs="仿宋_GB2312"/>
          <w:bCs/>
          <w:color w:val="auto"/>
          <w:sz w:val="32"/>
          <w:szCs w:val="32"/>
          <w:highlight w:val="none"/>
        </w:rPr>
      </w:pPr>
    </w:p>
    <w:p w14:paraId="6E842329">
      <w:pPr>
        <w:pStyle w:val="8"/>
        <w:pageBreakBefore w:val="0"/>
        <w:kinsoku/>
        <w:topLinePunct w:val="0"/>
        <w:bidi w:val="0"/>
        <w:snapToGrid w:val="0"/>
        <w:spacing w:before="60" w:after="60" w:line="360" w:lineRule="auto"/>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60285E42">
      <w:pPr>
        <w:pStyle w:val="8"/>
        <w:pageBreakBefore w:val="0"/>
        <w:kinsoku/>
        <w:topLinePunct w:val="0"/>
        <w:bidi w:val="0"/>
        <w:snapToGrid w:val="0"/>
        <w:spacing w:before="60" w:after="60" w:line="360" w:lineRule="auto"/>
        <w:ind w:firstLine="640" w:firstLineChars="200"/>
        <w:rPr>
          <w:rFonts w:ascii="宋体" w:hAnsi="宋体" w:cs="仿宋_GB2312"/>
          <w:bCs/>
          <w:color w:val="auto"/>
          <w:sz w:val="32"/>
          <w:szCs w:val="32"/>
          <w:highlight w:val="none"/>
        </w:rPr>
      </w:pPr>
    </w:p>
    <w:p w14:paraId="16B47C7A">
      <w:pPr>
        <w:pStyle w:val="8"/>
        <w:pageBreakBefore w:val="0"/>
        <w:kinsoku/>
        <w:topLinePunct w:val="0"/>
        <w:bidi w:val="0"/>
        <w:snapToGrid w:val="0"/>
        <w:spacing w:before="60" w:after="60" w:line="360" w:lineRule="auto"/>
        <w:ind w:firstLine="1280" w:firstLineChars="400"/>
        <w:rPr>
          <w:rFonts w:ascii="宋体" w:hAnsi="宋体" w:cs="仿宋_GB2312"/>
          <w:bCs/>
          <w:color w:val="auto"/>
          <w:sz w:val="32"/>
          <w:szCs w:val="32"/>
          <w:highlight w:val="none"/>
        </w:rPr>
      </w:pPr>
    </w:p>
    <w:p w14:paraId="76E18A85">
      <w:pPr>
        <w:pageBreakBefore w:val="0"/>
        <w:kinsoku/>
        <w:topLinePunct w:val="0"/>
        <w:bidi w:val="0"/>
        <w:snapToGrid w:val="0"/>
        <w:spacing w:before="60" w:after="60" w:line="360" w:lineRule="auto"/>
        <w:jc w:val="center"/>
        <w:rPr>
          <w:rFonts w:ascii="宋体" w:hAnsi="宋体"/>
          <w:b/>
          <w:bCs/>
          <w:color w:val="auto"/>
          <w:sz w:val="24"/>
          <w:highlight w:val="none"/>
        </w:rPr>
      </w:pPr>
      <w:r>
        <w:rPr>
          <w:rFonts w:hint="eastAsia" w:ascii="宋体" w:hAnsi="宋体" w:cs="仿宋_GB2312"/>
          <w:color w:val="auto"/>
          <w:sz w:val="32"/>
          <w:szCs w:val="32"/>
          <w:highlight w:val="none"/>
        </w:rPr>
        <w:t>年    月    日</w:t>
      </w:r>
      <w:r>
        <w:rPr>
          <w:rFonts w:hint="eastAsia" w:ascii="宋体" w:hAnsi="宋体"/>
          <w:color w:val="auto"/>
          <w:szCs w:val="21"/>
          <w:highlight w:val="none"/>
        </w:rPr>
        <w:br w:type="page"/>
      </w:r>
      <w:r>
        <w:rPr>
          <w:rFonts w:hint="eastAsia" w:ascii="宋体" w:hAnsi="宋体"/>
          <w:b/>
          <w:bCs/>
          <w:color w:val="auto"/>
          <w:sz w:val="32"/>
          <w:szCs w:val="32"/>
          <w:highlight w:val="none"/>
        </w:rPr>
        <w:t>2</w:t>
      </w:r>
      <w:r>
        <w:rPr>
          <w:rFonts w:hint="eastAsia" w:ascii="宋体" w:hAnsi="宋体"/>
          <w:b/>
          <w:bCs/>
          <w:color w:val="auto"/>
          <w:sz w:val="32"/>
          <w:szCs w:val="32"/>
          <w:highlight w:val="none"/>
          <w:lang w:eastAsia="zh-CN"/>
        </w:rPr>
        <w:t>.</w:t>
      </w:r>
      <w:r>
        <w:rPr>
          <w:rFonts w:hint="eastAsia" w:ascii="宋体" w:hAnsi="宋体"/>
          <w:b/>
          <w:bCs/>
          <w:color w:val="auto"/>
          <w:sz w:val="32"/>
          <w:szCs w:val="32"/>
          <w:highlight w:val="none"/>
        </w:rPr>
        <w:t>报价文件目录</w:t>
      </w:r>
    </w:p>
    <w:p w14:paraId="463861B8">
      <w:pPr>
        <w:pageBreakBefore w:val="0"/>
        <w:kinsoku/>
        <w:topLinePunct w:val="0"/>
        <w:bidi w:val="0"/>
        <w:spacing w:before="60" w:after="60" w:line="360" w:lineRule="auto"/>
        <w:jc w:val="left"/>
        <w:rPr>
          <w:rFonts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76972323">
      <w:pPr>
        <w:pageBreakBefore w:val="0"/>
        <w:kinsoku/>
        <w:topLinePunct w:val="0"/>
        <w:bidi w:val="0"/>
        <w:spacing w:before="60" w:after="60" w:line="360" w:lineRule="auto"/>
        <w:jc w:val="center"/>
        <w:rPr>
          <w:rFonts w:cs="方正小标宋简体" w:asciiTheme="minorEastAsia" w:hAnsiTheme="minorEastAsia" w:eastAsiaTheme="minorEastAsia"/>
          <w:bCs/>
          <w:color w:val="auto"/>
          <w:sz w:val="32"/>
          <w:szCs w:val="32"/>
          <w:highlight w:val="none"/>
        </w:rPr>
      </w:pPr>
      <w:r>
        <w:rPr>
          <w:rFonts w:ascii="宋体" w:hAnsi="宋体"/>
          <w:b/>
          <w:bCs/>
          <w:color w:val="auto"/>
          <w:sz w:val="32"/>
          <w:szCs w:val="32"/>
          <w:highlight w:val="none"/>
        </w:rPr>
        <w:br w:type="page"/>
      </w:r>
      <w:r>
        <w:rPr>
          <w:rFonts w:hint="eastAsia" w:cs="方正小标宋简体" w:asciiTheme="minorEastAsia" w:hAnsiTheme="minorEastAsia" w:eastAsiaTheme="minorEastAsia"/>
          <w:bCs/>
          <w:color w:val="auto"/>
          <w:sz w:val="36"/>
          <w:szCs w:val="36"/>
          <w:highlight w:val="none"/>
        </w:rPr>
        <w:t>竞  标  报  价  表</w:t>
      </w:r>
    </w:p>
    <w:p w14:paraId="75FE9CA2">
      <w:pPr>
        <w:pageBreakBefore w:val="0"/>
        <w:kinsoku/>
        <w:topLinePunct w:val="0"/>
        <w:bidi w:val="0"/>
        <w:spacing w:before="60" w:after="60" w:line="360" w:lineRule="auto"/>
        <w:jc w:val="center"/>
        <w:rPr>
          <w:rFonts w:ascii="方正小标宋简体" w:hAnsi="方正小标宋简体" w:eastAsia="方正小标宋简体" w:cs="方正小标宋简体"/>
          <w:bCs/>
          <w:color w:val="auto"/>
          <w:sz w:val="32"/>
          <w:szCs w:val="32"/>
          <w:highlight w:val="none"/>
        </w:rPr>
      </w:pPr>
    </w:p>
    <w:p w14:paraId="01118E38">
      <w:pPr>
        <w:pageBreakBefore w:val="0"/>
        <w:kinsoku/>
        <w:topLinePunct w:val="0"/>
        <w:bidi w:val="0"/>
        <w:spacing w:before="60" w:after="60"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项目名称：项目编号：</w:t>
      </w:r>
    </w:p>
    <w:p w14:paraId="6793D216">
      <w:pPr>
        <w:pageBreakBefore w:val="0"/>
        <w:kinsoku/>
        <w:topLinePunct w:val="0"/>
        <w:bidi w:val="0"/>
        <w:spacing w:before="60" w:after="60" w:line="360" w:lineRule="auto"/>
        <w:contextualSpacing/>
        <w:rPr>
          <w:rFonts w:ascii="宋体" w:hAnsi="宋体" w:cs="仿宋_GB2312"/>
          <w:color w:val="auto"/>
          <w:sz w:val="24"/>
          <w:highlight w:val="none"/>
          <w:u w:val="single"/>
        </w:rPr>
      </w:pPr>
      <w:r>
        <w:rPr>
          <w:rFonts w:hint="eastAsia" w:ascii="宋体" w:hAnsi="宋体" w:cs="仿宋_GB2312"/>
          <w:color w:val="auto"/>
          <w:sz w:val="24"/>
          <w:highlight w:val="none"/>
        </w:rPr>
        <w:t>分标（如有）：</w:t>
      </w:r>
    </w:p>
    <w:p w14:paraId="1501C5D5">
      <w:pPr>
        <w:pageBreakBefore w:val="0"/>
        <w:kinsoku/>
        <w:topLinePunct w:val="0"/>
        <w:bidi w:val="0"/>
        <w:spacing w:before="60" w:after="60"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供应商名称：</w:t>
      </w:r>
    </w:p>
    <w:p w14:paraId="0F72BCE5">
      <w:pPr>
        <w:pageBreakBefore w:val="0"/>
        <w:kinsoku/>
        <w:topLinePunct w:val="0"/>
        <w:bidi w:val="0"/>
        <w:spacing w:before="60" w:after="60"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 xml:space="preserve">                                                              单位：元</w:t>
      </w:r>
    </w:p>
    <w:tbl>
      <w:tblPr>
        <w:tblStyle w:val="31"/>
        <w:tblW w:w="9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1689"/>
        <w:gridCol w:w="1629"/>
        <w:gridCol w:w="880"/>
        <w:gridCol w:w="1189"/>
        <w:gridCol w:w="1660"/>
        <w:gridCol w:w="1494"/>
        <w:gridCol w:w="552"/>
      </w:tblGrid>
      <w:tr w14:paraId="5A3B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1" w:hRule="atLeast"/>
          <w:jc w:val="center"/>
        </w:trPr>
        <w:tc>
          <w:tcPr>
            <w:tcW w:w="584" w:type="dxa"/>
            <w:tcBorders>
              <w:top w:val="single" w:color="auto" w:sz="4" w:space="0"/>
              <w:left w:val="single" w:color="auto" w:sz="4" w:space="0"/>
              <w:bottom w:val="single" w:color="auto" w:sz="4" w:space="0"/>
              <w:right w:val="single" w:color="auto" w:sz="4" w:space="0"/>
            </w:tcBorders>
            <w:vAlign w:val="center"/>
          </w:tcPr>
          <w:p w14:paraId="64620049">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r>
              <w:rPr>
                <w:rFonts w:hint="default" w:ascii="宋体" w:hAnsi="宋体" w:cs="仿宋_GB2312"/>
                <w:color w:val="auto"/>
                <w:sz w:val="24"/>
                <w:highlight w:val="none"/>
              </w:rPr>
              <w:t>序号</w:t>
            </w:r>
          </w:p>
        </w:tc>
        <w:tc>
          <w:tcPr>
            <w:tcW w:w="1689" w:type="dxa"/>
            <w:tcBorders>
              <w:top w:val="single" w:color="auto" w:sz="4" w:space="0"/>
              <w:left w:val="single" w:color="auto" w:sz="4" w:space="0"/>
              <w:bottom w:val="single" w:color="auto" w:sz="4" w:space="0"/>
              <w:right w:val="single" w:color="auto" w:sz="4" w:space="0"/>
            </w:tcBorders>
            <w:vAlign w:val="center"/>
          </w:tcPr>
          <w:p w14:paraId="07282C2D">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r>
              <w:rPr>
                <w:rFonts w:hint="default" w:ascii="宋体" w:hAnsi="宋体" w:cs="仿宋_GB2312"/>
                <w:color w:val="auto"/>
                <w:sz w:val="24"/>
                <w:highlight w:val="none"/>
              </w:rPr>
              <w:t>标的名称</w:t>
            </w:r>
          </w:p>
        </w:tc>
        <w:tc>
          <w:tcPr>
            <w:tcW w:w="1629" w:type="dxa"/>
            <w:tcBorders>
              <w:top w:val="single" w:color="auto" w:sz="4" w:space="0"/>
              <w:left w:val="single" w:color="auto" w:sz="4" w:space="0"/>
              <w:bottom w:val="single" w:color="auto" w:sz="4" w:space="0"/>
              <w:right w:val="single" w:color="auto" w:sz="4" w:space="0"/>
            </w:tcBorders>
            <w:vAlign w:val="center"/>
          </w:tcPr>
          <w:p w14:paraId="6E0B3604">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eastAsia" w:ascii="宋体" w:hAnsi="宋体" w:eastAsia="宋体" w:cs="仿宋_GB2312"/>
                <w:color w:val="auto"/>
                <w:sz w:val="24"/>
                <w:highlight w:val="none"/>
                <w:lang w:eastAsia="zh-CN"/>
              </w:rPr>
            </w:pPr>
            <w:r>
              <w:rPr>
                <w:rFonts w:hint="eastAsia" w:ascii="宋体" w:hAnsi="宋体" w:eastAsia="宋体" w:cs="仿宋_GB2312"/>
                <w:color w:val="auto"/>
                <w:sz w:val="24"/>
                <w:highlight w:val="none"/>
                <w:lang w:eastAsia="zh-CN"/>
              </w:rPr>
              <w:t>服务内容和技术要求</w:t>
            </w:r>
          </w:p>
        </w:tc>
        <w:tc>
          <w:tcPr>
            <w:tcW w:w="880" w:type="dxa"/>
            <w:tcBorders>
              <w:top w:val="single" w:color="auto" w:sz="4" w:space="0"/>
              <w:left w:val="single" w:color="auto" w:sz="4" w:space="0"/>
              <w:bottom w:val="single" w:color="auto" w:sz="4" w:space="0"/>
              <w:right w:val="single" w:color="auto" w:sz="4" w:space="0"/>
            </w:tcBorders>
            <w:vAlign w:val="center"/>
          </w:tcPr>
          <w:p w14:paraId="72292036">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eastAsia" w:ascii="宋体" w:hAnsi="宋体" w:eastAsia="宋体" w:cs="仿宋_GB2312"/>
                <w:color w:val="auto"/>
                <w:sz w:val="24"/>
                <w:highlight w:val="none"/>
                <w:lang w:eastAsia="zh-CN"/>
              </w:rPr>
            </w:pPr>
            <w:r>
              <w:rPr>
                <w:rFonts w:hint="eastAsia" w:ascii="宋体" w:hAnsi="宋体" w:cs="仿宋_GB2312"/>
                <w:color w:val="auto"/>
                <w:sz w:val="24"/>
                <w:highlight w:val="none"/>
              </w:rPr>
              <w:t>数量</w:t>
            </w:r>
          </w:p>
        </w:tc>
        <w:tc>
          <w:tcPr>
            <w:tcW w:w="1189" w:type="dxa"/>
            <w:tcBorders>
              <w:top w:val="single" w:color="auto" w:sz="4" w:space="0"/>
              <w:left w:val="single" w:color="auto" w:sz="4" w:space="0"/>
              <w:bottom w:val="single" w:color="auto" w:sz="4" w:space="0"/>
              <w:right w:val="single" w:color="auto" w:sz="4" w:space="0"/>
            </w:tcBorders>
            <w:vAlign w:val="center"/>
          </w:tcPr>
          <w:p w14:paraId="419B4BA5">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r>
              <w:rPr>
                <w:rFonts w:hint="eastAsia" w:ascii="宋体" w:hAnsi="宋体" w:cs="仿宋_GB2312"/>
                <w:color w:val="auto"/>
                <w:sz w:val="24"/>
                <w:highlight w:val="none"/>
              </w:rPr>
              <w:t>单位</w:t>
            </w:r>
          </w:p>
        </w:tc>
        <w:tc>
          <w:tcPr>
            <w:tcW w:w="1660" w:type="dxa"/>
            <w:tcBorders>
              <w:top w:val="single" w:color="auto" w:sz="4" w:space="0"/>
              <w:left w:val="single" w:color="auto" w:sz="4" w:space="0"/>
              <w:bottom w:val="single" w:color="auto" w:sz="4" w:space="0"/>
              <w:right w:val="single" w:color="auto" w:sz="4" w:space="0"/>
            </w:tcBorders>
            <w:vAlign w:val="center"/>
          </w:tcPr>
          <w:p w14:paraId="669B5FBE">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单价</w:t>
            </w:r>
          </w:p>
          <w:p w14:paraId="599658BB">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eastAsia" w:ascii="宋体" w:hAnsi="宋体" w:eastAsia="宋体" w:cs="仿宋_GB2312"/>
                <w:color w:val="auto"/>
                <w:sz w:val="24"/>
                <w:highlight w:val="none"/>
                <w:lang w:eastAsia="zh-CN"/>
              </w:rPr>
            </w:pPr>
            <w:r>
              <w:rPr>
                <w:rFonts w:hint="eastAsia" w:ascii="宋体" w:hAnsi="宋体" w:cs="仿宋_GB2312"/>
                <w:color w:val="auto"/>
                <w:sz w:val="24"/>
                <w:highlight w:val="none"/>
                <w:lang w:eastAsia="zh-CN"/>
              </w:rPr>
              <w:t>（</w:t>
            </w:r>
            <w:r>
              <w:rPr>
                <w:rFonts w:hint="eastAsia" w:ascii="宋体" w:hAnsi="宋体" w:cs="仿宋_GB2312"/>
                <w:color w:val="auto"/>
                <w:sz w:val="24"/>
                <w:highlight w:val="none"/>
                <w:lang w:val="en-US" w:eastAsia="zh-CN"/>
              </w:rPr>
              <w:t>元</w:t>
            </w:r>
            <w:r>
              <w:rPr>
                <w:rFonts w:hint="eastAsia" w:ascii="宋体" w:hAnsi="宋体" w:cs="仿宋_GB2312"/>
                <w:color w:val="auto"/>
                <w:sz w:val="24"/>
                <w:highlight w:val="none"/>
                <w:lang w:eastAsia="zh-CN"/>
              </w:rPr>
              <w:t>）</w:t>
            </w:r>
          </w:p>
        </w:tc>
        <w:tc>
          <w:tcPr>
            <w:tcW w:w="1494" w:type="dxa"/>
            <w:tcBorders>
              <w:top w:val="single" w:color="auto" w:sz="4" w:space="0"/>
              <w:left w:val="single" w:color="auto" w:sz="4" w:space="0"/>
              <w:bottom w:val="single" w:color="auto" w:sz="4" w:space="0"/>
              <w:right w:val="single" w:color="auto" w:sz="4" w:space="0"/>
            </w:tcBorders>
            <w:vAlign w:val="center"/>
          </w:tcPr>
          <w:p w14:paraId="4D8A220D">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eastAsia" w:ascii="宋体" w:hAnsi="宋体" w:eastAsia="宋体" w:cs="仿宋_GB2312"/>
                <w:color w:val="auto"/>
                <w:sz w:val="24"/>
                <w:highlight w:val="none"/>
                <w:lang w:eastAsia="zh-CN"/>
              </w:rPr>
            </w:pPr>
            <w:r>
              <w:rPr>
                <w:rFonts w:hint="eastAsia" w:ascii="宋体" w:hAnsi="宋体" w:cs="仿宋_GB2312"/>
                <w:color w:val="auto"/>
                <w:sz w:val="24"/>
                <w:highlight w:val="none"/>
              </w:rPr>
              <w:t>总价</w:t>
            </w:r>
            <w:r>
              <w:rPr>
                <w:rFonts w:hint="eastAsia" w:ascii="宋体" w:hAnsi="宋体" w:cs="仿宋_GB2312"/>
                <w:color w:val="auto"/>
                <w:sz w:val="24"/>
                <w:highlight w:val="none"/>
                <w:lang w:eastAsia="zh-CN"/>
              </w:rPr>
              <w:t>（元）</w:t>
            </w:r>
          </w:p>
        </w:tc>
        <w:tc>
          <w:tcPr>
            <w:tcW w:w="552" w:type="dxa"/>
            <w:tcBorders>
              <w:top w:val="single" w:color="auto" w:sz="4" w:space="0"/>
              <w:left w:val="single" w:color="auto" w:sz="4" w:space="0"/>
              <w:bottom w:val="single" w:color="auto" w:sz="4" w:space="0"/>
              <w:right w:val="single" w:color="auto" w:sz="4" w:space="0"/>
            </w:tcBorders>
            <w:vAlign w:val="center"/>
          </w:tcPr>
          <w:p w14:paraId="2854F335">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r>
              <w:rPr>
                <w:rFonts w:hint="default" w:ascii="宋体" w:hAnsi="宋体" w:cs="仿宋_GB2312"/>
                <w:color w:val="auto"/>
                <w:sz w:val="24"/>
                <w:highlight w:val="none"/>
              </w:rPr>
              <w:t>备注</w:t>
            </w:r>
          </w:p>
        </w:tc>
      </w:tr>
      <w:tr w14:paraId="7A663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584" w:type="dxa"/>
            <w:tcBorders>
              <w:top w:val="single" w:color="auto" w:sz="4" w:space="0"/>
              <w:left w:val="single" w:color="auto" w:sz="4" w:space="0"/>
              <w:bottom w:val="single" w:color="auto" w:sz="4" w:space="0"/>
              <w:right w:val="single" w:color="auto" w:sz="4" w:space="0"/>
            </w:tcBorders>
            <w:vAlign w:val="center"/>
          </w:tcPr>
          <w:p w14:paraId="78EA6513">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leftChars="0" w:right="0" w:rightChars="0"/>
              <w:contextualSpacing/>
              <w:jc w:val="center"/>
              <w:rPr>
                <w:rFonts w:hint="default" w:ascii="宋体" w:hAnsi="宋体" w:cs="仿宋_GB2312"/>
                <w:color w:val="auto"/>
                <w:sz w:val="24"/>
                <w:highlight w:val="none"/>
              </w:rPr>
            </w:pPr>
            <w:r>
              <w:rPr>
                <w:rFonts w:hint="default" w:ascii="宋体" w:hAnsi="宋体" w:eastAsia="宋体" w:cs="仿宋_GB2312"/>
                <w:color w:val="auto"/>
                <w:sz w:val="24"/>
                <w:szCs w:val="24"/>
                <w:highlight w:val="none"/>
              </w:rPr>
              <w:t>1</w:t>
            </w:r>
          </w:p>
        </w:tc>
        <w:tc>
          <w:tcPr>
            <w:tcW w:w="1689" w:type="dxa"/>
            <w:tcBorders>
              <w:top w:val="single" w:color="auto" w:sz="4" w:space="0"/>
              <w:left w:val="single" w:color="auto" w:sz="4" w:space="0"/>
              <w:bottom w:val="single" w:color="auto" w:sz="4" w:space="0"/>
              <w:right w:val="single" w:color="auto" w:sz="4" w:space="0"/>
            </w:tcBorders>
            <w:vAlign w:val="center"/>
          </w:tcPr>
          <w:p w14:paraId="69D6FA87">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leftChars="0" w:right="0" w:rightChars="0"/>
              <w:contextualSpacing/>
              <w:jc w:val="center"/>
              <w:textAlignment w:val="auto"/>
              <w:rPr>
                <w:rFonts w:hint="default" w:ascii="宋体" w:hAnsi="宋体" w:cs="仿宋_GB2312"/>
                <w:color w:val="auto"/>
                <w:sz w:val="24"/>
                <w:highlight w:val="none"/>
              </w:rPr>
            </w:pPr>
          </w:p>
        </w:tc>
        <w:tc>
          <w:tcPr>
            <w:tcW w:w="1629" w:type="dxa"/>
            <w:tcBorders>
              <w:top w:val="single" w:color="auto" w:sz="4" w:space="0"/>
              <w:left w:val="single" w:color="auto" w:sz="4" w:space="0"/>
              <w:bottom w:val="single" w:color="auto" w:sz="4" w:space="0"/>
              <w:right w:val="single" w:color="auto" w:sz="4" w:space="0"/>
            </w:tcBorders>
            <w:vAlign w:val="center"/>
          </w:tcPr>
          <w:p w14:paraId="522AEDF1">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880" w:type="dxa"/>
            <w:tcBorders>
              <w:top w:val="single" w:color="auto" w:sz="4" w:space="0"/>
              <w:left w:val="single" w:color="auto" w:sz="4" w:space="0"/>
              <w:bottom w:val="single" w:color="auto" w:sz="4" w:space="0"/>
              <w:right w:val="single" w:color="auto" w:sz="4" w:space="0"/>
            </w:tcBorders>
            <w:vAlign w:val="center"/>
          </w:tcPr>
          <w:p w14:paraId="549241E5">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eastAsia="宋体" w:cs="仿宋_GB2312"/>
                <w:color w:val="auto"/>
                <w:sz w:val="24"/>
                <w:highlight w:val="none"/>
                <w:lang w:val="en-US" w:eastAsia="zh-CN"/>
              </w:rPr>
            </w:pPr>
          </w:p>
        </w:tc>
        <w:tc>
          <w:tcPr>
            <w:tcW w:w="1189" w:type="dxa"/>
            <w:tcBorders>
              <w:top w:val="single" w:color="auto" w:sz="4" w:space="0"/>
              <w:left w:val="single" w:color="auto" w:sz="4" w:space="0"/>
              <w:bottom w:val="single" w:color="auto" w:sz="4" w:space="0"/>
              <w:right w:val="single" w:color="auto" w:sz="4" w:space="0"/>
            </w:tcBorders>
            <w:vAlign w:val="center"/>
          </w:tcPr>
          <w:p w14:paraId="3DCEDAB1">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eastAsia="宋体" w:cs="仿宋_GB2312"/>
                <w:color w:val="auto"/>
                <w:sz w:val="24"/>
                <w:highlight w:val="none"/>
                <w:lang w:val="en-US" w:eastAsia="zh-CN"/>
              </w:rPr>
            </w:pPr>
          </w:p>
        </w:tc>
        <w:tc>
          <w:tcPr>
            <w:tcW w:w="1660" w:type="dxa"/>
            <w:tcBorders>
              <w:top w:val="single" w:color="auto" w:sz="4" w:space="0"/>
              <w:left w:val="single" w:color="auto" w:sz="4" w:space="0"/>
              <w:bottom w:val="single" w:color="auto" w:sz="4" w:space="0"/>
              <w:right w:val="single" w:color="auto" w:sz="4" w:space="0"/>
            </w:tcBorders>
            <w:vAlign w:val="center"/>
          </w:tcPr>
          <w:p w14:paraId="192E09EF">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1494" w:type="dxa"/>
            <w:tcBorders>
              <w:top w:val="single" w:color="auto" w:sz="4" w:space="0"/>
              <w:left w:val="single" w:color="auto" w:sz="4" w:space="0"/>
              <w:bottom w:val="single" w:color="auto" w:sz="4" w:space="0"/>
              <w:right w:val="single" w:color="auto" w:sz="4" w:space="0"/>
            </w:tcBorders>
            <w:vAlign w:val="center"/>
          </w:tcPr>
          <w:p w14:paraId="3B36587B">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vAlign w:val="center"/>
          </w:tcPr>
          <w:p w14:paraId="24E816A8">
            <w:pPr>
              <w:keepNext w:val="0"/>
              <w:keepLines w:val="0"/>
              <w:pageBreakBefore w:val="0"/>
              <w:suppressLineNumbers w:val="0"/>
              <w:kinsoku/>
              <w:topLinePunct w:val="0"/>
              <w:bidi w:val="0"/>
              <w:spacing w:before="60" w:beforeAutospacing="0" w:after="60" w:afterAutospacing="0" w:line="360" w:lineRule="auto"/>
              <w:ind w:left="0" w:right="0"/>
              <w:contextualSpacing/>
              <w:rPr>
                <w:rFonts w:hint="default" w:ascii="宋体" w:hAnsi="宋体" w:cs="仿宋_GB2312"/>
                <w:color w:val="auto"/>
                <w:sz w:val="24"/>
                <w:highlight w:val="none"/>
              </w:rPr>
            </w:pPr>
          </w:p>
        </w:tc>
      </w:tr>
      <w:tr w14:paraId="0FCE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584" w:type="dxa"/>
            <w:tcBorders>
              <w:top w:val="single" w:color="auto" w:sz="4" w:space="0"/>
              <w:left w:val="single" w:color="auto" w:sz="4" w:space="0"/>
              <w:bottom w:val="single" w:color="auto" w:sz="4" w:space="0"/>
              <w:right w:val="single" w:color="auto" w:sz="4" w:space="0"/>
            </w:tcBorders>
            <w:vAlign w:val="center"/>
          </w:tcPr>
          <w:p w14:paraId="1CC5CB8A">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leftChars="0" w:right="0" w:rightChars="0"/>
              <w:contextualSpacing/>
              <w:jc w:val="center"/>
              <w:rPr>
                <w:rFonts w:hint="default" w:ascii="宋体" w:hAnsi="宋体" w:eastAsia="宋体" w:cs="仿宋_GB2312"/>
                <w:color w:val="auto"/>
                <w:sz w:val="24"/>
                <w:highlight w:val="none"/>
                <w:lang w:val="en-US" w:eastAsia="zh-CN"/>
              </w:rPr>
            </w:pPr>
            <w:r>
              <w:rPr>
                <w:rFonts w:hint="default" w:ascii="宋体" w:hAnsi="宋体" w:eastAsia="宋体" w:cs="仿宋_GB2312"/>
                <w:color w:val="auto"/>
                <w:sz w:val="24"/>
                <w:szCs w:val="24"/>
                <w:highlight w:val="none"/>
                <w:lang w:val="en-US" w:eastAsia="zh-CN"/>
              </w:rPr>
              <w:t>2</w:t>
            </w:r>
          </w:p>
        </w:tc>
        <w:tc>
          <w:tcPr>
            <w:tcW w:w="1689" w:type="dxa"/>
            <w:tcBorders>
              <w:top w:val="single" w:color="auto" w:sz="4" w:space="0"/>
              <w:left w:val="single" w:color="auto" w:sz="4" w:space="0"/>
              <w:bottom w:val="single" w:color="auto" w:sz="4" w:space="0"/>
              <w:right w:val="single" w:color="auto" w:sz="4" w:space="0"/>
            </w:tcBorders>
            <w:vAlign w:val="center"/>
          </w:tcPr>
          <w:p w14:paraId="33C81763">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leftChars="0" w:right="0" w:rightChars="0"/>
              <w:contextualSpacing/>
              <w:jc w:val="center"/>
              <w:textAlignment w:val="auto"/>
              <w:rPr>
                <w:rFonts w:hint="default" w:ascii="宋体" w:hAnsi="宋体" w:cs="仿宋_GB2312"/>
                <w:color w:val="auto"/>
                <w:sz w:val="24"/>
                <w:szCs w:val="24"/>
                <w:highlight w:val="none"/>
                <w:lang w:eastAsia="zh-CN"/>
              </w:rPr>
            </w:pPr>
          </w:p>
        </w:tc>
        <w:tc>
          <w:tcPr>
            <w:tcW w:w="1629" w:type="dxa"/>
            <w:tcBorders>
              <w:top w:val="single" w:color="auto" w:sz="4" w:space="0"/>
              <w:left w:val="single" w:color="auto" w:sz="4" w:space="0"/>
              <w:bottom w:val="single" w:color="auto" w:sz="4" w:space="0"/>
              <w:right w:val="single" w:color="auto" w:sz="4" w:space="0"/>
            </w:tcBorders>
            <w:vAlign w:val="center"/>
          </w:tcPr>
          <w:p w14:paraId="5FC3BB56">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eastAsia" w:ascii="宋体" w:hAnsi="宋体"/>
                <w:color w:val="auto"/>
                <w:szCs w:val="21"/>
                <w:highlight w:val="none"/>
                <w:lang w:eastAsia="zh-CN"/>
              </w:rPr>
            </w:pPr>
          </w:p>
        </w:tc>
        <w:tc>
          <w:tcPr>
            <w:tcW w:w="880" w:type="dxa"/>
            <w:tcBorders>
              <w:top w:val="single" w:color="auto" w:sz="4" w:space="0"/>
              <w:left w:val="single" w:color="auto" w:sz="4" w:space="0"/>
              <w:bottom w:val="single" w:color="auto" w:sz="4" w:space="0"/>
              <w:right w:val="single" w:color="auto" w:sz="4" w:space="0"/>
            </w:tcBorders>
            <w:vAlign w:val="center"/>
          </w:tcPr>
          <w:p w14:paraId="4A549BA5">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4FD0D565">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1660" w:type="dxa"/>
            <w:tcBorders>
              <w:top w:val="single" w:color="auto" w:sz="4" w:space="0"/>
              <w:left w:val="single" w:color="auto" w:sz="4" w:space="0"/>
              <w:bottom w:val="single" w:color="auto" w:sz="4" w:space="0"/>
              <w:right w:val="single" w:color="auto" w:sz="4" w:space="0"/>
            </w:tcBorders>
            <w:vAlign w:val="center"/>
          </w:tcPr>
          <w:p w14:paraId="7014DA93">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1494" w:type="dxa"/>
            <w:tcBorders>
              <w:top w:val="single" w:color="auto" w:sz="4" w:space="0"/>
              <w:left w:val="single" w:color="auto" w:sz="4" w:space="0"/>
              <w:bottom w:val="single" w:color="auto" w:sz="4" w:space="0"/>
              <w:right w:val="single" w:color="auto" w:sz="4" w:space="0"/>
            </w:tcBorders>
            <w:vAlign w:val="center"/>
          </w:tcPr>
          <w:p w14:paraId="1475A1C8">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vAlign w:val="center"/>
          </w:tcPr>
          <w:p w14:paraId="451EABA9">
            <w:pPr>
              <w:keepNext w:val="0"/>
              <w:keepLines w:val="0"/>
              <w:pageBreakBefore w:val="0"/>
              <w:suppressLineNumbers w:val="0"/>
              <w:kinsoku/>
              <w:topLinePunct w:val="0"/>
              <w:bidi w:val="0"/>
              <w:spacing w:before="60" w:beforeAutospacing="0" w:after="60" w:afterAutospacing="0" w:line="360" w:lineRule="auto"/>
              <w:ind w:left="0" w:right="0"/>
              <w:contextualSpacing/>
              <w:rPr>
                <w:rFonts w:hint="default" w:ascii="宋体" w:hAnsi="宋体" w:cs="仿宋_GB2312"/>
                <w:color w:val="auto"/>
                <w:sz w:val="24"/>
                <w:highlight w:val="none"/>
              </w:rPr>
            </w:pPr>
          </w:p>
        </w:tc>
      </w:tr>
      <w:tr w14:paraId="46DC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584" w:type="dxa"/>
            <w:tcBorders>
              <w:top w:val="single" w:color="auto" w:sz="4" w:space="0"/>
              <w:left w:val="single" w:color="auto" w:sz="4" w:space="0"/>
              <w:bottom w:val="single" w:color="auto" w:sz="4" w:space="0"/>
              <w:right w:val="single" w:color="auto" w:sz="4" w:space="0"/>
            </w:tcBorders>
            <w:vAlign w:val="center"/>
          </w:tcPr>
          <w:p w14:paraId="6D6DDF6E">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leftChars="0" w:right="0" w:rightChars="0"/>
              <w:contextualSpacing/>
              <w:jc w:val="center"/>
              <w:rPr>
                <w:rFonts w:hint="default" w:ascii="宋体" w:hAnsi="宋体" w:eastAsia="宋体" w:cs="仿宋_GB2312"/>
                <w:color w:val="auto"/>
                <w:sz w:val="24"/>
                <w:highlight w:val="none"/>
                <w:lang w:val="en-US" w:eastAsia="zh-CN"/>
              </w:rPr>
            </w:pPr>
            <w:r>
              <w:rPr>
                <w:rFonts w:hint="default" w:ascii="宋体" w:hAnsi="宋体" w:eastAsia="宋体" w:cs="仿宋_GB2312"/>
                <w:color w:val="auto"/>
                <w:sz w:val="24"/>
                <w:szCs w:val="24"/>
                <w:highlight w:val="none"/>
                <w:lang w:val="en-US" w:eastAsia="zh-CN"/>
              </w:rPr>
              <w:t>3</w:t>
            </w:r>
          </w:p>
        </w:tc>
        <w:tc>
          <w:tcPr>
            <w:tcW w:w="1689" w:type="dxa"/>
            <w:tcBorders>
              <w:top w:val="single" w:color="auto" w:sz="4" w:space="0"/>
              <w:left w:val="single" w:color="auto" w:sz="4" w:space="0"/>
              <w:bottom w:val="single" w:color="auto" w:sz="4" w:space="0"/>
              <w:right w:val="single" w:color="auto" w:sz="4" w:space="0"/>
            </w:tcBorders>
            <w:vAlign w:val="center"/>
          </w:tcPr>
          <w:p w14:paraId="58411A2F">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leftChars="0" w:right="0" w:rightChars="0"/>
              <w:contextualSpacing/>
              <w:jc w:val="center"/>
              <w:textAlignment w:val="auto"/>
              <w:rPr>
                <w:rFonts w:hint="default" w:ascii="宋体" w:hAnsi="宋体" w:cs="仿宋_GB2312"/>
                <w:color w:val="auto"/>
                <w:sz w:val="24"/>
                <w:szCs w:val="24"/>
                <w:highlight w:val="none"/>
                <w:lang w:eastAsia="zh-CN"/>
              </w:rPr>
            </w:pPr>
          </w:p>
        </w:tc>
        <w:tc>
          <w:tcPr>
            <w:tcW w:w="1629" w:type="dxa"/>
            <w:tcBorders>
              <w:top w:val="single" w:color="auto" w:sz="4" w:space="0"/>
              <w:left w:val="single" w:color="auto" w:sz="4" w:space="0"/>
              <w:bottom w:val="single" w:color="auto" w:sz="4" w:space="0"/>
              <w:right w:val="single" w:color="auto" w:sz="4" w:space="0"/>
            </w:tcBorders>
            <w:vAlign w:val="center"/>
          </w:tcPr>
          <w:p w14:paraId="22228057">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eastAsia" w:ascii="宋体" w:hAnsi="宋体"/>
                <w:color w:val="auto"/>
                <w:szCs w:val="21"/>
                <w:highlight w:val="none"/>
                <w:lang w:eastAsia="zh-CN"/>
              </w:rPr>
            </w:pPr>
          </w:p>
        </w:tc>
        <w:tc>
          <w:tcPr>
            <w:tcW w:w="880" w:type="dxa"/>
            <w:tcBorders>
              <w:top w:val="single" w:color="auto" w:sz="4" w:space="0"/>
              <w:left w:val="single" w:color="auto" w:sz="4" w:space="0"/>
              <w:bottom w:val="single" w:color="auto" w:sz="4" w:space="0"/>
              <w:right w:val="single" w:color="auto" w:sz="4" w:space="0"/>
            </w:tcBorders>
            <w:vAlign w:val="center"/>
          </w:tcPr>
          <w:p w14:paraId="5B53196A">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145ED338">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1660" w:type="dxa"/>
            <w:tcBorders>
              <w:top w:val="single" w:color="auto" w:sz="4" w:space="0"/>
              <w:left w:val="single" w:color="auto" w:sz="4" w:space="0"/>
              <w:bottom w:val="single" w:color="auto" w:sz="4" w:space="0"/>
              <w:right w:val="single" w:color="auto" w:sz="4" w:space="0"/>
            </w:tcBorders>
            <w:vAlign w:val="center"/>
          </w:tcPr>
          <w:p w14:paraId="6B2506FC">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1494" w:type="dxa"/>
            <w:tcBorders>
              <w:top w:val="single" w:color="auto" w:sz="4" w:space="0"/>
              <w:left w:val="single" w:color="auto" w:sz="4" w:space="0"/>
              <w:bottom w:val="single" w:color="auto" w:sz="4" w:space="0"/>
              <w:right w:val="single" w:color="auto" w:sz="4" w:space="0"/>
            </w:tcBorders>
            <w:vAlign w:val="center"/>
          </w:tcPr>
          <w:p w14:paraId="6D7F820A">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vAlign w:val="center"/>
          </w:tcPr>
          <w:p w14:paraId="6C19680A">
            <w:pPr>
              <w:keepNext w:val="0"/>
              <w:keepLines w:val="0"/>
              <w:pageBreakBefore w:val="0"/>
              <w:suppressLineNumbers w:val="0"/>
              <w:kinsoku/>
              <w:topLinePunct w:val="0"/>
              <w:bidi w:val="0"/>
              <w:spacing w:before="60" w:beforeAutospacing="0" w:after="60" w:afterAutospacing="0" w:line="360" w:lineRule="auto"/>
              <w:ind w:left="0" w:right="0"/>
              <w:contextualSpacing/>
              <w:rPr>
                <w:rFonts w:hint="default" w:ascii="宋体" w:hAnsi="宋体" w:cs="仿宋_GB2312"/>
                <w:color w:val="auto"/>
                <w:sz w:val="24"/>
                <w:highlight w:val="none"/>
              </w:rPr>
            </w:pPr>
          </w:p>
        </w:tc>
      </w:tr>
      <w:tr w14:paraId="428AB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584" w:type="dxa"/>
            <w:tcBorders>
              <w:top w:val="single" w:color="auto" w:sz="4" w:space="0"/>
              <w:left w:val="single" w:color="auto" w:sz="4" w:space="0"/>
              <w:bottom w:val="single" w:color="auto" w:sz="4" w:space="0"/>
              <w:right w:val="single" w:color="auto" w:sz="4" w:space="0"/>
            </w:tcBorders>
            <w:vAlign w:val="center"/>
          </w:tcPr>
          <w:p w14:paraId="672CDA37">
            <w:pPr>
              <w:keepNext w:val="0"/>
              <w:keepLines w:val="0"/>
              <w:pageBreakBefore w:val="0"/>
              <w:suppressLineNumbers w:val="0"/>
              <w:kinsoku/>
              <w:wordWrap/>
              <w:overflowPunct/>
              <w:topLinePunct w:val="0"/>
              <w:autoSpaceDN/>
              <w:bidi w:val="0"/>
              <w:adjustRightInd/>
              <w:snapToGrid/>
              <w:spacing w:before="60" w:beforeAutospacing="0" w:after="60" w:afterAutospacing="0" w:line="360" w:lineRule="auto"/>
              <w:ind w:left="0" w:leftChars="0" w:right="0" w:rightChars="0"/>
              <w:contextualSpacing/>
              <w:jc w:val="center"/>
              <w:rPr>
                <w:rFonts w:hint="default" w:ascii="宋体" w:hAnsi="宋体" w:eastAsia="宋体" w:cs="仿宋_GB2312"/>
                <w:color w:val="auto"/>
                <w:sz w:val="24"/>
                <w:szCs w:val="24"/>
                <w:highlight w:val="none"/>
                <w:lang w:val="en-US" w:eastAsia="zh-CN"/>
              </w:rPr>
            </w:pPr>
            <w:r>
              <w:rPr>
                <w:rFonts w:hint="eastAsia" w:ascii="宋体" w:hAnsi="宋体" w:cs="仿宋_GB2312"/>
                <w:color w:val="auto"/>
                <w:sz w:val="24"/>
                <w:szCs w:val="24"/>
                <w:highlight w:val="none"/>
                <w:lang w:val="en-US" w:eastAsia="zh-CN"/>
              </w:rPr>
              <w:t>...</w:t>
            </w:r>
          </w:p>
        </w:tc>
        <w:tc>
          <w:tcPr>
            <w:tcW w:w="1689" w:type="dxa"/>
            <w:tcBorders>
              <w:top w:val="single" w:color="auto" w:sz="4" w:space="0"/>
              <w:left w:val="single" w:color="auto" w:sz="4" w:space="0"/>
              <w:bottom w:val="single" w:color="auto" w:sz="4" w:space="0"/>
              <w:right w:val="single" w:color="auto" w:sz="4" w:space="0"/>
            </w:tcBorders>
            <w:vAlign w:val="center"/>
          </w:tcPr>
          <w:p w14:paraId="3B44E4EA">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leftChars="0" w:right="0" w:rightChars="0"/>
              <w:contextualSpacing/>
              <w:jc w:val="center"/>
              <w:textAlignment w:val="auto"/>
              <w:rPr>
                <w:rFonts w:hint="default" w:ascii="宋体" w:hAnsi="宋体" w:eastAsia="宋体" w:cs="仿宋_GB2312"/>
                <w:i w:val="0"/>
                <w:iCs w:val="0"/>
                <w:color w:val="auto"/>
                <w:kern w:val="2"/>
                <w:sz w:val="24"/>
                <w:szCs w:val="24"/>
                <w:highlight w:val="none"/>
                <w:u w:val="none"/>
                <w:lang w:val="en-US" w:eastAsia="zh-CN" w:bidi="ar"/>
              </w:rPr>
            </w:pPr>
          </w:p>
        </w:tc>
        <w:tc>
          <w:tcPr>
            <w:tcW w:w="1629" w:type="dxa"/>
            <w:tcBorders>
              <w:top w:val="single" w:color="auto" w:sz="4" w:space="0"/>
              <w:left w:val="single" w:color="auto" w:sz="4" w:space="0"/>
              <w:bottom w:val="single" w:color="auto" w:sz="4" w:space="0"/>
              <w:right w:val="single" w:color="auto" w:sz="4" w:space="0"/>
            </w:tcBorders>
            <w:vAlign w:val="center"/>
          </w:tcPr>
          <w:p w14:paraId="3E3F7A62">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Cs w:val="21"/>
                <w:highlight w:val="none"/>
                <w:lang w:val="en-US" w:eastAsia="zh-CN"/>
              </w:rPr>
            </w:pPr>
          </w:p>
        </w:tc>
        <w:tc>
          <w:tcPr>
            <w:tcW w:w="880" w:type="dxa"/>
            <w:tcBorders>
              <w:top w:val="single" w:color="auto" w:sz="4" w:space="0"/>
              <w:left w:val="single" w:color="auto" w:sz="4" w:space="0"/>
              <w:bottom w:val="single" w:color="auto" w:sz="4" w:space="0"/>
              <w:right w:val="single" w:color="auto" w:sz="4" w:space="0"/>
            </w:tcBorders>
            <w:vAlign w:val="center"/>
          </w:tcPr>
          <w:p w14:paraId="19D5E048">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eastAsia="宋体" w:cs="仿宋_GB2312"/>
                <w:color w:val="auto"/>
                <w:sz w:val="24"/>
                <w:highlight w:val="none"/>
                <w:lang w:val="en-US" w:eastAsia="zh-CN"/>
              </w:rPr>
            </w:pPr>
          </w:p>
        </w:tc>
        <w:tc>
          <w:tcPr>
            <w:tcW w:w="1189" w:type="dxa"/>
            <w:tcBorders>
              <w:top w:val="single" w:color="auto" w:sz="4" w:space="0"/>
              <w:left w:val="single" w:color="auto" w:sz="4" w:space="0"/>
              <w:bottom w:val="single" w:color="auto" w:sz="4" w:space="0"/>
              <w:right w:val="single" w:color="auto" w:sz="4" w:space="0"/>
            </w:tcBorders>
            <w:vAlign w:val="center"/>
          </w:tcPr>
          <w:p w14:paraId="66D388F5">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1660" w:type="dxa"/>
            <w:tcBorders>
              <w:top w:val="single" w:color="auto" w:sz="4" w:space="0"/>
              <w:left w:val="single" w:color="auto" w:sz="4" w:space="0"/>
              <w:bottom w:val="single" w:color="auto" w:sz="4" w:space="0"/>
              <w:right w:val="single" w:color="auto" w:sz="4" w:space="0"/>
            </w:tcBorders>
            <w:vAlign w:val="center"/>
          </w:tcPr>
          <w:p w14:paraId="31763BFA">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1494" w:type="dxa"/>
            <w:tcBorders>
              <w:top w:val="single" w:color="auto" w:sz="4" w:space="0"/>
              <w:left w:val="single" w:color="auto" w:sz="4" w:space="0"/>
              <w:bottom w:val="single" w:color="auto" w:sz="4" w:space="0"/>
              <w:right w:val="single" w:color="auto" w:sz="4" w:space="0"/>
            </w:tcBorders>
            <w:vAlign w:val="center"/>
          </w:tcPr>
          <w:p w14:paraId="0EEB21B6">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vAlign w:val="center"/>
          </w:tcPr>
          <w:p w14:paraId="0144A7B6">
            <w:pPr>
              <w:keepNext w:val="0"/>
              <w:keepLines w:val="0"/>
              <w:pageBreakBefore w:val="0"/>
              <w:suppressLineNumbers w:val="0"/>
              <w:kinsoku/>
              <w:topLinePunct w:val="0"/>
              <w:bidi w:val="0"/>
              <w:spacing w:before="60" w:beforeAutospacing="0" w:after="60" w:afterAutospacing="0" w:line="360" w:lineRule="auto"/>
              <w:ind w:left="0" w:right="0"/>
              <w:contextualSpacing/>
              <w:rPr>
                <w:rFonts w:hint="default" w:ascii="宋体" w:hAnsi="宋体" w:cs="仿宋_GB2312"/>
                <w:color w:val="auto"/>
                <w:sz w:val="24"/>
                <w:highlight w:val="none"/>
              </w:rPr>
            </w:pPr>
          </w:p>
        </w:tc>
      </w:tr>
      <w:tr w14:paraId="10402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9677" w:type="dxa"/>
            <w:gridSpan w:val="8"/>
            <w:tcBorders>
              <w:top w:val="single" w:color="auto" w:sz="4" w:space="0"/>
              <w:left w:val="single" w:color="auto" w:sz="4" w:space="0"/>
              <w:bottom w:val="single" w:color="auto" w:sz="4" w:space="0"/>
              <w:right w:val="single" w:color="auto" w:sz="4" w:space="0"/>
            </w:tcBorders>
            <w:vAlign w:val="center"/>
          </w:tcPr>
          <w:p w14:paraId="1E1E3C36">
            <w:pPr>
              <w:keepNext w:val="0"/>
              <w:keepLines w:val="0"/>
              <w:pageBreakBefore w:val="0"/>
              <w:suppressLineNumbers w:val="0"/>
              <w:kinsoku/>
              <w:topLinePunct w:val="0"/>
              <w:bidi w:val="0"/>
              <w:spacing w:before="60" w:beforeAutospacing="0" w:after="60" w:afterAutospacing="0" w:line="360" w:lineRule="auto"/>
              <w:ind w:left="0" w:right="0"/>
              <w:contextualSpacing/>
              <w:rPr>
                <w:rFonts w:hint="default" w:ascii="宋体" w:hAnsi="宋体" w:cs="仿宋_GB2312"/>
                <w:color w:val="auto"/>
                <w:sz w:val="24"/>
                <w:highlight w:val="none"/>
              </w:rPr>
            </w:pPr>
            <w:r>
              <w:rPr>
                <w:rFonts w:hint="eastAsia" w:ascii="宋体" w:hAnsi="宋体" w:cs="仿宋_GB2312"/>
                <w:color w:val="auto"/>
                <w:sz w:val="24"/>
                <w:highlight w:val="none"/>
              </w:rPr>
              <w:t>合计金额大写：人民币                             （￥             ）</w:t>
            </w:r>
          </w:p>
        </w:tc>
      </w:tr>
      <w:tr w14:paraId="6DDB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5" w:hRule="atLeast"/>
          <w:jc w:val="center"/>
        </w:trPr>
        <w:tc>
          <w:tcPr>
            <w:tcW w:w="9677" w:type="dxa"/>
            <w:gridSpan w:val="8"/>
            <w:tcBorders>
              <w:top w:val="single" w:color="auto" w:sz="4" w:space="0"/>
              <w:left w:val="single" w:color="auto" w:sz="4" w:space="0"/>
              <w:bottom w:val="single" w:color="auto" w:sz="4" w:space="0"/>
              <w:right w:val="single" w:color="auto" w:sz="4" w:space="0"/>
            </w:tcBorders>
            <w:vAlign w:val="center"/>
          </w:tcPr>
          <w:p w14:paraId="36BB0A61">
            <w:pPr>
              <w:keepNext w:val="0"/>
              <w:keepLines w:val="0"/>
              <w:pageBreakBefore w:val="0"/>
              <w:suppressLineNumbers w:val="0"/>
              <w:kinsoku/>
              <w:topLinePunct w:val="0"/>
              <w:bidi w:val="0"/>
              <w:spacing w:before="60" w:beforeAutospacing="0" w:after="60" w:afterAutospacing="0" w:line="360" w:lineRule="auto"/>
              <w:ind w:left="0" w:right="0"/>
              <w:contextualSpacing/>
              <w:rPr>
                <w:rFonts w:hint="default" w:ascii="宋体" w:hAnsi="宋体" w:cs="仿宋_GB2312"/>
                <w:color w:val="auto"/>
                <w:sz w:val="24"/>
                <w:highlight w:val="none"/>
                <w:lang w:val="en-US"/>
              </w:rPr>
            </w:pPr>
            <w:r>
              <w:rPr>
                <w:rFonts w:hint="eastAsia" w:ascii="宋体" w:hAnsi="宋体" w:eastAsia="宋体" w:cs="仿宋_GB2312"/>
                <w:color w:val="auto"/>
                <w:sz w:val="24"/>
                <w:highlight w:val="none"/>
                <w:lang w:eastAsia="zh-CN"/>
              </w:rPr>
              <w:t>服务期限：</w:t>
            </w:r>
          </w:p>
        </w:tc>
      </w:tr>
    </w:tbl>
    <w:p w14:paraId="13970B39">
      <w:pPr>
        <w:pageBreakBefore w:val="0"/>
        <w:kinsoku/>
        <w:topLinePunct w:val="0"/>
        <w:bidi w:val="0"/>
        <w:spacing w:before="60" w:after="60" w:line="360" w:lineRule="auto"/>
        <w:contextualSpacing/>
        <w:jc w:val="left"/>
        <w:rPr>
          <w:rFonts w:ascii="宋体" w:hAnsi="宋体" w:cs="仿宋_GB2312"/>
          <w:color w:val="auto"/>
          <w:sz w:val="24"/>
          <w:highlight w:val="none"/>
        </w:rPr>
      </w:pPr>
      <w:r>
        <w:rPr>
          <w:rFonts w:hint="eastAsia" w:ascii="宋体" w:hAnsi="宋体" w:cs="仿宋_GB2312"/>
          <w:color w:val="auto"/>
          <w:sz w:val="24"/>
          <w:highlight w:val="none"/>
        </w:rPr>
        <w:t>注</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 xml:space="preserve"> </w:t>
      </w:r>
    </w:p>
    <w:p w14:paraId="363866B6">
      <w:pPr>
        <w:pageBreakBefore w:val="0"/>
        <w:kinsoku/>
        <w:topLinePunct w:val="0"/>
        <w:bidi w:val="0"/>
        <w:spacing w:before="60" w:after="60" w:line="360" w:lineRule="auto"/>
        <w:ind w:firstLine="480" w:firstLineChars="200"/>
        <w:contextualSpacing/>
        <w:jc w:val="left"/>
        <w:rPr>
          <w:rFonts w:ascii="宋体" w:hAnsi="宋体" w:cs="仿宋_GB2312"/>
          <w:color w:val="auto"/>
          <w:sz w:val="24"/>
          <w:highlight w:val="none"/>
        </w:rPr>
      </w:pPr>
      <w:r>
        <w:rPr>
          <w:rFonts w:hint="eastAsia" w:ascii="宋体" w:hAnsi="宋体" w:cs="仿宋_GB2312"/>
          <w:color w:val="auto"/>
          <w:sz w:val="24"/>
          <w:highlight w:val="none"/>
        </w:rPr>
        <w:t>1</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 xml:space="preserve"> 供应商的报价表必须加盖供应商电子签章并由法定代表人或者委托代理人签字或者电子签名，</w:t>
      </w:r>
      <w:r>
        <w:rPr>
          <w:rFonts w:hint="eastAsia" w:ascii="宋体" w:hAnsi="宋体" w:cs="仿宋_GB2312"/>
          <w:b/>
          <w:color w:val="auto"/>
          <w:sz w:val="24"/>
          <w:highlight w:val="none"/>
        </w:rPr>
        <w:t>否则其响应文件按无效处理</w:t>
      </w:r>
      <w:r>
        <w:rPr>
          <w:rFonts w:hint="eastAsia" w:ascii="宋体" w:hAnsi="宋体" w:cs="仿宋_GB2312"/>
          <w:color w:val="auto"/>
          <w:sz w:val="24"/>
          <w:highlight w:val="none"/>
        </w:rPr>
        <w:t>。</w:t>
      </w:r>
    </w:p>
    <w:p w14:paraId="03E3713E">
      <w:pPr>
        <w:pageBreakBefore w:val="0"/>
        <w:kinsoku/>
        <w:topLinePunct w:val="0"/>
        <w:bidi w:val="0"/>
        <w:spacing w:before="60" w:after="60" w:line="360" w:lineRule="auto"/>
        <w:ind w:firstLine="480" w:firstLineChars="200"/>
        <w:contextualSpacing/>
        <w:jc w:val="left"/>
        <w:rPr>
          <w:rFonts w:ascii="宋体" w:hAnsi="宋体" w:cs="仿宋_GB2312"/>
          <w:b/>
          <w:color w:val="auto"/>
          <w:sz w:val="24"/>
          <w:highlight w:val="none"/>
        </w:rPr>
      </w:pPr>
      <w:r>
        <w:rPr>
          <w:rFonts w:hint="eastAsia" w:ascii="宋体" w:hAnsi="宋体" w:cs="仿宋_GB2312"/>
          <w:bCs/>
          <w:color w:val="auto"/>
          <w:sz w:val="24"/>
          <w:highlight w:val="none"/>
        </w:rPr>
        <w:t>2</w:t>
      </w:r>
      <w:r>
        <w:rPr>
          <w:rFonts w:hint="eastAsia" w:ascii="宋体" w:hAnsi="宋体" w:cs="仿宋_GB2312"/>
          <w:bCs/>
          <w:color w:val="auto"/>
          <w:sz w:val="24"/>
          <w:highlight w:val="none"/>
          <w:lang w:eastAsia="zh-CN"/>
        </w:rPr>
        <w:t>.</w:t>
      </w:r>
      <w:r>
        <w:rPr>
          <w:rFonts w:hint="eastAsia" w:ascii="宋体" w:hAnsi="宋体" w:cs="仿宋_GB2312"/>
          <w:color w:val="auto"/>
          <w:sz w:val="24"/>
          <w:highlight w:val="none"/>
        </w:rPr>
        <w:t xml:space="preserve"> 报价一经涂改，应在涂改处加盖供应商公章或者加盖电子签章或者由法定代表人或者授权委托人签字</w:t>
      </w:r>
      <w:r>
        <w:rPr>
          <w:rFonts w:hint="eastAsia" w:ascii="宋体" w:hAnsi="宋体"/>
          <w:color w:val="auto"/>
          <w:sz w:val="24"/>
          <w:highlight w:val="none"/>
        </w:rPr>
        <w:t>（或者电子签名）</w:t>
      </w:r>
      <w:r>
        <w:rPr>
          <w:rFonts w:hint="eastAsia" w:ascii="宋体" w:hAnsi="宋体" w:cs="仿宋_GB2312"/>
          <w:b/>
          <w:color w:val="auto"/>
          <w:sz w:val="24"/>
          <w:highlight w:val="none"/>
        </w:rPr>
        <w:t>，否则其响应文件按无效处理。</w:t>
      </w:r>
    </w:p>
    <w:p w14:paraId="641A7577">
      <w:pPr>
        <w:pageBreakBefore w:val="0"/>
        <w:kinsoku/>
        <w:topLinePunct w:val="0"/>
        <w:bidi w:val="0"/>
        <w:spacing w:before="60" w:after="60" w:line="360" w:lineRule="auto"/>
        <w:ind w:firstLine="480" w:firstLineChars="200"/>
        <w:contextualSpacing/>
        <w:jc w:val="left"/>
        <w:rPr>
          <w:rFonts w:ascii="宋体" w:hAnsi="宋体" w:cs="仿宋_GB2312"/>
          <w:b/>
          <w:color w:val="auto"/>
          <w:sz w:val="24"/>
          <w:highlight w:val="none"/>
        </w:rPr>
      </w:pPr>
      <w:r>
        <w:rPr>
          <w:rFonts w:ascii="宋体" w:hAnsi="宋体" w:cs="仿宋_GB2312"/>
          <w:color w:val="auto"/>
          <w:sz w:val="24"/>
          <w:highlight w:val="none"/>
        </w:rPr>
        <w:t>3</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如为联合体竞标，“供应商名称”处必须列明联合体各方名称，标注联合体牵头人名称，</w:t>
      </w:r>
      <w:r>
        <w:rPr>
          <w:rFonts w:hint="eastAsia" w:ascii="宋体" w:hAnsi="宋体" w:cs="仿宋_GB2312"/>
          <w:b/>
          <w:color w:val="auto"/>
          <w:sz w:val="24"/>
          <w:highlight w:val="none"/>
        </w:rPr>
        <w:t>否则其响应文件按无效响应处理。</w:t>
      </w:r>
    </w:p>
    <w:p w14:paraId="02192776">
      <w:pPr>
        <w:pageBreakBefore w:val="0"/>
        <w:kinsoku/>
        <w:topLinePunct w:val="0"/>
        <w:bidi w:val="0"/>
        <w:spacing w:before="60" w:after="60" w:line="360" w:lineRule="auto"/>
        <w:ind w:firstLine="480" w:firstLineChars="200"/>
        <w:contextualSpacing/>
        <w:jc w:val="left"/>
        <w:rPr>
          <w:rFonts w:ascii="宋体" w:hAnsi="宋体" w:cs="仿宋_GB2312"/>
          <w:color w:val="auto"/>
          <w:sz w:val="24"/>
          <w:highlight w:val="none"/>
        </w:rPr>
      </w:pPr>
      <w:r>
        <w:rPr>
          <w:rFonts w:ascii="宋体" w:hAnsi="宋体" w:cs="仿宋_GB2312"/>
          <w:color w:val="auto"/>
          <w:sz w:val="24"/>
          <w:highlight w:val="none"/>
        </w:rPr>
        <w:t>4</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 xml:space="preserve"> 如为联合体竞标，</w:t>
      </w:r>
      <w:r>
        <w:rPr>
          <w:rFonts w:hint="eastAsia" w:ascii="宋体" w:hAnsi="宋体"/>
          <w:color w:val="auto"/>
          <w:spacing w:val="-6"/>
          <w:sz w:val="24"/>
          <w:highlight w:val="none"/>
        </w:rPr>
        <w:t xml:space="preserve"> 盖章处须加盖联合体牵头人电子签章</w:t>
      </w:r>
      <w:r>
        <w:rPr>
          <w:rFonts w:hint="eastAsia" w:ascii="宋体" w:hAnsi="宋体" w:cs="仿宋_GB2312"/>
          <w:color w:val="auto"/>
          <w:sz w:val="24"/>
          <w:highlight w:val="none"/>
        </w:rPr>
        <w:t>，</w:t>
      </w:r>
      <w:r>
        <w:rPr>
          <w:rFonts w:hint="eastAsia" w:ascii="宋体" w:hAnsi="宋体" w:cs="仿宋_GB2312"/>
          <w:b/>
          <w:color w:val="auto"/>
          <w:sz w:val="24"/>
          <w:highlight w:val="none"/>
        </w:rPr>
        <w:t>否则其响应文件按无效处理。</w:t>
      </w:r>
    </w:p>
    <w:p w14:paraId="2A087E83">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ascii="宋体" w:hAnsi="宋体" w:cs="仿宋_GB2312"/>
          <w:color w:val="auto"/>
          <w:sz w:val="24"/>
          <w:highlight w:val="none"/>
        </w:rPr>
        <w:t>5</w:t>
      </w:r>
      <w:r>
        <w:rPr>
          <w:rFonts w:hint="eastAsia" w:ascii="宋体" w:hAnsi="宋体" w:cs="仿宋_GB2312"/>
          <w:color w:val="auto"/>
          <w:sz w:val="24"/>
          <w:highlight w:val="none"/>
          <w:lang w:eastAsia="zh-CN"/>
        </w:rPr>
        <w:t>.</w:t>
      </w:r>
      <w:r>
        <w:rPr>
          <w:rFonts w:hint="eastAsia" w:ascii="宋体" w:hAnsi="宋体" w:cs="仿宋_GB2312"/>
          <w:color w:val="auto"/>
          <w:spacing w:val="-6"/>
          <w:sz w:val="24"/>
          <w:highlight w:val="none"/>
        </w:rPr>
        <w:t>如有多分标，分别列明各分标的报价表，</w:t>
      </w:r>
      <w:r>
        <w:rPr>
          <w:rFonts w:hint="eastAsia" w:ascii="宋体" w:hAnsi="宋体" w:cs="仿宋_GB2312"/>
          <w:b/>
          <w:color w:val="auto"/>
          <w:spacing w:val="-6"/>
          <w:sz w:val="24"/>
          <w:highlight w:val="none"/>
        </w:rPr>
        <w:t>否则其响应文件按无效响应处理。</w:t>
      </w:r>
    </w:p>
    <w:p w14:paraId="516CAFD7">
      <w:pPr>
        <w:pageBreakBefore w:val="0"/>
        <w:kinsoku/>
        <w:topLinePunct w:val="0"/>
        <w:bidi w:val="0"/>
        <w:spacing w:before="60" w:after="60" w:line="360" w:lineRule="auto"/>
        <w:ind w:right="-817" w:rightChars="-389"/>
        <w:contextualSpacing/>
        <w:rPr>
          <w:rFonts w:ascii="宋体" w:hAnsi="宋体" w:cs="仿宋_GB2312"/>
          <w:color w:val="auto"/>
          <w:sz w:val="24"/>
          <w:highlight w:val="none"/>
        </w:rPr>
      </w:pPr>
    </w:p>
    <w:p w14:paraId="462386BE">
      <w:pPr>
        <w:pageBreakBefore w:val="0"/>
        <w:kinsoku/>
        <w:topLinePunct w:val="0"/>
        <w:bidi w:val="0"/>
        <w:spacing w:before="60" w:after="60" w:line="360" w:lineRule="auto"/>
        <w:ind w:right="-817" w:rightChars="-389" w:firstLine="2640" w:firstLineChars="1100"/>
        <w:contextualSpacing/>
        <w:rPr>
          <w:rFonts w:ascii="宋体" w:hAnsi="宋体" w:cs="仿宋_GB2312"/>
          <w:color w:val="auto"/>
          <w:sz w:val="24"/>
          <w:highlight w:val="none"/>
        </w:rPr>
      </w:pPr>
      <w:r>
        <w:rPr>
          <w:rFonts w:hint="eastAsia" w:ascii="宋体" w:hAnsi="宋体" w:cs="仿宋_GB2312"/>
          <w:color w:val="auto"/>
          <w:sz w:val="24"/>
          <w:highlight w:val="none"/>
        </w:rPr>
        <w:t xml:space="preserve">法定代表人或者委托代理人（签字或者电子签名）：                    </w:t>
      </w:r>
    </w:p>
    <w:p w14:paraId="6BF8FA6D">
      <w:pPr>
        <w:pageBreakBefore w:val="0"/>
        <w:kinsoku/>
        <w:topLinePunct w:val="0"/>
        <w:bidi w:val="0"/>
        <w:spacing w:before="60" w:after="60" w:line="360" w:lineRule="auto"/>
        <w:ind w:right="-817" w:rightChars="-389" w:firstLine="2640" w:firstLineChars="110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5D80AEB7">
      <w:pPr>
        <w:pageBreakBefore w:val="0"/>
        <w:kinsoku/>
        <w:topLinePunct w:val="0"/>
        <w:bidi w:val="0"/>
        <w:spacing w:before="60" w:after="60" w:line="360" w:lineRule="auto"/>
        <w:ind w:right="-817" w:rightChars="-389" w:firstLine="4320" w:firstLineChars="1800"/>
        <w:contextualSpacing/>
        <w:rPr>
          <w:rFonts w:ascii="宋体" w:hAnsi="宋体" w:cs="仿宋_GB2312"/>
          <w:b/>
          <w:color w:val="auto"/>
          <w:sz w:val="24"/>
          <w:highlight w:val="none"/>
        </w:rPr>
      </w:pPr>
      <w:r>
        <w:rPr>
          <w:rFonts w:hint="eastAsia" w:ascii="宋体" w:hAnsi="宋体" w:cs="仿宋_GB2312"/>
          <w:color w:val="auto"/>
          <w:sz w:val="24"/>
          <w:highlight w:val="none"/>
        </w:rPr>
        <w:t>日期：   年   月   日</w:t>
      </w:r>
    </w:p>
    <w:p w14:paraId="4E1FB0D2">
      <w:pPr>
        <w:pageBreakBefore w:val="0"/>
        <w:kinsoku/>
        <w:topLinePunct w:val="0"/>
        <w:bidi w:val="0"/>
        <w:spacing w:before="60" w:after="60" w:line="360" w:lineRule="auto"/>
        <w:ind w:right="420"/>
        <w:contextualSpacing/>
        <w:jc w:val="left"/>
        <w:rPr>
          <w:rFonts w:ascii="宋体" w:hAnsi="宋体"/>
          <w:b/>
          <w:color w:val="auto"/>
          <w:sz w:val="32"/>
          <w:szCs w:val="32"/>
          <w:highlight w:val="none"/>
        </w:rPr>
      </w:pPr>
      <w:r>
        <w:rPr>
          <w:rFonts w:ascii="宋体" w:hAnsi="宋体"/>
          <w:b/>
          <w:bCs/>
          <w:color w:val="auto"/>
          <w:sz w:val="32"/>
          <w:szCs w:val="32"/>
          <w:highlight w:val="none"/>
        </w:rPr>
        <w:br w:type="page"/>
      </w:r>
      <w:r>
        <w:rPr>
          <w:rFonts w:hint="eastAsia" w:ascii="宋体" w:hAnsi="宋体"/>
          <w:b/>
          <w:bCs/>
          <w:color w:val="auto"/>
          <w:sz w:val="32"/>
          <w:szCs w:val="32"/>
          <w:highlight w:val="none"/>
        </w:rPr>
        <w:t>三、</w:t>
      </w:r>
      <w:r>
        <w:rPr>
          <w:rFonts w:hint="eastAsia" w:ascii="宋体" w:hAnsi="宋体"/>
          <w:b/>
          <w:color w:val="auto"/>
          <w:sz w:val="32"/>
          <w:szCs w:val="32"/>
          <w:highlight w:val="none"/>
        </w:rPr>
        <w:t xml:space="preserve">商务技术文件格式 </w:t>
      </w:r>
    </w:p>
    <w:p w14:paraId="22C0C0D4">
      <w:pPr>
        <w:pageBreakBefore w:val="0"/>
        <w:kinsoku/>
        <w:topLinePunct w:val="0"/>
        <w:bidi w:val="0"/>
        <w:snapToGrid w:val="0"/>
        <w:spacing w:before="60" w:after="60" w:line="360" w:lineRule="auto"/>
        <w:jc w:val="left"/>
        <w:rPr>
          <w:rFonts w:ascii="宋体" w:hAnsi="宋体"/>
          <w:b/>
          <w:color w:val="auto"/>
          <w:sz w:val="32"/>
          <w:szCs w:val="32"/>
          <w:highlight w:val="none"/>
        </w:rPr>
      </w:pPr>
      <w:r>
        <w:rPr>
          <w:rFonts w:hint="eastAsia" w:ascii="宋体" w:hAnsi="宋体"/>
          <w:b/>
          <w:color w:val="auto"/>
          <w:sz w:val="32"/>
          <w:szCs w:val="32"/>
          <w:highlight w:val="none"/>
        </w:rPr>
        <w:t>1</w:t>
      </w:r>
      <w:r>
        <w:rPr>
          <w:rFonts w:hint="eastAsia" w:ascii="宋体" w:hAnsi="宋体"/>
          <w:b/>
          <w:color w:val="auto"/>
          <w:sz w:val="32"/>
          <w:szCs w:val="32"/>
          <w:highlight w:val="none"/>
          <w:lang w:eastAsia="zh-CN"/>
        </w:rPr>
        <w:t>.</w:t>
      </w:r>
      <w:r>
        <w:rPr>
          <w:rFonts w:hint="eastAsia" w:ascii="宋体" w:hAnsi="宋体"/>
          <w:b/>
          <w:color w:val="auto"/>
          <w:sz w:val="32"/>
          <w:szCs w:val="32"/>
          <w:highlight w:val="none"/>
        </w:rPr>
        <w:t>商务技术文件封面格式</w:t>
      </w:r>
    </w:p>
    <w:p w14:paraId="4E2E045F">
      <w:pPr>
        <w:pageBreakBefore w:val="0"/>
        <w:kinsoku/>
        <w:topLinePunct w:val="0"/>
        <w:bidi w:val="0"/>
        <w:snapToGrid w:val="0"/>
        <w:spacing w:before="60" w:after="60" w:line="360" w:lineRule="auto"/>
        <w:rPr>
          <w:rFonts w:ascii="宋体" w:hAnsi="宋体"/>
          <w:bCs/>
          <w:color w:val="auto"/>
          <w:sz w:val="32"/>
          <w:szCs w:val="20"/>
          <w:highlight w:val="none"/>
        </w:rPr>
      </w:pPr>
    </w:p>
    <w:p w14:paraId="50DFC70B">
      <w:pPr>
        <w:pageBreakBefore w:val="0"/>
        <w:kinsoku/>
        <w:topLinePunct w:val="0"/>
        <w:bidi w:val="0"/>
        <w:snapToGrid w:val="0"/>
        <w:spacing w:before="60" w:after="60" w:line="360" w:lineRule="auto"/>
        <w:jc w:val="center"/>
        <w:rPr>
          <w:rFonts w:ascii="宋体" w:hAnsi="宋体"/>
          <w:color w:val="auto"/>
          <w:sz w:val="24"/>
          <w:szCs w:val="20"/>
          <w:highlight w:val="none"/>
        </w:rPr>
      </w:pPr>
      <w:r>
        <w:rPr>
          <w:rFonts w:hint="eastAsia" w:ascii="宋体" w:hAnsi="宋体"/>
          <w:color w:val="auto"/>
          <w:sz w:val="44"/>
          <w:szCs w:val="44"/>
          <w:highlight w:val="none"/>
        </w:rPr>
        <w:t>电 子 响 应 文 件</w:t>
      </w:r>
    </w:p>
    <w:p w14:paraId="312A8D37">
      <w:pPr>
        <w:pageBreakBefore w:val="0"/>
        <w:kinsoku/>
        <w:topLinePunct w:val="0"/>
        <w:bidi w:val="0"/>
        <w:snapToGrid w:val="0"/>
        <w:spacing w:before="60" w:after="60" w:line="360" w:lineRule="auto"/>
        <w:rPr>
          <w:rFonts w:ascii="宋体" w:hAnsi="宋体"/>
          <w:color w:val="auto"/>
          <w:sz w:val="24"/>
          <w:szCs w:val="20"/>
          <w:highlight w:val="none"/>
        </w:rPr>
      </w:pPr>
    </w:p>
    <w:p w14:paraId="50948EA6">
      <w:pPr>
        <w:pageBreakBefore w:val="0"/>
        <w:kinsoku/>
        <w:topLinePunct w:val="0"/>
        <w:bidi w:val="0"/>
        <w:snapToGrid w:val="0"/>
        <w:spacing w:before="60" w:after="60" w:line="360" w:lineRule="auto"/>
        <w:rPr>
          <w:rFonts w:ascii="宋体" w:hAnsi="宋体"/>
          <w:color w:val="auto"/>
          <w:sz w:val="24"/>
          <w:szCs w:val="20"/>
          <w:highlight w:val="none"/>
        </w:rPr>
      </w:pPr>
    </w:p>
    <w:p w14:paraId="4B19978B">
      <w:pPr>
        <w:pageBreakBefore w:val="0"/>
        <w:kinsoku/>
        <w:topLinePunct w:val="0"/>
        <w:bidi w:val="0"/>
        <w:snapToGrid w:val="0"/>
        <w:spacing w:before="60" w:after="60" w:line="360" w:lineRule="auto"/>
        <w:jc w:val="center"/>
        <w:rPr>
          <w:rFonts w:cs="方正小标宋简体" w:asciiTheme="minorEastAsia" w:hAnsiTheme="minorEastAsia" w:eastAsiaTheme="minorEastAsia"/>
          <w:bCs/>
          <w:color w:val="auto"/>
          <w:sz w:val="44"/>
          <w:szCs w:val="44"/>
          <w:highlight w:val="none"/>
        </w:rPr>
      </w:pPr>
      <w:r>
        <w:rPr>
          <w:rFonts w:hint="eastAsia" w:cs="方正小标宋简体" w:asciiTheme="minorEastAsia" w:hAnsiTheme="minorEastAsia" w:eastAsiaTheme="minorEastAsia"/>
          <w:bCs/>
          <w:color w:val="auto"/>
          <w:sz w:val="44"/>
          <w:szCs w:val="44"/>
          <w:highlight w:val="none"/>
        </w:rPr>
        <w:t>商  务  技  术  文  件</w:t>
      </w:r>
    </w:p>
    <w:p w14:paraId="6F0E9090">
      <w:pPr>
        <w:pageBreakBefore w:val="0"/>
        <w:kinsoku/>
        <w:topLinePunct w:val="0"/>
        <w:bidi w:val="0"/>
        <w:snapToGrid w:val="0"/>
        <w:spacing w:before="60" w:after="60" w:line="360" w:lineRule="auto"/>
        <w:rPr>
          <w:rFonts w:ascii="宋体" w:hAnsi="宋体"/>
          <w:bCs/>
          <w:color w:val="auto"/>
          <w:sz w:val="24"/>
          <w:szCs w:val="20"/>
          <w:highlight w:val="none"/>
        </w:rPr>
      </w:pPr>
    </w:p>
    <w:p w14:paraId="1AEFF3F8">
      <w:pPr>
        <w:pageBreakBefore w:val="0"/>
        <w:kinsoku/>
        <w:topLinePunct w:val="0"/>
        <w:bidi w:val="0"/>
        <w:snapToGrid w:val="0"/>
        <w:spacing w:before="60" w:after="60" w:line="360" w:lineRule="auto"/>
        <w:rPr>
          <w:rFonts w:ascii="宋体" w:hAnsi="宋体"/>
          <w:bCs/>
          <w:color w:val="auto"/>
          <w:sz w:val="24"/>
          <w:szCs w:val="20"/>
          <w:highlight w:val="none"/>
        </w:rPr>
      </w:pPr>
    </w:p>
    <w:p w14:paraId="4A1DAA37">
      <w:pPr>
        <w:pageBreakBefore w:val="0"/>
        <w:kinsoku/>
        <w:topLinePunct w:val="0"/>
        <w:bidi w:val="0"/>
        <w:snapToGrid w:val="0"/>
        <w:spacing w:before="60" w:after="60" w:line="360" w:lineRule="auto"/>
        <w:rPr>
          <w:rFonts w:ascii="宋体" w:hAnsi="宋体"/>
          <w:bCs/>
          <w:color w:val="auto"/>
          <w:sz w:val="24"/>
          <w:szCs w:val="20"/>
          <w:highlight w:val="none"/>
        </w:rPr>
      </w:pPr>
    </w:p>
    <w:p w14:paraId="2182B697">
      <w:pPr>
        <w:pageBreakBefore w:val="0"/>
        <w:kinsoku/>
        <w:topLinePunct w:val="0"/>
        <w:bidi w:val="0"/>
        <w:snapToGrid w:val="0"/>
        <w:spacing w:before="60" w:after="60" w:line="360" w:lineRule="auto"/>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211C70DB">
      <w:pPr>
        <w:pageBreakBefore w:val="0"/>
        <w:kinsoku/>
        <w:topLinePunct w:val="0"/>
        <w:bidi w:val="0"/>
        <w:snapToGrid w:val="0"/>
        <w:spacing w:before="60" w:after="60" w:line="360" w:lineRule="auto"/>
        <w:ind w:firstLine="720" w:firstLineChars="225"/>
        <w:rPr>
          <w:rFonts w:ascii="宋体" w:hAnsi="宋体" w:cs="仿宋_GB2312"/>
          <w:bCs/>
          <w:color w:val="auto"/>
          <w:sz w:val="32"/>
          <w:szCs w:val="32"/>
          <w:highlight w:val="none"/>
        </w:rPr>
      </w:pPr>
    </w:p>
    <w:p w14:paraId="3AB5ACB4">
      <w:pPr>
        <w:pageBreakBefore w:val="0"/>
        <w:kinsoku/>
        <w:topLinePunct w:val="0"/>
        <w:bidi w:val="0"/>
        <w:snapToGrid w:val="0"/>
        <w:spacing w:before="60" w:after="60" w:line="360" w:lineRule="auto"/>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76D18936">
      <w:pPr>
        <w:pageBreakBefore w:val="0"/>
        <w:kinsoku/>
        <w:topLinePunct w:val="0"/>
        <w:bidi w:val="0"/>
        <w:snapToGrid w:val="0"/>
        <w:spacing w:before="60" w:after="60" w:line="360" w:lineRule="auto"/>
        <w:ind w:firstLine="720" w:firstLineChars="225"/>
        <w:rPr>
          <w:rFonts w:ascii="宋体" w:hAnsi="宋体" w:cs="仿宋_GB2312"/>
          <w:bCs/>
          <w:color w:val="auto"/>
          <w:sz w:val="32"/>
          <w:szCs w:val="32"/>
          <w:highlight w:val="none"/>
        </w:rPr>
      </w:pPr>
    </w:p>
    <w:p w14:paraId="5AB7AC61">
      <w:pPr>
        <w:pageBreakBefore w:val="0"/>
        <w:kinsoku/>
        <w:topLinePunct w:val="0"/>
        <w:bidi w:val="0"/>
        <w:snapToGrid w:val="0"/>
        <w:spacing w:before="60" w:after="60" w:line="360" w:lineRule="auto"/>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22D2BFF2">
      <w:pPr>
        <w:pageBreakBefore w:val="0"/>
        <w:kinsoku/>
        <w:topLinePunct w:val="0"/>
        <w:bidi w:val="0"/>
        <w:snapToGrid w:val="0"/>
        <w:spacing w:before="60" w:after="60" w:line="360" w:lineRule="auto"/>
        <w:ind w:firstLine="720" w:firstLineChars="225"/>
        <w:rPr>
          <w:rFonts w:ascii="宋体" w:hAnsi="宋体" w:cs="仿宋_GB2312"/>
          <w:bCs/>
          <w:color w:val="auto"/>
          <w:sz w:val="32"/>
          <w:szCs w:val="32"/>
          <w:highlight w:val="none"/>
        </w:rPr>
      </w:pPr>
    </w:p>
    <w:p w14:paraId="11A23F19">
      <w:pPr>
        <w:pStyle w:val="8"/>
        <w:pageBreakBefore w:val="0"/>
        <w:kinsoku/>
        <w:topLinePunct w:val="0"/>
        <w:bidi w:val="0"/>
        <w:snapToGrid w:val="0"/>
        <w:spacing w:before="60" w:after="60" w:line="360" w:lineRule="auto"/>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6A6FAFD3">
      <w:pPr>
        <w:pStyle w:val="8"/>
        <w:pageBreakBefore w:val="0"/>
        <w:kinsoku/>
        <w:topLinePunct w:val="0"/>
        <w:bidi w:val="0"/>
        <w:snapToGrid w:val="0"/>
        <w:spacing w:before="60" w:after="60" w:line="360" w:lineRule="auto"/>
        <w:ind w:firstLine="640" w:firstLineChars="200"/>
        <w:rPr>
          <w:rFonts w:ascii="宋体" w:hAnsi="宋体" w:cs="仿宋_GB2312"/>
          <w:bCs/>
          <w:color w:val="auto"/>
          <w:sz w:val="32"/>
          <w:szCs w:val="32"/>
          <w:highlight w:val="none"/>
        </w:rPr>
      </w:pPr>
    </w:p>
    <w:p w14:paraId="30E3BEAD">
      <w:pPr>
        <w:pStyle w:val="8"/>
        <w:pageBreakBefore w:val="0"/>
        <w:kinsoku/>
        <w:topLinePunct w:val="0"/>
        <w:bidi w:val="0"/>
        <w:snapToGrid w:val="0"/>
        <w:spacing w:before="60" w:after="60" w:line="360" w:lineRule="auto"/>
        <w:ind w:firstLine="720" w:firstLineChars="225"/>
        <w:rPr>
          <w:rFonts w:ascii="宋体" w:hAnsi="宋体" w:cs="仿宋_GB2312"/>
          <w:bCs/>
          <w:color w:val="auto"/>
          <w:sz w:val="32"/>
          <w:szCs w:val="32"/>
          <w:highlight w:val="none"/>
        </w:rPr>
      </w:pPr>
    </w:p>
    <w:p w14:paraId="45249A81">
      <w:pPr>
        <w:pStyle w:val="8"/>
        <w:pageBreakBefore w:val="0"/>
        <w:kinsoku/>
        <w:topLinePunct w:val="0"/>
        <w:bidi w:val="0"/>
        <w:snapToGrid w:val="0"/>
        <w:spacing w:before="60" w:after="60" w:line="360" w:lineRule="auto"/>
        <w:ind w:firstLine="0"/>
        <w:rPr>
          <w:rFonts w:ascii="宋体" w:hAnsi="宋体" w:cs="仿宋_GB2312"/>
          <w:bCs/>
          <w:color w:val="auto"/>
          <w:sz w:val="32"/>
          <w:szCs w:val="32"/>
          <w:highlight w:val="none"/>
        </w:rPr>
      </w:pPr>
    </w:p>
    <w:p w14:paraId="4F1DBB6E">
      <w:pPr>
        <w:pStyle w:val="8"/>
        <w:pageBreakBefore w:val="0"/>
        <w:kinsoku/>
        <w:topLinePunct w:val="0"/>
        <w:bidi w:val="0"/>
        <w:snapToGrid w:val="0"/>
        <w:spacing w:before="60" w:after="60" w:line="360" w:lineRule="auto"/>
        <w:ind w:firstLine="1280" w:firstLineChars="400"/>
        <w:rPr>
          <w:rFonts w:ascii="宋体" w:hAnsi="宋体" w:cs="仿宋_GB2312"/>
          <w:bCs/>
          <w:color w:val="auto"/>
          <w:sz w:val="32"/>
          <w:szCs w:val="32"/>
          <w:highlight w:val="none"/>
        </w:rPr>
      </w:pPr>
    </w:p>
    <w:p w14:paraId="4F27EC66">
      <w:pPr>
        <w:pageBreakBefore w:val="0"/>
        <w:kinsoku/>
        <w:topLinePunct w:val="0"/>
        <w:bidi w:val="0"/>
        <w:snapToGrid w:val="0"/>
        <w:spacing w:before="60" w:after="60" w:line="360" w:lineRule="auto"/>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0E833F0C">
      <w:pPr>
        <w:pageBreakBefore w:val="0"/>
        <w:kinsoku/>
        <w:topLinePunct w:val="0"/>
        <w:bidi w:val="0"/>
        <w:snapToGrid w:val="0"/>
        <w:spacing w:before="60" w:after="60" w:line="360" w:lineRule="auto"/>
        <w:ind w:right="480" w:firstLine="321" w:firstLineChars="100"/>
        <w:jc w:val="left"/>
        <w:rPr>
          <w:rFonts w:ascii="宋体" w:hAnsi="宋体"/>
          <w:b/>
          <w:bCs/>
          <w:color w:val="auto"/>
          <w:sz w:val="24"/>
          <w:highlight w:val="none"/>
        </w:rPr>
      </w:pPr>
      <w:r>
        <w:rPr>
          <w:rFonts w:hint="eastAsia" w:ascii="宋体" w:hAnsi="宋体"/>
          <w:b/>
          <w:bCs/>
          <w:color w:val="auto"/>
          <w:sz w:val="32"/>
          <w:szCs w:val="32"/>
          <w:highlight w:val="none"/>
        </w:rPr>
        <w:t>2</w:t>
      </w:r>
      <w:r>
        <w:rPr>
          <w:rFonts w:hint="eastAsia" w:ascii="宋体" w:hAnsi="宋体"/>
          <w:b/>
          <w:bCs/>
          <w:color w:val="auto"/>
          <w:sz w:val="32"/>
          <w:szCs w:val="32"/>
          <w:highlight w:val="none"/>
          <w:lang w:eastAsia="zh-CN"/>
        </w:rPr>
        <w:t>.</w:t>
      </w:r>
      <w:r>
        <w:rPr>
          <w:rFonts w:hint="eastAsia" w:ascii="宋体" w:hAnsi="宋体"/>
          <w:b/>
          <w:bCs/>
          <w:color w:val="auto"/>
          <w:sz w:val="32"/>
          <w:szCs w:val="32"/>
          <w:highlight w:val="none"/>
        </w:rPr>
        <w:t>商务技术文件目录</w:t>
      </w:r>
    </w:p>
    <w:p w14:paraId="27C6EDDF">
      <w:pPr>
        <w:pageBreakBefore w:val="0"/>
        <w:kinsoku/>
        <w:topLinePunct w:val="0"/>
        <w:bidi w:val="0"/>
        <w:snapToGrid w:val="0"/>
        <w:spacing w:before="60" w:after="60" w:line="360" w:lineRule="auto"/>
        <w:ind w:firstLine="640" w:firstLineChars="200"/>
        <w:rPr>
          <w:rFonts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1C287082">
      <w:pPr>
        <w:pageBreakBefore w:val="0"/>
        <w:kinsoku/>
        <w:topLinePunct w:val="0"/>
        <w:bidi w:val="0"/>
        <w:spacing w:before="60" w:after="60" w:line="360" w:lineRule="auto"/>
        <w:rPr>
          <w:rFonts w:ascii="仿宋_GB2312" w:hAnsi="仿宋_GB2312" w:eastAsia="仿宋_GB2312" w:cs="仿宋_GB2312"/>
          <w:color w:val="auto"/>
          <w:sz w:val="32"/>
          <w:szCs w:val="32"/>
          <w:highlight w:val="none"/>
        </w:rPr>
      </w:pPr>
    </w:p>
    <w:p w14:paraId="3FBEC1CA">
      <w:pPr>
        <w:pageBreakBefore w:val="0"/>
        <w:kinsoku/>
        <w:topLinePunct w:val="0"/>
        <w:bidi w:val="0"/>
        <w:spacing w:before="60" w:after="60" w:line="360" w:lineRule="auto"/>
        <w:jc w:val="center"/>
        <w:rPr>
          <w:rFonts w:cs="仿宋_GB2312" w:asciiTheme="minorEastAsia" w:hAnsiTheme="minorEastAsia" w:eastAsiaTheme="minorEastAsia"/>
          <w:color w:val="auto"/>
          <w:sz w:val="32"/>
          <w:szCs w:val="32"/>
          <w:highlight w:val="none"/>
        </w:rPr>
      </w:pPr>
      <w:r>
        <w:rPr>
          <w:rFonts w:hint="eastAsia" w:ascii="方正小标宋简体" w:hAnsi="方正小标宋简体" w:eastAsia="方正小标宋简体" w:cs="方正小标宋简体"/>
          <w:color w:val="auto"/>
          <w:sz w:val="44"/>
          <w:szCs w:val="44"/>
          <w:highlight w:val="none"/>
        </w:rPr>
        <w:br w:type="page"/>
      </w:r>
      <w:r>
        <w:rPr>
          <w:rFonts w:hint="eastAsia" w:cs="方正小标宋简体" w:asciiTheme="minorEastAsia" w:hAnsiTheme="minorEastAsia" w:eastAsiaTheme="minorEastAsia"/>
          <w:color w:val="auto"/>
          <w:sz w:val="36"/>
          <w:szCs w:val="36"/>
          <w:highlight w:val="none"/>
        </w:rPr>
        <w:t>无串通竞标行为的承诺函</w:t>
      </w:r>
    </w:p>
    <w:p w14:paraId="0FB51E86">
      <w:pPr>
        <w:pageBreakBefore w:val="0"/>
        <w:kinsoku/>
        <w:topLinePunct w:val="0"/>
        <w:bidi w:val="0"/>
        <w:spacing w:before="60" w:after="60" w:line="360" w:lineRule="auto"/>
        <w:ind w:firstLine="640" w:firstLineChars="200"/>
        <w:contextualSpacing/>
        <w:rPr>
          <w:rFonts w:ascii="仿宋_GB2312" w:hAnsi="仿宋_GB2312" w:eastAsia="仿宋_GB2312" w:cs="仿宋_GB2312"/>
          <w:color w:val="auto"/>
          <w:sz w:val="32"/>
          <w:szCs w:val="32"/>
          <w:highlight w:val="none"/>
        </w:rPr>
      </w:pPr>
    </w:p>
    <w:p w14:paraId="63A33512">
      <w:pPr>
        <w:pageBreakBefore w:val="0"/>
        <w:kinsoku/>
        <w:topLinePunct w:val="0"/>
        <w:bidi w:val="0"/>
        <w:spacing w:before="60" w:after="60" w:line="360" w:lineRule="auto"/>
        <w:ind w:firstLine="482" w:firstLineChars="200"/>
        <w:contextualSpacing/>
        <w:rPr>
          <w:rFonts w:ascii="宋体" w:hAnsi="宋体" w:cs="仿宋_GB2312"/>
          <w:b/>
          <w:bCs/>
          <w:color w:val="auto"/>
          <w:sz w:val="24"/>
          <w:highlight w:val="none"/>
        </w:rPr>
      </w:pPr>
      <w:r>
        <w:rPr>
          <w:rFonts w:hint="eastAsia" w:ascii="宋体" w:hAnsi="宋体" w:cs="仿宋_GB2312"/>
          <w:b/>
          <w:bCs/>
          <w:color w:val="auto"/>
          <w:sz w:val="24"/>
          <w:highlight w:val="none"/>
        </w:rPr>
        <w:t>一、我方承诺无下列相互串通竞标的情形：</w:t>
      </w:r>
    </w:p>
    <w:p w14:paraId="7336F680">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1</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 xml:space="preserve">不同供应商的响应文件由同一单位或者个人编制； </w:t>
      </w:r>
    </w:p>
    <w:p w14:paraId="5511CEB4">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2</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不同供应商委托同一单位或者个人办理竞标事宜；</w:t>
      </w:r>
    </w:p>
    <w:p w14:paraId="5184F5FA">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3</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不同供应商的响应文件载明的项目管理员为同一个人；</w:t>
      </w:r>
    </w:p>
    <w:p w14:paraId="36001A59">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4</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不</w:t>
      </w:r>
      <w:r>
        <w:rPr>
          <w:rFonts w:hint="eastAsia" w:ascii="宋体" w:hAnsi="宋体" w:cs="仿宋_GB2312"/>
          <w:color w:val="auto"/>
          <w:spacing w:val="-6"/>
          <w:sz w:val="24"/>
          <w:highlight w:val="none"/>
        </w:rPr>
        <w:t>同供应商的响应文件异常一致或者竞标报价呈规律性差异；</w:t>
      </w:r>
    </w:p>
    <w:p w14:paraId="2403B4D3">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5</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不同供应商的响应文件相互混装；</w:t>
      </w:r>
    </w:p>
    <w:p w14:paraId="224D4591">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6</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不同供应商的磋商保证金从同一单位或者个人账户转出。</w:t>
      </w:r>
    </w:p>
    <w:p w14:paraId="7125DE5E">
      <w:pPr>
        <w:pageBreakBefore w:val="0"/>
        <w:kinsoku/>
        <w:topLinePunct w:val="0"/>
        <w:bidi w:val="0"/>
        <w:spacing w:before="60" w:after="60" w:line="360" w:lineRule="auto"/>
        <w:ind w:firstLine="482" w:firstLineChars="200"/>
        <w:contextualSpacing/>
        <w:rPr>
          <w:rFonts w:ascii="宋体" w:hAnsi="宋体" w:cs="仿宋_GB2312"/>
          <w:b/>
          <w:bCs/>
          <w:color w:val="auto"/>
          <w:sz w:val="24"/>
          <w:highlight w:val="none"/>
        </w:rPr>
      </w:pPr>
      <w:r>
        <w:rPr>
          <w:rFonts w:hint="eastAsia" w:ascii="宋体" w:hAnsi="宋体" w:cs="仿宋_GB2312"/>
          <w:b/>
          <w:bCs/>
          <w:color w:val="auto"/>
          <w:sz w:val="24"/>
          <w:highlight w:val="none"/>
        </w:rPr>
        <w:t>二、我方承诺无下列恶意串通的情形：</w:t>
      </w:r>
    </w:p>
    <w:p w14:paraId="71EF2A93">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1</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供应商直接或者间接从采购人或者采购代理机构处获得其他供应商的相关信息并修改其响应文件；</w:t>
      </w:r>
    </w:p>
    <w:p w14:paraId="1E540D5A">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2</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供应商按照采购人或者采购代理机构的授意撤换、修改响应文件；</w:t>
      </w:r>
    </w:p>
    <w:p w14:paraId="6D457032">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3</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供</w:t>
      </w:r>
      <w:r>
        <w:rPr>
          <w:rFonts w:hint="eastAsia" w:ascii="宋体" w:hAnsi="宋体" w:cs="仿宋_GB2312"/>
          <w:color w:val="auto"/>
          <w:spacing w:val="-6"/>
          <w:sz w:val="24"/>
          <w:highlight w:val="none"/>
        </w:rPr>
        <w:t>应商之间协商报价、技术方案等响应文件的实质性内容；</w:t>
      </w:r>
    </w:p>
    <w:p w14:paraId="1877A29C">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4</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属于同一集团、协会、商会等组织成员的供应商按照该组织要求协同参加政府采购活动；</w:t>
      </w:r>
    </w:p>
    <w:p w14:paraId="3346AFF0">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5</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供应商之间事先约定一致抬高或者压低竞标报价，或者在竞争性磋商项目中事先约定轮流以高价位或者低价位成交，或者事先约定由某一特定供应商成交，然后再参加竞标；</w:t>
      </w:r>
    </w:p>
    <w:p w14:paraId="634E2E32">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6</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供应商之间商定部分供应商放弃参加政府采购活动或者放弃成交；</w:t>
      </w:r>
    </w:p>
    <w:p w14:paraId="72CCB4FF">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7</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供应商与采购人或者采购代理机构之间、供应商相互之间，为</w:t>
      </w:r>
      <w:r>
        <w:rPr>
          <w:rFonts w:hint="eastAsia" w:ascii="宋体" w:hAnsi="宋体" w:cs="仿宋_GB2312"/>
          <w:color w:val="auto"/>
          <w:spacing w:val="-6"/>
          <w:sz w:val="24"/>
          <w:highlight w:val="none"/>
        </w:rPr>
        <w:t>谋求特定供应商成交或者排斥其他供应商的其他串通行为。</w:t>
      </w:r>
    </w:p>
    <w:p w14:paraId="1885A6C6">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p>
    <w:p w14:paraId="59456A2A">
      <w:pPr>
        <w:pageBreakBefore w:val="0"/>
        <w:kinsoku/>
        <w:topLinePunct w:val="0"/>
        <w:bidi w:val="0"/>
        <w:spacing w:before="60" w:after="60" w:line="360" w:lineRule="auto"/>
        <w:ind w:firstLine="482" w:firstLineChars="200"/>
        <w:contextualSpacing/>
        <w:rPr>
          <w:rFonts w:ascii="宋体" w:hAnsi="宋体" w:cs="仿宋_GB2312"/>
          <w:b/>
          <w:bCs/>
          <w:color w:val="auto"/>
          <w:sz w:val="24"/>
          <w:highlight w:val="none"/>
        </w:rPr>
      </w:pPr>
      <w:r>
        <w:rPr>
          <w:rFonts w:hint="eastAsia" w:ascii="宋体" w:hAnsi="宋体" w:cs="仿宋_GB2312"/>
          <w:b/>
          <w:bCs/>
          <w:color w:val="auto"/>
          <w:sz w:val="24"/>
          <w:highlight w:val="none"/>
        </w:rPr>
        <w:t>以上情形一经核查属实，我方愿意承担一切后果，并不再寻求任何旨在减轻或者免除法律责任的辩解。</w:t>
      </w:r>
    </w:p>
    <w:p w14:paraId="6F80B2E3">
      <w:pPr>
        <w:pageBreakBefore w:val="0"/>
        <w:kinsoku/>
        <w:topLinePunct w:val="0"/>
        <w:bidi w:val="0"/>
        <w:spacing w:before="60" w:after="60" w:line="360" w:lineRule="auto"/>
        <w:contextualSpacing/>
        <w:rPr>
          <w:rFonts w:ascii="宋体" w:hAnsi="宋体" w:cs="仿宋_GB2312"/>
          <w:color w:val="auto"/>
          <w:sz w:val="24"/>
          <w:highlight w:val="none"/>
        </w:rPr>
      </w:pPr>
    </w:p>
    <w:p w14:paraId="46BB44C5">
      <w:pPr>
        <w:pageBreakBefore w:val="0"/>
        <w:kinsoku/>
        <w:topLinePunct w:val="0"/>
        <w:bidi w:val="0"/>
        <w:spacing w:before="60" w:after="60" w:line="360" w:lineRule="auto"/>
        <w:ind w:firstLine="3600" w:firstLineChars="1500"/>
        <w:contextualSpacing/>
        <w:rPr>
          <w:rFonts w:ascii="宋体" w:hAnsi="宋体" w:cs="仿宋_GB2312"/>
          <w:color w:val="auto"/>
          <w:sz w:val="24"/>
          <w:highlight w:val="none"/>
        </w:rPr>
      </w:pPr>
      <w:r>
        <w:rPr>
          <w:rFonts w:hint="eastAsia" w:ascii="宋体" w:hAnsi="宋体" w:cs="仿宋_GB2312"/>
          <w:color w:val="auto"/>
          <w:sz w:val="24"/>
          <w:highlight w:val="none"/>
        </w:rPr>
        <w:t>供应商（电子签章）：</w:t>
      </w:r>
    </w:p>
    <w:p w14:paraId="0E78F548">
      <w:pPr>
        <w:pageBreakBefore w:val="0"/>
        <w:kinsoku/>
        <w:topLinePunct w:val="0"/>
        <w:bidi w:val="0"/>
        <w:spacing w:before="60" w:after="60" w:line="360" w:lineRule="auto"/>
        <w:ind w:firstLine="480" w:firstLineChars="200"/>
        <w:contextualSpacing/>
        <w:jc w:val="center"/>
        <w:rPr>
          <w:rFonts w:ascii="仿宋_GB2312" w:hAnsi="仿宋_GB2312" w:eastAsia="仿宋_GB2312" w:cs="仿宋_GB2312"/>
          <w:color w:val="auto"/>
          <w:sz w:val="32"/>
          <w:szCs w:val="32"/>
          <w:highlight w:val="none"/>
        </w:rPr>
      </w:pPr>
      <w:r>
        <w:rPr>
          <w:rFonts w:hint="eastAsia" w:ascii="宋体" w:hAnsi="宋体" w:cs="仿宋_GB2312"/>
          <w:color w:val="auto"/>
          <w:sz w:val="24"/>
          <w:highlight w:val="none"/>
        </w:rPr>
        <w:t xml:space="preserve">                               年   月   日</w:t>
      </w:r>
    </w:p>
    <w:p w14:paraId="796C2D71">
      <w:pPr>
        <w:pageBreakBefore w:val="0"/>
        <w:kinsoku/>
        <w:topLinePunct w:val="0"/>
        <w:bidi w:val="0"/>
        <w:spacing w:before="60" w:after="60" w:line="360" w:lineRule="auto"/>
        <w:jc w:val="center"/>
        <w:rPr>
          <w:rFonts w:cs="仿宋_GB2312" w:asciiTheme="minorEastAsia" w:hAnsiTheme="minorEastAsia" w:eastAsiaTheme="minorEastAsia"/>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br w:type="page"/>
      </w:r>
      <w:r>
        <w:rPr>
          <w:rFonts w:hint="eastAsia" w:cs="方正小标宋简体" w:asciiTheme="minorEastAsia" w:hAnsiTheme="minorEastAsia" w:eastAsiaTheme="minorEastAsia"/>
          <w:bCs/>
          <w:color w:val="auto"/>
          <w:sz w:val="36"/>
          <w:szCs w:val="36"/>
          <w:highlight w:val="none"/>
        </w:rPr>
        <w:t>法定代表人证明书</w:t>
      </w:r>
    </w:p>
    <w:p w14:paraId="0D001F7B">
      <w:pPr>
        <w:pageBreakBefore w:val="0"/>
        <w:kinsoku/>
        <w:topLinePunct w:val="0"/>
        <w:bidi w:val="0"/>
        <w:spacing w:before="60" w:after="60" w:line="360" w:lineRule="auto"/>
        <w:ind w:left="540"/>
        <w:contextualSpacing/>
        <w:rPr>
          <w:rFonts w:ascii="仿宋_GB2312" w:hAnsi="仿宋_GB2312" w:eastAsia="仿宋_GB2312" w:cs="仿宋_GB2312"/>
          <w:color w:val="auto"/>
          <w:sz w:val="32"/>
          <w:szCs w:val="32"/>
          <w:highlight w:val="none"/>
        </w:rPr>
      </w:pPr>
    </w:p>
    <w:p w14:paraId="2A39448D">
      <w:pPr>
        <w:pageBreakBefore w:val="0"/>
        <w:kinsoku/>
        <w:topLinePunct w:val="0"/>
        <w:bidi w:val="0"/>
        <w:spacing w:before="60" w:after="60"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供应商名称：</w:t>
      </w:r>
    </w:p>
    <w:p w14:paraId="599FE95E">
      <w:pPr>
        <w:pageBreakBefore w:val="0"/>
        <w:kinsoku/>
        <w:topLinePunct w:val="0"/>
        <w:bidi w:val="0"/>
        <w:spacing w:before="60" w:after="60"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地    址：</w:t>
      </w:r>
    </w:p>
    <w:p w14:paraId="519B7CBB">
      <w:pPr>
        <w:pageBreakBefore w:val="0"/>
        <w:kinsoku/>
        <w:topLinePunct w:val="0"/>
        <w:bidi w:val="0"/>
        <w:spacing w:before="60" w:after="60"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姓    名：  性     别：</w:t>
      </w:r>
    </w:p>
    <w:p w14:paraId="6C374DA2">
      <w:pPr>
        <w:pageBreakBefore w:val="0"/>
        <w:kinsoku/>
        <w:topLinePunct w:val="0"/>
        <w:bidi w:val="0"/>
        <w:spacing w:before="60" w:after="60" w:line="360" w:lineRule="auto"/>
        <w:ind w:left="540"/>
        <w:contextualSpacing/>
        <w:rPr>
          <w:rFonts w:ascii="宋体" w:hAnsi="宋体" w:cs="仿宋_GB2312"/>
          <w:color w:val="auto"/>
          <w:sz w:val="24"/>
          <w:highlight w:val="none"/>
          <w:u w:val="single"/>
        </w:rPr>
      </w:pPr>
      <w:r>
        <w:rPr>
          <w:rFonts w:hint="eastAsia" w:ascii="宋体" w:hAnsi="宋体" w:cs="仿宋_GB2312"/>
          <w:color w:val="auto"/>
          <w:sz w:val="24"/>
          <w:highlight w:val="none"/>
        </w:rPr>
        <w:t>年    龄：  职     务：</w:t>
      </w:r>
    </w:p>
    <w:p w14:paraId="6A15A219">
      <w:pPr>
        <w:pageBreakBefore w:val="0"/>
        <w:kinsoku/>
        <w:topLinePunct w:val="0"/>
        <w:bidi w:val="0"/>
        <w:spacing w:before="60" w:after="60"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身份证号码：</w:t>
      </w:r>
    </w:p>
    <w:p w14:paraId="49A7956C">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（供应商名称）</w:t>
      </w:r>
      <w:r>
        <w:rPr>
          <w:rFonts w:hint="eastAsia" w:ascii="宋体" w:hAnsi="宋体" w:cs="仿宋_GB2312"/>
          <w:color w:val="auto"/>
          <w:sz w:val="24"/>
          <w:highlight w:val="none"/>
        </w:rPr>
        <w:t>的法定代表人。</w:t>
      </w:r>
    </w:p>
    <w:p w14:paraId="0A92B3E8">
      <w:pPr>
        <w:pageBreakBefore w:val="0"/>
        <w:kinsoku/>
        <w:topLinePunct w:val="0"/>
        <w:bidi w:val="0"/>
        <w:spacing w:before="60" w:after="60"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特此证明。</w:t>
      </w:r>
    </w:p>
    <w:p w14:paraId="0328154F">
      <w:pPr>
        <w:pageBreakBefore w:val="0"/>
        <w:kinsoku/>
        <w:topLinePunct w:val="0"/>
        <w:bidi w:val="0"/>
        <w:spacing w:before="60" w:after="60" w:line="360" w:lineRule="auto"/>
        <w:ind w:left="540"/>
        <w:contextualSpacing/>
        <w:rPr>
          <w:rFonts w:ascii="宋体" w:hAnsi="宋体" w:cs="仿宋_GB2312"/>
          <w:color w:val="auto"/>
          <w:sz w:val="24"/>
          <w:highlight w:val="none"/>
        </w:rPr>
      </w:pPr>
    </w:p>
    <w:p w14:paraId="6B8A1830">
      <w:pPr>
        <w:pageBreakBefore w:val="0"/>
        <w:kinsoku/>
        <w:topLinePunct w:val="0"/>
        <w:bidi w:val="0"/>
        <w:spacing w:before="60" w:after="60" w:line="360" w:lineRule="auto"/>
        <w:ind w:left="540"/>
        <w:contextualSpacing/>
        <w:rPr>
          <w:rFonts w:ascii="宋体" w:hAnsi="宋体" w:cs="仿宋_GB2312"/>
          <w:color w:val="auto"/>
          <w:sz w:val="24"/>
          <w:highlight w:val="none"/>
        </w:rPr>
      </w:pPr>
    </w:p>
    <w:p w14:paraId="4EC6A9BC">
      <w:pPr>
        <w:pageBreakBefore w:val="0"/>
        <w:kinsoku/>
        <w:topLinePunct w:val="0"/>
        <w:bidi w:val="0"/>
        <w:spacing w:before="60" w:after="60" w:line="360" w:lineRule="auto"/>
        <w:ind w:left="540"/>
        <w:contextualSpacing/>
        <w:rPr>
          <w:rFonts w:ascii="宋体" w:hAnsi="宋体" w:cs="仿宋_GB2312"/>
          <w:color w:val="auto"/>
          <w:sz w:val="24"/>
          <w:highlight w:val="none"/>
        </w:rPr>
      </w:pPr>
    </w:p>
    <w:p w14:paraId="1D41B58D">
      <w:pPr>
        <w:pageBreakBefore w:val="0"/>
        <w:kinsoku/>
        <w:topLinePunct w:val="0"/>
        <w:bidi w:val="0"/>
        <w:spacing w:before="60" w:after="60"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附件：法定代表人有效身份证正反面复印件</w:t>
      </w:r>
    </w:p>
    <w:p w14:paraId="493B16C6">
      <w:pPr>
        <w:pageBreakBefore w:val="0"/>
        <w:kinsoku/>
        <w:topLinePunct w:val="0"/>
        <w:bidi w:val="0"/>
        <w:spacing w:before="60" w:after="60" w:line="360" w:lineRule="auto"/>
        <w:ind w:left="540"/>
        <w:contextualSpacing/>
        <w:rPr>
          <w:rFonts w:ascii="宋体" w:hAnsi="宋体" w:cs="仿宋_GB2312"/>
          <w:color w:val="auto"/>
          <w:sz w:val="24"/>
          <w:highlight w:val="none"/>
        </w:rPr>
      </w:pPr>
    </w:p>
    <w:p w14:paraId="31E9A40B">
      <w:pPr>
        <w:pageBreakBefore w:val="0"/>
        <w:kinsoku/>
        <w:topLinePunct w:val="0"/>
        <w:bidi w:val="0"/>
        <w:spacing w:before="60" w:after="60" w:line="360" w:lineRule="auto"/>
        <w:ind w:left="540"/>
        <w:contextualSpacing/>
        <w:jc w:val="center"/>
        <w:rPr>
          <w:rFonts w:ascii="宋体" w:hAnsi="宋体" w:cs="仿宋_GB2312"/>
          <w:color w:val="auto"/>
          <w:sz w:val="24"/>
          <w:highlight w:val="none"/>
        </w:rPr>
      </w:pPr>
    </w:p>
    <w:p w14:paraId="4C3CF388">
      <w:pPr>
        <w:pageBreakBefore w:val="0"/>
        <w:kinsoku/>
        <w:topLinePunct w:val="0"/>
        <w:bidi w:val="0"/>
        <w:spacing w:before="60" w:after="60" w:line="360" w:lineRule="auto"/>
        <w:ind w:left="540"/>
        <w:contextualSpacing/>
        <w:jc w:val="center"/>
        <w:rPr>
          <w:rFonts w:ascii="宋体" w:hAnsi="宋体" w:cs="仿宋_GB2312"/>
          <w:color w:val="auto"/>
          <w:sz w:val="24"/>
          <w:highlight w:val="none"/>
        </w:rPr>
      </w:pPr>
    </w:p>
    <w:p w14:paraId="0A752ACE">
      <w:pPr>
        <w:pageBreakBefore w:val="0"/>
        <w:kinsoku/>
        <w:topLinePunct w:val="0"/>
        <w:bidi w:val="0"/>
        <w:spacing w:before="60" w:after="60" w:line="360" w:lineRule="auto"/>
        <w:ind w:left="540"/>
        <w:contextualSpacing/>
        <w:jc w:val="center"/>
        <w:rPr>
          <w:rFonts w:ascii="宋体" w:hAnsi="宋体" w:cs="仿宋_GB2312"/>
          <w:color w:val="auto"/>
          <w:sz w:val="24"/>
          <w:highlight w:val="none"/>
        </w:rPr>
      </w:pPr>
      <w:r>
        <w:rPr>
          <w:rFonts w:hint="eastAsia" w:ascii="宋体" w:hAnsi="宋体" w:cs="仿宋_GB2312"/>
          <w:color w:val="auto"/>
          <w:sz w:val="24"/>
          <w:highlight w:val="none"/>
        </w:rPr>
        <w:t>供应商（电子签章）：</w:t>
      </w:r>
    </w:p>
    <w:p w14:paraId="76523F06">
      <w:pPr>
        <w:pageBreakBefore w:val="0"/>
        <w:kinsoku/>
        <w:topLinePunct w:val="0"/>
        <w:bidi w:val="0"/>
        <w:spacing w:before="60" w:after="60" w:line="360" w:lineRule="auto"/>
        <w:contextualSpacing/>
        <w:jc w:val="right"/>
        <w:rPr>
          <w:rFonts w:ascii="宋体" w:hAnsi="宋体" w:cs="仿宋_GB2312"/>
          <w:color w:val="auto"/>
          <w:sz w:val="24"/>
          <w:highlight w:val="none"/>
        </w:rPr>
      </w:pPr>
      <w:r>
        <w:rPr>
          <w:rFonts w:hint="eastAsia" w:ascii="宋体" w:hAnsi="宋体" w:cs="仿宋_GB2312"/>
          <w:color w:val="auto"/>
          <w:sz w:val="24"/>
          <w:highlight w:val="none"/>
        </w:rPr>
        <w:t>年   月   日</w:t>
      </w:r>
    </w:p>
    <w:p w14:paraId="74A585C4">
      <w:pPr>
        <w:pageBreakBefore w:val="0"/>
        <w:kinsoku/>
        <w:topLinePunct w:val="0"/>
        <w:bidi w:val="0"/>
        <w:spacing w:before="60" w:after="60" w:line="360" w:lineRule="auto"/>
        <w:contextualSpacing/>
        <w:jc w:val="center"/>
        <w:rPr>
          <w:rFonts w:ascii="宋体" w:hAnsi="宋体" w:cs="仿宋_GB2312"/>
          <w:b/>
          <w:color w:val="auto"/>
          <w:sz w:val="24"/>
          <w:highlight w:val="none"/>
        </w:rPr>
      </w:pPr>
    </w:p>
    <w:p w14:paraId="2365CE6D">
      <w:pPr>
        <w:pageBreakBefore w:val="0"/>
        <w:kinsoku/>
        <w:topLinePunct w:val="0"/>
        <w:bidi w:val="0"/>
        <w:spacing w:before="60" w:after="60" w:line="360" w:lineRule="auto"/>
        <w:contextualSpacing/>
        <w:jc w:val="left"/>
        <w:rPr>
          <w:rFonts w:ascii="宋体" w:hAnsi="宋体" w:cs="仿宋_GB2312"/>
          <w:color w:val="auto"/>
          <w:sz w:val="24"/>
          <w:highlight w:val="none"/>
        </w:rPr>
      </w:pPr>
    </w:p>
    <w:p w14:paraId="39ACB055">
      <w:pPr>
        <w:pageBreakBefore w:val="0"/>
        <w:kinsoku/>
        <w:topLinePunct w:val="0"/>
        <w:bidi w:val="0"/>
        <w:spacing w:before="60" w:after="60" w:line="360" w:lineRule="auto"/>
        <w:contextualSpacing/>
        <w:jc w:val="left"/>
        <w:rPr>
          <w:rFonts w:ascii="宋体" w:hAnsi="宋体" w:cs="仿宋_GB2312"/>
          <w:color w:val="auto"/>
          <w:sz w:val="24"/>
          <w:highlight w:val="none"/>
        </w:rPr>
      </w:pPr>
      <w:r>
        <w:rPr>
          <w:rFonts w:hint="eastAsia" w:ascii="宋体" w:hAnsi="宋体" w:cs="仿宋_GB2312"/>
          <w:color w:val="auto"/>
          <w:sz w:val="24"/>
          <w:highlight w:val="none"/>
        </w:rPr>
        <w:t>注：自然人竞标的无需提供，联合体竞标的只需牵头人出具。</w:t>
      </w:r>
    </w:p>
    <w:p w14:paraId="12ABFC8B">
      <w:pPr>
        <w:pageBreakBefore w:val="0"/>
        <w:kinsoku/>
        <w:topLinePunct w:val="0"/>
        <w:bidi w:val="0"/>
        <w:adjustRightInd w:val="0"/>
        <w:snapToGrid w:val="0"/>
        <w:spacing w:before="60" w:after="60" w:line="360" w:lineRule="auto"/>
        <w:jc w:val="left"/>
        <w:rPr>
          <w:rFonts w:ascii="宋体" w:hAnsi="宋体"/>
          <w:b/>
          <w:color w:val="auto"/>
          <w:szCs w:val="21"/>
          <w:highlight w:val="none"/>
        </w:rPr>
      </w:pPr>
    </w:p>
    <w:p w14:paraId="34B847CB">
      <w:pPr>
        <w:pageBreakBefore w:val="0"/>
        <w:kinsoku/>
        <w:topLinePunct w:val="0"/>
        <w:bidi w:val="0"/>
        <w:spacing w:before="60" w:after="60" w:line="360" w:lineRule="auto"/>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p>
    <w:p w14:paraId="065735D9">
      <w:pPr>
        <w:pageBreakBefore w:val="0"/>
        <w:kinsoku/>
        <w:topLinePunct w:val="0"/>
        <w:bidi w:val="0"/>
        <w:spacing w:before="60" w:after="60" w:line="360" w:lineRule="auto"/>
        <w:jc w:val="center"/>
        <w:rPr>
          <w:rFonts w:asciiTheme="minorEastAsia" w:hAnsiTheme="minorEastAsia" w:eastAsiaTheme="minorEastAsia"/>
          <w:color w:val="auto"/>
          <w:sz w:val="36"/>
          <w:szCs w:val="36"/>
          <w:highlight w:val="none"/>
        </w:rPr>
      </w:pPr>
      <w:bookmarkStart w:id="88" w:name="_Hlk65853643"/>
      <w:r>
        <w:rPr>
          <w:rFonts w:asciiTheme="minorEastAsia" w:hAnsiTheme="minorEastAsia" w:eastAsiaTheme="minorEastAsia"/>
          <w:color w:val="auto"/>
          <w:sz w:val="36"/>
          <w:szCs w:val="36"/>
          <w:highlight w:val="none"/>
        </w:rPr>
        <w:t>授权委托书</w:t>
      </w:r>
    </w:p>
    <w:p w14:paraId="20F4840C">
      <w:pPr>
        <w:pageBreakBefore w:val="0"/>
        <w:kinsoku/>
        <w:topLinePunct w:val="0"/>
        <w:bidi w:val="0"/>
        <w:spacing w:before="60" w:after="60" w:line="360" w:lineRule="auto"/>
        <w:jc w:val="center"/>
        <w:rPr>
          <w:rFonts w:asciiTheme="minorEastAsia" w:hAnsiTheme="minorEastAsia" w:eastAsiaTheme="minorEastAsia"/>
          <w:color w:val="auto"/>
          <w:sz w:val="32"/>
          <w:szCs w:val="32"/>
          <w:highlight w:val="none"/>
        </w:rPr>
      </w:pPr>
      <w:r>
        <w:rPr>
          <w:rFonts w:asciiTheme="minorEastAsia" w:hAnsiTheme="minorEastAsia" w:eastAsiaTheme="minorEastAsia"/>
          <w:color w:val="auto"/>
          <w:sz w:val="32"/>
          <w:szCs w:val="32"/>
          <w:highlight w:val="none"/>
        </w:rPr>
        <w:t>（非联合体竞标格式）</w:t>
      </w:r>
    </w:p>
    <w:p w14:paraId="724505A9">
      <w:pPr>
        <w:pageBreakBefore w:val="0"/>
        <w:kinsoku/>
        <w:topLinePunct w:val="0"/>
        <w:bidi w:val="0"/>
        <w:spacing w:before="60" w:after="60" w:line="360" w:lineRule="auto"/>
        <w:jc w:val="center"/>
        <w:rPr>
          <w:rFonts w:asciiTheme="minorEastAsia" w:hAnsiTheme="minorEastAsia" w:eastAsiaTheme="minorEastAsia"/>
          <w:color w:val="auto"/>
          <w:sz w:val="44"/>
          <w:szCs w:val="44"/>
          <w:highlight w:val="none"/>
        </w:rPr>
      </w:pPr>
      <w:r>
        <w:rPr>
          <w:rFonts w:asciiTheme="minorEastAsia" w:hAnsiTheme="minorEastAsia" w:eastAsiaTheme="minorEastAsia"/>
          <w:color w:val="auto"/>
          <w:sz w:val="32"/>
          <w:szCs w:val="32"/>
          <w:highlight w:val="none"/>
        </w:rPr>
        <w:t>（如有委托时）</w:t>
      </w:r>
    </w:p>
    <w:p w14:paraId="19686251">
      <w:pPr>
        <w:pageBreakBefore w:val="0"/>
        <w:kinsoku/>
        <w:topLinePunct w:val="0"/>
        <w:bidi w:val="0"/>
        <w:spacing w:before="60" w:after="60" w:line="360" w:lineRule="auto"/>
        <w:rPr>
          <w:rFonts w:ascii="仿宋_GB2312" w:hAnsi="仿宋_GB2312" w:eastAsia="仿宋_GB2312" w:cs="仿宋_GB2312"/>
          <w:color w:val="auto"/>
          <w:sz w:val="32"/>
          <w:szCs w:val="32"/>
          <w:highlight w:val="none"/>
        </w:rPr>
      </w:pPr>
    </w:p>
    <w:p w14:paraId="4A296DDD">
      <w:pPr>
        <w:pageBreakBefore w:val="0"/>
        <w:kinsoku/>
        <w:topLinePunct w:val="0"/>
        <w:bidi w:val="0"/>
        <w:spacing w:before="60" w:after="60" w:line="360" w:lineRule="auto"/>
        <w:rPr>
          <w:rFonts w:ascii="宋体" w:hAnsi="宋体" w:cs="仿宋_GB2312"/>
          <w:color w:val="auto"/>
          <w:sz w:val="24"/>
          <w:highlight w:val="none"/>
        </w:rPr>
      </w:pPr>
      <w:r>
        <w:rPr>
          <w:rFonts w:hint="eastAsia" w:ascii="宋体" w:hAnsi="宋体" w:cs="仿宋_GB2312"/>
          <w:color w:val="auto"/>
          <w:sz w:val="24"/>
          <w:highlight w:val="none"/>
        </w:rPr>
        <w:t>致：</w:t>
      </w:r>
      <w:r>
        <w:rPr>
          <w:rFonts w:hint="eastAsia" w:ascii="宋体" w:hAnsi="宋体" w:cs="仿宋_GB2312"/>
          <w:color w:val="auto"/>
          <w:sz w:val="24"/>
          <w:highlight w:val="none"/>
          <w:u w:val="single"/>
        </w:rPr>
        <w:t>（采购人名称）</w:t>
      </w:r>
      <w:r>
        <w:rPr>
          <w:rFonts w:hint="eastAsia" w:ascii="宋体" w:hAnsi="宋体" w:cs="仿宋_GB2312"/>
          <w:color w:val="auto"/>
          <w:sz w:val="24"/>
          <w:highlight w:val="none"/>
        </w:rPr>
        <w:t>：</w:t>
      </w:r>
    </w:p>
    <w:p w14:paraId="396E57FE">
      <w:pPr>
        <w:pageBreakBefore w:val="0"/>
        <w:kinsoku/>
        <w:topLinePunct w:val="0"/>
        <w:bidi w:val="0"/>
        <w:spacing w:before="60" w:after="60"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我</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（供应商名称）  </w:t>
      </w:r>
      <w:r>
        <w:rPr>
          <w:rFonts w:hint="eastAsia" w:ascii="宋体" w:hAnsi="宋体" w:cs="仿宋_GB2312"/>
          <w:color w:val="auto"/>
          <w:sz w:val="24"/>
          <w:highlight w:val="none"/>
        </w:rPr>
        <w:t>的（</w:t>
      </w:r>
      <w:r>
        <w:rPr>
          <w:rFonts w:hint="eastAsia" w:ascii="宋体" w:hAnsi="宋体" w:cs="仿宋_GB2312"/>
          <w:color w:val="auto"/>
          <w:sz w:val="24"/>
          <w:highlight w:val="none"/>
          <w:u w:val="single"/>
        </w:rPr>
        <w:sym w:font="Wingdings 2" w:char="00A3"/>
      </w:r>
      <w:r>
        <w:rPr>
          <w:rFonts w:hint="eastAsia" w:ascii="宋体" w:hAnsi="宋体" w:cs="仿宋_GB2312"/>
          <w:color w:val="auto"/>
          <w:sz w:val="24"/>
          <w:highlight w:val="none"/>
          <w:u w:val="single"/>
        </w:rPr>
        <w:t>法定代表人/□负责人/□自然人本人</w:t>
      </w:r>
      <w:r>
        <w:rPr>
          <w:rFonts w:hint="eastAsia" w:ascii="宋体" w:hAnsi="宋体" w:cs="仿宋_GB2312"/>
          <w:color w:val="auto"/>
          <w:sz w:val="24"/>
          <w:highlight w:val="none"/>
        </w:rPr>
        <w:t>），现授权</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以我方的名义参加项目的竞标活动，并代表我方全权办理针对上述项目的所有采购程序和环节的具体事务和签署相关文件。</w:t>
      </w:r>
    </w:p>
    <w:p w14:paraId="3FE26EEC">
      <w:pPr>
        <w:pageBreakBefore w:val="0"/>
        <w:kinsoku/>
        <w:topLinePunct w:val="0"/>
        <w:bidi w:val="0"/>
        <w:spacing w:before="60" w:after="60"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    我方对委托代理人的签字</w:t>
      </w:r>
      <w:r>
        <w:rPr>
          <w:rFonts w:hint="eastAsia" w:ascii="宋体" w:hAnsi="宋体"/>
          <w:color w:val="auto"/>
          <w:sz w:val="24"/>
          <w:highlight w:val="none"/>
        </w:rPr>
        <w:t>或者电子签名</w:t>
      </w:r>
      <w:r>
        <w:rPr>
          <w:rFonts w:hint="eastAsia" w:ascii="宋体" w:hAnsi="宋体" w:cs="仿宋_GB2312"/>
          <w:color w:val="auto"/>
          <w:sz w:val="24"/>
          <w:highlight w:val="none"/>
        </w:rPr>
        <w:t>事项负全部责任。</w:t>
      </w:r>
    </w:p>
    <w:p w14:paraId="5B4F03AB">
      <w:pPr>
        <w:pageBreakBefore w:val="0"/>
        <w:kinsoku/>
        <w:topLinePunct w:val="0"/>
        <w:bidi w:val="0"/>
        <w:spacing w:before="60" w:after="60"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39EBD591">
      <w:pPr>
        <w:pageBreakBefore w:val="0"/>
        <w:kinsoku/>
        <w:topLinePunct w:val="0"/>
        <w:bidi w:val="0"/>
        <w:spacing w:before="60" w:after="60"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71C3C9A1">
      <w:pPr>
        <w:pageBreakBefore w:val="0"/>
        <w:kinsoku/>
        <w:topLinePunct w:val="0"/>
        <w:bidi w:val="0"/>
        <w:spacing w:before="60" w:after="60"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附：法定代表人身份证明书及委托代理人有效身份证正反面复印件</w:t>
      </w:r>
    </w:p>
    <w:p w14:paraId="4551BA60">
      <w:pPr>
        <w:pageBreakBefore w:val="0"/>
        <w:kinsoku/>
        <w:topLinePunct w:val="0"/>
        <w:bidi w:val="0"/>
        <w:spacing w:before="60" w:after="60" w:line="360" w:lineRule="auto"/>
        <w:rPr>
          <w:rFonts w:ascii="宋体" w:hAnsi="宋体" w:cs="仿宋_GB2312"/>
          <w:color w:val="auto"/>
          <w:sz w:val="24"/>
          <w:highlight w:val="none"/>
        </w:rPr>
      </w:pPr>
    </w:p>
    <w:p w14:paraId="4951296F">
      <w:pPr>
        <w:pageBreakBefore w:val="0"/>
        <w:kinsoku/>
        <w:topLinePunct w:val="0"/>
        <w:bidi w:val="0"/>
        <w:spacing w:before="60" w:after="60"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委托代理人（</w:t>
      </w:r>
      <w:r>
        <w:rPr>
          <w:rFonts w:hint="eastAsia" w:ascii="宋体" w:hAnsi="宋体"/>
          <w:color w:val="auto"/>
          <w:sz w:val="24"/>
          <w:highlight w:val="none"/>
        </w:rPr>
        <w:t>签字或者电子签名</w:t>
      </w:r>
      <w:r>
        <w:rPr>
          <w:rFonts w:hint="eastAsia" w:ascii="宋体" w:hAnsi="宋体" w:cs="仿宋_GB2312"/>
          <w:color w:val="auto"/>
          <w:sz w:val="24"/>
          <w:highlight w:val="none"/>
        </w:rPr>
        <w:t xml:space="preserve">）：     法定代表人（签字或者盖章或者电子签名）：                    </w:t>
      </w:r>
    </w:p>
    <w:p w14:paraId="08D27F57">
      <w:pPr>
        <w:pageBreakBefore w:val="0"/>
        <w:kinsoku/>
        <w:topLinePunct w:val="0"/>
        <w:bidi w:val="0"/>
        <w:spacing w:before="60" w:after="60"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 xml:space="preserve">委托代理人身份证号码：                              </w:t>
      </w:r>
    </w:p>
    <w:p w14:paraId="5807CB89">
      <w:pPr>
        <w:pageBreakBefore w:val="0"/>
        <w:kinsoku/>
        <w:topLinePunct w:val="0"/>
        <w:bidi w:val="0"/>
        <w:spacing w:before="60" w:after="60" w:line="360" w:lineRule="auto"/>
        <w:contextualSpacing/>
        <w:rPr>
          <w:rFonts w:ascii="宋体" w:hAnsi="宋体" w:cs="仿宋_GB2312"/>
          <w:color w:val="auto"/>
          <w:sz w:val="24"/>
          <w:highlight w:val="none"/>
        </w:rPr>
      </w:pPr>
    </w:p>
    <w:p w14:paraId="07E7A9BA">
      <w:pPr>
        <w:pageBreakBefore w:val="0"/>
        <w:kinsoku/>
        <w:topLinePunct w:val="0"/>
        <w:bidi w:val="0"/>
        <w:spacing w:before="60" w:after="60"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                         供应商（电子签章）：                      </w:t>
      </w:r>
    </w:p>
    <w:p w14:paraId="676F8B8B">
      <w:pPr>
        <w:pageBreakBefore w:val="0"/>
        <w:kinsoku/>
        <w:topLinePunct w:val="0"/>
        <w:bidi w:val="0"/>
        <w:spacing w:before="60" w:after="60"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                                         年    月    日</w:t>
      </w:r>
    </w:p>
    <w:p w14:paraId="7FD2EB97">
      <w:pPr>
        <w:pageBreakBefore w:val="0"/>
        <w:kinsoku/>
        <w:topLinePunct w:val="0"/>
        <w:bidi w:val="0"/>
        <w:spacing w:before="60" w:after="60" w:line="360" w:lineRule="auto"/>
        <w:rPr>
          <w:rFonts w:ascii="宋体" w:hAnsi="宋体" w:cs="仿宋_GB2312"/>
          <w:color w:val="auto"/>
          <w:sz w:val="24"/>
          <w:highlight w:val="none"/>
        </w:rPr>
      </w:pPr>
    </w:p>
    <w:p w14:paraId="33E1DF08">
      <w:pPr>
        <w:pageBreakBefore w:val="0"/>
        <w:kinsoku/>
        <w:topLinePunct w:val="0"/>
        <w:bidi w:val="0"/>
        <w:spacing w:before="60" w:after="60" w:line="360" w:lineRule="auto"/>
        <w:rPr>
          <w:rFonts w:ascii="宋体" w:hAnsi="宋体" w:cs="仿宋_GB2312"/>
          <w:color w:val="auto"/>
          <w:sz w:val="24"/>
          <w:highlight w:val="none"/>
        </w:rPr>
      </w:pPr>
      <w:r>
        <w:rPr>
          <w:rFonts w:hint="eastAsia" w:ascii="宋体" w:hAnsi="宋体" w:cs="仿宋_GB2312"/>
          <w:color w:val="auto"/>
          <w:sz w:val="24"/>
          <w:highlight w:val="none"/>
        </w:rPr>
        <w:t>注：1</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 xml:space="preserve"> 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，委托代理人必须在授权委托书上签字或者电子签名，</w:t>
      </w:r>
      <w:r>
        <w:rPr>
          <w:rFonts w:hint="eastAsia" w:ascii="宋体" w:hAnsi="宋体" w:cs="仿宋_GB2312"/>
          <w:b/>
          <w:color w:val="auto"/>
          <w:sz w:val="24"/>
          <w:highlight w:val="none"/>
        </w:rPr>
        <w:t>否则其响应文件按无效响应处理。</w:t>
      </w:r>
    </w:p>
    <w:p w14:paraId="72DA6540">
      <w:pPr>
        <w:pageBreakBefore w:val="0"/>
        <w:kinsoku/>
        <w:topLinePunct w:val="0"/>
        <w:bidi w:val="0"/>
        <w:spacing w:before="60" w:after="60" w:line="360" w:lineRule="auto"/>
        <w:ind w:firstLine="480" w:firstLineChars="200"/>
        <w:jc w:val="left"/>
        <w:rPr>
          <w:rFonts w:ascii="宋体" w:hAnsi="宋体" w:cs="仿宋_GB2312"/>
          <w:color w:val="auto"/>
          <w:sz w:val="24"/>
          <w:highlight w:val="none"/>
        </w:rPr>
      </w:pPr>
      <w:r>
        <w:rPr>
          <w:rFonts w:ascii="宋体" w:hAnsi="宋体" w:cs="仿宋_GB2312"/>
          <w:color w:val="auto"/>
          <w:sz w:val="24"/>
          <w:highlight w:val="none"/>
        </w:rPr>
        <w:t>2</w:t>
      </w:r>
      <w:bookmarkStart w:id="89" w:name="_Hlk65853109"/>
      <w:bookmarkStart w:id="90" w:name="_Hlk65853542"/>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法人、其他组织竞标时“我方”是指“我单位”，自然人竞标时“我方”是指“本人”。</w:t>
      </w:r>
      <w:bookmarkEnd w:id="89"/>
    </w:p>
    <w:bookmarkEnd w:id="90"/>
    <w:p w14:paraId="30A8A714">
      <w:pPr>
        <w:pageBreakBefore w:val="0"/>
        <w:kinsoku/>
        <w:topLinePunct w:val="0"/>
        <w:bidi w:val="0"/>
        <w:spacing w:before="60" w:after="60" w:line="360" w:lineRule="auto"/>
        <w:ind w:firstLine="420" w:firstLineChars="200"/>
        <w:jc w:val="left"/>
        <w:rPr>
          <w:rFonts w:ascii="仿宋_GB2312" w:hAnsi="仿宋_GB2312" w:eastAsia="仿宋_GB2312" w:cs="仿宋_GB2312"/>
          <w:color w:val="auto"/>
          <w:szCs w:val="21"/>
          <w:highlight w:val="none"/>
        </w:rPr>
      </w:pPr>
    </w:p>
    <w:p w14:paraId="522D8B01">
      <w:pPr>
        <w:pageBreakBefore w:val="0"/>
        <w:kinsoku/>
        <w:topLinePunct w:val="0"/>
        <w:bidi w:val="0"/>
        <w:spacing w:before="60" w:after="60" w:line="360" w:lineRule="auto"/>
        <w:jc w:val="center"/>
        <w:rPr>
          <w:rFonts w:asciiTheme="minorEastAsia" w:hAnsiTheme="minorEastAsia" w:eastAsiaTheme="minorEastAsia"/>
          <w:color w:val="auto"/>
          <w:sz w:val="44"/>
          <w:szCs w:val="44"/>
          <w:highlight w:val="none"/>
        </w:rPr>
      </w:pPr>
      <w:r>
        <w:rPr>
          <w:rFonts w:ascii="仿宋_GB2312" w:hAnsi="仿宋_GB2312" w:eastAsia="仿宋_GB2312" w:cs="仿宋_GB2312"/>
          <w:color w:val="auto"/>
          <w:szCs w:val="21"/>
          <w:highlight w:val="none"/>
        </w:rPr>
        <w:br w:type="page"/>
      </w:r>
      <w:r>
        <w:rPr>
          <w:rFonts w:asciiTheme="minorEastAsia" w:hAnsiTheme="minorEastAsia" w:eastAsiaTheme="minorEastAsia"/>
          <w:color w:val="auto"/>
          <w:sz w:val="36"/>
          <w:szCs w:val="36"/>
          <w:highlight w:val="none"/>
        </w:rPr>
        <w:t>授权委托书</w:t>
      </w:r>
    </w:p>
    <w:p w14:paraId="396D05C1">
      <w:pPr>
        <w:pageBreakBefore w:val="0"/>
        <w:kinsoku/>
        <w:topLinePunct w:val="0"/>
        <w:bidi w:val="0"/>
        <w:spacing w:before="60" w:after="60" w:line="360" w:lineRule="auto"/>
        <w:jc w:val="center"/>
        <w:rPr>
          <w:rFonts w:asciiTheme="minorEastAsia" w:hAnsiTheme="minorEastAsia" w:eastAsiaTheme="minorEastAsia"/>
          <w:color w:val="auto"/>
          <w:sz w:val="32"/>
          <w:szCs w:val="32"/>
          <w:highlight w:val="none"/>
        </w:rPr>
      </w:pPr>
      <w:r>
        <w:rPr>
          <w:rFonts w:asciiTheme="minorEastAsia" w:hAnsiTheme="minorEastAsia" w:eastAsiaTheme="minorEastAsia"/>
          <w:color w:val="auto"/>
          <w:sz w:val="32"/>
          <w:szCs w:val="32"/>
          <w:highlight w:val="none"/>
        </w:rPr>
        <w:t>（联合体竞标格式）</w:t>
      </w:r>
    </w:p>
    <w:p w14:paraId="4035D130">
      <w:pPr>
        <w:pageBreakBefore w:val="0"/>
        <w:kinsoku/>
        <w:topLinePunct w:val="0"/>
        <w:bidi w:val="0"/>
        <w:spacing w:before="60" w:after="60" w:line="360" w:lineRule="auto"/>
        <w:jc w:val="center"/>
        <w:rPr>
          <w:rFonts w:asciiTheme="minorEastAsia" w:hAnsiTheme="minorEastAsia" w:eastAsiaTheme="minorEastAsia"/>
          <w:color w:val="auto"/>
          <w:sz w:val="44"/>
          <w:szCs w:val="44"/>
          <w:highlight w:val="none"/>
        </w:rPr>
      </w:pPr>
      <w:r>
        <w:rPr>
          <w:rFonts w:asciiTheme="minorEastAsia" w:hAnsiTheme="minorEastAsia" w:eastAsiaTheme="minorEastAsia"/>
          <w:color w:val="auto"/>
          <w:sz w:val="32"/>
          <w:szCs w:val="32"/>
          <w:highlight w:val="none"/>
        </w:rPr>
        <w:t>（如有委托时）</w:t>
      </w:r>
    </w:p>
    <w:p w14:paraId="057485E5">
      <w:pPr>
        <w:pageBreakBefore w:val="0"/>
        <w:kinsoku/>
        <w:topLinePunct w:val="0"/>
        <w:bidi w:val="0"/>
        <w:spacing w:before="60" w:after="60" w:line="360" w:lineRule="auto"/>
        <w:jc w:val="center"/>
        <w:rPr>
          <w:rFonts w:ascii="方正小标宋简体" w:hAnsi="方正小标宋简体" w:eastAsia="方正小标宋简体" w:cs="方正小标宋简体"/>
          <w:color w:val="auto"/>
          <w:sz w:val="44"/>
          <w:szCs w:val="44"/>
          <w:highlight w:val="none"/>
        </w:rPr>
      </w:pPr>
    </w:p>
    <w:p w14:paraId="1A06ACFE">
      <w:pPr>
        <w:pageBreakBefore w:val="0"/>
        <w:kinsoku/>
        <w:topLinePunct w:val="0"/>
        <w:bidi w:val="0"/>
        <w:spacing w:before="60" w:after="60" w:line="360" w:lineRule="auto"/>
        <w:jc w:val="center"/>
        <w:rPr>
          <w:rFonts w:ascii="仿宋_GB2312" w:hAnsi="仿宋_GB2312" w:eastAsia="仿宋_GB2312" w:cs="仿宋_GB2312"/>
          <w:color w:val="auto"/>
          <w:sz w:val="32"/>
          <w:szCs w:val="32"/>
          <w:highlight w:val="none"/>
        </w:rPr>
      </w:pPr>
    </w:p>
    <w:p w14:paraId="71C95BCD">
      <w:pPr>
        <w:pageBreakBefore w:val="0"/>
        <w:kinsoku/>
        <w:topLinePunct w:val="0"/>
        <w:bidi w:val="0"/>
        <w:spacing w:before="60" w:after="60"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本授权委托书声明：根据（牵头人名称）与（联合体其他成员名称）签订的《联合体竞标协议书》的内容，（牵头人名称）的法定代表人（姓名）现授权（姓名）为联合委托代理人，并代表我方全权办理针对上述项目的所有采购程序和环节的具体事务和签署相关文件。</w:t>
      </w:r>
    </w:p>
    <w:p w14:paraId="79F4B052">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我方对委托代理人的</w:t>
      </w:r>
      <w:r>
        <w:rPr>
          <w:rFonts w:hint="eastAsia" w:ascii="宋体" w:hAnsi="宋体"/>
          <w:color w:val="auto"/>
          <w:sz w:val="24"/>
          <w:highlight w:val="none"/>
        </w:rPr>
        <w:t>签字或者电子签名</w:t>
      </w:r>
      <w:r>
        <w:rPr>
          <w:rFonts w:hint="eastAsia" w:ascii="宋体" w:hAnsi="宋体" w:cs="仿宋_GB2312"/>
          <w:color w:val="auto"/>
          <w:sz w:val="24"/>
          <w:highlight w:val="none"/>
        </w:rPr>
        <w:t>事项负全部责任。</w:t>
      </w:r>
    </w:p>
    <w:p w14:paraId="7953E72A">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403DDF85">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1CAC380E">
      <w:pPr>
        <w:pageBreakBefore w:val="0"/>
        <w:kinsoku/>
        <w:topLinePunct w:val="0"/>
        <w:bidi w:val="0"/>
        <w:spacing w:before="60" w:after="60"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 xml:space="preserve">    附：法定代表人身份证明书及委托代理人有效身份证正反面复印件</w:t>
      </w:r>
    </w:p>
    <w:p w14:paraId="2722CF24">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牵头人法定代表人（签字或者盖章或者电子签名）：</w:t>
      </w:r>
    </w:p>
    <w:p w14:paraId="39378160">
      <w:pPr>
        <w:pageBreakBefore w:val="0"/>
        <w:kinsoku/>
        <w:topLinePunct w:val="0"/>
        <w:bidi w:val="0"/>
        <w:spacing w:before="60" w:after="60" w:line="360" w:lineRule="auto"/>
        <w:ind w:firstLine="3120" w:firstLineChars="1300"/>
        <w:contextualSpacing/>
        <w:rPr>
          <w:rFonts w:ascii="宋体" w:hAnsi="宋体" w:cs="仿宋_GB2312"/>
          <w:color w:val="auto"/>
          <w:sz w:val="24"/>
          <w:highlight w:val="none"/>
        </w:rPr>
      </w:pPr>
      <w:r>
        <w:rPr>
          <w:rFonts w:hint="eastAsia" w:ascii="宋体" w:hAnsi="宋体" w:cs="仿宋_GB2312"/>
          <w:color w:val="auto"/>
          <w:sz w:val="24"/>
          <w:highlight w:val="none"/>
        </w:rPr>
        <w:t>牵头人（电子签章）：</w:t>
      </w:r>
    </w:p>
    <w:p w14:paraId="38F1F555">
      <w:pPr>
        <w:pageBreakBefore w:val="0"/>
        <w:kinsoku/>
        <w:topLinePunct w:val="0"/>
        <w:bidi w:val="0"/>
        <w:spacing w:before="60" w:after="60" w:line="360" w:lineRule="auto"/>
        <w:ind w:firstLine="3840" w:firstLineChars="1600"/>
        <w:contextualSpacing/>
        <w:rPr>
          <w:rFonts w:ascii="宋体" w:hAnsi="宋体" w:cs="仿宋_GB2312"/>
          <w:color w:val="auto"/>
          <w:sz w:val="24"/>
          <w:highlight w:val="none"/>
        </w:rPr>
      </w:pPr>
      <w:r>
        <w:rPr>
          <w:rFonts w:hint="eastAsia" w:ascii="宋体" w:hAnsi="宋体" w:cs="仿宋_GB2312"/>
          <w:color w:val="auto"/>
          <w:sz w:val="24"/>
          <w:highlight w:val="none"/>
        </w:rPr>
        <w:t>日期：    年   月   日</w:t>
      </w:r>
    </w:p>
    <w:p w14:paraId="60746E28">
      <w:pPr>
        <w:pageBreakBefore w:val="0"/>
        <w:kinsoku/>
        <w:topLinePunct w:val="0"/>
        <w:bidi w:val="0"/>
        <w:spacing w:before="60" w:after="60" w:line="360" w:lineRule="auto"/>
        <w:contextualSpacing/>
        <w:rPr>
          <w:rFonts w:ascii="宋体" w:hAnsi="宋体" w:cs="仿宋_GB2312"/>
          <w:color w:val="auto"/>
          <w:sz w:val="24"/>
          <w:highlight w:val="none"/>
        </w:rPr>
      </w:pPr>
    </w:p>
    <w:p w14:paraId="7984A4EF">
      <w:pPr>
        <w:pageBreakBefore w:val="0"/>
        <w:kinsoku/>
        <w:topLinePunct w:val="0"/>
        <w:bidi w:val="0"/>
        <w:spacing w:before="60" w:after="60" w:line="360" w:lineRule="auto"/>
        <w:ind w:firstLine="3120" w:firstLineChars="1300"/>
        <w:contextualSpacing/>
        <w:rPr>
          <w:rFonts w:ascii="宋体" w:hAnsi="宋体" w:cs="仿宋_GB2312"/>
          <w:color w:val="auto"/>
          <w:sz w:val="24"/>
          <w:highlight w:val="none"/>
        </w:rPr>
      </w:pPr>
      <w:r>
        <w:rPr>
          <w:rFonts w:hint="eastAsia" w:ascii="宋体" w:hAnsi="宋体" w:cs="仿宋_GB2312"/>
          <w:color w:val="auto"/>
          <w:sz w:val="24"/>
          <w:highlight w:val="none"/>
        </w:rPr>
        <w:t>被授权人（签字或者电子签名）：</w:t>
      </w:r>
    </w:p>
    <w:p w14:paraId="74F4846D">
      <w:pPr>
        <w:pageBreakBefore w:val="0"/>
        <w:kinsoku/>
        <w:topLinePunct w:val="0"/>
        <w:bidi w:val="0"/>
        <w:spacing w:before="60" w:after="60" w:line="360" w:lineRule="auto"/>
        <w:ind w:firstLine="3840" w:firstLineChars="1600"/>
        <w:contextualSpacing/>
        <w:rPr>
          <w:rFonts w:ascii="宋体" w:hAnsi="宋体" w:cs="仿宋_GB2312"/>
          <w:color w:val="auto"/>
          <w:sz w:val="24"/>
          <w:highlight w:val="none"/>
        </w:rPr>
      </w:pPr>
      <w:r>
        <w:rPr>
          <w:rFonts w:hint="eastAsia" w:ascii="宋体" w:hAnsi="宋体" w:cs="仿宋_GB2312"/>
          <w:color w:val="auto"/>
          <w:sz w:val="24"/>
          <w:highlight w:val="none"/>
        </w:rPr>
        <w:t>日期：    年   月   日</w:t>
      </w:r>
    </w:p>
    <w:p w14:paraId="518AD044">
      <w:pPr>
        <w:pageBreakBefore w:val="0"/>
        <w:kinsoku/>
        <w:topLinePunct w:val="0"/>
        <w:bidi w:val="0"/>
        <w:spacing w:before="60" w:after="60" w:line="360" w:lineRule="auto"/>
        <w:contextualSpacing/>
        <w:rPr>
          <w:rFonts w:ascii="宋体" w:hAnsi="宋体" w:cs="仿宋_GB2312"/>
          <w:color w:val="auto"/>
          <w:sz w:val="24"/>
          <w:highlight w:val="none"/>
        </w:rPr>
      </w:pPr>
    </w:p>
    <w:p w14:paraId="732D99D1">
      <w:pPr>
        <w:pageBreakBefore w:val="0"/>
        <w:kinsoku/>
        <w:topLinePunct w:val="0"/>
        <w:bidi w:val="0"/>
        <w:spacing w:before="60" w:after="60"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注：1</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 xml:space="preserve"> 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，委托代理人必须在授权委托书上签字或者电子签名，</w:t>
      </w:r>
      <w:r>
        <w:rPr>
          <w:rFonts w:hint="eastAsia" w:ascii="宋体" w:hAnsi="宋体" w:cs="仿宋_GB2312"/>
          <w:b/>
          <w:color w:val="auto"/>
          <w:sz w:val="24"/>
          <w:highlight w:val="none"/>
        </w:rPr>
        <w:t>否则其响应文件按无效响应处理。</w:t>
      </w:r>
    </w:p>
    <w:p w14:paraId="529714CC">
      <w:pPr>
        <w:pageBreakBefore w:val="0"/>
        <w:kinsoku/>
        <w:topLinePunct w:val="0"/>
        <w:bidi w:val="0"/>
        <w:spacing w:before="60" w:after="60" w:line="360" w:lineRule="auto"/>
        <w:ind w:firstLine="480" w:firstLineChars="200"/>
        <w:jc w:val="left"/>
        <w:rPr>
          <w:rFonts w:ascii="宋体" w:hAnsi="宋体" w:cs="仿宋_GB2312"/>
          <w:color w:val="auto"/>
          <w:spacing w:val="-11"/>
          <w:sz w:val="24"/>
          <w:highlight w:val="none"/>
        </w:rPr>
      </w:pPr>
      <w:r>
        <w:rPr>
          <w:rFonts w:ascii="宋体" w:hAnsi="宋体" w:cs="仿宋_GB2312"/>
          <w:color w:val="auto"/>
          <w:sz w:val="24"/>
          <w:highlight w:val="none"/>
        </w:rPr>
        <w:t>2</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rPr>
        <w:t>法人、其他组织竞标时“我方”是指“我单位”，自然人竞标时“我方”是指“本人”。</w:t>
      </w:r>
    </w:p>
    <w:bookmarkEnd w:id="88"/>
    <w:p w14:paraId="3F71FFBB">
      <w:pPr>
        <w:pageBreakBefore w:val="0"/>
        <w:kinsoku/>
        <w:topLinePunct w:val="0"/>
        <w:bidi w:val="0"/>
        <w:spacing w:before="60" w:after="60" w:line="360" w:lineRule="auto"/>
        <w:jc w:val="center"/>
        <w:rPr>
          <w:rFonts w:cs="方正小标宋简体" w:asciiTheme="minorEastAsia" w:hAnsiTheme="minorEastAsia" w:eastAsiaTheme="minorEastAsia"/>
          <w:bCs/>
          <w:color w:val="auto"/>
          <w:sz w:val="44"/>
          <w:szCs w:val="44"/>
          <w:highlight w:val="none"/>
        </w:rPr>
      </w:pPr>
      <w:r>
        <w:rPr>
          <w:rFonts w:hint="eastAsia" w:ascii="仿宋_GB2312" w:hAnsi="仿宋_GB2312" w:eastAsia="仿宋_GB2312" w:cs="仿宋_GB2312"/>
          <w:color w:val="auto"/>
          <w:sz w:val="32"/>
          <w:szCs w:val="32"/>
          <w:highlight w:val="none"/>
        </w:rPr>
        <w:br w:type="page"/>
      </w:r>
      <w:r>
        <w:rPr>
          <w:rFonts w:hint="eastAsia" w:cs="方正小标宋简体" w:asciiTheme="minorEastAsia" w:hAnsiTheme="minorEastAsia" w:eastAsiaTheme="minorEastAsia"/>
          <w:bCs/>
          <w:color w:val="auto"/>
          <w:sz w:val="36"/>
          <w:szCs w:val="36"/>
          <w:highlight w:val="none"/>
        </w:rPr>
        <w:t>商务要求偏离表格式</w:t>
      </w:r>
    </w:p>
    <w:p w14:paraId="07002159">
      <w:pPr>
        <w:pageBreakBefore w:val="0"/>
        <w:kinsoku/>
        <w:topLinePunct w:val="0"/>
        <w:bidi w:val="0"/>
        <w:spacing w:before="60" w:after="60" w:line="360" w:lineRule="auto"/>
        <w:jc w:val="center"/>
        <w:rPr>
          <w:rFonts w:asciiTheme="minorEastAsia" w:hAnsiTheme="minorEastAsia" w:eastAsiaTheme="minorEastAsia"/>
          <w:b/>
          <w:i/>
          <w:color w:val="auto"/>
          <w:sz w:val="32"/>
          <w:szCs w:val="32"/>
          <w:highlight w:val="none"/>
        </w:rPr>
      </w:pPr>
      <w:r>
        <w:rPr>
          <w:rFonts w:hint="eastAsia" w:cs="方正小标宋简体" w:asciiTheme="minorEastAsia" w:hAnsiTheme="minorEastAsia" w:eastAsiaTheme="minorEastAsia"/>
          <w:bCs/>
          <w:i/>
          <w:color w:val="auto"/>
          <w:sz w:val="32"/>
          <w:szCs w:val="32"/>
          <w:highlight w:val="none"/>
        </w:rPr>
        <w:t>（注：按采购需求具体条款修改）</w:t>
      </w:r>
    </w:p>
    <w:p w14:paraId="0EE3D9EC">
      <w:pPr>
        <w:pageBreakBefore w:val="0"/>
        <w:kinsoku/>
        <w:topLinePunct w:val="0"/>
        <w:bidi w:val="0"/>
        <w:spacing w:before="60" w:after="60" w:line="360" w:lineRule="auto"/>
        <w:contextualSpacing/>
        <w:jc w:val="left"/>
        <w:rPr>
          <w:rFonts w:ascii="宋体" w:hAnsi="宋体"/>
          <w:color w:val="auto"/>
          <w:sz w:val="24"/>
          <w:highlight w:val="none"/>
        </w:rPr>
      </w:pPr>
    </w:p>
    <w:p w14:paraId="65E5B43C">
      <w:pPr>
        <w:pStyle w:val="16"/>
        <w:pageBreakBefore w:val="0"/>
        <w:kinsoku/>
        <w:topLinePunct w:val="0"/>
        <w:bidi w:val="0"/>
        <w:spacing w:before="60" w:after="60" w:line="360" w:lineRule="auto"/>
        <w:contextualSpacing/>
        <w:rPr>
          <w:rFonts w:hAnsi="宋体" w:cs="仿宋_GB2312"/>
          <w:color w:val="auto"/>
          <w:sz w:val="24"/>
          <w:szCs w:val="24"/>
          <w:highlight w:val="none"/>
        </w:rPr>
      </w:pPr>
      <w:r>
        <w:rPr>
          <w:rFonts w:hint="eastAsia" w:hAnsi="宋体" w:cs="仿宋_GB2312"/>
          <w:color w:val="auto"/>
          <w:sz w:val="24"/>
          <w:szCs w:val="24"/>
          <w:highlight w:val="none"/>
        </w:rPr>
        <w:t>所竞分标：</w:t>
      </w:r>
    </w:p>
    <w:p w14:paraId="4C866439">
      <w:pPr>
        <w:pageBreakBefore w:val="0"/>
        <w:kinsoku/>
        <w:topLinePunct w:val="0"/>
        <w:bidi w:val="0"/>
        <w:spacing w:before="60" w:after="60" w:line="360" w:lineRule="auto"/>
        <w:contextualSpacing/>
        <w:jc w:val="left"/>
        <w:rPr>
          <w:rFonts w:ascii="宋体" w:hAnsi="宋体" w:cs="仿宋_GB2312"/>
          <w:color w:val="auto"/>
          <w:sz w:val="24"/>
          <w:highlight w:val="none"/>
          <w:u w:val="single"/>
        </w:rPr>
      </w:pPr>
    </w:p>
    <w:tbl>
      <w:tblPr>
        <w:tblStyle w:val="31"/>
        <w:tblpPr w:leftFromText="180" w:rightFromText="180" w:vertAnchor="text" w:horzAnchor="margin" w:tblpY="-9"/>
        <w:tblOverlap w:val="never"/>
        <w:tblW w:w="930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350"/>
        <w:gridCol w:w="2112"/>
      </w:tblGrid>
      <w:tr w14:paraId="1ED627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vAlign w:val="center"/>
          </w:tcPr>
          <w:p w14:paraId="15D623E4">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r>
              <w:rPr>
                <w:rFonts w:hint="eastAsia" w:ascii="宋体" w:hAnsi="宋体" w:cs="仿宋_GB2312"/>
                <w:color w:val="auto"/>
                <w:sz w:val="24"/>
                <w:highlight w:val="none"/>
              </w:rPr>
              <w:t>项目</w:t>
            </w:r>
          </w:p>
        </w:tc>
        <w:tc>
          <w:tcPr>
            <w:tcW w:w="2668" w:type="dxa"/>
            <w:tcBorders>
              <w:top w:val="single" w:color="auto" w:sz="4" w:space="0"/>
              <w:left w:val="single" w:color="auto" w:sz="4" w:space="0"/>
              <w:bottom w:val="single" w:color="auto" w:sz="4" w:space="0"/>
              <w:right w:val="single" w:color="auto" w:sz="4" w:space="0"/>
            </w:tcBorders>
            <w:vAlign w:val="center"/>
          </w:tcPr>
          <w:p w14:paraId="3D73ABB6">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r>
              <w:rPr>
                <w:rFonts w:hint="eastAsia" w:ascii="宋体" w:hAnsi="宋体" w:cs="仿宋_GB2312"/>
                <w:color w:val="auto"/>
                <w:sz w:val="24"/>
                <w:highlight w:val="none"/>
              </w:rPr>
              <w:t>磋商文件商务要求</w:t>
            </w:r>
          </w:p>
        </w:tc>
        <w:tc>
          <w:tcPr>
            <w:tcW w:w="2350" w:type="dxa"/>
            <w:tcBorders>
              <w:top w:val="single" w:color="auto" w:sz="4" w:space="0"/>
              <w:left w:val="single" w:color="auto" w:sz="4" w:space="0"/>
              <w:bottom w:val="single" w:color="auto" w:sz="4" w:space="0"/>
              <w:right w:val="single" w:color="auto" w:sz="4" w:space="0"/>
            </w:tcBorders>
            <w:vAlign w:val="center"/>
          </w:tcPr>
          <w:p w14:paraId="7E1F11D3">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r>
              <w:rPr>
                <w:rFonts w:hint="eastAsia" w:ascii="宋体" w:hAnsi="宋体" w:cs="仿宋_GB2312"/>
                <w:color w:val="auto"/>
                <w:sz w:val="24"/>
                <w:highlight w:val="none"/>
              </w:rPr>
              <w:t>供应商的响应</w:t>
            </w:r>
          </w:p>
        </w:tc>
        <w:tc>
          <w:tcPr>
            <w:tcW w:w="2112" w:type="dxa"/>
            <w:tcBorders>
              <w:top w:val="single" w:color="auto" w:sz="4" w:space="0"/>
              <w:left w:val="single" w:color="auto" w:sz="4" w:space="0"/>
              <w:bottom w:val="single" w:color="auto" w:sz="4" w:space="0"/>
              <w:right w:val="single" w:color="auto" w:sz="4" w:space="0"/>
            </w:tcBorders>
            <w:vAlign w:val="center"/>
          </w:tcPr>
          <w:p w14:paraId="2FFD2929">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r>
              <w:rPr>
                <w:rFonts w:hint="eastAsia" w:ascii="宋体" w:hAnsi="宋体" w:cs="仿宋_GB2312"/>
                <w:color w:val="auto"/>
                <w:sz w:val="24"/>
                <w:highlight w:val="none"/>
              </w:rPr>
              <w:t>偏离说明</w:t>
            </w:r>
          </w:p>
        </w:tc>
      </w:tr>
      <w:tr w14:paraId="4243BB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178" w:type="dxa"/>
            <w:tcBorders>
              <w:top w:val="single" w:color="auto" w:sz="4" w:space="0"/>
              <w:left w:val="single" w:color="auto" w:sz="4" w:space="0"/>
              <w:bottom w:val="single" w:color="auto" w:sz="4" w:space="0"/>
              <w:right w:val="single" w:color="auto" w:sz="4" w:space="0"/>
            </w:tcBorders>
            <w:vAlign w:val="center"/>
          </w:tcPr>
          <w:p w14:paraId="0AD5ACAD">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olor w:val="auto"/>
                <w:sz w:val="24"/>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4B9F9E59">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2350" w:type="dxa"/>
            <w:tcBorders>
              <w:top w:val="single" w:color="auto" w:sz="4" w:space="0"/>
              <w:left w:val="single" w:color="auto" w:sz="4" w:space="0"/>
              <w:bottom w:val="single" w:color="auto" w:sz="4" w:space="0"/>
              <w:right w:val="single" w:color="auto" w:sz="4" w:space="0"/>
            </w:tcBorders>
            <w:vAlign w:val="center"/>
          </w:tcPr>
          <w:p w14:paraId="3367414C">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2112" w:type="dxa"/>
            <w:tcBorders>
              <w:top w:val="single" w:color="auto" w:sz="4" w:space="0"/>
              <w:left w:val="single" w:color="auto" w:sz="4" w:space="0"/>
              <w:bottom w:val="single" w:color="auto" w:sz="4" w:space="0"/>
              <w:right w:val="single" w:color="auto" w:sz="4" w:space="0"/>
            </w:tcBorders>
            <w:vAlign w:val="center"/>
          </w:tcPr>
          <w:p w14:paraId="252C6679">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r>
      <w:tr w14:paraId="6F377D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178" w:type="dxa"/>
            <w:tcBorders>
              <w:top w:val="single" w:color="auto" w:sz="4" w:space="0"/>
              <w:left w:val="single" w:color="auto" w:sz="4" w:space="0"/>
              <w:bottom w:val="single" w:color="auto" w:sz="4" w:space="0"/>
              <w:right w:val="single" w:color="auto" w:sz="4" w:space="0"/>
            </w:tcBorders>
            <w:vAlign w:val="center"/>
          </w:tcPr>
          <w:p w14:paraId="71BA7CBE">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olor w:val="auto"/>
                <w:sz w:val="24"/>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09800B18">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2350" w:type="dxa"/>
            <w:tcBorders>
              <w:top w:val="single" w:color="auto" w:sz="4" w:space="0"/>
              <w:left w:val="single" w:color="auto" w:sz="4" w:space="0"/>
              <w:bottom w:val="single" w:color="auto" w:sz="4" w:space="0"/>
              <w:right w:val="single" w:color="auto" w:sz="4" w:space="0"/>
            </w:tcBorders>
            <w:vAlign w:val="center"/>
          </w:tcPr>
          <w:p w14:paraId="087CA9D1">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2112" w:type="dxa"/>
            <w:tcBorders>
              <w:top w:val="single" w:color="auto" w:sz="4" w:space="0"/>
              <w:left w:val="single" w:color="auto" w:sz="4" w:space="0"/>
              <w:bottom w:val="single" w:color="auto" w:sz="4" w:space="0"/>
              <w:right w:val="single" w:color="auto" w:sz="4" w:space="0"/>
            </w:tcBorders>
            <w:vAlign w:val="center"/>
          </w:tcPr>
          <w:p w14:paraId="45ACB6A6">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r>
      <w:tr w14:paraId="0021E7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178" w:type="dxa"/>
            <w:tcBorders>
              <w:top w:val="single" w:color="auto" w:sz="4" w:space="0"/>
              <w:left w:val="single" w:color="auto" w:sz="4" w:space="0"/>
              <w:bottom w:val="single" w:color="auto" w:sz="4" w:space="0"/>
              <w:right w:val="single" w:color="auto" w:sz="4" w:space="0"/>
            </w:tcBorders>
            <w:vAlign w:val="center"/>
          </w:tcPr>
          <w:p w14:paraId="1E23930A">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olor w:val="auto"/>
                <w:sz w:val="24"/>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496605F6">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2350" w:type="dxa"/>
            <w:tcBorders>
              <w:top w:val="single" w:color="auto" w:sz="4" w:space="0"/>
              <w:left w:val="single" w:color="auto" w:sz="4" w:space="0"/>
              <w:bottom w:val="single" w:color="auto" w:sz="4" w:space="0"/>
              <w:right w:val="single" w:color="auto" w:sz="4" w:space="0"/>
            </w:tcBorders>
            <w:vAlign w:val="center"/>
          </w:tcPr>
          <w:p w14:paraId="474FAA0E">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2112" w:type="dxa"/>
            <w:tcBorders>
              <w:top w:val="single" w:color="auto" w:sz="4" w:space="0"/>
              <w:left w:val="single" w:color="auto" w:sz="4" w:space="0"/>
              <w:bottom w:val="single" w:color="auto" w:sz="4" w:space="0"/>
              <w:right w:val="single" w:color="auto" w:sz="4" w:space="0"/>
            </w:tcBorders>
            <w:vAlign w:val="center"/>
          </w:tcPr>
          <w:p w14:paraId="4A5DD705">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r>
      <w:tr w14:paraId="277345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178" w:type="dxa"/>
            <w:tcBorders>
              <w:top w:val="single" w:color="auto" w:sz="4" w:space="0"/>
              <w:left w:val="single" w:color="auto" w:sz="4" w:space="0"/>
              <w:bottom w:val="single" w:color="auto" w:sz="4" w:space="0"/>
              <w:right w:val="single" w:color="auto" w:sz="4" w:space="0"/>
            </w:tcBorders>
            <w:vAlign w:val="center"/>
          </w:tcPr>
          <w:p w14:paraId="278B30B9">
            <w:pPr>
              <w:keepNext w:val="0"/>
              <w:keepLines w:val="0"/>
              <w:pageBreakBefore w:val="0"/>
              <w:suppressLineNumbers w:val="0"/>
              <w:kinsoku/>
              <w:topLinePunct w:val="0"/>
              <w:bidi w:val="0"/>
              <w:spacing w:before="60" w:beforeAutospacing="0" w:after="60" w:afterAutospacing="0" w:line="360" w:lineRule="auto"/>
              <w:ind w:left="0" w:right="0"/>
              <w:jc w:val="center"/>
              <w:rPr>
                <w:rFonts w:hint="default" w:ascii="宋体" w:hAnsi="宋体"/>
                <w:color w:val="auto"/>
                <w:sz w:val="24"/>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3AE8074B">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2350" w:type="dxa"/>
            <w:tcBorders>
              <w:top w:val="single" w:color="auto" w:sz="4" w:space="0"/>
              <w:left w:val="single" w:color="auto" w:sz="4" w:space="0"/>
              <w:bottom w:val="single" w:color="auto" w:sz="4" w:space="0"/>
              <w:right w:val="single" w:color="auto" w:sz="4" w:space="0"/>
            </w:tcBorders>
            <w:vAlign w:val="center"/>
          </w:tcPr>
          <w:p w14:paraId="439B524C">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2112" w:type="dxa"/>
            <w:tcBorders>
              <w:top w:val="single" w:color="auto" w:sz="4" w:space="0"/>
              <w:left w:val="single" w:color="auto" w:sz="4" w:space="0"/>
              <w:bottom w:val="single" w:color="auto" w:sz="4" w:space="0"/>
              <w:right w:val="single" w:color="auto" w:sz="4" w:space="0"/>
            </w:tcBorders>
            <w:vAlign w:val="center"/>
          </w:tcPr>
          <w:p w14:paraId="5A78280A">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r>
      <w:tr w14:paraId="0786E8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vAlign w:val="center"/>
          </w:tcPr>
          <w:p w14:paraId="2E5549C7">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4AB976FE">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2350" w:type="dxa"/>
            <w:tcBorders>
              <w:top w:val="single" w:color="auto" w:sz="4" w:space="0"/>
              <w:left w:val="single" w:color="auto" w:sz="4" w:space="0"/>
              <w:bottom w:val="single" w:color="auto" w:sz="4" w:space="0"/>
              <w:right w:val="single" w:color="auto" w:sz="4" w:space="0"/>
            </w:tcBorders>
            <w:vAlign w:val="center"/>
          </w:tcPr>
          <w:p w14:paraId="0C7945C6">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c>
          <w:tcPr>
            <w:tcW w:w="2112" w:type="dxa"/>
            <w:tcBorders>
              <w:top w:val="single" w:color="auto" w:sz="4" w:space="0"/>
              <w:left w:val="single" w:color="auto" w:sz="4" w:space="0"/>
              <w:bottom w:val="single" w:color="auto" w:sz="4" w:space="0"/>
              <w:right w:val="single" w:color="auto" w:sz="4" w:space="0"/>
            </w:tcBorders>
            <w:vAlign w:val="center"/>
          </w:tcPr>
          <w:p w14:paraId="0DA03502">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s="仿宋_GB2312"/>
                <w:color w:val="auto"/>
                <w:sz w:val="24"/>
                <w:highlight w:val="none"/>
              </w:rPr>
            </w:pPr>
          </w:p>
        </w:tc>
      </w:tr>
    </w:tbl>
    <w:p w14:paraId="175D019F">
      <w:pPr>
        <w:pStyle w:val="13"/>
        <w:pageBreakBefore w:val="0"/>
        <w:kinsoku/>
        <w:topLinePunct w:val="0"/>
        <w:bidi w:val="0"/>
        <w:spacing w:before="60" w:after="60" w:line="360" w:lineRule="auto"/>
        <w:contextualSpacing/>
        <w:rPr>
          <w:rFonts w:ascii="宋体" w:hAnsi="宋体"/>
          <w:color w:val="auto"/>
          <w:kern w:val="0"/>
          <w:sz w:val="24"/>
          <w:szCs w:val="24"/>
          <w:highlight w:val="none"/>
        </w:rPr>
      </w:pPr>
      <w:r>
        <w:rPr>
          <w:rFonts w:hint="eastAsia" w:ascii="宋体" w:hAnsi="宋体"/>
          <w:color w:val="auto"/>
          <w:kern w:val="0"/>
          <w:sz w:val="24"/>
          <w:szCs w:val="24"/>
          <w:highlight w:val="none"/>
        </w:rPr>
        <w:t>注：</w:t>
      </w:r>
    </w:p>
    <w:p w14:paraId="1C0E61DA">
      <w:pPr>
        <w:pStyle w:val="13"/>
        <w:pageBreakBefore w:val="0"/>
        <w:kinsoku/>
        <w:topLinePunct w:val="0"/>
        <w:bidi w:val="0"/>
        <w:spacing w:before="60" w:after="60" w:line="360" w:lineRule="auto"/>
        <w:contextualSpacing/>
        <w:rPr>
          <w:rFonts w:ascii="宋体" w:hAnsi="宋体"/>
          <w:color w:val="auto"/>
          <w:kern w:val="0"/>
          <w:sz w:val="24"/>
          <w:szCs w:val="24"/>
          <w:highlight w:val="none"/>
        </w:rPr>
      </w:pPr>
      <w:r>
        <w:rPr>
          <w:rFonts w:hint="eastAsia" w:ascii="宋体" w:hAnsi="宋体"/>
          <w:color w:val="auto"/>
          <w:kern w:val="0"/>
          <w:sz w:val="24"/>
          <w:szCs w:val="24"/>
          <w:highlight w:val="none"/>
        </w:rPr>
        <w:t>1</w:t>
      </w:r>
      <w:r>
        <w:rPr>
          <w:rFonts w:hint="eastAsia" w:ascii="宋体" w:hAnsi="宋体"/>
          <w:color w:val="auto"/>
          <w:kern w:val="0"/>
          <w:sz w:val="24"/>
          <w:szCs w:val="24"/>
          <w:highlight w:val="none"/>
          <w:lang w:eastAsia="zh-CN"/>
        </w:rPr>
        <w:t>.</w:t>
      </w:r>
      <w:r>
        <w:rPr>
          <w:rFonts w:hint="eastAsia" w:ascii="宋体" w:hAnsi="宋体"/>
          <w:color w:val="auto"/>
          <w:kern w:val="0"/>
          <w:sz w:val="24"/>
          <w:szCs w:val="24"/>
          <w:highlight w:val="none"/>
        </w:rPr>
        <w:t xml:space="preserve"> 说明：应对照磋商文件“第三章 采购需求”中的商务要求逐条作出明确响应，并作出偏离说明。</w:t>
      </w:r>
    </w:p>
    <w:p w14:paraId="761F5490">
      <w:pPr>
        <w:pageBreakBefore w:val="0"/>
        <w:kinsoku/>
        <w:topLinePunct w:val="0"/>
        <w:bidi w:val="0"/>
        <w:spacing w:before="60" w:after="60" w:line="360" w:lineRule="auto"/>
        <w:contextualSpacing/>
        <w:jc w:val="left"/>
        <w:rPr>
          <w:rFonts w:ascii="宋体" w:hAnsi="宋体" w:cs="仿宋_GB2312"/>
          <w:color w:val="auto"/>
          <w:sz w:val="24"/>
          <w:highlight w:val="none"/>
          <w:u w:val="single"/>
        </w:rPr>
      </w:pPr>
      <w:r>
        <w:rPr>
          <w:rFonts w:hint="eastAsia" w:ascii="宋体" w:hAnsi="宋体"/>
          <w:color w:val="auto"/>
          <w:kern w:val="0"/>
          <w:sz w:val="24"/>
          <w:highlight w:val="none"/>
        </w:rPr>
        <w:t>2</w:t>
      </w:r>
      <w:r>
        <w:rPr>
          <w:rFonts w:hint="eastAsia" w:ascii="宋体" w:hAnsi="宋体"/>
          <w:color w:val="auto"/>
          <w:kern w:val="0"/>
          <w:sz w:val="24"/>
          <w:highlight w:val="none"/>
          <w:lang w:eastAsia="zh-CN"/>
        </w:rPr>
        <w:t>.</w:t>
      </w:r>
      <w:r>
        <w:rPr>
          <w:rFonts w:hint="eastAsia" w:ascii="宋体" w:hAnsi="宋体"/>
          <w:color w:val="auto"/>
          <w:kern w:val="0"/>
          <w:sz w:val="24"/>
          <w:highlight w:val="none"/>
        </w:rPr>
        <w:t>供应商应根据自身的承诺，对照磋商文件要求在“偏离说明”中注明“正偏离”、“负偏离”或者“无偏离”。既不属于“正偏离”也不属于“负偏离”即为“无偏离”。</w:t>
      </w:r>
    </w:p>
    <w:p w14:paraId="7FD0C541">
      <w:pPr>
        <w:pageBreakBefore w:val="0"/>
        <w:kinsoku/>
        <w:topLinePunct w:val="0"/>
        <w:bidi w:val="0"/>
        <w:spacing w:before="60" w:after="60" w:line="360" w:lineRule="auto"/>
        <w:ind w:right="-817" w:rightChars="-389"/>
        <w:contextualSpacing/>
        <w:rPr>
          <w:rFonts w:ascii="宋体" w:hAnsi="宋体" w:cs="仿宋_GB2312"/>
          <w:color w:val="auto"/>
          <w:sz w:val="24"/>
          <w:highlight w:val="none"/>
        </w:rPr>
      </w:pPr>
    </w:p>
    <w:p w14:paraId="28B6322A">
      <w:pPr>
        <w:pageBreakBefore w:val="0"/>
        <w:kinsoku/>
        <w:topLinePunct w:val="0"/>
        <w:bidi w:val="0"/>
        <w:spacing w:before="60" w:after="60" w:line="360" w:lineRule="auto"/>
        <w:ind w:right="-817" w:rightChars="-389"/>
        <w:contextualSpacing/>
        <w:jc w:val="center"/>
        <w:rPr>
          <w:rFonts w:ascii="宋体" w:hAnsi="宋体" w:cs="仿宋_GB2312"/>
          <w:color w:val="auto"/>
          <w:sz w:val="24"/>
          <w:highlight w:val="none"/>
        </w:rPr>
      </w:pPr>
      <w:r>
        <w:rPr>
          <w:rFonts w:hint="eastAsia" w:ascii="宋体" w:hAnsi="宋体" w:cs="仿宋_GB2312"/>
          <w:color w:val="auto"/>
          <w:sz w:val="24"/>
          <w:highlight w:val="none"/>
        </w:rPr>
        <w:t>法定代表人或者委托代理人（签字或者电子签名）：</w:t>
      </w:r>
    </w:p>
    <w:p w14:paraId="75D1C081">
      <w:pPr>
        <w:pageBreakBefore w:val="0"/>
        <w:kinsoku/>
        <w:topLinePunct w:val="0"/>
        <w:bidi w:val="0"/>
        <w:spacing w:before="60" w:after="60" w:line="360" w:lineRule="auto"/>
        <w:ind w:right="-817" w:rightChars="-389" w:firstLine="2640" w:firstLineChars="110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326595D7">
      <w:pPr>
        <w:pageBreakBefore w:val="0"/>
        <w:kinsoku/>
        <w:topLinePunct w:val="0"/>
        <w:bidi w:val="0"/>
        <w:spacing w:before="60" w:after="60" w:line="360" w:lineRule="auto"/>
        <w:ind w:right="-817" w:rightChars="-389" w:firstLine="4320" w:firstLineChars="1800"/>
        <w:contextualSpacing/>
        <w:rPr>
          <w:rFonts w:ascii="仿宋_GB2312" w:hAnsi="仿宋_GB2312" w:eastAsia="仿宋_GB2312" w:cs="仿宋_GB2312"/>
          <w:b/>
          <w:color w:val="auto"/>
          <w:sz w:val="32"/>
          <w:szCs w:val="32"/>
          <w:highlight w:val="none"/>
        </w:rPr>
      </w:pPr>
      <w:r>
        <w:rPr>
          <w:rFonts w:hint="eastAsia" w:ascii="宋体" w:hAnsi="宋体" w:cs="仿宋_GB2312"/>
          <w:color w:val="auto"/>
          <w:sz w:val="24"/>
          <w:highlight w:val="none"/>
        </w:rPr>
        <w:t>日期：   年   月   日</w:t>
      </w:r>
    </w:p>
    <w:p w14:paraId="26A8463F">
      <w:pPr>
        <w:pageBreakBefore w:val="0"/>
        <w:kinsoku/>
        <w:topLinePunct w:val="0"/>
        <w:bidi w:val="0"/>
        <w:adjustRightInd w:val="0"/>
        <w:snapToGrid w:val="0"/>
        <w:spacing w:before="60" w:after="60" w:line="360" w:lineRule="auto"/>
        <w:ind w:firstLine="7040" w:firstLineChars="1600"/>
        <w:jc w:val="center"/>
        <w:rPr>
          <w:rFonts w:ascii="方正小标宋简体" w:hAnsi="方正小标宋简体" w:eastAsia="方正小标宋简体" w:cs="方正小标宋简体"/>
          <w:bCs/>
          <w:color w:val="auto"/>
          <w:sz w:val="44"/>
          <w:szCs w:val="44"/>
          <w:highlight w:val="none"/>
        </w:rPr>
      </w:pPr>
    </w:p>
    <w:p w14:paraId="293D510C">
      <w:pPr>
        <w:pageBreakBefore w:val="0"/>
        <w:kinsoku/>
        <w:topLinePunct w:val="0"/>
        <w:bidi w:val="0"/>
        <w:adjustRightInd w:val="0"/>
        <w:snapToGrid w:val="0"/>
        <w:spacing w:before="60" w:after="60" w:line="360" w:lineRule="auto"/>
        <w:ind w:firstLine="7040" w:firstLineChars="1600"/>
        <w:jc w:val="center"/>
        <w:rPr>
          <w:rFonts w:ascii="方正小标宋简体" w:hAnsi="方正小标宋简体" w:eastAsia="方正小标宋简体" w:cs="方正小标宋简体"/>
          <w:bCs/>
          <w:color w:val="auto"/>
          <w:sz w:val="44"/>
          <w:szCs w:val="44"/>
          <w:highlight w:val="none"/>
        </w:rPr>
      </w:pPr>
    </w:p>
    <w:p w14:paraId="64E3F016">
      <w:pPr>
        <w:pageBreakBefore w:val="0"/>
        <w:kinsoku/>
        <w:topLinePunct w:val="0"/>
        <w:bidi w:val="0"/>
        <w:adjustRightInd/>
        <w:snapToGrid/>
        <w:spacing w:before="0" w:after="0" w:line="240" w:lineRule="auto"/>
        <w:jc w:val="left"/>
        <w:rPr>
          <w:rFonts w:ascii="方正小标宋简体" w:hAnsi="方正小标宋简体" w:eastAsia="方正小标宋简体" w:cs="方正小标宋简体"/>
          <w:bCs/>
          <w:color w:val="auto"/>
          <w:sz w:val="44"/>
          <w:szCs w:val="44"/>
          <w:highlight w:val="none"/>
        </w:rPr>
      </w:pPr>
      <w:r>
        <w:rPr>
          <w:rFonts w:ascii="方正小标宋简体" w:hAnsi="方正小标宋简体" w:eastAsia="方正小标宋简体" w:cs="方正小标宋简体"/>
          <w:bCs/>
          <w:color w:val="auto"/>
          <w:sz w:val="44"/>
          <w:szCs w:val="44"/>
          <w:highlight w:val="none"/>
        </w:rPr>
        <w:br w:type="page"/>
      </w:r>
    </w:p>
    <w:p w14:paraId="63BF9EF6">
      <w:pPr>
        <w:pageBreakBefore w:val="0"/>
        <w:kinsoku/>
        <w:topLinePunct w:val="0"/>
        <w:bidi w:val="0"/>
        <w:adjustRightInd w:val="0"/>
        <w:snapToGrid w:val="0"/>
        <w:spacing w:before="60" w:after="60" w:line="360" w:lineRule="auto"/>
        <w:jc w:val="center"/>
        <w:rPr>
          <w:rFonts w:cs="方正小标宋简体" w:asciiTheme="minorEastAsia" w:hAnsiTheme="minorEastAsia" w:eastAsiaTheme="minorEastAsia"/>
          <w:bCs/>
          <w:color w:val="auto"/>
          <w:sz w:val="44"/>
          <w:szCs w:val="44"/>
          <w:highlight w:val="none"/>
        </w:rPr>
      </w:pPr>
      <w:r>
        <w:rPr>
          <w:rFonts w:hint="eastAsia" w:cs="方正小标宋简体" w:asciiTheme="minorEastAsia" w:hAnsiTheme="minorEastAsia" w:eastAsiaTheme="minorEastAsia"/>
          <w:bCs/>
          <w:color w:val="auto"/>
          <w:sz w:val="36"/>
          <w:szCs w:val="36"/>
          <w:highlight w:val="none"/>
        </w:rPr>
        <w:t>技术要求偏离表</w:t>
      </w:r>
    </w:p>
    <w:p w14:paraId="1C7A2A95">
      <w:pPr>
        <w:pageBreakBefore w:val="0"/>
        <w:kinsoku/>
        <w:topLinePunct w:val="0"/>
        <w:bidi w:val="0"/>
        <w:spacing w:before="60" w:after="60" w:line="360" w:lineRule="auto"/>
        <w:rPr>
          <w:rFonts w:ascii="仿宋_GB2312" w:hAnsi="仿宋_GB2312" w:eastAsia="仿宋_GB2312" w:cs="仿宋_GB2312"/>
          <w:color w:val="auto"/>
          <w:sz w:val="32"/>
          <w:szCs w:val="32"/>
          <w:highlight w:val="none"/>
        </w:rPr>
      </w:pPr>
    </w:p>
    <w:p w14:paraId="69FF09EC">
      <w:pPr>
        <w:pageBreakBefore w:val="0"/>
        <w:kinsoku/>
        <w:topLinePunct w:val="0"/>
        <w:bidi w:val="0"/>
        <w:spacing w:before="60" w:after="60" w:line="360" w:lineRule="auto"/>
        <w:contextualSpacing/>
        <w:rPr>
          <w:rFonts w:ascii="宋体" w:hAnsi="宋体" w:cs="仿宋_GB2312"/>
          <w:color w:val="auto"/>
          <w:sz w:val="24"/>
          <w:highlight w:val="none"/>
          <w:u w:val="single"/>
        </w:rPr>
      </w:pPr>
      <w:r>
        <w:rPr>
          <w:rFonts w:hint="eastAsia" w:ascii="宋体" w:hAnsi="宋体" w:cs="仿宋_GB2312"/>
          <w:color w:val="auto"/>
          <w:sz w:val="24"/>
          <w:highlight w:val="none"/>
        </w:rPr>
        <w:t>采购项目编号：</w:t>
      </w:r>
    </w:p>
    <w:p w14:paraId="07777EAA">
      <w:pPr>
        <w:pageBreakBefore w:val="0"/>
        <w:kinsoku/>
        <w:topLinePunct w:val="0"/>
        <w:bidi w:val="0"/>
        <w:spacing w:before="60" w:after="60"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采购项目名称：</w:t>
      </w:r>
    </w:p>
    <w:p w14:paraId="6E65128A">
      <w:pPr>
        <w:pageBreakBefore w:val="0"/>
        <w:kinsoku/>
        <w:topLinePunct w:val="0"/>
        <w:bidi w:val="0"/>
        <w:spacing w:before="60" w:after="60" w:line="360" w:lineRule="auto"/>
        <w:contextualSpacing/>
        <w:rPr>
          <w:rFonts w:ascii="宋体" w:hAnsi="宋体" w:cs="仿宋_GB2312"/>
          <w:color w:val="auto"/>
          <w:sz w:val="24"/>
          <w:highlight w:val="none"/>
          <w:u w:val="single"/>
        </w:rPr>
      </w:pPr>
      <w:r>
        <w:rPr>
          <w:rFonts w:hint="eastAsia" w:ascii="宋体" w:hAnsi="宋体" w:cs="仿宋_GB2312"/>
          <w:color w:val="auto"/>
          <w:sz w:val="24"/>
          <w:highlight w:val="none"/>
        </w:rPr>
        <w:t>分标号：</w:t>
      </w:r>
    </w:p>
    <w:tbl>
      <w:tblPr>
        <w:tblStyle w:val="31"/>
        <w:tblW w:w="909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16"/>
        <w:gridCol w:w="915"/>
        <w:gridCol w:w="3038"/>
        <w:gridCol w:w="2734"/>
        <w:gridCol w:w="1492"/>
      </w:tblGrid>
      <w:tr w14:paraId="3AC12FA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14:paraId="50D572B3">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bookmarkStart w:id="91" w:name="_Toc254970588"/>
            <w:bookmarkStart w:id="92" w:name="_Toc173066401"/>
            <w:bookmarkStart w:id="93" w:name="_Toc173211900"/>
            <w:bookmarkStart w:id="94" w:name="_Toc254970729"/>
            <w:bookmarkStart w:id="95" w:name="_Toc383699906"/>
            <w:bookmarkStart w:id="96" w:name="_Toc295404981"/>
            <w:bookmarkStart w:id="97" w:name="_Toc373333689"/>
            <w:bookmarkStart w:id="98" w:name="_Toc297193185"/>
            <w:bookmarkStart w:id="99" w:name="_Toc301781611"/>
            <w:r>
              <w:rPr>
                <w:rFonts w:hint="eastAsia" w:ascii="宋体" w:hAnsi="宋体" w:eastAsia="宋体" w:cs="仿宋_GB2312"/>
                <w:color w:val="auto"/>
                <w:kern w:val="2"/>
                <w:sz w:val="24"/>
                <w:szCs w:val="24"/>
                <w:highlight w:val="none"/>
              </w:rPr>
              <w:t>序号</w:t>
            </w:r>
            <w:bookmarkEnd w:id="91"/>
            <w:bookmarkEnd w:id="92"/>
            <w:bookmarkEnd w:id="93"/>
            <w:bookmarkEnd w:id="94"/>
            <w:bookmarkEnd w:id="95"/>
            <w:bookmarkEnd w:id="96"/>
            <w:bookmarkEnd w:id="97"/>
            <w:bookmarkEnd w:id="98"/>
            <w:bookmarkEnd w:id="99"/>
          </w:p>
        </w:tc>
        <w:tc>
          <w:tcPr>
            <w:tcW w:w="915" w:type="dxa"/>
            <w:tcBorders>
              <w:right w:val="single" w:color="auto" w:sz="4" w:space="0"/>
            </w:tcBorders>
            <w:vAlign w:val="center"/>
          </w:tcPr>
          <w:p w14:paraId="7C289B98">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rPr>
              <w:t>名称</w:t>
            </w:r>
          </w:p>
        </w:tc>
        <w:tc>
          <w:tcPr>
            <w:tcW w:w="3038" w:type="dxa"/>
            <w:tcBorders>
              <w:left w:val="single" w:color="auto" w:sz="4" w:space="0"/>
            </w:tcBorders>
            <w:vAlign w:val="center"/>
          </w:tcPr>
          <w:p w14:paraId="6C512EF4">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rPr>
              <w:t>磋商文件技术要求</w:t>
            </w:r>
          </w:p>
        </w:tc>
        <w:tc>
          <w:tcPr>
            <w:tcW w:w="2734" w:type="dxa"/>
            <w:vAlign w:val="center"/>
          </w:tcPr>
          <w:p w14:paraId="71937011">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bookmarkStart w:id="100" w:name="_Toc254970590"/>
            <w:bookmarkStart w:id="101" w:name="_Toc383699908"/>
            <w:bookmarkStart w:id="102" w:name="_Toc254970731"/>
            <w:bookmarkStart w:id="103" w:name="_Toc373333691"/>
            <w:bookmarkStart w:id="104" w:name="_Toc301781613"/>
            <w:bookmarkStart w:id="105" w:name="_Toc295404983"/>
            <w:bookmarkStart w:id="106" w:name="_Toc297193187"/>
            <w:bookmarkStart w:id="107" w:name="_Toc173211902"/>
            <w:bookmarkStart w:id="108" w:name="_Toc173066403"/>
            <w:r>
              <w:rPr>
                <w:rFonts w:hint="eastAsia" w:ascii="宋体" w:hAnsi="宋体" w:eastAsia="宋体" w:cs="仿宋_GB2312"/>
                <w:color w:val="auto"/>
                <w:kern w:val="2"/>
                <w:sz w:val="24"/>
                <w:szCs w:val="24"/>
                <w:highlight w:val="none"/>
              </w:rPr>
              <w:t>竞标响应</w:t>
            </w:r>
            <w:bookmarkEnd w:id="100"/>
            <w:bookmarkEnd w:id="101"/>
            <w:bookmarkEnd w:id="102"/>
            <w:bookmarkEnd w:id="103"/>
            <w:bookmarkEnd w:id="104"/>
            <w:bookmarkEnd w:id="105"/>
            <w:bookmarkEnd w:id="106"/>
            <w:bookmarkEnd w:id="107"/>
            <w:bookmarkEnd w:id="108"/>
          </w:p>
        </w:tc>
        <w:tc>
          <w:tcPr>
            <w:tcW w:w="1492" w:type="dxa"/>
            <w:vAlign w:val="center"/>
          </w:tcPr>
          <w:p w14:paraId="281C4206">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bookmarkStart w:id="109" w:name="_Toc254970591"/>
            <w:bookmarkStart w:id="110" w:name="_Toc373333692"/>
            <w:bookmarkStart w:id="111" w:name="_Toc254970732"/>
            <w:bookmarkStart w:id="112" w:name="_Toc173066404"/>
            <w:bookmarkStart w:id="113" w:name="_Toc383699909"/>
            <w:bookmarkStart w:id="114" w:name="_Toc295404984"/>
            <w:bookmarkStart w:id="115" w:name="_Toc297193188"/>
            <w:bookmarkStart w:id="116" w:name="_Toc301781614"/>
            <w:bookmarkStart w:id="117" w:name="_Toc173211903"/>
            <w:r>
              <w:rPr>
                <w:rFonts w:hint="eastAsia" w:ascii="宋体" w:hAnsi="宋体" w:eastAsia="宋体" w:cs="仿宋_GB2312"/>
                <w:color w:val="auto"/>
                <w:kern w:val="2"/>
                <w:sz w:val="24"/>
                <w:szCs w:val="24"/>
                <w:highlight w:val="none"/>
              </w:rPr>
              <w:t>偏离</w:t>
            </w:r>
            <w:bookmarkEnd w:id="109"/>
            <w:bookmarkEnd w:id="110"/>
            <w:bookmarkEnd w:id="111"/>
            <w:bookmarkEnd w:id="112"/>
            <w:bookmarkEnd w:id="113"/>
            <w:bookmarkEnd w:id="114"/>
            <w:bookmarkEnd w:id="115"/>
            <w:bookmarkEnd w:id="116"/>
            <w:bookmarkEnd w:id="117"/>
            <w:bookmarkStart w:id="118" w:name="_Toc295404985"/>
            <w:bookmarkStart w:id="119" w:name="_Toc173211904"/>
            <w:bookmarkStart w:id="120" w:name="_Toc297193189"/>
            <w:bookmarkStart w:id="121" w:name="_Toc173066405"/>
            <w:bookmarkStart w:id="122" w:name="_Toc254970733"/>
            <w:bookmarkStart w:id="123" w:name="_Toc373333693"/>
            <w:bookmarkStart w:id="124" w:name="_Toc254970592"/>
            <w:bookmarkStart w:id="125" w:name="_Toc301781615"/>
            <w:bookmarkStart w:id="126" w:name="_Toc383699910"/>
            <w:r>
              <w:rPr>
                <w:rFonts w:hint="eastAsia" w:ascii="宋体" w:hAnsi="宋体" w:eastAsia="宋体" w:cs="仿宋_GB2312"/>
                <w:color w:val="auto"/>
                <w:kern w:val="2"/>
                <w:sz w:val="24"/>
                <w:szCs w:val="24"/>
                <w:highlight w:val="none"/>
              </w:rPr>
              <w:t>说明</w:t>
            </w:r>
            <w:bookmarkEnd w:id="118"/>
            <w:bookmarkEnd w:id="119"/>
            <w:bookmarkEnd w:id="120"/>
            <w:bookmarkEnd w:id="121"/>
            <w:bookmarkEnd w:id="122"/>
            <w:bookmarkEnd w:id="123"/>
            <w:bookmarkEnd w:id="124"/>
            <w:bookmarkEnd w:id="125"/>
            <w:bookmarkEnd w:id="126"/>
          </w:p>
        </w:tc>
      </w:tr>
      <w:tr w14:paraId="43C75F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14:paraId="701454B8">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bookmarkStart w:id="127" w:name="_Toc173066406"/>
            <w:bookmarkStart w:id="128" w:name="_Toc254970734"/>
            <w:bookmarkStart w:id="129" w:name="_Toc295404986"/>
            <w:bookmarkStart w:id="130" w:name="_Toc297193190"/>
            <w:bookmarkStart w:id="131" w:name="_Toc373333694"/>
            <w:bookmarkStart w:id="132" w:name="_Toc383699911"/>
            <w:bookmarkStart w:id="133" w:name="_Toc173211905"/>
            <w:bookmarkStart w:id="134" w:name="_Toc301781616"/>
            <w:bookmarkStart w:id="135" w:name="_Toc254970593"/>
            <w:r>
              <w:rPr>
                <w:rFonts w:hint="eastAsia" w:ascii="宋体" w:hAnsi="宋体" w:eastAsia="宋体" w:cs="仿宋_GB2312"/>
                <w:color w:val="auto"/>
                <w:kern w:val="2"/>
                <w:sz w:val="24"/>
                <w:szCs w:val="24"/>
                <w:highlight w:val="none"/>
              </w:rPr>
              <w:t>1</w:t>
            </w:r>
            <w:bookmarkEnd w:id="127"/>
            <w:bookmarkEnd w:id="128"/>
            <w:bookmarkEnd w:id="129"/>
            <w:bookmarkEnd w:id="130"/>
            <w:bookmarkEnd w:id="131"/>
            <w:bookmarkEnd w:id="132"/>
            <w:bookmarkEnd w:id="133"/>
            <w:bookmarkEnd w:id="134"/>
            <w:bookmarkEnd w:id="135"/>
          </w:p>
        </w:tc>
        <w:tc>
          <w:tcPr>
            <w:tcW w:w="915" w:type="dxa"/>
            <w:tcBorders>
              <w:right w:val="single" w:color="auto" w:sz="4" w:space="0"/>
            </w:tcBorders>
            <w:vAlign w:val="center"/>
          </w:tcPr>
          <w:p w14:paraId="4CA6327F">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3038" w:type="dxa"/>
            <w:tcBorders>
              <w:left w:val="single" w:color="auto" w:sz="4" w:space="0"/>
            </w:tcBorders>
            <w:vAlign w:val="center"/>
          </w:tcPr>
          <w:p w14:paraId="7A27BC19">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2734" w:type="dxa"/>
            <w:vAlign w:val="center"/>
          </w:tcPr>
          <w:p w14:paraId="272A062E">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1492" w:type="dxa"/>
            <w:vAlign w:val="center"/>
          </w:tcPr>
          <w:p w14:paraId="2D59C6B8">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r>
      <w:tr w14:paraId="3CDD16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14:paraId="7EF8956E">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bookmarkStart w:id="136" w:name="_Toc301781617"/>
            <w:bookmarkStart w:id="137" w:name="_Toc373333695"/>
            <w:bookmarkStart w:id="138" w:name="_Toc173066407"/>
            <w:bookmarkStart w:id="139" w:name="_Toc173211906"/>
            <w:bookmarkStart w:id="140" w:name="_Toc297193191"/>
            <w:bookmarkStart w:id="141" w:name="_Toc254970735"/>
            <w:bookmarkStart w:id="142" w:name="_Toc383699912"/>
            <w:bookmarkStart w:id="143" w:name="_Toc295404987"/>
            <w:bookmarkStart w:id="144" w:name="_Toc254970594"/>
            <w:r>
              <w:rPr>
                <w:rFonts w:hint="eastAsia" w:ascii="宋体" w:hAnsi="宋体" w:eastAsia="宋体" w:cs="仿宋_GB2312"/>
                <w:color w:val="auto"/>
                <w:kern w:val="2"/>
                <w:sz w:val="24"/>
                <w:szCs w:val="24"/>
                <w:highlight w:val="none"/>
              </w:rPr>
              <w:t>2</w:t>
            </w:r>
            <w:bookmarkEnd w:id="136"/>
            <w:bookmarkEnd w:id="137"/>
            <w:bookmarkEnd w:id="138"/>
            <w:bookmarkEnd w:id="139"/>
            <w:bookmarkEnd w:id="140"/>
            <w:bookmarkEnd w:id="141"/>
            <w:bookmarkEnd w:id="142"/>
            <w:bookmarkEnd w:id="143"/>
            <w:bookmarkEnd w:id="144"/>
          </w:p>
        </w:tc>
        <w:tc>
          <w:tcPr>
            <w:tcW w:w="915" w:type="dxa"/>
            <w:tcBorders>
              <w:right w:val="single" w:color="auto" w:sz="4" w:space="0"/>
            </w:tcBorders>
            <w:vAlign w:val="center"/>
          </w:tcPr>
          <w:p w14:paraId="787A31BB">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3038" w:type="dxa"/>
            <w:tcBorders>
              <w:left w:val="single" w:color="auto" w:sz="4" w:space="0"/>
            </w:tcBorders>
            <w:vAlign w:val="center"/>
          </w:tcPr>
          <w:p w14:paraId="33CF3905">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2734" w:type="dxa"/>
            <w:vAlign w:val="center"/>
          </w:tcPr>
          <w:p w14:paraId="640AC30E">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1492" w:type="dxa"/>
            <w:vAlign w:val="center"/>
          </w:tcPr>
          <w:p w14:paraId="07155BD1">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r>
      <w:tr w14:paraId="043A6B5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14:paraId="0D975768">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bookmarkStart w:id="145" w:name="_Toc173066408"/>
            <w:bookmarkStart w:id="146" w:name="_Toc383699913"/>
            <w:bookmarkStart w:id="147" w:name="_Toc297193192"/>
            <w:bookmarkStart w:id="148" w:name="_Toc373333696"/>
            <w:bookmarkStart w:id="149" w:name="_Toc254970736"/>
            <w:bookmarkStart w:id="150" w:name="_Toc254970595"/>
            <w:bookmarkStart w:id="151" w:name="_Toc301781618"/>
            <w:bookmarkStart w:id="152" w:name="_Toc295404988"/>
            <w:bookmarkStart w:id="153" w:name="_Toc173211907"/>
            <w:r>
              <w:rPr>
                <w:rFonts w:hint="eastAsia" w:ascii="宋体" w:hAnsi="宋体" w:eastAsia="宋体" w:cs="仿宋_GB2312"/>
                <w:color w:val="auto"/>
                <w:kern w:val="2"/>
                <w:sz w:val="24"/>
                <w:szCs w:val="24"/>
                <w:highlight w:val="none"/>
              </w:rPr>
              <w:t>3</w:t>
            </w:r>
            <w:bookmarkEnd w:id="145"/>
            <w:bookmarkEnd w:id="146"/>
            <w:bookmarkEnd w:id="147"/>
            <w:bookmarkEnd w:id="148"/>
            <w:bookmarkEnd w:id="149"/>
            <w:bookmarkEnd w:id="150"/>
            <w:bookmarkEnd w:id="151"/>
            <w:bookmarkEnd w:id="152"/>
            <w:bookmarkEnd w:id="153"/>
          </w:p>
        </w:tc>
        <w:tc>
          <w:tcPr>
            <w:tcW w:w="915" w:type="dxa"/>
            <w:tcBorders>
              <w:right w:val="single" w:color="auto" w:sz="4" w:space="0"/>
            </w:tcBorders>
            <w:vAlign w:val="center"/>
          </w:tcPr>
          <w:p w14:paraId="216FE925">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3038" w:type="dxa"/>
            <w:tcBorders>
              <w:left w:val="single" w:color="auto" w:sz="4" w:space="0"/>
            </w:tcBorders>
            <w:vAlign w:val="center"/>
          </w:tcPr>
          <w:p w14:paraId="369F769B">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2734" w:type="dxa"/>
            <w:vAlign w:val="center"/>
          </w:tcPr>
          <w:p w14:paraId="2D8B2F6A">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1492" w:type="dxa"/>
            <w:vAlign w:val="center"/>
          </w:tcPr>
          <w:p w14:paraId="50D226C7">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r>
      <w:tr w14:paraId="2F3160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14:paraId="2FE790F9">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bookmarkStart w:id="154" w:name="_Toc254970737"/>
            <w:bookmarkStart w:id="155" w:name="_Toc373333697"/>
            <w:bookmarkStart w:id="156" w:name="_Toc297193193"/>
            <w:bookmarkStart w:id="157" w:name="_Toc173211908"/>
            <w:bookmarkStart w:id="158" w:name="_Toc383699914"/>
            <w:bookmarkStart w:id="159" w:name="_Toc301781619"/>
            <w:bookmarkStart w:id="160" w:name="_Toc173066409"/>
            <w:bookmarkStart w:id="161" w:name="_Toc295404989"/>
            <w:bookmarkStart w:id="162" w:name="_Toc254970596"/>
            <w:r>
              <w:rPr>
                <w:rFonts w:hint="eastAsia" w:ascii="宋体" w:hAnsi="宋体" w:eastAsia="宋体" w:cs="仿宋_GB2312"/>
                <w:color w:val="auto"/>
                <w:kern w:val="2"/>
                <w:sz w:val="24"/>
                <w:szCs w:val="24"/>
                <w:highlight w:val="none"/>
              </w:rPr>
              <w:t>4</w:t>
            </w:r>
            <w:bookmarkEnd w:id="154"/>
            <w:bookmarkEnd w:id="155"/>
            <w:bookmarkEnd w:id="156"/>
            <w:bookmarkEnd w:id="157"/>
            <w:bookmarkEnd w:id="158"/>
            <w:bookmarkEnd w:id="159"/>
            <w:bookmarkEnd w:id="160"/>
            <w:bookmarkEnd w:id="161"/>
            <w:bookmarkEnd w:id="162"/>
          </w:p>
        </w:tc>
        <w:tc>
          <w:tcPr>
            <w:tcW w:w="915" w:type="dxa"/>
            <w:tcBorders>
              <w:right w:val="single" w:color="auto" w:sz="4" w:space="0"/>
            </w:tcBorders>
            <w:vAlign w:val="center"/>
          </w:tcPr>
          <w:p w14:paraId="7CDF3978">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3038" w:type="dxa"/>
            <w:tcBorders>
              <w:left w:val="single" w:color="auto" w:sz="4" w:space="0"/>
            </w:tcBorders>
            <w:vAlign w:val="center"/>
          </w:tcPr>
          <w:p w14:paraId="561B17AD">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2734" w:type="dxa"/>
            <w:vAlign w:val="center"/>
          </w:tcPr>
          <w:p w14:paraId="1115A037">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1492" w:type="dxa"/>
            <w:vAlign w:val="center"/>
          </w:tcPr>
          <w:p w14:paraId="5BD2BC50">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r>
      <w:tr w14:paraId="579EAC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14:paraId="633750E1">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bookmarkStart w:id="163" w:name="_Toc254970597"/>
            <w:bookmarkStart w:id="164" w:name="_Toc297193194"/>
            <w:bookmarkStart w:id="165" w:name="_Toc295404990"/>
            <w:bookmarkStart w:id="166" w:name="_Toc173066410"/>
            <w:bookmarkStart w:id="167" w:name="_Toc254970738"/>
            <w:bookmarkStart w:id="168" w:name="_Toc173211909"/>
            <w:bookmarkStart w:id="169" w:name="_Toc383699915"/>
            <w:bookmarkStart w:id="170" w:name="_Toc373333698"/>
            <w:bookmarkStart w:id="171" w:name="_Toc301781620"/>
            <w:r>
              <w:rPr>
                <w:rFonts w:hint="eastAsia" w:ascii="宋体" w:hAnsi="宋体" w:eastAsia="宋体" w:cs="仿宋_GB2312"/>
                <w:color w:val="auto"/>
                <w:kern w:val="2"/>
                <w:sz w:val="24"/>
                <w:szCs w:val="24"/>
                <w:highlight w:val="none"/>
              </w:rPr>
              <w:t>5</w:t>
            </w:r>
            <w:bookmarkEnd w:id="163"/>
            <w:bookmarkEnd w:id="164"/>
            <w:bookmarkEnd w:id="165"/>
            <w:bookmarkEnd w:id="166"/>
            <w:bookmarkEnd w:id="167"/>
            <w:bookmarkEnd w:id="168"/>
            <w:bookmarkEnd w:id="169"/>
            <w:bookmarkEnd w:id="170"/>
            <w:bookmarkEnd w:id="171"/>
          </w:p>
        </w:tc>
        <w:tc>
          <w:tcPr>
            <w:tcW w:w="915" w:type="dxa"/>
            <w:tcBorders>
              <w:right w:val="single" w:color="auto" w:sz="4" w:space="0"/>
            </w:tcBorders>
            <w:vAlign w:val="center"/>
          </w:tcPr>
          <w:p w14:paraId="34260255">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3038" w:type="dxa"/>
            <w:tcBorders>
              <w:left w:val="single" w:color="auto" w:sz="4" w:space="0"/>
            </w:tcBorders>
            <w:vAlign w:val="center"/>
          </w:tcPr>
          <w:p w14:paraId="2D5AB327">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2734" w:type="dxa"/>
            <w:vAlign w:val="center"/>
          </w:tcPr>
          <w:p w14:paraId="2D6184B6">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1492" w:type="dxa"/>
            <w:vAlign w:val="center"/>
          </w:tcPr>
          <w:p w14:paraId="0B34358A">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r>
      <w:tr w14:paraId="40A80A1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6" w:type="dxa"/>
            <w:vAlign w:val="center"/>
          </w:tcPr>
          <w:p w14:paraId="0A68D58F">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bookmarkStart w:id="172" w:name="_Toc295404991"/>
            <w:bookmarkStart w:id="173" w:name="_Toc297193195"/>
            <w:bookmarkStart w:id="174" w:name="_Toc383699916"/>
            <w:bookmarkStart w:id="175" w:name="_Toc254970602"/>
            <w:bookmarkStart w:id="176" w:name="_Toc301781621"/>
            <w:bookmarkStart w:id="177" w:name="_Toc373333699"/>
            <w:bookmarkStart w:id="178" w:name="_Toc254970743"/>
            <w:bookmarkStart w:id="179" w:name="_Toc173066415"/>
            <w:bookmarkStart w:id="180" w:name="_Toc173211914"/>
            <w:r>
              <w:rPr>
                <w:rFonts w:hint="eastAsia" w:ascii="宋体" w:hAnsi="宋体" w:eastAsia="宋体" w:cs="仿宋_GB2312"/>
                <w:color w:val="auto"/>
                <w:kern w:val="2"/>
                <w:sz w:val="24"/>
                <w:szCs w:val="24"/>
                <w:highlight w:val="none"/>
              </w:rPr>
              <w:t>…</w:t>
            </w:r>
            <w:bookmarkEnd w:id="172"/>
            <w:bookmarkEnd w:id="173"/>
            <w:bookmarkEnd w:id="174"/>
            <w:bookmarkEnd w:id="175"/>
            <w:bookmarkEnd w:id="176"/>
            <w:bookmarkEnd w:id="177"/>
            <w:bookmarkEnd w:id="178"/>
            <w:bookmarkEnd w:id="179"/>
            <w:bookmarkEnd w:id="180"/>
          </w:p>
        </w:tc>
        <w:tc>
          <w:tcPr>
            <w:tcW w:w="915" w:type="dxa"/>
            <w:tcBorders>
              <w:right w:val="single" w:color="auto" w:sz="4" w:space="0"/>
            </w:tcBorders>
            <w:vAlign w:val="center"/>
          </w:tcPr>
          <w:p w14:paraId="19F87F74">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3038" w:type="dxa"/>
            <w:tcBorders>
              <w:left w:val="single" w:color="auto" w:sz="4" w:space="0"/>
            </w:tcBorders>
            <w:vAlign w:val="center"/>
          </w:tcPr>
          <w:p w14:paraId="03B7B232">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2734" w:type="dxa"/>
            <w:vAlign w:val="center"/>
          </w:tcPr>
          <w:p w14:paraId="4C179FBC">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c>
          <w:tcPr>
            <w:tcW w:w="1492" w:type="dxa"/>
            <w:tcBorders>
              <w:right w:val="single" w:color="auto" w:sz="4" w:space="0"/>
            </w:tcBorders>
            <w:vAlign w:val="center"/>
          </w:tcPr>
          <w:p w14:paraId="47DBED43">
            <w:pPr>
              <w:pStyle w:val="14"/>
              <w:keepNext w:val="0"/>
              <w:keepLines w:val="0"/>
              <w:pageBreakBefore w:val="0"/>
              <w:suppressLineNumbers w:val="0"/>
              <w:kinsoku/>
              <w:topLinePunct w:val="0"/>
              <w:bidi w:val="0"/>
              <w:spacing w:before="60" w:beforeAutospacing="0" w:after="60" w:afterAutospacing="0" w:line="360" w:lineRule="auto"/>
              <w:ind w:left="0" w:right="0" w:firstLine="0" w:firstLineChars="0"/>
              <w:contextualSpacing/>
              <w:jc w:val="center"/>
              <w:rPr>
                <w:rFonts w:hint="default" w:ascii="宋体" w:hAnsi="宋体" w:eastAsia="宋体" w:cs="仿宋_GB2312"/>
                <w:color w:val="auto"/>
                <w:kern w:val="2"/>
                <w:sz w:val="24"/>
                <w:szCs w:val="24"/>
                <w:highlight w:val="none"/>
              </w:rPr>
            </w:pPr>
          </w:p>
        </w:tc>
      </w:tr>
    </w:tbl>
    <w:p w14:paraId="787A0C8A">
      <w:pPr>
        <w:pageBreakBefore w:val="0"/>
        <w:kinsoku/>
        <w:topLinePunct w:val="0"/>
        <w:bidi w:val="0"/>
        <w:adjustRightInd w:val="0"/>
        <w:spacing w:before="60" w:after="60" w:line="360" w:lineRule="auto"/>
        <w:contextualSpacing/>
        <w:rPr>
          <w:rFonts w:ascii="宋体" w:hAnsi="宋体" w:cs="仿宋_GB2312"/>
          <w:color w:val="auto"/>
          <w:sz w:val="24"/>
          <w:highlight w:val="none"/>
        </w:rPr>
      </w:pPr>
    </w:p>
    <w:p w14:paraId="58D88AFF">
      <w:pPr>
        <w:pStyle w:val="14"/>
        <w:pageBreakBefore w:val="0"/>
        <w:kinsoku/>
        <w:topLinePunct w:val="0"/>
        <w:bidi w:val="0"/>
        <w:spacing w:before="60" w:after="60" w:line="360" w:lineRule="auto"/>
        <w:ind w:firstLine="0" w:firstLineChars="0"/>
        <w:contextualSpacing/>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注：</w:t>
      </w:r>
    </w:p>
    <w:p w14:paraId="1FD4C788">
      <w:pPr>
        <w:pStyle w:val="14"/>
        <w:pageBreakBefore w:val="0"/>
        <w:kinsoku/>
        <w:topLinePunct w:val="0"/>
        <w:bidi w:val="0"/>
        <w:spacing w:before="60" w:after="60" w:line="360" w:lineRule="auto"/>
        <w:ind w:firstLine="0" w:firstLineChars="0"/>
        <w:contextualSpacing/>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w:t>
      </w:r>
      <w:r>
        <w:rPr>
          <w:rFonts w:hint="eastAsia" w:ascii="宋体" w:hAnsi="宋体" w:eastAsia="宋体" w:cs="仿宋_GB2312"/>
          <w:color w:val="auto"/>
          <w:sz w:val="24"/>
          <w:szCs w:val="24"/>
          <w:highlight w:val="none"/>
          <w:lang w:eastAsia="zh-CN"/>
        </w:rPr>
        <w:t>.</w:t>
      </w:r>
      <w:r>
        <w:rPr>
          <w:rFonts w:hint="eastAsia" w:ascii="宋体" w:hAnsi="宋体" w:eastAsia="宋体" w:cs="仿宋_GB2312"/>
          <w:color w:val="auto"/>
          <w:sz w:val="24"/>
          <w:szCs w:val="24"/>
          <w:highlight w:val="none"/>
        </w:rPr>
        <w:t xml:space="preserve"> 说明：应对照磋商文件“第三章 采购需求”中的技术要求（包括附件）逐条作出明确响应，并作出偏离说明。</w:t>
      </w:r>
    </w:p>
    <w:p w14:paraId="102D4668">
      <w:pPr>
        <w:pStyle w:val="14"/>
        <w:pageBreakBefore w:val="0"/>
        <w:kinsoku/>
        <w:topLinePunct w:val="0"/>
        <w:bidi w:val="0"/>
        <w:spacing w:before="60" w:after="60" w:line="360" w:lineRule="auto"/>
        <w:ind w:firstLine="0" w:firstLineChars="0"/>
        <w:contextualSpacing/>
        <w:rPr>
          <w:rFonts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w:t>
      </w:r>
      <w:r>
        <w:rPr>
          <w:rFonts w:hint="eastAsia" w:ascii="宋体" w:hAnsi="宋体" w:eastAsia="宋体" w:cs="仿宋_GB2312"/>
          <w:color w:val="auto"/>
          <w:sz w:val="24"/>
          <w:szCs w:val="24"/>
          <w:highlight w:val="none"/>
          <w:lang w:eastAsia="zh-CN"/>
        </w:rPr>
        <w:t>.</w:t>
      </w:r>
      <w:r>
        <w:rPr>
          <w:rFonts w:hint="eastAsia" w:ascii="宋体" w:hAnsi="宋体" w:eastAsia="宋体" w:cs="仿宋_GB2312"/>
          <w:color w:val="auto"/>
          <w:sz w:val="24"/>
          <w:szCs w:val="24"/>
          <w:highlight w:val="none"/>
        </w:rPr>
        <w:t>供应商应根据自身的承诺，对照磋商文件要求，在“偏离说明”中注明“正偏离”、“负偏离”或者“无偏离”。既不属于“正偏离”也不属于“负偏离”即为“无偏离”。</w:t>
      </w:r>
    </w:p>
    <w:p w14:paraId="3D1C1485">
      <w:pPr>
        <w:pageBreakBefore w:val="0"/>
        <w:kinsoku/>
        <w:topLinePunct w:val="0"/>
        <w:bidi w:val="0"/>
        <w:spacing w:before="60" w:after="60" w:line="360" w:lineRule="auto"/>
        <w:ind w:right="-817" w:rightChars="-389"/>
        <w:contextualSpacing/>
        <w:rPr>
          <w:rFonts w:ascii="宋体" w:hAnsi="宋体" w:cs="仿宋_GB2312"/>
          <w:color w:val="auto"/>
          <w:sz w:val="24"/>
          <w:highlight w:val="none"/>
        </w:rPr>
      </w:pPr>
    </w:p>
    <w:p w14:paraId="4D0866FE">
      <w:pPr>
        <w:pageBreakBefore w:val="0"/>
        <w:kinsoku/>
        <w:topLinePunct w:val="0"/>
        <w:bidi w:val="0"/>
        <w:spacing w:before="60" w:after="60" w:line="360" w:lineRule="auto"/>
        <w:ind w:right="-817" w:rightChars="-389"/>
        <w:contextualSpacing/>
        <w:jc w:val="center"/>
        <w:rPr>
          <w:rFonts w:ascii="宋体" w:hAnsi="宋体" w:cs="仿宋_GB2312"/>
          <w:color w:val="auto"/>
          <w:sz w:val="24"/>
          <w:highlight w:val="none"/>
        </w:rPr>
      </w:pPr>
      <w:r>
        <w:rPr>
          <w:rFonts w:hint="eastAsia" w:ascii="宋体" w:hAnsi="宋体" w:cs="仿宋_GB2312"/>
          <w:color w:val="auto"/>
          <w:sz w:val="24"/>
          <w:highlight w:val="none"/>
        </w:rPr>
        <w:t>法定代表人或者委托代理人（签字或者电子签名）：</w:t>
      </w:r>
    </w:p>
    <w:p w14:paraId="217492AE">
      <w:pPr>
        <w:pageBreakBefore w:val="0"/>
        <w:kinsoku/>
        <w:topLinePunct w:val="0"/>
        <w:bidi w:val="0"/>
        <w:spacing w:before="60" w:after="60" w:line="360" w:lineRule="auto"/>
        <w:ind w:right="-817" w:rightChars="-389" w:firstLine="2640" w:firstLineChars="110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0A28E418">
      <w:pPr>
        <w:pageBreakBefore w:val="0"/>
        <w:kinsoku/>
        <w:topLinePunct w:val="0"/>
        <w:bidi w:val="0"/>
        <w:spacing w:before="60" w:after="60" w:line="360" w:lineRule="auto"/>
        <w:ind w:right="-817" w:rightChars="-389" w:firstLine="4320" w:firstLineChars="1800"/>
        <w:contextualSpacing/>
        <w:rPr>
          <w:rFonts w:ascii="宋体" w:hAnsi="宋体" w:cs="仿宋_GB2312"/>
          <w:color w:val="auto"/>
          <w:sz w:val="24"/>
          <w:highlight w:val="none"/>
        </w:rPr>
      </w:pPr>
      <w:r>
        <w:rPr>
          <w:rFonts w:hint="eastAsia" w:ascii="宋体" w:hAnsi="宋体" w:cs="仿宋_GB2312"/>
          <w:color w:val="auto"/>
          <w:sz w:val="24"/>
          <w:highlight w:val="none"/>
        </w:rPr>
        <w:t>日期：   年   月   日</w:t>
      </w:r>
    </w:p>
    <w:p w14:paraId="2231F38E">
      <w:pPr>
        <w:pageBreakBefore w:val="0"/>
        <w:kinsoku/>
        <w:topLinePunct w:val="0"/>
        <w:bidi w:val="0"/>
        <w:snapToGrid w:val="0"/>
        <w:spacing w:before="60" w:after="60" w:line="360" w:lineRule="auto"/>
        <w:ind w:left="142"/>
        <w:jc w:val="left"/>
        <w:rPr>
          <w:rFonts w:ascii="宋体" w:hAnsi="宋体"/>
          <w:b/>
          <w:color w:val="auto"/>
          <w:sz w:val="24"/>
          <w:highlight w:val="none"/>
        </w:rPr>
      </w:pPr>
      <w:r>
        <w:rPr>
          <w:rFonts w:ascii="宋体" w:hAnsi="宋体" w:cs="仿宋_GB2312"/>
          <w:color w:val="auto"/>
          <w:sz w:val="24"/>
          <w:highlight w:val="none"/>
        </w:rPr>
        <w:br w:type="page"/>
      </w:r>
      <w:r>
        <w:rPr>
          <w:rFonts w:hint="eastAsia" w:ascii="宋体" w:hAnsi="宋体"/>
          <w:b/>
          <w:color w:val="auto"/>
          <w:sz w:val="24"/>
          <w:highlight w:val="none"/>
        </w:rPr>
        <w:t>项目实施人员一览表格式</w:t>
      </w:r>
    </w:p>
    <w:p w14:paraId="55D6ACEB">
      <w:pPr>
        <w:pageBreakBefore w:val="0"/>
        <w:kinsoku/>
        <w:topLinePunct w:val="0"/>
        <w:bidi w:val="0"/>
        <w:snapToGrid w:val="0"/>
        <w:spacing w:before="60" w:after="60" w:line="360" w:lineRule="auto"/>
        <w:ind w:left="142"/>
        <w:jc w:val="left"/>
        <w:rPr>
          <w:rFonts w:ascii="宋体" w:hAnsi="宋体"/>
          <w:b/>
          <w:color w:val="auto"/>
          <w:sz w:val="24"/>
          <w:highlight w:val="none"/>
        </w:rPr>
      </w:pPr>
    </w:p>
    <w:p w14:paraId="51AA9073">
      <w:pPr>
        <w:pageBreakBefore w:val="0"/>
        <w:kinsoku/>
        <w:topLinePunct w:val="0"/>
        <w:bidi w:val="0"/>
        <w:spacing w:before="60" w:after="60" w:line="360" w:lineRule="auto"/>
        <w:ind w:left="142"/>
        <w:contextualSpacing/>
        <w:jc w:val="center"/>
        <w:rPr>
          <w:rFonts w:ascii="宋体" w:hAnsi="宋体"/>
          <w:b/>
          <w:color w:val="auto"/>
          <w:sz w:val="36"/>
          <w:szCs w:val="36"/>
          <w:highlight w:val="none"/>
        </w:rPr>
      </w:pPr>
      <w:r>
        <w:rPr>
          <w:rFonts w:hint="eastAsia" w:ascii="宋体" w:hAnsi="宋体"/>
          <w:b/>
          <w:color w:val="auto"/>
          <w:sz w:val="36"/>
          <w:szCs w:val="36"/>
          <w:highlight w:val="none"/>
        </w:rPr>
        <w:t>项目实施人员一览表</w:t>
      </w:r>
    </w:p>
    <w:p w14:paraId="01B571C3">
      <w:pPr>
        <w:pStyle w:val="16"/>
        <w:pageBreakBefore w:val="0"/>
        <w:kinsoku/>
        <w:topLinePunct w:val="0"/>
        <w:bidi w:val="0"/>
        <w:spacing w:before="60" w:after="60" w:line="360" w:lineRule="auto"/>
        <w:contextualSpacing/>
        <w:rPr>
          <w:color w:val="auto"/>
          <w:sz w:val="24"/>
          <w:szCs w:val="24"/>
          <w:highlight w:val="none"/>
        </w:rPr>
      </w:pPr>
      <w:r>
        <w:rPr>
          <w:rFonts w:hint="eastAsia"/>
          <w:color w:val="auto"/>
          <w:sz w:val="24"/>
          <w:szCs w:val="24"/>
          <w:highlight w:val="none"/>
        </w:rPr>
        <w:t>所竞分标：</w:t>
      </w:r>
    </w:p>
    <w:tbl>
      <w:tblPr>
        <w:tblStyle w:val="31"/>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701"/>
        <w:gridCol w:w="1420"/>
        <w:gridCol w:w="1698"/>
        <w:gridCol w:w="1843"/>
        <w:gridCol w:w="1843"/>
      </w:tblGrid>
      <w:tr w14:paraId="12DE2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1D453857">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r>
              <w:rPr>
                <w:rFonts w:hint="eastAsia" w:ascii="宋体" w:hAnsi="宋体"/>
                <w:color w:val="auto"/>
                <w:sz w:val="24"/>
                <w:szCs w:val="20"/>
                <w:highlight w:val="none"/>
              </w:rPr>
              <w:t>姓名</w:t>
            </w:r>
          </w:p>
        </w:tc>
        <w:tc>
          <w:tcPr>
            <w:tcW w:w="709" w:type="dxa"/>
            <w:vAlign w:val="center"/>
          </w:tcPr>
          <w:p w14:paraId="5499139A">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r>
              <w:rPr>
                <w:rFonts w:hint="eastAsia" w:ascii="宋体" w:hAnsi="宋体"/>
                <w:color w:val="auto"/>
                <w:sz w:val="24"/>
                <w:szCs w:val="20"/>
                <w:highlight w:val="none"/>
              </w:rPr>
              <w:t>职务</w:t>
            </w:r>
          </w:p>
        </w:tc>
        <w:tc>
          <w:tcPr>
            <w:tcW w:w="1701" w:type="dxa"/>
            <w:vAlign w:val="center"/>
          </w:tcPr>
          <w:p w14:paraId="0A21DF30">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r>
              <w:rPr>
                <w:rFonts w:hint="eastAsia" w:ascii="宋体" w:hAnsi="宋体"/>
                <w:color w:val="auto"/>
                <w:sz w:val="24"/>
                <w:szCs w:val="20"/>
                <w:highlight w:val="none"/>
              </w:rPr>
              <w:t>专业技术资格（职称）或者职业资格或者执业资格证或者其他证书</w:t>
            </w:r>
          </w:p>
        </w:tc>
        <w:tc>
          <w:tcPr>
            <w:tcW w:w="1420" w:type="dxa"/>
            <w:vAlign w:val="center"/>
          </w:tcPr>
          <w:p w14:paraId="47F84632">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r>
              <w:rPr>
                <w:rFonts w:hint="eastAsia" w:ascii="宋体" w:hAnsi="宋体"/>
                <w:color w:val="auto"/>
                <w:sz w:val="24"/>
                <w:szCs w:val="20"/>
                <w:highlight w:val="none"/>
              </w:rPr>
              <w:t>证书编号</w:t>
            </w:r>
          </w:p>
        </w:tc>
        <w:tc>
          <w:tcPr>
            <w:tcW w:w="1698" w:type="dxa"/>
            <w:vAlign w:val="center"/>
          </w:tcPr>
          <w:p w14:paraId="7B7E8F0E">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r>
              <w:rPr>
                <w:rFonts w:hint="eastAsia" w:ascii="宋体" w:hAnsi="宋体"/>
                <w:color w:val="auto"/>
                <w:sz w:val="24"/>
                <w:szCs w:val="20"/>
                <w:highlight w:val="none"/>
              </w:rPr>
              <w:t>参加本单位</w:t>
            </w:r>
          </w:p>
          <w:p w14:paraId="2206CF66">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r>
              <w:rPr>
                <w:rFonts w:hint="eastAsia" w:ascii="宋体" w:hAnsi="宋体"/>
                <w:color w:val="auto"/>
                <w:sz w:val="24"/>
                <w:szCs w:val="20"/>
                <w:highlight w:val="none"/>
              </w:rPr>
              <w:t>工作时间</w:t>
            </w:r>
          </w:p>
        </w:tc>
        <w:tc>
          <w:tcPr>
            <w:tcW w:w="1843" w:type="dxa"/>
            <w:vAlign w:val="center"/>
          </w:tcPr>
          <w:p w14:paraId="7160118D">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r>
              <w:rPr>
                <w:rFonts w:hint="eastAsia" w:ascii="宋体" w:hAnsi="宋体"/>
                <w:color w:val="auto"/>
                <w:sz w:val="24"/>
                <w:szCs w:val="20"/>
                <w:highlight w:val="none"/>
              </w:rPr>
              <w:t>劳动合同编号</w:t>
            </w:r>
          </w:p>
        </w:tc>
        <w:tc>
          <w:tcPr>
            <w:tcW w:w="1843" w:type="dxa"/>
            <w:vAlign w:val="center"/>
          </w:tcPr>
          <w:p w14:paraId="6E5D2481">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r>
              <w:rPr>
                <w:rFonts w:hint="eastAsia" w:ascii="宋体" w:hAnsi="宋体"/>
                <w:color w:val="auto"/>
                <w:sz w:val="24"/>
                <w:szCs w:val="20"/>
                <w:highlight w:val="none"/>
              </w:rPr>
              <w:t>联系方式</w:t>
            </w:r>
          </w:p>
        </w:tc>
      </w:tr>
      <w:tr w14:paraId="4ACF9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0AFC7364">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709" w:type="dxa"/>
            <w:vAlign w:val="center"/>
          </w:tcPr>
          <w:p w14:paraId="7AA1DC19">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1701" w:type="dxa"/>
            <w:vAlign w:val="center"/>
          </w:tcPr>
          <w:p w14:paraId="61D053B4">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1420" w:type="dxa"/>
            <w:vAlign w:val="center"/>
          </w:tcPr>
          <w:p w14:paraId="670E246A">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1698" w:type="dxa"/>
            <w:vAlign w:val="center"/>
          </w:tcPr>
          <w:p w14:paraId="51317018">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1843" w:type="dxa"/>
            <w:vAlign w:val="center"/>
          </w:tcPr>
          <w:p w14:paraId="4776159F">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1843" w:type="dxa"/>
            <w:vAlign w:val="center"/>
          </w:tcPr>
          <w:p w14:paraId="4507DEB8">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r>
      <w:tr w14:paraId="05C80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2EEAF1A2">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709" w:type="dxa"/>
            <w:vAlign w:val="center"/>
          </w:tcPr>
          <w:p w14:paraId="4F7265D0">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1701" w:type="dxa"/>
            <w:vAlign w:val="center"/>
          </w:tcPr>
          <w:p w14:paraId="5B03D74B">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1420" w:type="dxa"/>
            <w:vAlign w:val="center"/>
          </w:tcPr>
          <w:p w14:paraId="71907543">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1698" w:type="dxa"/>
            <w:vAlign w:val="center"/>
          </w:tcPr>
          <w:p w14:paraId="46236A10">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1843" w:type="dxa"/>
            <w:vAlign w:val="center"/>
          </w:tcPr>
          <w:p w14:paraId="320D6C9A">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1843" w:type="dxa"/>
            <w:vAlign w:val="center"/>
          </w:tcPr>
          <w:p w14:paraId="0D8A2AA9">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r>
      <w:tr w14:paraId="705C6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0C709922">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709" w:type="dxa"/>
            <w:vAlign w:val="center"/>
          </w:tcPr>
          <w:p w14:paraId="67CDA5CC">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1701" w:type="dxa"/>
            <w:vAlign w:val="center"/>
          </w:tcPr>
          <w:p w14:paraId="5E3D561B">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1420" w:type="dxa"/>
            <w:vAlign w:val="center"/>
          </w:tcPr>
          <w:p w14:paraId="32D19970">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1698" w:type="dxa"/>
            <w:vAlign w:val="center"/>
          </w:tcPr>
          <w:p w14:paraId="516145F0">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1843" w:type="dxa"/>
            <w:vAlign w:val="center"/>
          </w:tcPr>
          <w:p w14:paraId="069AB9F9">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c>
          <w:tcPr>
            <w:tcW w:w="1843" w:type="dxa"/>
            <w:vAlign w:val="center"/>
          </w:tcPr>
          <w:p w14:paraId="241141D9">
            <w:pPr>
              <w:keepNext w:val="0"/>
              <w:keepLines w:val="0"/>
              <w:pageBreakBefore w:val="0"/>
              <w:suppressLineNumbers w:val="0"/>
              <w:kinsoku/>
              <w:topLinePunct w:val="0"/>
              <w:bidi w:val="0"/>
              <w:spacing w:before="60" w:beforeAutospacing="0" w:after="60" w:afterAutospacing="0" w:line="360" w:lineRule="auto"/>
              <w:ind w:left="0" w:right="0"/>
              <w:contextualSpacing/>
              <w:jc w:val="center"/>
              <w:rPr>
                <w:rFonts w:hint="default" w:ascii="宋体" w:hAnsi="宋体"/>
                <w:color w:val="auto"/>
                <w:sz w:val="24"/>
                <w:szCs w:val="20"/>
                <w:highlight w:val="none"/>
              </w:rPr>
            </w:pPr>
          </w:p>
        </w:tc>
      </w:tr>
    </w:tbl>
    <w:p w14:paraId="015A7E52">
      <w:pPr>
        <w:pageBreakBefore w:val="0"/>
        <w:kinsoku/>
        <w:topLinePunct w:val="0"/>
        <w:bidi w:val="0"/>
        <w:spacing w:before="60" w:after="60" w:line="360" w:lineRule="auto"/>
        <w:contextualSpacing/>
        <w:jc w:val="left"/>
        <w:rPr>
          <w:rFonts w:ascii="宋体" w:hAnsi="宋体"/>
          <w:color w:val="auto"/>
          <w:sz w:val="24"/>
          <w:szCs w:val="20"/>
          <w:highlight w:val="none"/>
        </w:rPr>
      </w:pPr>
      <w:r>
        <w:rPr>
          <w:rFonts w:hint="eastAsia" w:ascii="宋体" w:hAnsi="宋体"/>
          <w:color w:val="auto"/>
          <w:sz w:val="24"/>
          <w:szCs w:val="20"/>
          <w:highlight w:val="none"/>
        </w:rPr>
        <w:t>注：</w:t>
      </w:r>
    </w:p>
    <w:p w14:paraId="687C3E8A">
      <w:pPr>
        <w:pageBreakBefore w:val="0"/>
        <w:kinsoku/>
        <w:topLinePunct w:val="0"/>
        <w:bidi w:val="0"/>
        <w:spacing w:before="60" w:after="60" w:line="360" w:lineRule="auto"/>
        <w:contextualSpacing/>
        <w:jc w:val="left"/>
        <w:rPr>
          <w:rFonts w:ascii="宋体" w:hAnsi="宋体"/>
          <w:color w:val="auto"/>
          <w:sz w:val="24"/>
          <w:szCs w:val="20"/>
          <w:highlight w:val="none"/>
        </w:rPr>
      </w:pPr>
      <w:r>
        <w:rPr>
          <w:rFonts w:hint="eastAsia" w:ascii="宋体" w:hAnsi="宋体"/>
          <w:color w:val="auto"/>
          <w:sz w:val="24"/>
          <w:szCs w:val="20"/>
          <w:highlight w:val="none"/>
        </w:rPr>
        <w:t>1</w:t>
      </w:r>
      <w:r>
        <w:rPr>
          <w:rFonts w:hint="eastAsia" w:ascii="宋体" w:hAnsi="宋体"/>
          <w:color w:val="auto"/>
          <w:sz w:val="24"/>
          <w:szCs w:val="20"/>
          <w:highlight w:val="none"/>
          <w:lang w:eastAsia="zh-CN"/>
        </w:rPr>
        <w:t>.</w:t>
      </w:r>
      <w:r>
        <w:rPr>
          <w:rFonts w:hint="eastAsia" w:ascii="宋体" w:hAnsi="宋体"/>
          <w:color w:val="auto"/>
          <w:sz w:val="24"/>
          <w:szCs w:val="20"/>
          <w:highlight w:val="none"/>
        </w:rPr>
        <w:t>在填写时，如本表格不适合供应商的实际情况，可根据本表格式自行制表填写。</w:t>
      </w:r>
    </w:p>
    <w:p w14:paraId="1BD2A92B">
      <w:pPr>
        <w:pageBreakBefore w:val="0"/>
        <w:kinsoku/>
        <w:topLinePunct w:val="0"/>
        <w:bidi w:val="0"/>
        <w:spacing w:before="60" w:after="60" w:line="360" w:lineRule="auto"/>
        <w:contextualSpacing/>
        <w:jc w:val="left"/>
        <w:rPr>
          <w:rFonts w:ascii="宋体" w:hAnsi="宋体"/>
          <w:color w:val="auto"/>
          <w:sz w:val="24"/>
          <w:szCs w:val="20"/>
          <w:highlight w:val="none"/>
        </w:rPr>
      </w:pPr>
      <w:r>
        <w:rPr>
          <w:rFonts w:ascii="宋体" w:hAnsi="宋体"/>
          <w:color w:val="auto"/>
          <w:sz w:val="24"/>
          <w:szCs w:val="20"/>
          <w:highlight w:val="none"/>
        </w:rPr>
        <w:t>2</w:t>
      </w:r>
      <w:r>
        <w:rPr>
          <w:rFonts w:hint="eastAsia" w:ascii="宋体" w:hAnsi="宋体"/>
          <w:color w:val="auto"/>
          <w:sz w:val="24"/>
          <w:szCs w:val="20"/>
          <w:highlight w:val="none"/>
          <w:lang w:eastAsia="zh-CN"/>
        </w:rPr>
        <w:t>.</w:t>
      </w:r>
      <w:r>
        <w:rPr>
          <w:rFonts w:hint="eastAsia" w:ascii="宋体" w:hAnsi="宋体"/>
          <w:color w:val="auto"/>
          <w:sz w:val="24"/>
          <w:szCs w:val="20"/>
          <w:highlight w:val="none"/>
        </w:rPr>
        <w:t>供应商应当附本表所列证书的复印件并加盖供应商电子签章。</w:t>
      </w:r>
    </w:p>
    <w:p w14:paraId="578AA46E">
      <w:pPr>
        <w:pageBreakBefore w:val="0"/>
        <w:kinsoku/>
        <w:topLinePunct w:val="0"/>
        <w:bidi w:val="0"/>
        <w:spacing w:before="60" w:after="60" w:line="360" w:lineRule="auto"/>
        <w:contextualSpacing/>
        <w:rPr>
          <w:rFonts w:ascii="宋体" w:hAnsi="宋体"/>
          <w:color w:val="auto"/>
          <w:sz w:val="24"/>
          <w:highlight w:val="none"/>
        </w:rPr>
      </w:pPr>
    </w:p>
    <w:p w14:paraId="07C36642">
      <w:pPr>
        <w:pageBreakBefore w:val="0"/>
        <w:kinsoku/>
        <w:topLinePunct w:val="0"/>
        <w:bidi w:val="0"/>
        <w:spacing w:before="60" w:after="60" w:line="360" w:lineRule="auto"/>
        <w:contextualSpacing/>
        <w:rPr>
          <w:rFonts w:ascii="宋体" w:hAnsi="宋体"/>
          <w:color w:val="auto"/>
          <w:sz w:val="24"/>
          <w:highlight w:val="none"/>
        </w:rPr>
      </w:pPr>
    </w:p>
    <w:p w14:paraId="53F74C3D">
      <w:pPr>
        <w:pageBreakBefore w:val="0"/>
        <w:kinsoku/>
        <w:topLinePunct w:val="0"/>
        <w:bidi w:val="0"/>
        <w:spacing w:before="60" w:after="60" w:line="360" w:lineRule="auto"/>
        <w:ind w:firstLine="3360" w:firstLineChars="1400"/>
        <w:contextualSpacing/>
        <w:rPr>
          <w:rFonts w:ascii="宋体" w:hAnsi="宋体"/>
          <w:color w:val="auto"/>
          <w:spacing w:val="20"/>
          <w:sz w:val="24"/>
          <w:szCs w:val="20"/>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w:t>
      </w:r>
    </w:p>
    <w:p w14:paraId="24442525">
      <w:pPr>
        <w:pageBreakBefore w:val="0"/>
        <w:kinsoku/>
        <w:topLinePunct w:val="0"/>
        <w:bidi w:val="0"/>
        <w:spacing w:before="60" w:after="60" w:line="360" w:lineRule="auto"/>
        <w:ind w:firstLine="4200" w:firstLineChars="1500"/>
        <w:contextualSpacing/>
        <w:jc w:val="left"/>
        <w:rPr>
          <w:rFonts w:ascii="宋体" w:hAnsi="宋体"/>
          <w:color w:val="auto"/>
          <w:spacing w:val="20"/>
          <w:sz w:val="24"/>
          <w:highlight w:val="none"/>
        </w:rPr>
      </w:pPr>
      <w:r>
        <w:rPr>
          <w:rFonts w:hint="eastAsia" w:ascii="宋体" w:hAnsi="宋体"/>
          <w:color w:val="auto"/>
          <w:spacing w:val="20"/>
          <w:sz w:val="24"/>
          <w:highlight w:val="none"/>
        </w:rPr>
        <w:t xml:space="preserve">供应商（电子签章）：              </w:t>
      </w:r>
    </w:p>
    <w:p w14:paraId="6621049F">
      <w:pPr>
        <w:pageBreakBefore w:val="0"/>
        <w:kinsoku/>
        <w:topLinePunct w:val="0"/>
        <w:bidi w:val="0"/>
        <w:spacing w:before="60" w:after="60" w:line="360" w:lineRule="auto"/>
        <w:ind w:firstLine="6160" w:firstLineChars="2200"/>
        <w:contextualSpacing/>
        <w:jc w:val="left"/>
        <w:rPr>
          <w:rFonts w:ascii="宋体" w:hAnsi="宋体"/>
          <w:color w:val="auto"/>
          <w:sz w:val="24"/>
          <w:szCs w:val="20"/>
          <w:highlight w:val="none"/>
        </w:rPr>
      </w:pPr>
      <w:r>
        <w:rPr>
          <w:rFonts w:hint="eastAsia" w:ascii="宋体" w:hAnsi="宋体"/>
          <w:color w:val="auto"/>
          <w:spacing w:val="20"/>
          <w:sz w:val="24"/>
          <w:highlight w:val="none"/>
        </w:rPr>
        <w:t>日 期：</w:t>
      </w:r>
    </w:p>
    <w:p w14:paraId="51CCA468">
      <w:pPr>
        <w:pageBreakBefore w:val="0"/>
        <w:kinsoku/>
        <w:topLinePunct w:val="0"/>
        <w:bidi w:val="0"/>
        <w:snapToGrid w:val="0"/>
        <w:spacing w:before="60" w:after="60" w:line="360" w:lineRule="auto"/>
        <w:jc w:val="left"/>
        <w:rPr>
          <w:rFonts w:ascii="宋体" w:hAnsi="宋体"/>
          <w:color w:val="auto"/>
          <w:sz w:val="24"/>
          <w:szCs w:val="20"/>
          <w:highlight w:val="none"/>
        </w:rPr>
      </w:pPr>
    </w:p>
    <w:p w14:paraId="496E246A">
      <w:pPr>
        <w:pageBreakBefore w:val="0"/>
        <w:kinsoku/>
        <w:topLinePunct w:val="0"/>
        <w:bidi w:val="0"/>
        <w:snapToGrid w:val="0"/>
        <w:spacing w:before="60" w:after="60" w:line="360" w:lineRule="auto"/>
        <w:ind w:right="-817" w:rightChars="-389" w:firstLine="5461" w:firstLineChars="1700"/>
        <w:rPr>
          <w:rFonts w:ascii="仿宋_GB2312" w:hAnsi="仿宋_GB2312" w:eastAsia="仿宋_GB2312" w:cs="仿宋_GB2312"/>
          <w:b/>
          <w:color w:val="auto"/>
          <w:sz w:val="32"/>
          <w:szCs w:val="32"/>
          <w:highlight w:val="none"/>
        </w:rPr>
      </w:pPr>
    </w:p>
    <w:p w14:paraId="5DE9C02C">
      <w:pPr>
        <w:pageBreakBefore w:val="0"/>
        <w:kinsoku/>
        <w:topLinePunct w:val="0"/>
        <w:bidi w:val="0"/>
        <w:spacing w:before="60" w:after="60" w:line="360" w:lineRule="auto"/>
        <w:rPr>
          <w:rFonts w:ascii="宋体" w:hAnsi="宋体"/>
          <w:color w:val="auto"/>
          <w:szCs w:val="21"/>
          <w:highlight w:val="none"/>
        </w:rPr>
      </w:pPr>
      <w:r>
        <w:rPr>
          <w:rFonts w:ascii="宋体" w:hAnsi="宋体"/>
          <w:b/>
          <w:bCs/>
          <w:color w:val="auto"/>
          <w:sz w:val="24"/>
          <w:highlight w:val="none"/>
        </w:rPr>
        <w:br w:type="page"/>
      </w:r>
      <w:r>
        <w:rPr>
          <w:rFonts w:hint="eastAsia" w:ascii="宋体" w:hAnsi="宋体"/>
          <w:b/>
          <w:bCs/>
          <w:color w:val="auto"/>
          <w:sz w:val="24"/>
          <w:highlight w:val="none"/>
        </w:rPr>
        <w:t>其他文书、文件格式</w:t>
      </w:r>
    </w:p>
    <w:p w14:paraId="57C0E8A5">
      <w:pPr>
        <w:pageBreakBefore w:val="0"/>
        <w:kinsoku/>
        <w:topLinePunct w:val="0"/>
        <w:bidi w:val="0"/>
        <w:spacing w:before="60" w:after="60" w:line="360" w:lineRule="auto"/>
        <w:jc w:val="center"/>
        <w:rPr>
          <w:rFonts w:cs="方正小标宋简体" w:asciiTheme="minorEastAsia" w:hAnsiTheme="minorEastAsia" w:eastAsiaTheme="minorEastAsia"/>
          <w:color w:val="auto"/>
          <w:sz w:val="36"/>
          <w:szCs w:val="36"/>
          <w:highlight w:val="none"/>
        </w:rPr>
      </w:pPr>
      <w:bookmarkStart w:id="181" w:name="_Toc71365926"/>
      <w:r>
        <w:rPr>
          <w:rFonts w:hint="eastAsia" w:cs="方正小标宋简体" w:asciiTheme="minorEastAsia" w:hAnsiTheme="minorEastAsia" w:eastAsiaTheme="minorEastAsia"/>
          <w:color w:val="auto"/>
          <w:sz w:val="36"/>
          <w:szCs w:val="36"/>
          <w:highlight w:val="none"/>
        </w:rPr>
        <w:t>中小企业声明函（服务）</w:t>
      </w:r>
      <w:bookmarkEnd w:id="181"/>
    </w:p>
    <w:p w14:paraId="7002E1B5">
      <w:pPr>
        <w:pageBreakBefore w:val="0"/>
        <w:kinsoku/>
        <w:topLinePunct w:val="0"/>
        <w:bidi w:val="0"/>
        <w:spacing w:before="60" w:after="60" w:line="360" w:lineRule="auto"/>
        <w:ind w:firstLine="708" w:firstLineChars="294"/>
        <w:rPr>
          <w:rFonts w:ascii="宋体" w:hAnsi="宋体" w:cs="宋体"/>
          <w:b/>
          <w:bCs/>
          <w:color w:val="auto"/>
          <w:sz w:val="24"/>
          <w:highlight w:val="none"/>
        </w:rPr>
      </w:pPr>
    </w:p>
    <w:p w14:paraId="3E9503F9">
      <w:pPr>
        <w:pStyle w:val="2"/>
        <w:pageBreakBefore w:val="0"/>
        <w:kinsoku/>
        <w:topLinePunct w:val="0"/>
        <w:bidi w:val="0"/>
        <w:spacing w:before="60" w:after="60" w:line="360" w:lineRule="auto"/>
        <w:ind w:right="142" w:firstLine="705" w:firstLineChars="294"/>
        <w:rPr>
          <w:rFonts w:ascii="宋体" w:hAnsi="宋体"/>
          <w:color w:val="auto"/>
          <w:sz w:val="24"/>
          <w:highlight w:val="none"/>
        </w:rPr>
      </w:pPr>
      <w:r>
        <w:rPr>
          <w:rFonts w:ascii="宋体" w:hAnsi="宋体"/>
          <w:color w:val="auto"/>
          <w:sz w:val="24"/>
          <w:highlight w:val="none"/>
        </w:rPr>
        <w:t>本公司（联合体）郑重声明，根据《政府采购促进中小企业发展管理办法》（财库﹝2020﹞46号）的规定，本公司（联合体）参加</w:t>
      </w:r>
      <w:r>
        <w:rPr>
          <w:rFonts w:ascii="宋体" w:hAnsi="宋体"/>
          <w:color w:val="auto"/>
          <w:sz w:val="24"/>
          <w:highlight w:val="none"/>
          <w:u w:val="single"/>
        </w:rPr>
        <w:t>（单位名称）</w:t>
      </w:r>
      <w:r>
        <w:rPr>
          <w:rFonts w:ascii="宋体" w:hAnsi="宋体"/>
          <w:color w:val="auto"/>
          <w:sz w:val="24"/>
          <w:highlight w:val="none"/>
        </w:rPr>
        <w:t>的</w:t>
      </w:r>
      <w:r>
        <w:rPr>
          <w:rFonts w:ascii="宋体" w:hAnsi="宋体"/>
          <w:color w:val="auto"/>
          <w:sz w:val="24"/>
          <w:highlight w:val="none"/>
          <w:u w:val="single"/>
        </w:rPr>
        <w:t>（项目名称）</w:t>
      </w:r>
      <w:r>
        <w:rPr>
          <w:rFonts w:ascii="宋体" w:hAnsi="宋体"/>
          <w:color w:val="auto"/>
          <w:sz w:val="24"/>
          <w:highlight w:val="none"/>
        </w:rPr>
        <w:t>采购活动，</w:t>
      </w:r>
      <w:r>
        <w:rPr>
          <w:rFonts w:hint="eastAsia" w:ascii="宋体" w:hAnsi="宋体"/>
          <w:color w:val="auto"/>
          <w:sz w:val="24"/>
          <w:highlight w:val="none"/>
        </w:rPr>
        <w:t>服务全部由符合政策要求的中小企业承接。相关企业（含联合体中的中小企业、签订分包意向协议的中小企业）的具体情况如下：</w:t>
      </w:r>
    </w:p>
    <w:p w14:paraId="20C17B1B">
      <w:pPr>
        <w:pageBreakBefore w:val="0"/>
        <w:tabs>
          <w:tab w:val="left" w:pos="1384"/>
          <w:tab w:val="left" w:pos="4562"/>
          <w:tab w:val="left" w:pos="6803"/>
        </w:tabs>
        <w:kinsoku/>
        <w:topLinePunct w:val="0"/>
        <w:bidi w:val="0"/>
        <w:spacing w:before="60" w:after="60" w:line="360" w:lineRule="auto"/>
        <w:ind w:right="142" w:firstLine="772" w:firstLineChars="322"/>
        <w:rPr>
          <w:rFonts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lang w:eastAsia="zh-CN"/>
        </w:rPr>
        <w:t>.</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w:t>
      </w:r>
      <w:r>
        <w:rPr>
          <w:rFonts w:ascii="宋体" w:hAnsi="宋体"/>
          <w:color w:val="auto"/>
          <w:sz w:val="24"/>
          <w:highlight w:val="none"/>
          <w:u w:val="single"/>
        </w:rPr>
        <w:t>业）</w:t>
      </w:r>
      <w:r>
        <w:rPr>
          <w:rFonts w:ascii="宋体" w:hAnsi="宋体"/>
          <w:color w:val="auto"/>
          <w:sz w:val="24"/>
          <w:highlight w:val="none"/>
        </w:rPr>
        <w:t>；</w:t>
      </w:r>
      <w:r>
        <w:rPr>
          <w:rFonts w:hint="eastAsia" w:ascii="宋体" w:hAnsi="宋体"/>
          <w:color w:val="auto"/>
          <w:sz w:val="24"/>
          <w:highlight w:val="none"/>
        </w:rPr>
        <w:t>承接企业为</w:t>
      </w:r>
      <w:r>
        <w:rPr>
          <w:rFonts w:hint="eastAsia" w:ascii="宋体" w:hAnsi="宋体"/>
          <w:color w:val="auto"/>
          <w:sz w:val="24"/>
          <w:highlight w:val="none"/>
          <w:u w:val="single"/>
        </w:rPr>
        <w:t>（企业名称）</w:t>
      </w:r>
      <w:r>
        <w:rPr>
          <w:rFonts w:hint="eastAsia" w:ascii="宋体" w:hAnsi="宋体"/>
          <w:color w:val="auto"/>
          <w:sz w:val="24"/>
          <w:highlight w:val="none"/>
        </w:rPr>
        <w:t>，从业人员人，营业收入为万元，资产总额为万元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220FD5CA">
      <w:pPr>
        <w:pageBreakBefore w:val="0"/>
        <w:tabs>
          <w:tab w:val="left" w:pos="1065"/>
          <w:tab w:val="left" w:pos="4262"/>
          <w:tab w:val="left" w:pos="6477"/>
        </w:tabs>
        <w:kinsoku/>
        <w:topLinePunct w:val="0"/>
        <w:bidi w:val="0"/>
        <w:spacing w:before="60" w:after="60" w:line="360" w:lineRule="auto"/>
        <w:ind w:right="84" w:firstLine="772" w:firstLineChars="322"/>
        <w:rPr>
          <w:rFonts w:ascii="宋体" w:hAnsi="宋体"/>
          <w:color w:val="auto"/>
          <w:sz w:val="24"/>
          <w:highlight w:val="none"/>
          <w:u w:val="single"/>
        </w:rPr>
      </w:pPr>
      <w:r>
        <w:rPr>
          <w:rFonts w:ascii="宋体" w:hAnsi="宋体"/>
          <w:color w:val="auto"/>
          <w:sz w:val="24"/>
          <w:highlight w:val="none"/>
        </w:rPr>
        <w:t>2</w:t>
      </w:r>
      <w:r>
        <w:rPr>
          <w:rFonts w:hint="eastAsia" w:ascii="宋体" w:hAnsi="宋体"/>
          <w:color w:val="auto"/>
          <w:sz w:val="24"/>
          <w:highlight w:val="none"/>
          <w:lang w:eastAsia="zh-CN"/>
        </w:rPr>
        <w:t>.</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行业</w:t>
      </w:r>
      <w:r>
        <w:rPr>
          <w:rFonts w:ascii="宋体" w:hAnsi="宋体"/>
          <w:color w:val="auto"/>
          <w:sz w:val="24"/>
          <w:highlight w:val="none"/>
          <w:u w:val="single"/>
        </w:rPr>
        <w:t>）</w:t>
      </w:r>
      <w:r>
        <w:rPr>
          <w:rFonts w:ascii="宋体" w:hAnsi="宋体"/>
          <w:color w:val="auto"/>
          <w:sz w:val="24"/>
          <w:highlight w:val="none"/>
        </w:rPr>
        <w:t>；</w:t>
      </w:r>
      <w:r>
        <w:rPr>
          <w:rFonts w:hint="eastAsia" w:ascii="宋体" w:hAnsi="宋体"/>
          <w:color w:val="auto"/>
          <w:sz w:val="24"/>
          <w:highlight w:val="none"/>
        </w:rPr>
        <w:t>承接企业为</w:t>
      </w:r>
      <w:r>
        <w:rPr>
          <w:rFonts w:hint="eastAsia" w:ascii="宋体" w:hAnsi="宋体"/>
          <w:color w:val="auto"/>
          <w:sz w:val="24"/>
          <w:highlight w:val="none"/>
          <w:u w:val="single"/>
        </w:rPr>
        <w:t>（企业名称）</w:t>
      </w:r>
      <w:r>
        <w:rPr>
          <w:rFonts w:hint="eastAsia" w:ascii="宋体" w:hAnsi="宋体"/>
          <w:color w:val="auto"/>
          <w:sz w:val="24"/>
          <w:highlight w:val="none"/>
        </w:rPr>
        <w:t>，从业人员人，营业收入为万元，资产总额为万元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4E85EA03">
      <w:pPr>
        <w:pStyle w:val="2"/>
        <w:pageBreakBefore w:val="0"/>
        <w:kinsoku/>
        <w:topLinePunct w:val="0"/>
        <w:bidi w:val="0"/>
        <w:spacing w:before="60" w:after="60" w:line="360" w:lineRule="auto"/>
        <w:ind w:right="142" w:firstLine="705" w:firstLineChars="294"/>
        <w:rPr>
          <w:rFonts w:ascii="宋体" w:hAnsi="宋体"/>
          <w:color w:val="auto"/>
          <w:sz w:val="24"/>
          <w:highlight w:val="none"/>
        </w:rPr>
      </w:pPr>
      <w:r>
        <w:rPr>
          <w:rFonts w:ascii="宋体" w:hAnsi="宋体"/>
          <w:color w:val="auto"/>
          <w:sz w:val="24"/>
          <w:highlight w:val="none"/>
        </w:rPr>
        <w:t xml:space="preserve">…… </w:t>
      </w:r>
    </w:p>
    <w:p w14:paraId="7E763BBE">
      <w:pPr>
        <w:pStyle w:val="2"/>
        <w:pageBreakBefore w:val="0"/>
        <w:kinsoku/>
        <w:topLinePunct w:val="0"/>
        <w:bidi w:val="0"/>
        <w:spacing w:before="60" w:after="60" w:line="360" w:lineRule="auto"/>
        <w:ind w:right="142" w:firstLine="705" w:firstLineChars="294"/>
        <w:rPr>
          <w:rFonts w:ascii="宋体" w:hAnsi="宋体"/>
          <w:color w:val="auto"/>
          <w:sz w:val="24"/>
          <w:highlight w:val="none"/>
        </w:rPr>
      </w:pPr>
      <w:r>
        <w:rPr>
          <w:rFonts w:ascii="宋体" w:hAnsi="宋体"/>
          <w:color w:val="auto"/>
          <w:sz w:val="24"/>
          <w:highlight w:val="none"/>
        </w:rPr>
        <w:t>以上企业，不属于大企业的分支机构，不存在控股股东为大企业的情形，也不存在与大企业的负责人为同一人的情形。</w:t>
      </w:r>
    </w:p>
    <w:p w14:paraId="0C053DBB">
      <w:pPr>
        <w:pStyle w:val="2"/>
        <w:pageBreakBefore w:val="0"/>
        <w:kinsoku/>
        <w:topLinePunct w:val="0"/>
        <w:bidi w:val="0"/>
        <w:spacing w:before="60" w:after="60" w:line="360" w:lineRule="auto"/>
        <w:ind w:right="142" w:firstLine="705" w:firstLineChars="294"/>
        <w:rPr>
          <w:rFonts w:ascii="宋体" w:hAnsi="宋体"/>
          <w:color w:val="auto"/>
          <w:sz w:val="24"/>
          <w:highlight w:val="none"/>
        </w:rPr>
      </w:pPr>
      <w:r>
        <w:rPr>
          <w:rFonts w:ascii="宋体" w:hAnsi="宋体"/>
          <w:color w:val="auto"/>
          <w:sz w:val="24"/>
          <w:highlight w:val="none"/>
        </w:rPr>
        <w:t>本企业对上述声明内容的真实性负责。如有虚假，将依法承担相应责任。</w:t>
      </w:r>
    </w:p>
    <w:p w14:paraId="0F2F0341">
      <w:pPr>
        <w:pStyle w:val="2"/>
        <w:pageBreakBefore w:val="0"/>
        <w:kinsoku/>
        <w:topLinePunct w:val="0"/>
        <w:bidi w:val="0"/>
        <w:spacing w:before="60" w:after="60" w:line="360" w:lineRule="auto"/>
        <w:ind w:right="1808" w:firstLine="705" w:firstLineChars="294"/>
        <w:rPr>
          <w:rFonts w:ascii="宋体" w:hAnsi="宋体"/>
          <w:color w:val="auto"/>
          <w:sz w:val="24"/>
          <w:highlight w:val="none"/>
        </w:rPr>
      </w:pPr>
    </w:p>
    <w:p w14:paraId="4D5A8404">
      <w:pPr>
        <w:pStyle w:val="2"/>
        <w:pageBreakBefore w:val="0"/>
        <w:kinsoku/>
        <w:topLinePunct w:val="0"/>
        <w:bidi w:val="0"/>
        <w:spacing w:before="60" w:after="60" w:line="360" w:lineRule="auto"/>
        <w:ind w:right="650" w:firstLine="5625" w:firstLineChars="2344"/>
        <w:rPr>
          <w:rFonts w:ascii="宋体" w:hAnsi="宋体"/>
          <w:color w:val="auto"/>
          <w:sz w:val="24"/>
          <w:highlight w:val="none"/>
        </w:rPr>
      </w:pPr>
      <w:r>
        <w:rPr>
          <w:rFonts w:ascii="宋体" w:hAnsi="宋体"/>
          <w:color w:val="auto"/>
          <w:sz w:val="24"/>
          <w:highlight w:val="none"/>
        </w:rPr>
        <w:t xml:space="preserve">企业名称（章）： </w:t>
      </w:r>
    </w:p>
    <w:p w14:paraId="08A9123F">
      <w:pPr>
        <w:pStyle w:val="2"/>
        <w:pageBreakBefore w:val="0"/>
        <w:kinsoku/>
        <w:topLinePunct w:val="0"/>
        <w:bidi w:val="0"/>
        <w:spacing w:before="60" w:after="60" w:line="360" w:lineRule="auto"/>
        <w:ind w:right="1808" w:firstLine="5625" w:firstLineChars="2344"/>
        <w:rPr>
          <w:rFonts w:ascii="宋体" w:hAnsi="宋体"/>
          <w:color w:val="auto"/>
          <w:sz w:val="24"/>
          <w:highlight w:val="none"/>
        </w:rPr>
      </w:pPr>
      <w:r>
        <w:rPr>
          <w:rFonts w:ascii="宋体" w:hAnsi="宋体"/>
          <w:color w:val="auto"/>
          <w:sz w:val="24"/>
          <w:highlight w:val="none"/>
        </w:rPr>
        <w:t>日 期：</w:t>
      </w:r>
    </w:p>
    <w:p w14:paraId="5EFC8BE2">
      <w:pPr>
        <w:pageBreakBefore w:val="0"/>
        <w:kinsoku/>
        <w:topLinePunct w:val="0"/>
        <w:bidi w:val="0"/>
        <w:spacing w:before="60" w:after="60" w:line="360" w:lineRule="auto"/>
        <w:jc w:val="left"/>
        <w:rPr>
          <w:rFonts w:ascii="宋体" w:hAnsi="宋体" w:cs="仿宋_GB2312"/>
          <w:color w:val="auto"/>
          <w:sz w:val="24"/>
          <w:highlight w:val="none"/>
        </w:rPr>
      </w:pPr>
      <w:r>
        <w:rPr>
          <w:rFonts w:hint="eastAsia" w:ascii="宋体" w:hAnsi="宋体" w:cs="仿宋_GB2312"/>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1A138856">
      <w:pPr>
        <w:pageBreakBefore w:val="0"/>
        <w:kinsoku/>
        <w:topLinePunct w:val="0"/>
        <w:bidi w:val="0"/>
        <w:spacing w:before="60" w:after="60" w:line="360" w:lineRule="auto"/>
        <w:jc w:val="center"/>
        <w:rPr>
          <w:rFonts w:cs="仿宋_GB2312" w:asciiTheme="minorEastAsia" w:hAnsiTheme="minorEastAsia" w:eastAsiaTheme="minorEastAsia"/>
          <w:color w:val="auto"/>
          <w:sz w:val="32"/>
          <w:szCs w:val="32"/>
          <w:highlight w:val="none"/>
        </w:rPr>
      </w:pPr>
      <w:r>
        <w:rPr>
          <w:rFonts w:ascii="宋体" w:hAnsi="宋体"/>
          <w:color w:val="auto"/>
          <w:sz w:val="24"/>
          <w:highlight w:val="none"/>
        </w:rPr>
        <w:br w:type="page"/>
      </w:r>
      <w:r>
        <w:rPr>
          <w:rFonts w:hint="eastAsia" w:cs="方正小标宋简体" w:asciiTheme="minorEastAsia" w:hAnsiTheme="minorEastAsia" w:eastAsiaTheme="minorEastAsia"/>
          <w:color w:val="auto"/>
          <w:sz w:val="36"/>
          <w:szCs w:val="36"/>
          <w:highlight w:val="none"/>
        </w:rPr>
        <w:t>残疾人福利性单位声明函</w:t>
      </w:r>
    </w:p>
    <w:p w14:paraId="7377BA91">
      <w:pPr>
        <w:pageBreakBefore w:val="0"/>
        <w:kinsoku/>
        <w:topLinePunct w:val="0"/>
        <w:bidi w:val="0"/>
        <w:spacing w:before="60" w:after="60" w:line="360" w:lineRule="auto"/>
        <w:contextualSpacing/>
        <w:rPr>
          <w:rFonts w:ascii="仿宋_GB2312" w:hAnsi="仿宋_GB2312" w:eastAsia="仿宋_GB2312" w:cs="仿宋_GB2312"/>
          <w:color w:val="auto"/>
          <w:sz w:val="32"/>
          <w:szCs w:val="32"/>
          <w:highlight w:val="none"/>
        </w:rPr>
      </w:pPr>
    </w:p>
    <w:p w14:paraId="14B85EBE">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2F164EC2">
      <w:pPr>
        <w:pageBreakBefore w:val="0"/>
        <w:kinsoku/>
        <w:topLinePunct w:val="0"/>
        <w:bidi w:val="0"/>
        <w:spacing w:before="60" w:after="60"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本单位对上述声明的真实性负责。如有虚假，将依法承担相应责任。</w:t>
      </w:r>
    </w:p>
    <w:p w14:paraId="00EB46F0">
      <w:pPr>
        <w:pageBreakBefore w:val="0"/>
        <w:kinsoku/>
        <w:topLinePunct w:val="0"/>
        <w:bidi w:val="0"/>
        <w:spacing w:before="60" w:after="60" w:line="360" w:lineRule="auto"/>
        <w:contextualSpacing/>
        <w:rPr>
          <w:rFonts w:ascii="宋体" w:hAnsi="宋体" w:cs="仿宋_GB2312"/>
          <w:color w:val="auto"/>
          <w:sz w:val="24"/>
          <w:highlight w:val="none"/>
        </w:rPr>
      </w:pPr>
    </w:p>
    <w:p w14:paraId="13E40BE0">
      <w:pPr>
        <w:pageBreakBefore w:val="0"/>
        <w:kinsoku/>
        <w:topLinePunct w:val="0"/>
        <w:bidi w:val="0"/>
        <w:spacing w:before="60" w:after="60" w:line="360" w:lineRule="auto"/>
        <w:contextualSpacing/>
        <w:rPr>
          <w:rFonts w:ascii="宋体" w:hAnsi="宋体" w:cs="仿宋_GB2312"/>
          <w:color w:val="auto"/>
          <w:sz w:val="24"/>
          <w:highlight w:val="none"/>
        </w:rPr>
      </w:pPr>
    </w:p>
    <w:p w14:paraId="3A3472C1">
      <w:pPr>
        <w:pageBreakBefore w:val="0"/>
        <w:kinsoku/>
        <w:topLinePunct w:val="0"/>
        <w:bidi w:val="0"/>
        <w:spacing w:before="60" w:after="60" w:line="360" w:lineRule="auto"/>
        <w:contextualSpacing/>
        <w:rPr>
          <w:rFonts w:ascii="宋体" w:hAnsi="宋体" w:cs="仿宋_GB2312"/>
          <w:color w:val="auto"/>
          <w:sz w:val="24"/>
          <w:highlight w:val="none"/>
        </w:rPr>
      </w:pPr>
    </w:p>
    <w:p w14:paraId="7486F900">
      <w:pPr>
        <w:pageBreakBefore w:val="0"/>
        <w:kinsoku/>
        <w:topLinePunct w:val="0"/>
        <w:bidi w:val="0"/>
        <w:spacing w:before="60" w:after="60" w:line="360" w:lineRule="auto"/>
        <w:ind w:firstLine="2400" w:firstLineChars="1000"/>
        <w:contextualSpacing/>
        <w:rPr>
          <w:rFonts w:ascii="宋体" w:hAnsi="宋体" w:cs="仿宋_GB2312"/>
          <w:color w:val="auto"/>
          <w:sz w:val="24"/>
          <w:highlight w:val="none"/>
        </w:rPr>
      </w:pPr>
      <w:r>
        <w:rPr>
          <w:rFonts w:hint="eastAsia" w:ascii="宋体" w:hAnsi="宋体" w:cs="仿宋_GB2312"/>
          <w:color w:val="auto"/>
          <w:sz w:val="24"/>
          <w:highlight w:val="none"/>
        </w:rPr>
        <w:t>单位名称（盖章）：</w:t>
      </w:r>
    </w:p>
    <w:p w14:paraId="283A82F6">
      <w:pPr>
        <w:pageBreakBefore w:val="0"/>
        <w:kinsoku/>
        <w:topLinePunct w:val="0"/>
        <w:bidi w:val="0"/>
        <w:spacing w:before="60" w:after="60" w:line="360" w:lineRule="auto"/>
        <w:ind w:firstLine="3600" w:firstLineChars="1500"/>
        <w:contextualSpacing/>
        <w:rPr>
          <w:rFonts w:ascii="宋体" w:hAnsi="宋体" w:cs="仿宋_GB2312"/>
          <w:color w:val="auto"/>
          <w:sz w:val="24"/>
          <w:highlight w:val="none"/>
        </w:rPr>
      </w:pPr>
      <w:r>
        <w:rPr>
          <w:rFonts w:hint="eastAsia" w:ascii="宋体" w:hAnsi="宋体" w:cs="仿宋_GB2312"/>
          <w:color w:val="auto"/>
          <w:sz w:val="24"/>
          <w:highlight w:val="none"/>
        </w:rPr>
        <w:t>日  期：</w:t>
      </w:r>
    </w:p>
    <w:p w14:paraId="4CF21A5A">
      <w:pPr>
        <w:pageBreakBefore w:val="0"/>
        <w:kinsoku/>
        <w:topLinePunct w:val="0"/>
        <w:bidi w:val="0"/>
        <w:spacing w:before="60" w:after="60" w:line="360" w:lineRule="auto"/>
        <w:contextualSpacing/>
        <w:rPr>
          <w:rFonts w:ascii="宋体" w:hAnsi="宋体" w:cs="仿宋_GB2312"/>
          <w:color w:val="auto"/>
          <w:sz w:val="24"/>
          <w:highlight w:val="none"/>
        </w:rPr>
      </w:pPr>
    </w:p>
    <w:p w14:paraId="0C621B12">
      <w:pPr>
        <w:pageBreakBefore w:val="0"/>
        <w:kinsoku/>
        <w:topLinePunct w:val="0"/>
        <w:bidi w:val="0"/>
        <w:spacing w:before="60" w:after="60" w:line="360" w:lineRule="auto"/>
        <w:contextualSpacing/>
        <w:rPr>
          <w:rFonts w:ascii="宋体" w:hAnsi="宋体" w:cs="仿宋_GB2312"/>
          <w:color w:val="auto"/>
          <w:sz w:val="24"/>
          <w:highlight w:val="none"/>
        </w:rPr>
      </w:pPr>
    </w:p>
    <w:p w14:paraId="3A305F70">
      <w:pPr>
        <w:pageBreakBefore w:val="0"/>
        <w:kinsoku/>
        <w:topLinePunct w:val="0"/>
        <w:bidi w:val="0"/>
        <w:spacing w:before="60" w:after="60" w:line="360" w:lineRule="auto"/>
        <w:contextualSpacing/>
        <w:rPr>
          <w:rFonts w:ascii="宋体" w:hAnsi="宋体" w:cs="仿宋_GB2312"/>
          <w:color w:val="auto"/>
          <w:sz w:val="24"/>
          <w:highlight w:val="none"/>
        </w:rPr>
      </w:pPr>
    </w:p>
    <w:p w14:paraId="4B428B78">
      <w:pPr>
        <w:pageBreakBefore w:val="0"/>
        <w:widowControl/>
        <w:kinsoku/>
        <w:topLinePunct w:val="0"/>
        <w:bidi w:val="0"/>
        <w:spacing w:before="60" w:after="60" w:line="360" w:lineRule="auto"/>
        <w:jc w:val="left"/>
        <w:rPr>
          <w:rFonts w:ascii="宋体" w:hAnsi="宋体" w:cs="仿宋_GB2312"/>
          <w:color w:val="auto"/>
          <w:sz w:val="24"/>
          <w:highlight w:val="none"/>
        </w:rPr>
      </w:pPr>
      <w:r>
        <w:rPr>
          <w:rFonts w:hint="eastAsia" w:ascii="宋体" w:hAnsi="宋体" w:cs="仿宋_GB2312"/>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r>
        <w:rPr>
          <w:rFonts w:ascii="宋体" w:hAnsi="宋体" w:cs="仿宋_GB2312"/>
          <w:color w:val="auto"/>
          <w:sz w:val="24"/>
          <w:highlight w:val="none"/>
        </w:rPr>
        <w:br w:type="page"/>
      </w:r>
    </w:p>
    <w:p w14:paraId="0A19C000">
      <w:pPr>
        <w:pageBreakBefore w:val="0"/>
        <w:kinsoku/>
        <w:topLinePunct w:val="0"/>
        <w:bidi w:val="0"/>
        <w:spacing w:before="60" w:after="60" w:line="360" w:lineRule="auto"/>
        <w:jc w:val="center"/>
        <w:rPr>
          <w:rFonts w:asciiTheme="minorEastAsia" w:hAnsiTheme="minorEastAsia" w:eastAsiaTheme="minorEastAsia"/>
          <w:b/>
          <w:bCs/>
          <w:color w:val="auto"/>
          <w:sz w:val="36"/>
          <w:szCs w:val="36"/>
          <w:highlight w:val="none"/>
        </w:rPr>
      </w:pPr>
      <w:r>
        <w:rPr>
          <w:rFonts w:hint="eastAsia" w:cs="方正小标宋简体" w:asciiTheme="minorEastAsia" w:hAnsiTheme="minorEastAsia" w:eastAsiaTheme="minorEastAsia"/>
          <w:color w:val="auto"/>
          <w:sz w:val="36"/>
          <w:szCs w:val="36"/>
          <w:highlight w:val="none"/>
        </w:rPr>
        <w:t>质疑函（格式）</w:t>
      </w:r>
    </w:p>
    <w:p w14:paraId="6AEE9EF6">
      <w:pPr>
        <w:pStyle w:val="16"/>
        <w:pageBreakBefore w:val="0"/>
        <w:kinsoku/>
        <w:topLinePunct w:val="0"/>
        <w:bidi w:val="0"/>
        <w:spacing w:before="60" w:after="60" w:line="360" w:lineRule="auto"/>
        <w:ind w:firstLine="482" w:firstLineChars="200"/>
        <w:contextualSpacing/>
        <w:rPr>
          <w:rFonts w:hAnsi="宋体"/>
          <w:b/>
          <w:bCs/>
          <w:color w:val="auto"/>
          <w:sz w:val="24"/>
          <w:szCs w:val="24"/>
          <w:highlight w:val="none"/>
        </w:rPr>
      </w:pPr>
      <w:r>
        <w:rPr>
          <w:rFonts w:hint="eastAsia" w:hAnsi="宋体"/>
          <w:b/>
          <w:bCs/>
          <w:color w:val="auto"/>
          <w:sz w:val="24"/>
          <w:szCs w:val="24"/>
          <w:highlight w:val="none"/>
        </w:rPr>
        <w:t>一、质疑供应商基本信息：</w:t>
      </w:r>
    </w:p>
    <w:p w14:paraId="66586BCD">
      <w:pPr>
        <w:pStyle w:val="16"/>
        <w:pageBreakBefore w:val="0"/>
        <w:kinsoku/>
        <w:topLinePunct w:val="0"/>
        <w:bidi w:val="0"/>
        <w:spacing w:before="60" w:after="60" w:line="360" w:lineRule="auto"/>
        <w:ind w:firstLine="480" w:firstLineChars="200"/>
        <w:contextualSpacing/>
        <w:rPr>
          <w:rFonts w:hAnsi="宋体"/>
          <w:bCs/>
          <w:color w:val="auto"/>
          <w:sz w:val="24"/>
          <w:szCs w:val="24"/>
          <w:highlight w:val="none"/>
          <w:u w:val="single"/>
        </w:rPr>
      </w:pPr>
      <w:r>
        <w:rPr>
          <w:rFonts w:hint="eastAsia" w:hAnsi="宋体"/>
          <w:bCs/>
          <w:color w:val="auto"/>
          <w:sz w:val="24"/>
          <w:szCs w:val="24"/>
          <w:highlight w:val="none"/>
        </w:rPr>
        <w:t>质疑供应商：</w:t>
      </w:r>
    </w:p>
    <w:p w14:paraId="5C1BBE83">
      <w:pPr>
        <w:pStyle w:val="16"/>
        <w:pageBreakBefore w:val="0"/>
        <w:kinsoku/>
        <w:topLinePunct w:val="0"/>
        <w:bidi w:val="0"/>
        <w:spacing w:before="60" w:after="60" w:line="360" w:lineRule="auto"/>
        <w:ind w:firstLine="480" w:firstLineChars="200"/>
        <w:contextualSpacing/>
        <w:rPr>
          <w:rFonts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 xml:space="preserve">：         </w:t>
      </w:r>
      <w:r>
        <w:rPr>
          <w:rFonts w:hAnsi="宋体"/>
          <w:bCs/>
          <w:color w:val="auto"/>
          <w:sz w:val="24"/>
          <w:szCs w:val="24"/>
          <w:highlight w:val="none"/>
        </w:rPr>
        <w:t>邮编</w:t>
      </w:r>
      <w:r>
        <w:rPr>
          <w:rFonts w:hint="eastAsia" w:hAnsi="宋体"/>
          <w:bCs/>
          <w:color w:val="auto"/>
          <w:sz w:val="24"/>
          <w:szCs w:val="24"/>
          <w:highlight w:val="none"/>
        </w:rPr>
        <w:t>：</w:t>
      </w:r>
    </w:p>
    <w:p w14:paraId="411EA400">
      <w:pPr>
        <w:pStyle w:val="16"/>
        <w:pageBreakBefore w:val="0"/>
        <w:kinsoku/>
        <w:topLinePunct w:val="0"/>
        <w:bidi w:val="0"/>
        <w:spacing w:before="60" w:after="60" w:line="360" w:lineRule="auto"/>
        <w:ind w:firstLine="480" w:firstLineChars="200"/>
        <w:contextualSpacing/>
        <w:rPr>
          <w:rFonts w:hAnsi="宋体"/>
          <w:bCs/>
          <w:color w:val="auto"/>
          <w:sz w:val="24"/>
          <w:szCs w:val="24"/>
          <w:highlight w:val="none"/>
        </w:rPr>
      </w:pPr>
      <w:r>
        <w:rPr>
          <w:rFonts w:hAnsi="宋体"/>
          <w:bCs/>
          <w:color w:val="auto"/>
          <w:sz w:val="24"/>
          <w:szCs w:val="24"/>
          <w:highlight w:val="none"/>
        </w:rPr>
        <w:t>联系人</w:t>
      </w:r>
      <w:r>
        <w:rPr>
          <w:rFonts w:hint="eastAsia" w:hAnsi="宋体"/>
          <w:bCs/>
          <w:color w:val="auto"/>
          <w:sz w:val="24"/>
          <w:szCs w:val="24"/>
          <w:highlight w:val="none"/>
        </w:rPr>
        <w:t xml:space="preserve">：       </w:t>
      </w:r>
      <w:r>
        <w:rPr>
          <w:rFonts w:hAnsi="宋体"/>
          <w:bCs/>
          <w:color w:val="auto"/>
          <w:sz w:val="24"/>
          <w:szCs w:val="24"/>
          <w:highlight w:val="none"/>
        </w:rPr>
        <w:t>联系电话</w:t>
      </w:r>
      <w:r>
        <w:rPr>
          <w:rFonts w:hint="eastAsia" w:hAnsi="宋体"/>
          <w:bCs/>
          <w:color w:val="auto"/>
          <w:sz w:val="24"/>
          <w:szCs w:val="24"/>
          <w:highlight w:val="none"/>
        </w:rPr>
        <w:t>：</w:t>
      </w:r>
    </w:p>
    <w:p w14:paraId="64C30A4C">
      <w:pPr>
        <w:pStyle w:val="16"/>
        <w:pageBreakBefore w:val="0"/>
        <w:kinsoku/>
        <w:topLinePunct w:val="0"/>
        <w:bidi w:val="0"/>
        <w:spacing w:before="60" w:after="60" w:line="360" w:lineRule="auto"/>
        <w:ind w:firstLine="480" w:firstLineChars="200"/>
        <w:contextualSpacing/>
        <w:rPr>
          <w:rFonts w:hAnsi="宋体"/>
          <w:bCs/>
          <w:color w:val="auto"/>
          <w:sz w:val="24"/>
          <w:szCs w:val="24"/>
          <w:highlight w:val="none"/>
        </w:rPr>
      </w:pPr>
      <w:r>
        <w:rPr>
          <w:rFonts w:hint="eastAsia" w:hAnsi="宋体"/>
          <w:bCs/>
          <w:color w:val="auto"/>
          <w:sz w:val="24"/>
          <w:szCs w:val="24"/>
          <w:highlight w:val="none"/>
        </w:rPr>
        <w:t>授权代表：</w:t>
      </w:r>
    </w:p>
    <w:p w14:paraId="491ECD74">
      <w:pPr>
        <w:pStyle w:val="16"/>
        <w:pageBreakBefore w:val="0"/>
        <w:kinsoku/>
        <w:topLinePunct w:val="0"/>
        <w:bidi w:val="0"/>
        <w:spacing w:before="60" w:after="60" w:line="360" w:lineRule="auto"/>
        <w:ind w:firstLine="480" w:firstLineChars="200"/>
        <w:contextualSpacing/>
        <w:rPr>
          <w:rFonts w:hAnsi="宋体"/>
          <w:bCs/>
          <w:color w:val="auto"/>
          <w:sz w:val="24"/>
          <w:szCs w:val="24"/>
          <w:highlight w:val="none"/>
          <w:u w:val="single"/>
        </w:rPr>
      </w:pPr>
      <w:r>
        <w:rPr>
          <w:rFonts w:hAnsi="宋体"/>
          <w:bCs/>
          <w:color w:val="auto"/>
          <w:sz w:val="24"/>
          <w:szCs w:val="24"/>
          <w:highlight w:val="none"/>
        </w:rPr>
        <w:t>联系</w:t>
      </w:r>
      <w:r>
        <w:rPr>
          <w:rFonts w:hint="eastAsia" w:hAnsi="宋体"/>
          <w:bCs/>
          <w:color w:val="auto"/>
          <w:sz w:val="24"/>
          <w:szCs w:val="24"/>
          <w:highlight w:val="none"/>
        </w:rPr>
        <w:t>电话：</w:t>
      </w:r>
    </w:p>
    <w:p w14:paraId="08BFA79F">
      <w:pPr>
        <w:pStyle w:val="16"/>
        <w:pageBreakBefore w:val="0"/>
        <w:kinsoku/>
        <w:topLinePunct w:val="0"/>
        <w:bidi w:val="0"/>
        <w:spacing w:before="60" w:after="60" w:line="360" w:lineRule="auto"/>
        <w:ind w:firstLine="480" w:firstLineChars="200"/>
        <w:contextualSpacing/>
        <w:rPr>
          <w:rFonts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 xml:space="preserve">：         </w:t>
      </w:r>
      <w:r>
        <w:rPr>
          <w:rFonts w:hAnsi="宋体"/>
          <w:bCs/>
          <w:color w:val="auto"/>
          <w:sz w:val="24"/>
          <w:szCs w:val="24"/>
          <w:highlight w:val="none"/>
        </w:rPr>
        <w:t>邮编</w:t>
      </w:r>
      <w:r>
        <w:rPr>
          <w:rFonts w:hint="eastAsia" w:hAnsi="宋体"/>
          <w:bCs/>
          <w:color w:val="auto"/>
          <w:sz w:val="24"/>
          <w:szCs w:val="24"/>
          <w:highlight w:val="none"/>
        </w:rPr>
        <w:t>：</w:t>
      </w:r>
    </w:p>
    <w:p w14:paraId="5654A0AE">
      <w:pPr>
        <w:pStyle w:val="16"/>
        <w:pageBreakBefore w:val="0"/>
        <w:kinsoku/>
        <w:topLinePunct w:val="0"/>
        <w:bidi w:val="0"/>
        <w:spacing w:before="60" w:after="60" w:line="360" w:lineRule="auto"/>
        <w:ind w:firstLine="482" w:firstLineChars="200"/>
        <w:contextualSpacing/>
        <w:rPr>
          <w:rFonts w:hAnsi="宋体"/>
          <w:b/>
          <w:bCs/>
          <w:color w:val="auto"/>
          <w:sz w:val="24"/>
          <w:szCs w:val="24"/>
          <w:highlight w:val="none"/>
        </w:rPr>
      </w:pPr>
      <w:r>
        <w:rPr>
          <w:rFonts w:hint="eastAsia" w:hAnsi="宋体"/>
          <w:b/>
          <w:bCs/>
          <w:color w:val="auto"/>
          <w:sz w:val="24"/>
          <w:szCs w:val="24"/>
          <w:highlight w:val="none"/>
        </w:rPr>
        <w:t>二、质疑项目基本情况：</w:t>
      </w:r>
    </w:p>
    <w:p w14:paraId="66EBC76A">
      <w:pPr>
        <w:pStyle w:val="16"/>
        <w:pageBreakBefore w:val="0"/>
        <w:kinsoku/>
        <w:topLinePunct w:val="0"/>
        <w:bidi w:val="0"/>
        <w:spacing w:before="60" w:after="60" w:line="360" w:lineRule="auto"/>
        <w:ind w:left="25" w:leftChars="12" w:firstLine="472" w:firstLineChars="197"/>
        <w:contextualSpacing/>
        <w:rPr>
          <w:rFonts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p>
    <w:p w14:paraId="11335EC3">
      <w:pPr>
        <w:pStyle w:val="16"/>
        <w:pageBreakBefore w:val="0"/>
        <w:kinsoku/>
        <w:topLinePunct w:val="0"/>
        <w:bidi w:val="0"/>
        <w:spacing w:before="60" w:after="60" w:line="360" w:lineRule="auto"/>
        <w:ind w:left="25" w:leftChars="12" w:firstLine="472" w:firstLineChars="197"/>
        <w:contextualSpacing/>
        <w:rPr>
          <w:rFonts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p>
    <w:p w14:paraId="2052AA1B">
      <w:pPr>
        <w:pStyle w:val="16"/>
        <w:pageBreakBefore w:val="0"/>
        <w:kinsoku/>
        <w:topLinePunct w:val="0"/>
        <w:bidi w:val="0"/>
        <w:spacing w:before="60" w:after="60"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采购人名称：</w:t>
      </w:r>
    </w:p>
    <w:p w14:paraId="1A5D092A">
      <w:pPr>
        <w:pStyle w:val="16"/>
        <w:pageBreakBefore w:val="0"/>
        <w:kinsoku/>
        <w:topLinePunct w:val="0"/>
        <w:bidi w:val="0"/>
        <w:spacing w:before="60" w:after="60"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质疑事项：</w:t>
      </w:r>
    </w:p>
    <w:p w14:paraId="25FF62B6">
      <w:pPr>
        <w:pStyle w:val="16"/>
        <w:pageBreakBefore w:val="0"/>
        <w:kinsoku/>
        <w:topLinePunct w:val="0"/>
        <w:bidi w:val="0"/>
        <w:spacing w:before="60" w:after="60" w:line="360" w:lineRule="auto"/>
        <w:ind w:left="25" w:leftChars="12" w:firstLine="352" w:firstLineChars="147"/>
        <w:contextualSpacing/>
        <w:rPr>
          <w:rFonts w:hAnsi="宋体"/>
          <w:color w:val="auto"/>
          <w:sz w:val="24"/>
          <w:szCs w:val="24"/>
          <w:highlight w:val="none"/>
        </w:rPr>
      </w:pPr>
      <w:r>
        <w:rPr>
          <w:rFonts w:hint="eastAsia" w:hAnsi="宋体"/>
          <w:color w:val="auto"/>
          <w:sz w:val="24"/>
          <w:szCs w:val="24"/>
          <w:highlight w:val="none"/>
        </w:rPr>
        <w:t>□采购文件   采购文件获取日期：</w:t>
      </w:r>
    </w:p>
    <w:p w14:paraId="5ABD2340">
      <w:pPr>
        <w:pStyle w:val="16"/>
        <w:pageBreakBefore w:val="0"/>
        <w:kinsoku/>
        <w:topLinePunct w:val="0"/>
        <w:bidi w:val="0"/>
        <w:spacing w:before="60" w:after="60" w:line="360" w:lineRule="auto"/>
        <w:ind w:left="25" w:leftChars="12" w:firstLine="352" w:firstLineChars="147"/>
        <w:contextualSpacing/>
        <w:rPr>
          <w:rFonts w:hAnsi="宋体"/>
          <w:color w:val="auto"/>
          <w:sz w:val="24"/>
          <w:szCs w:val="24"/>
          <w:highlight w:val="none"/>
        </w:rPr>
      </w:pPr>
      <w:r>
        <w:rPr>
          <w:rFonts w:hint="eastAsia" w:hAnsi="宋体"/>
          <w:color w:val="auto"/>
          <w:sz w:val="24"/>
          <w:szCs w:val="24"/>
          <w:highlight w:val="none"/>
        </w:rPr>
        <w:t xml:space="preserve">□采购过程   </w:t>
      </w:r>
    </w:p>
    <w:p w14:paraId="48EB1F8C">
      <w:pPr>
        <w:pStyle w:val="16"/>
        <w:pageBreakBefore w:val="0"/>
        <w:kinsoku/>
        <w:topLinePunct w:val="0"/>
        <w:bidi w:val="0"/>
        <w:spacing w:before="60" w:after="60" w:line="360" w:lineRule="auto"/>
        <w:ind w:left="25" w:leftChars="12" w:firstLine="352" w:firstLineChars="147"/>
        <w:contextualSpacing/>
        <w:rPr>
          <w:rFonts w:hAnsi="宋体"/>
          <w:bCs/>
          <w:color w:val="auto"/>
          <w:sz w:val="24"/>
          <w:szCs w:val="24"/>
          <w:highlight w:val="none"/>
          <w:u w:val="single"/>
        </w:rPr>
      </w:pPr>
      <w:r>
        <w:rPr>
          <w:rFonts w:hint="eastAsia" w:hAnsi="宋体"/>
          <w:color w:val="auto"/>
          <w:sz w:val="24"/>
          <w:szCs w:val="24"/>
          <w:highlight w:val="none"/>
        </w:rPr>
        <w:t xml:space="preserve">□成交结果   </w:t>
      </w:r>
    </w:p>
    <w:p w14:paraId="513D5BEB">
      <w:pPr>
        <w:pStyle w:val="16"/>
        <w:pageBreakBefore w:val="0"/>
        <w:kinsoku/>
        <w:topLinePunct w:val="0"/>
        <w:bidi w:val="0"/>
        <w:spacing w:before="60" w:after="60" w:line="360" w:lineRule="auto"/>
        <w:ind w:left="25" w:leftChars="12" w:firstLine="472" w:firstLineChars="196"/>
        <w:contextualSpacing/>
        <w:rPr>
          <w:rFonts w:hAnsi="宋体"/>
          <w:b/>
          <w:color w:val="auto"/>
          <w:sz w:val="24"/>
          <w:szCs w:val="24"/>
          <w:highlight w:val="none"/>
        </w:rPr>
      </w:pPr>
      <w:r>
        <w:rPr>
          <w:rFonts w:hint="eastAsia" w:hAnsi="宋体"/>
          <w:b/>
          <w:color w:val="auto"/>
          <w:sz w:val="24"/>
          <w:szCs w:val="24"/>
          <w:highlight w:val="none"/>
        </w:rPr>
        <w:t>三、质疑事项具体内容</w:t>
      </w:r>
    </w:p>
    <w:p w14:paraId="0EDA2647">
      <w:pPr>
        <w:pStyle w:val="16"/>
        <w:pageBreakBefore w:val="0"/>
        <w:kinsoku/>
        <w:topLinePunct w:val="0"/>
        <w:bidi w:val="0"/>
        <w:spacing w:before="60" w:after="60"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质疑事项1：</w:t>
      </w:r>
    </w:p>
    <w:p w14:paraId="24DEEAC6">
      <w:pPr>
        <w:pStyle w:val="16"/>
        <w:pageBreakBefore w:val="0"/>
        <w:kinsoku/>
        <w:topLinePunct w:val="0"/>
        <w:bidi w:val="0"/>
        <w:spacing w:before="60" w:after="60"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事实依据：</w:t>
      </w:r>
    </w:p>
    <w:p w14:paraId="1C786809">
      <w:pPr>
        <w:pStyle w:val="16"/>
        <w:pageBreakBefore w:val="0"/>
        <w:kinsoku/>
        <w:topLinePunct w:val="0"/>
        <w:bidi w:val="0"/>
        <w:spacing w:before="60" w:after="60"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法律依据：</w:t>
      </w:r>
    </w:p>
    <w:p w14:paraId="756AC0F9">
      <w:pPr>
        <w:pStyle w:val="16"/>
        <w:pageBreakBefore w:val="0"/>
        <w:kinsoku/>
        <w:topLinePunct w:val="0"/>
        <w:bidi w:val="0"/>
        <w:spacing w:before="60" w:after="60"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质疑事项2</w:t>
      </w:r>
    </w:p>
    <w:p w14:paraId="29E270B9">
      <w:pPr>
        <w:pStyle w:val="16"/>
        <w:pageBreakBefore w:val="0"/>
        <w:kinsoku/>
        <w:topLinePunct w:val="0"/>
        <w:bidi w:val="0"/>
        <w:spacing w:before="60" w:after="60" w:line="360" w:lineRule="auto"/>
        <w:ind w:left="25" w:leftChars="12" w:firstLine="472" w:firstLineChars="197"/>
        <w:contextualSpacing/>
        <w:rPr>
          <w:rFonts w:hAnsi="宋体"/>
          <w:color w:val="auto"/>
          <w:sz w:val="24"/>
          <w:szCs w:val="24"/>
          <w:highlight w:val="none"/>
        </w:rPr>
      </w:pPr>
      <w:r>
        <w:rPr>
          <w:rFonts w:hAnsi="宋体"/>
          <w:color w:val="auto"/>
          <w:sz w:val="24"/>
          <w:szCs w:val="24"/>
          <w:highlight w:val="none"/>
        </w:rPr>
        <w:t>……</w:t>
      </w:r>
    </w:p>
    <w:p w14:paraId="37B3D301">
      <w:pPr>
        <w:pStyle w:val="16"/>
        <w:pageBreakBefore w:val="0"/>
        <w:kinsoku/>
        <w:topLinePunct w:val="0"/>
        <w:bidi w:val="0"/>
        <w:spacing w:before="60" w:after="60"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四、与质疑事项相关的质疑请求：</w:t>
      </w:r>
    </w:p>
    <w:p w14:paraId="199C83D0">
      <w:pPr>
        <w:pStyle w:val="16"/>
        <w:pageBreakBefore w:val="0"/>
        <w:kinsoku/>
        <w:topLinePunct w:val="0"/>
        <w:bidi w:val="0"/>
        <w:spacing w:before="60" w:after="60"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请求：</w:t>
      </w:r>
    </w:p>
    <w:p w14:paraId="310C6F3C">
      <w:pPr>
        <w:pStyle w:val="16"/>
        <w:pageBreakBefore w:val="0"/>
        <w:kinsoku/>
        <w:topLinePunct w:val="0"/>
        <w:bidi w:val="0"/>
        <w:spacing w:before="60" w:after="60" w:line="360" w:lineRule="auto"/>
        <w:ind w:left="25" w:leftChars="12" w:firstLine="352" w:firstLineChars="147"/>
        <w:contextualSpacing/>
        <w:rPr>
          <w:rFonts w:hAnsi="宋体"/>
          <w:color w:val="auto"/>
          <w:sz w:val="24"/>
          <w:szCs w:val="24"/>
          <w:highlight w:val="none"/>
        </w:rPr>
      </w:pPr>
    </w:p>
    <w:p w14:paraId="3B5F7035">
      <w:pPr>
        <w:pStyle w:val="16"/>
        <w:pageBreakBefore w:val="0"/>
        <w:kinsoku/>
        <w:topLinePunct w:val="0"/>
        <w:bidi w:val="0"/>
        <w:spacing w:before="60" w:after="60"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签字（签章）：                                       公章：</w:t>
      </w:r>
    </w:p>
    <w:p w14:paraId="28DA9509">
      <w:pPr>
        <w:pStyle w:val="16"/>
        <w:pageBreakBefore w:val="0"/>
        <w:kinsoku/>
        <w:topLinePunct w:val="0"/>
        <w:bidi w:val="0"/>
        <w:spacing w:before="60" w:after="60" w:line="360" w:lineRule="auto"/>
        <w:ind w:firstLine="480" w:firstLineChars="200"/>
        <w:contextualSpacing/>
        <w:rPr>
          <w:rFonts w:hAnsi="宋体"/>
          <w:b/>
          <w:color w:val="auto"/>
          <w:sz w:val="24"/>
          <w:szCs w:val="24"/>
          <w:highlight w:val="none"/>
        </w:rPr>
      </w:pPr>
      <w:r>
        <w:rPr>
          <w:rFonts w:hint="eastAsia" w:hAnsi="宋体"/>
          <w:color w:val="auto"/>
          <w:sz w:val="24"/>
          <w:szCs w:val="24"/>
          <w:highlight w:val="none"/>
        </w:rPr>
        <w:t>日期：</w:t>
      </w:r>
    </w:p>
    <w:p w14:paraId="13CAE246">
      <w:pPr>
        <w:pStyle w:val="16"/>
        <w:pageBreakBefore w:val="0"/>
        <w:kinsoku/>
        <w:topLinePunct w:val="0"/>
        <w:bidi w:val="0"/>
        <w:spacing w:before="60" w:after="60" w:line="360" w:lineRule="auto"/>
        <w:contextualSpacing/>
        <w:rPr>
          <w:rFonts w:hAnsi="宋体"/>
          <w:b/>
          <w:color w:val="auto"/>
          <w:sz w:val="24"/>
          <w:szCs w:val="24"/>
          <w:highlight w:val="none"/>
        </w:rPr>
      </w:pPr>
      <w:r>
        <w:rPr>
          <w:rFonts w:hint="eastAsia" w:hAnsi="宋体"/>
          <w:b/>
          <w:color w:val="auto"/>
          <w:sz w:val="24"/>
          <w:szCs w:val="24"/>
          <w:highlight w:val="none"/>
        </w:rPr>
        <w:t>说明：</w:t>
      </w:r>
    </w:p>
    <w:p w14:paraId="407D6C9C">
      <w:pPr>
        <w:pStyle w:val="16"/>
        <w:pageBreakBefore w:val="0"/>
        <w:kinsoku/>
        <w:topLinePunct w:val="0"/>
        <w:bidi w:val="0"/>
        <w:spacing w:before="60" w:after="60" w:line="360" w:lineRule="auto"/>
        <w:ind w:left="25" w:leftChars="12" w:firstLine="354" w:firstLineChars="147"/>
        <w:contextualSpacing/>
        <w:rPr>
          <w:rFonts w:hAnsi="宋体"/>
          <w:b/>
          <w:bCs/>
          <w:color w:val="auto"/>
          <w:sz w:val="24"/>
          <w:szCs w:val="24"/>
          <w:highlight w:val="none"/>
        </w:rPr>
      </w:pPr>
      <w:r>
        <w:rPr>
          <w:rFonts w:hint="eastAsia" w:hAnsi="宋体"/>
          <w:b/>
          <w:color w:val="auto"/>
          <w:sz w:val="24"/>
          <w:szCs w:val="24"/>
          <w:highlight w:val="none"/>
        </w:rPr>
        <w:t>1</w:t>
      </w:r>
      <w:r>
        <w:rPr>
          <w:rFonts w:hint="eastAsia" w:hAnsi="宋体"/>
          <w:b/>
          <w:color w:val="auto"/>
          <w:sz w:val="24"/>
          <w:szCs w:val="24"/>
          <w:highlight w:val="none"/>
          <w:lang w:eastAsia="zh-CN"/>
        </w:rPr>
        <w:t>.</w:t>
      </w:r>
      <w:r>
        <w:rPr>
          <w:rFonts w:hint="eastAsia" w:hAnsi="宋体"/>
          <w:b/>
          <w:color w:val="auto"/>
          <w:sz w:val="24"/>
          <w:szCs w:val="24"/>
          <w:highlight w:val="none"/>
        </w:rPr>
        <w:t>供应商提出质疑时，应提交质疑函和必要的证明材料</w:t>
      </w:r>
      <w:r>
        <w:rPr>
          <w:rFonts w:hint="eastAsia" w:hAnsi="宋体"/>
          <w:b/>
          <w:bCs/>
          <w:color w:val="auto"/>
          <w:sz w:val="24"/>
          <w:szCs w:val="24"/>
          <w:highlight w:val="none"/>
        </w:rPr>
        <w:t>。</w:t>
      </w:r>
    </w:p>
    <w:p w14:paraId="53401462">
      <w:pPr>
        <w:pStyle w:val="16"/>
        <w:pageBreakBefore w:val="0"/>
        <w:kinsoku/>
        <w:topLinePunct w:val="0"/>
        <w:bidi w:val="0"/>
        <w:spacing w:before="60" w:after="60" w:line="360" w:lineRule="auto"/>
        <w:ind w:left="25" w:leftChars="12" w:firstLine="354" w:firstLineChars="147"/>
        <w:contextualSpacing/>
        <w:rPr>
          <w:rFonts w:hAnsi="宋体"/>
          <w:b/>
          <w:color w:val="auto"/>
          <w:sz w:val="24"/>
          <w:szCs w:val="24"/>
          <w:highlight w:val="none"/>
        </w:rPr>
      </w:pPr>
      <w:r>
        <w:rPr>
          <w:rFonts w:hint="eastAsia" w:hAnsi="宋体"/>
          <w:b/>
          <w:color w:val="auto"/>
          <w:sz w:val="24"/>
          <w:szCs w:val="24"/>
          <w:highlight w:val="none"/>
        </w:rPr>
        <w:t>2</w:t>
      </w:r>
      <w:r>
        <w:rPr>
          <w:rFonts w:hint="eastAsia" w:hAnsi="宋体"/>
          <w:b/>
          <w:color w:val="auto"/>
          <w:sz w:val="24"/>
          <w:szCs w:val="24"/>
          <w:highlight w:val="none"/>
          <w:lang w:eastAsia="zh-CN"/>
        </w:rPr>
        <w:t>.</w:t>
      </w:r>
      <w:r>
        <w:rPr>
          <w:rFonts w:hint="eastAsia" w:hAnsi="宋体"/>
          <w:b/>
          <w:color w:val="auto"/>
          <w:sz w:val="24"/>
          <w:szCs w:val="24"/>
          <w:highlight w:val="none"/>
        </w:rPr>
        <w:t>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3ADB8AD">
      <w:pPr>
        <w:pStyle w:val="16"/>
        <w:pageBreakBefore w:val="0"/>
        <w:kinsoku/>
        <w:topLinePunct w:val="0"/>
        <w:bidi w:val="0"/>
        <w:spacing w:before="60" w:after="60" w:line="360" w:lineRule="auto"/>
        <w:ind w:left="25" w:leftChars="12" w:firstLine="354" w:firstLineChars="147"/>
        <w:contextualSpacing/>
        <w:rPr>
          <w:rFonts w:hAnsi="宋体"/>
          <w:b/>
          <w:color w:val="auto"/>
          <w:sz w:val="24"/>
          <w:szCs w:val="24"/>
          <w:highlight w:val="none"/>
        </w:rPr>
      </w:pPr>
      <w:r>
        <w:rPr>
          <w:rFonts w:hint="eastAsia" w:hAnsi="宋体"/>
          <w:b/>
          <w:color w:val="auto"/>
          <w:sz w:val="24"/>
          <w:szCs w:val="24"/>
          <w:highlight w:val="none"/>
        </w:rPr>
        <w:t>3</w:t>
      </w:r>
      <w:r>
        <w:rPr>
          <w:rFonts w:hint="eastAsia" w:hAnsi="宋体"/>
          <w:b/>
          <w:color w:val="auto"/>
          <w:sz w:val="24"/>
          <w:szCs w:val="24"/>
          <w:highlight w:val="none"/>
          <w:lang w:eastAsia="zh-CN"/>
        </w:rPr>
        <w:t>.</w:t>
      </w:r>
      <w:r>
        <w:rPr>
          <w:rFonts w:hint="eastAsia" w:hAnsi="宋体"/>
          <w:b/>
          <w:color w:val="auto"/>
          <w:sz w:val="24"/>
          <w:szCs w:val="24"/>
          <w:highlight w:val="none"/>
        </w:rPr>
        <w:t>质疑函的质疑事项应具体、明确，并有必要的事实依据和法律依据。</w:t>
      </w:r>
    </w:p>
    <w:p w14:paraId="033C040D">
      <w:pPr>
        <w:pStyle w:val="16"/>
        <w:pageBreakBefore w:val="0"/>
        <w:kinsoku/>
        <w:topLinePunct w:val="0"/>
        <w:bidi w:val="0"/>
        <w:spacing w:before="60" w:after="60" w:line="360" w:lineRule="auto"/>
        <w:ind w:left="25" w:leftChars="12" w:firstLine="354" w:firstLineChars="147"/>
        <w:contextualSpacing/>
        <w:rPr>
          <w:rFonts w:hAnsi="宋体"/>
          <w:b/>
          <w:color w:val="auto"/>
          <w:sz w:val="24"/>
          <w:szCs w:val="24"/>
          <w:highlight w:val="none"/>
        </w:rPr>
      </w:pPr>
      <w:r>
        <w:rPr>
          <w:rFonts w:hint="eastAsia" w:hAnsi="宋体"/>
          <w:b/>
          <w:color w:val="auto"/>
          <w:sz w:val="24"/>
          <w:szCs w:val="24"/>
          <w:highlight w:val="none"/>
        </w:rPr>
        <w:t>4</w:t>
      </w:r>
      <w:r>
        <w:rPr>
          <w:rFonts w:hint="eastAsia" w:hAnsi="宋体"/>
          <w:b/>
          <w:color w:val="auto"/>
          <w:sz w:val="24"/>
          <w:szCs w:val="24"/>
          <w:highlight w:val="none"/>
          <w:lang w:eastAsia="zh-CN"/>
        </w:rPr>
        <w:t>.</w:t>
      </w:r>
      <w:r>
        <w:rPr>
          <w:rFonts w:hint="eastAsia" w:hAnsi="宋体"/>
          <w:b/>
          <w:color w:val="auto"/>
          <w:sz w:val="24"/>
          <w:szCs w:val="24"/>
          <w:highlight w:val="none"/>
        </w:rPr>
        <w:t>质疑函的质疑请求应与质疑事项相关。</w:t>
      </w:r>
    </w:p>
    <w:p w14:paraId="0703A5E7">
      <w:pPr>
        <w:pStyle w:val="16"/>
        <w:pageBreakBefore w:val="0"/>
        <w:kinsoku/>
        <w:topLinePunct w:val="0"/>
        <w:bidi w:val="0"/>
        <w:spacing w:before="60" w:after="60" w:line="360" w:lineRule="auto"/>
        <w:ind w:left="25" w:leftChars="12" w:firstLine="354" w:firstLineChars="147"/>
        <w:contextualSpacing/>
        <w:rPr>
          <w:rFonts w:hAnsi="宋体"/>
          <w:b/>
          <w:color w:val="auto"/>
          <w:highlight w:val="none"/>
        </w:rPr>
      </w:pPr>
      <w:r>
        <w:rPr>
          <w:rFonts w:hint="eastAsia" w:hAnsi="宋体"/>
          <w:b/>
          <w:color w:val="auto"/>
          <w:sz w:val="24"/>
          <w:szCs w:val="24"/>
          <w:highlight w:val="none"/>
        </w:rPr>
        <w:t>5</w:t>
      </w:r>
      <w:r>
        <w:rPr>
          <w:rFonts w:hint="eastAsia" w:hAnsi="宋体"/>
          <w:b/>
          <w:color w:val="auto"/>
          <w:sz w:val="24"/>
          <w:szCs w:val="24"/>
          <w:highlight w:val="none"/>
          <w:lang w:eastAsia="zh-CN"/>
        </w:rPr>
        <w:t>.</w:t>
      </w:r>
      <w:r>
        <w:rPr>
          <w:rFonts w:hint="eastAsia" w:hAnsi="宋体"/>
          <w:b/>
          <w:color w:val="auto"/>
          <w:sz w:val="24"/>
          <w:szCs w:val="24"/>
          <w:highlight w:val="none"/>
        </w:rPr>
        <w:t>质疑供应商为法人或者其他组织的，质疑函应由法定代表人、主要负责人，或者其授权代表签字或者盖章，并加盖公章。</w:t>
      </w:r>
    </w:p>
    <w:p w14:paraId="7A599F4B">
      <w:pPr>
        <w:pStyle w:val="16"/>
        <w:pageBreakBefore w:val="0"/>
        <w:kinsoku/>
        <w:topLinePunct w:val="0"/>
        <w:bidi w:val="0"/>
        <w:snapToGrid w:val="0"/>
        <w:spacing w:before="60" w:after="60" w:line="360" w:lineRule="auto"/>
        <w:rPr>
          <w:b/>
          <w:color w:val="auto"/>
          <w:sz w:val="24"/>
          <w:szCs w:val="24"/>
          <w:highlight w:val="none"/>
        </w:rPr>
      </w:pPr>
    </w:p>
    <w:p w14:paraId="15C7AE14">
      <w:pPr>
        <w:pageBreakBefore w:val="0"/>
        <w:kinsoku/>
        <w:topLinePunct w:val="0"/>
        <w:bidi w:val="0"/>
        <w:spacing w:before="60" w:after="60" w:line="360" w:lineRule="auto"/>
        <w:rPr>
          <w:color w:val="auto"/>
          <w:sz w:val="32"/>
          <w:szCs w:val="40"/>
          <w:highlight w:val="none"/>
        </w:rPr>
      </w:pPr>
    </w:p>
    <w:p w14:paraId="3627F379">
      <w:pPr>
        <w:pageBreakBefore w:val="0"/>
        <w:kinsoku/>
        <w:topLinePunct w:val="0"/>
        <w:bidi w:val="0"/>
        <w:spacing w:before="60" w:after="60" w:line="360" w:lineRule="auto"/>
        <w:rPr>
          <w:color w:val="auto"/>
          <w:sz w:val="32"/>
          <w:szCs w:val="40"/>
          <w:highlight w:val="none"/>
        </w:rPr>
      </w:pPr>
    </w:p>
    <w:p w14:paraId="64D41AE6">
      <w:pPr>
        <w:pageBreakBefore w:val="0"/>
        <w:kinsoku/>
        <w:topLinePunct w:val="0"/>
        <w:bidi w:val="0"/>
        <w:spacing w:before="60" w:after="60" w:line="360" w:lineRule="auto"/>
        <w:rPr>
          <w:color w:val="auto"/>
          <w:sz w:val="32"/>
          <w:szCs w:val="40"/>
          <w:highlight w:val="none"/>
        </w:rPr>
      </w:pPr>
    </w:p>
    <w:p w14:paraId="77B4A200">
      <w:pPr>
        <w:pageBreakBefore w:val="0"/>
        <w:kinsoku/>
        <w:topLinePunct w:val="0"/>
        <w:bidi w:val="0"/>
        <w:spacing w:before="60" w:after="60" w:line="360" w:lineRule="auto"/>
        <w:rPr>
          <w:color w:val="auto"/>
          <w:sz w:val="32"/>
          <w:szCs w:val="40"/>
          <w:highlight w:val="none"/>
        </w:rPr>
      </w:pPr>
    </w:p>
    <w:p w14:paraId="2C1D7D7D">
      <w:pPr>
        <w:pageBreakBefore w:val="0"/>
        <w:kinsoku/>
        <w:topLinePunct w:val="0"/>
        <w:bidi w:val="0"/>
        <w:spacing w:before="60" w:after="60" w:line="360" w:lineRule="auto"/>
        <w:rPr>
          <w:color w:val="auto"/>
          <w:sz w:val="32"/>
          <w:szCs w:val="40"/>
          <w:highlight w:val="none"/>
        </w:rPr>
      </w:pPr>
    </w:p>
    <w:p w14:paraId="7964E668">
      <w:pPr>
        <w:pageBreakBefore w:val="0"/>
        <w:kinsoku/>
        <w:topLinePunct w:val="0"/>
        <w:bidi w:val="0"/>
        <w:spacing w:before="60" w:after="60" w:line="360" w:lineRule="auto"/>
        <w:rPr>
          <w:color w:val="auto"/>
          <w:sz w:val="32"/>
          <w:szCs w:val="40"/>
          <w:highlight w:val="none"/>
        </w:rPr>
      </w:pPr>
    </w:p>
    <w:p w14:paraId="43F33EDA">
      <w:pPr>
        <w:pageBreakBefore w:val="0"/>
        <w:kinsoku/>
        <w:topLinePunct w:val="0"/>
        <w:bidi w:val="0"/>
        <w:spacing w:before="60" w:after="60" w:line="360" w:lineRule="auto"/>
        <w:rPr>
          <w:color w:val="auto"/>
          <w:sz w:val="32"/>
          <w:szCs w:val="40"/>
          <w:highlight w:val="none"/>
        </w:rPr>
      </w:pPr>
    </w:p>
    <w:p w14:paraId="4AFFB7D5">
      <w:pPr>
        <w:pageBreakBefore w:val="0"/>
        <w:kinsoku/>
        <w:topLinePunct w:val="0"/>
        <w:bidi w:val="0"/>
        <w:spacing w:before="60" w:after="60" w:line="360" w:lineRule="auto"/>
        <w:rPr>
          <w:color w:val="auto"/>
          <w:sz w:val="32"/>
          <w:szCs w:val="40"/>
          <w:highlight w:val="none"/>
        </w:rPr>
      </w:pPr>
    </w:p>
    <w:p w14:paraId="286F12E5">
      <w:pPr>
        <w:pageBreakBefore w:val="0"/>
        <w:kinsoku/>
        <w:topLinePunct w:val="0"/>
        <w:bidi w:val="0"/>
        <w:spacing w:before="60" w:after="60" w:line="360" w:lineRule="auto"/>
        <w:rPr>
          <w:color w:val="auto"/>
          <w:sz w:val="32"/>
          <w:szCs w:val="40"/>
          <w:highlight w:val="none"/>
        </w:rPr>
      </w:pPr>
    </w:p>
    <w:p w14:paraId="3C192FA6">
      <w:pPr>
        <w:pageBreakBefore w:val="0"/>
        <w:kinsoku/>
        <w:topLinePunct w:val="0"/>
        <w:bidi w:val="0"/>
        <w:spacing w:before="60" w:after="60" w:line="360" w:lineRule="auto"/>
        <w:rPr>
          <w:color w:val="auto"/>
          <w:sz w:val="32"/>
          <w:szCs w:val="40"/>
          <w:highlight w:val="none"/>
        </w:rPr>
      </w:pPr>
    </w:p>
    <w:p w14:paraId="2DACAF3F">
      <w:pPr>
        <w:pageBreakBefore w:val="0"/>
        <w:kinsoku/>
        <w:topLinePunct w:val="0"/>
        <w:bidi w:val="0"/>
        <w:spacing w:before="60" w:after="60" w:line="360" w:lineRule="auto"/>
        <w:rPr>
          <w:color w:val="auto"/>
          <w:sz w:val="32"/>
          <w:szCs w:val="40"/>
          <w:highlight w:val="none"/>
        </w:rPr>
      </w:pPr>
    </w:p>
    <w:p w14:paraId="7C9A43D5">
      <w:pPr>
        <w:pageBreakBefore w:val="0"/>
        <w:kinsoku/>
        <w:topLinePunct w:val="0"/>
        <w:bidi w:val="0"/>
        <w:spacing w:before="60" w:after="60" w:line="360" w:lineRule="auto"/>
        <w:rPr>
          <w:color w:val="auto"/>
          <w:sz w:val="32"/>
          <w:szCs w:val="40"/>
          <w:highlight w:val="none"/>
        </w:rPr>
      </w:pPr>
    </w:p>
    <w:p w14:paraId="3E22528F">
      <w:pPr>
        <w:pageBreakBefore w:val="0"/>
        <w:kinsoku/>
        <w:topLinePunct w:val="0"/>
        <w:bidi w:val="0"/>
        <w:spacing w:before="60" w:after="60" w:line="360" w:lineRule="auto"/>
        <w:rPr>
          <w:color w:val="auto"/>
          <w:sz w:val="32"/>
          <w:szCs w:val="40"/>
          <w:highlight w:val="none"/>
        </w:rPr>
      </w:pPr>
    </w:p>
    <w:p w14:paraId="3CA2AA0B">
      <w:pPr>
        <w:pStyle w:val="29"/>
        <w:pageBreakBefore w:val="0"/>
        <w:kinsoku/>
        <w:topLinePunct w:val="0"/>
        <w:bidi w:val="0"/>
        <w:spacing w:before="60" w:after="60" w:line="360" w:lineRule="auto"/>
        <w:ind w:firstLine="210"/>
        <w:rPr>
          <w:color w:val="auto"/>
          <w:highlight w:val="none"/>
        </w:rPr>
      </w:pPr>
    </w:p>
    <w:p w14:paraId="4B6C467B">
      <w:pPr>
        <w:pStyle w:val="29"/>
        <w:pageBreakBefore w:val="0"/>
        <w:kinsoku/>
        <w:topLinePunct w:val="0"/>
        <w:bidi w:val="0"/>
        <w:spacing w:before="60" w:after="60" w:line="360" w:lineRule="auto"/>
        <w:ind w:firstLine="210"/>
        <w:rPr>
          <w:color w:val="auto"/>
          <w:highlight w:val="none"/>
        </w:rPr>
      </w:pPr>
    </w:p>
    <w:p w14:paraId="73DCDEF6">
      <w:pPr>
        <w:pageBreakBefore w:val="0"/>
        <w:kinsoku/>
        <w:topLinePunct w:val="0"/>
        <w:bidi w:val="0"/>
        <w:spacing w:before="60" w:after="60" w:line="360" w:lineRule="auto"/>
        <w:jc w:val="center"/>
        <w:rPr>
          <w:rFonts w:cs="方正小标宋简体" w:asciiTheme="minorEastAsia" w:hAnsiTheme="minorEastAsia" w:eastAsiaTheme="minorEastAsia"/>
          <w:color w:val="auto"/>
          <w:sz w:val="36"/>
          <w:szCs w:val="36"/>
          <w:highlight w:val="none"/>
        </w:rPr>
      </w:pPr>
      <w:r>
        <w:rPr>
          <w:rFonts w:hint="eastAsia" w:cs="方正小标宋简体" w:asciiTheme="minorEastAsia" w:hAnsiTheme="minorEastAsia" w:eastAsiaTheme="minorEastAsia"/>
          <w:color w:val="auto"/>
          <w:sz w:val="36"/>
          <w:szCs w:val="36"/>
          <w:highlight w:val="none"/>
        </w:rPr>
        <w:t>投诉书（格式）</w:t>
      </w:r>
    </w:p>
    <w:p w14:paraId="339A925E">
      <w:pPr>
        <w:pStyle w:val="16"/>
        <w:pageBreakBefore w:val="0"/>
        <w:kinsoku/>
        <w:topLinePunct w:val="0"/>
        <w:bidi w:val="0"/>
        <w:snapToGrid w:val="0"/>
        <w:spacing w:before="60" w:after="60" w:line="360" w:lineRule="auto"/>
        <w:ind w:firstLine="482" w:firstLineChars="200"/>
        <w:rPr>
          <w:rFonts w:hAnsi="宋体"/>
          <w:b/>
          <w:bCs/>
          <w:color w:val="auto"/>
          <w:sz w:val="24"/>
          <w:szCs w:val="24"/>
          <w:highlight w:val="none"/>
        </w:rPr>
      </w:pPr>
      <w:r>
        <w:rPr>
          <w:rFonts w:hint="eastAsia" w:hAnsi="宋体"/>
          <w:b/>
          <w:bCs/>
          <w:color w:val="auto"/>
          <w:sz w:val="24"/>
          <w:szCs w:val="24"/>
          <w:highlight w:val="none"/>
        </w:rPr>
        <w:t>一、投诉相关主体基本情况：</w:t>
      </w:r>
    </w:p>
    <w:p w14:paraId="54FCEDC8">
      <w:pPr>
        <w:pStyle w:val="16"/>
        <w:pageBreakBefore w:val="0"/>
        <w:kinsoku/>
        <w:topLinePunct w:val="0"/>
        <w:bidi w:val="0"/>
        <w:snapToGrid w:val="0"/>
        <w:spacing w:before="60" w:after="60"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供应商：</w:t>
      </w:r>
    </w:p>
    <w:p w14:paraId="68AE5B19">
      <w:pPr>
        <w:pStyle w:val="16"/>
        <w:pageBreakBefore w:val="0"/>
        <w:kinsoku/>
        <w:topLinePunct w:val="0"/>
        <w:bidi w:val="0"/>
        <w:snapToGrid w:val="0"/>
        <w:spacing w:before="60" w:after="60" w:line="360" w:lineRule="auto"/>
        <w:ind w:firstLine="480" w:firstLineChars="200"/>
        <w:rPr>
          <w:rFonts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Ansi="宋体"/>
          <w:bCs/>
          <w:color w:val="auto"/>
          <w:sz w:val="24"/>
          <w:szCs w:val="24"/>
          <w:highlight w:val="none"/>
        </w:rPr>
        <w:t>邮编</w:t>
      </w:r>
      <w:r>
        <w:rPr>
          <w:rFonts w:hint="eastAsia" w:hAnsi="宋体"/>
          <w:bCs/>
          <w:color w:val="auto"/>
          <w:sz w:val="24"/>
          <w:szCs w:val="24"/>
          <w:highlight w:val="none"/>
        </w:rPr>
        <w:t>：</w:t>
      </w:r>
    </w:p>
    <w:p w14:paraId="52A9BF70">
      <w:pPr>
        <w:pStyle w:val="16"/>
        <w:pageBreakBefore w:val="0"/>
        <w:kinsoku/>
        <w:topLinePunct w:val="0"/>
        <w:bidi w:val="0"/>
        <w:snapToGrid w:val="0"/>
        <w:spacing w:before="60" w:after="60"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法定代表人/主要负责人：</w:t>
      </w:r>
    </w:p>
    <w:p w14:paraId="289C6571">
      <w:pPr>
        <w:pStyle w:val="16"/>
        <w:pageBreakBefore w:val="0"/>
        <w:kinsoku/>
        <w:topLinePunct w:val="0"/>
        <w:bidi w:val="0"/>
        <w:snapToGrid w:val="0"/>
        <w:spacing w:before="60" w:after="60" w:line="360" w:lineRule="auto"/>
        <w:ind w:firstLine="480" w:firstLineChars="200"/>
        <w:rPr>
          <w:rFonts w:hAnsi="宋体"/>
          <w:bCs/>
          <w:color w:val="auto"/>
          <w:sz w:val="24"/>
          <w:szCs w:val="24"/>
          <w:highlight w:val="none"/>
        </w:rPr>
      </w:pPr>
      <w:r>
        <w:rPr>
          <w:rFonts w:hAnsi="宋体"/>
          <w:bCs/>
          <w:color w:val="auto"/>
          <w:sz w:val="24"/>
          <w:szCs w:val="24"/>
          <w:highlight w:val="none"/>
        </w:rPr>
        <w:t>联系电话</w:t>
      </w:r>
      <w:r>
        <w:rPr>
          <w:rFonts w:hint="eastAsia" w:hAnsi="宋体"/>
          <w:bCs/>
          <w:color w:val="auto"/>
          <w:sz w:val="24"/>
          <w:szCs w:val="24"/>
          <w:highlight w:val="none"/>
        </w:rPr>
        <w:t>：</w:t>
      </w:r>
    </w:p>
    <w:p w14:paraId="5F9F655D">
      <w:pPr>
        <w:pStyle w:val="16"/>
        <w:pageBreakBefore w:val="0"/>
        <w:kinsoku/>
        <w:topLinePunct w:val="0"/>
        <w:bidi w:val="0"/>
        <w:snapToGrid w:val="0"/>
        <w:spacing w:before="60" w:after="60"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授权代表：</w:t>
      </w:r>
      <w:r>
        <w:rPr>
          <w:rFonts w:hAnsi="宋体"/>
          <w:bCs/>
          <w:color w:val="auto"/>
          <w:sz w:val="24"/>
          <w:szCs w:val="24"/>
          <w:highlight w:val="none"/>
        </w:rPr>
        <w:t>联系</w:t>
      </w:r>
      <w:r>
        <w:rPr>
          <w:rFonts w:hint="eastAsia" w:hAnsi="宋体"/>
          <w:bCs/>
          <w:color w:val="auto"/>
          <w:sz w:val="24"/>
          <w:szCs w:val="24"/>
          <w:highlight w:val="none"/>
        </w:rPr>
        <w:t>电话：</w:t>
      </w:r>
    </w:p>
    <w:p w14:paraId="2D2787AE">
      <w:pPr>
        <w:pStyle w:val="16"/>
        <w:pageBreakBefore w:val="0"/>
        <w:kinsoku/>
        <w:topLinePunct w:val="0"/>
        <w:bidi w:val="0"/>
        <w:snapToGrid w:val="0"/>
        <w:spacing w:before="60" w:after="60" w:line="360" w:lineRule="auto"/>
        <w:ind w:firstLine="480" w:firstLineChars="200"/>
        <w:rPr>
          <w:rFonts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p>
    <w:p w14:paraId="1876041A">
      <w:pPr>
        <w:pStyle w:val="16"/>
        <w:pageBreakBefore w:val="0"/>
        <w:kinsoku/>
        <w:topLinePunct w:val="0"/>
        <w:bidi w:val="0"/>
        <w:snapToGrid w:val="0"/>
        <w:spacing w:before="60" w:after="60" w:line="360" w:lineRule="auto"/>
        <w:ind w:firstLine="480" w:firstLineChars="200"/>
        <w:rPr>
          <w:rFonts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p>
    <w:p w14:paraId="5EE70265">
      <w:pPr>
        <w:pStyle w:val="16"/>
        <w:pageBreakBefore w:val="0"/>
        <w:kinsoku/>
        <w:topLinePunct w:val="0"/>
        <w:bidi w:val="0"/>
        <w:snapToGrid w:val="0"/>
        <w:spacing w:before="60" w:after="60" w:line="360" w:lineRule="auto"/>
        <w:ind w:firstLine="480" w:firstLineChars="200"/>
        <w:rPr>
          <w:rFonts w:hAnsi="宋体"/>
          <w:bCs/>
          <w:color w:val="auto"/>
          <w:sz w:val="24"/>
          <w:szCs w:val="24"/>
          <w:highlight w:val="none"/>
        </w:rPr>
      </w:pPr>
      <w:r>
        <w:rPr>
          <w:rFonts w:hint="eastAsia" w:hAnsi="宋体"/>
          <w:bCs/>
          <w:color w:val="auto"/>
          <w:sz w:val="24"/>
          <w:szCs w:val="24"/>
          <w:highlight w:val="none"/>
        </w:rPr>
        <w:t>被投诉人1：</w:t>
      </w:r>
    </w:p>
    <w:p w14:paraId="44111E78">
      <w:pPr>
        <w:pStyle w:val="16"/>
        <w:pageBreakBefore w:val="0"/>
        <w:kinsoku/>
        <w:topLinePunct w:val="0"/>
        <w:bidi w:val="0"/>
        <w:snapToGrid w:val="0"/>
        <w:spacing w:before="60" w:after="60"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地址：</w:t>
      </w:r>
    </w:p>
    <w:p w14:paraId="571A777E">
      <w:pPr>
        <w:pStyle w:val="16"/>
        <w:pageBreakBefore w:val="0"/>
        <w:kinsoku/>
        <w:topLinePunct w:val="0"/>
        <w:bidi w:val="0"/>
        <w:snapToGrid w:val="0"/>
        <w:spacing w:before="60" w:after="60" w:line="360" w:lineRule="auto"/>
        <w:ind w:firstLine="480" w:firstLineChars="200"/>
        <w:rPr>
          <w:rFonts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p>
    <w:p w14:paraId="7176268B">
      <w:pPr>
        <w:pStyle w:val="16"/>
        <w:pageBreakBefore w:val="0"/>
        <w:kinsoku/>
        <w:topLinePunct w:val="0"/>
        <w:bidi w:val="0"/>
        <w:snapToGrid w:val="0"/>
        <w:spacing w:before="60" w:after="60"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联系人：</w:t>
      </w:r>
      <w:r>
        <w:rPr>
          <w:rFonts w:hAnsi="宋体"/>
          <w:bCs/>
          <w:color w:val="auto"/>
          <w:sz w:val="24"/>
          <w:szCs w:val="24"/>
          <w:highlight w:val="none"/>
        </w:rPr>
        <w:t>联系</w:t>
      </w:r>
      <w:r>
        <w:rPr>
          <w:rFonts w:hint="eastAsia" w:hAnsi="宋体"/>
          <w:bCs/>
          <w:color w:val="auto"/>
          <w:sz w:val="24"/>
          <w:szCs w:val="24"/>
          <w:highlight w:val="none"/>
        </w:rPr>
        <w:t>电话：</w:t>
      </w:r>
    </w:p>
    <w:p w14:paraId="361048FD">
      <w:pPr>
        <w:pStyle w:val="16"/>
        <w:pageBreakBefore w:val="0"/>
        <w:kinsoku/>
        <w:topLinePunct w:val="0"/>
        <w:bidi w:val="0"/>
        <w:snapToGrid w:val="0"/>
        <w:spacing w:before="60" w:after="60" w:line="360" w:lineRule="auto"/>
        <w:ind w:firstLine="480" w:firstLineChars="200"/>
        <w:rPr>
          <w:rFonts w:hAnsi="宋体"/>
          <w:bCs/>
          <w:color w:val="auto"/>
          <w:sz w:val="24"/>
          <w:szCs w:val="24"/>
          <w:highlight w:val="none"/>
        </w:rPr>
      </w:pPr>
      <w:r>
        <w:rPr>
          <w:rFonts w:hint="eastAsia" w:hAnsi="宋体"/>
          <w:bCs/>
          <w:color w:val="auto"/>
          <w:sz w:val="24"/>
          <w:szCs w:val="24"/>
          <w:highlight w:val="none"/>
        </w:rPr>
        <w:t>被投诉人2：</w:t>
      </w:r>
    </w:p>
    <w:p w14:paraId="14BF868A">
      <w:pPr>
        <w:pStyle w:val="16"/>
        <w:pageBreakBefore w:val="0"/>
        <w:kinsoku/>
        <w:topLinePunct w:val="0"/>
        <w:bidi w:val="0"/>
        <w:snapToGrid w:val="0"/>
        <w:spacing w:before="60" w:after="60" w:line="360" w:lineRule="auto"/>
        <w:ind w:firstLine="480" w:firstLineChars="200"/>
        <w:rPr>
          <w:rFonts w:hAnsi="宋体"/>
          <w:bCs/>
          <w:color w:val="auto"/>
          <w:sz w:val="24"/>
          <w:szCs w:val="24"/>
          <w:highlight w:val="none"/>
        </w:rPr>
      </w:pPr>
      <w:r>
        <w:rPr>
          <w:rFonts w:hAnsi="宋体"/>
          <w:bCs/>
          <w:color w:val="auto"/>
          <w:sz w:val="24"/>
          <w:szCs w:val="24"/>
          <w:highlight w:val="none"/>
        </w:rPr>
        <w:t>……</w:t>
      </w:r>
    </w:p>
    <w:p w14:paraId="12D62C4D">
      <w:pPr>
        <w:pStyle w:val="16"/>
        <w:pageBreakBefore w:val="0"/>
        <w:kinsoku/>
        <w:topLinePunct w:val="0"/>
        <w:bidi w:val="0"/>
        <w:snapToGrid w:val="0"/>
        <w:spacing w:before="60" w:after="60"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相关供应商：</w:t>
      </w:r>
    </w:p>
    <w:p w14:paraId="0DCDFDB4">
      <w:pPr>
        <w:pStyle w:val="16"/>
        <w:pageBreakBefore w:val="0"/>
        <w:kinsoku/>
        <w:topLinePunct w:val="0"/>
        <w:bidi w:val="0"/>
        <w:snapToGrid w:val="0"/>
        <w:spacing w:before="60" w:after="60" w:line="360" w:lineRule="auto"/>
        <w:ind w:firstLine="480" w:firstLineChars="200"/>
        <w:rPr>
          <w:rFonts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Ansi="宋体"/>
          <w:bCs/>
          <w:color w:val="auto"/>
          <w:sz w:val="24"/>
          <w:szCs w:val="24"/>
          <w:highlight w:val="none"/>
        </w:rPr>
        <w:t>邮编</w:t>
      </w:r>
      <w:r>
        <w:rPr>
          <w:rFonts w:hint="eastAsia" w:hAnsi="宋体"/>
          <w:bCs/>
          <w:color w:val="auto"/>
          <w:sz w:val="24"/>
          <w:szCs w:val="24"/>
          <w:highlight w:val="none"/>
        </w:rPr>
        <w:t>：</w:t>
      </w:r>
    </w:p>
    <w:p w14:paraId="17BCF547">
      <w:pPr>
        <w:pStyle w:val="16"/>
        <w:pageBreakBefore w:val="0"/>
        <w:kinsoku/>
        <w:topLinePunct w:val="0"/>
        <w:bidi w:val="0"/>
        <w:snapToGrid w:val="0"/>
        <w:spacing w:before="60" w:after="60" w:line="360" w:lineRule="auto"/>
        <w:ind w:firstLine="480" w:firstLineChars="200"/>
        <w:rPr>
          <w:rFonts w:hAnsi="宋体"/>
          <w:bCs/>
          <w:color w:val="auto"/>
          <w:sz w:val="24"/>
          <w:szCs w:val="24"/>
          <w:highlight w:val="none"/>
        </w:rPr>
      </w:pPr>
      <w:r>
        <w:rPr>
          <w:rFonts w:hint="eastAsia" w:hAnsi="宋体"/>
          <w:bCs/>
          <w:color w:val="auto"/>
          <w:sz w:val="24"/>
          <w:szCs w:val="24"/>
          <w:highlight w:val="none"/>
        </w:rPr>
        <w:t>联系人：</w:t>
      </w:r>
      <w:r>
        <w:rPr>
          <w:rFonts w:hAnsi="宋体"/>
          <w:bCs/>
          <w:color w:val="auto"/>
          <w:sz w:val="24"/>
          <w:szCs w:val="24"/>
          <w:highlight w:val="none"/>
        </w:rPr>
        <w:t>联系</w:t>
      </w:r>
      <w:r>
        <w:rPr>
          <w:rFonts w:hint="eastAsia" w:hAnsi="宋体"/>
          <w:bCs/>
          <w:color w:val="auto"/>
          <w:sz w:val="24"/>
          <w:szCs w:val="24"/>
          <w:highlight w:val="none"/>
        </w:rPr>
        <w:t>电话：</w:t>
      </w:r>
    </w:p>
    <w:p w14:paraId="42FCE9C4">
      <w:pPr>
        <w:pStyle w:val="16"/>
        <w:pageBreakBefore w:val="0"/>
        <w:kinsoku/>
        <w:topLinePunct w:val="0"/>
        <w:bidi w:val="0"/>
        <w:snapToGrid w:val="0"/>
        <w:spacing w:before="60" w:after="60" w:line="360" w:lineRule="auto"/>
        <w:ind w:firstLine="482" w:firstLineChars="200"/>
        <w:rPr>
          <w:rFonts w:hAnsi="宋体"/>
          <w:b/>
          <w:bCs/>
          <w:color w:val="auto"/>
          <w:sz w:val="24"/>
          <w:szCs w:val="24"/>
          <w:highlight w:val="none"/>
        </w:rPr>
      </w:pPr>
      <w:r>
        <w:rPr>
          <w:rFonts w:hint="eastAsia" w:hAnsi="宋体"/>
          <w:b/>
          <w:bCs/>
          <w:color w:val="auto"/>
          <w:sz w:val="24"/>
          <w:szCs w:val="24"/>
          <w:highlight w:val="none"/>
        </w:rPr>
        <w:t>二、投诉项目基本情况：</w:t>
      </w:r>
    </w:p>
    <w:p w14:paraId="61E05F7E">
      <w:pPr>
        <w:pStyle w:val="16"/>
        <w:pageBreakBefore w:val="0"/>
        <w:kinsoku/>
        <w:topLinePunct w:val="0"/>
        <w:bidi w:val="0"/>
        <w:spacing w:before="60" w:after="60" w:line="360" w:lineRule="auto"/>
        <w:ind w:left="25" w:leftChars="12" w:firstLine="472" w:firstLineChars="197"/>
        <w:rPr>
          <w:rFonts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项目的名称：</w:t>
      </w:r>
    </w:p>
    <w:p w14:paraId="55FDD2DB">
      <w:pPr>
        <w:pStyle w:val="16"/>
        <w:pageBreakBefore w:val="0"/>
        <w:kinsoku/>
        <w:topLinePunct w:val="0"/>
        <w:bidi w:val="0"/>
        <w:spacing w:before="60" w:after="60" w:line="360" w:lineRule="auto"/>
        <w:ind w:left="25" w:leftChars="12" w:firstLine="472" w:firstLineChars="197"/>
        <w:rPr>
          <w:rFonts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项目的编号：</w:t>
      </w:r>
    </w:p>
    <w:p w14:paraId="08821AB8">
      <w:pPr>
        <w:pStyle w:val="16"/>
        <w:pageBreakBefore w:val="0"/>
        <w:kinsoku/>
        <w:topLinePunct w:val="0"/>
        <w:bidi w:val="0"/>
        <w:spacing w:before="60" w:after="60" w:line="360" w:lineRule="auto"/>
        <w:ind w:left="25" w:leftChars="12" w:firstLine="472" w:firstLineChars="197"/>
        <w:rPr>
          <w:rFonts w:hAnsi="宋体"/>
          <w:bCs/>
          <w:color w:val="auto"/>
          <w:sz w:val="24"/>
          <w:szCs w:val="24"/>
          <w:highlight w:val="none"/>
          <w:u w:val="single"/>
        </w:rPr>
      </w:pPr>
      <w:r>
        <w:rPr>
          <w:rFonts w:hint="eastAsia" w:hAnsi="宋体"/>
          <w:color w:val="auto"/>
          <w:sz w:val="24"/>
          <w:szCs w:val="24"/>
          <w:highlight w:val="none"/>
        </w:rPr>
        <w:t>采购人名称：</w:t>
      </w:r>
    </w:p>
    <w:p w14:paraId="08E2B158">
      <w:pPr>
        <w:pStyle w:val="16"/>
        <w:pageBreakBefore w:val="0"/>
        <w:kinsoku/>
        <w:topLinePunct w:val="0"/>
        <w:bidi w:val="0"/>
        <w:spacing w:before="60" w:after="60" w:line="360" w:lineRule="auto"/>
        <w:ind w:left="25" w:leftChars="12" w:firstLine="472" w:firstLineChars="197"/>
        <w:rPr>
          <w:rFonts w:hAnsi="宋体"/>
          <w:bCs/>
          <w:color w:val="auto"/>
          <w:sz w:val="24"/>
          <w:szCs w:val="24"/>
          <w:highlight w:val="none"/>
          <w:u w:val="single"/>
        </w:rPr>
      </w:pPr>
      <w:r>
        <w:rPr>
          <w:rFonts w:hint="eastAsia" w:hAnsi="宋体"/>
          <w:color w:val="auto"/>
          <w:sz w:val="24"/>
          <w:szCs w:val="24"/>
          <w:highlight w:val="none"/>
        </w:rPr>
        <w:t>代理机构名称：</w:t>
      </w:r>
    </w:p>
    <w:p w14:paraId="3E47ADD4">
      <w:pPr>
        <w:pStyle w:val="16"/>
        <w:pageBreakBefore w:val="0"/>
        <w:kinsoku/>
        <w:topLinePunct w:val="0"/>
        <w:bidi w:val="0"/>
        <w:spacing w:before="60" w:after="60" w:line="360" w:lineRule="auto"/>
        <w:ind w:left="25" w:leftChars="12" w:firstLine="472" w:firstLineChars="197"/>
        <w:rPr>
          <w:rFonts w:hAnsi="宋体"/>
          <w:bCs/>
          <w:color w:val="auto"/>
          <w:sz w:val="24"/>
          <w:szCs w:val="24"/>
          <w:highlight w:val="none"/>
          <w:u w:val="single"/>
        </w:rPr>
      </w:pPr>
      <w:r>
        <w:rPr>
          <w:rFonts w:hint="eastAsia" w:hAnsi="宋体"/>
          <w:bCs/>
          <w:color w:val="auto"/>
          <w:sz w:val="24"/>
          <w:szCs w:val="24"/>
          <w:highlight w:val="none"/>
        </w:rPr>
        <w:t>采购文件公告：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p>
    <w:p w14:paraId="172E312C">
      <w:pPr>
        <w:pStyle w:val="16"/>
        <w:pageBreakBefore w:val="0"/>
        <w:kinsoku/>
        <w:topLinePunct w:val="0"/>
        <w:bidi w:val="0"/>
        <w:spacing w:before="60" w:after="60" w:line="360" w:lineRule="auto"/>
        <w:ind w:left="25" w:leftChars="12" w:firstLine="472" w:firstLineChars="197"/>
        <w:rPr>
          <w:rFonts w:hAnsi="宋体"/>
          <w:b/>
          <w:color w:val="auto"/>
          <w:sz w:val="24"/>
          <w:szCs w:val="24"/>
          <w:highlight w:val="none"/>
        </w:rPr>
      </w:pPr>
      <w:r>
        <w:rPr>
          <w:rFonts w:hint="eastAsia" w:hAnsi="宋体"/>
          <w:bCs/>
          <w:color w:val="auto"/>
          <w:sz w:val="24"/>
          <w:szCs w:val="24"/>
          <w:highlight w:val="none"/>
        </w:rPr>
        <w:t>采购结果公告：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p>
    <w:p w14:paraId="0C0D6C38">
      <w:pPr>
        <w:pStyle w:val="16"/>
        <w:pageBreakBefore w:val="0"/>
        <w:kinsoku/>
        <w:topLinePunct w:val="0"/>
        <w:bidi w:val="0"/>
        <w:spacing w:before="60" w:after="60" w:line="360" w:lineRule="auto"/>
        <w:ind w:left="25" w:leftChars="12" w:firstLine="472" w:firstLineChars="196"/>
        <w:rPr>
          <w:rFonts w:hAnsi="宋体"/>
          <w:b/>
          <w:color w:val="auto"/>
          <w:sz w:val="24"/>
          <w:szCs w:val="24"/>
          <w:highlight w:val="none"/>
        </w:rPr>
      </w:pPr>
      <w:r>
        <w:rPr>
          <w:rFonts w:hint="eastAsia" w:hAnsi="宋体"/>
          <w:b/>
          <w:color w:val="auto"/>
          <w:sz w:val="24"/>
          <w:szCs w:val="24"/>
          <w:highlight w:val="none"/>
        </w:rPr>
        <w:t>三、质疑基本情况</w:t>
      </w:r>
    </w:p>
    <w:p w14:paraId="1F55B539">
      <w:pPr>
        <w:pStyle w:val="16"/>
        <w:pageBreakBefore w:val="0"/>
        <w:kinsoku/>
        <w:topLinePunct w:val="0"/>
        <w:bidi w:val="0"/>
        <w:spacing w:before="60" w:after="60" w:line="360" w:lineRule="auto"/>
        <w:ind w:firstLine="480" w:firstLineChars="200"/>
        <w:rPr>
          <w:rFonts w:hAnsi="宋体"/>
          <w:color w:val="auto"/>
          <w:sz w:val="24"/>
          <w:szCs w:val="24"/>
          <w:highlight w:val="none"/>
        </w:rPr>
      </w:pPr>
      <w:r>
        <w:rPr>
          <w:rFonts w:hint="eastAsia" w:hAnsi="宋体"/>
          <w:color w:val="auto"/>
          <w:sz w:val="24"/>
          <w:szCs w:val="24"/>
          <w:highlight w:val="none"/>
        </w:rPr>
        <w:t>投诉人于年月日，向提出质疑，质疑事项为：</w:t>
      </w:r>
    </w:p>
    <w:p w14:paraId="42D7F220">
      <w:pPr>
        <w:pStyle w:val="16"/>
        <w:pageBreakBefore w:val="0"/>
        <w:kinsoku/>
        <w:topLinePunct w:val="0"/>
        <w:bidi w:val="0"/>
        <w:spacing w:before="60" w:after="60" w:line="360" w:lineRule="auto"/>
        <w:ind w:firstLine="480" w:firstLineChars="200"/>
        <w:rPr>
          <w:rFonts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color w:val="auto"/>
          <w:sz w:val="24"/>
          <w:szCs w:val="24"/>
          <w:highlight w:val="none"/>
        </w:rPr>
        <w:t>年月日，</w:t>
      </w:r>
      <w:r>
        <w:rPr>
          <w:rFonts w:hint="eastAsia" w:hAnsi="宋体"/>
          <w:bCs/>
          <w:color w:val="auto"/>
          <w:sz w:val="24"/>
          <w:szCs w:val="24"/>
          <w:highlight w:val="none"/>
        </w:rPr>
        <w:t xml:space="preserve">就质疑事项作出了答复/没有在法定期限内作出答复。                                                                                             </w:t>
      </w:r>
    </w:p>
    <w:p w14:paraId="6152E7A1">
      <w:pPr>
        <w:pStyle w:val="16"/>
        <w:pageBreakBefore w:val="0"/>
        <w:kinsoku/>
        <w:topLinePunct w:val="0"/>
        <w:bidi w:val="0"/>
        <w:spacing w:before="60" w:after="60" w:line="360" w:lineRule="auto"/>
        <w:ind w:left="25" w:leftChars="12" w:firstLine="472" w:firstLineChars="196"/>
        <w:rPr>
          <w:rFonts w:hAnsi="宋体"/>
          <w:b/>
          <w:color w:val="auto"/>
          <w:sz w:val="24"/>
          <w:szCs w:val="24"/>
          <w:highlight w:val="none"/>
        </w:rPr>
      </w:pPr>
      <w:r>
        <w:rPr>
          <w:rFonts w:hint="eastAsia" w:hAnsi="宋体"/>
          <w:b/>
          <w:color w:val="auto"/>
          <w:sz w:val="24"/>
          <w:szCs w:val="24"/>
          <w:highlight w:val="none"/>
        </w:rPr>
        <w:t>四、投诉事项具体内容</w:t>
      </w:r>
    </w:p>
    <w:p w14:paraId="11DE2ABE">
      <w:pPr>
        <w:pStyle w:val="16"/>
        <w:pageBreakBefore w:val="0"/>
        <w:kinsoku/>
        <w:topLinePunct w:val="0"/>
        <w:bidi w:val="0"/>
        <w:spacing w:before="60" w:after="60" w:line="360" w:lineRule="auto"/>
        <w:ind w:left="25" w:leftChars="12" w:firstLine="472" w:firstLineChars="197"/>
        <w:rPr>
          <w:rFonts w:hAnsi="宋体"/>
          <w:bCs/>
          <w:color w:val="auto"/>
          <w:sz w:val="24"/>
          <w:szCs w:val="24"/>
          <w:highlight w:val="none"/>
          <w:u w:val="single"/>
        </w:rPr>
      </w:pPr>
      <w:r>
        <w:rPr>
          <w:rFonts w:hint="eastAsia" w:hAnsi="宋体"/>
          <w:color w:val="auto"/>
          <w:sz w:val="24"/>
          <w:szCs w:val="24"/>
          <w:highlight w:val="none"/>
        </w:rPr>
        <w:t>投诉事项1：</w:t>
      </w:r>
    </w:p>
    <w:p w14:paraId="1DAEC22F">
      <w:pPr>
        <w:pStyle w:val="16"/>
        <w:pageBreakBefore w:val="0"/>
        <w:kinsoku/>
        <w:topLinePunct w:val="0"/>
        <w:bidi w:val="0"/>
        <w:spacing w:before="60" w:after="60"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事实依据：</w:t>
      </w:r>
    </w:p>
    <w:p w14:paraId="57F4638F">
      <w:pPr>
        <w:pStyle w:val="16"/>
        <w:pageBreakBefore w:val="0"/>
        <w:kinsoku/>
        <w:topLinePunct w:val="0"/>
        <w:bidi w:val="0"/>
        <w:spacing w:before="60" w:after="60" w:line="360" w:lineRule="auto"/>
        <w:ind w:left="25" w:leftChars="12" w:firstLine="472" w:firstLineChars="197"/>
        <w:rPr>
          <w:rFonts w:hAnsi="宋体"/>
          <w:color w:val="auto"/>
          <w:sz w:val="24"/>
          <w:szCs w:val="24"/>
          <w:highlight w:val="none"/>
        </w:rPr>
      </w:pPr>
    </w:p>
    <w:p w14:paraId="0EACABED">
      <w:pPr>
        <w:pStyle w:val="16"/>
        <w:pageBreakBefore w:val="0"/>
        <w:kinsoku/>
        <w:topLinePunct w:val="0"/>
        <w:bidi w:val="0"/>
        <w:spacing w:before="60" w:after="60"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法律依据：</w:t>
      </w:r>
    </w:p>
    <w:p w14:paraId="4075076D">
      <w:pPr>
        <w:pStyle w:val="16"/>
        <w:pageBreakBefore w:val="0"/>
        <w:kinsoku/>
        <w:topLinePunct w:val="0"/>
        <w:bidi w:val="0"/>
        <w:spacing w:before="60" w:after="60" w:line="360" w:lineRule="auto"/>
        <w:ind w:left="25" w:leftChars="12" w:firstLine="352" w:firstLineChars="147"/>
        <w:rPr>
          <w:rFonts w:hAnsi="宋体"/>
          <w:bCs/>
          <w:color w:val="auto"/>
          <w:sz w:val="24"/>
          <w:szCs w:val="24"/>
          <w:highlight w:val="none"/>
          <w:u w:val="single"/>
        </w:rPr>
      </w:pPr>
    </w:p>
    <w:p w14:paraId="429C69C9">
      <w:pPr>
        <w:pStyle w:val="16"/>
        <w:pageBreakBefore w:val="0"/>
        <w:kinsoku/>
        <w:topLinePunct w:val="0"/>
        <w:bidi w:val="0"/>
        <w:spacing w:before="60" w:after="60" w:line="360" w:lineRule="auto"/>
        <w:ind w:left="25" w:leftChars="12" w:firstLine="472" w:firstLineChars="197"/>
        <w:rPr>
          <w:rFonts w:hAnsi="宋体"/>
          <w:bCs/>
          <w:color w:val="auto"/>
          <w:sz w:val="24"/>
          <w:szCs w:val="24"/>
          <w:highlight w:val="none"/>
        </w:rPr>
      </w:pPr>
      <w:r>
        <w:rPr>
          <w:rFonts w:hint="eastAsia" w:hAnsi="宋体"/>
          <w:color w:val="auto"/>
          <w:sz w:val="24"/>
          <w:szCs w:val="24"/>
          <w:highlight w:val="none"/>
        </w:rPr>
        <w:t xml:space="preserve">投诉事项2  </w:t>
      </w:r>
    </w:p>
    <w:p w14:paraId="31DE4F41">
      <w:pPr>
        <w:pStyle w:val="16"/>
        <w:pageBreakBefore w:val="0"/>
        <w:kinsoku/>
        <w:topLinePunct w:val="0"/>
        <w:bidi w:val="0"/>
        <w:spacing w:before="60" w:after="60" w:line="360" w:lineRule="auto"/>
        <w:ind w:left="25" w:leftChars="12" w:firstLine="472" w:firstLineChars="197"/>
        <w:rPr>
          <w:rFonts w:hAnsi="宋体"/>
          <w:bCs/>
          <w:color w:val="auto"/>
          <w:sz w:val="24"/>
          <w:szCs w:val="24"/>
          <w:highlight w:val="none"/>
        </w:rPr>
      </w:pPr>
      <w:r>
        <w:rPr>
          <w:rFonts w:hAnsi="宋体"/>
          <w:bCs/>
          <w:color w:val="auto"/>
          <w:sz w:val="24"/>
          <w:szCs w:val="24"/>
          <w:highlight w:val="none"/>
        </w:rPr>
        <w:t>……</w:t>
      </w:r>
    </w:p>
    <w:p w14:paraId="5719EA7E">
      <w:pPr>
        <w:pStyle w:val="16"/>
        <w:pageBreakBefore w:val="0"/>
        <w:kinsoku/>
        <w:topLinePunct w:val="0"/>
        <w:bidi w:val="0"/>
        <w:spacing w:before="60" w:after="60" w:line="360" w:lineRule="auto"/>
        <w:ind w:left="25" w:leftChars="12" w:firstLine="472" w:firstLineChars="196"/>
        <w:rPr>
          <w:rFonts w:hAnsi="宋体"/>
          <w:b/>
          <w:color w:val="auto"/>
          <w:sz w:val="24"/>
          <w:szCs w:val="24"/>
          <w:highlight w:val="none"/>
        </w:rPr>
      </w:pPr>
      <w:r>
        <w:rPr>
          <w:rFonts w:hint="eastAsia" w:hAnsi="宋体"/>
          <w:b/>
          <w:color w:val="auto"/>
          <w:sz w:val="24"/>
          <w:szCs w:val="24"/>
          <w:highlight w:val="none"/>
        </w:rPr>
        <w:t>五、与投诉事项相关的投诉请求：</w:t>
      </w:r>
    </w:p>
    <w:p w14:paraId="04A443F3">
      <w:pPr>
        <w:pStyle w:val="16"/>
        <w:pageBreakBefore w:val="0"/>
        <w:kinsoku/>
        <w:topLinePunct w:val="0"/>
        <w:bidi w:val="0"/>
        <w:spacing w:before="60" w:after="60" w:line="360" w:lineRule="auto"/>
        <w:ind w:left="25" w:leftChars="12" w:firstLine="472" w:firstLineChars="197"/>
        <w:rPr>
          <w:rFonts w:hAnsi="宋体"/>
          <w:color w:val="auto"/>
          <w:sz w:val="24"/>
          <w:szCs w:val="24"/>
          <w:highlight w:val="none"/>
        </w:rPr>
      </w:pPr>
      <w:r>
        <w:rPr>
          <w:rFonts w:hint="eastAsia" w:hAnsi="宋体"/>
          <w:color w:val="auto"/>
          <w:sz w:val="24"/>
          <w:szCs w:val="24"/>
          <w:highlight w:val="none"/>
        </w:rPr>
        <w:t>请求：</w:t>
      </w:r>
    </w:p>
    <w:p w14:paraId="22D9FB72">
      <w:pPr>
        <w:pStyle w:val="16"/>
        <w:pageBreakBefore w:val="0"/>
        <w:kinsoku/>
        <w:topLinePunct w:val="0"/>
        <w:bidi w:val="0"/>
        <w:spacing w:before="60" w:after="60" w:line="360" w:lineRule="auto"/>
        <w:ind w:left="25" w:leftChars="12" w:firstLine="352" w:firstLineChars="147"/>
        <w:rPr>
          <w:rFonts w:hAnsi="宋体"/>
          <w:color w:val="auto"/>
          <w:sz w:val="24"/>
          <w:szCs w:val="24"/>
          <w:highlight w:val="none"/>
        </w:rPr>
      </w:pPr>
    </w:p>
    <w:p w14:paraId="30508C67">
      <w:pPr>
        <w:pStyle w:val="16"/>
        <w:pageBreakBefore w:val="0"/>
        <w:kinsoku/>
        <w:topLinePunct w:val="0"/>
        <w:bidi w:val="0"/>
        <w:spacing w:before="60" w:after="60" w:line="360" w:lineRule="auto"/>
        <w:ind w:left="25" w:leftChars="12" w:firstLine="472" w:firstLineChars="197"/>
        <w:rPr>
          <w:rFonts w:hAnsi="宋体"/>
          <w:color w:val="auto"/>
          <w:sz w:val="24"/>
          <w:szCs w:val="24"/>
          <w:highlight w:val="none"/>
        </w:rPr>
      </w:pPr>
      <w:r>
        <w:rPr>
          <w:rFonts w:hint="eastAsia" w:hAnsi="宋体"/>
          <w:color w:val="auto"/>
          <w:sz w:val="24"/>
          <w:szCs w:val="24"/>
          <w:highlight w:val="none"/>
        </w:rPr>
        <w:t>签字（签章）：                                       公章：</w:t>
      </w:r>
    </w:p>
    <w:p w14:paraId="496F2636">
      <w:pPr>
        <w:pStyle w:val="16"/>
        <w:pageBreakBefore w:val="0"/>
        <w:kinsoku/>
        <w:topLinePunct w:val="0"/>
        <w:bidi w:val="0"/>
        <w:spacing w:before="60" w:after="60" w:line="360" w:lineRule="auto"/>
        <w:ind w:left="25" w:leftChars="12" w:firstLine="352" w:firstLineChars="147"/>
        <w:rPr>
          <w:rFonts w:hAnsi="宋体"/>
          <w:color w:val="auto"/>
          <w:sz w:val="24"/>
          <w:szCs w:val="24"/>
          <w:highlight w:val="none"/>
        </w:rPr>
      </w:pPr>
    </w:p>
    <w:p w14:paraId="69CA004A">
      <w:pPr>
        <w:pStyle w:val="16"/>
        <w:pageBreakBefore w:val="0"/>
        <w:kinsoku/>
        <w:topLinePunct w:val="0"/>
        <w:bidi w:val="0"/>
        <w:spacing w:before="60" w:after="60" w:line="360" w:lineRule="auto"/>
        <w:ind w:left="25" w:leftChars="12" w:firstLine="472" w:firstLineChars="197"/>
        <w:rPr>
          <w:rFonts w:hAnsi="宋体"/>
          <w:color w:val="auto"/>
          <w:sz w:val="24"/>
          <w:szCs w:val="24"/>
          <w:highlight w:val="none"/>
        </w:rPr>
      </w:pPr>
      <w:r>
        <w:rPr>
          <w:rFonts w:hint="eastAsia" w:hAnsi="宋体"/>
          <w:color w:val="auto"/>
          <w:sz w:val="24"/>
          <w:szCs w:val="24"/>
          <w:highlight w:val="none"/>
        </w:rPr>
        <w:t>日期：</w:t>
      </w:r>
    </w:p>
    <w:p w14:paraId="04312DAA">
      <w:pPr>
        <w:pStyle w:val="16"/>
        <w:pageBreakBefore w:val="0"/>
        <w:kinsoku/>
        <w:topLinePunct w:val="0"/>
        <w:bidi w:val="0"/>
        <w:snapToGrid w:val="0"/>
        <w:spacing w:before="60" w:after="60" w:line="360" w:lineRule="auto"/>
        <w:rPr>
          <w:rFonts w:hAnsi="宋体"/>
          <w:b/>
          <w:color w:val="auto"/>
          <w:sz w:val="24"/>
          <w:szCs w:val="24"/>
          <w:highlight w:val="none"/>
        </w:rPr>
      </w:pPr>
      <w:r>
        <w:rPr>
          <w:rFonts w:hint="eastAsia" w:hAnsi="宋体"/>
          <w:b/>
          <w:color w:val="auto"/>
          <w:sz w:val="24"/>
          <w:szCs w:val="24"/>
          <w:highlight w:val="none"/>
        </w:rPr>
        <w:t>说明：</w:t>
      </w:r>
    </w:p>
    <w:p w14:paraId="78317A08">
      <w:pPr>
        <w:pStyle w:val="16"/>
        <w:pageBreakBefore w:val="0"/>
        <w:kinsoku/>
        <w:topLinePunct w:val="0"/>
        <w:bidi w:val="0"/>
        <w:spacing w:before="60" w:after="60" w:line="360" w:lineRule="auto"/>
        <w:ind w:left="25" w:leftChars="12" w:firstLine="354" w:firstLineChars="147"/>
        <w:rPr>
          <w:rFonts w:hAnsi="宋体"/>
          <w:b/>
          <w:bCs/>
          <w:color w:val="auto"/>
          <w:sz w:val="24"/>
          <w:szCs w:val="24"/>
          <w:highlight w:val="none"/>
        </w:rPr>
      </w:pPr>
      <w:r>
        <w:rPr>
          <w:rFonts w:hint="eastAsia" w:hAnsi="宋体"/>
          <w:b/>
          <w:color w:val="auto"/>
          <w:sz w:val="24"/>
          <w:szCs w:val="24"/>
          <w:highlight w:val="none"/>
        </w:rPr>
        <w:t>1</w:t>
      </w:r>
      <w:r>
        <w:rPr>
          <w:rFonts w:hint="eastAsia" w:hAnsi="宋体"/>
          <w:b/>
          <w:color w:val="auto"/>
          <w:sz w:val="24"/>
          <w:szCs w:val="24"/>
          <w:highlight w:val="none"/>
          <w:lang w:eastAsia="zh-CN"/>
        </w:rPr>
        <w:t>.</w:t>
      </w:r>
      <w:r>
        <w:rPr>
          <w:rFonts w:hint="eastAsia" w:hAnsi="宋体"/>
          <w:b/>
          <w:color w:val="auto"/>
          <w:sz w:val="24"/>
          <w:szCs w:val="24"/>
          <w:highlight w:val="none"/>
        </w:rPr>
        <w:t>投诉人提起投诉时，应当提交投诉书和必要的证明材料，并按照被投诉人和与投诉事项有关的供应商数量提供投诉书副本</w:t>
      </w:r>
      <w:r>
        <w:rPr>
          <w:rFonts w:hint="eastAsia" w:hAnsi="宋体"/>
          <w:b/>
          <w:bCs/>
          <w:color w:val="auto"/>
          <w:sz w:val="24"/>
          <w:szCs w:val="24"/>
          <w:highlight w:val="none"/>
        </w:rPr>
        <w:t>。</w:t>
      </w:r>
    </w:p>
    <w:p w14:paraId="465CBD13">
      <w:pPr>
        <w:pStyle w:val="16"/>
        <w:pageBreakBefore w:val="0"/>
        <w:kinsoku/>
        <w:topLinePunct w:val="0"/>
        <w:bidi w:val="0"/>
        <w:spacing w:before="60" w:after="60" w:line="360" w:lineRule="auto"/>
        <w:ind w:left="25" w:leftChars="12" w:firstLine="354" w:firstLineChars="147"/>
        <w:rPr>
          <w:rFonts w:hAnsi="宋体"/>
          <w:b/>
          <w:color w:val="auto"/>
          <w:sz w:val="24"/>
          <w:szCs w:val="24"/>
          <w:highlight w:val="none"/>
        </w:rPr>
      </w:pPr>
      <w:r>
        <w:rPr>
          <w:rFonts w:hint="eastAsia" w:hAnsi="宋体"/>
          <w:b/>
          <w:color w:val="auto"/>
          <w:sz w:val="24"/>
          <w:szCs w:val="24"/>
          <w:highlight w:val="none"/>
        </w:rPr>
        <w:t>2</w:t>
      </w:r>
      <w:r>
        <w:rPr>
          <w:rFonts w:hint="eastAsia" w:hAnsi="宋体"/>
          <w:b/>
          <w:color w:val="auto"/>
          <w:sz w:val="24"/>
          <w:szCs w:val="24"/>
          <w:highlight w:val="none"/>
          <w:lang w:eastAsia="zh-CN"/>
        </w:rPr>
        <w:t>.</w:t>
      </w:r>
      <w:r>
        <w:rPr>
          <w:rFonts w:hint="eastAsia" w:hAnsi="宋体"/>
          <w:b/>
          <w:color w:val="auto"/>
          <w:sz w:val="24"/>
          <w:szCs w:val="24"/>
          <w:highlight w:val="none"/>
        </w:rPr>
        <w:t>投诉人若委托代理人进行投诉的，投诉书应按要求列明“授权代表”的有关内容，并在附件中提交由投诉人签署的授权委托书。授权委托书应当载明代理人的姓名或者名称、代理事项、具体权限、期限和相关事项。</w:t>
      </w:r>
    </w:p>
    <w:p w14:paraId="61B9F9EB">
      <w:pPr>
        <w:pStyle w:val="16"/>
        <w:pageBreakBefore w:val="0"/>
        <w:kinsoku/>
        <w:topLinePunct w:val="0"/>
        <w:bidi w:val="0"/>
        <w:spacing w:before="60" w:after="60" w:line="360" w:lineRule="auto"/>
        <w:ind w:left="25" w:leftChars="12" w:firstLine="354" w:firstLineChars="147"/>
        <w:rPr>
          <w:rFonts w:hAnsi="宋体"/>
          <w:b/>
          <w:color w:val="auto"/>
          <w:sz w:val="24"/>
          <w:szCs w:val="24"/>
          <w:highlight w:val="none"/>
        </w:rPr>
      </w:pPr>
      <w:r>
        <w:rPr>
          <w:rFonts w:hint="eastAsia" w:hAnsi="宋体"/>
          <w:b/>
          <w:color w:val="auto"/>
          <w:sz w:val="24"/>
          <w:szCs w:val="24"/>
          <w:highlight w:val="none"/>
        </w:rPr>
        <w:t>3</w:t>
      </w:r>
      <w:r>
        <w:rPr>
          <w:rFonts w:hint="eastAsia" w:hAnsi="宋体"/>
          <w:b/>
          <w:color w:val="auto"/>
          <w:sz w:val="24"/>
          <w:szCs w:val="24"/>
          <w:highlight w:val="none"/>
          <w:lang w:eastAsia="zh-CN"/>
        </w:rPr>
        <w:t>.</w:t>
      </w:r>
      <w:r>
        <w:rPr>
          <w:rFonts w:hint="eastAsia" w:hAnsi="宋体"/>
          <w:b/>
          <w:color w:val="auto"/>
          <w:sz w:val="24"/>
          <w:szCs w:val="24"/>
          <w:highlight w:val="none"/>
        </w:rPr>
        <w:t>投诉书应简要列明质疑事项，质疑函、质疑答复等作为附件材料提供。</w:t>
      </w:r>
    </w:p>
    <w:p w14:paraId="1D6642F4">
      <w:pPr>
        <w:pStyle w:val="16"/>
        <w:pageBreakBefore w:val="0"/>
        <w:kinsoku/>
        <w:topLinePunct w:val="0"/>
        <w:bidi w:val="0"/>
        <w:spacing w:before="60" w:after="60" w:line="360" w:lineRule="auto"/>
        <w:ind w:left="25" w:leftChars="12" w:firstLine="354" w:firstLineChars="147"/>
        <w:rPr>
          <w:rFonts w:hAnsi="宋体"/>
          <w:b/>
          <w:color w:val="auto"/>
          <w:sz w:val="24"/>
          <w:szCs w:val="24"/>
          <w:highlight w:val="none"/>
        </w:rPr>
      </w:pPr>
      <w:r>
        <w:rPr>
          <w:rFonts w:hint="eastAsia" w:hAnsi="宋体"/>
          <w:b/>
          <w:color w:val="auto"/>
          <w:sz w:val="24"/>
          <w:szCs w:val="24"/>
          <w:highlight w:val="none"/>
        </w:rPr>
        <w:t>4</w:t>
      </w:r>
      <w:r>
        <w:rPr>
          <w:rFonts w:hint="eastAsia" w:hAnsi="宋体"/>
          <w:b/>
          <w:color w:val="auto"/>
          <w:sz w:val="24"/>
          <w:szCs w:val="24"/>
          <w:highlight w:val="none"/>
          <w:lang w:eastAsia="zh-CN"/>
        </w:rPr>
        <w:t>.</w:t>
      </w:r>
      <w:r>
        <w:rPr>
          <w:rFonts w:hint="eastAsia" w:hAnsi="宋体"/>
          <w:b/>
          <w:color w:val="auto"/>
          <w:sz w:val="24"/>
          <w:szCs w:val="24"/>
          <w:highlight w:val="none"/>
        </w:rPr>
        <w:t>投诉书的投诉事项应具体、明确，并有必要的事实依据和法律依据。</w:t>
      </w:r>
    </w:p>
    <w:p w14:paraId="2238811B">
      <w:pPr>
        <w:pStyle w:val="16"/>
        <w:pageBreakBefore w:val="0"/>
        <w:kinsoku/>
        <w:topLinePunct w:val="0"/>
        <w:bidi w:val="0"/>
        <w:spacing w:before="60" w:after="60" w:line="360" w:lineRule="auto"/>
        <w:ind w:left="25" w:leftChars="12" w:firstLine="354" w:firstLineChars="147"/>
        <w:rPr>
          <w:rFonts w:hAnsi="宋体"/>
          <w:b/>
          <w:color w:val="auto"/>
          <w:sz w:val="24"/>
          <w:szCs w:val="24"/>
          <w:highlight w:val="none"/>
        </w:rPr>
      </w:pPr>
      <w:r>
        <w:rPr>
          <w:rFonts w:hint="eastAsia" w:hAnsi="宋体"/>
          <w:b/>
          <w:color w:val="auto"/>
          <w:sz w:val="24"/>
          <w:szCs w:val="24"/>
          <w:highlight w:val="none"/>
        </w:rPr>
        <w:t>5</w:t>
      </w:r>
      <w:r>
        <w:rPr>
          <w:rFonts w:hint="eastAsia" w:hAnsi="宋体"/>
          <w:b/>
          <w:color w:val="auto"/>
          <w:sz w:val="24"/>
          <w:szCs w:val="24"/>
          <w:highlight w:val="none"/>
          <w:lang w:eastAsia="zh-CN"/>
        </w:rPr>
        <w:t>.</w:t>
      </w:r>
      <w:r>
        <w:rPr>
          <w:rFonts w:hint="eastAsia" w:hAnsi="宋体"/>
          <w:b/>
          <w:color w:val="auto"/>
          <w:sz w:val="24"/>
          <w:szCs w:val="24"/>
          <w:highlight w:val="none"/>
        </w:rPr>
        <w:t>投诉书的投诉请求应与投诉事项相关。</w:t>
      </w:r>
    </w:p>
    <w:p w14:paraId="4BC207BD">
      <w:pPr>
        <w:pStyle w:val="16"/>
        <w:pageBreakBefore w:val="0"/>
        <w:kinsoku/>
        <w:topLinePunct w:val="0"/>
        <w:bidi w:val="0"/>
        <w:spacing w:before="60" w:after="60" w:line="360" w:lineRule="auto"/>
        <w:ind w:left="25" w:leftChars="12" w:firstLine="354" w:firstLineChars="147"/>
        <w:rPr>
          <w:rFonts w:hAnsi="宋体"/>
          <w:b/>
          <w:color w:val="auto"/>
          <w:highlight w:val="none"/>
        </w:rPr>
      </w:pPr>
      <w:r>
        <w:rPr>
          <w:rFonts w:hint="eastAsia" w:hAnsi="宋体"/>
          <w:b/>
          <w:color w:val="auto"/>
          <w:sz w:val="24"/>
          <w:szCs w:val="24"/>
          <w:highlight w:val="none"/>
        </w:rPr>
        <w:t>6</w:t>
      </w:r>
      <w:r>
        <w:rPr>
          <w:rFonts w:hint="eastAsia" w:hAnsi="宋体"/>
          <w:b/>
          <w:color w:val="auto"/>
          <w:sz w:val="24"/>
          <w:szCs w:val="24"/>
          <w:highlight w:val="none"/>
          <w:lang w:eastAsia="zh-CN"/>
        </w:rPr>
        <w:t>.</w:t>
      </w:r>
      <w:r>
        <w:rPr>
          <w:rFonts w:hint="eastAsia" w:hAnsi="宋体"/>
          <w:b/>
          <w:color w:val="auto"/>
          <w:sz w:val="24"/>
          <w:szCs w:val="24"/>
          <w:highlight w:val="none"/>
        </w:rPr>
        <w:t>投诉人为法人或者其他组织的，投诉书应由法定代表人、主要负责人，或者其授权代表签字或者盖章，并加盖公章。</w:t>
      </w:r>
    </w:p>
    <w:p w14:paraId="307487F9">
      <w:pPr>
        <w:pStyle w:val="4"/>
        <w:pageBreakBefore w:val="0"/>
        <w:kinsoku/>
        <w:topLinePunct w:val="0"/>
        <w:bidi w:val="0"/>
        <w:spacing w:before="60" w:after="60" w:line="360" w:lineRule="auto"/>
        <w:jc w:val="center"/>
        <w:rPr>
          <w:rFonts w:hint="eastAsia"/>
          <w:color w:val="auto"/>
          <w:highlight w:val="none"/>
        </w:rPr>
      </w:pPr>
      <w:bookmarkStart w:id="182" w:name="_Toc1964"/>
    </w:p>
    <w:p w14:paraId="144032AA">
      <w:pPr>
        <w:pStyle w:val="4"/>
        <w:pageBreakBefore w:val="0"/>
        <w:kinsoku/>
        <w:topLinePunct w:val="0"/>
        <w:bidi w:val="0"/>
        <w:spacing w:before="60" w:after="60" w:line="360" w:lineRule="auto"/>
        <w:jc w:val="center"/>
        <w:rPr>
          <w:rFonts w:hint="eastAsia"/>
          <w:color w:val="auto"/>
          <w:highlight w:val="none"/>
        </w:rPr>
      </w:pPr>
    </w:p>
    <w:p w14:paraId="50F1485C">
      <w:pPr>
        <w:pStyle w:val="4"/>
        <w:pageBreakBefore w:val="0"/>
        <w:kinsoku/>
        <w:topLinePunct w:val="0"/>
        <w:bidi w:val="0"/>
        <w:spacing w:before="60" w:after="60" w:line="360" w:lineRule="auto"/>
        <w:jc w:val="center"/>
        <w:rPr>
          <w:rFonts w:hint="eastAsia"/>
          <w:color w:val="auto"/>
          <w:highlight w:val="none"/>
        </w:rPr>
      </w:pPr>
    </w:p>
    <w:p w14:paraId="0220BE01">
      <w:pPr>
        <w:pStyle w:val="4"/>
        <w:pageBreakBefore w:val="0"/>
        <w:kinsoku/>
        <w:topLinePunct w:val="0"/>
        <w:bidi w:val="0"/>
        <w:spacing w:before="60" w:after="60" w:line="360" w:lineRule="auto"/>
        <w:jc w:val="center"/>
        <w:rPr>
          <w:rFonts w:hint="eastAsia"/>
          <w:color w:val="auto"/>
          <w:highlight w:val="none"/>
        </w:rPr>
      </w:pPr>
    </w:p>
    <w:p w14:paraId="6CD8203E">
      <w:pPr>
        <w:pStyle w:val="4"/>
        <w:pageBreakBefore w:val="0"/>
        <w:kinsoku/>
        <w:topLinePunct w:val="0"/>
        <w:bidi w:val="0"/>
        <w:spacing w:before="60" w:after="60" w:line="360" w:lineRule="auto"/>
        <w:jc w:val="center"/>
        <w:rPr>
          <w:rFonts w:hint="eastAsia"/>
          <w:color w:val="auto"/>
          <w:highlight w:val="none"/>
        </w:rPr>
      </w:pPr>
    </w:p>
    <w:p w14:paraId="6260C660">
      <w:pPr>
        <w:pStyle w:val="4"/>
        <w:pageBreakBefore w:val="0"/>
        <w:kinsoku/>
        <w:topLinePunct w:val="0"/>
        <w:bidi w:val="0"/>
        <w:spacing w:before="60" w:after="60" w:line="360" w:lineRule="auto"/>
        <w:jc w:val="center"/>
        <w:rPr>
          <w:rFonts w:hint="eastAsia"/>
          <w:color w:val="auto"/>
          <w:highlight w:val="none"/>
        </w:rPr>
      </w:pPr>
    </w:p>
    <w:p w14:paraId="73EEE9DF">
      <w:pPr>
        <w:pStyle w:val="4"/>
        <w:pageBreakBefore w:val="0"/>
        <w:kinsoku/>
        <w:topLinePunct w:val="0"/>
        <w:bidi w:val="0"/>
        <w:spacing w:before="60" w:after="60" w:line="360" w:lineRule="auto"/>
        <w:jc w:val="center"/>
        <w:rPr>
          <w:color w:val="auto"/>
          <w:highlight w:val="none"/>
        </w:rPr>
      </w:pPr>
      <w:r>
        <w:rPr>
          <w:rFonts w:hint="eastAsia"/>
          <w:color w:val="auto"/>
          <w:highlight w:val="none"/>
        </w:rPr>
        <w:t>第六章 合同文本</w:t>
      </w:r>
      <w:bookmarkEnd w:id="182"/>
    </w:p>
    <w:p w14:paraId="041894AE">
      <w:pPr>
        <w:pageBreakBefore w:val="0"/>
        <w:kinsoku/>
        <w:topLinePunct w:val="0"/>
        <w:bidi w:val="0"/>
        <w:spacing w:before="60" w:after="60" w:line="360" w:lineRule="auto"/>
        <w:ind w:left="2222"/>
        <w:rPr>
          <w:rFonts w:ascii="宋体" w:hAnsi="宋体" w:eastAsia="宋体" w:cs="宋体"/>
          <w:b/>
          <w:bCs/>
          <w:color w:val="auto"/>
          <w:spacing w:val="6"/>
          <w:sz w:val="31"/>
          <w:szCs w:val="31"/>
          <w:highlight w:val="none"/>
        </w:rPr>
      </w:pPr>
    </w:p>
    <w:p w14:paraId="7D5E9E33">
      <w:pPr>
        <w:pageBreakBefore w:val="0"/>
        <w:kinsoku/>
        <w:topLinePunct w:val="0"/>
        <w:bidi w:val="0"/>
        <w:spacing w:before="60" w:after="60" w:line="360" w:lineRule="auto"/>
        <w:ind w:left="2222"/>
        <w:rPr>
          <w:rFonts w:ascii="宋体" w:hAnsi="宋体" w:eastAsia="宋体" w:cs="宋体"/>
          <w:b/>
          <w:bCs/>
          <w:color w:val="auto"/>
          <w:spacing w:val="6"/>
          <w:sz w:val="31"/>
          <w:szCs w:val="31"/>
          <w:highlight w:val="none"/>
        </w:rPr>
      </w:pPr>
    </w:p>
    <w:p w14:paraId="552EF876">
      <w:pPr>
        <w:pageBreakBefore w:val="0"/>
        <w:kinsoku/>
        <w:topLinePunct w:val="0"/>
        <w:bidi w:val="0"/>
        <w:spacing w:before="60" w:after="60" w:line="360" w:lineRule="auto"/>
        <w:ind w:left="2222"/>
        <w:rPr>
          <w:rFonts w:ascii="宋体" w:hAnsi="宋体" w:eastAsia="宋体" w:cs="宋体"/>
          <w:b/>
          <w:bCs/>
          <w:color w:val="auto"/>
          <w:spacing w:val="6"/>
          <w:sz w:val="31"/>
          <w:szCs w:val="31"/>
          <w:highlight w:val="none"/>
        </w:rPr>
      </w:pPr>
    </w:p>
    <w:p w14:paraId="6ED573F2">
      <w:pPr>
        <w:pageBreakBefore w:val="0"/>
        <w:kinsoku/>
        <w:topLinePunct w:val="0"/>
        <w:bidi w:val="0"/>
        <w:spacing w:before="60" w:after="60" w:line="360" w:lineRule="auto"/>
        <w:ind w:left="2222"/>
        <w:rPr>
          <w:rFonts w:ascii="宋体" w:hAnsi="宋体" w:eastAsia="宋体" w:cs="宋体"/>
          <w:b/>
          <w:bCs/>
          <w:color w:val="auto"/>
          <w:spacing w:val="6"/>
          <w:sz w:val="31"/>
          <w:szCs w:val="31"/>
          <w:highlight w:val="none"/>
        </w:rPr>
      </w:pPr>
    </w:p>
    <w:p w14:paraId="5C50D1C1">
      <w:pPr>
        <w:pageBreakBefore w:val="0"/>
        <w:kinsoku/>
        <w:topLinePunct w:val="0"/>
        <w:bidi w:val="0"/>
        <w:spacing w:before="60" w:after="60" w:line="360" w:lineRule="auto"/>
        <w:ind w:left="2222"/>
        <w:rPr>
          <w:rFonts w:ascii="宋体" w:hAnsi="宋体" w:eastAsia="宋体" w:cs="宋体"/>
          <w:b/>
          <w:bCs/>
          <w:color w:val="auto"/>
          <w:spacing w:val="6"/>
          <w:sz w:val="31"/>
          <w:szCs w:val="31"/>
          <w:highlight w:val="none"/>
        </w:rPr>
      </w:pPr>
    </w:p>
    <w:p w14:paraId="57153546">
      <w:pPr>
        <w:pageBreakBefore w:val="0"/>
        <w:kinsoku/>
        <w:topLinePunct w:val="0"/>
        <w:bidi w:val="0"/>
        <w:spacing w:before="60" w:after="60" w:line="360" w:lineRule="auto"/>
        <w:ind w:left="2222"/>
        <w:rPr>
          <w:rFonts w:ascii="宋体" w:hAnsi="宋体" w:eastAsia="宋体" w:cs="宋体"/>
          <w:b/>
          <w:bCs/>
          <w:color w:val="auto"/>
          <w:spacing w:val="6"/>
          <w:sz w:val="31"/>
          <w:szCs w:val="31"/>
          <w:highlight w:val="none"/>
        </w:rPr>
      </w:pPr>
    </w:p>
    <w:p w14:paraId="4FCB3179">
      <w:pPr>
        <w:pageBreakBefore w:val="0"/>
        <w:kinsoku/>
        <w:topLinePunct w:val="0"/>
        <w:bidi w:val="0"/>
        <w:spacing w:before="60" w:after="60" w:line="360" w:lineRule="auto"/>
        <w:ind w:left="2222"/>
        <w:rPr>
          <w:rFonts w:ascii="宋体" w:hAnsi="宋体" w:eastAsia="宋体" w:cs="宋体"/>
          <w:b/>
          <w:bCs/>
          <w:color w:val="auto"/>
          <w:spacing w:val="6"/>
          <w:sz w:val="31"/>
          <w:szCs w:val="31"/>
          <w:highlight w:val="none"/>
        </w:rPr>
      </w:pPr>
    </w:p>
    <w:p w14:paraId="29BD6CB2">
      <w:pPr>
        <w:pageBreakBefore w:val="0"/>
        <w:kinsoku/>
        <w:topLinePunct w:val="0"/>
        <w:bidi w:val="0"/>
        <w:spacing w:before="60" w:after="60" w:line="360" w:lineRule="auto"/>
        <w:ind w:left="2222"/>
        <w:rPr>
          <w:rFonts w:ascii="宋体" w:hAnsi="宋体" w:eastAsia="宋体" w:cs="宋体"/>
          <w:b/>
          <w:bCs/>
          <w:color w:val="auto"/>
          <w:spacing w:val="6"/>
          <w:sz w:val="31"/>
          <w:szCs w:val="31"/>
          <w:highlight w:val="none"/>
        </w:rPr>
      </w:pPr>
    </w:p>
    <w:p w14:paraId="3630BA3F">
      <w:pPr>
        <w:pageBreakBefore w:val="0"/>
        <w:kinsoku/>
        <w:topLinePunct w:val="0"/>
        <w:bidi w:val="0"/>
        <w:spacing w:before="60" w:after="60" w:line="360" w:lineRule="auto"/>
        <w:ind w:left="2222"/>
        <w:rPr>
          <w:rFonts w:ascii="宋体" w:hAnsi="宋体" w:eastAsia="宋体" w:cs="宋体"/>
          <w:b/>
          <w:bCs/>
          <w:color w:val="auto"/>
          <w:spacing w:val="6"/>
          <w:sz w:val="31"/>
          <w:szCs w:val="31"/>
          <w:highlight w:val="none"/>
        </w:rPr>
      </w:pPr>
    </w:p>
    <w:p w14:paraId="7E6C4628">
      <w:pPr>
        <w:pageBreakBefore w:val="0"/>
        <w:kinsoku/>
        <w:topLinePunct w:val="0"/>
        <w:bidi w:val="0"/>
        <w:spacing w:before="60" w:after="60" w:line="360" w:lineRule="auto"/>
        <w:ind w:left="2222"/>
        <w:rPr>
          <w:rFonts w:ascii="宋体" w:hAnsi="宋体" w:eastAsia="宋体" w:cs="宋体"/>
          <w:b/>
          <w:bCs/>
          <w:color w:val="auto"/>
          <w:spacing w:val="6"/>
          <w:sz w:val="31"/>
          <w:szCs w:val="31"/>
          <w:highlight w:val="none"/>
        </w:rPr>
      </w:pPr>
    </w:p>
    <w:p w14:paraId="7CB97BBA">
      <w:pPr>
        <w:pageBreakBefore w:val="0"/>
        <w:kinsoku/>
        <w:topLinePunct w:val="0"/>
        <w:bidi w:val="0"/>
        <w:spacing w:before="60" w:after="60" w:line="360" w:lineRule="auto"/>
        <w:ind w:left="2222"/>
        <w:rPr>
          <w:rFonts w:ascii="宋体" w:hAnsi="宋体" w:eastAsia="宋体" w:cs="宋体"/>
          <w:b/>
          <w:bCs/>
          <w:color w:val="auto"/>
          <w:spacing w:val="6"/>
          <w:sz w:val="31"/>
          <w:szCs w:val="31"/>
          <w:highlight w:val="none"/>
        </w:rPr>
      </w:pPr>
    </w:p>
    <w:p w14:paraId="69F41BD7">
      <w:pPr>
        <w:pageBreakBefore w:val="0"/>
        <w:kinsoku/>
        <w:topLinePunct w:val="0"/>
        <w:bidi w:val="0"/>
        <w:spacing w:before="60" w:after="60" w:line="360" w:lineRule="auto"/>
        <w:ind w:left="2222"/>
        <w:rPr>
          <w:rFonts w:ascii="宋体" w:hAnsi="宋体" w:eastAsia="宋体" w:cs="宋体"/>
          <w:b/>
          <w:bCs/>
          <w:color w:val="auto"/>
          <w:spacing w:val="6"/>
          <w:sz w:val="31"/>
          <w:szCs w:val="31"/>
          <w:highlight w:val="none"/>
        </w:rPr>
      </w:pPr>
    </w:p>
    <w:p w14:paraId="2DF32F53">
      <w:pPr>
        <w:pageBreakBefore w:val="0"/>
        <w:kinsoku/>
        <w:topLinePunct w:val="0"/>
        <w:bidi w:val="0"/>
        <w:spacing w:before="60" w:after="60" w:line="360" w:lineRule="auto"/>
        <w:ind w:left="2222"/>
        <w:rPr>
          <w:rFonts w:ascii="宋体" w:hAnsi="宋体" w:eastAsia="宋体" w:cs="宋体"/>
          <w:b/>
          <w:bCs/>
          <w:color w:val="auto"/>
          <w:spacing w:val="6"/>
          <w:sz w:val="31"/>
          <w:szCs w:val="31"/>
          <w:highlight w:val="none"/>
        </w:rPr>
      </w:pPr>
    </w:p>
    <w:p w14:paraId="305FF899">
      <w:pPr>
        <w:spacing w:line="360" w:lineRule="auto"/>
        <w:jc w:val="center"/>
        <w:rPr>
          <w:rFonts w:hint="eastAsia" w:ascii="宋体" w:hAnsi="宋体" w:eastAsia="宋体" w:cs="宋体"/>
          <w:b/>
          <w:bCs/>
          <w:color w:val="auto"/>
          <w:sz w:val="44"/>
          <w:highlight w:val="none"/>
        </w:rPr>
      </w:pPr>
      <w:r>
        <w:rPr>
          <w:rFonts w:hint="eastAsia" w:ascii="宋体" w:hAnsi="宋体" w:cs="宋体"/>
          <w:b/>
          <w:bCs/>
          <w:color w:val="auto"/>
          <w:sz w:val="44"/>
          <w:highlight w:val="none"/>
          <w:u w:val="single"/>
          <w:lang w:eastAsia="zh-CN"/>
        </w:rPr>
        <w:t>浦北县农民工创业园能力提升项目</w:t>
      </w:r>
      <w:r>
        <w:rPr>
          <w:rFonts w:hint="eastAsia" w:ascii="宋体" w:hAnsi="宋体" w:eastAsia="宋体" w:cs="宋体"/>
          <w:b/>
          <w:bCs/>
          <w:color w:val="auto"/>
          <w:sz w:val="44"/>
          <w:highlight w:val="none"/>
        </w:rPr>
        <w:t>合同</w:t>
      </w:r>
    </w:p>
    <w:p w14:paraId="76C04484">
      <w:pPr>
        <w:spacing w:line="360" w:lineRule="auto"/>
        <w:rPr>
          <w:rFonts w:hint="eastAsia" w:ascii="宋体" w:hAnsi="宋体" w:eastAsia="宋体" w:cs="宋体"/>
          <w:b/>
          <w:bCs/>
          <w:color w:val="auto"/>
          <w:sz w:val="44"/>
          <w:highlight w:val="none"/>
        </w:rPr>
      </w:pPr>
    </w:p>
    <w:p w14:paraId="0D767FFB">
      <w:pPr>
        <w:spacing w:line="360" w:lineRule="auto"/>
        <w:ind w:firstLine="3507" w:firstLineChars="794"/>
        <w:rPr>
          <w:rFonts w:hint="eastAsia" w:ascii="宋体" w:hAnsi="宋体" w:eastAsia="宋体" w:cs="宋体"/>
          <w:b/>
          <w:bCs/>
          <w:color w:val="auto"/>
          <w:sz w:val="44"/>
          <w:highlight w:val="none"/>
        </w:rPr>
      </w:pPr>
    </w:p>
    <w:p w14:paraId="76DA7E5B">
      <w:pPr>
        <w:ind w:firstLine="1995" w:firstLineChars="552"/>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采购项目编号：</w:t>
      </w:r>
    </w:p>
    <w:p w14:paraId="435E9301">
      <w:pPr>
        <w:ind w:firstLine="1995" w:firstLineChars="552"/>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采购计划编号：</w:t>
      </w:r>
    </w:p>
    <w:p w14:paraId="5924BFAE">
      <w:pPr>
        <w:ind w:firstLine="1308" w:firstLineChars="545"/>
        <w:rPr>
          <w:rFonts w:hint="eastAsia" w:ascii="宋体" w:hAnsi="宋体" w:eastAsia="宋体" w:cs="宋体"/>
          <w:color w:val="auto"/>
          <w:sz w:val="24"/>
          <w:highlight w:val="none"/>
        </w:rPr>
      </w:pPr>
    </w:p>
    <w:p w14:paraId="4A479DEA">
      <w:pPr>
        <w:ind w:firstLine="1995" w:firstLineChars="552"/>
        <w:rPr>
          <w:rFonts w:hint="eastAsia" w:ascii="宋体" w:hAnsi="宋体" w:eastAsia="宋体" w:cs="宋体"/>
          <w:b/>
          <w:color w:val="auto"/>
          <w:sz w:val="36"/>
          <w:szCs w:val="36"/>
          <w:highlight w:val="none"/>
          <w:u w:val="single"/>
        </w:rPr>
      </w:pPr>
    </w:p>
    <w:p w14:paraId="5094331E">
      <w:pPr>
        <w:ind w:firstLine="1995" w:firstLineChars="552"/>
        <w:rPr>
          <w:rFonts w:hint="eastAsia" w:ascii="宋体" w:hAnsi="宋体" w:eastAsia="宋体" w:cs="宋体"/>
          <w:b/>
          <w:color w:val="auto"/>
          <w:sz w:val="36"/>
          <w:szCs w:val="36"/>
          <w:highlight w:val="none"/>
          <w:u w:val="single"/>
        </w:rPr>
      </w:pPr>
    </w:p>
    <w:p w14:paraId="32F3121C">
      <w:pPr>
        <w:tabs>
          <w:tab w:val="left" w:pos="7200"/>
        </w:tabs>
        <w:spacing w:line="360" w:lineRule="auto"/>
        <w:ind w:firstLine="1995" w:firstLineChars="552"/>
        <w:rPr>
          <w:rFonts w:hint="eastAsia" w:ascii="宋体" w:hAnsi="宋体" w:eastAsia="宋体" w:cs="宋体"/>
          <w:b/>
          <w:color w:val="auto"/>
          <w:sz w:val="36"/>
          <w:szCs w:val="36"/>
          <w:highlight w:val="none"/>
          <w:u w:val="single"/>
          <w:lang w:eastAsia="zh-CN"/>
        </w:rPr>
      </w:pPr>
      <w:r>
        <w:rPr>
          <w:rFonts w:hint="eastAsia" w:ascii="宋体" w:hAnsi="宋体" w:eastAsia="宋体" w:cs="宋体"/>
          <w:b/>
          <w:color w:val="auto"/>
          <w:sz w:val="36"/>
          <w:szCs w:val="36"/>
          <w:highlight w:val="none"/>
        </w:rPr>
        <w:t>采购人：</w:t>
      </w:r>
      <w:r>
        <w:rPr>
          <w:rFonts w:hint="eastAsia" w:ascii="宋体" w:hAnsi="宋体" w:eastAsia="宋体" w:cs="宋体"/>
          <w:b/>
          <w:color w:val="auto"/>
          <w:sz w:val="36"/>
          <w:szCs w:val="36"/>
          <w:highlight w:val="none"/>
          <w:u w:val="single"/>
          <w:lang w:eastAsia="zh-CN"/>
        </w:rPr>
        <w:t>浦北县人力资源和社会保障局</w:t>
      </w:r>
    </w:p>
    <w:p w14:paraId="217FD8E2">
      <w:pPr>
        <w:tabs>
          <w:tab w:val="left" w:pos="7380"/>
        </w:tabs>
        <w:spacing w:line="360" w:lineRule="auto"/>
        <w:ind w:firstLine="1995" w:firstLineChars="552"/>
        <w:rPr>
          <w:rFonts w:hint="eastAsia" w:ascii="宋体" w:hAnsi="宋体" w:eastAsia="宋体" w:cs="宋体"/>
          <w:b/>
          <w:bCs/>
          <w:color w:val="auto"/>
          <w:sz w:val="44"/>
          <w:highlight w:val="none"/>
        </w:rPr>
      </w:pPr>
      <w:r>
        <w:rPr>
          <w:rFonts w:hint="eastAsia" w:ascii="宋体" w:hAnsi="宋体" w:eastAsia="宋体" w:cs="宋体"/>
          <w:b/>
          <w:color w:val="auto"/>
          <w:sz w:val="36"/>
          <w:szCs w:val="36"/>
          <w:highlight w:val="none"/>
        </w:rPr>
        <w:t>供应商：</w:t>
      </w:r>
    </w:p>
    <w:p w14:paraId="7BBE07E3">
      <w:pPr>
        <w:tabs>
          <w:tab w:val="left" w:pos="7380"/>
        </w:tabs>
        <w:spacing w:line="360" w:lineRule="auto"/>
        <w:rPr>
          <w:rFonts w:hint="eastAsia" w:ascii="宋体" w:hAnsi="宋体" w:eastAsia="宋体" w:cs="宋体"/>
          <w:b/>
          <w:bCs/>
          <w:color w:val="auto"/>
          <w:sz w:val="44"/>
          <w:highlight w:val="none"/>
        </w:rPr>
      </w:pPr>
    </w:p>
    <w:p w14:paraId="6E6C4673">
      <w:pPr>
        <w:tabs>
          <w:tab w:val="left" w:pos="7380"/>
        </w:tabs>
        <w:spacing w:line="360" w:lineRule="auto"/>
        <w:ind w:firstLine="1995" w:firstLineChars="552"/>
        <w:rPr>
          <w:rFonts w:hint="eastAsia" w:ascii="宋体" w:hAnsi="宋体" w:eastAsia="宋体" w:cs="宋体"/>
          <w:b/>
          <w:color w:val="auto"/>
          <w:sz w:val="36"/>
          <w:szCs w:val="36"/>
          <w:highlight w:val="none"/>
          <w:lang w:val="zh-CN"/>
        </w:rPr>
      </w:pPr>
      <w:r>
        <w:rPr>
          <w:rFonts w:hint="eastAsia" w:ascii="宋体" w:hAnsi="宋体" w:eastAsia="宋体" w:cs="宋体"/>
          <w:b/>
          <w:color w:val="auto"/>
          <w:sz w:val="36"/>
          <w:szCs w:val="36"/>
          <w:highlight w:val="none"/>
          <w:lang w:val="zh-CN"/>
        </w:rPr>
        <w:t>签订时间：     年    月    日</w:t>
      </w:r>
    </w:p>
    <w:p w14:paraId="628C41D6">
      <w:pPr>
        <w:snapToGrid w:val="0"/>
        <w:spacing w:line="400" w:lineRule="exact"/>
        <w:ind w:right="-62" w:firstLine="10380" w:firstLineChars="2350"/>
        <w:jc w:val="left"/>
        <w:rPr>
          <w:rFonts w:hint="eastAsia" w:ascii="宋体" w:hAnsi="宋体" w:eastAsia="宋体" w:cs="宋体"/>
          <w:bCs/>
          <w:color w:val="auto"/>
          <w:szCs w:val="21"/>
          <w:highlight w:val="none"/>
        </w:rPr>
      </w:pPr>
      <w:r>
        <w:rPr>
          <w:rFonts w:hint="eastAsia" w:ascii="宋体" w:hAnsi="宋体" w:eastAsia="宋体" w:cs="宋体"/>
          <w:b/>
          <w:bCs/>
          <w:color w:val="auto"/>
          <w:sz w:val="44"/>
          <w:highlight w:val="none"/>
        </w:rPr>
        <w:br w:type="page"/>
      </w:r>
      <w:bookmarkStart w:id="183" w:name="_Toc331685783"/>
    </w:p>
    <w:p w14:paraId="7C594BB4">
      <w:pPr>
        <w:snapToGrid w:val="0"/>
        <w:spacing w:line="400" w:lineRule="exact"/>
        <w:ind w:right="-62"/>
        <w:jc w:val="center"/>
        <w:rPr>
          <w:rFonts w:hint="eastAsia" w:ascii="宋体" w:hAnsi="宋体" w:eastAsia="宋体" w:cs="宋体"/>
          <w:b/>
          <w:bCs w:val="0"/>
          <w:color w:val="auto"/>
          <w:sz w:val="32"/>
          <w:szCs w:val="32"/>
          <w:highlight w:val="none"/>
          <w:lang w:eastAsia="zh-CN"/>
        </w:rPr>
      </w:pPr>
      <w:r>
        <w:rPr>
          <w:rFonts w:hint="eastAsia" w:ascii="宋体" w:hAnsi="宋体" w:cs="宋体"/>
          <w:b/>
          <w:bCs w:val="0"/>
          <w:color w:val="auto"/>
          <w:sz w:val="32"/>
          <w:szCs w:val="32"/>
          <w:highlight w:val="none"/>
          <w:lang w:eastAsia="zh-CN"/>
        </w:rPr>
        <w:t>合同文本</w:t>
      </w:r>
    </w:p>
    <w:p w14:paraId="438B143F">
      <w:pPr>
        <w:snapToGrid w:val="0"/>
        <w:spacing w:line="400" w:lineRule="exact"/>
        <w:ind w:right="-62"/>
        <w:rPr>
          <w:rFonts w:hint="eastAsia" w:ascii="宋体" w:hAnsi="宋体" w:eastAsia="宋体" w:cs="宋体"/>
          <w:bCs/>
          <w:color w:val="auto"/>
          <w:szCs w:val="21"/>
          <w:highlight w:val="none"/>
          <w:u w:val="single"/>
          <w:lang w:val="en-US" w:eastAsia="zh-CN"/>
        </w:rPr>
      </w:pPr>
      <w:r>
        <w:rPr>
          <w:rFonts w:hint="eastAsia" w:ascii="宋体" w:hAnsi="宋体" w:eastAsia="宋体" w:cs="宋体"/>
          <w:bCs/>
          <w:color w:val="auto"/>
          <w:szCs w:val="21"/>
          <w:highlight w:val="none"/>
        </w:rPr>
        <w:t>采购计划编号：</w:t>
      </w:r>
      <w:r>
        <w:rPr>
          <w:rFonts w:hint="eastAsia" w:ascii="宋体" w:hAnsi="宋体" w:eastAsia="宋体" w:cs="宋体"/>
          <w:bCs/>
          <w:color w:val="auto"/>
          <w:szCs w:val="21"/>
          <w:highlight w:val="none"/>
          <w:u w:val="single"/>
          <w:lang w:val="en-US" w:eastAsia="zh-CN"/>
        </w:rPr>
        <w:t xml:space="preserve">                  </w:t>
      </w:r>
    </w:p>
    <w:p w14:paraId="6E204DA0">
      <w:pPr>
        <w:snapToGrid w:val="0"/>
        <w:spacing w:line="40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采购人（甲方）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浦北县人力资源和社会保障局</w:t>
      </w:r>
      <w:r>
        <w:rPr>
          <w:rFonts w:hint="eastAsia" w:ascii="宋体" w:hAnsi="宋体" w:eastAsia="宋体" w:cs="宋体"/>
          <w:color w:val="auto"/>
          <w:szCs w:val="21"/>
          <w:highlight w:val="none"/>
          <w:u w:val="single"/>
        </w:rPr>
        <w:t xml:space="preserve">  </w:t>
      </w:r>
    </w:p>
    <w:p w14:paraId="7C9FCD3D">
      <w:pPr>
        <w:snapToGrid w:val="0"/>
        <w:spacing w:line="40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供应商（乙方）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p>
    <w:p w14:paraId="1C858D18">
      <w:pPr>
        <w:snapToGrid w:val="0"/>
        <w:spacing w:line="40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val="en-US" w:eastAsia="zh-CN"/>
        </w:rPr>
        <w:t>续签</w:t>
      </w:r>
      <w:r>
        <w:rPr>
          <w:rFonts w:hint="eastAsia" w:ascii="宋体" w:hAnsi="宋体" w:eastAsia="宋体" w:cs="宋体"/>
          <w:color w:val="auto"/>
          <w:szCs w:val="21"/>
          <w:highlight w:val="none"/>
        </w:rPr>
        <w:t>项目名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69285070">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中华人民共和国政府采购法》、《中华人民共和国民典法》等法律、法规规定，按照竞争性磋商文件（以下简称磋商文件）、竞争性磋商响应文件（以下简称响应文件）规定条款和成交供应商的承诺、甲乙双方签订本采购合同。</w:t>
      </w:r>
    </w:p>
    <w:p w14:paraId="114C9133">
      <w:pPr>
        <w:numPr>
          <w:ilvl w:val="0"/>
          <w:numId w:val="1"/>
        </w:numPr>
        <w:spacing w:line="40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合同标的及合同金额</w:t>
      </w:r>
    </w:p>
    <w:tbl>
      <w:tblPr>
        <w:tblStyle w:val="3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37"/>
        <w:gridCol w:w="2448"/>
        <w:gridCol w:w="1276"/>
        <w:gridCol w:w="1908"/>
        <w:gridCol w:w="2407"/>
      </w:tblGrid>
      <w:tr w14:paraId="620C48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trPr>
        <w:tc>
          <w:tcPr>
            <w:tcW w:w="637" w:type="dxa"/>
            <w:tcBorders>
              <w:top w:val="single" w:color="auto" w:sz="4" w:space="0"/>
              <w:left w:val="single" w:color="auto" w:sz="4" w:space="0"/>
              <w:bottom w:val="single" w:color="auto" w:sz="4" w:space="0"/>
              <w:right w:val="single" w:color="auto" w:sz="4" w:space="0"/>
            </w:tcBorders>
            <w:noWrap w:val="0"/>
            <w:vAlign w:val="center"/>
          </w:tcPr>
          <w:p w14:paraId="4D54DFB5">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2448" w:type="dxa"/>
            <w:tcBorders>
              <w:top w:val="single" w:color="auto" w:sz="4" w:space="0"/>
              <w:left w:val="single" w:color="auto" w:sz="4" w:space="0"/>
              <w:bottom w:val="single" w:color="auto" w:sz="4" w:space="0"/>
              <w:right w:val="single" w:color="auto" w:sz="4" w:space="0"/>
            </w:tcBorders>
            <w:noWrap w:val="0"/>
            <w:vAlign w:val="center"/>
          </w:tcPr>
          <w:p w14:paraId="7F83A43F">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服务名称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7206B5C">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1908" w:type="dxa"/>
            <w:tcBorders>
              <w:top w:val="single" w:color="auto" w:sz="4" w:space="0"/>
              <w:left w:val="single" w:color="auto" w:sz="4" w:space="0"/>
              <w:bottom w:val="single" w:color="auto" w:sz="4" w:space="0"/>
              <w:right w:val="single" w:color="auto" w:sz="4" w:space="0"/>
            </w:tcBorders>
            <w:noWrap w:val="0"/>
            <w:vAlign w:val="center"/>
          </w:tcPr>
          <w:p w14:paraId="2E786F7A">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2407" w:type="dxa"/>
            <w:tcBorders>
              <w:top w:val="single" w:color="auto" w:sz="4" w:space="0"/>
              <w:left w:val="single" w:color="auto" w:sz="4" w:space="0"/>
              <w:bottom w:val="single" w:color="auto" w:sz="4" w:space="0"/>
            </w:tcBorders>
            <w:noWrap w:val="0"/>
            <w:vAlign w:val="center"/>
          </w:tcPr>
          <w:p w14:paraId="6EC78CE3">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成交报价（元）</w:t>
            </w:r>
          </w:p>
        </w:tc>
      </w:tr>
      <w:tr w14:paraId="1612B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636" w:hRule="atLeast"/>
        </w:trPr>
        <w:tc>
          <w:tcPr>
            <w:tcW w:w="637" w:type="dxa"/>
            <w:tcBorders>
              <w:top w:val="single" w:color="auto" w:sz="4" w:space="0"/>
              <w:left w:val="single" w:color="auto" w:sz="4" w:space="0"/>
              <w:bottom w:val="single" w:color="auto" w:sz="4" w:space="0"/>
              <w:right w:val="single" w:color="auto" w:sz="4" w:space="0"/>
            </w:tcBorders>
            <w:noWrap w:val="0"/>
            <w:vAlign w:val="center"/>
          </w:tcPr>
          <w:p w14:paraId="401270A4">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Cs w:val="21"/>
                <w:highlight w:val="none"/>
                <w:lang w:val="en-US" w:eastAsia="zh-CN"/>
              </w:rPr>
            </w:pPr>
          </w:p>
        </w:tc>
        <w:tc>
          <w:tcPr>
            <w:tcW w:w="2448" w:type="dxa"/>
            <w:tcBorders>
              <w:top w:val="single" w:color="auto" w:sz="4" w:space="0"/>
              <w:left w:val="single" w:color="auto" w:sz="4" w:space="0"/>
              <w:bottom w:val="single" w:color="auto" w:sz="4" w:space="0"/>
              <w:right w:val="single" w:color="auto" w:sz="4" w:space="0"/>
            </w:tcBorders>
            <w:noWrap w:val="0"/>
            <w:vAlign w:val="center"/>
          </w:tcPr>
          <w:p w14:paraId="49150390">
            <w:pPr>
              <w:pStyle w:val="20"/>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57B1261">
            <w:pPr>
              <w:keepNext w:val="0"/>
              <w:keepLines w:val="0"/>
              <w:suppressLineNumbers w:val="0"/>
              <w:spacing w:before="0" w:beforeAutospacing="0" w:after="0" w:afterAutospacing="0" w:line="400" w:lineRule="exact"/>
              <w:ind w:left="0" w:right="0"/>
              <w:jc w:val="center"/>
              <w:rPr>
                <w:rFonts w:hint="default" w:ascii="宋体" w:hAnsi="宋体" w:eastAsia="宋体" w:cs="宋体"/>
                <w:color w:val="auto"/>
                <w:szCs w:val="21"/>
                <w:highlight w:val="none"/>
                <w:lang w:val="en-US" w:eastAsia="zh-CN"/>
              </w:rPr>
            </w:pPr>
          </w:p>
        </w:tc>
        <w:tc>
          <w:tcPr>
            <w:tcW w:w="1908" w:type="dxa"/>
            <w:tcBorders>
              <w:top w:val="single" w:color="auto" w:sz="4" w:space="0"/>
              <w:left w:val="single" w:color="auto" w:sz="4" w:space="0"/>
              <w:bottom w:val="single" w:color="auto" w:sz="4" w:space="0"/>
              <w:right w:val="single" w:color="auto" w:sz="4" w:space="0"/>
            </w:tcBorders>
            <w:noWrap w:val="0"/>
            <w:vAlign w:val="center"/>
          </w:tcPr>
          <w:p w14:paraId="754BBC88">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Cs w:val="21"/>
                <w:highlight w:val="none"/>
                <w:u w:val="none"/>
                <w:lang w:val="en-US" w:eastAsia="zh-CN"/>
              </w:rPr>
            </w:pPr>
          </w:p>
        </w:tc>
        <w:tc>
          <w:tcPr>
            <w:tcW w:w="2407" w:type="dxa"/>
            <w:tcBorders>
              <w:top w:val="single" w:color="auto" w:sz="4" w:space="0"/>
              <w:left w:val="single" w:color="auto" w:sz="4" w:space="0"/>
              <w:bottom w:val="single" w:color="auto" w:sz="4" w:space="0"/>
            </w:tcBorders>
            <w:noWrap w:val="0"/>
            <w:vAlign w:val="center"/>
          </w:tcPr>
          <w:p w14:paraId="29525D99">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Cs w:val="21"/>
                <w:highlight w:val="none"/>
                <w:lang w:val="en-US" w:eastAsia="zh-CN"/>
              </w:rPr>
            </w:pPr>
          </w:p>
        </w:tc>
      </w:tr>
      <w:tr w14:paraId="773E20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trPr>
        <w:tc>
          <w:tcPr>
            <w:tcW w:w="8676" w:type="dxa"/>
            <w:gridSpan w:val="5"/>
            <w:tcBorders>
              <w:top w:val="single" w:color="auto" w:sz="4" w:space="0"/>
              <w:left w:val="single" w:color="auto" w:sz="4" w:space="0"/>
              <w:bottom w:val="single" w:color="auto" w:sz="4" w:space="0"/>
            </w:tcBorders>
            <w:noWrap w:val="0"/>
            <w:vAlign w:val="center"/>
          </w:tcPr>
          <w:p w14:paraId="7909EE6B">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服务地点：</w:t>
            </w:r>
          </w:p>
        </w:tc>
      </w:tr>
    </w:tbl>
    <w:p w14:paraId="64600D17">
      <w:pPr>
        <w:spacing w:line="400" w:lineRule="exact"/>
        <w:ind w:firstLine="411" w:firstLineChars="196"/>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合同的总金额为：</w:t>
      </w:r>
    </w:p>
    <w:p w14:paraId="30E341D2">
      <w:pPr>
        <w:spacing w:line="400" w:lineRule="exact"/>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第二条  质量保证</w:t>
      </w:r>
    </w:p>
    <w:p w14:paraId="7E81029B">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乙方应按</w:t>
      </w:r>
      <w:r>
        <w:rPr>
          <w:rFonts w:hint="eastAsia" w:ascii="宋体" w:hAnsi="宋体" w:eastAsia="宋体" w:cs="宋体"/>
          <w:color w:val="auto"/>
          <w:szCs w:val="21"/>
          <w:highlight w:val="none"/>
          <w:lang w:val="en-US" w:eastAsia="zh-CN"/>
        </w:rPr>
        <w:t>本合同</w:t>
      </w:r>
      <w:r>
        <w:rPr>
          <w:rFonts w:hint="eastAsia" w:ascii="宋体" w:hAnsi="宋体" w:eastAsia="宋体" w:cs="宋体"/>
          <w:color w:val="auto"/>
          <w:szCs w:val="21"/>
          <w:highlight w:val="none"/>
        </w:rPr>
        <w:t>第六条</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服务内容及要求承诺向甲方提供服务。</w:t>
      </w:r>
    </w:p>
    <w:p w14:paraId="50966C2D">
      <w:pPr>
        <w:spacing w:line="400" w:lineRule="exact"/>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第三条  权</w:t>
      </w:r>
      <w:r>
        <w:rPr>
          <w:rFonts w:hint="eastAsia" w:ascii="宋体" w:hAnsi="宋体" w:cs="宋体"/>
          <w:b/>
          <w:color w:val="auto"/>
          <w:szCs w:val="21"/>
          <w:highlight w:val="none"/>
          <w:lang w:val="en-US" w:eastAsia="zh-CN"/>
        </w:rPr>
        <w:t>利</w:t>
      </w:r>
      <w:r>
        <w:rPr>
          <w:rFonts w:hint="eastAsia" w:ascii="宋体" w:hAnsi="宋体" w:eastAsia="宋体" w:cs="宋体"/>
          <w:b/>
          <w:color w:val="auto"/>
          <w:szCs w:val="21"/>
          <w:highlight w:val="none"/>
        </w:rPr>
        <w:t>保证</w:t>
      </w:r>
    </w:p>
    <w:p w14:paraId="3DBAF7EA">
      <w:pPr>
        <w:spacing w:line="400" w:lineRule="exact"/>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1.乙方应保证所提供服务在使用时不会侵犯任何第三方的专利权、商标权、工业设计权或其他权利。</w:t>
      </w:r>
    </w:p>
    <w:p w14:paraId="2312F855">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2.乙方应按磋商文件规定的时间向甲方提供服务及有关技术资料。</w:t>
      </w:r>
    </w:p>
    <w:p w14:paraId="7770C9C9">
      <w:pPr>
        <w:spacing w:line="40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3.乙方保证所交付的服务的所有权完全属于乙方且无任何抵押、质押、查封等产权瑕疵。</w:t>
      </w:r>
    </w:p>
    <w:p w14:paraId="5EBA7FD1">
      <w:pPr>
        <w:spacing w:line="400" w:lineRule="exact"/>
        <w:ind w:firstLine="420" w:firstLineChars="200"/>
        <w:rPr>
          <w:rFonts w:hint="eastAsia"/>
          <w:color w:val="auto"/>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.乙方要依法为员工参加社会保险，并办理有关社会保险手续，并承担相应社会保险义务。</w:t>
      </w:r>
    </w:p>
    <w:p w14:paraId="05B45E15">
      <w:pPr>
        <w:adjustRightInd/>
        <w:spacing w:line="400" w:lineRule="exact"/>
        <w:ind w:firstLine="413" w:firstLineChars="196"/>
        <w:rPr>
          <w:rFonts w:hint="eastAsia" w:ascii="宋体" w:hAnsi="宋体" w:eastAsia="宋体" w:cs="宋体"/>
          <w:color w:val="auto"/>
          <w:kern w:val="0"/>
          <w:szCs w:val="21"/>
          <w:highlight w:val="none"/>
        </w:rPr>
      </w:pPr>
      <w:r>
        <w:rPr>
          <w:rFonts w:hint="eastAsia" w:ascii="宋体" w:hAnsi="宋体" w:eastAsia="宋体" w:cs="宋体"/>
          <w:b/>
          <w:color w:val="auto"/>
          <w:szCs w:val="21"/>
          <w:highlight w:val="none"/>
        </w:rPr>
        <w:t xml:space="preserve">第四条  </w:t>
      </w:r>
      <w:r>
        <w:rPr>
          <w:rFonts w:hint="eastAsia" w:ascii="宋体" w:hAnsi="宋体" w:eastAsia="宋体" w:cs="宋体"/>
          <w:b/>
          <w:bCs/>
          <w:color w:val="auto"/>
          <w:kern w:val="0"/>
          <w:szCs w:val="21"/>
          <w:highlight w:val="none"/>
        </w:rPr>
        <w:t>服务时间</w:t>
      </w:r>
      <w:r>
        <w:rPr>
          <w:rFonts w:hint="eastAsia" w:ascii="宋体" w:hAnsi="宋体" w:eastAsia="宋体" w:cs="宋体"/>
          <w:b/>
          <w:bCs/>
          <w:color w:val="auto"/>
          <w:szCs w:val="21"/>
          <w:highlight w:val="none"/>
        </w:rPr>
        <w:t>及服务</w:t>
      </w:r>
      <w:r>
        <w:rPr>
          <w:rFonts w:hint="eastAsia" w:ascii="宋体" w:hAnsi="宋体" w:cs="宋体"/>
          <w:b/>
          <w:bCs/>
          <w:color w:val="auto"/>
          <w:kern w:val="0"/>
          <w:szCs w:val="21"/>
          <w:highlight w:val="none"/>
          <w:lang w:val="en-US" w:eastAsia="zh-CN"/>
        </w:rPr>
        <w:t>金额、</w:t>
      </w:r>
      <w:r>
        <w:rPr>
          <w:rFonts w:hint="eastAsia" w:ascii="宋体" w:hAnsi="宋体" w:eastAsia="宋体" w:cs="宋体"/>
          <w:b/>
          <w:bCs/>
          <w:color w:val="auto"/>
          <w:szCs w:val="21"/>
          <w:highlight w:val="none"/>
        </w:rPr>
        <w:t>地点</w:t>
      </w:r>
    </w:p>
    <w:p w14:paraId="718F1475">
      <w:pPr>
        <w:adjustRightInd w:val="0"/>
        <w:spacing w:line="400" w:lineRule="exact"/>
        <w:ind w:firstLine="420" w:firstLineChars="200"/>
        <w:rPr>
          <w:rFonts w:hint="eastAsia" w:ascii="宋体" w:hAnsi="宋体" w:cs="宋体"/>
          <w:bCs/>
          <w:color w:val="auto"/>
          <w:sz w:val="21"/>
          <w:szCs w:val="21"/>
          <w:highlight w:val="none"/>
          <w:lang w:val="en-US" w:eastAsia="zh-CN"/>
        </w:rPr>
      </w:pPr>
      <w:r>
        <w:rPr>
          <w:rFonts w:hint="eastAsia" w:ascii="宋体" w:hAnsi="宋体" w:cs="宋体"/>
          <w:color w:val="auto"/>
          <w:kern w:val="0"/>
          <w:sz w:val="21"/>
          <w:szCs w:val="21"/>
          <w:highlight w:val="none"/>
          <w:lang w:val="en-US" w:eastAsia="zh-CN" w:bidi="ar-SA"/>
        </w:rPr>
        <w:t>1.</w:t>
      </w:r>
      <w:r>
        <w:rPr>
          <w:rFonts w:hint="eastAsia" w:ascii="宋体" w:hAnsi="宋体" w:eastAsia="宋体" w:cs="宋体"/>
          <w:color w:val="auto"/>
          <w:kern w:val="0"/>
          <w:sz w:val="21"/>
          <w:szCs w:val="21"/>
          <w:highlight w:val="none"/>
          <w:lang w:val="en-US" w:eastAsia="zh-CN" w:bidi="ar-SA"/>
        </w:rPr>
        <w:t>服务期限：</w:t>
      </w:r>
      <w:r>
        <w:rPr>
          <w:rFonts w:hint="eastAsia" w:ascii="宋体" w:hAnsi="宋体" w:eastAsia="宋体" w:cs="宋体"/>
          <w:bCs/>
          <w:color w:val="auto"/>
          <w:sz w:val="21"/>
          <w:szCs w:val="21"/>
          <w:highlight w:val="none"/>
          <w:lang w:val="en-US" w:eastAsia="zh-CN"/>
        </w:rPr>
        <w:t>活动期</w:t>
      </w:r>
      <w:r>
        <w:rPr>
          <w:rFonts w:hint="eastAsia" w:ascii="宋体" w:hAnsi="宋体" w:cs="宋体"/>
          <w:bCs/>
          <w:color w:val="auto"/>
          <w:sz w:val="21"/>
          <w:szCs w:val="21"/>
          <w:highlight w:val="none"/>
          <w:lang w:val="en-US" w:eastAsia="zh-CN"/>
        </w:rPr>
        <w:t>1</w:t>
      </w:r>
      <w:r>
        <w:rPr>
          <w:rFonts w:hint="eastAsia" w:ascii="宋体" w:hAnsi="宋体" w:eastAsia="宋体" w:cs="宋体"/>
          <w:bCs/>
          <w:color w:val="auto"/>
          <w:sz w:val="21"/>
          <w:szCs w:val="21"/>
          <w:highlight w:val="none"/>
          <w:lang w:val="en-US" w:eastAsia="zh-CN"/>
        </w:rPr>
        <w:t>年，</w:t>
      </w:r>
      <w:r>
        <w:rPr>
          <w:rFonts w:hint="eastAsia" w:ascii="宋体" w:hAnsi="宋体"/>
          <w:color w:val="auto"/>
          <w:szCs w:val="21"/>
          <w:highlight w:val="none"/>
        </w:rPr>
        <w:t>自签订合同之日起一年</w:t>
      </w:r>
      <w:r>
        <w:rPr>
          <w:rFonts w:hint="eastAsia" w:ascii="宋体" w:hAnsi="宋体" w:eastAsia="宋体" w:cs="宋体"/>
          <w:color w:val="auto"/>
          <w:sz w:val="21"/>
          <w:szCs w:val="21"/>
          <w:highlight w:val="none"/>
          <w:lang w:val="en-US" w:eastAsia="zh-CN"/>
        </w:rPr>
        <w:t>。</w:t>
      </w:r>
    </w:p>
    <w:p w14:paraId="0DCA5D1E">
      <w:pPr>
        <w:pageBreakBefore w:val="0"/>
        <w:kinsoku/>
        <w:topLinePunct w:val="0"/>
        <w:bidi w:val="0"/>
        <w:spacing w:before="60" w:after="60" w:line="360" w:lineRule="auto"/>
        <w:ind w:firstLine="420" w:firstLineChars="200"/>
        <w:rPr>
          <w:rFonts w:hint="eastAsia" w:ascii="宋体" w:hAnsi="宋体" w:eastAsia="宋体"/>
          <w:color w:val="auto"/>
          <w:szCs w:val="21"/>
          <w:highlight w:val="none"/>
          <w:lang w:eastAsia="zh-CN"/>
        </w:rPr>
      </w:pP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eastAsia="zh-CN"/>
        </w:rPr>
        <w:t>浦北县农民工创业园能力提升项目预算为</w:t>
      </w:r>
      <w:r>
        <w:rPr>
          <w:rFonts w:hint="eastAsia" w:ascii="宋体" w:hAnsi="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lang w:val="en-US" w:eastAsia="zh-CN"/>
        </w:rPr>
        <w:t>万</w:t>
      </w:r>
      <w:r>
        <w:rPr>
          <w:rFonts w:hint="eastAsia" w:ascii="宋体" w:hAnsi="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lang w:val="en-US" w:eastAsia="zh-CN"/>
        </w:rPr>
        <w:t>仟</w:t>
      </w:r>
      <w:r>
        <w:rPr>
          <w:rFonts w:hint="eastAsia" w:ascii="宋体" w:hAnsi="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lang w:val="en-US" w:eastAsia="zh-CN"/>
        </w:rPr>
        <w:t>佰</w:t>
      </w:r>
      <w:r>
        <w:rPr>
          <w:rFonts w:hint="eastAsia" w:ascii="宋体" w:hAnsi="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lang w:val="en-US" w:eastAsia="zh-CN"/>
        </w:rPr>
        <w:t>元</w:t>
      </w:r>
      <w:r>
        <w:rPr>
          <w:rFonts w:hint="eastAsia" w:ascii="宋体" w:hAnsi="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lang w:val="en-US" w:eastAsia="zh-CN"/>
        </w:rPr>
        <w:t>角（¥</w:t>
      </w:r>
      <w:r>
        <w:rPr>
          <w:rFonts w:hint="eastAsia" w:ascii="宋体" w:hAnsi="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lang w:val="en-US" w:eastAsia="zh-CN"/>
        </w:rPr>
        <w:t>元）</w:t>
      </w:r>
      <w:r>
        <w:rPr>
          <w:rFonts w:hint="eastAsia" w:ascii="宋体" w:hAnsi="宋体" w:eastAsia="宋体" w:cs="宋体"/>
          <w:color w:val="auto"/>
          <w:sz w:val="21"/>
          <w:szCs w:val="21"/>
          <w:highlight w:val="none"/>
          <w:lang w:val="en-US" w:eastAsia="zh-CN"/>
        </w:rPr>
        <w:t>。</w:t>
      </w:r>
    </w:p>
    <w:p w14:paraId="689C4560">
      <w:pPr>
        <w:pageBreakBefore w:val="0"/>
        <w:kinsoku/>
        <w:topLinePunct w:val="0"/>
        <w:bidi w:val="0"/>
        <w:spacing w:before="60" w:after="60" w:line="360" w:lineRule="auto"/>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如因上级政策重大调整导致项目终止，乙方已完成的服务经核实后，甲方应按实际完成比例支付相应费用；乙方不得主张预期收益赔偿。</w:t>
      </w:r>
    </w:p>
    <w:p w14:paraId="3F91EC66">
      <w:pPr>
        <w:pageBreakBefore w:val="0"/>
        <w:kinsoku/>
        <w:topLinePunct w:val="0"/>
        <w:bidi w:val="0"/>
        <w:spacing w:before="60" w:after="60" w:line="360" w:lineRule="auto"/>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3.服务地点：采购单位指定地点。</w:t>
      </w:r>
    </w:p>
    <w:p w14:paraId="73AC5FF8">
      <w:pPr>
        <w:spacing w:line="400" w:lineRule="exact"/>
        <w:ind w:firstLine="413" w:firstLineChars="196"/>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第五条  项目验收</w:t>
      </w:r>
    </w:p>
    <w:p w14:paraId="3204C367">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甲方依据竞争性磋商文件规定及响应文件的服务承诺对项目进行验收。</w:t>
      </w:r>
    </w:p>
    <w:p w14:paraId="5A97ABD7">
      <w:pPr>
        <w:keepNext w:val="0"/>
        <w:keepLines w:val="0"/>
        <w:pageBreakBefore w:val="0"/>
        <w:numPr>
          <w:ilvl w:val="0"/>
          <w:numId w:val="2"/>
        </w:numPr>
        <w:kinsoku/>
        <w:wordWrap/>
        <w:overflowPunct/>
        <w:topLinePunct w:val="0"/>
        <w:autoSpaceDE/>
        <w:autoSpaceDN/>
        <w:bidi w:val="0"/>
        <w:adjustRightInd/>
        <w:snapToGrid/>
        <w:spacing w:line="560" w:lineRule="exact"/>
        <w:ind w:left="0" w:leftChars="0" w:right="0" w:rightChars="0" w:firstLine="422" w:firstLineChars="200"/>
        <w:jc w:val="left"/>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 </w:t>
      </w:r>
      <w:r>
        <w:rPr>
          <w:rFonts w:hint="eastAsia" w:ascii="宋体" w:hAnsi="宋体" w:eastAsia="宋体" w:cs="宋体"/>
          <w:b/>
          <w:color w:val="auto"/>
          <w:sz w:val="21"/>
          <w:szCs w:val="21"/>
          <w:highlight w:val="none"/>
        </w:rPr>
        <w:t>服务内容及要求</w:t>
      </w:r>
    </w:p>
    <w:p w14:paraId="15519399">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firstLine="632" w:firstLineChars="300"/>
        <w:jc w:val="left"/>
        <w:textAlignment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一、实施内容</w:t>
      </w:r>
    </w:p>
    <w:p w14:paraId="5EB6EA28">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b/>
          <w:bCs/>
          <w:color w:val="auto"/>
          <w:sz w:val="21"/>
          <w:szCs w:val="21"/>
          <w:highlight w:val="none"/>
          <w:lang w:val="en-US" w:eastAsia="zh-CN"/>
        </w:rPr>
        <w:t>　　　（一）提升园区创业就业公共服务建设。</w:t>
      </w:r>
      <w:r>
        <w:rPr>
          <w:rFonts w:hint="eastAsia"/>
          <w:color w:val="auto"/>
          <w:sz w:val="21"/>
          <w:szCs w:val="21"/>
          <w:highlight w:val="none"/>
          <w:lang w:val="en-US" w:eastAsia="zh-CN"/>
        </w:rPr>
        <w:t>在农民工创业园比较集中的区域升级设立浦北县农民工创业园综合服务中心，设置综合服务大厅、洽谈室、创业指导室、培训室等功能区，在园区主要区域打造农民工创业园连片企业一条街特色，建成千米企业信息发布栏；宣传推介本地创业特色项目，依托农副产品加工、编织等特色产业设立浦北县农民工创业园农特优产品展示区，全面激活县域特色；优化升级制作农民工创业园标识，提升园区辨识度，全方位提升整个创业园运营管理服务水平，激活农民工创业活力、推动园区企业高质量发展。</w:t>
      </w:r>
    </w:p>
    <w:p w14:paraId="6F8BD1E9">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b/>
          <w:bCs/>
          <w:color w:val="auto"/>
          <w:sz w:val="21"/>
          <w:szCs w:val="21"/>
          <w:highlight w:val="none"/>
          <w:lang w:val="en-US" w:eastAsia="zh-CN"/>
        </w:rPr>
        <w:t>　　（二）健全园区创业就业服务管理体系。</w:t>
      </w:r>
      <w:r>
        <w:rPr>
          <w:rFonts w:hint="eastAsia"/>
          <w:color w:val="auto"/>
          <w:sz w:val="21"/>
          <w:szCs w:val="21"/>
          <w:highlight w:val="none"/>
          <w:lang w:val="en-US" w:eastAsia="zh-CN"/>
        </w:rPr>
        <w:t>进一步健全创业园管理制度，明确入驻标准与退出机制，保障创业园区各项服务工作有序运营，配备相应的工作人员，负责日常管理工作，跟踪管理、指导、服务创业园区内各类市场主体，并依托平台辐射带动园区外的本地各类市场主体。设立“一窗受理”窗口，推行“五员”管家服务模式，创新推行政策宣传员、补贴政策代办员、招工勤务员、维权保障员、纾难解困员“五员”管家服务模式。每月组织人员定期入企开展人社惠企政策宣传，扩大政策宣传面，提高政策知晓率，确保入园企业对人社惠企政策应知尽知，应办尽办；建立企业的用工需求台账，积极为企业提供招聘、培训、咨询等相关服务；协助入驻企业、农民工办理一次性创业补贴、创业担保贷款、失业金申领、社保缴费等政策性业务。</w:t>
      </w:r>
    </w:p>
    <w:p w14:paraId="608723BC">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b/>
          <w:bCs/>
          <w:color w:val="auto"/>
          <w:sz w:val="21"/>
          <w:szCs w:val="21"/>
          <w:highlight w:val="none"/>
          <w:lang w:val="en-US" w:eastAsia="zh-CN"/>
        </w:rPr>
        <w:t>　　（三）升级培训内容与模式。</w:t>
      </w:r>
      <w:r>
        <w:rPr>
          <w:rFonts w:hint="eastAsia"/>
          <w:color w:val="auto"/>
          <w:sz w:val="21"/>
          <w:szCs w:val="21"/>
          <w:highlight w:val="none"/>
          <w:lang w:val="en-US" w:eastAsia="zh-CN"/>
        </w:rPr>
        <w:t>结合浦北产业优势和农民工需求，采用“互动教学+案例教学+现场观摩”相结合的方式有针对性开展培训，从基础层面，开展创业意识培育、企业经营管理、政策解读等实用技术培训；特色层面，围绕“世界长寿之乡”品牌，开发健康食品加工、乡村旅游、陈皮产业等特色培训项目；新兴层面，增设数字电商、直播带货等课程，推广“技能+创业”融合培训模式，提高园区企业管理能力及农民工技能水平。</w:t>
      </w:r>
    </w:p>
    <w:p w14:paraId="7678017D">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b/>
          <w:bCs/>
          <w:color w:val="auto"/>
          <w:sz w:val="21"/>
          <w:szCs w:val="21"/>
          <w:highlight w:val="none"/>
          <w:lang w:val="en-US" w:eastAsia="zh-CN"/>
        </w:rPr>
        <w:t>　　（四）建强创业指导服务阵地。</w:t>
      </w:r>
      <w:r>
        <w:rPr>
          <w:rFonts w:hint="eastAsia"/>
          <w:color w:val="auto"/>
          <w:sz w:val="21"/>
          <w:szCs w:val="21"/>
          <w:highlight w:val="none"/>
          <w:lang w:val="en-US" w:eastAsia="zh-CN"/>
        </w:rPr>
        <w:t>设立创业指导师工作室，定期和不定期邀请创业指导师开展创业就业指导，为创业者提供“一对一”跟踪指导服务，向创业者及时推介投资少、见效快、市场前景好的创业项目，为企业提供市场营销、品牌建设、财务管理、法律咨询、人力资源等专项服务。支持举办农民工创业、技能大赛，创业项目展示推介等活动，搭建返乡留乡农民工与创业项目的对接平台。组建返乡留乡农民工创业微信群，为返乡创业人员交流和信息共享提供方便。</w:t>
      </w:r>
    </w:p>
    <w:p w14:paraId="5B41E90A">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firstLine="422" w:firstLineChars="200"/>
        <w:jc w:val="left"/>
        <w:textAlignment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二、服务要求</w:t>
      </w:r>
    </w:p>
    <w:p w14:paraId="41A509C0">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　　（一）要严格按“五个一”管理</w:t>
      </w:r>
    </w:p>
    <w:p w14:paraId="18A668CE">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　　浦北县农民工创业园综合服务中心必须在采购人的管理和指导下开展服务工作，按照“五个一”（统一标识、统一制度、统一标准、统一流程、统一队伍）的模式进行管理，确保各项工作正常开展，按时按质完成各项工作任务。</w:t>
      </w:r>
    </w:p>
    <w:p w14:paraId="7992A751">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　　（二）要落实“五个有”</w:t>
      </w:r>
    </w:p>
    <w:p w14:paraId="21BD1D2F">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　　1.有固定办公场所（综合服务大厅、洽谈室、会议室、创业指导室、培训室等功能区）；</w:t>
      </w:r>
    </w:p>
    <w:p w14:paraId="4F67C036">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　　2.有办公设备（服务大厅配备办公桌椅、电脑、打印机、空调、饮水机、档案柜、复印机、群众座椅、窗口座椅，会议室配备会议台、椅，洽谈室配备沙发、茶几，拉通网络、数智人社专线、安装摄象头，开通固定电话等）；</w:t>
      </w:r>
    </w:p>
    <w:p w14:paraId="7DA2467E">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　　3.有专职工作人员（工作人员统一工作服，佩带工作牌上岗），要求配备3名专职工作人员；</w:t>
      </w:r>
    </w:p>
    <w:p w14:paraId="12871F9B">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　　4.有宣传阵地（安装显示屏，设立宣传牌，印制相关资料等）；</w:t>
      </w:r>
    </w:p>
    <w:p w14:paraId="1E8624E4">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　　5.有工作要求（做到工作有制度、服务有标准、操作有流程）。</w:t>
      </w:r>
    </w:p>
    <w:p w14:paraId="47D433E6">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　　（三）要按要求印制宣传资料</w:t>
      </w:r>
    </w:p>
    <w:p w14:paraId="351E11FD">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　　按采购人要求制作相关资料，包括开展各个项目服务所需资料，以及农民工入驻企业所需材料、宣传简介、横幅、海报、宣传栏等。</w:t>
      </w:r>
    </w:p>
    <w:p w14:paraId="15A2DBA8">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　　（四）要规范建立工作台账</w:t>
      </w:r>
    </w:p>
    <w:p w14:paraId="18E15396">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　　所开展的每一个服务项目活动或工作，必须分类归档建立工作台账资料，做到一项一档。</w:t>
      </w:r>
    </w:p>
    <w:p w14:paraId="37DDCA6A">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　　（五）要及时收集材料报送</w:t>
      </w:r>
    </w:p>
    <w:p w14:paraId="2767030C">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　　1.报表报送。务必按县人社部门的要求报送相关信息材料，如各类报表、实名制名册、总结等材料。</w:t>
      </w:r>
    </w:p>
    <w:p w14:paraId="0C2EDDCF">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　　2.服务项目进展情况报送。主要包括入驻企业数量、企业开工投产率、农民工创办企业的比率（含入股）、园内农民工就业率等情况，帮助入驻企业招聘情况、开展招聘进展、招聘工作亮点、活动组织、工作动态、工作存在的问题等，研判形势，总结经验。</w:t>
      </w:r>
    </w:p>
    <w:p w14:paraId="657D9C09">
      <w:pPr>
        <w:keepNext w:val="0"/>
        <w:keepLines w:val="0"/>
        <w:pageBreakBefore w:val="0"/>
        <w:widowControl/>
        <w:suppressLineNumbers w:val="0"/>
        <w:kinsoku/>
        <w:wordWrap/>
        <w:overflowPunct/>
        <w:topLinePunct w:val="0"/>
        <w:autoSpaceDN/>
        <w:bidi w:val="0"/>
        <w:adjustRightInd/>
        <w:snapToGrid/>
        <w:spacing w:before="60" w:beforeAutospacing="0" w:after="60" w:afterAutospacing="0" w:line="360" w:lineRule="auto"/>
        <w:ind w:left="0" w:right="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　　3.活动资料报送。活动方案、图片、经验总结等材料每月以书面、电子版形式报送。</w:t>
      </w:r>
    </w:p>
    <w:p w14:paraId="49D9B31C">
      <w:pPr>
        <w:spacing w:line="400" w:lineRule="exact"/>
        <w:ind w:firstLine="413" w:firstLineChars="196"/>
        <w:rPr>
          <w:rFonts w:hint="eastAsia" w:ascii="宋体" w:hAnsi="宋体" w:eastAsia="宋体" w:cs="宋体"/>
          <w:b/>
          <w:color w:val="auto"/>
          <w:szCs w:val="21"/>
          <w:highlight w:val="none"/>
        </w:rPr>
      </w:pPr>
      <w:r>
        <w:rPr>
          <w:rFonts w:hint="eastAsia" w:ascii="宋体" w:hAnsi="宋体" w:cs="宋体"/>
          <w:b/>
          <w:color w:val="auto"/>
          <w:szCs w:val="21"/>
          <w:highlight w:val="none"/>
          <w:lang w:eastAsia="zh-CN"/>
        </w:rPr>
        <w:t>三</w:t>
      </w:r>
      <w:r>
        <w:rPr>
          <w:rFonts w:hint="eastAsia" w:ascii="宋体" w:hAnsi="宋体" w:eastAsia="宋体" w:cs="宋体"/>
          <w:b/>
          <w:color w:val="auto"/>
          <w:szCs w:val="21"/>
          <w:highlight w:val="none"/>
        </w:rPr>
        <w:t>、项目考核要求</w:t>
      </w:r>
    </w:p>
    <w:p w14:paraId="0BF66BB7">
      <w:pPr>
        <w:spacing w:line="400" w:lineRule="exact"/>
        <w:ind w:firstLine="413" w:firstLineChars="196"/>
        <w:rPr>
          <w:rFonts w:hint="eastAsia" w:ascii="宋体" w:hAnsi="宋体" w:eastAsia="宋体" w:cs="宋体"/>
          <w:bCs/>
          <w:i w:val="0"/>
          <w:iCs w:val="0"/>
          <w:caps w:val="0"/>
          <w:color w:val="auto"/>
          <w:spacing w:val="0"/>
          <w:sz w:val="21"/>
          <w:szCs w:val="21"/>
          <w:highlight w:val="none"/>
          <w:shd w:val="clear" w:color="auto" w:fill="auto"/>
        </w:rPr>
      </w:pPr>
      <w:r>
        <w:rPr>
          <w:rFonts w:hint="eastAsia" w:ascii="宋体" w:hAnsi="宋体" w:eastAsia="宋体" w:cs="宋体"/>
          <w:b/>
          <w:bCs w:val="0"/>
          <w:i w:val="0"/>
          <w:iCs w:val="0"/>
          <w:caps w:val="0"/>
          <w:color w:val="auto"/>
          <w:spacing w:val="0"/>
          <w:sz w:val="21"/>
          <w:szCs w:val="21"/>
          <w:highlight w:val="none"/>
          <w:shd w:val="clear" w:color="auto" w:fill="auto"/>
        </w:rPr>
        <w:t>（一）要规范人员与窗口管理。</w:t>
      </w:r>
      <w:r>
        <w:rPr>
          <w:rFonts w:hint="eastAsia" w:ascii="宋体" w:hAnsi="宋体" w:eastAsia="宋体" w:cs="宋体"/>
          <w:bCs/>
          <w:i w:val="0"/>
          <w:iCs w:val="0"/>
          <w:caps w:val="0"/>
          <w:color w:val="auto"/>
          <w:spacing w:val="0"/>
          <w:sz w:val="21"/>
          <w:szCs w:val="21"/>
          <w:highlight w:val="none"/>
          <w:shd w:val="clear" w:color="auto" w:fill="auto"/>
        </w:rPr>
        <w:t>配备熟悉创业政策、政治素质较高、服务意识较强的专职工作人员，配齐常驻专职服务人员≥3人的，在岗稳定，无缺岗、人员频繁流失等问题，服从县人社局日常调度、不定期现场检查，按时参会、配合各类督导检查等工作。窗口服务要规范，工作人员要按时上下班，着装要整洁、服务要贴心，无企业、群众有效投诉，出现1次服务态度差被投诉或不服从县人社局统一工作安排、无故缺席工作部署会的扣经费0.1万元。</w:t>
      </w:r>
    </w:p>
    <w:p w14:paraId="24BEF0C7">
      <w:pPr>
        <w:spacing w:line="400" w:lineRule="exact"/>
        <w:ind w:firstLine="413" w:firstLineChars="196"/>
        <w:rPr>
          <w:rFonts w:hint="eastAsia" w:ascii="宋体" w:hAnsi="宋体" w:eastAsia="宋体" w:cs="宋体"/>
          <w:bCs/>
          <w:i w:val="0"/>
          <w:iCs w:val="0"/>
          <w:caps w:val="0"/>
          <w:color w:val="auto"/>
          <w:spacing w:val="0"/>
          <w:sz w:val="21"/>
          <w:szCs w:val="21"/>
          <w:highlight w:val="none"/>
          <w:shd w:val="clear" w:color="auto" w:fill="auto"/>
        </w:rPr>
      </w:pPr>
      <w:r>
        <w:rPr>
          <w:rFonts w:hint="eastAsia" w:ascii="宋体" w:hAnsi="宋体" w:eastAsia="宋体" w:cs="宋体"/>
          <w:b/>
          <w:bCs w:val="0"/>
          <w:i w:val="0"/>
          <w:iCs w:val="0"/>
          <w:caps w:val="0"/>
          <w:color w:val="auto"/>
          <w:spacing w:val="0"/>
          <w:sz w:val="21"/>
          <w:szCs w:val="21"/>
          <w:highlight w:val="none"/>
          <w:shd w:val="clear" w:color="auto" w:fill="auto"/>
        </w:rPr>
        <w:t>（二）要定期上门服务。</w:t>
      </w:r>
      <w:r>
        <w:rPr>
          <w:rFonts w:hint="eastAsia" w:ascii="宋体" w:hAnsi="宋体" w:eastAsia="宋体" w:cs="宋体"/>
          <w:bCs/>
          <w:i w:val="0"/>
          <w:iCs w:val="0"/>
          <w:caps w:val="0"/>
          <w:color w:val="auto"/>
          <w:spacing w:val="0"/>
          <w:sz w:val="21"/>
          <w:szCs w:val="21"/>
          <w:highlight w:val="none"/>
          <w:shd w:val="clear" w:color="auto" w:fill="auto"/>
        </w:rPr>
        <w:t>要组织人员对创业园区范围内的企业进行一次重新核查，了解入驻企业的运营情况、吸纳就业情况等，对停产企业不再纳入创业园管理，对符合入驻创业园的企业重新纳入园区管理，并提供系列服务，对整个园区入驻的企业实行动态管理，建立工作台账。每月定期到园区企业开展一次上门服务，上门服务企业率100%，企业知晓率100%，企业满意率95%以上，以上指标每少一个百分点扣经费0.2万元。</w:t>
      </w:r>
    </w:p>
    <w:p w14:paraId="77AFFAD7">
      <w:pPr>
        <w:spacing w:line="400" w:lineRule="exact"/>
        <w:ind w:firstLine="413" w:firstLineChars="196"/>
        <w:rPr>
          <w:rFonts w:hint="eastAsia" w:ascii="宋体" w:hAnsi="宋体" w:eastAsia="宋体" w:cs="宋体"/>
          <w:bCs/>
          <w:i w:val="0"/>
          <w:iCs w:val="0"/>
          <w:caps w:val="0"/>
          <w:color w:val="auto"/>
          <w:spacing w:val="0"/>
          <w:sz w:val="21"/>
          <w:szCs w:val="21"/>
          <w:highlight w:val="none"/>
          <w:shd w:val="clear" w:color="auto" w:fill="auto"/>
        </w:rPr>
      </w:pPr>
      <w:r>
        <w:rPr>
          <w:rFonts w:hint="eastAsia" w:ascii="宋体" w:hAnsi="宋体" w:eastAsia="宋体" w:cs="宋体"/>
          <w:b/>
          <w:bCs w:val="0"/>
          <w:i w:val="0"/>
          <w:iCs w:val="0"/>
          <w:caps w:val="0"/>
          <w:color w:val="auto"/>
          <w:spacing w:val="0"/>
          <w:sz w:val="21"/>
          <w:szCs w:val="21"/>
          <w:highlight w:val="none"/>
          <w:shd w:val="clear" w:color="auto" w:fill="auto"/>
        </w:rPr>
        <w:t>（三）要建立健全服务制度。</w:t>
      </w:r>
      <w:r>
        <w:rPr>
          <w:rFonts w:hint="eastAsia" w:ascii="宋体" w:hAnsi="宋体" w:eastAsia="宋体" w:cs="宋体"/>
          <w:bCs/>
          <w:i w:val="0"/>
          <w:iCs w:val="0"/>
          <w:caps w:val="0"/>
          <w:color w:val="auto"/>
          <w:spacing w:val="0"/>
          <w:sz w:val="21"/>
          <w:szCs w:val="21"/>
          <w:highlight w:val="none"/>
          <w:shd w:val="clear" w:color="auto" w:fill="auto"/>
        </w:rPr>
        <w:t>创业园运营管理机构没有建立服务承诺、公开公示、限时办结、目标考核、监督举报和责任追究等制度，并对外公布、悬挂上墙的，扣0.05万元。</w:t>
      </w:r>
    </w:p>
    <w:p w14:paraId="71C5FD2B">
      <w:pPr>
        <w:spacing w:line="400" w:lineRule="exact"/>
        <w:ind w:firstLine="413" w:firstLineChars="196"/>
        <w:rPr>
          <w:rFonts w:hint="eastAsia" w:ascii="宋体" w:hAnsi="宋体" w:eastAsia="宋体" w:cs="宋体"/>
          <w:bCs/>
          <w:i w:val="0"/>
          <w:iCs w:val="0"/>
          <w:caps w:val="0"/>
          <w:color w:val="auto"/>
          <w:spacing w:val="0"/>
          <w:sz w:val="21"/>
          <w:szCs w:val="21"/>
          <w:highlight w:val="none"/>
          <w:shd w:val="clear" w:color="auto" w:fill="auto"/>
        </w:rPr>
      </w:pPr>
      <w:r>
        <w:rPr>
          <w:rFonts w:hint="eastAsia" w:ascii="宋体" w:hAnsi="宋体" w:eastAsia="宋体" w:cs="宋体"/>
          <w:b/>
          <w:bCs w:val="0"/>
          <w:i w:val="0"/>
          <w:iCs w:val="0"/>
          <w:caps w:val="0"/>
          <w:color w:val="auto"/>
          <w:spacing w:val="0"/>
          <w:sz w:val="21"/>
          <w:szCs w:val="21"/>
          <w:highlight w:val="none"/>
          <w:shd w:val="clear" w:color="auto" w:fill="auto"/>
        </w:rPr>
        <w:t>（四）要组织开展创业指导和培训。</w:t>
      </w:r>
      <w:r>
        <w:rPr>
          <w:rFonts w:hint="eastAsia" w:ascii="宋体" w:hAnsi="宋体" w:eastAsia="宋体" w:cs="宋体"/>
          <w:bCs/>
          <w:i w:val="0"/>
          <w:iCs w:val="0"/>
          <w:caps w:val="0"/>
          <w:color w:val="auto"/>
          <w:spacing w:val="0"/>
          <w:sz w:val="21"/>
          <w:szCs w:val="21"/>
          <w:highlight w:val="none"/>
          <w:shd w:val="clear" w:color="auto" w:fill="auto"/>
        </w:rPr>
        <w:t>年内要邀请创业指导师、高校专家、企业高管、优秀创业者、金融从业者等开展创业交流指导4次；年内至少组织园内的务工人员开展岗位技能培训不少于3场。以上指标如未完成每项扣经费0.1万元。</w:t>
      </w:r>
    </w:p>
    <w:p w14:paraId="02CBDEB9">
      <w:pPr>
        <w:spacing w:line="400" w:lineRule="exact"/>
        <w:ind w:firstLine="413" w:firstLineChars="196"/>
        <w:rPr>
          <w:rFonts w:hint="eastAsia" w:ascii="宋体" w:hAnsi="宋体" w:eastAsia="宋体" w:cs="宋体"/>
          <w:bCs/>
          <w:i w:val="0"/>
          <w:iCs w:val="0"/>
          <w:caps w:val="0"/>
          <w:color w:val="auto"/>
          <w:spacing w:val="0"/>
          <w:sz w:val="21"/>
          <w:szCs w:val="21"/>
          <w:highlight w:val="none"/>
          <w:shd w:val="clear" w:color="auto" w:fill="auto"/>
        </w:rPr>
      </w:pPr>
      <w:r>
        <w:rPr>
          <w:rFonts w:hint="eastAsia" w:ascii="宋体" w:hAnsi="宋体" w:eastAsia="宋体" w:cs="宋体"/>
          <w:b/>
          <w:bCs w:val="0"/>
          <w:i w:val="0"/>
          <w:iCs w:val="0"/>
          <w:caps w:val="0"/>
          <w:color w:val="auto"/>
          <w:spacing w:val="0"/>
          <w:sz w:val="21"/>
          <w:szCs w:val="21"/>
          <w:highlight w:val="none"/>
          <w:shd w:val="clear" w:color="auto" w:fill="auto"/>
        </w:rPr>
        <w:t>（五）要建立基础台账、档案、信息报送与宣传。</w:t>
      </w:r>
      <w:r>
        <w:rPr>
          <w:rFonts w:hint="eastAsia" w:ascii="宋体" w:hAnsi="宋体" w:eastAsia="宋体" w:cs="宋体"/>
          <w:bCs/>
          <w:i w:val="0"/>
          <w:iCs w:val="0"/>
          <w:caps w:val="0"/>
          <w:color w:val="auto"/>
          <w:spacing w:val="0"/>
          <w:sz w:val="21"/>
          <w:szCs w:val="21"/>
          <w:highlight w:val="none"/>
          <w:shd w:val="clear" w:color="auto" w:fill="auto"/>
        </w:rPr>
        <w:t>建立服务工作台账和档案资料，真实、准确、规范地记录园区内的入驻企业和实体、就业人数、参保缴费、政策兑现、跟踪服务等情况，没有建立台账和档案资料的，每项扣0.1万元；每月定期报送相关报表、服务项目进展情况及开展信息宣传等相关资料，少报1次扣减经费0.1万元。</w:t>
      </w:r>
    </w:p>
    <w:p w14:paraId="1A57F639">
      <w:pPr>
        <w:spacing w:line="400" w:lineRule="exact"/>
        <w:ind w:firstLine="413" w:firstLineChars="196"/>
        <w:rPr>
          <w:rFonts w:hint="eastAsia" w:ascii="宋体" w:hAnsi="宋体" w:eastAsia="宋体" w:cs="宋体"/>
          <w:b/>
          <w:bCs w:val="0"/>
          <w:i w:val="0"/>
          <w:iCs w:val="0"/>
          <w:caps w:val="0"/>
          <w:color w:val="auto"/>
          <w:spacing w:val="0"/>
          <w:sz w:val="21"/>
          <w:szCs w:val="21"/>
          <w:highlight w:val="none"/>
          <w:shd w:val="clear" w:color="auto" w:fill="auto"/>
        </w:rPr>
      </w:pPr>
      <w:r>
        <w:rPr>
          <w:rFonts w:hint="eastAsia" w:ascii="宋体" w:hAnsi="宋体" w:eastAsia="宋体" w:cs="宋体"/>
          <w:b/>
          <w:bCs w:val="0"/>
          <w:i w:val="0"/>
          <w:iCs w:val="0"/>
          <w:caps w:val="0"/>
          <w:color w:val="auto"/>
          <w:spacing w:val="0"/>
          <w:sz w:val="21"/>
          <w:szCs w:val="21"/>
          <w:highlight w:val="none"/>
          <w:shd w:val="clear" w:color="auto" w:fill="auto"/>
        </w:rPr>
        <w:t>第七条  税费</w:t>
      </w:r>
    </w:p>
    <w:p w14:paraId="137A91E7">
      <w:pPr>
        <w:spacing w:line="400" w:lineRule="exact"/>
        <w:ind w:firstLine="411" w:firstLineChars="196"/>
        <w:rPr>
          <w:rFonts w:hint="eastAsia" w:ascii="宋体" w:hAnsi="宋体" w:eastAsia="宋体" w:cs="宋体"/>
          <w:bCs/>
          <w:i w:val="0"/>
          <w:iCs w:val="0"/>
          <w:caps w:val="0"/>
          <w:color w:val="auto"/>
          <w:spacing w:val="0"/>
          <w:sz w:val="21"/>
          <w:szCs w:val="21"/>
          <w:highlight w:val="none"/>
          <w:shd w:val="clear" w:color="auto" w:fill="auto"/>
          <w:lang w:eastAsia="zh-CN"/>
        </w:rPr>
      </w:pPr>
      <w:r>
        <w:rPr>
          <w:rFonts w:hint="eastAsia" w:ascii="宋体" w:hAnsi="宋体" w:eastAsia="宋体" w:cs="宋体"/>
          <w:bCs/>
          <w:i w:val="0"/>
          <w:iCs w:val="0"/>
          <w:caps w:val="0"/>
          <w:color w:val="auto"/>
          <w:spacing w:val="0"/>
          <w:sz w:val="21"/>
          <w:szCs w:val="21"/>
          <w:highlight w:val="none"/>
          <w:shd w:val="clear" w:color="auto" w:fill="auto"/>
        </w:rPr>
        <w:t>本合同总价为含税价，乙方应按照国家规定缴纳相关税费，税费已包含在合同总价中</w:t>
      </w:r>
      <w:r>
        <w:rPr>
          <w:rFonts w:hint="eastAsia" w:ascii="宋体" w:hAnsi="宋体" w:cs="宋体"/>
          <w:bCs/>
          <w:i w:val="0"/>
          <w:iCs w:val="0"/>
          <w:caps w:val="0"/>
          <w:color w:val="auto"/>
          <w:spacing w:val="0"/>
          <w:sz w:val="21"/>
          <w:szCs w:val="21"/>
          <w:highlight w:val="none"/>
          <w:shd w:val="clear" w:color="auto" w:fill="auto"/>
          <w:lang w:eastAsia="zh-CN"/>
        </w:rPr>
        <w:t>。</w:t>
      </w:r>
    </w:p>
    <w:p w14:paraId="74840051">
      <w:pPr>
        <w:spacing w:line="400" w:lineRule="exact"/>
        <w:ind w:firstLine="413" w:firstLineChars="196"/>
        <w:rPr>
          <w:rFonts w:hint="eastAsia" w:ascii="宋体" w:hAnsi="宋体" w:eastAsia="宋体" w:cs="宋体"/>
          <w:b/>
          <w:color w:val="auto"/>
          <w:szCs w:val="21"/>
          <w:highlight w:val="none"/>
        </w:rPr>
      </w:pPr>
      <w:r>
        <w:rPr>
          <w:rFonts w:hint="eastAsia" w:ascii="宋体" w:hAnsi="宋体" w:eastAsia="宋体" w:cs="宋体"/>
          <w:b/>
          <w:bCs w:val="0"/>
          <w:color w:val="auto"/>
          <w:szCs w:val="21"/>
          <w:highlight w:val="none"/>
        </w:rPr>
        <w:t>第</w:t>
      </w:r>
      <w:r>
        <w:rPr>
          <w:rFonts w:hint="eastAsia" w:ascii="宋体" w:hAnsi="宋体" w:eastAsia="宋体" w:cs="宋体"/>
          <w:b/>
          <w:color w:val="auto"/>
          <w:szCs w:val="21"/>
          <w:highlight w:val="none"/>
        </w:rPr>
        <w:t>八条  付款方式</w:t>
      </w:r>
    </w:p>
    <w:p w14:paraId="7557DF6D">
      <w:pPr>
        <w:spacing w:line="400" w:lineRule="exact"/>
        <w:ind w:firstLine="411" w:firstLineChars="196"/>
        <w:rPr>
          <w:rFonts w:hint="eastAsia" w:ascii="宋体" w:hAnsi="宋体" w:eastAsia="宋体" w:cs="宋体"/>
          <w:color w:val="auto"/>
          <w:szCs w:val="21"/>
          <w:highlight w:val="none"/>
        </w:rPr>
      </w:pPr>
      <w:r>
        <w:rPr>
          <w:rFonts w:hint="eastAsia" w:ascii="宋体" w:hAnsi="宋体" w:cs="宋体"/>
          <w:color w:val="auto"/>
          <w:sz w:val="21"/>
          <w:szCs w:val="21"/>
          <w:highlight w:val="none"/>
          <w:lang w:val="en-US" w:eastAsia="zh-CN"/>
        </w:rPr>
        <w:t>甲方在</w:t>
      </w:r>
      <w:r>
        <w:rPr>
          <w:rFonts w:hint="eastAsia" w:ascii="宋体" w:hAnsi="宋体" w:eastAsia="宋体" w:cs="宋体"/>
          <w:color w:val="auto"/>
          <w:sz w:val="21"/>
          <w:szCs w:val="21"/>
          <w:highlight w:val="none"/>
          <w:lang w:eastAsia="zh-CN"/>
        </w:rPr>
        <w:t>签订合同后15个工作日内</w:t>
      </w:r>
      <w:r>
        <w:rPr>
          <w:rFonts w:hint="eastAsia" w:ascii="宋体" w:hAnsi="宋体" w:eastAsia="宋体" w:cs="宋体"/>
          <w:color w:val="auto"/>
          <w:sz w:val="21"/>
          <w:szCs w:val="21"/>
          <w:highlight w:val="none"/>
          <w:lang w:val="en-US" w:eastAsia="zh-CN"/>
        </w:rPr>
        <w:t>向财政</w:t>
      </w:r>
      <w:r>
        <w:rPr>
          <w:rFonts w:hint="eastAsia" w:ascii="宋体" w:hAnsi="宋体" w:eastAsia="宋体" w:cs="宋体"/>
          <w:color w:val="auto"/>
          <w:kern w:val="0"/>
          <w:szCs w:val="21"/>
          <w:highlight w:val="none"/>
          <w:lang w:eastAsia="zh-CN"/>
        </w:rPr>
        <w:t>申请</w:t>
      </w:r>
      <w:r>
        <w:rPr>
          <w:rFonts w:hint="eastAsia" w:ascii="宋体" w:hAnsi="宋体" w:eastAsia="宋体" w:cs="宋体"/>
          <w:color w:val="auto"/>
          <w:kern w:val="0"/>
          <w:szCs w:val="21"/>
          <w:highlight w:val="none"/>
        </w:rPr>
        <w:t>拔付</w:t>
      </w:r>
      <w:r>
        <w:rPr>
          <w:rFonts w:hint="eastAsia" w:ascii="宋体" w:hAnsi="宋体" w:eastAsia="宋体" w:cs="宋体"/>
          <w:color w:val="auto"/>
          <w:kern w:val="0"/>
          <w:szCs w:val="21"/>
          <w:highlight w:val="none"/>
          <w:lang w:eastAsia="zh-CN"/>
        </w:rPr>
        <w:t>合同金额的</w:t>
      </w: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lang w:eastAsia="zh-CN"/>
        </w:rPr>
        <w:t>0%</w:t>
      </w:r>
      <w:r>
        <w:rPr>
          <w:rFonts w:hint="eastAsia" w:ascii="宋体" w:hAnsi="宋体" w:cs="宋体"/>
          <w:color w:val="auto"/>
          <w:kern w:val="0"/>
          <w:szCs w:val="21"/>
          <w:highlight w:val="none"/>
          <w:lang w:val="en-US" w:eastAsia="zh-CN"/>
        </w:rPr>
        <w:t>给乙方</w:t>
      </w:r>
      <w:r>
        <w:rPr>
          <w:rFonts w:hint="eastAsia" w:ascii="宋体" w:hAnsi="宋体" w:eastAsia="宋体" w:cs="宋体"/>
          <w:color w:val="auto"/>
          <w:kern w:val="0"/>
          <w:szCs w:val="21"/>
          <w:highlight w:val="none"/>
          <w:lang w:eastAsia="zh-CN"/>
        </w:rPr>
        <w:t>作为前期运营服务款</w:t>
      </w:r>
      <w:r>
        <w:rPr>
          <w:rFonts w:hint="eastAsia" w:ascii="宋体" w:hAnsi="宋体" w:eastAsia="宋体" w:cs="宋体"/>
          <w:color w:val="auto"/>
          <w:kern w:val="0"/>
          <w:szCs w:val="21"/>
          <w:highlight w:val="none"/>
        </w:rPr>
        <w:t>，末期</w:t>
      </w:r>
      <w:r>
        <w:rPr>
          <w:rFonts w:hint="eastAsia" w:ascii="宋体" w:hAnsi="宋体" w:cs="宋体"/>
          <w:color w:val="auto"/>
          <w:kern w:val="0"/>
          <w:szCs w:val="21"/>
          <w:highlight w:val="none"/>
          <w:lang w:val="en-US" w:eastAsia="zh-CN"/>
        </w:rPr>
        <w:t>的50%服务费</w:t>
      </w:r>
      <w:r>
        <w:rPr>
          <w:rFonts w:hint="eastAsia" w:ascii="宋体" w:hAnsi="宋体" w:eastAsia="宋体" w:cs="宋体"/>
          <w:color w:val="auto"/>
          <w:kern w:val="0"/>
          <w:szCs w:val="21"/>
          <w:highlight w:val="none"/>
        </w:rPr>
        <w:t>（即服务满一年）</w:t>
      </w:r>
      <w:r>
        <w:rPr>
          <w:rFonts w:hint="eastAsia" w:ascii="宋体" w:hAnsi="宋体" w:cs="宋体"/>
          <w:color w:val="auto"/>
          <w:kern w:val="0"/>
          <w:szCs w:val="21"/>
          <w:highlight w:val="none"/>
          <w:lang w:val="en-US" w:eastAsia="zh-CN"/>
        </w:rPr>
        <w:t>根据考核结果支付</w:t>
      </w:r>
      <w:r>
        <w:rPr>
          <w:rFonts w:hint="eastAsia" w:ascii="宋体" w:hAnsi="宋体" w:eastAsia="宋体" w:cs="宋体"/>
          <w:color w:val="auto"/>
          <w:kern w:val="0"/>
          <w:szCs w:val="21"/>
          <w:highlight w:val="none"/>
        </w:rPr>
        <w:t>。</w:t>
      </w:r>
      <w:r>
        <w:rPr>
          <w:rFonts w:hint="eastAsia" w:ascii="宋体" w:hAnsi="宋体" w:cs="宋体"/>
          <w:color w:val="auto"/>
          <w:kern w:val="0"/>
          <w:szCs w:val="21"/>
          <w:highlight w:val="none"/>
          <w:lang w:val="en-US" w:eastAsia="zh-CN"/>
        </w:rPr>
        <w:t>每次款项</w:t>
      </w:r>
      <w:r>
        <w:rPr>
          <w:rFonts w:hint="eastAsia" w:ascii="宋体" w:hAnsi="宋体" w:eastAsia="宋体" w:cs="宋体"/>
          <w:color w:val="auto"/>
          <w:kern w:val="0"/>
          <w:szCs w:val="21"/>
          <w:highlight w:val="none"/>
        </w:rPr>
        <w:t>支付前</w:t>
      </w:r>
      <w:r>
        <w:rPr>
          <w:rFonts w:hint="eastAsia" w:ascii="宋体" w:hAnsi="宋体" w:cs="宋体"/>
          <w:color w:val="auto"/>
          <w:kern w:val="0"/>
          <w:szCs w:val="21"/>
          <w:highlight w:val="none"/>
          <w:lang w:val="en-US" w:eastAsia="zh-CN"/>
        </w:rPr>
        <w:t>乙方</w:t>
      </w:r>
      <w:r>
        <w:rPr>
          <w:rFonts w:hint="eastAsia" w:ascii="宋体" w:hAnsi="宋体" w:eastAsia="宋体" w:cs="宋体"/>
          <w:color w:val="auto"/>
          <w:kern w:val="0"/>
          <w:szCs w:val="21"/>
          <w:highlight w:val="none"/>
        </w:rPr>
        <w:t>应先开具等额</w:t>
      </w:r>
      <w:r>
        <w:rPr>
          <w:rFonts w:hint="eastAsia" w:ascii="宋体" w:hAnsi="宋体" w:cs="宋体"/>
          <w:color w:val="auto"/>
          <w:kern w:val="0"/>
          <w:szCs w:val="21"/>
          <w:highlight w:val="none"/>
          <w:lang w:val="en-US" w:eastAsia="zh-CN"/>
        </w:rPr>
        <w:t>税务</w:t>
      </w:r>
      <w:r>
        <w:rPr>
          <w:rFonts w:hint="eastAsia" w:ascii="宋体" w:hAnsi="宋体" w:eastAsia="宋体" w:cs="宋体"/>
          <w:color w:val="auto"/>
          <w:kern w:val="0"/>
          <w:szCs w:val="21"/>
          <w:highlight w:val="none"/>
        </w:rPr>
        <w:t>发票给</w:t>
      </w:r>
      <w:r>
        <w:rPr>
          <w:rFonts w:hint="eastAsia" w:ascii="宋体" w:hAnsi="宋体" w:cs="宋体"/>
          <w:color w:val="auto"/>
          <w:kern w:val="0"/>
          <w:szCs w:val="21"/>
          <w:highlight w:val="none"/>
          <w:lang w:val="en-US" w:eastAsia="zh-CN"/>
        </w:rPr>
        <w:t>甲方</w:t>
      </w:r>
      <w:r>
        <w:rPr>
          <w:rFonts w:hint="eastAsia" w:ascii="宋体" w:hAnsi="宋体" w:eastAsia="宋体" w:cs="宋体"/>
          <w:color w:val="auto"/>
          <w:kern w:val="0"/>
          <w:szCs w:val="21"/>
          <w:highlight w:val="none"/>
        </w:rPr>
        <w:t>后，</w:t>
      </w:r>
      <w:r>
        <w:rPr>
          <w:rFonts w:hint="eastAsia" w:ascii="宋体" w:hAnsi="宋体" w:cs="宋体"/>
          <w:color w:val="auto"/>
          <w:kern w:val="0"/>
          <w:szCs w:val="21"/>
          <w:highlight w:val="none"/>
          <w:lang w:val="en-US" w:eastAsia="zh-CN"/>
        </w:rPr>
        <w:t>甲方</w:t>
      </w:r>
      <w:r>
        <w:rPr>
          <w:rFonts w:hint="eastAsia" w:ascii="宋体" w:hAnsi="宋体" w:eastAsia="宋体" w:cs="宋体"/>
          <w:color w:val="auto"/>
          <w:kern w:val="0"/>
          <w:szCs w:val="21"/>
          <w:highlight w:val="none"/>
        </w:rPr>
        <w:t>再进行支付</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否则甲方有权拒付并不因此构成违约</w:t>
      </w:r>
      <w:r>
        <w:rPr>
          <w:rFonts w:hint="eastAsia" w:ascii="宋体" w:hAnsi="宋体" w:eastAsia="宋体" w:cs="宋体"/>
          <w:color w:val="auto"/>
          <w:kern w:val="0"/>
          <w:szCs w:val="21"/>
          <w:highlight w:val="none"/>
        </w:rPr>
        <w:t>。</w:t>
      </w:r>
    </w:p>
    <w:p w14:paraId="61DB03C9">
      <w:pPr>
        <w:spacing w:line="400" w:lineRule="exact"/>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第九条  资产归属</w:t>
      </w:r>
    </w:p>
    <w:p w14:paraId="49D7BDEB">
      <w:pPr>
        <w:spacing w:line="400" w:lineRule="exact"/>
        <w:ind w:firstLine="411" w:firstLineChars="196"/>
        <w:rPr>
          <w:rFonts w:hint="eastAsia" w:ascii="宋体" w:hAnsi="宋体" w:eastAsia="宋体" w:cs="宋体"/>
          <w:i w:val="0"/>
          <w:iCs w:val="0"/>
          <w:caps w:val="0"/>
          <w:color w:val="auto"/>
          <w:spacing w:val="0"/>
          <w:kern w:val="0"/>
          <w:sz w:val="21"/>
          <w:szCs w:val="21"/>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rPr>
        <w:t>本项目购置、装修形成的全部固定资产（含设备、信息终端、装修等）所有权归甲方。合同期满或终止后，乙方10个工作日内完成资产清点移交，损毁、遗失需照价赔偿。</w:t>
      </w:r>
    </w:p>
    <w:p w14:paraId="03456B9E">
      <w:pPr>
        <w:spacing w:line="400" w:lineRule="exact"/>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第十条  违约责任</w:t>
      </w:r>
    </w:p>
    <w:p w14:paraId="35585EFE">
      <w:pPr>
        <w:tabs>
          <w:tab w:val="left" w:pos="420"/>
        </w:tabs>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1.甲乙双方均应按磋商文件要求及乙方响应文件承诺保证按时履行合同。除非遇到不可抗力等客观情况外，不得违约。 </w:t>
      </w:r>
    </w:p>
    <w:p w14:paraId="4B104040">
      <w:pPr>
        <w:tabs>
          <w:tab w:val="left" w:pos="420"/>
        </w:tabs>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2.如任何一方未经双方协商而更改服务内容的，即为违约，除承担守约方因履行合同而形成的损失外，还应向守约方支付违约金，违约金的金额为本合同金额的20%。</w:t>
      </w:r>
    </w:p>
    <w:p w14:paraId="1D20E395">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3.如果乙方未按甲方认可的服务方案开展服务或者在服务过程中有损及甲方声誉的言行的，甲方有权拒绝支付合同金额，并要求乙方赔偿相应损失。</w:t>
      </w:r>
    </w:p>
    <w:p w14:paraId="67B5C5F8">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4.如乙方提供假发票，乙方除须向甲方补开合法发票外，并须赔偿甲方发票票面金额一倍的违约金，且甲方有权无条件终止合同，因终止合同而产生的一切损失均由乙方承担。</w:t>
      </w:r>
    </w:p>
    <w:p w14:paraId="676A60C5">
      <w:pPr>
        <w:spacing w:line="400" w:lineRule="exact"/>
        <w:ind w:firstLine="420" w:firstLineChars="200"/>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zCs w:val="21"/>
          <w:highlight w:val="none"/>
        </w:rPr>
        <w:t>5.乙方对提交给甲方的所有资料真实性负法律责任</w:t>
      </w:r>
      <w:r>
        <w:rPr>
          <w:rFonts w:hint="eastAsia" w:ascii="宋体" w:hAnsi="宋体" w:cs="宋体"/>
          <w:color w:val="auto"/>
          <w:szCs w:val="21"/>
          <w:highlight w:val="none"/>
          <w:lang w:eastAsia="zh-CN"/>
        </w:rPr>
        <w:t>，</w:t>
      </w:r>
      <w:r>
        <w:rPr>
          <w:rFonts w:hint="eastAsia" w:ascii="宋体" w:hAnsi="宋体" w:cs="宋体"/>
          <w:color w:val="auto"/>
          <w:spacing w:val="0"/>
          <w:sz w:val="21"/>
          <w:szCs w:val="21"/>
          <w:highlight w:val="none"/>
          <w:lang w:val="en-US" w:eastAsia="zh-CN"/>
        </w:rPr>
        <w:t>如发现虚假，甲方有权终止合同，除退还已支付的款项外，还需按总额的20%赔偿甲方违约金</w:t>
      </w:r>
      <w:r>
        <w:rPr>
          <w:rFonts w:hint="eastAsia" w:ascii="宋体" w:hAnsi="宋体" w:eastAsia="宋体" w:cs="宋体"/>
          <w:color w:val="auto"/>
          <w:spacing w:val="0"/>
          <w:sz w:val="21"/>
          <w:szCs w:val="21"/>
          <w:highlight w:val="none"/>
          <w:lang w:eastAsia="zh-CN"/>
        </w:rPr>
        <w:t>。</w:t>
      </w:r>
    </w:p>
    <w:p w14:paraId="51D9629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spacing w:before="0" w:beforeAutospacing="0" w:after="0" w:afterAutospacing="0" w:line="400" w:lineRule="exact"/>
        <w:ind w:left="0" w:right="0" w:firstLine="488" w:firstLineChars="200"/>
        <w:jc w:val="left"/>
        <w:rPr>
          <w:rFonts w:hint="eastAsia" w:ascii="宋体" w:hAnsi="宋体" w:eastAsia="宋体" w:cs="宋体"/>
          <w:color w:val="auto"/>
          <w:spacing w:val="0"/>
          <w:sz w:val="21"/>
          <w:szCs w:val="21"/>
          <w:highlight w:val="none"/>
        </w:rPr>
      </w:pPr>
      <w:r>
        <w:rPr>
          <w:rFonts w:hint="eastAsia" w:ascii="宋体" w:hAnsi="宋体" w:cs="宋体"/>
          <w:color w:val="auto"/>
          <w:spacing w:val="12"/>
          <w:sz w:val="22"/>
          <w:szCs w:val="22"/>
          <w:highlight w:val="none"/>
          <w:lang w:val="en-US" w:eastAsia="zh-CN"/>
        </w:rPr>
        <w:t xml:space="preserve"> </w:t>
      </w:r>
      <w:r>
        <w:rPr>
          <w:rFonts w:hint="eastAsia" w:ascii="宋体" w:hAnsi="宋体" w:eastAsia="宋体" w:cs="宋体"/>
          <w:color w:val="auto"/>
          <w:spacing w:val="0"/>
          <w:sz w:val="21"/>
          <w:szCs w:val="21"/>
          <w:highlight w:val="none"/>
          <w:lang w:val="en-US" w:eastAsia="zh-CN"/>
        </w:rPr>
        <w:t>6、</w:t>
      </w:r>
      <w:r>
        <w:rPr>
          <w:rFonts w:hint="eastAsia" w:ascii="宋体" w:hAnsi="宋体" w:eastAsia="宋体" w:cs="宋体"/>
          <w:i w:val="0"/>
          <w:iCs w:val="0"/>
          <w:caps w:val="0"/>
          <w:color w:val="auto"/>
          <w:spacing w:val="0"/>
          <w:sz w:val="21"/>
          <w:szCs w:val="21"/>
          <w:highlight w:val="none"/>
          <w:shd w:val="clear" w:color="auto" w:fill="auto"/>
        </w:rPr>
        <w:t>乙方出现下列情形之一的，甲方有权视情节轻重采取警告、通报批评、暂停付款、终止合同等措施，并依法追究</w:t>
      </w:r>
      <w:r>
        <w:rPr>
          <w:rFonts w:hint="eastAsia" w:ascii="宋体" w:hAnsi="宋体" w:eastAsia="宋体" w:cs="宋体"/>
          <w:i w:val="0"/>
          <w:iCs w:val="0"/>
          <w:caps w:val="0"/>
          <w:color w:val="auto"/>
          <w:spacing w:val="0"/>
          <w:sz w:val="21"/>
          <w:szCs w:val="21"/>
          <w:highlight w:val="none"/>
          <w:shd w:val="clear" w:color="auto" w:fill="auto"/>
          <w:lang w:val="en-US" w:eastAsia="zh-CN"/>
        </w:rPr>
        <w:t>乙方合同总额20%的</w:t>
      </w:r>
      <w:r>
        <w:rPr>
          <w:rFonts w:hint="eastAsia" w:ascii="宋体" w:hAnsi="宋体" w:eastAsia="宋体" w:cs="宋体"/>
          <w:i w:val="0"/>
          <w:iCs w:val="0"/>
          <w:caps w:val="0"/>
          <w:color w:val="auto"/>
          <w:spacing w:val="0"/>
          <w:sz w:val="21"/>
          <w:szCs w:val="21"/>
          <w:highlight w:val="none"/>
          <w:shd w:val="clear" w:color="auto" w:fill="auto"/>
        </w:rPr>
        <w:t>违约责任：</w:t>
      </w:r>
    </w:p>
    <w:p w14:paraId="34820E8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spacing w:before="0" w:beforeAutospacing="0" w:after="0" w:afterAutospacing="0" w:line="400" w:lineRule="exact"/>
        <w:ind w:left="0" w:right="0" w:firstLine="420" w:firstLineChars="200"/>
        <w:jc w:val="left"/>
        <w:rPr>
          <w:rFonts w:hint="eastAsia" w:ascii="宋体" w:hAnsi="宋体" w:eastAsia="宋体" w:cs="宋体"/>
          <w:color w:val="auto"/>
          <w:spacing w:val="0"/>
          <w:sz w:val="21"/>
          <w:szCs w:val="21"/>
          <w:highlight w:val="none"/>
        </w:rPr>
      </w:pPr>
      <w:r>
        <w:rPr>
          <w:rFonts w:hint="eastAsia" w:ascii="宋体" w:hAnsi="宋体" w:eastAsia="宋体" w:cs="宋体"/>
          <w:i w:val="0"/>
          <w:iCs w:val="0"/>
          <w:caps w:val="0"/>
          <w:color w:val="auto"/>
          <w:spacing w:val="0"/>
          <w:sz w:val="21"/>
          <w:szCs w:val="21"/>
          <w:highlight w:val="none"/>
          <w:shd w:val="clear" w:color="auto" w:fill="auto"/>
          <w:lang w:eastAsia="zh-CN"/>
        </w:rPr>
        <w:t>（</w:t>
      </w:r>
      <w:r>
        <w:rPr>
          <w:rFonts w:hint="eastAsia" w:ascii="宋体" w:hAnsi="宋体" w:eastAsia="宋体" w:cs="宋体"/>
          <w:i w:val="0"/>
          <w:iCs w:val="0"/>
          <w:caps w:val="0"/>
          <w:color w:val="auto"/>
          <w:spacing w:val="0"/>
          <w:sz w:val="21"/>
          <w:szCs w:val="21"/>
          <w:highlight w:val="none"/>
          <w:shd w:val="clear" w:color="auto" w:fill="auto"/>
          <w:lang w:val="en-US" w:eastAsia="zh-CN"/>
        </w:rPr>
        <w:t>1</w:t>
      </w:r>
      <w:r>
        <w:rPr>
          <w:rFonts w:hint="eastAsia" w:ascii="宋体" w:hAnsi="宋体" w:eastAsia="宋体" w:cs="宋体"/>
          <w:i w:val="0"/>
          <w:iCs w:val="0"/>
          <w:caps w:val="0"/>
          <w:color w:val="auto"/>
          <w:spacing w:val="0"/>
          <w:sz w:val="21"/>
          <w:szCs w:val="21"/>
          <w:highlight w:val="none"/>
          <w:shd w:val="clear" w:color="auto" w:fill="auto"/>
          <w:lang w:eastAsia="zh-CN"/>
        </w:rPr>
        <w:t>）</w:t>
      </w:r>
      <w:r>
        <w:rPr>
          <w:rFonts w:hint="eastAsia" w:ascii="宋体" w:hAnsi="宋体" w:eastAsia="宋体" w:cs="宋体"/>
          <w:i w:val="0"/>
          <w:iCs w:val="0"/>
          <w:caps w:val="0"/>
          <w:color w:val="auto"/>
          <w:spacing w:val="0"/>
          <w:sz w:val="21"/>
          <w:szCs w:val="21"/>
          <w:highlight w:val="none"/>
          <w:shd w:val="clear" w:color="auto" w:fill="auto"/>
        </w:rPr>
        <w:t>连续两个季度主要考核指标低于80%；</w:t>
      </w:r>
    </w:p>
    <w:p w14:paraId="7927B1F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spacing w:before="0" w:beforeAutospacing="0" w:after="0" w:afterAutospacing="0" w:line="400" w:lineRule="exact"/>
        <w:ind w:left="0" w:right="0" w:firstLine="420" w:firstLineChars="200"/>
        <w:jc w:val="left"/>
        <w:rPr>
          <w:rFonts w:hint="eastAsia" w:ascii="宋体" w:hAnsi="宋体" w:eastAsia="宋体" w:cs="宋体"/>
          <w:color w:val="auto"/>
          <w:spacing w:val="0"/>
          <w:sz w:val="21"/>
          <w:szCs w:val="21"/>
          <w:highlight w:val="none"/>
        </w:rPr>
      </w:pPr>
      <w:r>
        <w:rPr>
          <w:rFonts w:hint="eastAsia" w:ascii="宋体" w:hAnsi="宋体" w:eastAsia="宋体" w:cs="宋体"/>
          <w:i w:val="0"/>
          <w:iCs w:val="0"/>
          <w:caps w:val="0"/>
          <w:color w:val="auto"/>
          <w:spacing w:val="0"/>
          <w:sz w:val="21"/>
          <w:szCs w:val="21"/>
          <w:highlight w:val="none"/>
          <w:shd w:val="clear" w:color="auto" w:fill="auto"/>
          <w:lang w:eastAsia="zh-CN"/>
        </w:rPr>
        <w:t>（</w:t>
      </w:r>
      <w:r>
        <w:rPr>
          <w:rFonts w:hint="eastAsia" w:ascii="宋体" w:hAnsi="宋体" w:eastAsia="宋体" w:cs="宋体"/>
          <w:i w:val="0"/>
          <w:iCs w:val="0"/>
          <w:caps w:val="0"/>
          <w:color w:val="auto"/>
          <w:spacing w:val="0"/>
          <w:sz w:val="21"/>
          <w:szCs w:val="21"/>
          <w:highlight w:val="none"/>
          <w:shd w:val="clear" w:color="auto" w:fill="auto"/>
          <w:lang w:val="en-US" w:eastAsia="zh-CN"/>
        </w:rPr>
        <w:t>2</w:t>
      </w:r>
      <w:r>
        <w:rPr>
          <w:rFonts w:hint="eastAsia" w:ascii="宋体" w:hAnsi="宋体" w:eastAsia="宋体" w:cs="宋体"/>
          <w:i w:val="0"/>
          <w:iCs w:val="0"/>
          <w:caps w:val="0"/>
          <w:color w:val="auto"/>
          <w:spacing w:val="0"/>
          <w:sz w:val="21"/>
          <w:szCs w:val="21"/>
          <w:highlight w:val="none"/>
          <w:shd w:val="clear" w:color="auto" w:fill="auto"/>
          <w:lang w:eastAsia="zh-CN"/>
        </w:rPr>
        <w:t>）</w:t>
      </w:r>
      <w:r>
        <w:rPr>
          <w:rFonts w:hint="eastAsia" w:ascii="宋体" w:hAnsi="宋体" w:eastAsia="宋体" w:cs="宋体"/>
          <w:i w:val="0"/>
          <w:iCs w:val="0"/>
          <w:caps w:val="0"/>
          <w:color w:val="auto"/>
          <w:spacing w:val="0"/>
          <w:sz w:val="21"/>
          <w:szCs w:val="21"/>
          <w:highlight w:val="none"/>
          <w:shd w:val="clear" w:color="auto" w:fill="auto"/>
        </w:rPr>
        <w:t>虚报数据、伪造材料骗取财政资金；</w:t>
      </w:r>
    </w:p>
    <w:p w14:paraId="53A8D4B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spacing w:before="0" w:beforeAutospacing="0" w:after="0" w:afterAutospacing="0" w:line="400" w:lineRule="exact"/>
        <w:ind w:left="0" w:right="0" w:firstLine="420" w:firstLineChars="200"/>
        <w:jc w:val="left"/>
        <w:rPr>
          <w:rFonts w:hint="eastAsia" w:ascii="宋体" w:hAnsi="宋体" w:eastAsia="宋体" w:cs="宋体"/>
          <w:color w:val="auto"/>
          <w:spacing w:val="0"/>
          <w:sz w:val="21"/>
          <w:szCs w:val="21"/>
          <w:highlight w:val="none"/>
        </w:rPr>
      </w:pPr>
      <w:r>
        <w:rPr>
          <w:rFonts w:hint="eastAsia" w:ascii="宋体" w:hAnsi="宋体" w:eastAsia="宋体" w:cs="宋体"/>
          <w:i w:val="0"/>
          <w:iCs w:val="0"/>
          <w:caps w:val="0"/>
          <w:color w:val="auto"/>
          <w:spacing w:val="0"/>
          <w:sz w:val="21"/>
          <w:szCs w:val="21"/>
          <w:highlight w:val="none"/>
          <w:shd w:val="clear" w:color="auto" w:fill="auto"/>
          <w:lang w:eastAsia="zh-CN"/>
        </w:rPr>
        <w:t>（</w:t>
      </w:r>
      <w:r>
        <w:rPr>
          <w:rFonts w:hint="eastAsia" w:ascii="宋体" w:hAnsi="宋体" w:eastAsia="宋体" w:cs="宋体"/>
          <w:i w:val="0"/>
          <w:iCs w:val="0"/>
          <w:caps w:val="0"/>
          <w:color w:val="auto"/>
          <w:spacing w:val="0"/>
          <w:sz w:val="21"/>
          <w:szCs w:val="21"/>
          <w:highlight w:val="none"/>
          <w:shd w:val="clear" w:color="auto" w:fill="auto"/>
          <w:lang w:val="en-US" w:eastAsia="zh-CN"/>
        </w:rPr>
        <w:t>3</w:t>
      </w:r>
      <w:r>
        <w:rPr>
          <w:rFonts w:hint="eastAsia" w:ascii="宋体" w:hAnsi="宋体" w:eastAsia="宋体" w:cs="宋体"/>
          <w:i w:val="0"/>
          <w:iCs w:val="0"/>
          <w:caps w:val="0"/>
          <w:color w:val="auto"/>
          <w:spacing w:val="0"/>
          <w:sz w:val="21"/>
          <w:szCs w:val="21"/>
          <w:highlight w:val="none"/>
          <w:shd w:val="clear" w:color="auto" w:fill="auto"/>
          <w:lang w:eastAsia="zh-CN"/>
        </w:rPr>
        <w:t>）</w:t>
      </w:r>
      <w:r>
        <w:rPr>
          <w:rFonts w:hint="eastAsia" w:ascii="宋体" w:hAnsi="宋体" w:eastAsia="宋体" w:cs="宋体"/>
          <w:i w:val="0"/>
          <w:iCs w:val="0"/>
          <w:caps w:val="0"/>
          <w:color w:val="auto"/>
          <w:spacing w:val="0"/>
          <w:sz w:val="21"/>
          <w:szCs w:val="21"/>
          <w:highlight w:val="none"/>
          <w:shd w:val="clear" w:color="auto" w:fill="auto"/>
        </w:rPr>
        <w:t>擅自转包、分包服务项目；</w:t>
      </w:r>
    </w:p>
    <w:p w14:paraId="22EEB93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spacing w:before="0" w:beforeAutospacing="0" w:after="0" w:afterAutospacing="0" w:line="400" w:lineRule="exact"/>
        <w:ind w:left="0" w:right="0" w:firstLine="420" w:firstLineChars="200"/>
        <w:jc w:val="left"/>
        <w:rPr>
          <w:rFonts w:hint="eastAsia" w:ascii="宋体" w:hAnsi="宋体" w:eastAsia="宋体" w:cs="宋体"/>
          <w:color w:val="auto"/>
          <w:spacing w:val="0"/>
          <w:sz w:val="21"/>
          <w:szCs w:val="21"/>
          <w:highlight w:val="none"/>
        </w:rPr>
      </w:pPr>
      <w:r>
        <w:rPr>
          <w:rFonts w:hint="eastAsia" w:ascii="宋体" w:hAnsi="宋体" w:eastAsia="宋体" w:cs="宋体"/>
          <w:i w:val="0"/>
          <w:iCs w:val="0"/>
          <w:caps w:val="0"/>
          <w:color w:val="auto"/>
          <w:spacing w:val="0"/>
          <w:sz w:val="21"/>
          <w:szCs w:val="21"/>
          <w:highlight w:val="none"/>
          <w:shd w:val="clear" w:color="auto" w:fill="auto"/>
          <w:lang w:eastAsia="zh-CN"/>
        </w:rPr>
        <w:t>（</w:t>
      </w:r>
      <w:r>
        <w:rPr>
          <w:rFonts w:hint="eastAsia" w:ascii="宋体" w:hAnsi="宋体" w:eastAsia="宋体" w:cs="宋体"/>
          <w:i w:val="0"/>
          <w:iCs w:val="0"/>
          <w:caps w:val="0"/>
          <w:color w:val="auto"/>
          <w:spacing w:val="0"/>
          <w:sz w:val="21"/>
          <w:szCs w:val="21"/>
          <w:highlight w:val="none"/>
          <w:shd w:val="clear" w:color="auto" w:fill="auto"/>
          <w:lang w:val="en-US" w:eastAsia="zh-CN"/>
        </w:rPr>
        <w:t>4</w:t>
      </w:r>
      <w:r>
        <w:rPr>
          <w:rFonts w:hint="eastAsia" w:ascii="宋体" w:hAnsi="宋体" w:eastAsia="宋体" w:cs="宋体"/>
          <w:i w:val="0"/>
          <w:iCs w:val="0"/>
          <w:caps w:val="0"/>
          <w:color w:val="auto"/>
          <w:spacing w:val="0"/>
          <w:sz w:val="21"/>
          <w:szCs w:val="21"/>
          <w:highlight w:val="none"/>
          <w:shd w:val="clear" w:color="auto" w:fill="auto"/>
          <w:lang w:eastAsia="zh-CN"/>
        </w:rPr>
        <w:t>）</w:t>
      </w:r>
      <w:r>
        <w:rPr>
          <w:rFonts w:hint="eastAsia" w:ascii="宋体" w:hAnsi="宋体" w:eastAsia="宋体" w:cs="宋体"/>
          <w:i w:val="0"/>
          <w:iCs w:val="0"/>
          <w:caps w:val="0"/>
          <w:color w:val="auto"/>
          <w:spacing w:val="0"/>
          <w:sz w:val="21"/>
          <w:szCs w:val="21"/>
          <w:highlight w:val="none"/>
          <w:shd w:val="clear" w:color="auto" w:fill="auto"/>
        </w:rPr>
        <w:t>发生重大群体性事件且处置不力；</w:t>
      </w:r>
    </w:p>
    <w:p w14:paraId="2D8A05C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spacing w:before="0" w:beforeAutospacing="0" w:after="0" w:afterAutospacing="0" w:line="400" w:lineRule="exact"/>
        <w:ind w:left="0" w:right="0" w:firstLine="420" w:firstLineChars="200"/>
        <w:jc w:val="left"/>
        <w:rPr>
          <w:rFonts w:hint="eastAsia" w:ascii="宋体" w:hAnsi="宋体" w:eastAsia="宋体" w:cs="宋体"/>
          <w:color w:val="auto"/>
          <w:spacing w:val="0"/>
          <w:sz w:val="21"/>
          <w:szCs w:val="21"/>
          <w:highlight w:val="none"/>
        </w:rPr>
      </w:pPr>
      <w:r>
        <w:rPr>
          <w:rFonts w:hint="eastAsia" w:ascii="宋体" w:hAnsi="宋体" w:eastAsia="宋体" w:cs="宋体"/>
          <w:i w:val="0"/>
          <w:iCs w:val="0"/>
          <w:caps w:val="0"/>
          <w:color w:val="auto"/>
          <w:spacing w:val="0"/>
          <w:sz w:val="21"/>
          <w:szCs w:val="21"/>
          <w:highlight w:val="none"/>
          <w:shd w:val="clear" w:color="auto" w:fill="auto"/>
          <w:lang w:eastAsia="zh-CN"/>
        </w:rPr>
        <w:t>（</w:t>
      </w:r>
      <w:r>
        <w:rPr>
          <w:rFonts w:hint="eastAsia" w:ascii="宋体" w:hAnsi="宋体" w:eastAsia="宋体" w:cs="宋体"/>
          <w:i w:val="0"/>
          <w:iCs w:val="0"/>
          <w:caps w:val="0"/>
          <w:color w:val="auto"/>
          <w:spacing w:val="0"/>
          <w:sz w:val="21"/>
          <w:szCs w:val="21"/>
          <w:highlight w:val="none"/>
          <w:shd w:val="clear" w:color="auto" w:fill="auto"/>
          <w:lang w:val="en-US" w:eastAsia="zh-CN"/>
        </w:rPr>
        <w:t>5</w:t>
      </w:r>
      <w:r>
        <w:rPr>
          <w:rFonts w:hint="eastAsia" w:ascii="宋体" w:hAnsi="宋体" w:eastAsia="宋体" w:cs="宋体"/>
          <w:i w:val="0"/>
          <w:iCs w:val="0"/>
          <w:caps w:val="0"/>
          <w:color w:val="auto"/>
          <w:spacing w:val="0"/>
          <w:sz w:val="21"/>
          <w:szCs w:val="21"/>
          <w:highlight w:val="none"/>
          <w:shd w:val="clear" w:color="auto" w:fill="auto"/>
          <w:lang w:eastAsia="zh-CN"/>
        </w:rPr>
        <w:t>）</w:t>
      </w:r>
      <w:r>
        <w:rPr>
          <w:rFonts w:hint="eastAsia" w:ascii="宋体" w:hAnsi="宋体" w:eastAsia="宋体" w:cs="宋体"/>
          <w:i w:val="0"/>
          <w:iCs w:val="0"/>
          <w:caps w:val="0"/>
          <w:color w:val="auto"/>
          <w:spacing w:val="0"/>
          <w:sz w:val="21"/>
          <w:szCs w:val="21"/>
          <w:highlight w:val="none"/>
          <w:shd w:val="clear" w:color="auto" w:fill="auto"/>
        </w:rPr>
        <w:t>泄露求职者个人信息造成不良影响。</w:t>
      </w:r>
    </w:p>
    <w:p w14:paraId="0F8D1A3D">
      <w:pPr>
        <w:spacing w:line="400" w:lineRule="exact"/>
        <w:ind w:firstLine="420" w:firstLineChars="200"/>
        <w:rPr>
          <w:rFonts w:hint="default" w:ascii="宋体" w:hAnsi="宋体" w:eastAsia="宋体" w:cs="宋体"/>
          <w:color w:val="auto"/>
          <w:szCs w:val="21"/>
          <w:highlight w:val="none"/>
          <w:lang w:eastAsia="zh-CN"/>
        </w:rPr>
      </w:pPr>
      <w:r>
        <w:rPr>
          <w:rFonts w:hint="eastAsia" w:ascii="宋体" w:hAnsi="宋体" w:eastAsia="宋体" w:cs="宋体"/>
          <w:i w:val="0"/>
          <w:iCs w:val="0"/>
          <w:caps w:val="0"/>
          <w:color w:val="auto"/>
          <w:spacing w:val="0"/>
          <w:sz w:val="21"/>
          <w:szCs w:val="21"/>
          <w:highlight w:val="none"/>
          <w:shd w:val="clear" w:color="auto" w:fill="auto"/>
          <w:lang w:val="en-US" w:eastAsia="zh-CN"/>
        </w:rPr>
        <w:t xml:space="preserve"> 7、</w:t>
      </w:r>
      <w:r>
        <w:rPr>
          <w:rFonts w:hint="eastAsia" w:ascii="宋体" w:hAnsi="宋体" w:eastAsia="宋体" w:cs="宋体"/>
          <w:i w:val="0"/>
          <w:iCs w:val="0"/>
          <w:caps w:val="0"/>
          <w:color w:val="auto"/>
          <w:spacing w:val="0"/>
          <w:sz w:val="21"/>
          <w:szCs w:val="21"/>
          <w:highlight w:val="none"/>
          <w:shd w:val="clear" w:color="auto" w:fill="auto"/>
        </w:rPr>
        <w:t>乙方因自身原因单方面中止合同的，应退还已拨付但未履行服务对应的款项，并支付合同总额</w:t>
      </w:r>
      <w:r>
        <w:rPr>
          <w:rFonts w:hint="eastAsia" w:ascii="宋体" w:hAnsi="宋体" w:eastAsia="宋体" w:cs="宋体"/>
          <w:i w:val="0"/>
          <w:iCs w:val="0"/>
          <w:caps w:val="0"/>
          <w:color w:val="auto"/>
          <w:spacing w:val="0"/>
          <w:sz w:val="21"/>
          <w:szCs w:val="21"/>
          <w:highlight w:val="none"/>
          <w:shd w:val="clear" w:color="auto" w:fill="auto"/>
          <w:lang w:val="en-US" w:eastAsia="zh-CN"/>
        </w:rPr>
        <w:t>2</w:t>
      </w:r>
      <w:r>
        <w:rPr>
          <w:rFonts w:hint="eastAsia" w:ascii="宋体" w:hAnsi="宋体" w:eastAsia="宋体" w:cs="宋体"/>
          <w:i w:val="0"/>
          <w:iCs w:val="0"/>
          <w:caps w:val="0"/>
          <w:color w:val="auto"/>
          <w:spacing w:val="0"/>
          <w:sz w:val="21"/>
          <w:szCs w:val="21"/>
          <w:highlight w:val="none"/>
          <w:shd w:val="clear" w:color="auto" w:fill="auto"/>
        </w:rPr>
        <w:t>0%的违约金。</w:t>
      </w:r>
    </w:p>
    <w:p w14:paraId="2F8F10E5">
      <w:pPr>
        <w:spacing w:line="40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第十一条  不可抗力事件处理</w:t>
      </w:r>
    </w:p>
    <w:p w14:paraId="4CD47099">
      <w:pPr>
        <w:spacing w:line="400" w:lineRule="exact"/>
        <w:ind w:left="126" w:leftChars="60" w:firstLine="315" w:firstLineChars="15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1.在合同有效期内，乙方因不可抗力事件导致不能履行合同的，则合同履行期可在甲方同意的前提下予以相应延长。</w:t>
      </w:r>
    </w:p>
    <w:p w14:paraId="161F3A09">
      <w:pPr>
        <w:spacing w:line="400" w:lineRule="exact"/>
        <w:ind w:left="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2.不可抗力事件发生后，应在三日内通知甲方，并寄送有关权威机构出具的证明。</w:t>
      </w:r>
    </w:p>
    <w:p w14:paraId="3198AFC9">
      <w:pPr>
        <w:spacing w:line="400" w:lineRule="exact"/>
        <w:ind w:left="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3.不可抗力事件延续三十天以上，双方应通过友好协商，确定是否继续履行合同。</w:t>
      </w:r>
    </w:p>
    <w:p w14:paraId="20F10FD2">
      <w:pPr>
        <w:spacing w:line="400" w:lineRule="exact"/>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第十二条  合同争议解决</w:t>
      </w:r>
    </w:p>
    <w:p w14:paraId="18088BE5">
      <w:pPr>
        <w:spacing w:line="400" w:lineRule="exact"/>
        <w:ind w:left="14"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1.因服务质量问题发生争议的，应邀请国家认可的质量检测机构对服务质量进行鉴定。服务符合标准的，鉴定费由甲方承担；服务不符合标准的，鉴定费由乙方承担。</w:t>
      </w:r>
    </w:p>
    <w:p w14:paraId="29ADEF0B">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2.因履行本合同引起的或与本合同有关的争议，甲乙双方应首先通过友好协商解决，如果协商不能解决，任何一方向甲方住所地人民法院起诉。</w:t>
      </w:r>
    </w:p>
    <w:p w14:paraId="0D1A5EFB">
      <w:pPr>
        <w:spacing w:line="400" w:lineRule="exact"/>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3.诉讼期间，本合同继续履行。</w:t>
      </w:r>
    </w:p>
    <w:p w14:paraId="0E4F8187">
      <w:pPr>
        <w:spacing w:line="400" w:lineRule="exact"/>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第十三条  合同生效及其它</w:t>
      </w:r>
    </w:p>
    <w:p w14:paraId="23E9C2BF">
      <w:pPr>
        <w:spacing w:line="400" w:lineRule="exact"/>
        <w:ind w:left="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1.合同经甲乙双方法定代表人、负责人、自然人或相应的授权代表签字并加盖单位公章后生</w:t>
      </w:r>
    </w:p>
    <w:p w14:paraId="1690957C">
      <w:pPr>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效。</w:t>
      </w:r>
    </w:p>
    <w:p w14:paraId="196776FE">
      <w:pPr>
        <w:spacing w:line="400" w:lineRule="exact"/>
        <w:ind w:left="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2.合同执行中涉及采购资金和采购内容修改或补充的，需经双方签订书面补充协议，方可作</w:t>
      </w:r>
    </w:p>
    <w:p w14:paraId="36D6A5A0">
      <w:pPr>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为主合同不可分割的一部分。</w:t>
      </w:r>
    </w:p>
    <w:p w14:paraId="108AE88A">
      <w:pPr>
        <w:spacing w:line="400" w:lineRule="exact"/>
        <w:ind w:left="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3.本合同未尽事宜，遵照《中华人民共和国民法典》有关条文执行。</w:t>
      </w:r>
    </w:p>
    <w:p w14:paraId="07A5FD74">
      <w:pPr>
        <w:spacing w:line="400" w:lineRule="exact"/>
        <w:ind w:firstLine="413" w:firstLineChars="196"/>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rPr>
        <w:t>第十四条  合同的变更、终止</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转让</w:t>
      </w:r>
      <w:r>
        <w:rPr>
          <w:rFonts w:hint="eastAsia" w:ascii="宋体" w:hAnsi="宋体" w:eastAsia="宋体" w:cs="宋体"/>
          <w:b/>
          <w:color w:val="auto"/>
          <w:szCs w:val="21"/>
          <w:highlight w:val="none"/>
          <w:lang w:val="en-US" w:eastAsia="zh-CN"/>
        </w:rPr>
        <w:t>与续签</w:t>
      </w:r>
    </w:p>
    <w:p w14:paraId="29A3CAFE">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1.除《中华人民共和国政府采购法》第五十条规定的情形外，本合同一经签订，甲乙双方不得擅自变更，中止或终止。</w:t>
      </w:r>
    </w:p>
    <w:p w14:paraId="675C5E34">
      <w:pPr>
        <w:spacing w:line="400" w:lineRule="exact"/>
        <w:ind w:left="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2.乙方不得擅自转让其应履行的合同义务。</w:t>
      </w:r>
    </w:p>
    <w:p w14:paraId="5D692ECA">
      <w:pPr>
        <w:spacing w:line="400" w:lineRule="exact"/>
        <w:ind w:firstLine="411" w:firstLineChars="196"/>
        <w:rPr>
          <w:rFonts w:hint="eastAsia" w:ascii="宋体" w:hAnsi="宋体" w:eastAsia="宋体" w:cs="宋体"/>
          <w:color w:val="auto"/>
          <w:szCs w:val="21"/>
          <w:highlight w:val="none"/>
        </w:rPr>
      </w:pPr>
      <w:r>
        <w:rPr>
          <w:rFonts w:hint="eastAsia" w:ascii="宋体" w:hAnsi="宋体" w:eastAsia="宋体" w:cs="宋体"/>
          <w:color w:val="auto"/>
          <w:highlight w:val="none"/>
        </w:rPr>
        <w:t>3.</w:t>
      </w:r>
      <w:r>
        <w:rPr>
          <w:rFonts w:hint="eastAsia" w:ascii="宋体" w:hAnsi="宋体" w:eastAsia="宋体" w:cs="宋体"/>
          <w:color w:val="auto"/>
          <w:szCs w:val="21"/>
          <w:highlight w:val="none"/>
        </w:rPr>
        <w:t xml:space="preserve"> 合同期满，项目结项评估结果若达到良好及以上，甲方可以根据需要与乙方协商续签项目；项目结项评估结果达到合格，甲方根据考核评估结果</w:t>
      </w:r>
      <w:r>
        <w:rPr>
          <w:rFonts w:hint="eastAsia" w:ascii="宋体" w:hAnsi="宋体" w:cs="宋体"/>
          <w:color w:val="auto"/>
          <w:szCs w:val="21"/>
          <w:highlight w:val="none"/>
          <w:lang w:val="en-US" w:eastAsia="zh-CN"/>
        </w:rPr>
        <w:t>及不违反政府采购法的相关规定的情况下</w:t>
      </w:r>
      <w:r>
        <w:rPr>
          <w:rFonts w:hint="eastAsia" w:ascii="宋体" w:hAnsi="宋体" w:eastAsia="宋体" w:cs="宋体"/>
          <w:color w:val="auto"/>
          <w:szCs w:val="21"/>
          <w:highlight w:val="none"/>
        </w:rPr>
        <w:t>酌定续签项目；项目结项评估评估结果为不合格不予续签，按照政府采购程序重新确定承接主体。</w:t>
      </w:r>
    </w:p>
    <w:p w14:paraId="223D2BD2">
      <w:pPr>
        <w:spacing w:line="40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第十五条  签订本合同依据：</w:t>
      </w:r>
    </w:p>
    <w:p w14:paraId="2A22F985">
      <w:pPr>
        <w:spacing w:line="400" w:lineRule="exact"/>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.成交通知书。</w:t>
      </w:r>
    </w:p>
    <w:p w14:paraId="7438B4BD">
      <w:pPr>
        <w:adjustRightInd w:val="0"/>
        <w:snapToGrid w:val="0"/>
        <w:spacing w:line="400" w:lineRule="exact"/>
        <w:ind w:firstLine="422" w:firstLineChars="200"/>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第十六条　</w:t>
      </w:r>
      <w:r>
        <w:rPr>
          <w:rFonts w:hint="eastAsia" w:ascii="宋体" w:hAnsi="宋体" w:eastAsia="宋体" w:cs="宋体"/>
          <w:color w:val="auto"/>
          <w:szCs w:val="21"/>
          <w:highlight w:val="none"/>
        </w:rPr>
        <w:t>本合同一式伍份，具有同等法律效力，政府采购监管部门、采购代理机构各一份，甲方执贰份，乙方执一份（可根据需要另增加）。</w:t>
      </w:r>
    </w:p>
    <w:p w14:paraId="24E8B21F">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本合同甲乙双方签字盖章后生效，自签订之日起</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个工作日内，采购人或采购代理机构应当将合同</w:t>
      </w:r>
      <w:r>
        <w:rPr>
          <w:rFonts w:hint="eastAsia" w:ascii="宋体" w:hAnsi="宋体" w:cs="宋体"/>
          <w:color w:val="auto"/>
          <w:szCs w:val="21"/>
          <w:highlight w:val="none"/>
          <w:lang w:eastAsia="zh-CN"/>
        </w:rPr>
        <w:t>录入政采云系统</w:t>
      </w:r>
      <w:r>
        <w:rPr>
          <w:rFonts w:hint="eastAsia" w:ascii="宋体" w:hAnsi="宋体" w:eastAsia="宋体" w:cs="宋体"/>
          <w:color w:val="auto"/>
          <w:szCs w:val="21"/>
          <w:highlight w:val="none"/>
        </w:rPr>
        <w:t>备案。</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9"/>
        <w:gridCol w:w="4380"/>
      </w:tblGrid>
      <w:tr w14:paraId="68E3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64" w:hRule="atLeast"/>
          <w:jc w:val="center"/>
        </w:trPr>
        <w:tc>
          <w:tcPr>
            <w:tcW w:w="4379" w:type="dxa"/>
            <w:noWrap w:val="0"/>
            <w:vAlign w:val="center"/>
          </w:tcPr>
          <w:p w14:paraId="0E2CA97E">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甲方（</w:t>
            </w:r>
            <w:r>
              <w:rPr>
                <w:rFonts w:hint="eastAsia" w:ascii="宋体" w:hAnsi="宋体" w:cs="宋体"/>
                <w:color w:val="auto"/>
                <w:szCs w:val="21"/>
                <w:highlight w:val="none"/>
                <w:lang w:val="en-US" w:eastAsia="zh-CN"/>
              </w:rPr>
              <w:t>公</w:t>
            </w:r>
            <w:r>
              <w:rPr>
                <w:rFonts w:hint="eastAsia" w:ascii="宋体" w:hAnsi="宋体" w:eastAsia="宋体" w:cs="宋体"/>
                <w:color w:val="auto"/>
                <w:szCs w:val="21"/>
                <w:highlight w:val="none"/>
              </w:rPr>
              <w:t xml:space="preserve">章）           </w:t>
            </w:r>
          </w:p>
          <w:p w14:paraId="07225DB8">
            <w:pPr>
              <w:keepNext w:val="0"/>
              <w:keepLines w:val="0"/>
              <w:suppressLineNumbers w:val="0"/>
              <w:snapToGrid w:val="0"/>
              <w:spacing w:before="0" w:beforeAutospacing="0" w:after="0" w:afterAutospacing="0" w:line="340" w:lineRule="exact"/>
              <w:ind w:left="0" w:right="0"/>
              <w:jc w:val="left"/>
              <w:rPr>
                <w:rFonts w:hint="eastAsia" w:ascii="宋体" w:hAnsi="宋体" w:eastAsia="宋体" w:cs="宋体"/>
                <w:color w:val="auto"/>
                <w:szCs w:val="21"/>
                <w:highlight w:val="none"/>
              </w:rPr>
            </w:pPr>
          </w:p>
          <w:p w14:paraId="4975386C">
            <w:pPr>
              <w:pStyle w:val="20"/>
              <w:keepNext w:val="0"/>
              <w:keepLines w:val="0"/>
              <w:suppressLineNumbers w:val="0"/>
              <w:spacing w:before="0" w:beforeAutospacing="0" w:after="0" w:afterAutospacing="0"/>
              <w:ind w:left="0" w:right="0"/>
              <w:rPr>
                <w:rFonts w:hint="eastAsia" w:ascii="宋体" w:hAnsi="宋体" w:eastAsia="宋体" w:cs="宋体"/>
                <w:color w:val="auto"/>
                <w:highlight w:val="none"/>
              </w:rPr>
            </w:pPr>
          </w:p>
          <w:p w14:paraId="1121D33D">
            <w:pPr>
              <w:pStyle w:val="20"/>
              <w:keepNext w:val="0"/>
              <w:keepLines w:val="0"/>
              <w:suppressLineNumbers w:val="0"/>
              <w:spacing w:before="0" w:beforeAutospacing="0" w:after="0" w:afterAutospacing="0"/>
              <w:ind w:left="0" w:right="0"/>
              <w:rPr>
                <w:rFonts w:hint="eastAsia" w:ascii="宋体" w:hAnsi="宋体" w:eastAsia="宋体" w:cs="宋体"/>
                <w:color w:val="auto"/>
                <w:highlight w:val="none"/>
              </w:rPr>
            </w:pPr>
          </w:p>
          <w:p w14:paraId="1AC2C059">
            <w:pPr>
              <w:pStyle w:val="20"/>
              <w:keepNext w:val="0"/>
              <w:keepLines w:val="0"/>
              <w:suppressLineNumbers w:val="0"/>
              <w:spacing w:before="0" w:beforeAutospacing="0" w:after="0" w:afterAutospacing="0"/>
              <w:ind w:left="0" w:right="0"/>
              <w:rPr>
                <w:rFonts w:hint="eastAsia" w:ascii="宋体" w:hAnsi="宋体" w:eastAsia="宋体" w:cs="宋体"/>
                <w:color w:val="auto"/>
                <w:highlight w:val="none"/>
              </w:rPr>
            </w:pPr>
          </w:p>
          <w:p w14:paraId="591E2881">
            <w:pPr>
              <w:pStyle w:val="20"/>
              <w:keepNext w:val="0"/>
              <w:keepLines w:val="0"/>
              <w:suppressLineNumbers w:val="0"/>
              <w:spacing w:before="0" w:beforeAutospacing="0" w:after="0" w:afterAutospacing="0"/>
              <w:ind w:left="0" w:right="0"/>
              <w:rPr>
                <w:rFonts w:hint="eastAsia" w:ascii="宋体" w:hAnsi="宋体" w:eastAsia="宋体" w:cs="宋体"/>
                <w:color w:val="auto"/>
                <w:highlight w:val="none"/>
              </w:rPr>
            </w:pPr>
          </w:p>
          <w:p w14:paraId="2BF35644">
            <w:pPr>
              <w:keepNext w:val="0"/>
              <w:keepLines w:val="0"/>
              <w:suppressLineNumbers w:val="0"/>
              <w:wordWrap w:val="0"/>
              <w:snapToGrid w:val="0"/>
              <w:spacing w:before="0" w:beforeAutospacing="0" w:after="0" w:afterAutospacing="0" w:line="340" w:lineRule="exact"/>
              <w:ind w:left="0" w:right="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年   月   日</w:t>
            </w:r>
          </w:p>
        </w:tc>
        <w:tc>
          <w:tcPr>
            <w:tcW w:w="4380" w:type="dxa"/>
            <w:noWrap w:val="0"/>
            <w:vAlign w:val="center"/>
          </w:tcPr>
          <w:p w14:paraId="6AD36B81">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乙方（</w:t>
            </w:r>
            <w:r>
              <w:rPr>
                <w:rFonts w:hint="eastAsia" w:ascii="宋体" w:hAnsi="宋体" w:cs="宋体"/>
                <w:color w:val="auto"/>
                <w:szCs w:val="21"/>
                <w:highlight w:val="none"/>
                <w:lang w:val="en-US" w:eastAsia="zh-CN"/>
              </w:rPr>
              <w:t>公</w:t>
            </w:r>
            <w:r>
              <w:rPr>
                <w:rFonts w:hint="eastAsia" w:ascii="宋体" w:hAnsi="宋体" w:eastAsia="宋体" w:cs="宋体"/>
                <w:color w:val="auto"/>
                <w:szCs w:val="21"/>
                <w:highlight w:val="none"/>
              </w:rPr>
              <w:t xml:space="preserve">章）        </w:t>
            </w:r>
          </w:p>
          <w:p w14:paraId="420DE8EF">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rPr>
            </w:pPr>
          </w:p>
          <w:p w14:paraId="1A3E7403">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4A5E5022">
            <w:pPr>
              <w:pStyle w:val="20"/>
              <w:keepNext w:val="0"/>
              <w:keepLines w:val="0"/>
              <w:suppressLineNumbers w:val="0"/>
              <w:spacing w:before="0" w:beforeAutospacing="0" w:after="0" w:afterAutospacing="0"/>
              <w:ind w:left="0" w:right="0"/>
              <w:rPr>
                <w:rFonts w:hint="eastAsia" w:ascii="宋体" w:hAnsi="宋体" w:eastAsia="宋体" w:cs="宋体"/>
                <w:color w:val="auto"/>
                <w:highlight w:val="none"/>
              </w:rPr>
            </w:pPr>
          </w:p>
          <w:p w14:paraId="747AF6F6">
            <w:pPr>
              <w:pStyle w:val="20"/>
              <w:keepNext w:val="0"/>
              <w:keepLines w:val="0"/>
              <w:suppressLineNumbers w:val="0"/>
              <w:spacing w:before="0" w:beforeAutospacing="0" w:after="0" w:afterAutospacing="0"/>
              <w:ind w:left="0" w:right="0"/>
              <w:rPr>
                <w:rFonts w:hint="eastAsia" w:ascii="宋体" w:hAnsi="宋体" w:eastAsia="宋体" w:cs="宋体"/>
                <w:color w:val="auto"/>
                <w:highlight w:val="none"/>
              </w:rPr>
            </w:pPr>
          </w:p>
          <w:p w14:paraId="6F224731">
            <w:pPr>
              <w:keepNext w:val="0"/>
              <w:keepLines w:val="0"/>
              <w:suppressLineNumbers w:val="0"/>
              <w:wordWrap w:val="0"/>
              <w:snapToGrid w:val="0"/>
              <w:spacing w:before="0" w:beforeAutospacing="0" w:after="0" w:afterAutospacing="0" w:line="340" w:lineRule="exact"/>
              <w:ind w:left="0" w:right="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年   月   日</w:t>
            </w:r>
          </w:p>
        </w:tc>
      </w:tr>
      <w:tr w14:paraId="473EC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4379" w:type="dxa"/>
            <w:noWrap w:val="0"/>
            <w:vAlign w:val="center"/>
          </w:tcPr>
          <w:p w14:paraId="28956627">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单位地址：</w:t>
            </w:r>
            <w:r>
              <w:rPr>
                <w:rFonts w:hint="eastAsia" w:ascii="宋体" w:hAnsi="宋体" w:eastAsia="宋体" w:cs="宋体"/>
                <w:color w:val="auto"/>
                <w:szCs w:val="21"/>
                <w:highlight w:val="none"/>
                <w:lang w:val="en-US" w:eastAsia="zh-CN"/>
              </w:rPr>
              <w:t xml:space="preserve"> </w:t>
            </w:r>
          </w:p>
        </w:tc>
        <w:tc>
          <w:tcPr>
            <w:tcW w:w="4380" w:type="dxa"/>
            <w:noWrap w:val="0"/>
            <w:vAlign w:val="center"/>
          </w:tcPr>
          <w:p w14:paraId="3F09F269">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单位地址：</w:t>
            </w:r>
          </w:p>
        </w:tc>
      </w:tr>
      <w:tr w14:paraId="13FC0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4379" w:type="dxa"/>
            <w:noWrap w:val="0"/>
            <w:vAlign w:val="center"/>
          </w:tcPr>
          <w:p w14:paraId="7E9C9144">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p>
        </w:tc>
        <w:tc>
          <w:tcPr>
            <w:tcW w:w="4380" w:type="dxa"/>
            <w:noWrap w:val="0"/>
            <w:vAlign w:val="center"/>
          </w:tcPr>
          <w:p w14:paraId="5994FB70">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p>
        </w:tc>
      </w:tr>
      <w:tr w14:paraId="774D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4379" w:type="dxa"/>
            <w:noWrap w:val="0"/>
            <w:vAlign w:val="center"/>
          </w:tcPr>
          <w:p w14:paraId="133785D2">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电话：</w:t>
            </w:r>
            <w:r>
              <w:rPr>
                <w:rFonts w:hint="eastAsia" w:ascii="宋体" w:hAnsi="宋体" w:eastAsia="宋体" w:cs="宋体"/>
                <w:color w:val="auto"/>
                <w:szCs w:val="21"/>
                <w:highlight w:val="none"/>
                <w:lang w:val="en-US" w:eastAsia="zh-CN"/>
              </w:rPr>
              <w:t xml:space="preserve"> </w:t>
            </w:r>
          </w:p>
        </w:tc>
        <w:tc>
          <w:tcPr>
            <w:tcW w:w="4380" w:type="dxa"/>
            <w:noWrap w:val="0"/>
            <w:vAlign w:val="center"/>
          </w:tcPr>
          <w:p w14:paraId="0E5C4BFF">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电话：</w:t>
            </w:r>
            <w:r>
              <w:rPr>
                <w:rFonts w:hint="eastAsia" w:ascii="宋体" w:hAnsi="宋体" w:eastAsia="宋体" w:cs="宋体"/>
                <w:color w:val="auto"/>
                <w:szCs w:val="21"/>
                <w:highlight w:val="none"/>
                <w:lang w:val="en-US" w:eastAsia="zh-CN"/>
              </w:rPr>
              <w:t xml:space="preserve"> </w:t>
            </w:r>
          </w:p>
        </w:tc>
      </w:tr>
      <w:tr w14:paraId="5BA3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4379" w:type="dxa"/>
            <w:noWrap w:val="0"/>
            <w:vAlign w:val="center"/>
          </w:tcPr>
          <w:p w14:paraId="139A23B7">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电子邮箱：</w:t>
            </w:r>
            <w:r>
              <w:rPr>
                <w:rFonts w:hint="eastAsia" w:ascii="宋体" w:hAnsi="宋体" w:eastAsia="宋体" w:cs="宋体"/>
                <w:color w:val="auto"/>
                <w:szCs w:val="21"/>
                <w:highlight w:val="none"/>
                <w:lang w:val="en-US" w:eastAsia="zh-CN"/>
              </w:rPr>
              <w:t xml:space="preserve"> </w:t>
            </w:r>
          </w:p>
        </w:tc>
        <w:tc>
          <w:tcPr>
            <w:tcW w:w="4380" w:type="dxa"/>
            <w:noWrap w:val="0"/>
            <w:vAlign w:val="center"/>
          </w:tcPr>
          <w:p w14:paraId="44344D3F">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电子邮箱</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 xml:space="preserve"> </w:t>
            </w:r>
          </w:p>
        </w:tc>
      </w:tr>
      <w:tr w14:paraId="30D64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4379" w:type="dxa"/>
            <w:noWrap w:val="0"/>
            <w:vAlign w:val="center"/>
          </w:tcPr>
          <w:p w14:paraId="5227F17B">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p>
        </w:tc>
        <w:tc>
          <w:tcPr>
            <w:tcW w:w="4380" w:type="dxa"/>
            <w:noWrap w:val="0"/>
            <w:vAlign w:val="center"/>
          </w:tcPr>
          <w:p w14:paraId="40F39FAD">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开户银行：</w:t>
            </w:r>
            <w:r>
              <w:rPr>
                <w:rFonts w:hint="eastAsia" w:ascii="宋体" w:hAnsi="宋体" w:eastAsia="宋体" w:cs="宋体"/>
                <w:color w:val="auto"/>
                <w:szCs w:val="21"/>
                <w:highlight w:val="none"/>
                <w:lang w:val="en-US" w:eastAsia="zh-CN"/>
              </w:rPr>
              <w:t xml:space="preserve"> </w:t>
            </w:r>
          </w:p>
        </w:tc>
      </w:tr>
      <w:tr w14:paraId="3E554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4379" w:type="dxa"/>
            <w:noWrap w:val="0"/>
            <w:vAlign w:val="center"/>
          </w:tcPr>
          <w:p w14:paraId="69214AC6">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rPr>
            </w:pPr>
          </w:p>
        </w:tc>
        <w:tc>
          <w:tcPr>
            <w:tcW w:w="4380" w:type="dxa"/>
            <w:noWrap w:val="0"/>
            <w:vAlign w:val="center"/>
          </w:tcPr>
          <w:p w14:paraId="0D539C11">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账号：</w:t>
            </w:r>
            <w:r>
              <w:rPr>
                <w:rFonts w:hint="eastAsia" w:ascii="宋体" w:hAnsi="宋体" w:eastAsia="宋体" w:cs="宋体"/>
                <w:color w:val="auto"/>
                <w:szCs w:val="21"/>
                <w:highlight w:val="none"/>
                <w:lang w:val="en-US" w:eastAsia="zh-CN"/>
              </w:rPr>
              <w:t xml:space="preserve"> </w:t>
            </w:r>
          </w:p>
        </w:tc>
      </w:tr>
      <w:tr w14:paraId="0B8B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4379" w:type="dxa"/>
            <w:noWrap w:val="0"/>
            <w:vAlign w:val="center"/>
          </w:tcPr>
          <w:p w14:paraId="5FED205E">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rPr>
            </w:pPr>
          </w:p>
        </w:tc>
        <w:tc>
          <w:tcPr>
            <w:tcW w:w="4380" w:type="dxa"/>
            <w:noWrap w:val="0"/>
            <w:vAlign w:val="center"/>
          </w:tcPr>
          <w:p w14:paraId="6857957A">
            <w:pPr>
              <w:keepNext w:val="0"/>
              <w:keepLines w:val="0"/>
              <w:suppressLineNumbers w:val="0"/>
              <w:snapToGrid w:val="0"/>
              <w:spacing w:before="0" w:beforeAutospacing="0" w:after="0" w:afterAutospacing="0" w:line="340" w:lineRule="exact"/>
              <w:ind w:left="0" w:right="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邮政编码：</w:t>
            </w:r>
          </w:p>
        </w:tc>
      </w:tr>
      <w:bookmarkEnd w:id="183"/>
    </w:tbl>
    <w:p w14:paraId="38CEED86">
      <w:pPr>
        <w:pageBreakBefore w:val="0"/>
        <w:kinsoku/>
        <w:topLinePunct w:val="0"/>
        <w:bidi w:val="0"/>
        <w:spacing w:before="60" w:after="60" w:line="360" w:lineRule="auto"/>
        <w:rPr>
          <w:rFonts w:ascii="宋体" w:hAnsi="宋体" w:cs="宋体"/>
          <w:color w:val="auto"/>
          <w:sz w:val="22"/>
          <w:szCs w:val="22"/>
          <w:highlight w:val="none"/>
        </w:rPr>
      </w:pPr>
    </w:p>
    <w:sectPr>
      <w:footerReference r:id="rId8" w:type="first"/>
      <w:footerReference r:id="rId7" w:type="default"/>
      <w:pgSz w:w="11906" w:h="16838"/>
      <w:pgMar w:top="1440" w:right="1440" w:bottom="1440" w:left="158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7C90264-1562-4A57-8CE1-D25DB7B5C0C9}"/>
  </w:font>
  <w:font w:name="黑体">
    <w:panose1 w:val="02010609060101010101"/>
    <w:charset w:val="86"/>
    <w:family w:val="auto"/>
    <w:pitch w:val="default"/>
    <w:sig w:usb0="800002BF" w:usb1="38CF7CFA" w:usb2="00000016" w:usb3="00000000" w:csb0="00040001" w:csb1="00000000"/>
    <w:embedRegular r:id="rId2" w:fontKey="{18D3A5A5-C2C3-4C23-ADCD-9BD21D6ECADF}"/>
  </w:font>
  <w:font w:name="Courier New">
    <w:panose1 w:val="02070309020205020404"/>
    <w:charset w:val="01"/>
    <w:family w:val="modern"/>
    <w:pitch w:val="default"/>
    <w:sig w:usb0="E0002AFF" w:usb1="C0007843" w:usb2="00000009" w:usb3="00000000" w:csb0="400001FF" w:csb1="FFFF0000"/>
    <w:embedRegular r:id="rId3" w:fontKey="{F1D52888-5C59-4A40-AC42-9AC8CEDA8A9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4" w:fontKey="{764C78BD-C463-4F9A-B334-5616801039F3}"/>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script"/>
    <w:pitch w:val="default"/>
    <w:sig w:usb0="00000001" w:usb1="08000000" w:usb2="00000000" w:usb3="00000000" w:csb0="00040000" w:csb1="00000000"/>
    <w:embedRegular r:id="rId5" w:fontKey="{5D0DEDCD-8AE0-42D3-9F66-D882E0C9BA5D}"/>
  </w:font>
  <w:font w:name="华文新魏">
    <w:panose1 w:val="02010800040101010101"/>
    <w:charset w:val="86"/>
    <w:family w:val="auto"/>
    <w:pitch w:val="default"/>
    <w:sig w:usb0="00000001" w:usb1="080F0000" w:usb2="00000000" w:usb3="00000000" w:csb0="00040000" w:csb1="00000000"/>
    <w:embedRegular r:id="rId6" w:fontKey="{288A1BD6-8B93-48A9-A1F4-DB02C6EADE43}"/>
  </w:font>
  <w:font w:name="Wingdings 2">
    <w:panose1 w:val="05020102010507070707"/>
    <w:charset w:val="02"/>
    <w:family w:val="roman"/>
    <w:pitch w:val="default"/>
    <w:sig w:usb0="00000000" w:usb1="00000000" w:usb2="00000000" w:usb3="00000000" w:csb0="80000000" w:csb1="00000000"/>
    <w:embedRegular r:id="rId7" w:fontKey="{04B87F6C-3A39-4994-8E75-A9B56977E331}"/>
  </w:font>
  <w:font w:name="MS Mincho">
    <w:panose1 w:val="02020609040205080304"/>
    <w:charset w:val="80"/>
    <w:family w:val="modern"/>
    <w:pitch w:val="default"/>
    <w:sig w:usb0="E00002FF" w:usb1="6AC7FDFB" w:usb2="00000012" w:usb3="00000000" w:csb0="4002009F" w:csb1="DFD70000"/>
    <w:embedRegular r:id="rId8" w:fontKey="{C4C44A5E-6201-4C0C-A865-987256293E2B}"/>
  </w:font>
  <w:font w:name="Helvetica">
    <w:panose1 w:val="020B0604020202020204"/>
    <w:charset w:val="00"/>
    <w:family w:val="swiss"/>
    <w:pitch w:val="default"/>
    <w:sig w:usb0="00000000" w:usb1="00000000" w:usb2="00000000" w:usb3="00000000" w:csb0="00000000" w:csb1="00000000"/>
    <w:embedRegular r:id="rId9" w:fontKey="{978FB52C-AC4E-4840-BBBC-B1DF035CA1C4}"/>
  </w:font>
  <w:font w:name="Segoe UI Symbol">
    <w:panose1 w:val="020B0502040204020203"/>
    <w:charset w:val="00"/>
    <w:family w:val="swiss"/>
    <w:pitch w:val="default"/>
    <w:sig w:usb0="8000006F" w:usb1="1200FBEF" w:usb2="0064C000" w:usb3="00000002" w:csb0="00000001" w:csb1="40000000"/>
    <w:embedRegular r:id="rId10" w:fontKey="{5531D6A5-AEDF-494A-A3A7-326D0013A455}"/>
  </w:font>
  <w:font w:name="Arial Unicode MS">
    <w:altName w:val="宋体"/>
    <w:panose1 w:val="020B0604020202020204"/>
    <w:charset w:val="86"/>
    <w:family w:val="swiss"/>
    <w:pitch w:val="default"/>
    <w:sig w:usb0="00000000" w:usb1="00000000" w:usb2="0000003F" w:usb3="00000000" w:csb0="603F01FF" w:csb1="FFFF0000"/>
    <w:embedRegular r:id="rId11" w:fontKey="{CC33698E-495F-44BA-848C-9FFA7AF25BDE}"/>
  </w:font>
  <w:font w:name="WPSEMBED3">
    <w:panose1 w:val="02010609030101010101"/>
    <w:charset w:val="86"/>
    <w:family w:val="auto"/>
    <w:pitch w:val="default"/>
    <w:sig w:usb0="00000001" w:usb1="080E0000" w:usb2="00000000" w:usb3="00000000" w:csb0="00040000" w:csb1="00000000"/>
  </w:font>
  <w:font w:name="WPSEMBED4">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3A60A">
    <w:pPr>
      <w:pStyle w:val="20"/>
      <w:tabs>
        <w:tab w:val="center" w:pos="4439"/>
        <w:tab w:val="clear" w:pos="4153"/>
      </w:tabs>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1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41EF34E">
                          <w:pPr>
                            <w:pStyle w:val="2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512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VPF9qzwEAAKoDAAAOAAAAAAAAAAEAIAAAAB4BAABkcnMv&#10;ZTJvRG9jLnhtbFBLBQYAAAAABgAGAFkBAABfBQAAAAA=&#10;">
              <v:fill on="f" focussize="0,0"/>
              <v:stroke on="f"/>
              <v:imagedata o:title=""/>
              <o:lock v:ext="edit" aspectratio="f"/>
              <v:textbox inset="0mm,0mm,0mm,0mm" style="mso-fit-shape-to-text:t;">
                <w:txbxContent>
                  <w:p w14:paraId="741EF34E">
                    <w:pPr>
                      <w:pStyle w:val="20"/>
                    </w:pPr>
                    <w:r>
                      <w:fldChar w:fldCharType="begin"/>
                    </w:r>
                    <w:r>
                      <w:instrText xml:space="preserve"> PAGE  \* MERGEFORMAT </w:instrText>
                    </w:r>
                    <w:r>
                      <w:fldChar w:fldCharType="separate"/>
                    </w:r>
                    <w:r>
                      <w:t>1</w:t>
                    </w:r>
                    <w:r>
                      <w:fldChar w:fldCharType="end"/>
                    </w:r>
                  </w:p>
                </w:txbxContent>
              </v:textbox>
            </v:shape>
          </w:pict>
        </mc:Fallback>
      </mc:AlternateContent>
    </w:r>
  </w:p>
  <w:p w14:paraId="30BF665C">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3C0D3">
    <w:pPr>
      <w:pStyle w:val="20"/>
      <w:tabs>
        <w:tab w:val="center" w:pos="4439"/>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1783073"/>
                      </w:txbxContent>
                    </wps:txbx>
                    <wps:bodyPr wrap="none" lIns="0" tIns="0" rIns="0" bIns="0" upright="0">
                      <a:spAutoFit/>
                    </wps:bodyPr>
                  </wps:wsp>
                </a:graphicData>
              </a:graphic>
            </wp:anchor>
          </w:drawing>
        </mc:Choice>
        <mc:Fallback>
          <w:pict>
            <v:shape id="文本框 512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qpqL3zwEAAKoDAAAOAAAAAAAAAAEAIAAAAB4BAABkcnMv&#10;ZTJvRG9jLnhtbFBLBQYAAAAABgAGAFkBAABfBQAAAAA=&#10;">
              <v:fill on="f" focussize="0,0"/>
              <v:stroke on="f"/>
              <v:imagedata o:title=""/>
              <o:lock v:ext="edit" aspectratio="f"/>
              <v:textbox inset="0mm,0mm,0mm,0mm" style="mso-fit-shape-to-text:t;">
                <w:txbxContent>
                  <w:p w14:paraId="21783073"/>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D0555">
    <w:pPr>
      <w:pStyle w:val="2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E3AF29">
                          <w:pPr>
                            <w:pStyle w:val="20"/>
                            <w:jc w:val="center"/>
                          </w:pPr>
                          <w:r>
                            <w:fldChar w:fldCharType="begin"/>
                          </w:r>
                          <w:r>
                            <w:instrText xml:space="preserve"> PAGE  \* MERGEFORMAT </w:instrText>
                          </w:r>
                          <w:r>
                            <w:fldChar w:fldCharType="separate"/>
                          </w:r>
                          <w:r>
                            <w:t>26</w:t>
                          </w:r>
                          <w:r>
                            <w:fldChar w:fldCharType="end"/>
                          </w:r>
                        </w:p>
                      </w:txbxContent>
                    </wps:txbx>
                    <wps:bodyPr wrap="none" lIns="0" tIns="0" rIns="0" bIns="0" upright="1">
                      <a:spAutoFit/>
                    </wps:bodyPr>
                  </wps:wsp>
                </a:graphicData>
              </a:graphic>
            </wp:anchor>
          </w:drawing>
        </mc:Choice>
        <mc:Fallback>
          <w:pict>
            <v:shape id="文本框 512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B0inemzAEAAJwDAAAOAAAAAAAAAAEAIAAAAB4BAABkcnMvZTJv&#10;RG9jLnhtbFBLBQYAAAAABgAGAFkBAABcBQAAAAA=&#10;">
              <v:fill on="f" focussize="0,0"/>
              <v:stroke on="f"/>
              <v:imagedata o:title=""/>
              <o:lock v:ext="edit" aspectratio="f"/>
              <v:textbox inset="0mm,0mm,0mm,0mm" style="mso-fit-shape-to-text:t;">
                <w:txbxContent>
                  <w:p w14:paraId="46E3AF29">
                    <w:pPr>
                      <w:pStyle w:val="20"/>
                      <w:jc w:val="center"/>
                    </w:pPr>
                    <w:r>
                      <w:fldChar w:fldCharType="begin"/>
                    </w:r>
                    <w:r>
                      <w:instrText xml:space="preserve"> PAGE  \* MERGEFORMAT </w:instrText>
                    </w:r>
                    <w:r>
                      <w:fldChar w:fldCharType="separate"/>
                    </w:r>
                    <w:r>
                      <w:t>26</w:t>
                    </w:r>
                    <w:r>
                      <w:fldChar w:fldCharType="end"/>
                    </w:r>
                  </w:p>
                </w:txbxContent>
              </v:textbox>
            </v:shape>
          </w:pict>
        </mc:Fallback>
      </mc:AlternateContent>
    </w:r>
  </w:p>
  <w:p w14:paraId="343957D4">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7CE2C">
    <w:pPr>
      <w:pStyle w:val="2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8056338">
                          <w:pPr>
                            <w:pStyle w:val="2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xDP2XzwEAAKoDAAAOAAAAAAAAAAEAIAAAAB4BAABkcnMv&#10;ZTJvRG9jLnhtbFBLBQYAAAAABgAGAFkBAABfBQAAAAA=&#10;">
              <v:fill on="f" focussize="0,0"/>
              <v:stroke on="f"/>
              <v:imagedata o:title=""/>
              <o:lock v:ext="edit" aspectratio="f"/>
              <v:textbox inset="0mm,0mm,0mm,0mm" style="mso-fit-shape-to-text:t;">
                <w:txbxContent>
                  <w:p w14:paraId="68056338">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2C1FF">
    <w:pPr>
      <w:pStyle w:val="2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50C57">
    <w:pPr>
      <w:pStyle w:val="2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japaneseCounting"/>
      <w:lvlText w:val="第%1条"/>
      <w:lvlJc w:val="left"/>
      <w:pPr>
        <w:tabs>
          <w:tab w:val="left" w:pos="1253"/>
        </w:tabs>
        <w:ind w:left="1253" w:hanging="840"/>
      </w:pPr>
      <w:rPr>
        <w:rFonts w:hint="default"/>
      </w:rPr>
    </w:lvl>
    <w:lvl w:ilvl="1" w:tentative="0">
      <w:start w:val="1"/>
      <w:numFmt w:val="lowerLetter"/>
      <w:lvlText w:val="%2)"/>
      <w:lvlJc w:val="left"/>
      <w:pPr>
        <w:tabs>
          <w:tab w:val="left" w:pos="1253"/>
        </w:tabs>
        <w:ind w:left="1253" w:hanging="420"/>
      </w:pPr>
    </w:lvl>
    <w:lvl w:ilvl="2" w:tentative="0">
      <w:start w:val="1"/>
      <w:numFmt w:val="lowerRoman"/>
      <w:lvlText w:val="%3."/>
      <w:lvlJc w:val="right"/>
      <w:pPr>
        <w:tabs>
          <w:tab w:val="left" w:pos="1673"/>
        </w:tabs>
        <w:ind w:left="1673" w:hanging="420"/>
      </w:pPr>
    </w:lvl>
    <w:lvl w:ilvl="3" w:tentative="0">
      <w:start w:val="1"/>
      <w:numFmt w:val="decimal"/>
      <w:lvlText w:val="%4."/>
      <w:lvlJc w:val="left"/>
      <w:pPr>
        <w:tabs>
          <w:tab w:val="left" w:pos="2093"/>
        </w:tabs>
        <w:ind w:left="2093" w:hanging="420"/>
      </w:pPr>
    </w:lvl>
    <w:lvl w:ilvl="4" w:tentative="0">
      <w:start w:val="1"/>
      <w:numFmt w:val="lowerLetter"/>
      <w:lvlText w:val="%5)"/>
      <w:lvlJc w:val="left"/>
      <w:pPr>
        <w:tabs>
          <w:tab w:val="left" w:pos="2513"/>
        </w:tabs>
        <w:ind w:left="2513" w:hanging="420"/>
      </w:pPr>
    </w:lvl>
    <w:lvl w:ilvl="5" w:tentative="0">
      <w:start w:val="1"/>
      <w:numFmt w:val="lowerRoman"/>
      <w:lvlText w:val="%6."/>
      <w:lvlJc w:val="right"/>
      <w:pPr>
        <w:tabs>
          <w:tab w:val="left" w:pos="2933"/>
        </w:tabs>
        <w:ind w:left="2933" w:hanging="420"/>
      </w:pPr>
    </w:lvl>
    <w:lvl w:ilvl="6" w:tentative="0">
      <w:start w:val="1"/>
      <w:numFmt w:val="decimal"/>
      <w:lvlText w:val="%7."/>
      <w:lvlJc w:val="left"/>
      <w:pPr>
        <w:tabs>
          <w:tab w:val="left" w:pos="3353"/>
        </w:tabs>
        <w:ind w:left="3353" w:hanging="420"/>
      </w:pPr>
    </w:lvl>
    <w:lvl w:ilvl="7" w:tentative="0">
      <w:start w:val="1"/>
      <w:numFmt w:val="lowerLetter"/>
      <w:lvlText w:val="%8)"/>
      <w:lvlJc w:val="left"/>
      <w:pPr>
        <w:tabs>
          <w:tab w:val="left" w:pos="3773"/>
        </w:tabs>
        <w:ind w:left="3773" w:hanging="420"/>
      </w:pPr>
    </w:lvl>
    <w:lvl w:ilvl="8" w:tentative="0">
      <w:start w:val="1"/>
      <w:numFmt w:val="lowerRoman"/>
      <w:lvlText w:val="%9."/>
      <w:lvlJc w:val="right"/>
      <w:pPr>
        <w:tabs>
          <w:tab w:val="left" w:pos="4193"/>
        </w:tabs>
        <w:ind w:left="4193" w:hanging="420"/>
      </w:pPr>
    </w:lvl>
  </w:abstractNum>
  <w:abstractNum w:abstractNumId="1">
    <w:nsid w:val="40BA45D3"/>
    <w:multiLevelType w:val="singleLevel"/>
    <w:tmpl w:val="40BA45D3"/>
    <w:lvl w:ilvl="0" w:tentative="0">
      <w:start w:val="6"/>
      <w:numFmt w:val="chineseCounting"/>
      <w:suff w:val="space"/>
      <w:lvlText w:val="第%1条"/>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0NDU3ZDY2OTMwNTExNTAzMDYyOWIzNWU5MDUwY2EifQ=="/>
  </w:docVars>
  <w:rsids>
    <w:rsidRoot w:val="00F34B14"/>
    <w:rsid w:val="000002E0"/>
    <w:rsid w:val="00000672"/>
    <w:rsid w:val="00001013"/>
    <w:rsid w:val="00001799"/>
    <w:rsid w:val="00001AF2"/>
    <w:rsid w:val="00001ECA"/>
    <w:rsid w:val="00002D29"/>
    <w:rsid w:val="00003B93"/>
    <w:rsid w:val="0000474D"/>
    <w:rsid w:val="00004F1A"/>
    <w:rsid w:val="00005FDF"/>
    <w:rsid w:val="0000626C"/>
    <w:rsid w:val="0000644A"/>
    <w:rsid w:val="000070B3"/>
    <w:rsid w:val="000076B8"/>
    <w:rsid w:val="000109DC"/>
    <w:rsid w:val="00010D39"/>
    <w:rsid w:val="0001172C"/>
    <w:rsid w:val="00011BC9"/>
    <w:rsid w:val="00012854"/>
    <w:rsid w:val="00012EA6"/>
    <w:rsid w:val="00013359"/>
    <w:rsid w:val="000139CF"/>
    <w:rsid w:val="00013AA4"/>
    <w:rsid w:val="00013DFE"/>
    <w:rsid w:val="000141EA"/>
    <w:rsid w:val="000160A2"/>
    <w:rsid w:val="00016ABC"/>
    <w:rsid w:val="000177DB"/>
    <w:rsid w:val="000179C9"/>
    <w:rsid w:val="00017CCC"/>
    <w:rsid w:val="00020227"/>
    <w:rsid w:val="00020263"/>
    <w:rsid w:val="00020455"/>
    <w:rsid w:val="00020813"/>
    <w:rsid w:val="000215D0"/>
    <w:rsid w:val="000220B2"/>
    <w:rsid w:val="0002264C"/>
    <w:rsid w:val="00022731"/>
    <w:rsid w:val="00022792"/>
    <w:rsid w:val="00024463"/>
    <w:rsid w:val="00024D40"/>
    <w:rsid w:val="00025461"/>
    <w:rsid w:val="00025636"/>
    <w:rsid w:val="00025E36"/>
    <w:rsid w:val="00026855"/>
    <w:rsid w:val="00026886"/>
    <w:rsid w:val="0002785D"/>
    <w:rsid w:val="000301D4"/>
    <w:rsid w:val="000307BE"/>
    <w:rsid w:val="000329E0"/>
    <w:rsid w:val="000352E9"/>
    <w:rsid w:val="00035494"/>
    <w:rsid w:val="00035DD5"/>
    <w:rsid w:val="00036125"/>
    <w:rsid w:val="00036A07"/>
    <w:rsid w:val="0003780B"/>
    <w:rsid w:val="00040571"/>
    <w:rsid w:val="00040973"/>
    <w:rsid w:val="0004156E"/>
    <w:rsid w:val="00041713"/>
    <w:rsid w:val="0004440C"/>
    <w:rsid w:val="00046B5E"/>
    <w:rsid w:val="000470CB"/>
    <w:rsid w:val="000509D9"/>
    <w:rsid w:val="000512AF"/>
    <w:rsid w:val="00051ACB"/>
    <w:rsid w:val="000533E7"/>
    <w:rsid w:val="00055D41"/>
    <w:rsid w:val="000562AD"/>
    <w:rsid w:val="00056EF6"/>
    <w:rsid w:val="00057CD6"/>
    <w:rsid w:val="00060DCE"/>
    <w:rsid w:val="000610E3"/>
    <w:rsid w:val="000614F3"/>
    <w:rsid w:val="000623B4"/>
    <w:rsid w:val="00062405"/>
    <w:rsid w:val="000634A7"/>
    <w:rsid w:val="00063737"/>
    <w:rsid w:val="00063B0B"/>
    <w:rsid w:val="00063F81"/>
    <w:rsid w:val="0006409B"/>
    <w:rsid w:val="00064847"/>
    <w:rsid w:val="00065E08"/>
    <w:rsid w:val="000673E2"/>
    <w:rsid w:val="00067EF1"/>
    <w:rsid w:val="0007063F"/>
    <w:rsid w:val="000707FD"/>
    <w:rsid w:val="00070949"/>
    <w:rsid w:val="000711E4"/>
    <w:rsid w:val="00071E9B"/>
    <w:rsid w:val="000720A1"/>
    <w:rsid w:val="000724D9"/>
    <w:rsid w:val="00072AED"/>
    <w:rsid w:val="00073F47"/>
    <w:rsid w:val="0007492F"/>
    <w:rsid w:val="00074ED8"/>
    <w:rsid w:val="00075B7E"/>
    <w:rsid w:val="00077ACA"/>
    <w:rsid w:val="00077C70"/>
    <w:rsid w:val="000813B5"/>
    <w:rsid w:val="00081776"/>
    <w:rsid w:val="0008191E"/>
    <w:rsid w:val="00081BA3"/>
    <w:rsid w:val="00081D2E"/>
    <w:rsid w:val="00081F89"/>
    <w:rsid w:val="00082619"/>
    <w:rsid w:val="00082D02"/>
    <w:rsid w:val="0008381A"/>
    <w:rsid w:val="00083871"/>
    <w:rsid w:val="00083B91"/>
    <w:rsid w:val="0008473C"/>
    <w:rsid w:val="0008520B"/>
    <w:rsid w:val="000857DE"/>
    <w:rsid w:val="000860BD"/>
    <w:rsid w:val="000871B8"/>
    <w:rsid w:val="00087B0A"/>
    <w:rsid w:val="000914AF"/>
    <w:rsid w:val="000916DA"/>
    <w:rsid w:val="00091AAB"/>
    <w:rsid w:val="00092442"/>
    <w:rsid w:val="000929EF"/>
    <w:rsid w:val="00092C26"/>
    <w:rsid w:val="000933BE"/>
    <w:rsid w:val="00094473"/>
    <w:rsid w:val="0009560F"/>
    <w:rsid w:val="0009588E"/>
    <w:rsid w:val="000959EE"/>
    <w:rsid w:val="00095E09"/>
    <w:rsid w:val="00096DB9"/>
    <w:rsid w:val="00097183"/>
    <w:rsid w:val="000972CB"/>
    <w:rsid w:val="00097608"/>
    <w:rsid w:val="000A0F35"/>
    <w:rsid w:val="000A1175"/>
    <w:rsid w:val="000A13F3"/>
    <w:rsid w:val="000A1C18"/>
    <w:rsid w:val="000A23B1"/>
    <w:rsid w:val="000A2B0E"/>
    <w:rsid w:val="000A398F"/>
    <w:rsid w:val="000A448C"/>
    <w:rsid w:val="000A4AA3"/>
    <w:rsid w:val="000A509C"/>
    <w:rsid w:val="000A54A7"/>
    <w:rsid w:val="000A5A17"/>
    <w:rsid w:val="000A6007"/>
    <w:rsid w:val="000A65A6"/>
    <w:rsid w:val="000A70E3"/>
    <w:rsid w:val="000A7275"/>
    <w:rsid w:val="000A7A12"/>
    <w:rsid w:val="000A7A72"/>
    <w:rsid w:val="000B1202"/>
    <w:rsid w:val="000B1801"/>
    <w:rsid w:val="000B1D0C"/>
    <w:rsid w:val="000B2273"/>
    <w:rsid w:val="000B2BC6"/>
    <w:rsid w:val="000B2D03"/>
    <w:rsid w:val="000B37F2"/>
    <w:rsid w:val="000B3815"/>
    <w:rsid w:val="000B3C7B"/>
    <w:rsid w:val="000B3E68"/>
    <w:rsid w:val="000B4321"/>
    <w:rsid w:val="000B6A6B"/>
    <w:rsid w:val="000B6C95"/>
    <w:rsid w:val="000B79FC"/>
    <w:rsid w:val="000C0139"/>
    <w:rsid w:val="000C1679"/>
    <w:rsid w:val="000C1750"/>
    <w:rsid w:val="000C1EE3"/>
    <w:rsid w:val="000C3AE7"/>
    <w:rsid w:val="000C3CC9"/>
    <w:rsid w:val="000C431A"/>
    <w:rsid w:val="000C59C6"/>
    <w:rsid w:val="000C6DE4"/>
    <w:rsid w:val="000C7194"/>
    <w:rsid w:val="000C7202"/>
    <w:rsid w:val="000D0A89"/>
    <w:rsid w:val="000D1389"/>
    <w:rsid w:val="000D1798"/>
    <w:rsid w:val="000D19F7"/>
    <w:rsid w:val="000D2626"/>
    <w:rsid w:val="000D386F"/>
    <w:rsid w:val="000D4016"/>
    <w:rsid w:val="000D411D"/>
    <w:rsid w:val="000D4589"/>
    <w:rsid w:val="000D4809"/>
    <w:rsid w:val="000D73DD"/>
    <w:rsid w:val="000E1C51"/>
    <w:rsid w:val="000E28AB"/>
    <w:rsid w:val="000E2E3E"/>
    <w:rsid w:val="000E3583"/>
    <w:rsid w:val="000E3AF0"/>
    <w:rsid w:val="000E4E04"/>
    <w:rsid w:val="000E693B"/>
    <w:rsid w:val="000E6D5C"/>
    <w:rsid w:val="000E6EC9"/>
    <w:rsid w:val="000E70B4"/>
    <w:rsid w:val="000E7B62"/>
    <w:rsid w:val="000F0E1E"/>
    <w:rsid w:val="000F1A1B"/>
    <w:rsid w:val="000F2A95"/>
    <w:rsid w:val="000F3281"/>
    <w:rsid w:val="000F32FD"/>
    <w:rsid w:val="000F3733"/>
    <w:rsid w:val="000F5BD9"/>
    <w:rsid w:val="000F5F8B"/>
    <w:rsid w:val="000F6153"/>
    <w:rsid w:val="000F621F"/>
    <w:rsid w:val="000F64AA"/>
    <w:rsid w:val="000F7AF4"/>
    <w:rsid w:val="000F7C33"/>
    <w:rsid w:val="000F7F0C"/>
    <w:rsid w:val="001004D6"/>
    <w:rsid w:val="00101D1B"/>
    <w:rsid w:val="00102676"/>
    <w:rsid w:val="00103646"/>
    <w:rsid w:val="00103918"/>
    <w:rsid w:val="00104897"/>
    <w:rsid w:val="00104EDE"/>
    <w:rsid w:val="00104F54"/>
    <w:rsid w:val="00105CDA"/>
    <w:rsid w:val="00106BEE"/>
    <w:rsid w:val="0010711C"/>
    <w:rsid w:val="00107368"/>
    <w:rsid w:val="00107BDF"/>
    <w:rsid w:val="00107C74"/>
    <w:rsid w:val="0011091C"/>
    <w:rsid w:val="00111266"/>
    <w:rsid w:val="001112EB"/>
    <w:rsid w:val="0011247D"/>
    <w:rsid w:val="00113678"/>
    <w:rsid w:val="00113A7D"/>
    <w:rsid w:val="00113C3E"/>
    <w:rsid w:val="00114790"/>
    <w:rsid w:val="00115E11"/>
    <w:rsid w:val="00115EEE"/>
    <w:rsid w:val="00115F56"/>
    <w:rsid w:val="00116CA9"/>
    <w:rsid w:val="00116F38"/>
    <w:rsid w:val="001170A4"/>
    <w:rsid w:val="0011743F"/>
    <w:rsid w:val="00117AE7"/>
    <w:rsid w:val="00117B85"/>
    <w:rsid w:val="00117CBD"/>
    <w:rsid w:val="0012006A"/>
    <w:rsid w:val="0012095E"/>
    <w:rsid w:val="00121979"/>
    <w:rsid w:val="00122064"/>
    <w:rsid w:val="00124341"/>
    <w:rsid w:val="00124492"/>
    <w:rsid w:val="00124B12"/>
    <w:rsid w:val="001250A0"/>
    <w:rsid w:val="001256A6"/>
    <w:rsid w:val="001263B8"/>
    <w:rsid w:val="00127E5F"/>
    <w:rsid w:val="00130217"/>
    <w:rsid w:val="00130783"/>
    <w:rsid w:val="00130A47"/>
    <w:rsid w:val="00130FB0"/>
    <w:rsid w:val="00132B47"/>
    <w:rsid w:val="001337F8"/>
    <w:rsid w:val="001348B4"/>
    <w:rsid w:val="0013506E"/>
    <w:rsid w:val="001351CB"/>
    <w:rsid w:val="00135530"/>
    <w:rsid w:val="00135947"/>
    <w:rsid w:val="001359A2"/>
    <w:rsid w:val="00135F92"/>
    <w:rsid w:val="00136020"/>
    <w:rsid w:val="00136445"/>
    <w:rsid w:val="00136A8B"/>
    <w:rsid w:val="00136A9C"/>
    <w:rsid w:val="00137389"/>
    <w:rsid w:val="00140132"/>
    <w:rsid w:val="00140997"/>
    <w:rsid w:val="00141C9C"/>
    <w:rsid w:val="0014277F"/>
    <w:rsid w:val="001434BE"/>
    <w:rsid w:val="00143AAD"/>
    <w:rsid w:val="00144050"/>
    <w:rsid w:val="00144369"/>
    <w:rsid w:val="0014479F"/>
    <w:rsid w:val="001452B4"/>
    <w:rsid w:val="00145320"/>
    <w:rsid w:val="001476D3"/>
    <w:rsid w:val="001509CF"/>
    <w:rsid w:val="00150D1D"/>
    <w:rsid w:val="00151798"/>
    <w:rsid w:val="001525AA"/>
    <w:rsid w:val="00152993"/>
    <w:rsid w:val="00152A87"/>
    <w:rsid w:val="00152AC1"/>
    <w:rsid w:val="00153BB5"/>
    <w:rsid w:val="00154518"/>
    <w:rsid w:val="00156359"/>
    <w:rsid w:val="00156DD6"/>
    <w:rsid w:val="00160157"/>
    <w:rsid w:val="0016086E"/>
    <w:rsid w:val="001609B9"/>
    <w:rsid w:val="00160D0C"/>
    <w:rsid w:val="00160DD1"/>
    <w:rsid w:val="00161172"/>
    <w:rsid w:val="00161998"/>
    <w:rsid w:val="00161E65"/>
    <w:rsid w:val="00162597"/>
    <w:rsid w:val="001629AF"/>
    <w:rsid w:val="001629FD"/>
    <w:rsid w:val="0016428A"/>
    <w:rsid w:val="001647C9"/>
    <w:rsid w:val="00165627"/>
    <w:rsid w:val="001661A3"/>
    <w:rsid w:val="00167226"/>
    <w:rsid w:val="0016782B"/>
    <w:rsid w:val="0016784D"/>
    <w:rsid w:val="00167853"/>
    <w:rsid w:val="00167887"/>
    <w:rsid w:val="00170B05"/>
    <w:rsid w:val="00171E11"/>
    <w:rsid w:val="00172CA8"/>
    <w:rsid w:val="00173256"/>
    <w:rsid w:val="00173B0E"/>
    <w:rsid w:val="00173E03"/>
    <w:rsid w:val="0017512C"/>
    <w:rsid w:val="001756AF"/>
    <w:rsid w:val="0017586A"/>
    <w:rsid w:val="00175BA6"/>
    <w:rsid w:val="00176CA7"/>
    <w:rsid w:val="00176D0C"/>
    <w:rsid w:val="00176F8E"/>
    <w:rsid w:val="001778C5"/>
    <w:rsid w:val="00177CEF"/>
    <w:rsid w:val="00177E56"/>
    <w:rsid w:val="00177F0A"/>
    <w:rsid w:val="00180DA0"/>
    <w:rsid w:val="001815CD"/>
    <w:rsid w:val="00181EAD"/>
    <w:rsid w:val="00182862"/>
    <w:rsid w:val="00184F57"/>
    <w:rsid w:val="00185091"/>
    <w:rsid w:val="00185544"/>
    <w:rsid w:val="00185617"/>
    <w:rsid w:val="00186FE1"/>
    <w:rsid w:val="00187A14"/>
    <w:rsid w:val="0019171E"/>
    <w:rsid w:val="00192368"/>
    <w:rsid w:val="001923A0"/>
    <w:rsid w:val="001928B1"/>
    <w:rsid w:val="00193537"/>
    <w:rsid w:val="00193846"/>
    <w:rsid w:val="00195424"/>
    <w:rsid w:val="001955FF"/>
    <w:rsid w:val="00197EDD"/>
    <w:rsid w:val="001A02B3"/>
    <w:rsid w:val="001A04BB"/>
    <w:rsid w:val="001A08D0"/>
    <w:rsid w:val="001A1B39"/>
    <w:rsid w:val="001A2120"/>
    <w:rsid w:val="001A28C6"/>
    <w:rsid w:val="001A2E69"/>
    <w:rsid w:val="001A3C34"/>
    <w:rsid w:val="001A3EDE"/>
    <w:rsid w:val="001A3F94"/>
    <w:rsid w:val="001A4222"/>
    <w:rsid w:val="001A50EA"/>
    <w:rsid w:val="001A5E24"/>
    <w:rsid w:val="001A661D"/>
    <w:rsid w:val="001A6795"/>
    <w:rsid w:val="001A6B27"/>
    <w:rsid w:val="001A6D8B"/>
    <w:rsid w:val="001A6DAA"/>
    <w:rsid w:val="001A7717"/>
    <w:rsid w:val="001A793A"/>
    <w:rsid w:val="001A7E6F"/>
    <w:rsid w:val="001B125A"/>
    <w:rsid w:val="001B1EBA"/>
    <w:rsid w:val="001B2142"/>
    <w:rsid w:val="001B2F2B"/>
    <w:rsid w:val="001B327A"/>
    <w:rsid w:val="001B35DE"/>
    <w:rsid w:val="001B3A13"/>
    <w:rsid w:val="001B3F5C"/>
    <w:rsid w:val="001B57C9"/>
    <w:rsid w:val="001B59FF"/>
    <w:rsid w:val="001B6512"/>
    <w:rsid w:val="001B65D7"/>
    <w:rsid w:val="001B6752"/>
    <w:rsid w:val="001B6768"/>
    <w:rsid w:val="001B6F1F"/>
    <w:rsid w:val="001B7ECC"/>
    <w:rsid w:val="001C025B"/>
    <w:rsid w:val="001C1148"/>
    <w:rsid w:val="001C115F"/>
    <w:rsid w:val="001C1DED"/>
    <w:rsid w:val="001C1DF9"/>
    <w:rsid w:val="001C1EAB"/>
    <w:rsid w:val="001C25A7"/>
    <w:rsid w:val="001C2775"/>
    <w:rsid w:val="001C318C"/>
    <w:rsid w:val="001C35C4"/>
    <w:rsid w:val="001C4287"/>
    <w:rsid w:val="001C4479"/>
    <w:rsid w:val="001C5190"/>
    <w:rsid w:val="001C6081"/>
    <w:rsid w:val="001C6DA4"/>
    <w:rsid w:val="001C73EB"/>
    <w:rsid w:val="001C7B48"/>
    <w:rsid w:val="001D0CFB"/>
    <w:rsid w:val="001D1A0D"/>
    <w:rsid w:val="001D29F1"/>
    <w:rsid w:val="001D343C"/>
    <w:rsid w:val="001D56E2"/>
    <w:rsid w:val="001D58A1"/>
    <w:rsid w:val="001D58C2"/>
    <w:rsid w:val="001D5A8A"/>
    <w:rsid w:val="001D61CA"/>
    <w:rsid w:val="001D6E87"/>
    <w:rsid w:val="001D735E"/>
    <w:rsid w:val="001D73C8"/>
    <w:rsid w:val="001D7BC6"/>
    <w:rsid w:val="001E129E"/>
    <w:rsid w:val="001E1379"/>
    <w:rsid w:val="001E175C"/>
    <w:rsid w:val="001E1B0E"/>
    <w:rsid w:val="001E3274"/>
    <w:rsid w:val="001E3B63"/>
    <w:rsid w:val="001E5A94"/>
    <w:rsid w:val="001F13FD"/>
    <w:rsid w:val="001F2A2E"/>
    <w:rsid w:val="001F3356"/>
    <w:rsid w:val="001F3C63"/>
    <w:rsid w:val="001F4460"/>
    <w:rsid w:val="001F6C96"/>
    <w:rsid w:val="001F711A"/>
    <w:rsid w:val="001F75B0"/>
    <w:rsid w:val="001F79CF"/>
    <w:rsid w:val="0020057C"/>
    <w:rsid w:val="0020083C"/>
    <w:rsid w:val="00200CE5"/>
    <w:rsid w:val="00200F7C"/>
    <w:rsid w:val="002014DB"/>
    <w:rsid w:val="0020150B"/>
    <w:rsid w:val="00201E12"/>
    <w:rsid w:val="00202295"/>
    <w:rsid w:val="002033B5"/>
    <w:rsid w:val="0020382C"/>
    <w:rsid w:val="0020437A"/>
    <w:rsid w:val="0020454C"/>
    <w:rsid w:val="00204740"/>
    <w:rsid w:val="00205129"/>
    <w:rsid w:val="0020521F"/>
    <w:rsid w:val="0020532C"/>
    <w:rsid w:val="00206069"/>
    <w:rsid w:val="002114C7"/>
    <w:rsid w:val="0021302C"/>
    <w:rsid w:val="00213B1C"/>
    <w:rsid w:val="00213F1E"/>
    <w:rsid w:val="0021402D"/>
    <w:rsid w:val="00214202"/>
    <w:rsid w:val="002148E3"/>
    <w:rsid w:val="0021552D"/>
    <w:rsid w:val="002156AE"/>
    <w:rsid w:val="00215E99"/>
    <w:rsid w:val="0022054D"/>
    <w:rsid w:val="0022107B"/>
    <w:rsid w:val="00223DDB"/>
    <w:rsid w:val="00223FA4"/>
    <w:rsid w:val="00223FB0"/>
    <w:rsid w:val="0022405A"/>
    <w:rsid w:val="00224067"/>
    <w:rsid w:val="0022421C"/>
    <w:rsid w:val="00224C4A"/>
    <w:rsid w:val="00224DF7"/>
    <w:rsid w:val="00224E83"/>
    <w:rsid w:val="00225664"/>
    <w:rsid w:val="0022663D"/>
    <w:rsid w:val="00227C56"/>
    <w:rsid w:val="00227F2D"/>
    <w:rsid w:val="00231851"/>
    <w:rsid w:val="002319FB"/>
    <w:rsid w:val="00231B89"/>
    <w:rsid w:val="00231F11"/>
    <w:rsid w:val="00231F5E"/>
    <w:rsid w:val="002346B4"/>
    <w:rsid w:val="0023481E"/>
    <w:rsid w:val="00234F6E"/>
    <w:rsid w:val="002355BE"/>
    <w:rsid w:val="002358EA"/>
    <w:rsid w:val="00236578"/>
    <w:rsid w:val="00236DE9"/>
    <w:rsid w:val="00237342"/>
    <w:rsid w:val="00237D5A"/>
    <w:rsid w:val="00240D75"/>
    <w:rsid w:val="002415AE"/>
    <w:rsid w:val="00241D3C"/>
    <w:rsid w:val="00242109"/>
    <w:rsid w:val="00243189"/>
    <w:rsid w:val="002439AB"/>
    <w:rsid w:val="00243C19"/>
    <w:rsid w:val="00244AE8"/>
    <w:rsid w:val="00244C1E"/>
    <w:rsid w:val="00244DC9"/>
    <w:rsid w:val="00245587"/>
    <w:rsid w:val="00245F2B"/>
    <w:rsid w:val="002462FA"/>
    <w:rsid w:val="002466CD"/>
    <w:rsid w:val="002479FC"/>
    <w:rsid w:val="00247F3A"/>
    <w:rsid w:val="00250122"/>
    <w:rsid w:val="0025024D"/>
    <w:rsid w:val="00250755"/>
    <w:rsid w:val="00251043"/>
    <w:rsid w:val="00251C4A"/>
    <w:rsid w:val="0025271C"/>
    <w:rsid w:val="0025277A"/>
    <w:rsid w:val="002533CD"/>
    <w:rsid w:val="002535EA"/>
    <w:rsid w:val="00254EAB"/>
    <w:rsid w:val="002557AF"/>
    <w:rsid w:val="00255827"/>
    <w:rsid w:val="0025589C"/>
    <w:rsid w:val="00255B62"/>
    <w:rsid w:val="0025635C"/>
    <w:rsid w:val="002566B1"/>
    <w:rsid w:val="00257010"/>
    <w:rsid w:val="002575E3"/>
    <w:rsid w:val="00257A74"/>
    <w:rsid w:val="00257C5D"/>
    <w:rsid w:val="002603C1"/>
    <w:rsid w:val="002609A1"/>
    <w:rsid w:val="002612B1"/>
    <w:rsid w:val="00265A12"/>
    <w:rsid w:val="00266165"/>
    <w:rsid w:val="00266F2C"/>
    <w:rsid w:val="0027125E"/>
    <w:rsid w:val="00271767"/>
    <w:rsid w:val="00272293"/>
    <w:rsid w:val="002723C8"/>
    <w:rsid w:val="00273633"/>
    <w:rsid w:val="00273C2A"/>
    <w:rsid w:val="00273CBE"/>
    <w:rsid w:val="002746B1"/>
    <w:rsid w:val="00274BAD"/>
    <w:rsid w:val="00277101"/>
    <w:rsid w:val="002807B0"/>
    <w:rsid w:val="00282D56"/>
    <w:rsid w:val="002835B0"/>
    <w:rsid w:val="00283B1D"/>
    <w:rsid w:val="00283C74"/>
    <w:rsid w:val="0028407E"/>
    <w:rsid w:val="0028410F"/>
    <w:rsid w:val="00284572"/>
    <w:rsid w:val="002850AA"/>
    <w:rsid w:val="00285221"/>
    <w:rsid w:val="00286FB5"/>
    <w:rsid w:val="00287763"/>
    <w:rsid w:val="00290606"/>
    <w:rsid w:val="002909B2"/>
    <w:rsid w:val="00291D6D"/>
    <w:rsid w:val="00291FF1"/>
    <w:rsid w:val="00292AA2"/>
    <w:rsid w:val="00293006"/>
    <w:rsid w:val="00293361"/>
    <w:rsid w:val="00294F10"/>
    <w:rsid w:val="002952B1"/>
    <w:rsid w:val="00295D11"/>
    <w:rsid w:val="00296FB6"/>
    <w:rsid w:val="002A0001"/>
    <w:rsid w:val="002A0BD9"/>
    <w:rsid w:val="002A0C3A"/>
    <w:rsid w:val="002A0DF8"/>
    <w:rsid w:val="002A0F1C"/>
    <w:rsid w:val="002A1130"/>
    <w:rsid w:val="002A1880"/>
    <w:rsid w:val="002A23B7"/>
    <w:rsid w:val="002A3A57"/>
    <w:rsid w:val="002A4B4F"/>
    <w:rsid w:val="002A51B5"/>
    <w:rsid w:val="002A57A8"/>
    <w:rsid w:val="002A6DEF"/>
    <w:rsid w:val="002A770B"/>
    <w:rsid w:val="002B013E"/>
    <w:rsid w:val="002B058D"/>
    <w:rsid w:val="002B0C16"/>
    <w:rsid w:val="002B2456"/>
    <w:rsid w:val="002B2AC5"/>
    <w:rsid w:val="002B3528"/>
    <w:rsid w:val="002B3539"/>
    <w:rsid w:val="002B4395"/>
    <w:rsid w:val="002B4532"/>
    <w:rsid w:val="002B46E9"/>
    <w:rsid w:val="002B4DD9"/>
    <w:rsid w:val="002B5042"/>
    <w:rsid w:val="002B69CC"/>
    <w:rsid w:val="002B6D71"/>
    <w:rsid w:val="002C03AE"/>
    <w:rsid w:val="002C0C1C"/>
    <w:rsid w:val="002C41BF"/>
    <w:rsid w:val="002C54C2"/>
    <w:rsid w:val="002C5D34"/>
    <w:rsid w:val="002C60BB"/>
    <w:rsid w:val="002C64AA"/>
    <w:rsid w:val="002C661A"/>
    <w:rsid w:val="002D0D6F"/>
    <w:rsid w:val="002D25FC"/>
    <w:rsid w:val="002D4AC6"/>
    <w:rsid w:val="002D59BF"/>
    <w:rsid w:val="002D5BF5"/>
    <w:rsid w:val="002D5EE8"/>
    <w:rsid w:val="002D7360"/>
    <w:rsid w:val="002D7648"/>
    <w:rsid w:val="002D7C80"/>
    <w:rsid w:val="002E109C"/>
    <w:rsid w:val="002E193E"/>
    <w:rsid w:val="002E1A94"/>
    <w:rsid w:val="002E1D55"/>
    <w:rsid w:val="002E26C4"/>
    <w:rsid w:val="002E2734"/>
    <w:rsid w:val="002E30A5"/>
    <w:rsid w:val="002E47E4"/>
    <w:rsid w:val="002E4BF9"/>
    <w:rsid w:val="002E4D61"/>
    <w:rsid w:val="002E68A7"/>
    <w:rsid w:val="002E6E6C"/>
    <w:rsid w:val="002F016E"/>
    <w:rsid w:val="002F0522"/>
    <w:rsid w:val="002F16DD"/>
    <w:rsid w:val="002F199D"/>
    <w:rsid w:val="002F1BFF"/>
    <w:rsid w:val="002F213C"/>
    <w:rsid w:val="002F2453"/>
    <w:rsid w:val="002F352D"/>
    <w:rsid w:val="002F381E"/>
    <w:rsid w:val="002F4084"/>
    <w:rsid w:val="002F4A08"/>
    <w:rsid w:val="002F4ADB"/>
    <w:rsid w:val="002F531E"/>
    <w:rsid w:val="002F548D"/>
    <w:rsid w:val="002F5ACC"/>
    <w:rsid w:val="002F704B"/>
    <w:rsid w:val="002F72C3"/>
    <w:rsid w:val="002F768C"/>
    <w:rsid w:val="002F77BD"/>
    <w:rsid w:val="002F7D1E"/>
    <w:rsid w:val="00300201"/>
    <w:rsid w:val="0030025A"/>
    <w:rsid w:val="00302EFC"/>
    <w:rsid w:val="00303243"/>
    <w:rsid w:val="0030386E"/>
    <w:rsid w:val="00303BCC"/>
    <w:rsid w:val="00303F2B"/>
    <w:rsid w:val="00303F8D"/>
    <w:rsid w:val="00304FDC"/>
    <w:rsid w:val="0030572D"/>
    <w:rsid w:val="0030586A"/>
    <w:rsid w:val="0030622D"/>
    <w:rsid w:val="00306811"/>
    <w:rsid w:val="00306F32"/>
    <w:rsid w:val="003074C5"/>
    <w:rsid w:val="00307A3C"/>
    <w:rsid w:val="00307FA4"/>
    <w:rsid w:val="00310290"/>
    <w:rsid w:val="00310CC1"/>
    <w:rsid w:val="00312504"/>
    <w:rsid w:val="00312B89"/>
    <w:rsid w:val="00313026"/>
    <w:rsid w:val="003131C0"/>
    <w:rsid w:val="00313913"/>
    <w:rsid w:val="0031421F"/>
    <w:rsid w:val="003142E7"/>
    <w:rsid w:val="00314B31"/>
    <w:rsid w:val="00315A65"/>
    <w:rsid w:val="003165D7"/>
    <w:rsid w:val="0031666B"/>
    <w:rsid w:val="00316ABE"/>
    <w:rsid w:val="00317BA7"/>
    <w:rsid w:val="003202CB"/>
    <w:rsid w:val="003204D2"/>
    <w:rsid w:val="00320BE2"/>
    <w:rsid w:val="00321886"/>
    <w:rsid w:val="00321EDC"/>
    <w:rsid w:val="00322B67"/>
    <w:rsid w:val="003235E2"/>
    <w:rsid w:val="00323694"/>
    <w:rsid w:val="00323BE7"/>
    <w:rsid w:val="00324C3A"/>
    <w:rsid w:val="00324D63"/>
    <w:rsid w:val="003255AF"/>
    <w:rsid w:val="003256EB"/>
    <w:rsid w:val="003259DB"/>
    <w:rsid w:val="0032795B"/>
    <w:rsid w:val="003303CD"/>
    <w:rsid w:val="003314D9"/>
    <w:rsid w:val="00331653"/>
    <w:rsid w:val="00331A48"/>
    <w:rsid w:val="00331BCC"/>
    <w:rsid w:val="003330C9"/>
    <w:rsid w:val="0033364C"/>
    <w:rsid w:val="00334415"/>
    <w:rsid w:val="0033526D"/>
    <w:rsid w:val="00335EA1"/>
    <w:rsid w:val="0033691E"/>
    <w:rsid w:val="00336A6A"/>
    <w:rsid w:val="00336CCB"/>
    <w:rsid w:val="003401AB"/>
    <w:rsid w:val="003411D1"/>
    <w:rsid w:val="003416BA"/>
    <w:rsid w:val="00342148"/>
    <w:rsid w:val="00342F99"/>
    <w:rsid w:val="003430EF"/>
    <w:rsid w:val="0034575A"/>
    <w:rsid w:val="00345F57"/>
    <w:rsid w:val="003476DC"/>
    <w:rsid w:val="00350458"/>
    <w:rsid w:val="00350E6C"/>
    <w:rsid w:val="003518A6"/>
    <w:rsid w:val="00351E7F"/>
    <w:rsid w:val="00352953"/>
    <w:rsid w:val="00354062"/>
    <w:rsid w:val="00354277"/>
    <w:rsid w:val="0035459E"/>
    <w:rsid w:val="00354AE9"/>
    <w:rsid w:val="00355C0D"/>
    <w:rsid w:val="003566A9"/>
    <w:rsid w:val="00356988"/>
    <w:rsid w:val="003569D3"/>
    <w:rsid w:val="00356CE9"/>
    <w:rsid w:val="003570BB"/>
    <w:rsid w:val="00357128"/>
    <w:rsid w:val="0035755E"/>
    <w:rsid w:val="00357A80"/>
    <w:rsid w:val="00361058"/>
    <w:rsid w:val="00361441"/>
    <w:rsid w:val="00361B8B"/>
    <w:rsid w:val="00363F39"/>
    <w:rsid w:val="003640FC"/>
    <w:rsid w:val="0036445C"/>
    <w:rsid w:val="00364627"/>
    <w:rsid w:val="00364AB0"/>
    <w:rsid w:val="00364D71"/>
    <w:rsid w:val="003667B0"/>
    <w:rsid w:val="003667DD"/>
    <w:rsid w:val="00366B48"/>
    <w:rsid w:val="0036742E"/>
    <w:rsid w:val="00367764"/>
    <w:rsid w:val="00370316"/>
    <w:rsid w:val="00370DC7"/>
    <w:rsid w:val="00371CBD"/>
    <w:rsid w:val="00371F20"/>
    <w:rsid w:val="003721E3"/>
    <w:rsid w:val="00372B98"/>
    <w:rsid w:val="003737B7"/>
    <w:rsid w:val="003740CC"/>
    <w:rsid w:val="003745F4"/>
    <w:rsid w:val="0037491A"/>
    <w:rsid w:val="00374E79"/>
    <w:rsid w:val="0037529A"/>
    <w:rsid w:val="00375388"/>
    <w:rsid w:val="00375559"/>
    <w:rsid w:val="00375FB9"/>
    <w:rsid w:val="00376170"/>
    <w:rsid w:val="00376851"/>
    <w:rsid w:val="00376FA2"/>
    <w:rsid w:val="00377133"/>
    <w:rsid w:val="00377A3B"/>
    <w:rsid w:val="00377E3C"/>
    <w:rsid w:val="00380874"/>
    <w:rsid w:val="00380BBE"/>
    <w:rsid w:val="00381D70"/>
    <w:rsid w:val="0038235E"/>
    <w:rsid w:val="003825D9"/>
    <w:rsid w:val="003829D0"/>
    <w:rsid w:val="0038326A"/>
    <w:rsid w:val="00383B3C"/>
    <w:rsid w:val="0038444F"/>
    <w:rsid w:val="003861F0"/>
    <w:rsid w:val="00387051"/>
    <w:rsid w:val="00387ECF"/>
    <w:rsid w:val="0039021B"/>
    <w:rsid w:val="00390429"/>
    <w:rsid w:val="003906A0"/>
    <w:rsid w:val="00391DFA"/>
    <w:rsid w:val="003923D5"/>
    <w:rsid w:val="003931AF"/>
    <w:rsid w:val="0039366C"/>
    <w:rsid w:val="00393EC8"/>
    <w:rsid w:val="00395CAF"/>
    <w:rsid w:val="00395E42"/>
    <w:rsid w:val="00396409"/>
    <w:rsid w:val="00396A2D"/>
    <w:rsid w:val="00396FC3"/>
    <w:rsid w:val="0039756E"/>
    <w:rsid w:val="003A1431"/>
    <w:rsid w:val="003A1A94"/>
    <w:rsid w:val="003A204E"/>
    <w:rsid w:val="003A2D25"/>
    <w:rsid w:val="003A5101"/>
    <w:rsid w:val="003A5728"/>
    <w:rsid w:val="003A60E7"/>
    <w:rsid w:val="003A7092"/>
    <w:rsid w:val="003A72A1"/>
    <w:rsid w:val="003A7611"/>
    <w:rsid w:val="003A7D1F"/>
    <w:rsid w:val="003A7FDA"/>
    <w:rsid w:val="003B0B6A"/>
    <w:rsid w:val="003B15F8"/>
    <w:rsid w:val="003B22F7"/>
    <w:rsid w:val="003B29CF"/>
    <w:rsid w:val="003B2DC2"/>
    <w:rsid w:val="003B3A90"/>
    <w:rsid w:val="003B3D01"/>
    <w:rsid w:val="003B534F"/>
    <w:rsid w:val="003B7A79"/>
    <w:rsid w:val="003C0FE1"/>
    <w:rsid w:val="003C151A"/>
    <w:rsid w:val="003C231B"/>
    <w:rsid w:val="003C350C"/>
    <w:rsid w:val="003C3733"/>
    <w:rsid w:val="003C3903"/>
    <w:rsid w:val="003C3BA0"/>
    <w:rsid w:val="003C4580"/>
    <w:rsid w:val="003C5C5E"/>
    <w:rsid w:val="003C6746"/>
    <w:rsid w:val="003C7555"/>
    <w:rsid w:val="003C7898"/>
    <w:rsid w:val="003D0FF5"/>
    <w:rsid w:val="003D11A3"/>
    <w:rsid w:val="003D1537"/>
    <w:rsid w:val="003D183C"/>
    <w:rsid w:val="003D2D1B"/>
    <w:rsid w:val="003D48C7"/>
    <w:rsid w:val="003D4C27"/>
    <w:rsid w:val="003D7109"/>
    <w:rsid w:val="003D7CE8"/>
    <w:rsid w:val="003E0514"/>
    <w:rsid w:val="003E1032"/>
    <w:rsid w:val="003E1904"/>
    <w:rsid w:val="003E285E"/>
    <w:rsid w:val="003E3124"/>
    <w:rsid w:val="003E3300"/>
    <w:rsid w:val="003E34D2"/>
    <w:rsid w:val="003E43D3"/>
    <w:rsid w:val="003E48E1"/>
    <w:rsid w:val="003E50F4"/>
    <w:rsid w:val="003E59BB"/>
    <w:rsid w:val="003E6225"/>
    <w:rsid w:val="003E65AC"/>
    <w:rsid w:val="003E66AE"/>
    <w:rsid w:val="003E72B9"/>
    <w:rsid w:val="003E7612"/>
    <w:rsid w:val="003E7ED4"/>
    <w:rsid w:val="003F0CAA"/>
    <w:rsid w:val="003F0E52"/>
    <w:rsid w:val="003F0F6B"/>
    <w:rsid w:val="003F1FC6"/>
    <w:rsid w:val="003F1FE3"/>
    <w:rsid w:val="003F2359"/>
    <w:rsid w:val="003F3232"/>
    <w:rsid w:val="003F3865"/>
    <w:rsid w:val="003F38AC"/>
    <w:rsid w:val="003F3D55"/>
    <w:rsid w:val="003F44E2"/>
    <w:rsid w:val="003F4632"/>
    <w:rsid w:val="003F47BA"/>
    <w:rsid w:val="003F4FE6"/>
    <w:rsid w:val="003F5638"/>
    <w:rsid w:val="003F622C"/>
    <w:rsid w:val="003F64DA"/>
    <w:rsid w:val="003F6617"/>
    <w:rsid w:val="00402332"/>
    <w:rsid w:val="004025C2"/>
    <w:rsid w:val="00403195"/>
    <w:rsid w:val="004033A9"/>
    <w:rsid w:val="004039E0"/>
    <w:rsid w:val="00403E55"/>
    <w:rsid w:val="0040407C"/>
    <w:rsid w:val="0040416C"/>
    <w:rsid w:val="004041CA"/>
    <w:rsid w:val="00404681"/>
    <w:rsid w:val="00405445"/>
    <w:rsid w:val="00405AC1"/>
    <w:rsid w:val="00406923"/>
    <w:rsid w:val="0040763D"/>
    <w:rsid w:val="00410D17"/>
    <w:rsid w:val="00412AA9"/>
    <w:rsid w:val="00413442"/>
    <w:rsid w:val="00413821"/>
    <w:rsid w:val="00413BA5"/>
    <w:rsid w:val="004141A3"/>
    <w:rsid w:val="00414909"/>
    <w:rsid w:val="004156F7"/>
    <w:rsid w:val="0041582F"/>
    <w:rsid w:val="00416112"/>
    <w:rsid w:val="00417A18"/>
    <w:rsid w:val="00417AE0"/>
    <w:rsid w:val="00417BAA"/>
    <w:rsid w:val="0042042B"/>
    <w:rsid w:val="00420B45"/>
    <w:rsid w:val="00420D7A"/>
    <w:rsid w:val="00421257"/>
    <w:rsid w:val="004216A4"/>
    <w:rsid w:val="00422193"/>
    <w:rsid w:val="004223DE"/>
    <w:rsid w:val="00422A10"/>
    <w:rsid w:val="00424D17"/>
    <w:rsid w:val="00425DFD"/>
    <w:rsid w:val="004263A3"/>
    <w:rsid w:val="00427713"/>
    <w:rsid w:val="00427CCC"/>
    <w:rsid w:val="0043013A"/>
    <w:rsid w:val="00430421"/>
    <w:rsid w:val="00430A36"/>
    <w:rsid w:val="00430B4F"/>
    <w:rsid w:val="00430D7C"/>
    <w:rsid w:val="00431084"/>
    <w:rsid w:val="004310D7"/>
    <w:rsid w:val="004322D6"/>
    <w:rsid w:val="00432589"/>
    <w:rsid w:val="0043267E"/>
    <w:rsid w:val="00432A94"/>
    <w:rsid w:val="00432C95"/>
    <w:rsid w:val="00433827"/>
    <w:rsid w:val="00433A40"/>
    <w:rsid w:val="00434B70"/>
    <w:rsid w:val="004360C8"/>
    <w:rsid w:val="00436823"/>
    <w:rsid w:val="004371D5"/>
    <w:rsid w:val="0044006B"/>
    <w:rsid w:val="0044033F"/>
    <w:rsid w:val="00440630"/>
    <w:rsid w:val="00441F0F"/>
    <w:rsid w:val="00442965"/>
    <w:rsid w:val="004432B6"/>
    <w:rsid w:val="004434BD"/>
    <w:rsid w:val="00444157"/>
    <w:rsid w:val="0044417C"/>
    <w:rsid w:val="00444DB3"/>
    <w:rsid w:val="00445617"/>
    <w:rsid w:val="00445A2F"/>
    <w:rsid w:val="0044684E"/>
    <w:rsid w:val="00446F22"/>
    <w:rsid w:val="0045019F"/>
    <w:rsid w:val="004503A4"/>
    <w:rsid w:val="00450555"/>
    <w:rsid w:val="004506FA"/>
    <w:rsid w:val="00450DC6"/>
    <w:rsid w:val="004516A5"/>
    <w:rsid w:val="00451E9C"/>
    <w:rsid w:val="0045280F"/>
    <w:rsid w:val="004535AE"/>
    <w:rsid w:val="0045444D"/>
    <w:rsid w:val="0045463A"/>
    <w:rsid w:val="00454AC9"/>
    <w:rsid w:val="00455050"/>
    <w:rsid w:val="004554A3"/>
    <w:rsid w:val="00455A6E"/>
    <w:rsid w:val="00455EAD"/>
    <w:rsid w:val="004578EB"/>
    <w:rsid w:val="004604D5"/>
    <w:rsid w:val="00460697"/>
    <w:rsid w:val="0046117B"/>
    <w:rsid w:val="00461FC2"/>
    <w:rsid w:val="00464AB7"/>
    <w:rsid w:val="00465DE5"/>
    <w:rsid w:val="00467EF8"/>
    <w:rsid w:val="00471AC3"/>
    <w:rsid w:val="00472429"/>
    <w:rsid w:val="004725E5"/>
    <w:rsid w:val="00472751"/>
    <w:rsid w:val="00473128"/>
    <w:rsid w:val="00473298"/>
    <w:rsid w:val="00475078"/>
    <w:rsid w:val="00475767"/>
    <w:rsid w:val="0047710E"/>
    <w:rsid w:val="004779A0"/>
    <w:rsid w:val="004808E3"/>
    <w:rsid w:val="00481016"/>
    <w:rsid w:val="0048204C"/>
    <w:rsid w:val="004821BB"/>
    <w:rsid w:val="0048237A"/>
    <w:rsid w:val="004826FE"/>
    <w:rsid w:val="004827D5"/>
    <w:rsid w:val="00482AF2"/>
    <w:rsid w:val="004830C9"/>
    <w:rsid w:val="00483347"/>
    <w:rsid w:val="00483E2E"/>
    <w:rsid w:val="00484B69"/>
    <w:rsid w:val="00485406"/>
    <w:rsid w:val="0048590F"/>
    <w:rsid w:val="00486D60"/>
    <w:rsid w:val="00487763"/>
    <w:rsid w:val="00491FA1"/>
    <w:rsid w:val="00492A25"/>
    <w:rsid w:val="004938A3"/>
    <w:rsid w:val="0049558B"/>
    <w:rsid w:val="00496350"/>
    <w:rsid w:val="0049777F"/>
    <w:rsid w:val="0049797C"/>
    <w:rsid w:val="004A1405"/>
    <w:rsid w:val="004A15BD"/>
    <w:rsid w:val="004A1E28"/>
    <w:rsid w:val="004A1FC6"/>
    <w:rsid w:val="004A2E5F"/>
    <w:rsid w:val="004A38C2"/>
    <w:rsid w:val="004A3C03"/>
    <w:rsid w:val="004A3DB7"/>
    <w:rsid w:val="004A463B"/>
    <w:rsid w:val="004A5088"/>
    <w:rsid w:val="004A5255"/>
    <w:rsid w:val="004A6B28"/>
    <w:rsid w:val="004A6CB0"/>
    <w:rsid w:val="004A70FF"/>
    <w:rsid w:val="004A7EDE"/>
    <w:rsid w:val="004B0D93"/>
    <w:rsid w:val="004B1FA4"/>
    <w:rsid w:val="004B29AC"/>
    <w:rsid w:val="004B35DF"/>
    <w:rsid w:val="004B3627"/>
    <w:rsid w:val="004B4922"/>
    <w:rsid w:val="004B57DF"/>
    <w:rsid w:val="004B5976"/>
    <w:rsid w:val="004B71F5"/>
    <w:rsid w:val="004B722E"/>
    <w:rsid w:val="004B72E8"/>
    <w:rsid w:val="004C01A5"/>
    <w:rsid w:val="004C0412"/>
    <w:rsid w:val="004C06AC"/>
    <w:rsid w:val="004C2138"/>
    <w:rsid w:val="004C3940"/>
    <w:rsid w:val="004C51FD"/>
    <w:rsid w:val="004C65A8"/>
    <w:rsid w:val="004C6689"/>
    <w:rsid w:val="004D139A"/>
    <w:rsid w:val="004D14DC"/>
    <w:rsid w:val="004D17C6"/>
    <w:rsid w:val="004D2401"/>
    <w:rsid w:val="004D2858"/>
    <w:rsid w:val="004D2E49"/>
    <w:rsid w:val="004D35BA"/>
    <w:rsid w:val="004D38E5"/>
    <w:rsid w:val="004D3C5A"/>
    <w:rsid w:val="004D449A"/>
    <w:rsid w:val="004D4701"/>
    <w:rsid w:val="004D47C7"/>
    <w:rsid w:val="004D4B2B"/>
    <w:rsid w:val="004D4F35"/>
    <w:rsid w:val="004D51EE"/>
    <w:rsid w:val="004D5D45"/>
    <w:rsid w:val="004D618D"/>
    <w:rsid w:val="004D62A9"/>
    <w:rsid w:val="004D6E5F"/>
    <w:rsid w:val="004D6FC3"/>
    <w:rsid w:val="004D7476"/>
    <w:rsid w:val="004D7716"/>
    <w:rsid w:val="004E0306"/>
    <w:rsid w:val="004E0572"/>
    <w:rsid w:val="004E110B"/>
    <w:rsid w:val="004E1641"/>
    <w:rsid w:val="004E1818"/>
    <w:rsid w:val="004E1990"/>
    <w:rsid w:val="004E25A8"/>
    <w:rsid w:val="004E3930"/>
    <w:rsid w:val="004E3ED9"/>
    <w:rsid w:val="004E5866"/>
    <w:rsid w:val="004E6097"/>
    <w:rsid w:val="004E61EF"/>
    <w:rsid w:val="004E63C6"/>
    <w:rsid w:val="004E76A7"/>
    <w:rsid w:val="004E7B03"/>
    <w:rsid w:val="004F0064"/>
    <w:rsid w:val="004F06AC"/>
    <w:rsid w:val="004F0E50"/>
    <w:rsid w:val="004F1D2A"/>
    <w:rsid w:val="004F243F"/>
    <w:rsid w:val="004F252C"/>
    <w:rsid w:val="004F2DC4"/>
    <w:rsid w:val="004F36A3"/>
    <w:rsid w:val="004F3E0C"/>
    <w:rsid w:val="004F4308"/>
    <w:rsid w:val="004F65A0"/>
    <w:rsid w:val="004F7160"/>
    <w:rsid w:val="004F7EEC"/>
    <w:rsid w:val="00500258"/>
    <w:rsid w:val="005005EE"/>
    <w:rsid w:val="00500B2D"/>
    <w:rsid w:val="00501A99"/>
    <w:rsid w:val="00503180"/>
    <w:rsid w:val="005038A4"/>
    <w:rsid w:val="00504CD4"/>
    <w:rsid w:val="0050524B"/>
    <w:rsid w:val="00505450"/>
    <w:rsid w:val="00505FC6"/>
    <w:rsid w:val="005100B7"/>
    <w:rsid w:val="005105DE"/>
    <w:rsid w:val="005113C9"/>
    <w:rsid w:val="00512050"/>
    <w:rsid w:val="00512055"/>
    <w:rsid w:val="0051280C"/>
    <w:rsid w:val="00512842"/>
    <w:rsid w:val="005128BE"/>
    <w:rsid w:val="0051356F"/>
    <w:rsid w:val="00513E7C"/>
    <w:rsid w:val="005140BB"/>
    <w:rsid w:val="00514FBE"/>
    <w:rsid w:val="00514FD9"/>
    <w:rsid w:val="0051550A"/>
    <w:rsid w:val="00515C5E"/>
    <w:rsid w:val="0051608F"/>
    <w:rsid w:val="00516480"/>
    <w:rsid w:val="00520EF8"/>
    <w:rsid w:val="005210F7"/>
    <w:rsid w:val="00521753"/>
    <w:rsid w:val="0052239D"/>
    <w:rsid w:val="005224EE"/>
    <w:rsid w:val="00522879"/>
    <w:rsid w:val="00523BB1"/>
    <w:rsid w:val="00524B23"/>
    <w:rsid w:val="0052570E"/>
    <w:rsid w:val="005260CD"/>
    <w:rsid w:val="00526265"/>
    <w:rsid w:val="0052655D"/>
    <w:rsid w:val="005265E0"/>
    <w:rsid w:val="00526BC3"/>
    <w:rsid w:val="00530064"/>
    <w:rsid w:val="0053078D"/>
    <w:rsid w:val="00531761"/>
    <w:rsid w:val="0053248F"/>
    <w:rsid w:val="005327AB"/>
    <w:rsid w:val="0053332A"/>
    <w:rsid w:val="0053358A"/>
    <w:rsid w:val="00534668"/>
    <w:rsid w:val="00534DDD"/>
    <w:rsid w:val="00535291"/>
    <w:rsid w:val="00535A94"/>
    <w:rsid w:val="00537874"/>
    <w:rsid w:val="0053795F"/>
    <w:rsid w:val="00537D3D"/>
    <w:rsid w:val="00540511"/>
    <w:rsid w:val="00540578"/>
    <w:rsid w:val="00540808"/>
    <w:rsid w:val="0054080E"/>
    <w:rsid w:val="00540D1A"/>
    <w:rsid w:val="00540DE5"/>
    <w:rsid w:val="00540EA1"/>
    <w:rsid w:val="00541E5A"/>
    <w:rsid w:val="0054358E"/>
    <w:rsid w:val="00543AF4"/>
    <w:rsid w:val="00543F53"/>
    <w:rsid w:val="00544191"/>
    <w:rsid w:val="0054440C"/>
    <w:rsid w:val="005448EC"/>
    <w:rsid w:val="00544C0A"/>
    <w:rsid w:val="00544F39"/>
    <w:rsid w:val="005457FB"/>
    <w:rsid w:val="00546B96"/>
    <w:rsid w:val="00546F90"/>
    <w:rsid w:val="00547EFB"/>
    <w:rsid w:val="00550192"/>
    <w:rsid w:val="005522F2"/>
    <w:rsid w:val="005531DF"/>
    <w:rsid w:val="00553874"/>
    <w:rsid w:val="00553DCE"/>
    <w:rsid w:val="00554577"/>
    <w:rsid w:val="00554AD8"/>
    <w:rsid w:val="00554F78"/>
    <w:rsid w:val="00555DA1"/>
    <w:rsid w:val="00556BF7"/>
    <w:rsid w:val="00556D31"/>
    <w:rsid w:val="00556E53"/>
    <w:rsid w:val="00557157"/>
    <w:rsid w:val="00557F60"/>
    <w:rsid w:val="00561730"/>
    <w:rsid w:val="00561B97"/>
    <w:rsid w:val="00562149"/>
    <w:rsid w:val="0056252F"/>
    <w:rsid w:val="00563171"/>
    <w:rsid w:val="005640EB"/>
    <w:rsid w:val="00565D93"/>
    <w:rsid w:val="005666A4"/>
    <w:rsid w:val="00567B5D"/>
    <w:rsid w:val="00570757"/>
    <w:rsid w:val="00573733"/>
    <w:rsid w:val="00573F8B"/>
    <w:rsid w:val="00574554"/>
    <w:rsid w:val="00574E06"/>
    <w:rsid w:val="005751BB"/>
    <w:rsid w:val="00575A8D"/>
    <w:rsid w:val="00576089"/>
    <w:rsid w:val="005764B1"/>
    <w:rsid w:val="00576852"/>
    <w:rsid w:val="00576D06"/>
    <w:rsid w:val="005779E4"/>
    <w:rsid w:val="00580EC7"/>
    <w:rsid w:val="0058289C"/>
    <w:rsid w:val="005836C7"/>
    <w:rsid w:val="0058408E"/>
    <w:rsid w:val="005844C3"/>
    <w:rsid w:val="00585374"/>
    <w:rsid w:val="005854CA"/>
    <w:rsid w:val="00585FAB"/>
    <w:rsid w:val="00590B77"/>
    <w:rsid w:val="00590D9A"/>
    <w:rsid w:val="005913A3"/>
    <w:rsid w:val="00591A5A"/>
    <w:rsid w:val="005940D4"/>
    <w:rsid w:val="00594A7B"/>
    <w:rsid w:val="0059580E"/>
    <w:rsid w:val="00595D90"/>
    <w:rsid w:val="00596A6F"/>
    <w:rsid w:val="00596FCE"/>
    <w:rsid w:val="005A11BC"/>
    <w:rsid w:val="005A1525"/>
    <w:rsid w:val="005A158D"/>
    <w:rsid w:val="005A1E17"/>
    <w:rsid w:val="005A252B"/>
    <w:rsid w:val="005A2A8F"/>
    <w:rsid w:val="005A3008"/>
    <w:rsid w:val="005A3204"/>
    <w:rsid w:val="005A3341"/>
    <w:rsid w:val="005A3C3D"/>
    <w:rsid w:val="005A46EC"/>
    <w:rsid w:val="005A5EAE"/>
    <w:rsid w:val="005A6407"/>
    <w:rsid w:val="005A726C"/>
    <w:rsid w:val="005B07EC"/>
    <w:rsid w:val="005B1BE0"/>
    <w:rsid w:val="005B2B11"/>
    <w:rsid w:val="005B2D3C"/>
    <w:rsid w:val="005B32A4"/>
    <w:rsid w:val="005B3371"/>
    <w:rsid w:val="005B338D"/>
    <w:rsid w:val="005B33A1"/>
    <w:rsid w:val="005B3852"/>
    <w:rsid w:val="005B3BAF"/>
    <w:rsid w:val="005B3C8A"/>
    <w:rsid w:val="005B4DA3"/>
    <w:rsid w:val="005B5BEE"/>
    <w:rsid w:val="005B77D2"/>
    <w:rsid w:val="005C0195"/>
    <w:rsid w:val="005C019B"/>
    <w:rsid w:val="005C08D0"/>
    <w:rsid w:val="005C1AED"/>
    <w:rsid w:val="005C2136"/>
    <w:rsid w:val="005C30F5"/>
    <w:rsid w:val="005C3840"/>
    <w:rsid w:val="005C42A1"/>
    <w:rsid w:val="005C51A5"/>
    <w:rsid w:val="005C557A"/>
    <w:rsid w:val="005C566F"/>
    <w:rsid w:val="005C5C47"/>
    <w:rsid w:val="005C61DD"/>
    <w:rsid w:val="005C6438"/>
    <w:rsid w:val="005C6B8B"/>
    <w:rsid w:val="005C727F"/>
    <w:rsid w:val="005C77AC"/>
    <w:rsid w:val="005D02E3"/>
    <w:rsid w:val="005D08D8"/>
    <w:rsid w:val="005D1F34"/>
    <w:rsid w:val="005D2C1F"/>
    <w:rsid w:val="005D34B2"/>
    <w:rsid w:val="005D3B54"/>
    <w:rsid w:val="005D40CD"/>
    <w:rsid w:val="005D59EB"/>
    <w:rsid w:val="005D6B59"/>
    <w:rsid w:val="005D784B"/>
    <w:rsid w:val="005E03E4"/>
    <w:rsid w:val="005E0454"/>
    <w:rsid w:val="005E05F6"/>
    <w:rsid w:val="005E1B9D"/>
    <w:rsid w:val="005E1BDA"/>
    <w:rsid w:val="005E2442"/>
    <w:rsid w:val="005E3111"/>
    <w:rsid w:val="005E3CA0"/>
    <w:rsid w:val="005E3F85"/>
    <w:rsid w:val="005E4A5F"/>
    <w:rsid w:val="005E516A"/>
    <w:rsid w:val="005E57B0"/>
    <w:rsid w:val="005E5B01"/>
    <w:rsid w:val="005E6D3B"/>
    <w:rsid w:val="005E76B9"/>
    <w:rsid w:val="005F009E"/>
    <w:rsid w:val="005F0DF1"/>
    <w:rsid w:val="005F1516"/>
    <w:rsid w:val="005F1A6F"/>
    <w:rsid w:val="005F229E"/>
    <w:rsid w:val="005F2564"/>
    <w:rsid w:val="005F3822"/>
    <w:rsid w:val="005F4635"/>
    <w:rsid w:val="005F4900"/>
    <w:rsid w:val="005F4E52"/>
    <w:rsid w:val="005F6D58"/>
    <w:rsid w:val="005F7383"/>
    <w:rsid w:val="0060058E"/>
    <w:rsid w:val="00602A3C"/>
    <w:rsid w:val="00603EFD"/>
    <w:rsid w:val="0060475B"/>
    <w:rsid w:val="00604BED"/>
    <w:rsid w:val="00604FB6"/>
    <w:rsid w:val="00605387"/>
    <w:rsid w:val="00606302"/>
    <w:rsid w:val="006076FD"/>
    <w:rsid w:val="00610811"/>
    <w:rsid w:val="0061143F"/>
    <w:rsid w:val="006114D8"/>
    <w:rsid w:val="00613553"/>
    <w:rsid w:val="00613601"/>
    <w:rsid w:val="00613791"/>
    <w:rsid w:val="0061497F"/>
    <w:rsid w:val="006150D6"/>
    <w:rsid w:val="00615245"/>
    <w:rsid w:val="0061590D"/>
    <w:rsid w:val="00617EEE"/>
    <w:rsid w:val="00620A1F"/>
    <w:rsid w:val="0062169D"/>
    <w:rsid w:val="0062181E"/>
    <w:rsid w:val="0062211B"/>
    <w:rsid w:val="00622BB7"/>
    <w:rsid w:val="00622C1E"/>
    <w:rsid w:val="00623389"/>
    <w:rsid w:val="00623DAA"/>
    <w:rsid w:val="00623FAF"/>
    <w:rsid w:val="006265C4"/>
    <w:rsid w:val="0062678A"/>
    <w:rsid w:val="006270AF"/>
    <w:rsid w:val="00632CAC"/>
    <w:rsid w:val="00634367"/>
    <w:rsid w:val="00636CE3"/>
    <w:rsid w:val="00640082"/>
    <w:rsid w:val="00640291"/>
    <w:rsid w:val="00640EFE"/>
    <w:rsid w:val="00641D6D"/>
    <w:rsid w:val="00641FAC"/>
    <w:rsid w:val="00643664"/>
    <w:rsid w:val="00643CAA"/>
    <w:rsid w:val="00644F16"/>
    <w:rsid w:val="006455EB"/>
    <w:rsid w:val="006456C2"/>
    <w:rsid w:val="00645A65"/>
    <w:rsid w:val="00646959"/>
    <w:rsid w:val="006477F0"/>
    <w:rsid w:val="006478E4"/>
    <w:rsid w:val="0065171A"/>
    <w:rsid w:val="006519A3"/>
    <w:rsid w:val="00652680"/>
    <w:rsid w:val="00653CDE"/>
    <w:rsid w:val="00654585"/>
    <w:rsid w:val="0065566E"/>
    <w:rsid w:val="00655AB6"/>
    <w:rsid w:val="00655EFA"/>
    <w:rsid w:val="00656061"/>
    <w:rsid w:val="00656281"/>
    <w:rsid w:val="0065636A"/>
    <w:rsid w:val="00657003"/>
    <w:rsid w:val="00660238"/>
    <w:rsid w:val="006602EF"/>
    <w:rsid w:val="00661277"/>
    <w:rsid w:val="006619E0"/>
    <w:rsid w:val="00663FEA"/>
    <w:rsid w:val="00664803"/>
    <w:rsid w:val="006657C5"/>
    <w:rsid w:val="00665D75"/>
    <w:rsid w:val="006661A4"/>
    <w:rsid w:val="00666AC0"/>
    <w:rsid w:val="006670E0"/>
    <w:rsid w:val="006671B8"/>
    <w:rsid w:val="00667275"/>
    <w:rsid w:val="00667532"/>
    <w:rsid w:val="0066783E"/>
    <w:rsid w:val="00667E53"/>
    <w:rsid w:val="006711C4"/>
    <w:rsid w:val="006713AB"/>
    <w:rsid w:val="00672726"/>
    <w:rsid w:val="00672CA5"/>
    <w:rsid w:val="00673711"/>
    <w:rsid w:val="00673F82"/>
    <w:rsid w:val="00674F74"/>
    <w:rsid w:val="0067508F"/>
    <w:rsid w:val="00677576"/>
    <w:rsid w:val="0068051E"/>
    <w:rsid w:val="00680B9D"/>
    <w:rsid w:val="00681F13"/>
    <w:rsid w:val="0068231C"/>
    <w:rsid w:val="00682344"/>
    <w:rsid w:val="00682F28"/>
    <w:rsid w:val="00683515"/>
    <w:rsid w:val="00684842"/>
    <w:rsid w:val="006859AA"/>
    <w:rsid w:val="00685BD6"/>
    <w:rsid w:val="00687116"/>
    <w:rsid w:val="0068776F"/>
    <w:rsid w:val="006878A6"/>
    <w:rsid w:val="00687B3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16D5"/>
    <w:rsid w:val="006A1772"/>
    <w:rsid w:val="006A1780"/>
    <w:rsid w:val="006A21DD"/>
    <w:rsid w:val="006A26C6"/>
    <w:rsid w:val="006A294A"/>
    <w:rsid w:val="006A3302"/>
    <w:rsid w:val="006A3B28"/>
    <w:rsid w:val="006A4FEE"/>
    <w:rsid w:val="006A5549"/>
    <w:rsid w:val="006A703E"/>
    <w:rsid w:val="006A7BE3"/>
    <w:rsid w:val="006A7D32"/>
    <w:rsid w:val="006B01D1"/>
    <w:rsid w:val="006B0DF4"/>
    <w:rsid w:val="006B16EA"/>
    <w:rsid w:val="006B1780"/>
    <w:rsid w:val="006B21DC"/>
    <w:rsid w:val="006B224E"/>
    <w:rsid w:val="006B22D0"/>
    <w:rsid w:val="006B376E"/>
    <w:rsid w:val="006B4589"/>
    <w:rsid w:val="006B5157"/>
    <w:rsid w:val="006B610E"/>
    <w:rsid w:val="006B6805"/>
    <w:rsid w:val="006B6907"/>
    <w:rsid w:val="006B6C07"/>
    <w:rsid w:val="006B6DE0"/>
    <w:rsid w:val="006C16C3"/>
    <w:rsid w:val="006C2187"/>
    <w:rsid w:val="006C27D9"/>
    <w:rsid w:val="006C32F4"/>
    <w:rsid w:val="006C3C54"/>
    <w:rsid w:val="006C4B6B"/>
    <w:rsid w:val="006C4CE1"/>
    <w:rsid w:val="006C4F9F"/>
    <w:rsid w:val="006C71A2"/>
    <w:rsid w:val="006C73EC"/>
    <w:rsid w:val="006C77EC"/>
    <w:rsid w:val="006D0C1D"/>
    <w:rsid w:val="006D28F3"/>
    <w:rsid w:val="006D2E9D"/>
    <w:rsid w:val="006D4A4E"/>
    <w:rsid w:val="006D4C42"/>
    <w:rsid w:val="006D5389"/>
    <w:rsid w:val="006D53A2"/>
    <w:rsid w:val="006D5809"/>
    <w:rsid w:val="006D607E"/>
    <w:rsid w:val="006D6E12"/>
    <w:rsid w:val="006D70CB"/>
    <w:rsid w:val="006D715C"/>
    <w:rsid w:val="006D7363"/>
    <w:rsid w:val="006D774E"/>
    <w:rsid w:val="006E0754"/>
    <w:rsid w:val="006E2668"/>
    <w:rsid w:val="006E2D39"/>
    <w:rsid w:val="006E2FE9"/>
    <w:rsid w:val="006E32B0"/>
    <w:rsid w:val="006E348E"/>
    <w:rsid w:val="006E3496"/>
    <w:rsid w:val="006E372A"/>
    <w:rsid w:val="006E396A"/>
    <w:rsid w:val="006E3D63"/>
    <w:rsid w:val="006E58BF"/>
    <w:rsid w:val="006E5DD8"/>
    <w:rsid w:val="006E5EA1"/>
    <w:rsid w:val="006E6DEE"/>
    <w:rsid w:val="006E7D4B"/>
    <w:rsid w:val="006F018A"/>
    <w:rsid w:val="006F0760"/>
    <w:rsid w:val="006F11E2"/>
    <w:rsid w:val="006F2574"/>
    <w:rsid w:val="006F3231"/>
    <w:rsid w:val="006F3DE3"/>
    <w:rsid w:val="006F4787"/>
    <w:rsid w:val="006F50AC"/>
    <w:rsid w:val="006F61D8"/>
    <w:rsid w:val="006F62B7"/>
    <w:rsid w:val="006F70BC"/>
    <w:rsid w:val="006F726C"/>
    <w:rsid w:val="006F7E7C"/>
    <w:rsid w:val="0070174E"/>
    <w:rsid w:val="007018DB"/>
    <w:rsid w:val="00701DE6"/>
    <w:rsid w:val="007026D2"/>
    <w:rsid w:val="00702740"/>
    <w:rsid w:val="0070381B"/>
    <w:rsid w:val="0070660B"/>
    <w:rsid w:val="0070796C"/>
    <w:rsid w:val="007109BB"/>
    <w:rsid w:val="00710EBF"/>
    <w:rsid w:val="007110B8"/>
    <w:rsid w:val="0071209F"/>
    <w:rsid w:val="007125A2"/>
    <w:rsid w:val="00713DD9"/>
    <w:rsid w:val="00713F79"/>
    <w:rsid w:val="007148A8"/>
    <w:rsid w:val="00716AC8"/>
    <w:rsid w:val="00716E54"/>
    <w:rsid w:val="0072033C"/>
    <w:rsid w:val="00720B1B"/>
    <w:rsid w:val="00721062"/>
    <w:rsid w:val="00721E5D"/>
    <w:rsid w:val="007229D4"/>
    <w:rsid w:val="007230F8"/>
    <w:rsid w:val="007233F4"/>
    <w:rsid w:val="00724044"/>
    <w:rsid w:val="007248D3"/>
    <w:rsid w:val="00724DF8"/>
    <w:rsid w:val="00725137"/>
    <w:rsid w:val="00725378"/>
    <w:rsid w:val="00727A43"/>
    <w:rsid w:val="00727FF2"/>
    <w:rsid w:val="00730550"/>
    <w:rsid w:val="00730C2A"/>
    <w:rsid w:val="00731434"/>
    <w:rsid w:val="00731E59"/>
    <w:rsid w:val="007323E0"/>
    <w:rsid w:val="00732911"/>
    <w:rsid w:val="00733721"/>
    <w:rsid w:val="00733DE2"/>
    <w:rsid w:val="00734142"/>
    <w:rsid w:val="007352EA"/>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7295"/>
    <w:rsid w:val="00747829"/>
    <w:rsid w:val="0074789C"/>
    <w:rsid w:val="00747DE2"/>
    <w:rsid w:val="007502D0"/>
    <w:rsid w:val="007504BF"/>
    <w:rsid w:val="007506CD"/>
    <w:rsid w:val="0075267F"/>
    <w:rsid w:val="007526EC"/>
    <w:rsid w:val="007529F2"/>
    <w:rsid w:val="00753C48"/>
    <w:rsid w:val="00754250"/>
    <w:rsid w:val="00754CCE"/>
    <w:rsid w:val="00754FE4"/>
    <w:rsid w:val="00755216"/>
    <w:rsid w:val="00756236"/>
    <w:rsid w:val="00756271"/>
    <w:rsid w:val="00756348"/>
    <w:rsid w:val="00756521"/>
    <w:rsid w:val="00756AB7"/>
    <w:rsid w:val="007608F3"/>
    <w:rsid w:val="0076106D"/>
    <w:rsid w:val="007623FB"/>
    <w:rsid w:val="00762517"/>
    <w:rsid w:val="00763240"/>
    <w:rsid w:val="0076376A"/>
    <w:rsid w:val="007648AD"/>
    <w:rsid w:val="0076504E"/>
    <w:rsid w:val="007666E9"/>
    <w:rsid w:val="00767BFD"/>
    <w:rsid w:val="00767EA0"/>
    <w:rsid w:val="0077068F"/>
    <w:rsid w:val="00771EDF"/>
    <w:rsid w:val="00772A90"/>
    <w:rsid w:val="00772F8D"/>
    <w:rsid w:val="0077408D"/>
    <w:rsid w:val="00774270"/>
    <w:rsid w:val="007743F6"/>
    <w:rsid w:val="00775679"/>
    <w:rsid w:val="0077574F"/>
    <w:rsid w:val="00775823"/>
    <w:rsid w:val="00777153"/>
    <w:rsid w:val="007777CC"/>
    <w:rsid w:val="00777B32"/>
    <w:rsid w:val="0078051E"/>
    <w:rsid w:val="00781089"/>
    <w:rsid w:val="00781CB6"/>
    <w:rsid w:val="007838F3"/>
    <w:rsid w:val="007856FE"/>
    <w:rsid w:val="00785F46"/>
    <w:rsid w:val="007865F4"/>
    <w:rsid w:val="00786D5C"/>
    <w:rsid w:val="00786E96"/>
    <w:rsid w:val="007874C0"/>
    <w:rsid w:val="00787BB6"/>
    <w:rsid w:val="00787DFF"/>
    <w:rsid w:val="00787F93"/>
    <w:rsid w:val="00791105"/>
    <w:rsid w:val="00791E6D"/>
    <w:rsid w:val="00791EB5"/>
    <w:rsid w:val="0079343F"/>
    <w:rsid w:val="00793696"/>
    <w:rsid w:val="007955DA"/>
    <w:rsid w:val="00796F65"/>
    <w:rsid w:val="007A11C2"/>
    <w:rsid w:val="007A18BB"/>
    <w:rsid w:val="007A27DD"/>
    <w:rsid w:val="007A41BF"/>
    <w:rsid w:val="007A47EB"/>
    <w:rsid w:val="007A490A"/>
    <w:rsid w:val="007A7B95"/>
    <w:rsid w:val="007B0297"/>
    <w:rsid w:val="007B02FA"/>
    <w:rsid w:val="007B0F53"/>
    <w:rsid w:val="007B1A33"/>
    <w:rsid w:val="007B21AE"/>
    <w:rsid w:val="007B2570"/>
    <w:rsid w:val="007B3113"/>
    <w:rsid w:val="007B3304"/>
    <w:rsid w:val="007B3BF0"/>
    <w:rsid w:val="007B7490"/>
    <w:rsid w:val="007C0525"/>
    <w:rsid w:val="007C13F7"/>
    <w:rsid w:val="007C149F"/>
    <w:rsid w:val="007C1D77"/>
    <w:rsid w:val="007C218D"/>
    <w:rsid w:val="007C2D28"/>
    <w:rsid w:val="007C3722"/>
    <w:rsid w:val="007C3E22"/>
    <w:rsid w:val="007C58C1"/>
    <w:rsid w:val="007C6218"/>
    <w:rsid w:val="007C6484"/>
    <w:rsid w:val="007C67C6"/>
    <w:rsid w:val="007C78BE"/>
    <w:rsid w:val="007C7A5D"/>
    <w:rsid w:val="007C7E59"/>
    <w:rsid w:val="007D0476"/>
    <w:rsid w:val="007D0B91"/>
    <w:rsid w:val="007D0FE7"/>
    <w:rsid w:val="007D1452"/>
    <w:rsid w:val="007D1563"/>
    <w:rsid w:val="007D3DCB"/>
    <w:rsid w:val="007D460C"/>
    <w:rsid w:val="007D4996"/>
    <w:rsid w:val="007D4AD3"/>
    <w:rsid w:val="007D5D19"/>
    <w:rsid w:val="007D5FDC"/>
    <w:rsid w:val="007D6176"/>
    <w:rsid w:val="007D69CD"/>
    <w:rsid w:val="007D6D68"/>
    <w:rsid w:val="007E194F"/>
    <w:rsid w:val="007E32DA"/>
    <w:rsid w:val="007E4998"/>
    <w:rsid w:val="007E4A9C"/>
    <w:rsid w:val="007E596A"/>
    <w:rsid w:val="007E6914"/>
    <w:rsid w:val="007E6E26"/>
    <w:rsid w:val="007E7F78"/>
    <w:rsid w:val="007F0179"/>
    <w:rsid w:val="007F2C13"/>
    <w:rsid w:val="007F2CEC"/>
    <w:rsid w:val="007F2ED1"/>
    <w:rsid w:val="007F3435"/>
    <w:rsid w:val="007F505D"/>
    <w:rsid w:val="007F531B"/>
    <w:rsid w:val="007F55DE"/>
    <w:rsid w:val="007F762D"/>
    <w:rsid w:val="007F78F0"/>
    <w:rsid w:val="007F78FF"/>
    <w:rsid w:val="008001C5"/>
    <w:rsid w:val="00800F6C"/>
    <w:rsid w:val="00801065"/>
    <w:rsid w:val="00802C0B"/>
    <w:rsid w:val="00805040"/>
    <w:rsid w:val="008051FC"/>
    <w:rsid w:val="008055A9"/>
    <w:rsid w:val="008056C4"/>
    <w:rsid w:val="008057FD"/>
    <w:rsid w:val="00805D8B"/>
    <w:rsid w:val="00806141"/>
    <w:rsid w:val="0081010F"/>
    <w:rsid w:val="00810BB6"/>
    <w:rsid w:val="00810E8E"/>
    <w:rsid w:val="00812C44"/>
    <w:rsid w:val="008135E1"/>
    <w:rsid w:val="00813779"/>
    <w:rsid w:val="00813BD6"/>
    <w:rsid w:val="00813E26"/>
    <w:rsid w:val="0081481D"/>
    <w:rsid w:val="00814BE8"/>
    <w:rsid w:val="00814F6E"/>
    <w:rsid w:val="00815B84"/>
    <w:rsid w:val="00816342"/>
    <w:rsid w:val="008166F6"/>
    <w:rsid w:val="00816BE9"/>
    <w:rsid w:val="00817D10"/>
    <w:rsid w:val="0082112A"/>
    <w:rsid w:val="00822518"/>
    <w:rsid w:val="008226F5"/>
    <w:rsid w:val="00823FC6"/>
    <w:rsid w:val="00824306"/>
    <w:rsid w:val="00825120"/>
    <w:rsid w:val="0082520D"/>
    <w:rsid w:val="00825C74"/>
    <w:rsid w:val="00825CFA"/>
    <w:rsid w:val="00826AB9"/>
    <w:rsid w:val="00826E0E"/>
    <w:rsid w:val="00827D11"/>
    <w:rsid w:val="00827E0F"/>
    <w:rsid w:val="00827F6E"/>
    <w:rsid w:val="008312A2"/>
    <w:rsid w:val="00831758"/>
    <w:rsid w:val="008317D9"/>
    <w:rsid w:val="00831AEC"/>
    <w:rsid w:val="0083279F"/>
    <w:rsid w:val="00832C9D"/>
    <w:rsid w:val="00832CE9"/>
    <w:rsid w:val="008334DB"/>
    <w:rsid w:val="00833B7F"/>
    <w:rsid w:val="00833E8E"/>
    <w:rsid w:val="00834906"/>
    <w:rsid w:val="00836075"/>
    <w:rsid w:val="00836417"/>
    <w:rsid w:val="00836D47"/>
    <w:rsid w:val="00837526"/>
    <w:rsid w:val="008407A7"/>
    <w:rsid w:val="0084322B"/>
    <w:rsid w:val="00843F81"/>
    <w:rsid w:val="00844087"/>
    <w:rsid w:val="008448F1"/>
    <w:rsid w:val="0084519E"/>
    <w:rsid w:val="00845CAE"/>
    <w:rsid w:val="008462C5"/>
    <w:rsid w:val="008462FA"/>
    <w:rsid w:val="00846370"/>
    <w:rsid w:val="00846873"/>
    <w:rsid w:val="00846A90"/>
    <w:rsid w:val="008477E7"/>
    <w:rsid w:val="00847C2B"/>
    <w:rsid w:val="00850272"/>
    <w:rsid w:val="008506B9"/>
    <w:rsid w:val="0085086F"/>
    <w:rsid w:val="00851822"/>
    <w:rsid w:val="00851C16"/>
    <w:rsid w:val="008532BF"/>
    <w:rsid w:val="008539B2"/>
    <w:rsid w:val="00853BF4"/>
    <w:rsid w:val="00854294"/>
    <w:rsid w:val="00854295"/>
    <w:rsid w:val="0085572E"/>
    <w:rsid w:val="0085788B"/>
    <w:rsid w:val="00857A9E"/>
    <w:rsid w:val="00857DE2"/>
    <w:rsid w:val="0086003D"/>
    <w:rsid w:val="00860B5B"/>
    <w:rsid w:val="00863A8E"/>
    <w:rsid w:val="0086407F"/>
    <w:rsid w:val="008645E3"/>
    <w:rsid w:val="0086486A"/>
    <w:rsid w:val="00864E79"/>
    <w:rsid w:val="0086572B"/>
    <w:rsid w:val="00866615"/>
    <w:rsid w:val="0086661F"/>
    <w:rsid w:val="00866A0D"/>
    <w:rsid w:val="00866DB5"/>
    <w:rsid w:val="0086701D"/>
    <w:rsid w:val="0086702B"/>
    <w:rsid w:val="008672E2"/>
    <w:rsid w:val="0086784E"/>
    <w:rsid w:val="00870EFD"/>
    <w:rsid w:val="0087121C"/>
    <w:rsid w:val="00871FD2"/>
    <w:rsid w:val="00872084"/>
    <w:rsid w:val="00872827"/>
    <w:rsid w:val="00872A32"/>
    <w:rsid w:val="00874911"/>
    <w:rsid w:val="008754E4"/>
    <w:rsid w:val="00876EAE"/>
    <w:rsid w:val="00880106"/>
    <w:rsid w:val="00880F95"/>
    <w:rsid w:val="00882B44"/>
    <w:rsid w:val="008838AD"/>
    <w:rsid w:val="00884C01"/>
    <w:rsid w:val="00885BC9"/>
    <w:rsid w:val="00885D0E"/>
    <w:rsid w:val="008864B3"/>
    <w:rsid w:val="008865E5"/>
    <w:rsid w:val="008871B0"/>
    <w:rsid w:val="00890B57"/>
    <w:rsid w:val="008916BA"/>
    <w:rsid w:val="0089217C"/>
    <w:rsid w:val="00892790"/>
    <w:rsid w:val="00893671"/>
    <w:rsid w:val="00893E51"/>
    <w:rsid w:val="00895838"/>
    <w:rsid w:val="00895A1E"/>
    <w:rsid w:val="00895A72"/>
    <w:rsid w:val="00895CDF"/>
    <w:rsid w:val="00896679"/>
    <w:rsid w:val="00896D8C"/>
    <w:rsid w:val="00896FC1"/>
    <w:rsid w:val="008A0FC9"/>
    <w:rsid w:val="008A1956"/>
    <w:rsid w:val="008A1A7C"/>
    <w:rsid w:val="008A2CE2"/>
    <w:rsid w:val="008A40D3"/>
    <w:rsid w:val="008A469C"/>
    <w:rsid w:val="008A50FB"/>
    <w:rsid w:val="008A51D1"/>
    <w:rsid w:val="008A5DCE"/>
    <w:rsid w:val="008A5E27"/>
    <w:rsid w:val="008A6DFD"/>
    <w:rsid w:val="008A75D3"/>
    <w:rsid w:val="008B05DD"/>
    <w:rsid w:val="008B07B8"/>
    <w:rsid w:val="008B17E8"/>
    <w:rsid w:val="008B2C45"/>
    <w:rsid w:val="008B2E7C"/>
    <w:rsid w:val="008B399A"/>
    <w:rsid w:val="008B45F0"/>
    <w:rsid w:val="008B4A70"/>
    <w:rsid w:val="008B502F"/>
    <w:rsid w:val="008B6DFC"/>
    <w:rsid w:val="008B7227"/>
    <w:rsid w:val="008C02FB"/>
    <w:rsid w:val="008C04E0"/>
    <w:rsid w:val="008C191C"/>
    <w:rsid w:val="008C1DA4"/>
    <w:rsid w:val="008C2138"/>
    <w:rsid w:val="008C29B0"/>
    <w:rsid w:val="008C2CD5"/>
    <w:rsid w:val="008C33AE"/>
    <w:rsid w:val="008C3618"/>
    <w:rsid w:val="008C39E7"/>
    <w:rsid w:val="008C43AD"/>
    <w:rsid w:val="008C6118"/>
    <w:rsid w:val="008C6341"/>
    <w:rsid w:val="008C653D"/>
    <w:rsid w:val="008C731F"/>
    <w:rsid w:val="008C74D9"/>
    <w:rsid w:val="008D2050"/>
    <w:rsid w:val="008D3767"/>
    <w:rsid w:val="008D3B2D"/>
    <w:rsid w:val="008D58D9"/>
    <w:rsid w:val="008D5AD4"/>
    <w:rsid w:val="008D695E"/>
    <w:rsid w:val="008D6DD5"/>
    <w:rsid w:val="008D6E59"/>
    <w:rsid w:val="008D7155"/>
    <w:rsid w:val="008D76E0"/>
    <w:rsid w:val="008E0B29"/>
    <w:rsid w:val="008E141A"/>
    <w:rsid w:val="008E1A44"/>
    <w:rsid w:val="008E28E6"/>
    <w:rsid w:val="008E3232"/>
    <w:rsid w:val="008E3674"/>
    <w:rsid w:val="008E3B6C"/>
    <w:rsid w:val="008E3DE7"/>
    <w:rsid w:val="008E5227"/>
    <w:rsid w:val="008E562C"/>
    <w:rsid w:val="008E6540"/>
    <w:rsid w:val="008E6FBE"/>
    <w:rsid w:val="008E77D4"/>
    <w:rsid w:val="008E7ADD"/>
    <w:rsid w:val="008F091F"/>
    <w:rsid w:val="008F0C1B"/>
    <w:rsid w:val="008F17B2"/>
    <w:rsid w:val="008F22B3"/>
    <w:rsid w:val="008F357B"/>
    <w:rsid w:val="008F44CA"/>
    <w:rsid w:val="008F4851"/>
    <w:rsid w:val="008F49D3"/>
    <w:rsid w:val="008F6519"/>
    <w:rsid w:val="008F7012"/>
    <w:rsid w:val="008F7ADA"/>
    <w:rsid w:val="008F7B17"/>
    <w:rsid w:val="00900042"/>
    <w:rsid w:val="0090034B"/>
    <w:rsid w:val="0090087C"/>
    <w:rsid w:val="00901121"/>
    <w:rsid w:val="00901D21"/>
    <w:rsid w:val="00902623"/>
    <w:rsid w:val="00902A67"/>
    <w:rsid w:val="00902C5E"/>
    <w:rsid w:val="00904BE4"/>
    <w:rsid w:val="0090504A"/>
    <w:rsid w:val="009051F5"/>
    <w:rsid w:val="00905221"/>
    <w:rsid w:val="0090551A"/>
    <w:rsid w:val="00905664"/>
    <w:rsid w:val="00905A7C"/>
    <w:rsid w:val="00905D7E"/>
    <w:rsid w:val="00907037"/>
    <w:rsid w:val="00907259"/>
    <w:rsid w:val="00910C5D"/>
    <w:rsid w:val="0091112C"/>
    <w:rsid w:val="0091160A"/>
    <w:rsid w:val="00912E04"/>
    <w:rsid w:val="00913258"/>
    <w:rsid w:val="00913851"/>
    <w:rsid w:val="00913BB0"/>
    <w:rsid w:val="0091456C"/>
    <w:rsid w:val="00914C58"/>
    <w:rsid w:val="00914D78"/>
    <w:rsid w:val="0091564D"/>
    <w:rsid w:val="009156DA"/>
    <w:rsid w:val="00915774"/>
    <w:rsid w:val="00916BC5"/>
    <w:rsid w:val="0091726A"/>
    <w:rsid w:val="0091761D"/>
    <w:rsid w:val="00917C01"/>
    <w:rsid w:val="00920184"/>
    <w:rsid w:val="00920EA4"/>
    <w:rsid w:val="00921792"/>
    <w:rsid w:val="00921BEA"/>
    <w:rsid w:val="009227BE"/>
    <w:rsid w:val="009238FD"/>
    <w:rsid w:val="00923998"/>
    <w:rsid w:val="00923DB4"/>
    <w:rsid w:val="0092420B"/>
    <w:rsid w:val="0092430E"/>
    <w:rsid w:val="00924E83"/>
    <w:rsid w:val="00926112"/>
    <w:rsid w:val="0092625F"/>
    <w:rsid w:val="00926B28"/>
    <w:rsid w:val="00926D9C"/>
    <w:rsid w:val="00927028"/>
    <w:rsid w:val="00927763"/>
    <w:rsid w:val="00927A2D"/>
    <w:rsid w:val="00927B37"/>
    <w:rsid w:val="009308C6"/>
    <w:rsid w:val="00931694"/>
    <w:rsid w:val="009321B1"/>
    <w:rsid w:val="009322B1"/>
    <w:rsid w:val="009327F0"/>
    <w:rsid w:val="00932ED7"/>
    <w:rsid w:val="0093422D"/>
    <w:rsid w:val="0093483B"/>
    <w:rsid w:val="00934CF9"/>
    <w:rsid w:val="00934DD7"/>
    <w:rsid w:val="00935CB2"/>
    <w:rsid w:val="009369A9"/>
    <w:rsid w:val="00936CF7"/>
    <w:rsid w:val="00937783"/>
    <w:rsid w:val="00937EAD"/>
    <w:rsid w:val="00937F28"/>
    <w:rsid w:val="00940FE1"/>
    <w:rsid w:val="00941474"/>
    <w:rsid w:val="00942306"/>
    <w:rsid w:val="009424B8"/>
    <w:rsid w:val="009432E2"/>
    <w:rsid w:val="00944668"/>
    <w:rsid w:val="00944DC6"/>
    <w:rsid w:val="009458B0"/>
    <w:rsid w:val="00945B52"/>
    <w:rsid w:val="00945B7A"/>
    <w:rsid w:val="00945F05"/>
    <w:rsid w:val="00946348"/>
    <w:rsid w:val="00947224"/>
    <w:rsid w:val="00947797"/>
    <w:rsid w:val="009478A2"/>
    <w:rsid w:val="009533BD"/>
    <w:rsid w:val="009536FB"/>
    <w:rsid w:val="00953808"/>
    <w:rsid w:val="009539A6"/>
    <w:rsid w:val="00954032"/>
    <w:rsid w:val="00954218"/>
    <w:rsid w:val="00954537"/>
    <w:rsid w:val="0095472D"/>
    <w:rsid w:val="00955342"/>
    <w:rsid w:val="00955FBB"/>
    <w:rsid w:val="0095694B"/>
    <w:rsid w:val="00956BD5"/>
    <w:rsid w:val="00956D84"/>
    <w:rsid w:val="009577B5"/>
    <w:rsid w:val="009608E6"/>
    <w:rsid w:val="00960F57"/>
    <w:rsid w:val="00961C90"/>
    <w:rsid w:val="00964220"/>
    <w:rsid w:val="00965443"/>
    <w:rsid w:val="00965954"/>
    <w:rsid w:val="00965A21"/>
    <w:rsid w:val="00965E55"/>
    <w:rsid w:val="0096608E"/>
    <w:rsid w:val="00966522"/>
    <w:rsid w:val="00966C33"/>
    <w:rsid w:val="00970F18"/>
    <w:rsid w:val="00971CF1"/>
    <w:rsid w:val="00971F5D"/>
    <w:rsid w:val="009721E9"/>
    <w:rsid w:val="00973772"/>
    <w:rsid w:val="00975503"/>
    <w:rsid w:val="0097560A"/>
    <w:rsid w:val="0097586E"/>
    <w:rsid w:val="00975E1E"/>
    <w:rsid w:val="00975E70"/>
    <w:rsid w:val="009761DE"/>
    <w:rsid w:val="009766FA"/>
    <w:rsid w:val="00977CD6"/>
    <w:rsid w:val="0098048B"/>
    <w:rsid w:val="00980908"/>
    <w:rsid w:val="00980DF9"/>
    <w:rsid w:val="00981509"/>
    <w:rsid w:val="00981CD8"/>
    <w:rsid w:val="0098243D"/>
    <w:rsid w:val="00982592"/>
    <w:rsid w:val="00982D26"/>
    <w:rsid w:val="00983B6E"/>
    <w:rsid w:val="00983FE5"/>
    <w:rsid w:val="009849E9"/>
    <w:rsid w:val="00984AFF"/>
    <w:rsid w:val="009859E4"/>
    <w:rsid w:val="00985D7F"/>
    <w:rsid w:val="00987812"/>
    <w:rsid w:val="00990225"/>
    <w:rsid w:val="00991307"/>
    <w:rsid w:val="00991FAA"/>
    <w:rsid w:val="00992A13"/>
    <w:rsid w:val="00994AAD"/>
    <w:rsid w:val="00995150"/>
    <w:rsid w:val="00995774"/>
    <w:rsid w:val="00995D67"/>
    <w:rsid w:val="00997613"/>
    <w:rsid w:val="009A013B"/>
    <w:rsid w:val="009A02F4"/>
    <w:rsid w:val="009A06BF"/>
    <w:rsid w:val="009A0D17"/>
    <w:rsid w:val="009A2269"/>
    <w:rsid w:val="009A2494"/>
    <w:rsid w:val="009A32B1"/>
    <w:rsid w:val="009A33A3"/>
    <w:rsid w:val="009A36F2"/>
    <w:rsid w:val="009A40C3"/>
    <w:rsid w:val="009A40D5"/>
    <w:rsid w:val="009A5268"/>
    <w:rsid w:val="009A57D0"/>
    <w:rsid w:val="009A6559"/>
    <w:rsid w:val="009A68FC"/>
    <w:rsid w:val="009A6CE4"/>
    <w:rsid w:val="009A7514"/>
    <w:rsid w:val="009A7E7A"/>
    <w:rsid w:val="009B0925"/>
    <w:rsid w:val="009B1584"/>
    <w:rsid w:val="009B18F0"/>
    <w:rsid w:val="009B1F4C"/>
    <w:rsid w:val="009B2471"/>
    <w:rsid w:val="009B314F"/>
    <w:rsid w:val="009B439C"/>
    <w:rsid w:val="009B49A1"/>
    <w:rsid w:val="009B4A6C"/>
    <w:rsid w:val="009B4DA8"/>
    <w:rsid w:val="009B519A"/>
    <w:rsid w:val="009B620C"/>
    <w:rsid w:val="009B6753"/>
    <w:rsid w:val="009B676C"/>
    <w:rsid w:val="009B6A26"/>
    <w:rsid w:val="009C079D"/>
    <w:rsid w:val="009C0D70"/>
    <w:rsid w:val="009C13D1"/>
    <w:rsid w:val="009C167C"/>
    <w:rsid w:val="009C2913"/>
    <w:rsid w:val="009C2BD4"/>
    <w:rsid w:val="009C5AFE"/>
    <w:rsid w:val="009C6606"/>
    <w:rsid w:val="009C6CE5"/>
    <w:rsid w:val="009C6D50"/>
    <w:rsid w:val="009C72B2"/>
    <w:rsid w:val="009C732A"/>
    <w:rsid w:val="009C7547"/>
    <w:rsid w:val="009D05EC"/>
    <w:rsid w:val="009D16E2"/>
    <w:rsid w:val="009D18D4"/>
    <w:rsid w:val="009D1FCF"/>
    <w:rsid w:val="009D2F60"/>
    <w:rsid w:val="009D3A2E"/>
    <w:rsid w:val="009D5ADE"/>
    <w:rsid w:val="009D5BAC"/>
    <w:rsid w:val="009D5C56"/>
    <w:rsid w:val="009D6265"/>
    <w:rsid w:val="009D64BD"/>
    <w:rsid w:val="009D6CB1"/>
    <w:rsid w:val="009E0286"/>
    <w:rsid w:val="009E096D"/>
    <w:rsid w:val="009E153F"/>
    <w:rsid w:val="009E18C5"/>
    <w:rsid w:val="009E322A"/>
    <w:rsid w:val="009E393E"/>
    <w:rsid w:val="009E444E"/>
    <w:rsid w:val="009E4968"/>
    <w:rsid w:val="009E663C"/>
    <w:rsid w:val="009E684A"/>
    <w:rsid w:val="009E6BB1"/>
    <w:rsid w:val="009E6E14"/>
    <w:rsid w:val="009E794A"/>
    <w:rsid w:val="009E7C14"/>
    <w:rsid w:val="009F0494"/>
    <w:rsid w:val="009F0CD9"/>
    <w:rsid w:val="009F1A79"/>
    <w:rsid w:val="009F1F57"/>
    <w:rsid w:val="009F2DDD"/>
    <w:rsid w:val="009F3447"/>
    <w:rsid w:val="009F65F4"/>
    <w:rsid w:val="009F676B"/>
    <w:rsid w:val="009F6D2D"/>
    <w:rsid w:val="009F6D54"/>
    <w:rsid w:val="00A004DF"/>
    <w:rsid w:val="00A00FD5"/>
    <w:rsid w:val="00A012C0"/>
    <w:rsid w:val="00A019A8"/>
    <w:rsid w:val="00A01B03"/>
    <w:rsid w:val="00A01B89"/>
    <w:rsid w:val="00A02C66"/>
    <w:rsid w:val="00A02C84"/>
    <w:rsid w:val="00A0464C"/>
    <w:rsid w:val="00A050BB"/>
    <w:rsid w:val="00A0521B"/>
    <w:rsid w:val="00A054E0"/>
    <w:rsid w:val="00A05D91"/>
    <w:rsid w:val="00A0740B"/>
    <w:rsid w:val="00A07ED3"/>
    <w:rsid w:val="00A10CA8"/>
    <w:rsid w:val="00A11042"/>
    <w:rsid w:val="00A12579"/>
    <w:rsid w:val="00A12CDC"/>
    <w:rsid w:val="00A133D8"/>
    <w:rsid w:val="00A15655"/>
    <w:rsid w:val="00A156EE"/>
    <w:rsid w:val="00A160B0"/>
    <w:rsid w:val="00A1740C"/>
    <w:rsid w:val="00A17904"/>
    <w:rsid w:val="00A20069"/>
    <w:rsid w:val="00A2244D"/>
    <w:rsid w:val="00A2253D"/>
    <w:rsid w:val="00A2267F"/>
    <w:rsid w:val="00A22CDB"/>
    <w:rsid w:val="00A247B8"/>
    <w:rsid w:val="00A2495A"/>
    <w:rsid w:val="00A24C7A"/>
    <w:rsid w:val="00A24D8F"/>
    <w:rsid w:val="00A25B8B"/>
    <w:rsid w:val="00A2689F"/>
    <w:rsid w:val="00A268BC"/>
    <w:rsid w:val="00A26ECA"/>
    <w:rsid w:val="00A27461"/>
    <w:rsid w:val="00A27D67"/>
    <w:rsid w:val="00A30ABC"/>
    <w:rsid w:val="00A31150"/>
    <w:rsid w:val="00A33A3C"/>
    <w:rsid w:val="00A33B74"/>
    <w:rsid w:val="00A3467F"/>
    <w:rsid w:val="00A34B4C"/>
    <w:rsid w:val="00A35030"/>
    <w:rsid w:val="00A3551A"/>
    <w:rsid w:val="00A366A0"/>
    <w:rsid w:val="00A37209"/>
    <w:rsid w:val="00A37584"/>
    <w:rsid w:val="00A376E8"/>
    <w:rsid w:val="00A37F8E"/>
    <w:rsid w:val="00A4037E"/>
    <w:rsid w:val="00A41537"/>
    <w:rsid w:val="00A41737"/>
    <w:rsid w:val="00A42B8F"/>
    <w:rsid w:val="00A42D8E"/>
    <w:rsid w:val="00A43254"/>
    <w:rsid w:val="00A43896"/>
    <w:rsid w:val="00A43951"/>
    <w:rsid w:val="00A43A26"/>
    <w:rsid w:val="00A447A0"/>
    <w:rsid w:val="00A459F5"/>
    <w:rsid w:val="00A45FC0"/>
    <w:rsid w:val="00A46B74"/>
    <w:rsid w:val="00A47889"/>
    <w:rsid w:val="00A47BF7"/>
    <w:rsid w:val="00A47ECC"/>
    <w:rsid w:val="00A50171"/>
    <w:rsid w:val="00A504FA"/>
    <w:rsid w:val="00A5102E"/>
    <w:rsid w:val="00A5132E"/>
    <w:rsid w:val="00A51375"/>
    <w:rsid w:val="00A51533"/>
    <w:rsid w:val="00A531D4"/>
    <w:rsid w:val="00A54572"/>
    <w:rsid w:val="00A575B8"/>
    <w:rsid w:val="00A619BB"/>
    <w:rsid w:val="00A61C60"/>
    <w:rsid w:val="00A61ECB"/>
    <w:rsid w:val="00A6410C"/>
    <w:rsid w:val="00A642E0"/>
    <w:rsid w:val="00A647B1"/>
    <w:rsid w:val="00A64DEF"/>
    <w:rsid w:val="00A654D2"/>
    <w:rsid w:val="00A665DF"/>
    <w:rsid w:val="00A67FCC"/>
    <w:rsid w:val="00A70AA5"/>
    <w:rsid w:val="00A70C03"/>
    <w:rsid w:val="00A71256"/>
    <w:rsid w:val="00A7217B"/>
    <w:rsid w:val="00A722D7"/>
    <w:rsid w:val="00A723A3"/>
    <w:rsid w:val="00A73861"/>
    <w:rsid w:val="00A739A6"/>
    <w:rsid w:val="00A740ED"/>
    <w:rsid w:val="00A74C29"/>
    <w:rsid w:val="00A74C62"/>
    <w:rsid w:val="00A75EF9"/>
    <w:rsid w:val="00A762FE"/>
    <w:rsid w:val="00A7657C"/>
    <w:rsid w:val="00A8311C"/>
    <w:rsid w:val="00A835D0"/>
    <w:rsid w:val="00A8475F"/>
    <w:rsid w:val="00A84C5F"/>
    <w:rsid w:val="00A858F1"/>
    <w:rsid w:val="00A85930"/>
    <w:rsid w:val="00A863F7"/>
    <w:rsid w:val="00A86604"/>
    <w:rsid w:val="00A87519"/>
    <w:rsid w:val="00A915EA"/>
    <w:rsid w:val="00A9246D"/>
    <w:rsid w:val="00A92CCA"/>
    <w:rsid w:val="00A93BD0"/>
    <w:rsid w:val="00A93CC2"/>
    <w:rsid w:val="00A94D4B"/>
    <w:rsid w:val="00A974CC"/>
    <w:rsid w:val="00AA2001"/>
    <w:rsid w:val="00AA2756"/>
    <w:rsid w:val="00AA2B5C"/>
    <w:rsid w:val="00AA32D2"/>
    <w:rsid w:val="00AA3B8B"/>
    <w:rsid w:val="00AA4016"/>
    <w:rsid w:val="00AA4C1F"/>
    <w:rsid w:val="00AA5328"/>
    <w:rsid w:val="00AA5393"/>
    <w:rsid w:val="00AA63D4"/>
    <w:rsid w:val="00AB03FD"/>
    <w:rsid w:val="00AB2000"/>
    <w:rsid w:val="00AB38CB"/>
    <w:rsid w:val="00AB3BEC"/>
    <w:rsid w:val="00AB44E4"/>
    <w:rsid w:val="00AB4AEB"/>
    <w:rsid w:val="00AB4E5F"/>
    <w:rsid w:val="00AB5352"/>
    <w:rsid w:val="00AB56AE"/>
    <w:rsid w:val="00AB62D5"/>
    <w:rsid w:val="00AB65B5"/>
    <w:rsid w:val="00AB6DCD"/>
    <w:rsid w:val="00AB6EE0"/>
    <w:rsid w:val="00AC17A2"/>
    <w:rsid w:val="00AC40B7"/>
    <w:rsid w:val="00AC531F"/>
    <w:rsid w:val="00AC5B36"/>
    <w:rsid w:val="00AC6377"/>
    <w:rsid w:val="00AC66A4"/>
    <w:rsid w:val="00AC6CB1"/>
    <w:rsid w:val="00AC75E9"/>
    <w:rsid w:val="00AC7D6D"/>
    <w:rsid w:val="00AD0091"/>
    <w:rsid w:val="00AD23EF"/>
    <w:rsid w:val="00AD2662"/>
    <w:rsid w:val="00AD307B"/>
    <w:rsid w:val="00AD4014"/>
    <w:rsid w:val="00AD41B3"/>
    <w:rsid w:val="00AD41E6"/>
    <w:rsid w:val="00AD5721"/>
    <w:rsid w:val="00AD69F0"/>
    <w:rsid w:val="00AD7127"/>
    <w:rsid w:val="00AD730C"/>
    <w:rsid w:val="00AE123A"/>
    <w:rsid w:val="00AE1539"/>
    <w:rsid w:val="00AE28A7"/>
    <w:rsid w:val="00AE2A98"/>
    <w:rsid w:val="00AE2CF2"/>
    <w:rsid w:val="00AE3012"/>
    <w:rsid w:val="00AE3297"/>
    <w:rsid w:val="00AE33A6"/>
    <w:rsid w:val="00AE3513"/>
    <w:rsid w:val="00AE3729"/>
    <w:rsid w:val="00AE3B02"/>
    <w:rsid w:val="00AE4A3E"/>
    <w:rsid w:val="00AE4CCE"/>
    <w:rsid w:val="00AE5C6A"/>
    <w:rsid w:val="00AE7280"/>
    <w:rsid w:val="00AF01FA"/>
    <w:rsid w:val="00AF033A"/>
    <w:rsid w:val="00AF1658"/>
    <w:rsid w:val="00AF1699"/>
    <w:rsid w:val="00AF1FD3"/>
    <w:rsid w:val="00AF2910"/>
    <w:rsid w:val="00AF34B8"/>
    <w:rsid w:val="00AF3896"/>
    <w:rsid w:val="00AF39C9"/>
    <w:rsid w:val="00AF3FC2"/>
    <w:rsid w:val="00AF4DEC"/>
    <w:rsid w:val="00AF580B"/>
    <w:rsid w:val="00B003FF"/>
    <w:rsid w:val="00B004CB"/>
    <w:rsid w:val="00B0098A"/>
    <w:rsid w:val="00B00A5F"/>
    <w:rsid w:val="00B029B8"/>
    <w:rsid w:val="00B02C7D"/>
    <w:rsid w:val="00B02F60"/>
    <w:rsid w:val="00B02F94"/>
    <w:rsid w:val="00B032B8"/>
    <w:rsid w:val="00B03E68"/>
    <w:rsid w:val="00B04721"/>
    <w:rsid w:val="00B04B15"/>
    <w:rsid w:val="00B04B46"/>
    <w:rsid w:val="00B0534D"/>
    <w:rsid w:val="00B05685"/>
    <w:rsid w:val="00B05F9F"/>
    <w:rsid w:val="00B06368"/>
    <w:rsid w:val="00B068DA"/>
    <w:rsid w:val="00B06A00"/>
    <w:rsid w:val="00B06FC6"/>
    <w:rsid w:val="00B074C9"/>
    <w:rsid w:val="00B07D9D"/>
    <w:rsid w:val="00B11AE5"/>
    <w:rsid w:val="00B12FE6"/>
    <w:rsid w:val="00B1303F"/>
    <w:rsid w:val="00B1364A"/>
    <w:rsid w:val="00B13859"/>
    <w:rsid w:val="00B13EC9"/>
    <w:rsid w:val="00B14319"/>
    <w:rsid w:val="00B14A06"/>
    <w:rsid w:val="00B158E1"/>
    <w:rsid w:val="00B16715"/>
    <w:rsid w:val="00B1768E"/>
    <w:rsid w:val="00B17910"/>
    <w:rsid w:val="00B20F18"/>
    <w:rsid w:val="00B21516"/>
    <w:rsid w:val="00B21A37"/>
    <w:rsid w:val="00B21D23"/>
    <w:rsid w:val="00B21F62"/>
    <w:rsid w:val="00B2243C"/>
    <w:rsid w:val="00B22CE0"/>
    <w:rsid w:val="00B23738"/>
    <w:rsid w:val="00B23BEF"/>
    <w:rsid w:val="00B247BB"/>
    <w:rsid w:val="00B2504A"/>
    <w:rsid w:val="00B25EE6"/>
    <w:rsid w:val="00B27EB1"/>
    <w:rsid w:val="00B3115A"/>
    <w:rsid w:val="00B3178B"/>
    <w:rsid w:val="00B31825"/>
    <w:rsid w:val="00B31A5C"/>
    <w:rsid w:val="00B32265"/>
    <w:rsid w:val="00B3276D"/>
    <w:rsid w:val="00B33B06"/>
    <w:rsid w:val="00B33C19"/>
    <w:rsid w:val="00B35A15"/>
    <w:rsid w:val="00B35B45"/>
    <w:rsid w:val="00B36165"/>
    <w:rsid w:val="00B36A99"/>
    <w:rsid w:val="00B42264"/>
    <w:rsid w:val="00B434B2"/>
    <w:rsid w:val="00B43D45"/>
    <w:rsid w:val="00B459AF"/>
    <w:rsid w:val="00B468F2"/>
    <w:rsid w:val="00B469DE"/>
    <w:rsid w:val="00B47286"/>
    <w:rsid w:val="00B47EB4"/>
    <w:rsid w:val="00B50234"/>
    <w:rsid w:val="00B51BF4"/>
    <w:rsid w:val="00B52C68"/>
    <w:rsid w:val="00B5372B"/>
    <w:rsid w:val="00B542FE"/>
    <w:rsid w:val="00B55A1B"/>
    <w:rsid w:val="00B55AB7"/>
    <w:rsid w:val="00B561DB"/>
    <w:rsid w:val="00B56DF9"/>
    <w:rsid w:val="00B56E80"/>
    <w:rsid w:val="00B571F1"/>
    <w:rsid w:val="00B600BD"/>
    <w:rsid w:val="00B60E4E"/>
    <w:rsid w:val="00B61274"/>
    <w:rsid w:val="00B61DCE"/>
    <w:rsid w:val="00B62188"/>
    <w:rsid w:val="00B62F79"/>
    <w:rsid w:val="00B62F82"/>
    <w:rsid w:val="00B6306A"/>
    <w:rsid w:val="00B635E3"/>
    <w:rsid w:val="00B64141"/>
    <w:rsid w:val="00B662FF"/>
    <w:rsid w:val="00B66333"/>
    <w:rsid w:val="00B66679"/>
    <w:rsid w:val="00B70145"/>
    <w:rsid w:val="00B71A92"/>
    <w:rsid w:val="00B72111"/>
    <w:rsid w:val="00B721D8"/>
    <w:rsid w:val="00B730CA"/>
    <w:rsid w:val="00B732EA"/>
    <w:rsid w:val="00B73747"/>
    <w:rsid w:val="00B747C5"/>
    <w:rsid w:val="00B74F2F"/>
    <w:rsid w:val="00B753ED"/>
    <w:rsid w:val="00B7665F"/>
    <w:rsid w:val="00B769BC"/>
    <w:rsid w:val="00B76DA9"/>
    <w:rsid w:val="00B770F7"/>
    <w:rsid w:val="00B77349"/>
    <w:rsid w:val="00B7761E"/>
    <w:rsid w:val="00B80A3D"/>
    <w:rsid w:val="00B80B04"/>
    <w:rsid w:val="00B818E1"/>
    <w:rsid w:val="00B821E4"/>
    <w:rsid w:val="00B823E0"/>
    <w:rsid w:val="00B8260D"/>
    <w:rsid w:val="00B827A5"/>
    <w:rsid w:val="00B82B78"/>
    <w:rsid w:val="00B845B4"/>
    <w:rsid w:val="00B84662"/>
    <w:rsid w:val="00B84C74"/>
    <w:rsid w:val="00B84CE9"/>
    <w:rsid w:val="00B85191"/>
    <w:rsid w:val="00B858A1"/>
    <w:rsid w:val="00B85FEC"/>
    <w:rsid w:val="00B864A3"/>
    <w:rsid w:val="00B86C2A"/>
    <w:rsid w:val="00B902A5"/>
    <w:rsid w:val="00B90420"/>
    <w:rsid w:val="00B90848"/>
    <w:rsid w:val="00B91146"/>
    <w:rsid w:val="00B913E4"/>
    <w:rsid w:val="00B91DB9"/>
    <w:rsid w:val="00B91FF3"/>
    <w:rsid w:val="00B924AD"/>
    <w:rsid w:val="00B925F8"/>
    <w:rsid w:val="00B93EFE"/>
    <w:rsid w:val="00B944B9"/>
    <w:rsid w:val="00B94956"/>
    <w:rsid w:val="00B94C7F"/>
    <w:rsid w:val="00B94E93"/>
    <w:rsid w:val="00B956B5"/>
    <w:rsid w:val="00B95956"/>
    <w:rsid w:val="00B96DF2"/>
    <w:rsid w:val="00B96E18"/>
    <w:rsid w:val="00B96F5A"/>
    <w:rsid w:val="00BA0B39"/>
    <w:rsid w:val="00BA0CB2"/>
    <w:rsid w:val="00BA0E26"/>
    <w:rsid w:val="00BA138B"/>
    <w:rsid w:val="00BA27CA"/>
    <w:rsid w:val="00BA305B"/>
    <w:rsid w:val="00BA31BF"/>
    <w:rsid w:val="00BA3C0F"/>
    <w:rsid w:val="00BA3FC7"/>
    <w:rsid w:val="00BA478B"/>
    <w:rsid w:val="00BA5224"/>
    <w:rsid w:val="00BA575E"/>
    <w:rsid w:val="00BA76B7"/>
    <w:rsid w:val="00BA7E3B"/>
    <w:rsid w:val="00BB01CE"/>
    <w:rsid w:val="00BB06BF"/>
    <w:rsid w:val="00BB078D"/>
    <w:rsid w:val="00BB079C"/>
    <w:rsid w:val="00BB0D7A"/>
    <w:rsid w:val="00BB10E1"/>
    <w:rsid w:val="00BB2471"/>
    <w:rsid w:val="00BB2EF5"/>
    <w:rsid w:val="00BB3035"/>
    <w:rsid w:val="00BB39C1"/>
    <w:rsid w:val="00BB3DF5"/>
    <w:rsid w:val="00BB3EA7"/>
    <w:rsid w:val="00BB5D16"/>
    <w:rsid w:val="00BB6180"/>
    <w:rsid w:val="00BB69E6"/>
    <w:rsid w:val="00BB7323"/>
    <w:rsid w:val="00BB7BE5"/>
    <w:rsid w:val="00BC08BD"/>
    <w:rsid w:val="00BC11E8"/>
    <w:rsid w:val="00BC1B7A"/>
    <w:rsid w:val="00BC2C17"/>
    <w:rsid w:val="00BC3ACD"/>
    <w:rsid w:val="00BC3B20"/>
    <w:rsid w:val="00BC3EE4"/>
    <w:rsid w:val="00BC588C"/>
    <w:rsid w:val="00BC6E73"/>
    <w:rsid w:val="00BC74D3"/>
    <w:rsid w:val="00BD0014"/>
    <w:rsid w:val="00BD01D8"/>
    <w:rsid w:val="00BD0CE3"/>
    <w:rsid w:val="00BD255F"/>
    <w:rsid w:val="00BD2895"/>
    <w:rsid w:val="00BD4236"/>
    <w:rsid w:val="00BD4797"/>
    <w:rsid w:val="00BD483B"/>
    <w:rsid w:val="00BD51F9"/>
    <w:rsid w:val="00BD5CD4"/>
    <w:rsid w:val="00BD65D9"/>
    <w:rsid w:val="00BD6783"/>
    <w:rsid w:val="00BD6DF3"/>
    <w:rsid w:val="00BD6E09"/>
    <w:rsid w:val="00BD6EF9"/>
    <w:rsid w:val="00BE0ACB"/>
    <w:rsid w:val="00BE2260"/>
    <w:rsid w:val="00BE3917"/>
    <w:rsid w:val="00BE50FD"/>
    <w:rsid w:val="00BE51CA"/>
    <w:rsid w:val="00BE537F"/>
    <w:rsid w:val="00BE5D77"/>
    <w:rsid w:val="00BE6D47"/>
    <w:rsid w:val="00BE7032"/>
    <w:rsid w:val="00BE7330"/>
    <w:rsid w:val="00BF01C5"/>
    <w:rsid w:val="00BF061A"/>
    <w:rsid w:val="00BF066A"/>
    <w:rsid w:val="00BF14CC"/>
    <w:rsid w:val="00BF1821"/>
    <w:rsid w:val="00BF22E9"/>
    <w:rsid w:val="00BF4342"/>
    <w:rsid w:val="00BF4704"/>
    <w:rsid w:val="00BF4FFC"/>
    <w:rsid w:val="00BF5050"/>
    <w:rsid w:val="00BF50D1"/>
    <w:rsid w:val="00BF5422"/>
    <w:rsid w:val="00BF59B1"/>
    <w:rsid w:val="00BF62DB"/>
    <w:rsid w:val="00BF6625"/>
    <w:rsid w:val="00BF6A78"/>
    <w:rsid w:val="00BF7651"/>
    <w:rsid w:val="00BF7695"/>
    <w:rsid w:val="00BF79B4"/>
    <w:rsid w:val="00BF7C61"/>
    <w:rsid w:val="00C01427"/>
    <w:rsid w:val="00C014C7"/>
    <w:rsid w:val="00C0285C"/>
    <w:rsid w:val="00C03093"/>
    <w:rsid w:val="00C031CF"/>
    <w:rsid w:val="00C047AB"/>
    <w:rsid w:val="00C058AF"/>
    <w:rsid w:val="00C075B6"/>
    <w:rsid w:val="00C07609"/>
    <w:rsid w:val="00C124C1"/>
    <w:rsid w:val="00C128AE"/>
    <w:rsid w:val="00C12BA8"/>
    <w:rsid w:val="00C13094"/>
    <w:rsid w:val="00C136D6"/>
    <w:rsid w:val="00C13D5B"/>
    <w:rsid w:val="00C141D7"/>
    <w:rsid w:val="00C161F9"/>
    <w:rsid w:val="00C1711B"/>
    <w:rsid w:val="00C17AE2"/>
    <w:rsid w:val="00C20140"/>
    <w:rsid w:val="00C20F27"/>
    <w:rsid w:val="00C215CF"/>
    <w:rsid w:val="00C2244B"/>
    <w:rsid w:val="00C22711"/>
    <w:rsid w:val="00C2280A"/>
    <w:rsid w:val="00C22B0D"/>
    <w:rsid w:val="00C22BFF"/>
    <w:rsid w:val="00C23522"/>
    <w:rsid w:val="00C240C1"/>
    <w:rsid w:val="00C244A1"/>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4619"/>
    <w:rsid w:val="00C348D9"/>
    <w:rsid w:val="00C35D01"/>
    <w:rsid w:val="00C360B3"/>
    <w:rsid w:val="00C37027"/>
    <w:rsid w:val="00C373BF"/>
    <w:rsid w:val="00C37B19"/>
    <w:rsid w:val="00C40107"/>
    <w:rsid w:val="00C401AF"/>
    <w:rsid w:val="00C41349"/>
    <w:rsid w:val="00C413CB"/>
    <w:rsid w:val="00C42752"/>
    <w:rsid w:val="00C42973"/>
    <w:rsid w:val="00C43A2E"/>
    <w:rsid w:val="00C46B95"/>
    <w:rsid w:val="00C4712A"/>
    <w:rsid w:val="00C5034F"/>
    <w:rsid w:val="00C50830"/>
    <w:rsid w:val="00C514B0"/>
    <w:rsid w:val="00C52479"/>
    <w:rsid w:val="00C5266E"/>
    <w:rsid w:val="00C52C59"/>
    <w:rsid w:val="00C5349E"/>
    <w:rsid w:val="00C539FF"/>
    <w:rsid w:val="00C544BD"/>
    <w:rsid w:val="00C54D3D"/>
    <w:rsid w:val="00C55A30"/>
    <w:rsid w:val="00C56384"/>
    <w:rsid w:val="00C574D9"/>
    <w:rsid w:val="00C579C2"/>
    <w:rsid w:val="00C60F8C"/>
    <w:rsid w:val="00C61424"/>
    <w:rsid w:val="00C61794"/>
    <w:rsid w:val="00C62A48"/>
    <w:rsid w:val="00C62AC4"/>
    <w:rsid w:val="00C62B59"/>
    <w:rsid w:val="00C62F96"/>
    <w:rsid w:val="00C631E1"/>
    <w:rsid w:val="00C638D8"/>
    <w:rsid w:val="00C63A43"/>
    <w:rsid w:val="00C63AE7"/>
    <w:rsid w:val="00C63D26"/>
    <w:rsid w:val="00C6540A"/>
    <w:rsid w:val="00C668A1"/>
    <w:rsid w:val="00C67223"/>
    <w:rsid w:val="00C67A97"/>
    <w:rsid w:val="00C707B8"/>
    <w:rsid w:val="00C712AC"/>
    <w:rsid w:val="00C71C15"/>
    <w:rsid w:val="00C71F3D"/>
    <w:rsid w:val="00C72F53"/>
    <w:rsid w:val="00C74035"/>
    <w:rsid w:val="00C748EA"/>
    <w:rsid w:val="00C77818"/>
    <w:rsid w:val="00C77D01"/>
    <w:rsid w:val="00C8063F"/>
    <w:rsid w:val="00C81282"/>
    <w:rsid w:val="00C827B4"/>
    <w:rsid w:val="00C83214"/>
    <w:rsid w:val="00C8329F"/>
    <w:rsid w:val="00C84F8A"/>
    <w:rsid w:val="00C85BA4"/>
    <w:rsid w:val="00C8618F"/>
    <w:rsid w:val="00C8625D"/>
    <w:rsid w:val="00C90372"/>
    <w:rsid w:val="00C9041F"/>
    <w:rsid w:val="00C90C84"/>
    <w:rsid w:val="00C9166B"/>
    <w:rsid w:val="00C916CC"/>
    <w:rsid w:val="00C91945"/>
    <w:rsid w:val="00C91A45"/>
    <w:rsid w:val="00C91FB4"/>
    <w:rsid w:val="00C92150"/>
    <w:rsid w:val="00C92328"/>
    <w:rsid w:val="00C92D42"/>
    <w:rsid w:val="00C938C2"/>
    <w:rsid w:val="00C93F8A"/>
    <w:rsid w:val="00C944A3"/>
    <w:rsid w:val="00C94E03"/>
    <w:rsid w:val="00C94EA1"/>
    <w:rsid w:val="00C95745"/>
    <w:rsid w:val="00C95902"/>
    <w:rsid w:val="00C962E3"/>
    <w:rsid w:val="00C9751C"/>
    <w:rsid w:val="00C978E2"/>
    <w:rsid w:val="00C97997"/>
    <w:rsid w:val="00CA10A2"/>
    <w:rsid w:val="00CA1D83"/>
    <w:rsid w:val="00CA25C0"/>
    <w:rsid w:val="00CA3451"/>
    <w:rsid w:val="00CA35C6"/>
    <w:rsid w:val="00CA4948"/>
    <w:rsid w:val="00CA52F9"/>
    <w:rsid w:val="00CA5368"/>
    <w:rsid w:val="00CA568B"/>
    <w:rsid w:val="00CA573A"/>
    <w:rsid w:val="00CA5C58"/>
    <w:rsid w:val="00CB19D7"/>
    <w:rsid w:val="00CB19FE"/>
    <w:rsid w:val="00CB1C3F"/>
    <w:rsid w:val="00CB2364"/>
    <w:rsid w:val="00CB304C"/>
    <w:rsid w:val="00CB3933"/>
    <w:rsid w:val="00CB5010"/>
    <w:rsid w:val="00CB53E8"/>
    <w:rsid w:val="00CB594A"/>
    <w:rsid w:val="00CB5CB2"/>
    <w:rsid w:val="00CB6979"/>
    <w:rsid w:val="00CB7DDE"/>
    <w:rsid w:val="00CC0A3D"/>
    <w:rsid w:val="00CC0DAB"/>
    <w:rsid w:val="00CC2FF0"/>
    <w:rsid w:val="00CC3C53"/>
    <w:rsid w:val="00CC3D24"/>
    <w:rsid w:val="00CC3F91"/>
    <w:rsid w:val="00CC47EE"/>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3BF2"/>
    <w:rsid w:val="00CD437E"/>
    <w:rsid w:val="00CD5DAD"/>
    <w:rsid w:val="00CD72C5"/>
    <w:rsid w:val="00CD77B4"/>
    <w:rsid w:val="00CD79A7"/>
    <w:rsid w:val="00CD7FAD"/>
    <w:rsid w:val="00CE0789"/>
    <w:rsid w:val="00CE0E8D"/>
    <w:rsid w:val="00CE1A03"/>
    <w:rsid w:val="00CE2346"/>
    <w:rsid w:val="00CE25B2"/>
    <w:rsid w:val="00CE3529"/>
    <w:rsid w:val="00CE35C8"/>
    <w:rsid w:val="00CE3962"/>
    <w:rsid w:val="00CE4D0A"/>
    <w:rsid w:val="00CE4D14"/>
    <w:rsid w:val="00CE4D1A"/>
    <w:rsid w:val="00CE4E8A"/>
    <w:rsid w:val="00CE5105"/>
    <w:rsid w:val="00CE56BD"/>
    <w:rsid w:val="00CE5EC0"/>
    <w:rsid w:val="00CE68AD"/>
    <w:rsid w:val="00CE6F9F"/>
    <w:rsid w:val="00CE781A"/>
    <w:rsid w:val="00CE7B08"/>
    <w:rsid w:val="00CE7D52"/>
    <w:rsid w:val="00CF0AB7"/>
    <w:rsid w:val="00CF1D74"/>
    <w:rsid w:val="00CF2BE2"/>
    <w:rsid w:val="00CF3C20"/>
    <w:rsid w:val="00CF3DEB"/>
    <w:rsid w:val="00CF44E2"/>
    <w:rsid w:val="00CF55F9"/>
    <w:rsid w:val="00CF7074"/>
    <w:rsid w:val="00CF7495"/>
    <w:rsid w:val="00D008AF"/>
    <w:rsid w:val="00D01CF9"/>
    <w:rsid w:val="00D02D07"/>
    <w:rsid w:val="00D0334D"/>
    <w:rsid w:val="00D0374D"/>
    <w:rsid w:val="00D06D7B"/>
    <w:rsid w:val="00D06DA5"/>
    <w:rsid w:val="00D07191"/>
    <w:rsid w:val="00D07721"/>
    <w:rsid w:val="00D07F1D"/>
    <w:rsid w:val="00D10558"/>
    <w:rsid w:val="00D10FC3"/>
    <w:rsid w:val="00D11D4D"/>
    <w:rsid w:val="00D11DB1"/>
    <w:rsid w:val="00D126DC"/>
    <w:rsid w:val="00D12B03"/>
    <w:rsid w:val="00D13E70"/>
    <w:rsid w:val="00D13EE7"/>
    <w:rsid w:val="00D15FCD"/>
    <w:rsid w:val="00D16C58"/>
    <w:rsid w:val="00D17019"/>
    <w:rsid w:val="00D17FC8"/>
    <w:rsid w:val="00D2015B"/>
    <w:rsid w:val="00D20B44"/>
    <w:rsid w:val="00D21168"/>
    <w:rsid w:val="00D2385D"/>
    <w:rsid w:val="00D2438C"/>
    <w:rsid w:val="00D2585A"/>
    <w:rsid w:val="00D259B0"/>
    <w:rsid w:val="00D259C2"/>
    <w:rsid w:val="00D26C3F"/>
    <w:rsid w:val="00D27185"/>
    <w:rsid w:val="00D3028A"/>
    <w:rsid w:val="00D33488"/>
    <w:rsid w:val="00D33AB3"/>
    <w:rsid w:val="00D33F24"/>
    <w:rsid w:val="00D34160"/>
    <w:rsid w:val="00D346B8"/>
    <w:rsid w:val="00D34DCA"/>
    <w:rsid w:val="00D35AC8"/>
    <w:rsid w:val="00D36F87"/>
    <w:rsid w:val="00D37E4E"/>
    <w:rsid w:val="00D417D8"/>
    <w:rsid w:val="00D41F78"/>
    <w:rsid w:val="00D42E6C"/>
    <w:rsid w:val="00D4351C"/>
    <w:rsid w:val="00D43B80"/>
    <w:rsid w:val="00D44988"/>
    <w:rsid w:val="00D45B4C"/>
    <w:rsid w:val="00D45BA4"/>
    <w:rsid w:val="00D471AF"/>
    <w:rsid w:val="00D471E2"/>
    <w:rsid w:val="00D4724F"/>
    <w:rsid w:val="00D50519"/>
    <w:rsid w:val="00D50779"/>
    <w:rsid w:val="00D51601"/>
    <w:rsid w:val="00D51ECB"/>
    <w:rsid w:val="00D5264C"/>
    <w:rsid w:val="00D5272B"/>
    <w:rsid w:val="00D52BBC"/>
    <w:rsid w:val="00D537FE"/>
    <w:rsid w:val="00D53CC9"/>
    <w:rsid w:val="00D54A6A"/>
    <w:rsid w:val="00D54B8F"/>
    <w:rsid w:val="00D55848"/>
    <w:rsid w:val="00D55951"/>
    <w:rsid w:val="00D559F0"/>
    <w:rsid w:val="00D5650F"/>
    <w:rsid w:val="00D56ADF"/>
    <w:rsid w:val="00D57EB6"/>
    <w:rsid w:val="00D608C0"/>
    <w:rsid w:val="00D60D6D"/>
    <w:rsid w:val="00D6128C"/>
    <w:rsid w:val="00D613B3"/>
    <w:rsid w:val="00D63502"/>
    <w:rsid w:val="00D63B22"/>
    <w:rsid w:val="00D66D8B"/>
    <w:rsid w:val="00D70849"/>
    <w:rsid w:val="00D717C6"/>
    <w:rsid w:val="00D72297"/>
    <w:rsid w:val="00D72A1C"/>
    <w:rsid w:val="00D7308F"/>
    <w:rsid w:val="00D7313E"/>
    <w:rsid w:val="00D73580"/>
    <w:rsid w:val="00D73802"/>
    <w:rsid w:val="00D73C2C"/>
    <w:rsid w:val="00D73D52"/>
    <w:rsid w:val="00D745E7"/>
    <w:rsid w:val="00D75DD0"/>
    <w:rsid w:val="00D75FDA"/>
    <w:rsid w:val="00D774ED"/>
    <w:rsid w:val="00D777C3"/>
    <w:rsid w:val="00D7797C"/>
    <w:rsid w:val="00D77C44"/>
    <w:rsid w:val="00D77F88"/>
    <w:rsid w:val="00D81AFA"/>
    <w:rsid w:val="00D81EAA"/>
    <w:rsid w:val="00D81FE2"/>
    <w:rsid w:val="00D8259F"/>
    <w:rsid w:val="00D825F2"/>
    <w:rsid w:val="00D8285C"/>
    <w:rsid w:val="00D828B1"/>
    <w:rsid w:val="00D82A55"/>
    <w:rsid w:val="00D830F8"/>
    <w:rsid w:val="00D83D49"/>
    <w:rsid w:val="00D84181"/>
    <w:rsid w:val="00D846AD"/>
    <w:rsid w:val="00D84754"/>
    <w:rsid w:val="00D84F27"/>
    <w:rsid w:val="00D853F0"/>
    <w:rsid w:val="00D85862"/>
    <w:rsid w:val="00D86D47"/>
    <w:rsid w:val="00D8710C"/>
    <w:rsid w:val="00D873C6"/>
    <w:rsid w:val="00D9074A"/>
    <w:rsid w:val="00D9099E"/>
    <w:rsid w:val="00D9193A"/>
    <w:rsid w:val="00D923B2"/>
    <w:rsid w:val="00D92463"/>
    <w:rsid w:val="00D93E64"/>
    <w:rsid w:val="00D93F64"/>
    <w:rsid w:val="00D94CA4"/>
    <w:rsid w:val="00D95E99"/>
    <w:rsid w:val="00D965D5"/>
    <w:rsid w:val="00D97DA2"/>
    <w:rsid w:val="00DA00B3"/>
    <w:rsid w:val="00DA0485"/>
    <w:rsid w:val="00DA0A80"/>
    <w:rsid w:val="00DA1A3A"/>
    <w:rsid w:val="00DA2351"/>
    <w:rsid w:val="00DA249E"/>
    <w:rsid w:val="00DA2D3D"/>
    <w:rsid w:val="00DA3855"/>
    <w:rsid w:val="00DA39BA"/>
    <w:rsid w:val="00DA4C30"/>
    <w:rsid w:val="00DA4D9F"/>
    <w:rsid w:val="00DA6A44"/>
    <w:rsid w:val="00DA7A3C"/>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1056"/>
    <w:rsid w:val="00DC1442"/>
    <w:rsid w:val="00DC21D8"/>
    <w:rsid w:val="00DC282A"/>
    <w:rsid w:val="00DC2DE8"/>
    <w:rsid w:val="00DC34DC"/>
    <w:rsid w:val="00DC3780"/>
    <w:rsid w:val="00DC3ADA"/>
    <w:rsid w:val="00DC3CC6"/>
    <w:rsid w:val="00DC3F55"/>
    <w:rsid w:val="00DC4782"/>
    <w:rsid w:val="00DC514A"/>
    <w:rsid w:val="00DC67B1"/>
    <w:rsid w:val="00DC7FBC"/>
    <w:rsid w:val="00DD0019"/>
    <w:rsid w:val="00DD132B"/>
    <w:rsid w:val="00DD1725"/>
    <w:rsid w:val="00DD2159"/>
    <w:rsid w:val="00DD218B"/>
    <w:rsid w:val="00DD2A18"/>
    <w:rsid w:val="00DD3044"/>
    <w:rsid w:val="00DD3985"/>
    <w:rsid w:val="00DD45F2"/>
    <w:rsid w:val="00DD61E8"/>
    <w:rsid w:val="00DD62C0"/>
    <w:rsid w:val="00DD64DE"/>
    <w:rsid w:val="00DD66DE"/>
    <w:rsid w:val="00DD7859"/>
    <w:rsid w:val="00DD7B41"/>
    <w:rsid w:val="00DE0784"/>
    <w:rsid w:val="00DE0A1D"/>
    <w:rsid w:val="00DE15B2"/>
    <w:rsid w:val="00DE1A9A"/>
    <w:rsid w:val="00DE3D2C"/>
    <w:rsid w:val="00DE5604"/>
    <w:rsid w:val="00DE5E82"/>
    <w:rsid w:val="00DE5FA6"/>
    <w:rsid w:val="00DE6792"/>
    <w:rsid w:val="00DE6AA1"/>
    <w:rsid w:val="00DE7EF7"/>
    <w:rsid w:val="00DF015B"/>
    <w:rsid w:val="00DF02EC"/>
    <w:rsid w:val="00DF10FC"/>
    <w:rsid w:val="00DF1185"/>
    <w:rsid w:val="00DF1299"/>
    <w:rsid w:val="00DF1A70"/>
    <w:rsid w:val="00DF1E5F"/>
    <w:rsid w:val="00DF23A8"/>
    <w:rsid w:val="00DF2F27"/>
    <w:rsid w:val="00DF36B6"/>
    <w:rsid w:val="00DF4296"/>
    <w:rsid w:val="00DF4DCC"/>
    <w:rsid w:val="00DF5267"/>
    <w:rsid w:val="00DF53F0"/>
    <w:rsid w:val="00DF5F38"/>
    <w:rsid w:val="00DF6608"/>
    <w:rsid w:val="00DF6CCC"/>
    <w:rsid w:val="00DF6D0C"/>
    <w:rsid w:val="00DF6F64"/>
    <w:rsid w:val="00DF721E"/>
    <w:rsid w:val="00DF7549"/>
    <w:rsid w:val="00DF7B8A"/>
    <w:rsid w:val="00DF7C87"/>
    <w:rsid w:val="00E009B0"/>
    <w:rsid w:val="00E00A12"/>
    <w:rsid w:val="00E00B39"/>
    <w:rsid w:val="00E00C49"/>
    <w:rsid w:val="00E01C9C"/>
    <w:rsid w:val="00E0219D"/>
    <w:rsid w:val="00E0469A"/>
    <w:rsid w:val="00E04C0F"/>
    <w:rsid w:val="00E0570B"/>
    <w:rsid w:val="00E05A50"/>
    <w:rsid w:val="00E069C5"/>
    <w:rsid w:val="00E10913"/>
    <w:rsid w:val="00E10B87"/>
    <w:rsid w:val="00E121CE"/>
    <w:rsid w:val="00E12209"/>
    <w:rsid w:val="00E1478B"/>
    <w:rsid w:val="00E1494A"/>
    <w:rsid w:val="00E14FAC"/>
    <w:rsid w:val="00E15007"/>
    <w:rsid w:val="00E1500D"/>
    <w:rsid w:val="00E16277"/>
    <w:rsid w:val="00E16EC7"/>
    <w:rsid w:val="00E17763"/>
    <w:rsid w:val="00E17DCC"/>
    <w:rsid w:val="00E219CE"/>
    <w:rsid w:val="00E21D93"/>
    <w:rsid w:val="00E22208"/>
    <w:rsid w:val="00E22D2A"/>
    <w:rsid w:val="00E23C32"/>
    <w:rsid w:val="00E24071"/>
    <w:rsid w:val="00E24DCA"/>
    <w:rsid w:val="00E24EBC"/>
    <w:rsid w:val="00E2522C"/>
    <w:rsid w:val="00E2552F"/>
    <w:rsid w:val="00E2599B"/>
    <w:rsid w:val="00E25B7F"/>
    <w:rsid w:val="00E2710C"/>
    <w:rsid w:val="00E272BD"/>
    <w:rsid w:val="00E27428"/>
    <w:rsid w:val="00E305B4"/>
    <w:rsid w:val="00E31AFA"/>
    <w:rsid w:val="00E31CB7"/>
    <w:rsid w:val="00E324EE"/>
    <w:rsid w:val="00E34BCC"/>
    <w:rsid w:val="00E34DB1"/>
    <w:rsid w:val="00E35931"/>
    <w:rsid w:val="00E359FF"/>
    <w:rsid w:val="00E3699A"/>
    <w:rsid w:val="00E402C5"/>
    <w:rsid w:val="00E402F4"/>
    <w:rsid w:val="00E405F1"/>
    <w:rsid w:val="00E417DB"/>
    <w:rsid w:val="00E43054"/>
    <w:rsid w:val="00E43655"/>
    <w:rsid w:val="00E44440"/>
    <w:rsid w:val="00E46013"/>
    <w:rsid w:val="00E47099"/>
    <w:rsid w:val="00E47284"/>
    <w:rsid w:val="00E477C3"/>
    <w:rsid w:val="00E51E16"/>
    <w:rsid w:val="00E52DED"/>
    <w:rsid w:val="00E53730"/>
    <w:rsid w:val="00E5438D"/>
    <w:rsid w:val="00E54511"/>
    <w:rsid w:val="00E54E50"/>
    <w:rsid w:val="00E55288"/>
    <w:rsid w:val="00E57577"/>
    <w:rsid w:val="00E62043"/>
    <w:rsid w:val="00E626B9"/>
    <w:rsid w:val="00E627C9"/>
    <w:rsid w:val="00E62C95"/>
    <w:rsid w:val="00E630F3"/>
    <w:rsid w:val="00E6332F"/>
    <w:rsid w:val="00E637C9"/>
    <w:rsid w:val="00E6402D"/>
    <w:rsid w:val="00E6680A"/>
    <w:rsid w:val="00E66F0D"/>
    <w:rsid w:val="00E70615"/>
    <w:rsid w:val="00E70B8F"/>
    <w:rsid w:val="00E7161E"/>
    <w:rsid w:val="00E7207B"/>
    <w:rsid w:val="00E7347A"/>
    <w:rsid w:val="00E75A47"/>
    <w:rsid w:val="00E75BB6"/>
    <w:rsid w:val="00E75D8C"/>
    <w:rsid w:val="00E77301"/>
    <w:rsid w:val="00E777F2"/>
    <w:rsid w:val="00E802C9"/>
    <w:rsid w:val="00E80BFB"/>
    <w:rsid w:val="00E80EC2"/>
    <w:rsid w:val="00E80F0A"/>
    <w:rsid w:val="00E815D4"/>
    <w:rsid w:val="00E8291B"/>
    <w:rsid w:val="00E82E70"/>
    <w:rsid w:val="00E82F92"/>
    <w:rsid w:val="00E8395F"/>
    <w:rsid w:val="00E8410F"/>
    <w:rsid w:val="00E849D7"/>
    <w:rsid w:val="00E85E41"/>
    <w:rsid w:val="00E85EA1"/>
    <w:rsid w:val="00E86703"/>
    <w:rsid w:val="00E86A81"/>
    <w:rsid w:val="00E900DA"/>
    <w:rsid w:val="00E91044"/>
    <w:rsid w:val="00E910D3"/>
    <w:rsid w:val="00E92097"/>
    <w:rsid w:val="00E92154"/>
    <w:rsid w:val="00E923CF"/>
    <w:rsid w:val="00E93685"/>
    <w:rsid w:val="00E93B65"/>
    <w:rsid w:val="00E93C8C"/>
    <w:rsid w:val="00E95111"/>
    <w:rsid w:val="00E95FDF"/>
    <w:rsid w:val="00E97294"/>
    <w:rsid w:val="00EA14C8"/>
    <w:rsid w:val="00EA2110"/>
    <w:rsid w:val="00EA283A"/>
    <w:rsid w:val="00EA2C90"/>
    <w:rsid w:val="00EA2E07"/>
    <w:rsid w:val="00EA383B"/>
    <w:rsid w:val="00EA48F3"/>
    <w:rsid w:val="00EA60A5"/>
    <w:rsid w:val="00EA60BF"/>
    <w:rsid w:val="00EA7365"/>
    <w:rsid w:val="00EA763F"/>
    <w:rsid w:val="00EA77E9"/>
    <w:rsid w:val="00EB05D0"/>
    <w:rsid w:val="00EB1151"/>
    <w:rsid w:val="00EB1D49"/>
    <w:rsid w:val="00EB23D9"/>
    <w:rsid w:val="00EB39A0"/>
    <w:rsid w:val="00EB430A"/>
    <w:rsid w:val="00EB559F"/>
    <w:rsid w:val="00EB566C"/>
    <w:rsid w:val="00EB5A18"/>
    <w:rsid w:val="00EB5F3D"/>
    <w:rsid w:val="00EB6C97"/>
    <w:rsid w:val="00EC1A47"/>
    <w:rsid w:val="00EC1CEB"/>
    <w:rsid w:val="00EC1DC0"/>
    <w:rsid w:val="00EC1DC2"/>
    <w:rsid w:val="00EC1E09"/>
    <w:rsid w:val="00EC210E"/>
    <w:rsid w:val="00EC21EC"/>
    <w:rsid w:val="00EC24B8"/>
    <w:rsid w:val="00EC268C"/>
    <w:rsid w:val="00EC3753"/>
    <w:rsid w:val="00EC4E71"/>
    <w:rsid w:val="00EC5F1C"/>
    <w:rsid w:val="00ED0365"/>
    <w:rsid w:val="00ED0865"/>
    <w:rsid w:val="00ED0C1C"/>
    <w:rsid w:val="00ED1C60"/>
    <w:rsid w:val="00ED2EB9"/>
    <w:rsid w:val="00ED3513"/>
    <w:rsid w:val="00ED3722"/>
    <w:rsid w:val="00ED3A31"/>
    <w:rsid w:val="00ED4469"/>
    <w:rsid w:val="00ED5424"/>
    <w:rsid w:val="00ED5F23"/>
    <w:rsid w:val="00ED6DC0"/>
    <w:rsid w:val="00ED7A7A"/>
    <w:rsid w:val="00EE0327"/>
    <w:rsid w:val="00EE038C"/>
    <w:rsid w:val="00EE28C5"/>
    <w:rsid w:val="00EE2F09"/>
    <w:rsid w:val="00EE47C5"/>
    <w:rsid w:val="00EE490C"/>
    <w:rsid w:val="00EE4E57"/>
    <w:rsid w:val="00EE5738"/>
    <w:rsid w:val="00EE58BD"/>
    <w:rsid w:val="00EE5E59"/>
    <w:rsid w:val="00EE6267"/>
    <w:rsid w:val="00EE73D0"/>
    <w:rsid w:val="00EE7CB0"/>
    <w:rsid w:val="00EF08A8"/>
    <w:rsid w:val="00EF114C"/>
    <w:rsid w:val="00EF167B"/>
    <w:rsid w:val="00EF2496"/>
    <w:rsid w:val="00EF41A8"/>
    <w:rsid w:val="00EF44FB"/>
    <w:rsid w:val="00EF5122"/>
    <w:rsid w:val="00EF5554"/>
    <w:rsid w:val="00EF55A6"/>
    <w:rsid w:val="00EF5AD8"/>
    <w:rsid w:val="00EF6B90"/>
    <w:rsid w:val="00EF7807"/>
    <w:rsid w:val="00EF79F7"/>
    <w:rsid w:val="00F006C0"/>
    <w:rsid w:val="00F0125F"/>
    <w:rsid w:val="00F019AA"/>
    <w:rsid w:val="00F0267E"/>
    <w:rsid w:val="00F02686"/>
    <w:rsid w:val="00F030C0"/>
    <w:rsid w:val="00F03291"/>
    <w:rsid w:val="00F03A85"/>
    <w:rsid w:val="00F0459B"/>
    <w:rsid w:val="00F04E15"/>
    <w:rsid w:val="00F05DF3"/>
    <w:rsid w:val="00F06829"/>
    <w:rsid w:val="00F069EA"/>
    <w:rsid w:val="00F070E5"/>
    <w:rsid w:val="00F07DDE"/>
    <w:rsid w:val="00F11675"/>
    <w:rsid w:val="00F123DA"/>
    <w:rsid w:val="00F12557"/>
    <w:rsid w:val="00F12B7F"/>
    <w:rsid w:val="00F13599"/>
    <w:rsid w:val="00F13608"/>
    <w:rsid w:val="00F13B28"/>
    <w:rsid w:val="00F156A0"/>
    <w:rsid w:val="00F15730"/>
    <w:rsid w:val="00F15BDE"/>
    <w:rsid w:val="00F16125"/>
    <w:rsid w:val="00F176A6"/>
    <w:rsid w:val="00F178DC"/>
    <w:rsid w:val="00F202C2"/>
    <w:rsid w:val="00F212F6"/>
    <w:rsid w:val="00F2254A"/>
    <w:rsid w:val="00F22756"/>
    <w:rsid w:val="00F23248"/>
    <w:rsid w:val="00F23890"/>
    <w:rsid w:val="00F2504D"/>
    <w:rsid w:val="00F2637F"/>
    <w:rsid w:val="00F268F7"/>
    <w:rsid w:val="00F30B83"/>
    <w:rsid w:val="00F30BDB"/>
    <w:rsid w:val="00F30CF8"/>
    <w:rsid w:val="00F31EDF"/>
    <w:rsid w:val="00F32CDE"/>
    <w:rsid w:val="00F32D4C"/>
    <w:rsid w:val="00F3327E"/>
    <w:rsid w:val="00F338C3"/>
    <w:rsid w:val="00F34B14"/>
    <w:rsid w:val="00F34F58"/>
    <w:rsid w:val="00F35DA7"/>
    <w:rsid w:val="00F36A6A"/>
    <w:rsid w:val="00F36FD5"/>
    <w:rsid w:val="00F37BC2"/>
    <w:rsid w:val="00F40101"/>
    <w:rsid w:val="00F404F7"/>
    <w:rsid w:val="00F40CCA"/>
    <w:rsid w:val="00F42D97"/>
    <w:rsid w:val="00F42FCF"/>
    <w:rsid w:val="00F436B2"/>
    <w:rsid w:val="00F43813"/>
    <w:rsid w:val="00F43FEE"/>
    <w:rsid w:val="00F4492F"/>
    <w:rsid w:val="00F45A72"/>
    <w:rsid w:val="00F46723"/>
    <w:rsid w:val="00F4706D"/>
    <w:rsid w:val="00F476E1"/>
    <w:rsid w:val="00F47D1D"/>
    <w:rsid w:val="00F47F29"/>
    <w:rsid w:val="00F50016"/>
    <w:rsid w:val="00F5118A"/>
    <w:rsid w:val="00F51A21"/>
    <w:rsid w:val="00F52614"/>
    <w:rsid w:val="00F5276E"/>
    <w:rsid w:val="00F52E9F"/>
    <w:rsid w:val="00F53304"/>
    <w:rsid w:val="00F53B81"/>
    <w:rsid w:val="00F540FE"/>
    <w:rsid w:val="00F5459A"/>
    <w:rsid w:val="00F556FF"/>
    <w:rsid w:val="00F55D12"/>
    <w:rsid w:val="00F5687F"/>
    <w:rsid w:val="00F56D3F"/>
    <w:rsid w:val="00F575C7"/>
    <w:rsid w:val="00F57FD0"/>
    <w:rsid w:val="00F60305"/>
    <w:rsid w:val="00F61B12"/>
    <w:rsid w:val="00F61C70"/>
    <w:rsid w:val="00F63264"/>
    <w:rsid w:val="00F634E4"/>
    <w:rsid w:val="00F6379E"/>
    <w:rsid w:val="00F64047"/>
    <w:rsid w:val="00F65171"/>
    <w:rsid w:val="00F6560D"/>
    <w:rsid w:val="00F67844"/>
    <w:rsid w:val="00F70799"/>
    <w:rsid w:val="00F70A8B"/>
    <w:rsid w:val="00F70B8D"/>
    <w:rsid w:val="00F71936"/>
    <w:rsid w:val="00F724FB"/>
    <w:rsid w:val="00F726B8"/>
    <w:rsid w:val="00F72A26"/>
    <w:rsid w:val="00F733C3"/>
    <w:rsid w:val="00F746A1"/>
    <w:rsid w:val="00F74820"/>
    <w:rsid w:val="00F756DD"/>
    <w:rsid w:val="00F77F4E"/>
    <w:rsid w:val="00F80047"/>
    <w:rsid w:val="00F800C7"/>
    <w:rsid w:val="00F8104D"/>
    <w:rsid w:val="00F8153F"/>
    <w:rsid w:val="00F81587"/>
    <w:rsid w:val="00F8288F"/>
    <w:rsid w:val="00F8376E"/>
    <w:rsid w:val="00F83C52"/>
    <w:rsid w:val="00F84802"/>
    <w:rsid w:val="00F85B72"/>
    <w:rsid w:val="00F86540"/>
    <w:rsid w:val="00F865CE"/>
    <w:rsid w:val="00F868E9"/>
    <w:rsid w:val="00F86986"/>
    <w:rsid w:val="00F8766F"/>
    <w:rsid w:val="00F90282"/>
    <w:rsid w:val="00F91082"/>
    <w:rsid w:val="00F9116D"/>
    <w:rsid w:val="00F91342"/>
    <w:rsid w:val="00F91A9A"/>
    <w:rsid w:val="00F92634"/>
    <w:rsid w:val="00F933F3"/>
    <w:rsid w:val="00F93ABB"/>
    <w:rsid w:val="00F94D79"/>
    <w:rsid w:val="00F9658C"/>
    <w:rsid w:val="00F96EEB"/>
    <w:rsid w:val="00F97A7F"/>
    <w:rsid w:val="00F97CD0"/>
    <w:rsid w:val="00FA0889"/>
    <w:rsid w:val="00FA16E7"/>
    <w:rsid w:val="00FA31C7"/>
    <w:rsid w:val="00FA472D"/>
    <w:rsid w:val="00FA681F"/>
    <w:rsid w:val="00FB0CBF"/>
    <w:rsid w:val="00FB18F6"/>
    <w:rsid w:val="00FB19B4"/>
    <w:rsid w:val="00FB2A52"/>
    <w:rsid w:val="00FB3003"/>
    <w:rsid w:val="00FB3C5F"/>
    <w:rsid w:val="00FB3F92"/>
    <w:rsid w:val="00FB52C7"/>
    <w:rsid w:val="00FB57DC"/>
    <w:rsid w:val="00FB6E19"/>
    <w:rsid w:val="00FB71F6"/>
    <w:rsid w:val="00FC07AF"/>
    <w:rsid w:val="00FC0AF8"/>
    <w:rsid w:val="00FC0B69"/>
    <w:rsid w:val="00FC1483"/>
    <w:rsid w:val="00FC1C47"/>
    <w:rsid w:val="00FC3102"/>
    <w:rsid w:val="00FC39ED"/>
    <w:rsid w:val="00FC3B90"/>
    <w:rsid w:val="00FC4419"/>
    <w:rsid w:val="00FC47E2"/>
    <w:rsid w:val="00FC4AA5"/>
    <w:rsid w:val="00FC4B88"/>
    <w:rsid w:val="00FC4BB8"/>
    <w:rsid w:val="00FC5148"/>
    <w:rsid w:val="00FC5404"/>
    <w:rsid w:val="00FC6524"/>
    <w:rsid w:val="00FC6B58"/>
    <w:rsid w:val="00FC75AC"/>
    <w:rsid w:val="00FC7984"/>
    <w:rsid w:val="00FD01BF"/>
    <w:rsid w:val="00FD0525"/>
    <w:rsid w:val="00FD0AB7"/>
    <w:rsid w:val="00FD297D"/>
    <w:rsid w:val="00FD2D13"/>
    <w:rsid w:val="00FD374D"/>
    <w:rsid w:val="00FD6071"/>
    <w:rsid w:val="00FD633B"/>
    <w:rsid w:val="00FE0794"/>
    <w:rsid w:val="00FE1041"/>
    <w:rsid w:val="00FE24CB"/>
    <w:rsid w:val="00FE2620"/>
    <w:rsid w:val="00FE323F"/>
    <w:rsid w:val="00FE3473"/>
    <w:rsid w:val="00FE4049"/>
    <w:rsid w:val="00FE4794"/>
    <w:rsid w:val="00FE480F"/>
    <w:rsid w:val="00FE4998"/>
    <w:rsid w:val="00FE57DE"/>
    <w:rsid w:val="00FE7777"/>
    <w:rsid w:val="00FE7A68"/>
    <w:rsid w:val="00FF0231"/>
    <w:rsid w:val="00FF1C9B"/>
    <w:rsid w:val="00FF1D49"/>
    <w:rsid w:val="00FF203B"/>
    <w:rsid w:val="00FF2562"/>
    <w:rsid w:val="00FF3A41"/>
    <w:rsid w:val="00FF3E5B"/>
    <w:rsid w:val="00FF57E4"/>
    <w:rsid w:val="00FF5A22"/>
    <w:rsid w:val="00FF7706"/>
    <w:rsid w:val="00FF78E5"/>
    <w:rsid w:val="011722EB"/>
    <w:rsid w:val="011E5EB5"/>
    <w:rsid w:val="012B6212"/>
    <w:rsid w:val="012C5FAF"/>
    <w:rsid w:val="0135626B"/>
    <w:rsid w:val="017D460B"/>
    <w:rsid w:val="01AF3D99"/>
    <w:rsid w:val="01EA1CEA"/>
    <w:rsid w:val="01EA636A"/>
    <w:rsid w:val="020168A7"/>
    <w:rsid w:val="0233386D"/>
    <w:rsid w:val="02511F9D"/>
    <w:rsid w:val="02BE3A7E"/>
    <w:rsid w:val="02EE64DC"/>
    <w:rsid w:val="03942A31"/>
    <w:rsid w:val="03A314B8"/>
    <w:rsid w:val="03A33B98"/>
    <w:rsid w:val="03C17591"/>
    <w:rsid w:val="03D82B98"/>
    <w:rsid w:val="03F83E8B"/>
    <w:rsid w:val="04106F71"/>
    <w:rsid w:val="042A0CA0"/>
    <w:rsid w:val="04561C21"/>
    <w:rsid w:val="050D65F7"/>
    <w:rsid w:val="052B7F39"/>
    <w:rsid w:val="05C56868"/>
    <w:rsid w:val="05FC32DC"/>
    <w:rsid w:val="06141287"/>
    <w:rsid w:val="068C4342"/>
    <w:rsid w:val="074D0F7B"/>
    <w:rsid w:val="075E75DE"/>
    <w:rsid w:val="0760556A"/>
    <w:rsid w:val="07A539BD"/>
    <w:rsid w:val="07B72767"/>
    <w:rsid w:val="08077E72"/>
    <w:rsid w:val="082952CF"/>
    <w:rsid w:val="083333BB"/>
    <w:rsid w:val="08882DD0"/>
    <w:rsid w:val="08970A5E"/>
    <w:rsid w:val="08CE1FB4"/>
    <w:rsid w:val="08ED6C85"/>
    <w:rsid w:val="08FA64E5"/>
    <w:rsid w:val="0924312B"/>
    <w:rsid w:val="094A32BB"/>
    <w:rsid w:val="09C120A6"/>
    <w:rsid w:val="09CC2AAC"/>
    <w:rsid w:val="0A1D4B08"/>
    <w:rsid w:val="0A652D3E"/>
    <w:rsid w:val="0A6F0B37"/>
    <w:rsid w:val="0AE879F3"/>
    <w:rsid w:val="0B191045"/>
    <w:rsid w:val="0B2C099F"/>
    <w:rsid w:val="0B326F2A"/>
    <w:rsid w:val="0B4C0D84"/>
    <w:rsid w:val="0BA7233D"/>
    <w:rsid w:val="0C1E2888"/>
    <w:rsid w:val="0C491F4C"/>
    <w:rsid w:val="0C92213C"/>
    <w:rsid w:val="0CC2027E"/>
    <w:rsid w:val="0D562B05"/>
    <w:rsid w:val="0D84032B"/>
    <w:rsid w:val="0DA770F4"/>
    <w:rsid w:val="0DEB3062"/>
    <w:rsid w:val="0EAC0C2F"/>
    <w:rsid w:val="0F0E2EB6"/>
    <w:rsid w:val="0F171180"/>
    <w:rsid w:val="0F1F60A8"/>
    <w:rsid w:val="0F255168"/>
    <w:rsid w:val="0F2A424A"/>
    <w:rsid w:val="0F2A74C4"/>
    <w:rsid w:val="0FCE07BC"/>
    <w:rsid w:val="0FE4089C"/>
    <w:rsid w:val="10A27F31"/>
    <w:rsid w:val="10C3703B"/>
    <w:rsid w:val="10F6741E"/>
    <w:rsid w:val="113969C6"/>
    <w:rsid w:val="11717F0E"/>
    <w:rsid w:val="118B765D"/>
    <w:rsid w:val="11927058"/>
    <w:rsid w:val="11AD150E"/>
    <w:rsid w:val="120E171E"/>
    <w:rsid w:val="12425513"/>
    <w:rsid w:val="1247180D"/>
    <w:rsid w:val="12624111"/>
    <w:rsid w:val="12684FA3"/>
    <w:rsid w:val="126E2D03"/>
    <w:rsid w:val="12C419EF"/>
    <w:rsid w:val="12CA1F1B"/>
    <w:rsid w:val="12E90FE0"/>
    <w:rsid w:val="13AF4F03"/>
    <w:rsid w:val="13BA2040"/>
    <w:rsid w:val="1402701A"/>
    <w:rsid w:val="143401AF"/>
    <w:rsid w:val="14474812"/>
    <w:rsid w:val="14581E1E"/>
    <w:rsid w:val="14736E66"/>
    <w:rsid w:val="147F458F"/>
    <w:rsid w:val="149A2EA0"/>
    <w:rsid w:val="14B012CC"/>
    <w:rsid w:val="14DF00CB"/>
    <w:rsid w:val="14E1184E"/>
    <w:rsid w:val="1534169A"/>
    <w:rsid w:val="153443F8"/>
    <w:rsid w:val="153465C3"/>
    <w:rsid w:val="153557F7"/>
    <w:rsid w:val="15C03E03"/>
    <w:rsid w:val="162A25EB"/>
    <w:rsid w:val="16735895"/>
    <w:rsid w:val="16BF49D4"/>
    <w:rsid w:val="16FC2888"/>
    <w:rsid w:val="16FD2A55"/>
    <w:rsid w:val="17067C1A"/>
    <w:rsid w:val="17235FF5"/>
    <w:rsid w:val="17366761"/>
    <w:rsid w:val="174E5F3B"/>
    <w:rsid w:val="177C01F0"/>
    <w:rsid w:val="179E3EFA"/>
    <w:rsid w:val="17CE6630"/>
    <w:rsid w:val="187F25AE"/>
    <w:rsid w:val="188E0CC1"/>
    <w:rsid w:val="189015C1"/>
    <w:rsid w:val="19F52277"/>
    <w:rsid w:val="1A0E048B"/>
    <w:rsid w:val="1A150799"/>
    <w:rsid w:val="1AFC5C92"/>
    <w:rsid w:val="1AFF0AFE"/>
    <w:rsid w:val="1B262538"/>
    <w:rsid w:val="1B362EBE"/>
    <w:rsid w:val="1B4F19F8"/>
    <w:rsid w:val="1B8128E6"/>
    <w:rsid w:val="1C2D7127"/>
    <w:rsid w:val="1CD266F6"/>
    <w:rsid w:val="1D4B5C1C"/>
    <w:rsid w:val="1E3159CF"/>
    <w:rsid w:val="1E6C705B"/>
    <w:rsid w:val="1E8E7E71"/>
    <w:rsid w:val="1EA638ED"/>
    <w:rsid w:val="1EA645F0"/>
    <w:rsid w:val="1ECC44FA"/>
    <w:rsid w:val="1EE77AAE"/>
    <w:rsid w:val="1F063325"/>
    <w:rsid w:val="1F2D7B22"/>
    <w:rsid w:val="1F3C522E"/>
    <w:rsid w:val="1F7D4BA6"/>
    <w:rsid w:val="1F862FC5"/>
    <w:rsid w:val="1F9F02AF"/>
    <w:rsid w:val="1FBC5DF5"/>
    <w:rsid w:val="1FD93AAF"/>
    <w:rsid w:val="1FDD4704"/>
    <w:rsid w:val="1FF45909"/>
    <w:rsid w:val="1FF90588"/>
    <w:rsid w:val="1FFB387E"/>
    <w:rsid w:val="202962BE"/>
    <w:rsid w:val="20B978A1"/>
    <w:rsid w:val="20C3623F"/>
    <w:rsid w:val="216E6218"/>
    <w:rsid w:val="21781212"/>
    <w:rsid w:val="21B83F86"/>
    <w:rsid w:val="21FB0A71"/>
    <w:rsid w:val="221178A8"/>
    <w:rsid w:val="221213CF"/>
    <w:rsid w:val="22125B2A"/>
    <w:rsid w:val="22327A92"/>
    <w:rsid w:val="231D53A2"/>
    <w:rsid w:val="236D5383"/>
    <w:rsid w:val="23AB0C13"/>
    <w:rsid w:val="23B7504C"/>
    <w:rsid w:val="24571307"/>
    <w:rsid w:val="24C57450"/>
    <w:rsid w:val="25110A2A"/>
    <w:rsid w:val="25140E84"/>
    <w:rsid w:val="256C0944"/>
    <w:rsid w:val="257253C7"/>
    <w:rsid w:val="25AA0A83"/>
    <w:rsid w:val="25B215F0"/>
    <w:rsid w:val="26024172"/>
    <w:rsid w:val="26446DE3"/>
    <w:rsid w:val="26877DFE"/>
    <w:rsid w:val="269669E7"/>
    <w:rsid w:val="26A270C1"/>
    <w:rsid w:val="26D7699F"/>
    <w:rsid w:val="27997AEB"/>
    <w:rsid w:val="27BD8166"/>
    <w:rsid w:val="27DC212D"/>
    <w:rsid w:val="28CA27BC"/>
    <w:rsid w:val="29BA649E"/>
    <w:rsid w:val="29D75F7F"/>
    <w:rsid w:val="29DC44F9"/>
    <w:rsid w:val="2A094D30"/>
    <w:rsid w:val="2A691B04"/>
    <w:rsid w:val="2A88034A"/>
    <w:rsid w:val="2A971BE1"/>
    <w:rsid w:val="2AC61FAA"/>
    <w:rsid w:val="2ACC6A20"/>
    <w:rsid w:val="2AD34FD5"/>
    <w:rsid w:val="2AD90BA6"/>
    <w:rsid w:val="2B774624"/>
    <w:rsid w:val="2C7A72BE"/>
    <w:rsid w:val="2C9A7D75"/>
    <w:rsid w:val="2CC17412"/>
    <w:rsid w:val="2D7C1E99"/>
    <w:rsid w:val="2DA107C0"/>
    <w:rsid w:val="2DFD4901"/>
    <w:rsid w:val="2E4F3E43"/>
    <w:rsid w:val="2E4F596A"/>
    <w:rsid w:val="2E71479D"/>
    <w:rsid w:val="2E7544E0"/>
    <w:rsid w:val="2E9976CE"/>
    <w:rsid w:val="2EA62B75"/>
    <w:rsid w:val="2EF01DEE"/>
    <w:rsid w:val="2F1611A7"/>
    <w:rsid w:val="2F401D3C"/>
    <w:rsid w:val="2F5B24E1"/>
    <w:rsid w:val="2F63159D"/>
    <w:rsid w:val="2F6740BA"/>
    <w:rsid w:val="2FA95C88"/>
    <w:rsid w:val="2FB728F9"/>
    <w:rsid w:val="2FC40C12"/>
    <w:rsid w:val="303638C9"/>
    <w:rsid w:val="3041370F"/>
    <w:rsid w:val="30B87FED"/>
    <w:rsid w:val="312B50A3"/>
    <w:rsid w:val="31815AF3"/>
    <w:rsid w:val="31884247"/>
    <w:rsid w:val="31894FD2"/>
    <w:rsid w:val="321972F7"/>
    <w:rsid w:val="32453A27"/>
    <w:rsid w:val="3263064A"/>
    <w:rsid w:val="32862076"/>
    <w:rsid w:val="328D4A4B"/>
    <w:rsid w:val="32A43132"/>
    <w:rsid w:val="32A970B0"/>
    <w:rsid w:val="32AC0C06"/>
    <w:rsid w:val="33344EF5"/>
    <w:rsid w:val="334C2FA8"/>
    <w:rsid w:val="339F1FBF"/>
    <w:rsid w:val="33BE427C"/>
    <w:rsid w:val="343704CB"/>
    <w:rsid w:val="34396159"/>
    <w:rsid w:val="3450752F"/>
    <w:rsid w:val="34B37281"/>
    <w:rsid w:val="34ED1047"/>
    <w:rsid w:val="35110E39"/>
    <w:rsid w:val="3537750C"/>
    <w:rsid w:val="3537798C"/>
    <w:rsid w:val="355F439E"/>
    <w:rsid w:val="35C13FC9"/>
    <w:rsid w:val="36034D29"/>
    <w:rsid w:val="36372B05"/>
    <w:rsid w:val="364257B6"/>
    <w:rsid w:val="36921026"/>
    <w:rsid w:val="3694500F"/>
    <w:rsid w:val="373830F8"/>
    <w:rsid w:val="37424CE7"/>
    <w:rsid w:val="37A85680"/>
    <w:rsid w:val="37B15AEE"/>
    <w:rsid w:val="37C93D50"/>
    <w:rsid w:val="37EA5922"/>
    <w:rsid w:val="381417C1"/>
    <w:rsid w:val="381F6454"/>
    <w:rsid w:val="38276B93"/>
    <w:rsid w:val="382E58B8"/>
    <w:rsid w:val="3851701B"/>
    <w:rsid w:val="38A72EDD"/>
    <w:rsid w:val="38AC3431"/>
    <w:rsid w:val="38D670DB"/>
    <w:rsid w:val="392F2E16"/>
    <w:rsid w:val="395E339D"/>
    <w:rsid w:val="397D4DF2"/>
    <w:rsid w:val="39D611E6"/>
    <w:rsid w:val="39E00529"/>
    <w:rsid w:val="39EF248B"/>
    <w:rsid w:val="3A0B64A7"/>
    <w:rsid w:val="3A574DDA"/>
    <w:rsid w:val="3A6B7CA2"/>
    <w:rsid w:val="3AD3075A"/>
    <w:rsid w:val="3AE72492"/>
    <w:rsid w:val="3AF74C02"/>
    <w:rsid w:val="3B5D312D"/>
    <w:rsid w:val="3B677A7F"/>
    <w:rsid w:val="3B902AAF"/>
    <w:rsid w:val="3C0059A5"/>
    <w:rsid w:val="3C012869"/>
    <w:rsid w:val="3C134E78"/>
    <w:rsid w:val="3C394DD8"/>
    <w:rsid w:val="3CA6540E"/>
    <w:rsid w:val="3CB52527"/>
    <w:rsid w:val="3CC35281"/>
    <w:rsid w:val="3CF9420F"/>
    <w:rsid w:val="3DF6345D"/>
    <w:rsid w:val="3E0C09A4"/>
    <w:rsid w:val="3E1E56E7"/>
    <w:rsid w:val="3E2B5515"/>
    <w:rsid w:val="3E4D4F28"/>
    <w:rsid w:val="3E610FF6"/>
    <w:rsid w:val="3E91235F"/>
    <w:rsid w:val="3EB72B54"/>
    <w:rsid w:val="3ED92EC4"/>
    <w:rsid w:val="3EE13701"/>
    <w:rsid w:val="3EF27396"/>
    <w:rsid w:val="3F1A4BB3"/>
    <w:rsid w:val="3F867656"/>
    <w:rsid w:val="3F8A56C4"/>
    <w:rsid w:val="3FAC2CB6"/>
    <w:rsid w:val="3FC6775C"/>
    <w:rsid w:val="3FD634AE"/>
    <w:rsid w:val="3FDF4E23"/>
    <w:rsid w:val="3FFFCC9D"/>
    <w:rsid w:val="40192BA6"/>
    <w:rsid w:val="40CA3013"/>
    <w:rsid w:val="40FF3286"/>
    <w:rsid w:val="4159123A"/>
    <w:rsid w:val="41663E6F"/>
    <w:rsid w:val="41766EA9"/>
    <w:rsid w:val="417F6A3A"/>
    <w:rsid w:val="419B103D"/>
    <w:rsid w:val="42550A18"/>
    <w:rsid w:val="429D496A"/>
    <w:rsid w:val="42F473A1"/>
    <w:rsid w:val="435B2648"/>
    <w:rsid w:val="437217EA"/>
    <w:rsid w:val="43AB7156"/>
    <w:rsid w:val="43B34631"/>
    <w:rsid w:val="441971A7"/>
    <w:rsid w:val="441E62C0"/>
    <w:rsid w:val="445D1FBD"/>
    <w:rsid w:val="44DB458C"/>
    <w:rsid w:val="450906C1"/>
    <w:rsid w:val="45325D14"/>
    <w:rsid w:val="457C2402"/>
    <w:rsid w:val="45811C7C"/>
    <w:rsid w:val="45906116"/>
    <w:rsid w:val="45931B8C"/>
    <w:rsid w:val="45AF604C"/>
    <w:rsid w:val="45CF6373"/>
    <w:rsid w:val="45EF2552"/>
    <w:rsid w:val="462003B7"/>
    <w:rsid w:val="462852DE"/>
    <w:rsid w:val="462E6EA9"/>
    <w:rsid w:val="467A438D"/>
    <w:rsid w:val="468B3EFB"/>
    <w:rsid w:val="46CE49C1"/>
    <w:rsid w:val="46D9715E"/>
    <w:rsid w:val="470A6193"/>
    <w:rsid w:val="47385210"/>
    <w:rsid w:val="474144CE"/>
    <w:rsid w:val="475510F8"/>
    <w:rsid w:val="4760629C"/>
    <w:rsid w:val="47D93B3C"/>
    <w:rsid w:val="47DC4F5C"/>
    <w:rsid w:val="47DE21F6"/>
    <w:rsid w:val="48347AF2"/>
    <w:rsid w:val="483A6D3C"/>
    <w:rsid w:val="48587156"/>
    <w:rsid w:val="4869703B"/>
    <w:rsid w:val="48864BE0"/>
    <w:rsid w:val="48B40671"/>
    <w:rsid w:val="48B5284B"/>
    <w:rsid w:val="49796A18"/>
    <w:rsid w:val="499B5738"/>
    <w:rsid w:val="499F244D"/>
    <w:rsid w:val="4A172FA5"/>
    <w:rsid w:val="4A3238ED"/>
    <w:rsid w:val="4A973F3F"/>
    <w:rsid w:val="4AF96BC7"/>
    <w:rsid w:val="4B5E43EC"/>
    <w:rsid w:val="4B616CF2"/>
    <w:rsid w:val="4B862A85"/>
    <w:rsid w:val="4B9304A5"/>
    <w:rsid w:val="4C374E49"/>
    <w:rsid w:val="4C490FE0"/>
    <w:rsid w:val="4C52210E"/>
    <w:rsid w:val="4C5D53AE"/>
    <w:rsid w:val="4CB72FE2"/>
    <w:rsid w:val="4CEF36E2"/>
    <w:rsid w:val="4CEF4DC5"/>
    <w:rsid w:val="4D265C95"/>
    <w:rsid w:val="4D3F619A"/>
    <w:rsid w:val="4D4902A3"/>
    <w:rsid w:val="4DF06DE1"/>
    <w:rsid w:val="4E0A0D02"/>
    <w:rsid w:val="4E134540"/>
    <w:rsid w:val="4E257655"/>
    <w:rsid w:val="4E760F27"/>
    <w:rsid w:val="4E850579"/>
    <w:rsid w:val="4F173180"/>
    <w:rsid w:val="4F222C3E"/>
    <w:rsid w:val="4F372380"/>
    <w:rsid w:val="4F372FFB"/>
    <w:rsid w:val="4F4F3984"/>
    <w:rsid w:val="4F5A32B3"/>
    <w:rsid w:val="4FE82DC1"/>
    <w:rsid w:val="50247F6C"/>
    <w:rsid w:val="5025116D"/>
    <w:rsid w:val="5028510C"/>
    <w:rsid w:val="50E714DC"/>
    <w:rsid w:val="51954F77"/>
    <w:rsid w:val="522B1438"/>
    <w:rsid w:val="52395ECD"/>
    <w:rsid w:val="525D407D"/>
    <w:rsid w:val="52BC6534"/>
    <w:rsid w:val="52C10D75"/>
    <w:rsid w:val="53252206"/>
    <w:rsid w:val="53B663EF"/>
    <w:rsid w:val="53BB2FE8"/>
    <w:rsid w:val="53C27FF8"/>
    <w:rsid w:val="54392948"/>
    <w:rsid w:val="54806794"/>
    <w:rsid w:val="549E1A80"/>
    <w:rsid w:val="54C658F4"/>
    <w:rsid w:val="54CF6EE8"/>
    <w:rsid w:val="550C4BD7"/>
    <w:rsid w:val="554C1D56"/>
    <w:rsid w:val="5550536D"/>
    <w:rsid w:val="55572986"/>
    <w:rsid w:val="556D17E3"/>
    <w:rsid w:val="55E56C8E"/>
    <w:rsid w:val="55E77D6B"/>
    <w:rsid w:val="562D6E64"/>
    <w:rsid w:val="5633714F"/>
    <w:rsid w:val="563737CF"/>
    <w:rsid w:val="56486A5C"/>
    <w:rsid w:val="565021B3"/>
    <w:rsid w:val="565340FA"/>
    <w:rsid w:val="565F00C9"/>
    <w:rsid w:val="56A57D64"/>
    <w:rsid w:val="56AC442C"/>
    <w:rsid w:val="56AD5F59"/>
    <w:rsid w:val="56AF6ADB"/>
    <w:rsid w:val="56C2471D"/>
    <w:rsid w:val="56C60774"/>
    <w:rsid w:val="570057E7"/>
    <w:rsid w:val="57B12A52"/>
    <w:rsid w:val="58082C7B"/>
    <w:rsid w:val="58083479"/>
    <w:rsid w:val="589A0DE2"/>
    <w:rsid w:val="58E6430A"/>
    <w:rsid w:val="593517B5"/>
    <w:rsid w:val="595C0D3C"/>
    <w:rsid w:val="598A6C98"/>
    <w:rsid w:val="5A254BE7"/>
    <w:rsid w:val="5A2F2CC8"/>
    <w:rsid w:val="5A3F439D"/>
    <w:rsid w:val="5A8416D8"/>
    <w:rsid w:val="5AE74F38"/>
    <w:rsid w:val="5B027B49"/>
    <w:rsid w:val="5B3255E5"/>
    <w:rsid w:val="5B446D8B"/>
    <w:rsid w:val="5B5D2DF1"/>
    <w:rsid w:val="5B933D3B"/>
    <w:rsid w:val="5B9B5880"/>
    <w:rsid w:val="5BFB62B3"/>
    <w:rsid w:val="5C10702D"/>
    <w:rsid w:val="5C152601"/>
    <w:rsid w:val="5C366A56"/>
    <w:rsid w:val="5C591F03"/>
    <w:rsid w:val="5C890876"/>
    <w:rsid w:val="5C8A1B2F"/>
    <w:rsid w:val="5CBA2B66"/>
    <w:rsid w:val="5CCD12AB"/>
    <w:rsid w:val="5D0C1038"/>
    <w:rsid w:val="5D481077"/>
    <w:rsid w:val="5DB449D7"/>
    <w:rsid w:val="5E5E33BC"/>
    <w:rsid w:val="5E8C14B0"/>
    <w:rsid w:val="5EB341C0"/>
    <w:rsid w:val="5EEB68B8"/>
    <w:rsid w:val="5F511061"/>
    <w:rsid w:val="5F561B72"/>
    <w:rsid w:val="5FAD53C7"/>
    <w:rsid w:val="606007BB"/>
    <w:rsid w:val="60AC7F66"/>
    <w:rsid w:val="60CA725D"/>
    <w:rsid w:val="60DD0A25"/>
    <w:rsid w:val="61BF10D9"/>
    <w:rsid w:val="61D5316E"/>
    <w:rsid w:val="62326812"/>
    <w:rsid w:val="62AC22DC"/>
    <w:rsid w:val="63362DC6"/>
    <w:rsid w:val="63A22BFD"/>
    <w:rsid w:val="63F60B61"/>
    <w:rsid w:val="648E0733"/>
    <w:rsid w:val="64E45EF7"/>
    <w:rsid w:val="65295062"/>
    <w:rsid w:val="65351B84"/>
    <w:rsid w:val="663C37BC"/>
    <w:rsid w:val="6691014E"/>
    <w:rsid w:val="66C87CCE"/>
    <w:rsid w:val="6773CECD"/>
    <w:rsid w:val="677435B2"/>
    <w:rsid w:val="677F7C3B"/>
    <w:rsid w:val="679C33FD"/>
    <w:rsid w:val="67EF75F1"/>
    <w:rsid w:val="680447AD"/>
    <w:rsid w:val="68247B88"/>
    <w:rsid w:val="684D7F02"/>
    <w:rsid w:val="684F4F11"/>
    <w:rsid w:val="68B02C2C"/>
    <w:rsid w:val="68F10D0A"/>
    <w:rsid w:val="69124F16"/>
    <w:rsid w:val="691E189E"/>
    <w:rsid w:val="69236EB5"/>
    <w:rsid w:val="69CD5C14"/>
    <w:rsid w:val="69CF0D33"/>
    <w:rsid w:val="69F3714C"/>
    <w:rsid w:val="6A12278B"/>
    <w:rsid w:val="6A4A3590"/>
    <w:rsid w:val="6AFA78DE"/>
    <w:rsid w:val="6B607F4C"/>
    <w:rsid w:val="6B897CF7"/>
    <w:rsid w:val="6B9946B3"/>
    <w:rsid w:val="6BE518DA"/>
    <w:rsid w:val="6C276F3A"/>
    <w:rsid w:val="6C3521E8"/>
    <w:rsid w:val="6C3A3698"/>
    <w:rsid w:val="6C5D675C"/>
    <w:rsid w:val="6C7007C7"/>
    <w:rsid w:val="6D652B07"/>
    <w:rsid w:val="6D6F4DAF"/>
    <w:rsid w:val="6DA26F63"/>
    <w:rsid w:val="6DCB4BE8"/>
    <w:rsid w:val="6DD7212B"/>
    <w:rsid w:val="6DDC684F"/>
    <w:rsid w:val="6DE76850"/>
    <w:rsid w:val="6DF06A10"/>
    <w:rsid w:val="6E227042"/>
    <w:rsid w:val="6E355CB2"/>
    <w:rsid w:val="6E53533C"/>
    <w:rsid w:val="6E876D04"/>
    <w:rsid w:val="6EBA7823"/>
    <w:rsid w:val="6ED51282"/>
    <w:rsid w:val="6F033724"/>
    <w:rsid w:val="6F5340FD"/>
    <w:rsid w:val="6F9D7C71"/>
    <w:rsid w:val="6FB20BD4"/>
    <w:rsid w:val="6FBA59BE"/>
    <w:rsid w:val="6FC338C7"/>
    <w:rsid w:val="6FD070BD"/>
    <w:rsid w:val="6FDFEEA4"/>
    <w:rsid w:val="6FF51805"/>
    <w:rsid w:val="70296B3E"/>
    <w:rsid w:val="70611204"/>
    <w:rsid w:val="71086771"/>
    <w:rsid w:val="714072D4"/>
    <w:rsid w:val="714D2481"/>
    <w:rsid w:val="7165620F"/>
    <w:rsid w:val="717039F8"/>
    <w:rsid w:val="71FC02A3"/>
    <w:rsid w:val="724262B0"/>
    <w:rsid w:val="7295118A"/>
    <w:rsid w:val="72FF9C12"/>
    <w:rsid w:val="734D07F0"/>
    <w:rsid w:val="73D36E29"/>
    <w:rsid w:val="73F7C9F4"/>
    <w:rsid w:val="742C3FAC"/>
    <w:rsid w:val="74733422"/>
    <w:rsid w:val="74D13AD5"/>
    <w:rsid w:val="74FA2C30"/>
    <w:rsid w:val="75042208"/>
    <w:rsid w:val="751B561B"/>
    <w:rsid w:val="7521568D"/>
    <w:rsid w:val="754D5C4B"/>
    <w:rsid w:val="75614FED"/>
    <w:rsid w:val="75B9365A"/>
    <w:rsid w:val="75CD0D0C"/>
    <w:rsid w:val="76030409"/>
    <w:rsid w:val="76114018"/>
    <w:rsid w:val="767D7159"/>
    <w:rsid w:val="76813CEE"/>
    <w:rsid w:val="76C240A7"/>
    <w:rsid w:val="76DA416A"/>
    <w:rsid w:val="76EF3FF2"/>
    <w:rsid w:val="775246B7"/>
    <w:rsid w:val="778F7B34"/>
    <w:rsid w:val="77B61D38"/>
    <w:rsid w:val="781E69D1"/>
    <w:rsid w:val="7826607A"/>
    <w:rsid w:val="78420902"/>
    <w:rsid w:val="78742329"/>
    <w:rsid w:val="78753170"/>
    <w:rsid w:val="7901747F"/>
    <w:rsid w:val="79107BB0"/>
    <w:rsid w:val="792E6A82"/>
    <w:rsid w:val="797F639F"/>
    <w:rsid w:val="79846E24"/>
    <w:rsid w:val="798F2EE3"/>
    <w:rsid w:val="79EB3DA0"/>
    <w:rsid w:val="7A263B6B"/>
    <w:rsid w:val="7A2B1A3B"/>
    <w:rsid w:val="7A356A48"/>
    <w:rsid w:val="7A5C42DF"/>
    <w:rsid w:val="7A7237F8"/>
    <w:rsid w:val="7ABC1261"/>
    <w:rsid w:val="7ABD1E72"/>
    <w:rsid w:val="7AF46346"/>
    <w:rsid w:val="7B0F5EBF"/>
    <w:rsid w:val="7B130FB9"/>
    <w:rsid w:val="7B6E99DC"/>
    <w:rsid w:val="7B9B0602"/>
    <w:rsid w:val="7BD71E38"/>
    <w:rsid w:val="7BF3DCCE"/>
    <w:rsid w:val="7BF64EDE"/>
    <w:rsid w:val="7BFF7C3E"/>
    <w:rsid w:val="7BFF8EB9"/>
    <w:rsid w:val="7C1B2CAB"/>
    <w:rsid w:val="7C400C1E"/>
    <w:rsid w:val="7C520171"/>
    <w:rsid w:val="7C5438FD"/>
    <w:rsid w:val="7C672C9A"/>
    <w:rsid w:val="7CCB361B"/>
    <w:rsid w:val="7CCD6D5F"/>
    <w:rsid w:val="7CFB1883"/>
    <w:rsid w:val="7D18398B"/>
    <w:rsid w:val="7D606B10"/>
    <w:rsid w:val="7D6513F2"/>
    <w:rsid w:val="7D9E2FEC"/>
    <w:rsid w:val="7D9FE745"/>
    <w:rsid w:val="7DD11708"/>
    <w:rsid w:val="7DEE4A4F"/>
    <w:rsid w:val="7DFFE93E"/>
    <w:rsid w:val="7E7044F2"/>
    <w:rsid w:val="7E7E276B"/>
    <w:rsid w:val="7E81225C"/>
    <w:rsid w:val="7EAE6230"/>
    <w:rsid w:val="7EB20667"/>
    <w:rsid w:val="7EBD579E"/>
    <w:rsid w:val="7EC167BD"/>
    <w:rsid w:val="7F1A0AB4"/>
    <w:rsid w:val="7F272D9E"/>
    <w:rsid w:val="7FB7AE4E"/>
    <w:rsid w:val="7FC00B82"/>
    <w:rsid w:val="7FE38BB0"/>
    <w:rsid w:val="7FFFE4C3"/>
    <w:rsid w:val="8FF94A63"/>
    <w:rsid w:val="A6FE339B"/>
    <w:rsid w:val="A73EBECC"/>
    <w:rsid w:val="A7FBB930"/>
    <w:rsid w:val="BDFFB920"/>
    <w:rsid w:val="BF748020"/>
    <w:rsid w:val="BFEFF17D"/>
    <w:rsid w:val="BFF78804"/>
    <w:rsid w:val="CFB78289"/>
    <w:rsid w:val="D9BFDC11"/>
    <w:rsid w:val="E5FDFB34"/>
    <w:rsid w:val="FB6D4D2E"/>
    <w:rsid w:val="FD5FDAD4"/>
    <w:rsid w:val="FDADDCFF"/>
    <w:rsid w:val="FE7FB4B6"/>
    <w:rsid w:val="FF0F6DD3"/>
    <w:rsid w:val="FF778B01"/>
    <w:rsid w:val="FF7F0631"/>
    <w:rsid w:val="FFDED59A"/>
    <w:rsid w:val="FFFFE66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nhideWhenUsed="0" w:uiPriority="0" w:semiHidden="0" w:name="heading 4"/>
    <w:lsdException w:qFormat="1" w:unhideWhenUsed="0" w:uiPriority="9" w:semiHidden="0" w:name="heading 5"/>
    <w:lsdException w:qFormat="1" w:uiPriority="9" w:name="heading 6"/>
    <w:lsdException w:qFormat="1" w:uiPriority="9" w:name="heading 7"/>
    <w:lsdException w:qFormat="1" w:unhideWhenUsed="0"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0" w:semiHidden="0" w:name="Body Text 2"/>
    <w:lsdException w:qFormat="1" w:uiPriority="99" w:semiHidden="0"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59"/>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71"/>
    <w:qFormat/>
    <w:uiPriority w:val="9"/>
    <w:pPr>
      <w:keepNext/>
      <w:keepLines/>
      <w:spacing w:before="260" w:after="260" w:line="416" w:lineRule="auto"/>
      <w:outlineLvl w:val="1"/>
    </w:pPr>
    <w:rPr>
      <w:rFonts w:ascii="Cambria" w:hAnsi="Cambria"/>
      <w:b/>
      <w:bCs/>
      <w:sz w:val="32"/>
      <w:szCs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66"/>
    <w:qFormat/>
    <w:uiPriority w:val="9"/>
    <w:pPr>
      <w:keepNext/>
      <w:keepLines/>
      <w:spacing w:before="280" w:after="290" w:line="376" w:lineRule="auto"/>
      <w:outlineLvl w:val="4"/>
    </w:pPr>
    <w:rPr>
      <w:b/>
      <w:bCs/>
      <w:sz w:val="28"/>
      <w:szCs w:val="28"/>
    </w:rPr>
  </w:style>
  <w:style w:type="paragraph" w:styleId="9">
    <w:name w:val="heading 8"/>
    <w:basedOn w:val="1"/>
    <w:next w:val="1"/>
    <w:link w:val="50"/>
    <w:qFormat/>
    <w:uiPriority w:val="9"/>
    <w:pPr>
      <w:keepNext/>
      <w:keepLines/>
      <w:spacing w:before="240" w:after="64" w:line="320" w:lineRule="auto"/>
      <w:outlineLvl w:val="7"/>
    </w:pPr>
    <w:rPr>
      <w:rFonts w:ascii="等线 Light" w:hAnsi="等线 Light" w:eastAsia="等线 Light"/>
      <w:sz w:val="24"/>
    </w:rPr>
  </w:style>
  <w:style w:type="character" w:default="1" w:styleId="33">
    <w:name w:val="Default Paragraph Font"/>
    <w:semiHidden/>
    <w:unhideWhenUsed/>
    <w:qFormat/>
    <w:uiPriority w:val="1"/>
  </w:style>
  <w:style w:type="table" w:default="1" w:styleId="31">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link w:val="51"/>
    <w:unhideWhenUsed/>
    <w:qFormat/>
    <w:uiPriority w:val="0"/>
    <w:pPr>
      <w:spacing w:after="120"/>
    </w:pPr>
  </w:style>
  <w:style w:type="paragraph" w:customStyle="1" w:styleId="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8">
    <w:name w:val="Normal Indent"/>
    <w:basedOn w:val="1"/>
    <w:qFormat/>
    <w:uiPriority w:val="0"/>
    <w:pPr>
      <w:ind w:firstLine="420"/>
    </w:pPr>
    <w:rPr>
      <w:szCs w:val="20"/>
    </w:rPr>
  </w:style>
  <w:style w:type="paragraph" w:styleId="10">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1">
    <w:name w:val="Document Map"/>
    <w:basedOn w:val="1"/>
    <w:link w:val="55"/>
    <w:unhideWhenUsed/>
    <w:qFormat/>
    <w:uiPriority w:val="99"/>
    <w:rPr>
      <w:rFonts w:ascii="宋体"/>
      <w:sz w:val="18"/>
      <w:szCs w:val="18"/>
    </w:rPr>
  </w:style>
  <w:style w:type="paragraph" w:styleId="12">
    <w:name w:val="annotation text"/>
    <w:basedOn w:val="1"/>
    <w:link w:val="43"/>
    <w:qFormat/>
    <w:uiPriority w:val="0"/>
    <w:pPr>
      <w:jc w:val="left"/>
    </w:pPr>
  </w:style>
  <w:style w:type="paragraph" w:styleId="13">
    <w:name w:val="Body Text 3"/>
    <w:basedOn w:val="1"/>
    <w:link w:val="62"/>
    <w:unhideWhenUsed/>
    <w:qFormat/>
    <w:uiPriority w:val="99"/>
    <w:pPr>
      <w:spacing w:after="120"/>
    </w:pPr>
    <w:rPr>
      <w:sz w:val="16"/>
      <w:szCs w:val="16"/>
    </w:rPr>
  </w:style>
  <w:style w:type="paragraph" w:styleId="14">
    <w:name w:val="Body Text Indent"/>
    <w:basedOn w:val="1"/>
    <w:link w:val="67"/>
    <w:qFormat/>
    <w:uiPriority w:val="0"/>
    <w:pPr>
      <w:ind w:firstLine="830" w:firstLineChars="352"/>
    </w:pPr>
    <w:rPr>
      <w:rFonts w:ascii="仿宋_GB2312" w:eastAsia="仿宋_GB2312"/>
      <w:kern w:val="0"/>
      <w:sz w:val="32"/>
      <w:szCs w:val="20"/>
    </w:rPr>
  </w:style>
  <w:style w:type="paragraph" w:styleId="15">
    <w:name w:val="List 2"/>
    <w:basedOn w:val="1"/>
    <w:unhideWhenUsed/>
    <w:qFormat/>
    <w:uiPriority w:val="99"/>
    <w:pPr>
      <w:ind w:left="100" w:leftChars="200" w:hanging="200" w:hangingChars="200"/>
      <w:contextualSpacing/>
    </w:pPr>
  </w:style>
  <w:style w:type="paragraph" w:styleId="16">
    <w:name w:val="Plain Text"/>
    <w:basedOn w:val="1"/>
    <w:link w:val="42"/>
    <w:qFormat/>
    <w:uiPriority w:val="0"/>
    <w:rPr>
      <w:rFonts w:ascii="宋体" w:hAnsi="Courier New"/>
      <w:kern w:val="0"/>
      <w:sz w:val="20"/>
      <w:szCs w:val="21"/>
    </w:rPr>
  </w:style>
  <w:style w:type="paragraph" w:styleId="17">
    <w:name w:val="Date"/>
    <w:basedOn w:val="1"/>
    <w:next w:val="1"/>
    <w:link w:val="63"/>
    <w:unhideWhenUsed/>
    <w:qFormat/>
    <w:uiPriority w:val="99"/>
    <w:pPr>
      <w:ind w:left="100" w:leftChars="2500"/>
    </w:pPr>
  </w:style>
  <w:style w:type="paragraph" w:styleId="18">
    <w:name w:val="Body Text Indent 2"/>
    <w:basedOn w:val="1"/>
    <w:qFormat/>
    <w:uiPriority w:val="0"/>
    <w:pPr>
      <w:spacing w:after="120" w:line="480" w:lineRule="auto"/>
      <w:ind w:leftChars="200"/>
    </w:pPr>
  </w:style>
  <w:style w:type="paragraph" w:styleId="19">
    <w:name w:val="Balloon Text"/>
    <w:basedOn w:val="1"/>
    <w:semiHidden/>
    <w:qFormat/>
    <w:uiPriority w:val="0"/>
    <w:rPr>
      <w:sz w:val="18"/>
      <w:szCs w:val="18"/>
    </w:rPr>
  </w:style>
  <w:style w:type="paragraph" w:styleId="20">
    <w:name w:val="footer"/>
    <w:basedOn w:val="1"/>
    <w:next w:val="1"/>
    <w:link w:val="60"/>
    <w:unhideWhenUsed/>
    <w:qFormat/>
    <w:uiPriority w:val="99"/>
    <w:pPr>
      <w:tabs>
        <w:tab w:val="center" w:pos="4153"/>
        <w:tab w:val="right" w:pos="8306"/>
      </w:tabs>
      <w:snapToGrid w:val="0"/>
      <w:jc w:val="left"/>
    </w:pPr>
    <w:rPr>
      <w:kern w:val="0"/>
      <w:sz w:val="18"/>
      <w:szCs w:val="18"/>
    </w:rPr>
  </w:style>
  <w:style w:type="paragraph" w:styleId="21">
    <w:name w:val="envelope return"/>
    <w:basedOn w:val="1"/>
    <w:qFormat/>
    <w:uiPriority w:val="99"/>
    <w:pPr>
      <w:snapToGrid w:val="0"/>
    </w:pPr>
    <w:rPr>
      <w:rFonts w:ascii="Arial" w:hAnsi="Arial"/>
    </w:rPr>
  </w:style>
  <w:style w:type="paragraph" w:styleId="22">
    <w:name w:val="header"/>
    <w:basedOn w:val="1"/>
    <w:link w:val="70"/>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3">
    <w:name w:val="toc 1"/>
    <w:basedOn w:val="1"/>
    <w:next w:val="1"/>
    <w:unhideWhenUsed/>
    <w:qFormat/>
    <w:uiPriority w:val="39"/>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 w:type="paragraph" w:styleId="24">
    <w:name w:val="toc 2"/>
    <w:basedOn w:val="1"/>
    <w:next w:val="1"/>
    <w:unhideWhenUsed/>
    <w:qFormat/>
    <w:uiPriority w:val="39"/>
    <w:pPr>
      <w:tabs>
        <w:tab w:val="right" w:leader="dot" w:pos="8296"/>
      </w:tabs>
      <w:ind w:left="420" w:leftChars="200"/>
    </w:pPr>
  </w:style>
  <w:style w:type="paragraph" w:styleId="25">
    <w:name w:val="Body Text 2"/>
    <w:basedOn w:val="1"/>
    <w:unhideWhenUsed/>
    <w:qFormat/>
    <w:uiPriority w:val="0"/>
    <w:pPr>
      <w:spacing w:after="120" w:line="480" w:lineRule="auto"/>
    </w:pPr>
    <w:rPr>
      <w:rFonts w:hint="eastAsia" w:eastAsia="Times New Roman"/>
      <w:kern w:val="0"/>
      <w:sz w:val="20"/>
    </w:rPr>
  </w:style>
  <w:style w:type="paragraph" w:styleId="26">
    <w:name w:val="Normal (Web)"/>
    <w:basedOn w:val="1"/>
    <w:unhideWhenUsed/>
    <w:qFormat/>
    <w:uiPriority w:val="99"/>
    <w:rPr>
      <w:rFonts w:ascii="Calibri" w:hAnsi="Calibri"/>
      <w:kern w:val="0"/>
      <w:sz w:val="24"/>
    </w:rPr>
  </w:style>
  <w:style w:type="paragraph" w:styleId="27">
    <w:name w:val="Title"/>
    <w:basedOn w:val="1"/>
    <w:link w:val="46"/>
    <w:qFormat/>
    <w:uiPriority w:val="0"/>
    <w:pPr>
      <w:spacing w:before="240" w:after="60"/>
      <w:jc w:val="center"/>
      <w:outlineLvl w:val="0"/>
    </w:pPr>
    <w:rPr>
      <w:rFonts w:ascii="Arial" w:hAnsi="Arial"/>
      <w:b/>
      <w:bCs/>
      <w:sz w:val="32"/>
      <w:szCs w:val="32"/>
    </w:rPr>
  </w:style>
  <w:style w:type="paragraph" w:styleId="28">
    <w:name w:val="annotation subject"/>
    <w:basedOn w:val="12"/>
    <w:next w:val="12"/>
    <w:link w:val="54"/>
    <w:qFormat/>
    <w:uiPriority w:val="99"/>
    <w:rPr>
      <w:b/>
      <w:bCs/>
    </w:rPr>
  </w:style>
  <w:style w:type="paragraph" w:styleId="29">
    <w:name w:val="Body Text First Indent"/>
    <w:basedOn w:val="2"/>
    <w:next w:val="1"/>
    <w:qFormat/>
    <w:uiPriority w:val="0"/>
    <w:pPr>
      <w:ind w:firstLine="420" w:firstLineChars="100"/>
    </w:pPr>
  </w:style>
  <w:style w:type="paragraph" w:styleId="30">
    <w:name w:val="Body Text First Indent 2"/>
    <w:basedOn w:val="14"/>
    <w:next w:val="29"/>
    <w:qFormat/>
    <w:uiPriority w:val="0"/>
    <w:pPr>
      <w:spacing w:after="120"/>
      <w:ind w:left="420" w:leftChars="200" w:firstLine="420" w:firstLineChars="200"/>
    </w:pPr>
    <w:rPr>
      <w:rFonts w:ascii="黑体" w:eastAsia="黑体" w:cs="Courier New"/>
      <w:sz w:val="20"/>
    </w:rPr>
  </w:style>
  <w:style w:type="table" w:styleId="32">
    <w:name w:val="Table Grid"/>
    <w:basedOn w:val="3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4">
    <w:name w:val="Strong"/>
    <w:basedOn w:val="33"/>
    <w:qFormat/>
    <w:uiPriority w:val="22"/>
    <w:rPr>
      <w:b/>
    </w:rPr>
  </w:style>
  <w:style w:type="character" w:styleId="35">
    <w:name w:val="endnote reference"/>
    <w:unhideWhenUsed/>
    <w:qFormat/>
    <w:uiPriority w:val="99"/>
    <w:rPr>
      <w:vertAlign w:val="superscript"/>
    </w:rPr>
  </w:style>
  <w:style w:type="character" w:styleId="36">
    <w:name w:val="Hyperlink"/>
    <w:unhideWhenUsed/>
    <w:qFormat/>
    <w:uiPriority w:val="99"/>
    <w:rPr>
      <w:color w:val="0000FF"/>
      <w:u w:val="single"/>
    </w:rPr>
  </w:style>
  <w:style w:type="character" w:styleId="37">
    <w:name w:val="annotation reference"/>
    <w:qFormat/>
    <w:uiPriority w:val="0"/>
    <w:rPr>
      <w:sz w:val="21"/>
      <w:szCs w:val="21"/>
    </w:rPr>
  </w:style>
  <w:style w:type="character" w:styleId="38">
    <w:name w:val="HTML Sample"/>
    <w:basedOn w:val="33"/>
    <w:semiHidden/>
    <w:unhideWhenUsed/>
    <w:qFormat/>
    <w:uiPriority w:val="99"/>
    <w:rPr>
      <w:rFonts w:ascii="Courier New" w:hAnsi="Courier New"/>
    </w:rPr>
  </w:style>
  <w:style w:type="paragraph" w:customStyle="1" w:styleId="39">
    <w:name w:val="章标题"/>
    <w:next w:val="1"/>
    <w:qFormat/>
    <w:uiPriority w:val="99"/>
    <w:pPr>
      <w:spacing w:beforeLines="50" w:afterLines="50" w:line="336" w:lineRule="auto"/>
      <w:jc w:val="both"/>
      <w:outlineLvl w:val="1"/>
    </w:pPr>
    <w:rPr>
      <w:rFonts w:ascii="黑体" w:hAnsi="Calibri" w:eastAsia="黑体" w:cs="Times New Roman"/>
      <w:sz w:val="21"/>
      <w:szCs w:val="21"/>
      <w:lang w:val="en-US" w:eastAsia="zh-CN" w:bidi="ar-SA"/>
    </w:rPr>
  </w:style>
  <w:style w:type="character" w:customStyle="1" w:styleId="40">
    <w:name w:val="正文文本 Char"/>
    <w:qFormat/>
    <w:uiPriority w:val="0"/>
    <w:rPr>
      <w:rFonts w:ascii="Times New Roman" w:hAnsi="Times New Roman"/>
      <w:kern w:val="2"/>
      <w:sz w:val="21"/>
      <w:szCs w:val="24"/>
    </w:rPr>
  </w:style>
  <w:style w:type="character" w:customStyle="1" w:styleId="41">
    <w:name w:val="标题 8 Char"/>
    <w:qFormat/>
    <w:uiPriority w:val="0"/>
    <w:rPr>
      <w:rFonts w:ascii="Arial" w:hAnsi="Arial" w:eastAsia="黑体"/>
      <w:kern w:val="2"/>
      <w:sz w:val="24"/>
      <w:szCs w:val="24"/>
    </w:rPr>
  </w:style>
  <w:style w:type="character" w:customStyle="1" w:styleId="42">
    <w:name w:val="纯文本 Char1"/>
    <w:link w:val="16"/>
    <w:qFormat/>
    <w:uiPriority w:val="0"/>
    <w:rPr>
      <w:rFonts w:ascii="宋体" w:hAnsi="Courier New" w:eastAsia="宋体" w:cs="Courier New"/>
      <w:szCs w:val="21"/>
    </w:rPr>
  </w:style>
  <w:style w:type="character" w:customStyle="1" w:styleId="43">
    <w:name w:val="批注文字 Char1"/>
    <w:link w:val="12"/>
    <w:qFormat/>
    <w:uiPriority w:val="0"/>
    <w:rPr>
      <w:rFonts w:ascii="Times New Roman" w:hAnsi="Times New Roman"/>
      <w:kern w:val="2"/>
      <w:sz w:val="21"/>
      <w:szCs w:val="24"/>
    </w:rPr>
  </w:style>
  <w:style w:type="character" w:customStyle="1" w:styleId="44">
    <w:name w:val="标题 2 Char"/>
    <w:qFormat/>
    <w:uiPriority w:val="9"/>
    <w:rPr>
      <w:rFonts w:ascii="Cambria" w:hAnsi="Cambria" w:eastAsia="宋体" w:cs="Times New Roman"/>
      <w:b/>
      <w:bCs/>
      <w:kern w:val="2"/>
      <w:sz w:val="32"/>
      <w:szCs w:val="32"/>
    </w:rPr>
  </w:style>
  <w:style w:type="character" w:customStyle="1" w:styleId="45">
    <w:name w:val="标题 Char"/>
    <w:qFormat/>
    <w:uiPriority w:val="0"/>
    <w:rPr>
      <w:rFonts w:ascii="Arial" w:hAnsi="Arial"/>
      <w:b/>
      <w:bCs/>
      <w:kern w:val="2"/>
      <w:sz w:val="32"/>
      <w:szCs w:val="32"/>
    </w:rPr>
  </w:style>
  <w:style w:type="character" w:customStyle="1" w:styleId="46">
    <w:name w:val="标题 Char1"/>
    <w:basedOn w:val="33"/>
    <w:link w:val="27"/>
    <w:qFormat/>
    <w:uiPriority w:val="10"/>
    <w:rPr>
      <w:rFonts w:ascii="Cambria" w:hAnsi="Cambria" w:cs="Times New Roman"/>
      <w:b/>
      <w:bCs/>
      <w:kern w:val="2"/>
      <w:sz w:val="32"/>
      <w:szCs w:val="32"/>
    </w:rPr>
  </w:style>
  <w:style w:type="character" w:customStyle="1" w:styleId="47">
    <w:name w:val="正文2 Char Char"/>
    <w:link w:val="48"/>
    <w:qFormat/>
    <w:uiPriority w:val="0"/>
    <w:rPr>
      <w:kern w:val="2"/>
      <w:sz w:val="24"/>
    </w:rPr>
  </w:style>
  <w:style w:type="paragraph" w:customStyle="1" w:styleId="48">
    <w:name w:val="正文2"/>
    <w:basedOn w:val="1"/>
    <w:link w:val="47"/>
    <w:qFormat/>
    <w:uiPriority w:val="0"/>
    <w:pPr>
      <w:adjustRightInd w:val="0"/>
      <w:spacing w:before="156" w:line="360" w:lineRule="auto"/>
      <w:ind w:firstLine="510" w:firstLineChars="200"/>
    </w:pPr>
    <w:rPr>
      <w:sz w:val="24"/>
      <w:szCs w:val="20"/>
    </w:rPr>
  </w:style>
  <w:style w:type="character" w:customStyle="1" w:styleId="49">
    <w:name w:val="textcontents"/>
    <w:qFormat/>
    <w:uiPriority w:val="0"/>
  </w:style>
  <w:style w:type="character" w:customStyle="1" w:styleId="50">
    <w:name w:val="标题 8 Char1"/>
    <w:link w:val="9"/>
    <w:semiHidden/>
    <w:qFormat/>
    <w:uiPriority w:val="9"/>
    <w:rPr>
      <w:rFonts w:ascii="等线 Light" w:hAnsi="等线 Light" w:eastAsia="等线 Light" w:cs="Times New Roman"/>
      <w:kern w:val="2"/>
      <w:sz w:val="24"/>
      <w:szCs w:val="24"/>
    </w:rPr>
  </w:style>
  <w:style w:type="character" w:customStyle="1" w:styleId="51">
    <w:name w:val="正文文本 Char1"/>
    <w:link w:val="2"/>
    <w:qFormat/>
    <w:uiPriority w:val="0"/>
    <w:rPr>
      <w:rFonts w:ascii="Times New Roman" w:hAnsi="Times New Roman"/>
      <w:kern w:val="2"/>
      <w:sz w:val="21"/>
      <w:szCs w:val="24"/>
    </w:rPr>
  </w:style>
  <w:style w:type="character" w:customStyle="1" w:styleId="52">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53">
    <w:name w:val="纯文本 字符2"/>
    <w:qFormat/>
    <w:uiPriority w:val="0"/>
    <w:rPr>
      <w:rFonts w:ascii="宋体" w:hAnsi="Courier New" w:eastAsia="宋体" w:cs="Courier New"/>
      <w:szCs w:val="21"/>
    </w:rPr>
  </w:style>
  <w:style w:type="character" w:customStyle="1" w:styleId="54">
    <w:name w:val="批注主题 Char"/>
    <w:link w:val="28"/>
    <w:qFormat/>
    <w:uiPriority w:val="99"/>
    <w:rPr>
      <w:rFonts w:ascii="Times New Roman" w:hAnsi="Times New Roman"/>
      <w:b/>
      <w:bCs/>
      <w:kern w:val="2"/>
      <w:sz w:val="21"/>
      <w:szCs w:val="24"/>
    </w:rPr>
  </w:style>
  <w:style w:type="character" w:customStyle="1" w:styleId="55">
    <w:name w:val="文档结构图 Char"/>
    <w:link w:val="11"/>
    <w:semiHidden/>
    <w:qFormat/>
    <w:uiPriority w:val="99"/>
    <w:rPr>
      <w:rFonts w:ascii="宋体"/>
      <w:kern w:val="2"/>
      <w:sz w:val="18"/>
      <w:szCs w:val="18"/>
    </w:rPr>
  </w:style>
  <w:style w:type="character" w:customStyle="1" w:styleId="56">
    <w:name w:val="正文文本 字符"/>
    <w:qFormat/>
    <w:uiPriority w:val="0"/>
    <w:rPr>
      <w:rFonts w:ascii="Times New Roman" w:hAnsi="Times New Roman"/>
      <w:kern w:val="2"/>
      <w:sz w:val="21"/>
      <w:szCs w:val="24"/>
    </w:rPr>
  </w:style>
  <w:style w:type="character" w:customStyle="1" w:styleId="57">
    <w:name w:val="纯文本 Char"/>
    <w:qFormat/>
    <w:uiPriority w:val="99"/>
    <w:rPr>
      <w:rFonts w:ascii="宋体" w:hAnsi="Courier New" w:eastAsia="宋体" w:cs="Courier New"/>
      <w:szCs w:val="21"/>
    </w:rPr>
  </w:style>
  <w:style w:type="character" w:customStyle="1" w:styleId="58">
    <w:name w:val="纯文本 字符1"/>
    <w:qFormat/>
    <w:uiPriority w:val="0"/>
    <w:rPr>
      <w:rFonts w:ascii="宋体" w:hAnsi="Courier New"/>
    </w:rPr>
  </w:style>
  <w:style w:type="character" w:customStyle="1" w:styleId="59">
    <w:name w:val="标题 1 Char"/>
    <w:link w:val="4"/>
    <w:qFormat/>
    <w:uiPriority w:val="9"/>
    <w:rPr>
      <w:b/>
      <w:bCs/>
      <w:kern w:val="44"/>
      <w:sz w:val="44"/>
      <w:szCs w:val="44"/>
    </w:rPr>
  </w:style>
  <w:style w:type="character" w:customStyle="1" w:styleId="60">
    <w:name w:val="页脚 Char"/>
    <w:link w:val="20"/>
    <w:qFormat/>
    <w:uiPriority w:val="99"/>
    <w:rPr>
      <w:sz w:val="18"/>
      <w:szCs w:val="18"/>
    </w:rPr>
  </w:style>
  <w:style w:type="character" w:customStyle="1" w:styleId="61">
    <w:name w:val="标题 1 字符1"/>
    <w:qFormat/>
    <w:uiPriority w:val="0"/>
    <w:rPr>
      <w:b/>
      <w:bCs/>
      <w:kern w:val="44"/>
      <w:sz w:val="44"/>
      <w:szCs w:val="44"/>
    </w:rPr>
  </w:style>
  <w:style w:type="character" w:customStyle="1" w:styleId="62">
    <w:name w:val="正文文本 3 Char"/>
    <w:link w:val="13"/>
    <w:semiHidden/>
    <w:qFormat/>
    <w:uiPriority w:val="99"/>
    <w:rPr>
      <w:kern w:val="2"/>
      <w:sz w:val="16"/>
      <w:szCs w:val="16"/>
    </w:rPr>
  </w:style>
  <w:style w:type="character" w:customStyle="1" w:styleId="63">
    <w:name w:val="日期 Char"/>
    <w:link w:val="17"/>
    <w:semiHidden/>
    <w:qFormat/>
    <w:uiPriority w:val="99"/>
    <w:rPr>
      <w:rFonts w:ascii="Times New Roman" w:hAnsi="Times New Roman"/>
      <w:kern w:val="2"/>
      <w:sz w:val="21"/>
      <w:szCs w:val="24"/>
    </w:rPr>
  </w:style>
  <w:style w:type="character" w:customStyle="1" w:styleId="64">
    <w:name w:val="批注文字 Char"/>
    <w:qFormat/>
    <w:uiPriority w:val="0"/>
    <w:rPr>
      <w:rFonts w:ascii="Times New Roman" w:hAnsi="Times New Roman"/>
      <w:kern w:val="2"/>
      <w:sz w:val="21"/>
      <w:szCs w:val="24"/>
    </w:rPr>
  </w:style>
  <w:style w:type="character" w:customStyle="1" w:styleId="65">
    <w:name w:val="批注文字 字符"/>
    <w:qFormat/>
    <w:uiPriority w:val="0"/>
    <w:rPr>
      <w:rFonts w:ascii="Times New Roman" w:hAnsi="Times New Roman"/>
      <w:kern w:val="2"/>
      <w:sz w:val="21"/>
      <w:szCs w:val="24"/>
    </w:rPr>
  </w:style>
  <w:style w:type="character" w:customStyle="1" w:styleId="66">
    <w:name w:val="标题 5 Char"/>
    <w:link w:val="7"/>
    <w:semiHidden/>
    <w:qFormat/>
    <w:uiPriority w:val="9"/>
    <w:rPr>
      <w:rFonts w:ascii="Times New Roman" w:hAnsi="Times New Roman"/>
      <w:b/>
      <w:bCs/>
      <w:kern w:val="2"/>
      <w:sz w:val="28"/>
      <w:szCs w:val="28"/>
    </w:rPr>
  </w:style>
  <w:style w:type="character" w:customStyle="1" w:styleId="67">
    <w:name w:val="正文文本缩进 Char"/>
    <w:link w:val="14"/>
    <w:qFormat/>
    <w:uiPriority w:val="0"/>
    <w:rPr>
      <w:rFonts w:ascii="仿宋_GB2312" w:hAnsi="Times New Roman" w:eastAsia="仿宋_GB2312" w:cs="Times New Roman"/>
      <w:sz w:val="32"/>
      <w:szCs w:val="20"/>
    </w:rPr>
  </w:style>
  <w:style w:type="character" w:customStyle="1" w:styleId="68">
    <w:name w:val="纯文本 字符"/>
    <w:qFormat/>
    <w:uiPriority w:val="0"/>
    <w:rPr>
      <w:rFonts w:ascii="宋体" w:hAnsi="Courier New" w:eastAsia="宋体" w:cs="Courier New"/>
      <w:szCs w:val="21"/>
    </w:rPr>
  </w:style>
  <w:style w:type="character" w:customStyle="1" w:styleId="69">
    <w:name w:val="批注文字 Char2"/>
    <w:qFormat/>
    <w:uiPriority w:val="0"/>
    <w:rPr>
      <w:rFonts w:ascii="Times New Roman" w:hAnsi="Times New Roman"/>
      <w:kern w:val="2"/>
      <w:sz w:val="21"/>
      <w:szCs w:val="24"/>
    </w:rPr>
  </w:style>
  <w:style w:type="character" w:customStyle="1" w:styleId="70">
    <w:name w:val="页眉 Char"/>
    <w:link w:val="22"/>
    <w:qFormat/>
    <w:uiPriority w:val="99"/>
    <w:rPr>
      <w:sz w:val="18"/>
      <w:szCs w:val="18"/>
    </w:rPr>
  </w:style>
  <w:style w:type="character" w:customStyle="1" w:styleId="71">
    <w:name w:val="标题 2 Char1"/>
    <w:link w:val="5"/>
    <w:qFormat/>
    <w:uiPriority w:val="9"/>
    <w:rPr>
      <w:rFonts w:ascii="Cambria" w:hAnsi="Cambria" w:eastAsia="宋体" w:cs="Times New Roman"/>
      <w:b/>
      <w:bCs/>
      <w:kern w:val="2"/>
      <w:sz w:val="32"/>
      <w:szCs w:val="32"/>
    </w:rPr>
  </w:style>
  <w:style w:type="character" w:customStyle="1" w:styleId="72">
    <w:name w:val="批注文字 字符1"/>
    <w:qFormat/>
    <w:uiPriority w:val="0"/>
    <w:rPr>
      <w:rFonts w:ascii="Times New Roman" w:hAnsi="Times New Roman"/>
      <w:kern w:val="2"/>
      <w:sz w:val="21"/>
      <w:szCs w:val="24"/>
    </w:rPr>
  </w:style>
  <w:style w:type="character" w:customStyle="1" w:styleId="73">
    <w:name w:val="apple-style-span"/>
    <w:qFormat/>
    <w:uiPriority w:val="0"/>
  </w:style>
  <w:style w:type="character" w:customStyle="1" w:styleId="74">
    <w:name w:val="正文文本缩进 3 Char"/>
    <w:qFormat/>
    <w:uiPriority w:val="0"/>
    <w:rPr>
      <w:rFonts w:ascii="Times New Roman" w:hAnsi="Times New Roman" w:eastAsia="宋体" w:cs="Times New Roman"/>
      <w:sz w:val="16"/>
      <w:szCs w:val="16"/>
      <w:lang w:bidi="ar-SA"/>
    </w:rPr>
  </w:style>
  <w:style w:type="paragraph" w:styleId="75">
    <w:name w:val="List Paragraph"/>
    <w:basedOn w:val="1"/>
    <w:qFormat/>
    <w:uiPriority w:val="34"/>
    <w:pPr>
      <w:ind w:firstLine="420" w:firstLineChars="200"/>
    </w:pPr>
  </w:style>
  <w:style w:type="paragraph" w:customStyle="1" w:styleId="76">
    <w:name w:val="Table Paragraph"/>
    <w:basedOn w:val="1"/>
    <w:qFormat/>
    <w:uiPriority w:val="1"/>
    <w:pPr>
      <w:jc w:val="left"/>
    </w:pPr>
    <w:rPr>
      <w:rFonts w:ascii="Calibri" w:hAnsi="Calibri"/>
      <w:kern w:val="0"/>
      <w:sz w:val="22"/>
      <w:szCs w:val="22"/>
      <w:lang w:eastAsia="en-US"/>
    </w:rPr>
  </w:style>
  <w:style w:type="paragraph" w:customStyle="1" w:styleId="77">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78">
    <w:name w:val="列出段落11"/>
    <w:basedOn w:val="1"/>
    <w:qFormat/>
    <w:uiPriority w:val="0"/>
    <w:pPr>
      <w:ind w:firstLine="420" w:firstLineChars="200"/>
    </w:pPr>
    <w:rPr>
      <w:rFonts w:ascii="Calibri" w:hAnsi="Calibri" w:cs="Calibri"/>
      <w:szCs w:val="21"/>
    </w:rPr>
  </w:style>
  <w:style w:type="paragraph" w:customStyle="1" w:styleId="79">
    <w:name w:val="默认段落字体 Para Char Char Char Char Char Char Char Char Char1 Char Char Char Char"/>
    <w:basedOn w:val="1"/>
    <w:qFormat/>
    <w:uiPriority w:val="0"/>
    <w:rPr>
      <w:rFonts w:ascii="Tahoma" w:hAnsi="Tahoma"/>
      <w:sz w:val="24"/>
      <w:szCs w:val="20"/>
    </w:rPr>
  </w:style>
  <w:style w:type="paragraph" w:customStyle="1" w:styleId="80">
    <w:name w:val="01 正文-首行缩进2字符"/>
    <w:basedOn w:val="1"/>
    <w:qFormat/>
    <w:uiPriority w:val="0"/>
    <w:pPr>
      <w:tabs>
        <w:tab w:val="right" w:pos="0"/>
      </w:tabs>
      <w:spacing w:before="50" w:beforeLines="50" w:after="50" w:afterLines="50"/>
      <w:ind w:firstLine="964" w:firstLineChars="200"/>
    </w:pPr>
    <w:rPr>
      <w:rFonts w:ascii="Arial" w:hAnsi="Arial"/>
      <w:color w:val="000000"/>
    </w:rPr>
  </w:style>
  <w:style w:type="paragraph" w:customStyle="1" w:styleId="81">
    <w:name w:val="Ｒ07-正!!文"/>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character" w:customStyle="1" w:styleId="82">
    <w:name w:val="font11"/>
    <w:basedOn w:val="33"/>
    <w:qFormat/>
    <w:uiPriority w:val="0"/>
    <w:rPr>
      <w:rFonts w:hint="eastAsia" w:ascii="宋体" w:hAnsi="宋体" w:eastAsia="宋体" w:cs="宋体"/>
      <w:color w:val="000000"/>
      <w:sz w:val="21"/>
      <w:szCs w:val="21"/>
      <w:u w:val="none"/>
    </w:rPr>
  </w:style>
  <w:style w:type="character" w:customStyle="1" w:styleId="83">
    <w:name w:val="font21"/>
    <w:basedOn w:val="33"/>
    <w:qFormat/>
    <w:uiPriority w:val="0"/>
    <w:rPr>
      <w:rFonts w:hint="eastAsia" w:ascii="宋体" w:hAnsi="宋体" w:eastAsia="宋体" w:cs="宋体"/>
      <w:b/>
      <w:bCs/>
      <w:color w:val="000000"/>
      <w:sz w:val="21"/>
      <w:szCs w:val="21"/>
      <w:u w:val="none"/>
    </w:rPr>
  </w:style>
  <w:style w:type="paragraph" w:customStyle="1" w:styleId="84">
    <w:name w:val="Table Text"/>
    <w:basedOn w:val="1"/>
    <w:semiHidden/>
    <w:qFormat/>
    <w:uiPriority w:val="0"/>
    <w:rPr>
      <w:rFonts w:ascii="宋体" w:hAnsi="宋体" w:eastAsia="宋体" w:cs="宋体"/>
      <w:sz w:val="20"/>
      <w:szCs w:val="20"/>
      <w:lang w:val="en-US" w:eastAsia="en-US" w:bidi="ar-SA"/>
    </w:rPr>
  </w:style>
  <w:style w:type="table" w:customStyle="1" w:styleId="85">
    <w:name w:val="Table Normal"/>
    <w:unhideWhenUsed/>
    <w:qFormat/>
    <w:uiPriority w:val="0"/>
    <w:tblPr>
      <w:tblCellMar>
        <w:top w:w="0" w:type="dxa"/>
        <w:left w:w="0" w:type="dxa"/>
        <w:bottom w:w="0" w:type="dxa"/>
        <w:right w:w="0" w:type="dxa"/>
      </w:tblCellMar>
    </w:tblPr>
  </w:style>
  <w:style w:type="paragraph" w:customStyle="1" w:styleId="86">
    <w:name w:val="p15"/>
    <w:basedOn w:val="1"/>
    <w:qFormat/>
    <w:uiPriority w:val="0"/>
    <w:pPr>
      <w:widowControl/>
    </w:pPr>
    <w:rPr>
      <w:rFonts w:ascii="宋体" w:hAnsi="宋体" w:cs="宋体"/>
      <w:kern w:val="0"/>
    </w:rPr>
  </w:style>
  <w:style w:type="paragraph" w:customStyle="1" w:styleId="87">
    <w:name w:val="表格文字"/>
    <w:basedOn w:val="1"/>
    <w:qFormat/>
    <w:uiPriority w:val="0"/>
    <w:pPr>
      <w:spacing w:before="25" w:after="25"/>
      <w:jc w:val="left"/>
    </w:pPr>
    <w:rPr>
      <w:bCs/>
      <w:spacing w:val="10"/>
      <w:kern w:val="0"/>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79</Pages>
  <Words>16573</Words>
  <Characters>17715</Characters>
  <Lines>1</Lines>
  <Paragraphs>1</Paragraphs>
  <TotalTime>6</TotalTime>
  <ScaleCrop>false</ScaleCrop>
  <LinksUpToDate>false</LinksUpToDate>
  <CharactersWithSpaces>17858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2024-04-17T23:43:00Z</dcterms:created>
  <dc:creator>唐冰</dc:creator>
  <cp:lastModifiedBy>雨过天晴</cp:lastModifiedBy>
  <cp:lastPrinted>2023-07-08T12:01:00Z</cp:lastPrinted>
  <dcterms:modified xsi:type="dcterms:W3CDTF">2026-10-10T09:21:38Z</dcterms:modified>
  <dc:title>竞争性谈判文件规范</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841B447A9C4140E9A3C5FAE9E6941DDE_13</vt:lpwstr>
  </property>
  <property fmtid="{D5CDD505-2E9C-101B-9397-08002B2CF9AE}" pid="4" name="KSOTemplateDocerSaveRecord">
    <vt:lpwstr>eyJoZGlkIjoiN2NiMTI3MDRiZWJlZDRkZTA3NmY0MjY1ZjJiMjJkMzMiLCJ1c2VySWQiOiI3MDAxMTU0MTgifQ==</vt:lpwstr>
  </property>
</Properties>
</file>